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FBD96" w14:textId="1927D309" w:rsidR="00E517B7" w:rsidRPr="002742AE" w:rsidRDefault="008516C8" w:rsidP="002742AE">
      <w:pPr>
        <w:jc w:val="center"/>
        <w:rPr>
          <w:b/>
          <w:sz w:val="32"/>
          <w:szCs w:val="32"/>
        </w:rPr>
      </w:pPr>
      <w:r w:rsidRPr="002742AE">
        <w:rPr>
          <w:b/>
          <w:sz w:val="32"/>
          <w:szCs w:val="32"/>
        </w:rPr>
        <w:t xml:space="preserve">Pasākumu plāns noziedzīgi </w:t>
      </w:r>
      <w:r w:rsidR="00E517B7" w:rsidRPr="002742AE">
        <w:rPr>
          <w:b/>
          <w:sz w:val="32"/>
          <w:szCs w:val="32"/>
        </w:rPr>
        <w:t>iegūtu līdzekļu legalizācijas</w:t>
      </w:r>
      <w:r w:rsidR="00B11130" w:rsidRPr="002742AE">
        <w:rPr>
          <w:b/>
          <w:sz w:val="32"/>
          <w:szCs w:val="32"/>
        </w:rPr>
        <w:t>,</w:t>
      </w:r>
      <w:r w:rsidR="00517FCC" w:rsidRPr="002742AE">
        <w:rPr>
          <w:b/>
          <w:sz w:val="32"/>
          <w:szCs w:val="32"/>
        </w:rPr>
        <w:t xml:space="preserve"> terorisma un proliferācijas finansēšanas</w:t>
      </w:r>
      <w:r w:rsidR="00B11130" w:rsidRPr="002742AE">
        <w:rPr>
          <w:b/>
          <w:sz w:val="32"/>
          <w:szCs w:val="32"/>
        </w:rPr>
        <w:t xml:space="preserve"> </w:t>
      </w:r>
      <w:r w:rsidR="00615E3B" w:rsidRPr="002742AE">
        <w:rPr>
          <w:b/>
          <w:sz w:val="32"/>
          <w:szCs w:val="32"/>
        </w:rPr>
        <w:t xml:space="preserve">novēršanai </w:t>
      </w:r>
      <w:r w:rsidR="001B243A" w:rsidRPr="002742AE">
        <w:rPr>
          <w:b/>
          <w:sz w:val="32"/>
          <w:szCs w:val="32"/>
        </w:rPr>
        <w:t>laikp</w:t>
      </w:r>
      <w:r w:rsidR="008A0FDA" w:rsidRPr="002742AE">
        <w:rPr>
          <w:b/>
          <w:sz w:val="32"/>
          <w:szCs w:val="32"/>
        </w:rPr>
        <w:t>osm</w:t>
      </w:r>
      <w:r w:rsidR="001B243A" w:rsidRPr="002742AE">
        <w:rPr>
          <w:b/>
          <w:sz w:val="32"/>
          <w:szCs w:val="32"/>
        </w:rPr>
        <w:t xml:space="preserve">am </w:t>
      </w:r>
      <w:r w:rsidR="00517FCC" w:rsidRPr="002742AE">
        <w:rPr>
          <w:b/>
          <w:sz w:val="32"/>
          <w:szCs w:val="32"/>
        </w:rPr>
        <w:t>no</w:t>
      </w:r>
      <w:r w:rsidR="001B243A" w:rsidRPr="002742AE">
        <w:rPr>
          <w:b/>
          <w:sz w:val="32"/>
          <w:szCs w:val="32"/>
        </w:rPr>
        <w:t xml:space="preserve"> </w:t>
      </w:r>
      <w:r w:rsidR="00615E3B" w:rsidRPr="002742AE">
        <w:rPr>
          <w:b/>
          <w:sz w:val="32"/>
          <w:szCs w:val="32"/>
        </w:rPr>
        <w:t>20</w:t>
      </w:r>
      <w:r w:rsidR="00517FCC" w:rsidRPr="002742AE">
        <w:rPr>
          <w:b/>
          <w:sz w:val="32"/>
          <w:szCs w:val="32"/>
        </w:rPr>
        <w:t>20</w:t>
      </w:r>
      <w:r w:rsidR="00615E3B" w:rsidRPr="002742AE">
        <w:rPr>
          <w:b/>
          <w:sz w:val="32"/>
          <w:szCs w:val="32"/>
        </w:rPr>
        <w:t>.</w:t>
      </w:r>
      <w:r w:rsidR="008B2CD4" w:rsidRPr="002742AE">
        <w:rPr>
          <w:b/>
          <w:sz w:val="32"/>
          <w:szCs w:val="32"/>
        </w:rPr>
        <w:t> </w:t>
      </w:r>
      <w:r w:rsidR="00517FCC" w:rsidRPr="002742AE">
        <w:rPr>
          <w:b/>
          <w:sz w:val="32"/>
          <w:szCs w:val="32"/>
        </w:rPr>
        <w:t xml:space="preserve">līdz 2022. </w:t>
      </w:r>
      <w:r w:rsidR="001B243A" w:rsidRPr="002742AE">
        <w:rPr>
          <w:b/>
          <w:sz w:val="32"/>
          <w:szCs w:val="32"/>
        </w:rPr>
        <w:t>gadam</w:t>
      </w:r>
    </w:p>
    <w:p w14:paraId="23CA3344" w14:textId="77777777" w:rsidR="002742AE" w:rsidRDefault="002742AE" w:rsidP="002742AE">
      <w:pPr>
        <w:pStyle w:val="Heading1"/>
        <w:spacing w:before="0" w:beforeAutospacing="0" w:after="0" w:afterAutospacing="0"/>
        <w:jc w:val="center"/>
        <w:rPr>
          <w:sz w:val="32"/>
          <w:szCs w:val="32"/>
          <w:lang w:val="lv-LV"/>
        </w:rPr>
      </w:pPr>
      <w:bookmarkStart w:id="0" w:name="_Toc524977644"/>
    </w:p>
    <w:p w14:paraId="33C8E3A2" w14:textId="7365CF2F" w:rsidR="00300124" w:rsidRPr="002742AE" w:rsidRDefault="00300124" w:rsidP="002742AE">
      <w:pPr>
        <w:pStyle w:val="Heading1"/>
        <w:spacing w:before="0" w:beforeAutospacing="0" w:after="0" w:afterAutospacing="0"/>
        <w:jc w:val="center"/>
        <w:rPr>
          <w:sz w:val="32"/>
          <w:szCs w:val="32"/>
          <w:lang w:val="lv-LV"/>
        </w:rPr>
      </w:pPr>
      <w:r w:rsidRPr="002742AE">
        <w:rPr>
          <w:sz w:val="32"/>
          <w:szCs w:val="32"/>
          <w:lang w:val="lv-LV"/>
        </w:rPr>
        <w:t>Saīsinājumi</w:t>
      </w:r>
      <w:bookmarkEnd w:id="0"/>
    </w:p>
    <w:p w14:paraId="3CD183E9" w14:textId="77777777" w:rsidR="00300124" w:rsidRPr="002742AE" w:rsidRDefault="00300124" w:rsidP="00300124">
      <w:pPr>
        <w:tabs>
          <w:tab w:val="left" w:pos="1650"/>
        </w:tabs>
        <w:rPr>
          <w:sz w:val="32"/>
          <w:szCs w:val="32"/>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59"/>
        <w:gridCol w:w="10999"/>
      </w:tblGrid>
      <w:tr w:rsidR="00300124" w:rsidRPr="001B1DB1" w14:paraId="2EB901D6" w14:textId="77777777" w:rsidTr="00B577E5">
        <w:tc>
          <w:tcPr>
            <w:tcW w:w="1060" w:type="pct"/>
            <w:shd w:val="clear" w:color="auto" w:fill="FFFFFF"/>
            <w:hideMark/>
          </w:tcPr>
          <w:p w14:paraId="13BA5022" w14:textId="6DA0F5E6" w:rsidR="00D1328C" w:rsidRDefault="00D1328C"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AM</w:t>
            </w:r>
          </w:p>
          <w:p w14:paraId="55197FC1"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AMLD V</w:t>
            </w:r>
          </w:p>
          <w:p w14:paraId="4E46EA4D" w14:textId="77777777" w:rsidR="00300124" w:rsidRPr="001B1DB1" w:rsidRDefault="00300124" w:rsidP="00002D3D">
            <w:pPr>
              <w:rPr>
                <w:rFonts w:eastAsia="Times New Roman" w:cs="Times New Roman"/>
                <w:color w:val="000000" w:themeColor="text1"/>
                <w:szCs w:val="24"/>
                <w:lang w:eastAsia="lv-LV"/>
              </w:rPr>
            </w:pPr>
          </w:p>
          <w:p w14:paraId="119767FD" w14:textId="77777777" w:rsidR="00300124" w:rsidRPr="001B1DB1" w:rsidRDefault="00300124" w:rsidP="00002D3D">
            <w:pPr>
              <w:rPr>
                <w:rFonts w:eastAsia="Times New Roman" w:cs="Times New Roman"/>
                <w:color w:val="000000" w:themeColor="text1"/>
                <w:szCs w:val="24"/>
                <w:lang w:eastAsia="lv-LV"/>
              </w:rPr>
            </w:pPr>
          </w:p>
          <w:p w14:paraId="5F66A61E" w14:textId="77777777" w:rsidR="005F4554" w:rsidRPr="001B1DB1" w:rsidRDefault="005F4554" w:rsidP="005F4554">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ANO DP</w:t>
            </w:r>
          </w:p>
          <w:p w14:paraId="787D0A7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 xml:space="preserve">ASV </w:t>
            </w:r>
          </w:p>
          <w:p w14:paraId="01D5F9CB"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ĀM</w:t>
            </w:r>
          </w:p>
          <w:p w14:paraId="70080C03" w14:textId="0FC6D020" w:rsidR="00362151" w:rsidRPr="001B1DB1" w:rsidRDefault="00362151" w:rsidP="00002D3D">
            <w:pPr>
              <w:rPr>
                <w:rFonts w:eastAsia="Times New Roman" w:cs="Times New Roman"/>
                <w:color w:val="000000" w:themeColor="text1"/>
                <w:szCs w:val="24"/>
                <w:lang w:eastAsia="lv-LV"/>
              </w:rPr>
            </w:pPr>
            <w:r w:rsidRPr="00362151">
              <w:rPr>
                <w:rFonts w:eastAsia="Times New Roman" w:cs="Times New Roman"/>
                <w:color w:val="000000" w:themeColor="text1"/>
                <w:szCs w:val="24"/>
                <w:lang w:eastAsia="lv-LV"/>
              </w:rPr>
              <w:t>Egmont grupa</w:t>
            </w:r>
          </w:p>
        </w:tc>
        <w:tc>
          <w:tcPr>
            <w:tcW w:w="3940" w:type="pct"/>
            <w:shd w:val="clear" w:color="auto" w:fill="FFFFFF"/>
            <w:hideMark/>
          </w:tcPr>
          <w:p w14:paraId="530678AE" w14:textId="46D5C6B5" w:rsidR="00D1328C" w:rsidRDefault="00D1328C" w:rsidP="00002D3D">
            <w:pPr>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Aizsardzības ministrija</w:t>
            </w:r>
          </w:p>
          <w:p w14:paraId="68CF3E94" w14:textId="77777777" w:rsidR="00300124" w:rsidRPr="001B1DB1" w:rsidRDefault="00300124" w:rsidP="00002D3D">
            <w:pPr>
              <w:jc w:val="both"/>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2018.gada 30.maija Eiropas Parlamenta un Padomes Direktīva (ES) 2018/843, ar ko groza Direktīvu (ES) 2015/849 par to, lai nepieļautu finanšu sistēmas izmantošanu nelikumīgi iegūtu līdzekļu legalizēšanai vai teroristu finansēšanai, un ar ko groza Direktīvas 2009/138/EK un 2013/36/ES</w:t>
            </w:r>
          </w:p>
          <w:p w14:paraId="10B76F4A" w14:textId="77777777" w:rsidR="005F4554" w:rsidRPr="001B1DB1" w:rsidRDefault="005F4554" w:rsidP="005F4554">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Apvienoto Nāciju Organizācijas Drošības Padome</w:t>
            </w:r>
          </w:p>
          <w:p w14:paraId="71A0A834"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Amerikas Savienotās Valstis</w:t>
            </w:r>
          </w:p>
          <w:p w14:paraId="592B194A"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Ārlietu ministrija</w:t>
            </w:r>
          </w:p>
          <w:p w14:paraId="3B61B712" w14:textId="2F597356" w:rsidR="00362151" w:rsidRPr="001B1DB1" w:rsidRDefault="00362151" w:rsidP="00002D3D">
            <w:pPr>
              <w:rPr>
                <w:rFonts w:eastAsia="Times New Roman" w:cs="Times New Roman"/>
                <w:color w:val="000000" w:themeColor="text1"/>
                <w:szCs w:val="24"/>
                <w:lang w:eastAsia="lv-LV"/>
              </w:rPr>
            </w:pPr>
            <w:r w:rsidRPr="00362151">
              <w:rPr>
                <w:rFonts w:eastAsia="Times New Roman" w:cs="Times New Roman"/>
                <w:color w:val="000000" w:themeColor="text1"/>
                <w:szCs w:val="24"/>
                <w:lang w:eastAsia="lv-LV"/>
              </w:rPr>
              <w:t>Egmont finanšu izlūkošanas vienību grupa</w:t>
            </w:r>
          </w:p>
        </w:tc>
      </w:tr>
      <w:tr w:rsidR="00300124" w:rsidRPr="001B1DB1" w14:paraId="3884EFCE" w14:textId="77777777" w:rsidTr="00B577E5">
        <w:trPr>
          <w:trHeight w:val="44"/>
        </w:trPr>
        <w:tc>
          <w:tcPr>
            <w:tcW w:w="1060" w:type="pct"/>
            <w:shd w:val="clear" w:color="auto" w:fill="FFFFFF"/>
            <w:hideMark/>
          </w:tcPr>
          <w:p w14:paraId="25925920" w14:textId="77777777" w:rsidR="00882C2B" w:rsidRDefault="00882C2B"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EM</w:t>
            </w:r>
          </w:p>
          <w:p w14:paraId="7A71F97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ES</w:t>
            </w:r>
          </w:p>
        </w:tc>
        <w:tc>
          <w:tcPr>
            <w:tcW w:w="3940" w:type="pct"/>
            <w:shd w:val="clear" w:color="auto" w:fill="FFFFFF"/>
          </w:tcPr>
          <w:p w14:paraId="3771AECE" w14:textId="3D57FAFC" w:rsidR="00882C2B" w:rsidRDefault="00882C2B" w:rsidP="00002D3D">
            <w:pPr>
              <w:rPr>
                <w:rFonts w:eastAsia="Times New Roman" w:cs="Times New Roman"/>
                <w:color w:val="000000" w:themeColor="text1"/>
                <w:szCs w:val="24"/>
                <w:lang w:eastAsia="lv-LV"/>
              </w:rPr>
            </w:pPr>
            <w:r w:rsidRPr="00882C2B">
              <w:rPr>
                <w:rFonts w:eastAsia="Times New Roman" w:cs="Times New Roman"/>
                <w:color w:val="000000" w:themeColor="text1"/>
                <w:szCs w:val="24"/>
                <w:lang w:eastAsia="lv-LV"/>
              </w:rPr>
              <w:t>Ekonomikas ministrija</w:t>
            </w:r>
          </w:p>
          <w:p w14:paraId="3DA33069" w14:textId="56D60051"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Eiropas Savienība</w:t>
            </w:r>
          </w:p>
        </w:tc>
      </w:tr>
      <w:tr w:rsidR="00300124" w:rsidRPr="001B1DB1" w14:paraId="2DE81468" w14:textId="77777777" w:rsidTr="00B577E5">
        <w:tc>
          <w:tcPr>
            <w:tcW w:w="1060" w:type="pct"/>
            <w:shd w:val="clear" w:color="auto" w:fill="FFFFFF"/>
          </w:tcPr>
          <w:p w14:paraId="4D4ADC1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FATF</w:t>
            </w:r>
          </w:p>
          <w:p w14:paraId="7DDD9035" w14:textId="6AD70E29"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FID</w:t>
            </w:r>
          </w:p>
        </w:tc>
        <w:tc>
          <w:tcPr>
            <w:tcW w:w="3940" w:type="pct"/>
            <w:shd w:val="clear" w:color="auto" w:fill="FFFFFF"/>
          </w:tcPr>
          <w:p w14:paraId="619B304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Finanšu darījumu darba grupa</w:t>
            </w:r>
          </w:p>
          <w:p w14:paraId="007F4789" w14:textId="57471E40"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Finanšu izlūkošanas dienests</w:t>
            </w:r>
          </w:p>
        </w:tc>
      </w:tr>
      <w:tr w:rsidR="00300124" w:rsidRPr="001B1DB1" w14:paraId="0B940545" w14:textId="77777777" w:rsidTr="00B577E5">
        <w:tc>
          <w:tcPr>
            <w:tcW w:w="1060" w:type="pct"/>
            <w:shd w:val="clear" w:color="auto" w:fill="FFFFFF"/>
            <w:hideMark/>
          </w:tcPr>
          <w:p w14:paraId="3B63B81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FKTK</w:t>
            </w:r>
          </w:p>
        </w:tc>
        <w:tc>
          <w:tcPr>
            <w:tcW w:w="3940" w:type="pct"/>
            <w:shd w:val="clear" w:color="auto" w:fill="FFFFFF"/>
            <w:hideMark/>
          </w:tcPr>
          <w:p w14:paraId="7B9B302C"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Finanšu un kapitāla tirgus komisija</w:t>
            </w:r>
          </w:p>
        </w:tc>
      </w:tr>
      <w:tr w:rsidR="00300124" w:rsidRPr="001B1DB1" w14:paraId="3566ACA1" w14:textId="77777777" w:rsidTr="00B577E5">
        <w:tc>
          <w:tcPr>
            <w:tcW w:w="1060" w:type="pct"/>
            <w:shd w:val="clear" w:color="auto" w:fill="FFFFFF"/>
            <w:hideMark/>
          </w:tcPr>
          <w:p w14:paraId="489AD02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FM</w:t>
            </w:r>
          </w:p>
        </w:tc>
        <w:tc>
          <w:tcPr>
            <w:tcW w:w="3940" w:type="pct"/>
            <w:shd w:val="clear" w:color="auto" w:fill="FFFFFF"/>
            <w:hideMark/>
          </w:tcPr>
          <w:p w14:paraId="763048D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Finanšu ministrija</w:t>
            </w:r>
          </w:p>
        </w:tc>
      </w:tr>
      <w:tr w:rsidR="00300124" w:rsidRPr="001B1DB1" w14:paraId="4BE3CD03" w14:textId="77777777" w:rsidTr="00B577E5">
        <w:tc>
          <w:tcPr>
            <w:tcW w:w="1060" w:type="pct"/>
            <w:shd w:val="clear" w:color="auto" w:fill="FFFFFF"/>
            <w:hideMark/>
          </w:tcPr>
          <w:p w14:paraId="3EF97E92"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FSAP</w:t>
            </w:r>
          </w:p>
          <w:p w14:paraId="1FDB7EFB" w14:textId="77777777" w:rsidR="005F4554" w:rsidRPr="001B1DB1" w:rsidRDefault="005F4554" w:rsidP="005F4554">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ĢP</w:t>
            </w:r>
          </w:p>
          <w:p w14:paraId="047977F7"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IAUI</w:t>
            </w:r>
          </w:p>
          <w:p w14:paraId="2F58FA4C" w14:textId="590DFEE2" w:rsidR="0076346B" w:rsidRPr="001B1DB1" w:rsidRDefault="0076346B" w:rsidP="00002D3D">
            <w:pPr>
              <w:rPr>
                <w:rFonts w:eastAsia="Times New Roman" w:cs="Times New Roman"/>
                <w:color w:val="000000" w:themeColor="text1"/>
                <w:szCs w:val="24"/>
                <w:lang w:eastAsia="lv-LV"/>
              </w:rPr>
            </w:pPr>
            <w:r w:rsidRPr="0076346B">
              <w:rPr>
                <w:rFonts w:eastAsia="Times New Roman" w:cs="Times New Roman"/>
                <w:color w:val="000000" w:themeColor="text1"/>
                <w:szCs w:val="24"/>
                <w:lang w:eastAsia="lv-LV"/>
              </w:rPr>
              <w:t>IBS</w:t>
            </w:r>
          </w:p>
          <w:p w14:paraId="42FBF8C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IC</w:t>
            </w:r>
          </w:p>
          <w:p w14:paraId="5784A18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IDB</w:t>
            </w:r>
          </w:p>
        </w:tc>
        <w:tc>
          <w:tcPr>
            <w:tcW w:w="3940" w:type="pct"/>
            <w:shd w:val="clear" w:color="auto" w:fill="FFFFFF"/>
            <w:hideMark/>
          </w:tcPr>
          <w:p w14:paraId="16363FD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Finanšu sektora attīstības padome</w:t>
            </w:r>
          </w:p>
          <w:p w14:paraId="068F18B9" w14:textId="77777777" w:rsidR="005F4554" w:rsidRPr="001B1DB1" w:rsidRDefault="005F4554" w:rsidP="005F4554">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Ģenerālprokuratūra</w:t>
            </w:r>
          </w:p>
          <w:p w14:paraId="3A3CF07B"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Izložu un azartspēļu uzraudzības inspekcija</w:t>
            </w:r>
          </w:p>
          <w:p w14:paraId="08F8000B" w14:textId="2F6B126D" w:rsidR="0076346B" w:rsidRPr="001B1DB1" w:rsidRDefault="0076346B" w:rsidP="00002D3D">
            <w:pPr>
              <w:rPr>
                <w:rFonts w:eastAsia="Times New Roman" w:cs="Times New Roman"/>
                <w:color w:val="000000" w:themeColor="text1"/>
                <w:szCs w:val="24"/>
                <w:lang w:eastAsia="lv-LV"/>
              </w:rPr>
            </w:pPr>
            <w:r w:rsidRPr="0076346B">
              <w:rPr>
                <w:rFonts w:eastAsia="Times New Roman" w:cs="Times New Roman"/>
                <w:color w:val="000000" w:themeColor="text1"/>
                <w:szCs w:val="24"/>
                <w:lang w:eastAsia="lv-LV"/>
              </w:rPr>
              <w:t>Ieguldījumu brokeru sabiedrības</w:t>
            </w:r>
          </w:p>
          <w:p w14:paraId="4EE26770"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Iekšlietu ministrijas Informācijas centrs</w:t>
            </w:r>
          </w:p>
          <w:p w14:paraId="5EA71BD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Iekšējās drošības birojs</w:t>
            </w:r>
          </w:p>
        </w:tc>
      </w:tr>
      <w:tr w:rsidR="00300124" w:rsidRPr="001B1DB1" w14:paraId="2F7BB351" w14:textId="77777777" w:rsidTr="00B577E5">
        <w:tc>
          <w:tcPr>
            <w:tcW w:w="1060" w:type="pct"/>
            <w:shd w:val="clear" w:color="auto" w:fill="FFFFFF"/>
            <w:hideMark/>
          </w:tcPr>
          <w:p w14:paraId="7D3CD7FC"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IeM</w:t>
            </w:r>
          </w:p>
          <w:p w14:paraId="2236CDF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IeVP</w:t>
            </w:r>
          </w:p>
          <w:p w14:paraId="6BD5CEFE" w14:textId="03CFAC7D" w:rsidR="001E0AB7" w:rsidRDefault="001E0AB7" w:rsidP="00002D3D">
            <w:pPr>
              <w:rPr>
                <w:rFonts w:eastAsia="Times New Roman" w:cs="Times New Roman"/>
                <w:color w:val="000000" w:themeColor="text1"/>
                <w:szCs w:val="24"/>
                <w:lang w:eastAsia="lv-LV"/>
              </w:rPr>
            </w:pPr>
            <w:r w:rsidRPr="001E0AB7">
              <w:rPr>
                <w:rFonts w:eastAsia="Times New Roman" w:cs="Times New Roman"/>
                <w:color w:val="000000" w:themeColor="text1"/>
                <w:szCs w:val="24"/>
                <w:lang w:eastAsia="lv-LV"/>
              </w:rPr>
              <w:t>IFIT</w:t>
            </w:r>
          </w:p>
          <w:p w14:paraId="2B885A7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IKS</w:t>
            </w:r>
          </w:p>
          <w:p w14:paraId="290369FD"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IO</w:t>
            </w:r>
          </w:p>
          <w:p w14:paraId="41813496" w14:textId="37EC9186" w:rsidR="00F93D1D" w:rsidRPr="001B1DB1" w:rsidRDefault="00F93D1D" w:rsidP="00002D3D">
            <w:pPr>
              <w:rPr>
                <w:rFonts w:eastAsia="Times New Roman" w:cs="Times New Roman"/>
                <w:color w:val="000000" w:themeColor="text1"/>
                <w:szCs w:val="24"/>
                <w:lang w:eastAsia="lv-LV"/>
              </w:rPr>
            </w:pPr>
            <w:r w:rsidRPr="00F93D1D">
              <w:rPr>
                <w:rFonts w:eastAsia="Times New Roman" w:cs="Times New Roman"/>
                <w:color w:val="000000" w:themeColor="text1"/>
                <w:szCs w:val="24"/>
                <w:lang w:eastAsia="lv-LV"/>
              </w:rPr>
              <w:t>IPS</w:t>
            </w:r>
          </w:p>
          <w:p w14:paraId="0305D1D3" w14:textId="77777777" w:rsidR="00DC7F81" w:rsidRPr="001B1DB1" w:rsidRDefault="00DC7F81"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IS</w:t>
            </w:r>
          </w:p>
          <w:p w14:paraId="114F4700"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IT</w:t>
            </w:r>
          </w:p>
        </w:tc>
        <w:tc>
          <w:tcPr>
            <w:tcW w:w="3940" w:type="pct"/>
            <w:shd w:val="clear" w:color="auto" w:fill="FFFFFF"/>
            <w:hideMark/>
          </w:tcPr>
          <w:p w14:paraId="2963791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Iekšlietu ministrija</w:t>
            </w:r>
          </w:p>
          <w:p w14:paraId="6829004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Ieslodzījuma vietu pārvalde</w:t>
            </w:r>
          </w:p>
          <w:p w14:paraId="5118DE86" w14:textId="34A83EEA" w:rsidR="001E0AB7" w:rsidRDefault="001E0AB7" w:rsidP="00002D3D">
            <w:pPr>
              <w:rPr>
                <w:rFonts w:eastAsia="Times New Roman" w:cs="Times New Roman"/>
                <w:color w:val="000000" w:themeColor="text1"/>
                <w:szCs w:val="24"/>
                <w:lang w:eastAsia="lv-LV"/>
              </w:rPr>
            </w:pPr>
            <w:r w:rsidRPr="001E0AB7">
              <w:rPr>
                <w:rFonts w:eastAsia="Times New Roman" w:cs="Times New Roman"/>
                <w:color w:val="000000" w:themeColor="text1"/>
                <w:szCs w:val="24"/>
                <w:lang w:eastAsia="lv-LV"/>
              </w:rPr>
              <w:t>Starptautiskā finanšu izlūkošanas darba grupa</w:t>
            </w:r>
          </w:p>
          <w:p w14:paraId="07FD9CD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Iekšējā kontroles sistēma</w:t>
            </w:r>
          </w:p>
          <w:p w14:paraId="277671D2"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Efektivitātes rādītājs</w:t>
            </w:r>
          </w:p>
          <w:p w14:paraId="14CB406D" w14:textId="7A26CF4C" w:rsidR="00F93D1D" w:rsidRPr="001B1DB1" w:rsidRDefault="00F93D1D" w:rsidP="00002D3D">
            <w:pPr>
              <w:rPr>
                <w:rFonts w:eastAsia="Times New Roman" w:cs="Times New Roman"/>
                <w:color w:val="000000" w:themeColor="text1"/>
                <w:szCs w:val="24"/>
                <w:lang w:eastAsia="lv-LV"/>
              </w:rPr>
            </w:pPr>
            <w:r w:rsidRPr="00F93D1D">
              <w:rPr>
                <w:rFonts w:eastAsia="Times New Roman" w:cs="Times New Roman"/>
                <w:color w:val="000000" w:themeColor="text1"/>
                <w:szCs w:val="24"/>
                <w:lang w:eastAsia="lv-LV"/>
              </w:rPr>
              <w:t>Ieguldījumu pārvaldes sabiedrības</w:t>
            </w:r>
          </w:p>
          <w:p w14:paraId="05F941FC" w14:textId="77777777" w:rsidR="00DC7F81" w:rsidRPr="001B1DB1" w:rsidRDefault="00DC7F81"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Informācijas sistēma</w:t>
            </w:r>
          </w:p>
          <w:p w14:paraId="466518F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Informācijas tehnoloģijas</w:t>
            </w:r>
          </w:p>
        </w:tc>
      </w:tr>
      <w:tr w:rsidR="00300124" w:rsidRPr="001B1DB1" w14:paraId="247340D3" w14:textId="77777777" w:rsidTr="00B577E5">
        <w:tc>
          <w:tcPr>
            <w:tcW w:w="1060" w:type="pct"/>
            <w:shd w:val="clear" w:color="auto" w:fill="FFFFFF"/>
            <w:hideMark/>
          </w:tcPr>
          <w:p w14:paraId="10152663" w14:textId="77777777" w:rsidR="00300124" w:rsidRPr="001B1DB1" w:rsidRDefault="00300124" w:rsidP="00002D3D">
            <w:pPr>
              <w:rPr>
                <w:rFonts w:eastAsia="Times New Roman" w:cs="Times New Roman"/>
                <w:color w:val="000000" w:themeColor="text1"/>
                <w:szCs w:val="24"/>
                <w:lang w:eastAsia="lv-LV"/>
              </w:rPr>
            </w:pPr>
          </w:p>
        </w:tc>
        <w:tc>
          <w:tcPr>
            <w:tcW w:w="3940" w:type="pct"/>
            <w:shd w:val="clear" w:color="auto" w:fill="FFFFFF"/>
            <w:hideMark/>
          </w:tcPr>
          <w:p w14:paraId="166E6707" w14:textId="77777777" w:rsidR="00300124" w:rsidRPr="001B1DB1" w:rsidRDefault="00300124" w:rsidP="00002D3D">
            <w:pPr>
              <w:rPr>
                <w:rFonts w:eastAsia="Times New Roman" w:cs="Times New Roman"/>
                <w:color w:val="000000" w:themeColor="text1"/>
                <w:szCs w:val="24"/>
                <w:lang w:eastAsia="lv-LV"/>
              </w:rPr>
            </w:pPr>
          </w:p>
        </w:tc>
      </w:tr>
      <w:tr w:rsidR="00300124" w:rsidRPr="001B1DB1" w14:paraId="76E725B3" w14:textId="77777777" w:rsidTr="00B577E5">
        <w:tc>
          <w:tcPr>
            <w:tcW w:w="1060" w:type="pct"/>
            <w:shd w:val="clear" w:color="auto" w:fill="FFFFFF"/>
            <w:hideMark/>
          </w:tcPr>
          <w:p w14:paraId="748AAADA"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KL</w:t>
            </w:r>
          </w:p>
        </w:tc>
        <w:tc>
          <w:tcPr>
            <w:tcW w:w="3940" w:type="pct"/>
            <w:shd w:val="clear" w:color="auto" w:fill="FFFFFF"/>
            <w:hideMark/>
          </w:tcPr>
          <w:p w14:paraId="06C962F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Krimināllikums</w:t>
            </w:r>
          </w:p>
        </w:tc>
      </w:tr>
      <w:tr w:rsidR="00300124" w:rsidRPr="001B1DB1" w14:paraId="14B3877B" w14:textId="77777777" w:rsidTr="00B577E5">
        <w:tc>
          <w:tcPr>
            <w:tcW w:w="1060" w:type="pct"/>
            <w:shd w:val="clear" w:color="auto" w:fill="FFFFFF"/>
            <w:hideMark/>
          </w:tcPr>
          <w:p w14:paraId="1C9E4129" w14:textId="77777777" w:rsidR="00116169" w:rsidRDefault="00116169"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KM</w:t>
            </w:r>
          </w:p>
          <w:p w14:paraId="7E36828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KNAB</w:t>
            </w:r>
          </w:p>
          <w:p w14:paraId="6087A45E" w14:textId="5E6051B1"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KPL</w:t>
            </w:r>
          </w:p>
        </w:tc>
        <w:tc>
          <w:tcPr>
            <w:tcW w:w="3940" w:type="pct"/>
            <w:shd w:val="clear" w:color="auto" w:fill="FFFFFF"/>
            <w:hideMark/>
          </w:tcPr>
          <w:p w14:paraId="4EB9A1E2" w14:textId="77777777" w:rsidR="00116169" w:rsidRDefault="00116169"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Kultūras ministrija</w:t>
            </w:r>
          </w:p>
          <w:p w14:paraId="42843EF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Korupcijas novēršanas un apkarošanas birojs</w:t>
            </w:r>
          </w:p>
          <w:p w14:paraId="18627873" w14:textId="302AE85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Kriminālprocesa likums</w:t>
            </w:r>
          </w:p>
        </w:tc>
      </w:tr>
      <w:tr w:rsidR="00300124" w:rsidRPr="001B1DB1" w14:paraId="5E193B60" w14:textId="77777777" w:rsidTr="00B577E5">
        <w:tc>
          <w:tcPr>
            <w:tcW w:w="1060" w:type="pct"/>
            <w:shd w:val="clear" w:color="auto" w:fill="FFFFFF"/>
            <w:hideMark/>
          </w:tcPr>
          <w:p w14:paraId="2AFF0132" w14:textId="273E8B1A" w:rsidR="00530D73" w:rsidRDefault="00530D73"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LAS ABLV</w:t>
            </w:r>
          </w:p>
          <w:p w14:paraId="466139E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Latvijas Vēstnesis</w:t>
            </w:r>
          </w:p>
          <w:p w14:paraId="397B1B31" w14:textId="7FB53A1D" w:rsidR="005F4554" w:rsidRDefault="005F455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LB</w:t>
            </w:r>
          </w:p>
          <w:p w14:paraId="1AF6F995" w14:textId="77777777" w:rsidR="00105BB3" w:rsidRDefault="00105BB3"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LDDK</w:t>
            </w:r>
          </w:p>
          <w:p w14:paraId="4F5ECD15"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LFNA</w:t>
            </w:r>
          </w:p>
          <w:p w14:paraId="0FD1987B" w14:textId="107C71AF" w:rsidR="00DC7E08" w:rsidRPr="001B1DB1" w:rsidRDefault="00DC7E08"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LIAA</w:t>
            </w:r>
          </w:p>
        </w:tc>
        <w:tc>
          <w:tcPr>
            <w:tcW w:w="3940" w:type="pct"/>
            <w:shd w:val="clear" w:color="auto" w:fill="FFFFFF"/>
            <w:hideMark/>
          </w:tcPr>
          <w:p w14:paraId="13DDACFD" w14:textId="14AB6ED0" w:rsidR="00530D73" w:rsidRDefault="00764131"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w:t>
            </w:r>
            <w:r w:rsidR="00530D73" w:rsidRPr="00530D73">
              <w:rPr>
                <w:rFonts w:eastAsia="Times New Roman" w:cs="Times New Roman"/>
                <w:color w:val="000000" w:themeColor="text1"/>
                <w:szCs w:val="24"/>
                <w:lang w:eastAsia="lv-LV"/>
              </w:rPr>
              <w:t>ikvidējamā akciju sabiedrība “ABLV Bank”</w:t>
            </w:r>
          </w:p>
          <w:p w14:paraId="76D367D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sabiedrība ar ierobežotu atbildību ,,Latvijas Vēstnesis”</w:t>
            </w:r>
          </w:p>
          <w:p w14:paraId="42CEF3FA" w14:textId="0370B185" w:rsidR="005F4554" w:rsidRDefault="005F455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Latvijas Banka</w:t>
            </w:r>
          </w:p>
          <w:p w14:paraId="2744B0E7" w14:textId="77777777" w:rsidR="00105BB3" w:rsidRDefault="001D505F" w:rsidP="00002D3D">
            <w:pPr>
              <w:rPr>
                <w:rFonts w:eastAsia="Times New Roman" w:cs="Times New Roman"/>
                <w:color w:val="000000" w:themeColor="text1"/>
                <w:szCs w:val="24"/>
                <w:lang w:eastAsia="lv-LV"/>
              </w:rPr>
            </w:pPr>
            <w:r w:rsidRPr="001D505F">
              <w:rPr>
                <w:rFonts w:eastAsia="Times New Roman" w:cs="Times New Roman"/>
                <w:color w:val="000000" w:themeColor="text1"/>
                <w:szCs w:val="24"/>
                <w:lang w:eastAsia="lv-LV"/>
              </w:rPr>
              <w:t>Latvijas Darba devēju konfederācija</w:t>
            </w:r>
          </w:p>
          <w:p w14:paraId="11220598" w14:textId="59FE5C8F"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 xml:space="preserve">Latvijas </w:t>
            </w:r>
            <w:r w:rsidR="00B608A9">
              <w:rPr>
                <w:rFonts w:eastAsia="Times New Roman" w:cs="Times New Roman"/>
                <w:color w:val="000000" w:themeColor="text1"/>
                <w:szCs w:val="24"/>
                <w:lang w:eastAsia="lv-LV"/>
              </w:rPr>
              <w:t>F</w:t>
            </w:r>
            <w:r w:rsidRPr="001B1DB1">
              <w:rPr>
                <w:rFonts w:eastAsia="Times New Roman" w:cs="Times New Roman"/>
                <w:color w:val="000000" w:themeColor="text1"/>
                <w:szCs w:val="24"/>
                <w:lang w:eastAsia="lv-LV"/>
              </w:rPr>
              <w:t>inanšu nozares asociācija</w:t>
            </w:r>
          </w:p>
          <w:p w14:paraId="11434E22" w14:textId="0C9D5A9A" w:rsidR="00DC7E08" w:rsidRPr="001B1DB1" w:rsidRDefault="00DC7E08" w:rsidP="00002D3D">
            <w:pPr>
              <w:rPr>
                <w:rFonts w:eastAsia="Times New Roman" w:cs="Times New Roman"/>
                <w:color w:val="000000" w:themeColor="text1"/>
                <w:szCs w:val="24"/>
                <w:lang w:eastAsia="lv-LV"/>
              </w:rPr>
            </w:pPr>
            <w:r w:rsidRPr="00DC7E08">
              <w:rPr>
                <w:rFonts w:eastAsia="Times New Roman" w:cs="Times New Roman"/>
                <w:color w:val="000000" w:themeColor="text1"/>
                <w:szCs w:val="24"/>
                <w:lang w:eastAsia="lv-LV"/>
              </w:rPr>
              <w:t>Latvijas Investīciju un attīstības aģentūra</w:t>
            </w:r>
          </w:p>
        </w:tc>
      </w:tr>
      <w:tr w:rsidR="00300124" w:rsidRPr="001B1DB1" w14:paraId="575D174E" w14:textId="77777777" w:rsidTr="00B577E5">
        <w:tc>
          <w:tcPr>
            <w:tcW w:w="1060" w:type="pct"/>
            <w:shd w:val="clear" w:color="auto" w:fill="FFFFFF"/>
            <w:hideMark/>
          </w:tcPr>
          <w:p w14:paraId="2D51B693" w14:textId="77777777" w:rsidR="00300124" w:rsidRPr="001B1DB1" w:rsidRDefault="00300124" w:rsidP="00002D3D">
            <w:pPr>
              <w:rPr>
                <w:rFonts w:eastAsia="Times New Roman" w:cs="Times New Roman"/>
                <w:color w:val="000000" w:themeColor="text1"/>
                <w:szCs w:val="24"/>
                <w:lang w:eastAsia="lv-LV"/>
              </w:rPr>
            </w:pPr>
          </w:p>
        </w:tc>
        <w:tc>
          <w:tcPr>
            <w:tcW w:w="3940" w:type="pct"/>
            <w:shd w:val="clear" w:color="auto" w:fill="FFFFFF"/>
            <w:hideMark/>
          </w:tcPr>
          <w:p w14:paraId="32D603D0" w14:textId="77777777" w:rsidR="00300124" w:rsidRPr="001B1DB1" w:rsidRDefault="00300124" w:rsidP="00002D3D">
            <w:pPr>
              <w:rPr>
                <w:rFonts w:eastAsia="Times New Roman" w:cs="Times New Roman"/>
                <w:color w:val="000000" w:themeColor="text1"/>
                <w:szCs w:val="24"/>
                <w:lang w:eastAsia="lv-LV"/>
              </w:rPr>
            </w:pPr>
          </w:p>
        </w:tc>
      </w:tr>
      <w:tr w:rsidR="00300124" w:rsidRPr="001B1DB1" w14:paraId="597B01F5" w14:textId="77777777" w:rsidTr="00B577E5">
        <w:tc>
          <w:tcPr>
            <w:tcW w:w="1060" w:type="pct"/>
            <w:shd w:val="clear" w:color="auto" w:fill="FFFFFF"/>
            <w:hideMark/>
          </w:tcPr>
          <w:p w14:paraId="2953F5E3" w14:textId="5A926721"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Likuma subjekti</w:t>
            </w:r>
          </w:p>
          <w:p w14:paraId="3F067517" w14:textId="65C42119" w:rsidR="00EC5AA6" w:rsidRDefault="00EC5AA6"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LSMPAA</w:t>
            </w:r>
          </w:p>
          <w:p w14:paraId="3164E4F0" w14:textId="5200E7B7" w:rsidR="003265DE" w:rsidRDefault="003265DE" w:rsidP="00002D3D">
            <w:pPr>
              <w:rPr>
                <w:rFonts w:eastAsia="Times New Roman" w:cs="Times New Roman"/>
                <w:color w:val="000000" w:themeColor="text1"/>
                <w:szCs w:val="24"/>
                <w:lang w:eastAsia="lv-LV"/>
              </w:rPr>
            </w:pPr>
            <w:r w:rsidRPr="003265DE">
              <w:rPr>
                <w:rFonts w:eastAsia="Times New Roman" w:cs="Times New Roman"/>
                <w:color w:val="000000" w:themeColor="text1"/>
                <w:szCs w:val="24"/>
                <w:lang w:eastAsia="lv-LV"/>
              </w:rPr>
              <w:t>LV portāls</w:t>
            </w:r>
          </w:p>
          <w:p w14:paraId="150CC42F"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LZAP</w:t>
            </w:r>
          </w:p>
          <w:p w14:paraId="25CEF3D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LZNP</w:t>
            </w:r>
          </w:p>
          <w:p w14:paraId="0F6CBAB3"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LZRA</w:t>
            </w:r>
          </w:p>
          <w:p w14:paraId="784CB2C6" w14:textId="437473F9" w:rsidR="00306286" w:rsidRPr="001B1DB1" w:rsidRDefault="00306286" w:rsidP="00002D3D">
            <w:pPr>
              <w:rPr>
                <w:rFonts w:eastAsia="Times New Roman" w:cs="Times New Roman"/>
                <w:color w:val="000000" w:themeColor="text1"/>
                <w:szCs w:val="24"/>
                <w:lang w:eastAsia="lv-LV"/>
              </w:rPr>
            </w:pPr>
            <w:r w:rsidRPr="00306286">
              <w:rPr>
                <w:rFonts w:eastAsia="Times New Roman" w:cs="Times New Roman"/>
                <w:color w:val="000000" w:themeColor="text1"/>
                <w:szCs w:val="24"/>
                <w:lang w:eastAsia="lv-LV"/>
              </w:rPr>
              <w:t>MI/ENI</w:t>
            </w:r>
          </w:p>
          <w:p w14:paraId="6C2260B4"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MK</w:t>
            </w:r>
          </w:p>
          <w:p w14:paraId="59431EB9" w14:textId="4AC52448" w:rsidR="00A57A31" w:rsidRPr="001B1DB1" w:rsidRDefault="00A57A31"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MKD</w:t>
            </w:r>
          </w:p>
        </w:tc>
        <w:tc>
          <w:tcPr>
            <w:tcW w:w="3940" w:type="pct"/>
            <w:shd w:val="clear" w:color="auto" w:fill="FFFFFF"/>
            <w:hideMark/>
          </w:tcPr>
          <w:p w14:paraId="7EFE73CC" w14:textId="151C561C"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legalizācijas un terorisma un proliferācijas finansēšanas novēršanas likuma subjekti</w:t>
            </w:r>
          </w:p>
          <w:p w14:paraId="3036A9EE" w14:textId="7E7A2F58" w:rsidR="00EC5AA6" w:rsidRDefault="00EC5AA6"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Latvijas Sertificēto maksātnespējas procesa administratoru asociācija</w:t>
            </w:r>
          </w:p>
          <w:p w14:paraId="06AF96F2" w14:textId="56475C56" w:rsidR="003265DE" w:rsidRDefault="003265DE" w:rsidP="00002D3D">
            <w:pPr>
              <w:rPr>
                <w:rFonts w:eastAsia="Times New Roman" w:cs="Times New Roman"/>
                <w:color w:val="000000" w:themeColor="text1"/>
                <w:szCs w:val="24"/>
                <w:lang w:eastAsia="lv-LV"/>
              </w:rPr>
            </w:pPr>
            <w:r w:rsidRPr="003265DE">
              <w:rPr>
                <w:rFonts w:eastAsia="Times New Roman" w:cs="Times New Roman"/>
                <w:color w:val="000000" w:themeColor="text1"/>
                <w:szCs w:val="24"/>
                <w:lang w:eastAsia="lv-LV"/>
              </w:rPr>
              <w:t>Latvijas Vēstneša portāls "Cilvēks. Valsts. Likums." (adrese: lvportals.lv)</w:t>
            </w:r>
          </w:p>
          <w:p w14:paraId="02AD5C1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Latvijas Zvērinātu advokātu padome</w:t>
            </w:r>
          </w:p>
          <w:p w14:paraId="4FB27EF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Latvijas Zvērinātu notāru padome</w:t>
            </w:r>
          </w:p>
          <w:p w14:paraId="0DBD0AA6"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 xml:space="preserve">Latvijas Zvērinātu revidentu </w:t>
            </w:r>
            <w:r w:rsidR="003A540F" w:rsidRPr="001B1DB1">
              <w:rPr>
                <w:rFonts w:eastAsia="Times New Roman" w:cs="Times New Roman"/>
                <w:color w:val="000000" w:themeColor="text1"/>
                <w:szCs w:val="24"/>
                <w:lang w:eastAsia="lv-LV"/>
              </w:rPr>
              <w:t>asociācija</w:t>
            </w:r>
          </w:p>
          <w:p w14:paraId="31735143" w14:textId="13105A33" w:rsidR="00306286" w:rsidRPr="001B1DB1" w:rsidRDefault="00306286" w:rsidP="00002D3D">
            <w:pPr>
              <w:rPr>
                <w:rFonts w:eastAsia="Times New Roman" w:cs="Times New Roman"/>
                <w:color w:val="000000" w:themeColor="text1"/>
                <w:szCs w:val="24"/>
                <w:lang w:eastAsia="lv-LV"/>
              </w:rPr>
            </w:pPr>
            <w:r w:rsidRPr="00306286">
              <w:rPr>
                <w:rFonts w:eastAsia="Times New Roman" w:cs="Times New Roman"/>
                <w:color w:val="000000" w:themeColor="text1"/>
                <w:szCs w:val="24"/>
                <w:lang w:eastAsia="lv-LV"/>
              </w:rPr>
              <w:t>Maksājumu iestādes un elektroniskās naudas iestādes</w:t>
            </w:r>
          </w:p>
          <w:p w14:paraId="080DC317"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Ministru kabinets</w:t>
            </w:r>
          </w:p>
          <w:p w14:paraId="284E28AB" w14:textId="5CD351A7" w:rsidR="00A57A31" w:rsidRPr="001B1DB1" w:rsidRDefault="00A57A31" w:rsidP="00002D3D">
            <w:pPr>
              <w:rPr>
                <w:rFonts w:eastAsia="Times New Roman" w:cs="Times New Roman"/>
                <w:color w:val="000000" w:themeColor="text1"/>
                <w:szCs w:val="24"/>
                <w:lang w:eastAsia="lv-LV"/>
              </w:rPr>
            </w:pPr>
            <w:r w:rsidRPr="00A57A31">
              <w:rPr>
                <w:rFonts w:eastAsia="Times New Roman" w:cs="Times New Roman"/>
                <w:color w:val="000000" w:themeColor="text1"/>
                <w:szCs w:val="24"/>
                <w:lang w:eastAsia="lv-LV"/>
              </w:rPr>
              <w:t>Maksātnespējas kontroles dienests</w:t>
            </w:r>
          </w:p>
        </w:tc>
      </w:tr>
      <w:tr w:rsidR="00300124" w:rsidRPr="001B1DB1" w14:paraId="64454979" w14:textId="77777777" w:rsidTr="00B577E5">
        <w:tc>
          <w:tcPr>
            <w:tcW w:w="1060" w:type="pct"/>
            <w:shd w:val="clear" w:color="auto" w:fill="FFFFFF"/>
            <w:hideMark/>
          </w:tcPr>
          <w:p w14:paraId="2C65B506"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MONEYVAL</w:t>
            </w:r>
          </w:p>
          <w:p w14:paraId="75611889" w14:textId="77777777" w:rsidR="00306286" w:rsidRPr="001B1DB1" w:rsidRDefault="00306286" w:rsidP="00002D3D">
            <w:pPr>
              <w:rPr>
                <w:rFonts w:eastAsia="Times New Roman" w:cs="Times New Roman"/>
                <w:color w:val="000000" w:themeColor="text1"/>
                <w:szCs w:val="24"/>
                <w:lang w:eastAsia="lv-LV"/>
              </w:rPr>
            </w:pPr>
          </w:p>
          <w:p w14:paraId="54DE7567" w14:textId="4B34E07C" w:rsidR="00300124" w:rsidRDefault="00306286" w:rsidP="00002D3D">
            <w:pPr>
              <w:rPr>
                <w:rFonts w:eastAsia="Times New Roman" w:cs="Times New Roman"/>
                <w:color w:val="000000" w:themeColor="text1"/>
                <w:szCs w:val="24"/>
                <w:lang w:eastAsia="lv-LV"/>
              </w:rPr>
            </w:pPr>
            <w:r w:rsidRPr="00306286">
              <w:rPr>
                <w:rFonts w:eastAsia="Times New Roman" w:cs="Times New Roman"/>
                <w:color w:val="000000" w:themeColor="text1"/>
                <w:szCs w:val="24"/>
                <w:lang w:eastAsia="lv-LV"/>
              </w:rPr>
              <w:t>MONEYVAL ziņojums</w:t>
            </w:r>
          </w:p>
          <w:p w14:paraId="753497A5" w14:textId="77777777" w:rsidR="00306286" w:rsidRPr="001B1DB1" w:rsidRDefault="00306286" w:rsidP="00002D3D">
            <w:pPr>
              <w:rPr>
                <w:rFonts w:eastAsia="Times New Roman" w:cs="Times New Roman"/>
                <w:color w:val="000000" w:themeColor="text1"/>
                <w:szCs w:val="24"/>
                <w:lang w:eastAsia="lv-LV"/>
              </w:rPr>
            </w:pPr>
          </w:p>
          <w:p w14:paraId="44952A85" w14:textId="77777777" w:rsidR="00F75F77" w:rsidRPr="001B1DB1" w:rsidRDefault="00F75F77" w:rsidP="00F75F77">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MP</w:t>
            </w:r>
          </w:p>
          <w:p w14:paraId="754AE28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w:t>
            </w:r>
          </w:p>
          <w:p w14:paraId="54E16DBF"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NILLN</w:t>
            </w:r>
          </w:p>
        </w:tc>
        <w:tc>
          <w:tcPr>
            <w:tcW w:w="3940" w:type="pct"/>
            <w:shd w:val="clear" w:color="auto" w:fill="FFFFFF"/>
            <w:hideMark/>
          </w:tcPr>
          <w:p w14:paraId="07A80055" w14:textId="77777777" w:rsidR="00300124" w:rsidRDefault="00300124" w:rsidP="00B577E5">
            <w:pPr>
              <w:jc w:val="both"/>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Eiropas Padomes Noziedzīgi iegūtu līdzekļu legalizācijas un terorisma finansēšanas novēršanas pasākumu novērtēšanas ekspertu komiteja</w:t>
            </w:r>
          </w:p>
          <w:p w14:paraId="28F740F3" w14:textId="6F8D5F43" w:rsidR="00306286" w:rsidRPr="001B1DB1" w:rsidRDefault="00306286" w:rsidP="00B577E5">
            <w:pPr>
              <w:jc w:val="both"/>
              <w:rPr>
                <w:rFonts w:eastAsia="Times New Roman" w:cs="Times New Roman"/>
                <w:color w:val="000000" w:themeColor="text1"/>
                <w:szCs w:val="24"/>
                <w:lang w:eastAsia="lv-LV"/>
              </w:rPr>
            </w:pPr>
            <w:r w:rsidRPr="00306286">
              <w:rPr>
                <w:rFonts w:eastAsia="Times New Roman" w:cs="Times New Roman"/>
                <w:color w:val="000000" w:themeColor="text1"/>
                <w:szCs w:val="24"/>
                <w:lang w:eastAsia="lv-LV"/>
              </w:rPr>
              <w:t>2018. gada 4. jūlijā MONEYVAL plenārsēdē apstiprinātais 5.</w:t>
            </w:r>
            <w:r w:rsidR="001332C5">
              <w:rPr>
                <w:rFonts w:eastAsia="Times New Roman" w:cs="Times New Roman"/>
                <w:color w:val="000000" w:themeColor="text1"/>
                <w:szCs w:val="24"/>
                <w:lang w:eastAsia="lv-LV"/>
              </w:rPr>
              <w:t xml:space="preserve"> </w:t>
            </w:r>
            <w:r w:rsidRPr="00306286">
              <w:rPr>
                <w:rFonts w:eastAsia="Times New Roman" w:cs="Times New Roman"/>
                <w:color w:val="000000" w:themeColor="text1"/>
                <w:szCs w:val="24"/>
                <w:lang w:eastAsia="lv-LV"/>
              </w:rPr>
              <w:t>kārtas ziņojums par Latvijas NILLTFN sistēmas efektivitāti</w:t>
            </w:r>
          </w:p>
          <w:p w14:paraId="2072AD3C" w14:textId="77777777" w:rsidR="00F75F77" w:rsidRPr="001B1DB1" w:rsidRDefault="00F75F77" w:rsidP="00F75F77">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Militārā policija</w:t>
            </w:r>
          </w:p>
          <w:p w14:paraId="532163EA"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w:t>
            </w:r>
          </w:p>
          <w:p w14:paraId="4302FA3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Noziedzīgi iegūtu līdzekļu legalizācijas novēršana</w:t>
            </w:r>
          </w:p>
        </w:tc>
      </w:tr>
      <w:tr w:rsidR="00300124" w:rsidRPr="001B1DB1" w14:paraId="685E6AC8" w14:textId="77777777" w:rsidTr="00B577E5">
        <w:tc>
          <w:tcPr>
            <w:tcW w:w="1060" w:type="pct"/>
            <w:shd w:val="clear" w:color="auto" w:fill="FFFFFF"/>
            <w:hideMark/>
          </w:tcPr>
          <w:p w14:paraId="512083B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NILLTF</w:t>
            </w:r>
          </w:p>
        </w:tc>
        <w:tc>
          <w:tcPr>
            <w:tcW w:w="3940" w:type="pct"/>
            <w:shd w:val="clear" w:color="auto" w:fill="FFFFFF"/>
            <w:hideMark/>
          </w:tcPr>
          <w:p w14:paraId="6769FEBC"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 un terorisma finansēšana</w:t>
            </w:r>
          </w:p>
        </w:tc>
      </w:tr>
      <w:tr w:rsidR="00300124" w:rsidRPr="001B1DB1" w14:paraId="5B65EE61" w14:textId="77777777" w:rsidTr="00B577E5">
        <w:tc>
          <w:tcPr>
            <w:tcW w:w="1060" w:type="pct"/>
            <w:shd w:val="clear" w:color="auto" w:fill="FFFFFF"/>
            <w:hideMark/>
          </w:tcPr>
          <w:p w14:paraId="0933577F"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NILLTFN</w:t>
            </w:r>
          </w:p>
          <w:p w14:paraId="11B058A4"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NILLTPF</w:t>
            </w:r>
          </w:p>
          <w:p w14:paraId="3545333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NILLTPFN</w:t>
            </w:r>
          </w:p>
          <w:p w14:paraId="3ACAA231"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NILLTPFNL</w:t>
            </w:r>
          </w:p>
          <w:p w14:paraId="4014AD01" w14:textId="31B5E132" w:rsidR="00223C8D" w:rsidRDefault="00223C8D" w:rsidP="00002D3D">
            <w:pPr>
              <w:rPr>
                <w:rFonts w:eastAsia="Times New Roman" w:cs="Times New Roman"/>
                <w:color w:val="000000" w:themeColor="text1"/>
                <w:szCs w:val="24"/>
                <w:lang w:eastAsia="lv-LV"/>
              </w:rPr>
            </w:pPr>
            <w:r w:rsidRPr="00223C8D">
              <w:rPr>
                <w:rFonts w:eastAsia="Times New Roman" w:cs="Times New Roman"/>
                <w:color w:val="000000" w:themeColor="text1"/>
                <w:szCs w:val="24"/>
                <w:lang w:eastAsia="lv-LV"/>
              </w:rPr>
              <w:t>NKIM</w:t>
            </w:r>
          </w:p>
          <w:p w14:paraId="113AE6D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NKMP</w:t>
            </w:r>
          </w:p>
          <w:p w14:paraId="432C51C0" w14:textId="22C58266"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NNDP</w:t>
            </w:r>
          </w:p>
        </w:tc>
        <w:tc>
          <w:tcPr>
            <w:tcW w:w="3940" w:type="pct"/>
            <w:shd w:val="clear" w:color="auto" w:fill="FFFFFF"/>
            <w:hideMark/>
          </w:tcPr>
          <w:p w14:paraId="1648F83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legalizācijas un terorisma finansēšanas novēršana</w:t>
            </w:r>
          </w:p>
          <w:p w14:paraId="0866F1B5"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 un terorisma un proliferācijas finansēšana</w:t>
            </w:r>
          </w:p>
          <w:p w14:paraId="7053682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legalizācijas un terorisma un proliferācijas finansēšanas novēršana</w:t>
            </w:r>
          </w:p>
          <w:p w14:paraId="4AD03B6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Noziedzīgi iegūtu līdzekļu legalizācijas un terorisma un proliferācijas finansēšanas novēršanas likums</w:t>
            </w:r>
          </w:p>
          <w:p w14:paraId="743DE3FD" w14:textId="129D3E6F" w:rsidR="00223C8D" w:rsidRDefault="00223C8D" w:rsidP="00002D3D">
            <w:pPr>
              <w:rPr>
                <w:rFonts w:eastAsia="Times New Roman" w:cs="Times New Roman"/>
                <w:color w:val="000000" w:themeColor="text1"/>
                <w:szCs w:val="24"/>
                <w:lang w:eastAsia="lv-LV"/>
              </w:rPr>
            </w:pPr>
            <w:r w:rsidRPr="00223C8D">
              <w:rPr>
                <w:rFonts w:eastAsia="Times New Roman" w:cs="Times New Roman"/>
                <w:color w:val="000000" w:themeColor="text1"/>
                <w:szCs w:val="24"/>
                <w:lang w:eastAsia="lv-LV"/>
              </w:rPr>
              <w:t>Nacionālais kriminālizlūkošanas modelis</w:t>
            </w:r>
          </w:p>
          <w:p w14:paraId="1D366A40"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Nacionālā kultūras mantojuma pārvalde</w:t>
            </w:r>
          </w:p>
          <w:p w14:paraId="72A913B5"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Noteiktās nefinanšu darbības un profesijas</w:t>
            </w:r>
          </w:p>
        </w:tc>
      </w:tr>
      <w:tr w:rsidR="00300124" w:rsidRPr="001B1DB1" w14:paraId="69353A9E" w14:textId="77777777" w:rsidTr="00B577E5">
        <w:tc>
          <w:tcPr>
            <w:tcW w:w="1060" w:type="pct"/>
            <w:shd w:val="clear" w:color="auto" w:fill="FFFFFF"/>
            <w:hideMark/>
          </w:tcPr>
          <w:p w14:paraId="7076E12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NRA</w:t>
            </w:r>
          </w:p>
          <w:p w14:paraId="41096DE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NVO</w:t>
            </w:r>
          </w:p>
        </w:tc>
        <w:tc>
          <w:tcPr>
            <w:tcW w:w="3940" w:type="pct"/>
            <w:shd w:val="clear" w:color="auto" w:fill="FFFFFF"/>
            <w:hideMark/>
          </w:tcPr>
          <w:p w14:paraId="21CAAEA2"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Nacionālais risku novērtējums</w:t>
            </w:r>
          </w:p>
          <w:p w14:paraId="742276D2"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Nevalstiskā organizācija</w:t>
            </w:r>
          </w:p>
        </w:tc>
      </w:tr>
      <w:tr w:rsidR="00300124" w:rsidRPr="001B1DB1" w14:paraId="59662525" w14:textId="77777777" w:rsidTr="00B577E5">
        <w:tc>
          <w:tcPr>
            <w:tcW w:w="1060" w:type="pct"/>
            <w:shd w:val="clear" w:color="auto" w:fill="FFFFFF"/>
            <w:hideMark/>
          </w:tcPr>
          <w:p w14:paraId="3A16A1A1"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OECD</w:t>
            </w:r>
          </w:p>
          <w:p w14:paraId="65063A85"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PF</w:t>
            </w:r>
          </w:p>
          <w:p w14:paraId="10BD5CDC" w14:textId="1401E2B2" w:rsidR="00A50468" w:rsidRDefault="00A50468" w:rsidP="00002D3D">
            <w:pPr>
              <w:rPr>
                <w:rFonts w:eastAsia="Times New Roman" w:cs="Times New Roman"/>
                <w:color w:val="000000" w:themeColor="text1"/>
                <w:szCs w:val="24"/>
                <w:lang w:eastAsia="lv-LV"/>
              </w:rPr>
            </w:pPr>
            <w:r w:rsidRPr="00A50468">
              <w:rPr>
                <w:rFonts w:eastAsia="Times New Roman" w:cs="Times New Roman"/>
                <w:color w:val="000000" w:themeColor="text1"/>
                <w:szCs w:val="24"/>
                <w:lang w:eastAsia="lv-LV"/>
              </w:rPr>
              <w:t>Plāns</w:t>
            </w:r>
          </w:p>
          <w:p w14:paraId="691AD07E" w14:textId="77777777" w:rsidR="00A50468" w:rsidRPr="001B1DB1" w:rsidRDefault="00A50468" w:rsidP="00002D3D">
            <w:pPr>
              <w:rPr>
                <w:rFonts w:eastAsia="Times New Roman" w:cs="Times New Roman"/>
                <w:color w:val="000000" w:themeColor="text1"/>
                <w:szCs w:val="24"/>
                <w:lang w:eastAsia="lv-LV"/>
              </w:rPr>
            </w:pPr>
          </w:p>
          <w:p w14:paraId="6D38C2AE"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PLG</w:t>
            </w:r>
          </w:p>
          <w:p w14:paraId="3AFFF881" w14:textId="465AA790" w:rsidR="00F16707" w:rsidRPr="001B1DB1" w:rsidRDefault="00F16707" w:rsidP="00002D3D">
            <w:pPr>
              <w:rPr>
                <w:rFonts w:eastAsia="Times New Roman" w:cs="Times New Roman"/>
                <w:color w:val="000000" w:themeColor="text1"/>
                <w:szCs w:val="24"/>
                <w:lang w:eastAsia="lv-LV"/>
              </w:rPr>
            </w:pPr>
            <w:r w:rsidRPr="00F16707">
              <w:rPr>
                <w:rFonts w:eastAsia="Times New Roman" w:cs="Times New Roman"/>
                <w:color w:val="000000" w:themeColor="text1"/>
                <w:szCs w:val="24"/>
                <w:lang w:eastAsia="lv-LV"/>
              </w:rPr>
              <w:t>PSDG</w:t>
            </w:r>
          </w:p>
        </w:tc>
        <w:tc>
          <w:tcPr>
            <w:tcW w:w="3940" w:type="pct"/>
            <w:shd w:val="clear" w:color="auto" w:fill="FFFFFF"/>
            <w:hideMark/>
          </w:tcPr>
          <w:p w14:paraId="08ED2DD4"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Ekonomiskās sadarbības un attīstības organizācija</w:t>
            </w:r>
          </w:p>
          <w:p w14:paraId="464EA080"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Proliferācijas finansēšana</w:t>
            </w:r>
          </w:p>
          <w:p w14:paraId="09367A45" w14:textId="5EB53764" w:rsidR="00A50468" w:rsidRPr="001B1DB1" w:rsidRDefault="00A50468" w:rsidP="00A967A5">
            <w:pPr>
              <w:jc w:val="both"/>
              <w:rPr>
                <w:rFonts w:eastAsia="Times New Roman" w:cs="Times New Roman"/>
                <w:color w:val="000000" w:themeColor="text1"/>
                <w:szCs w:val="24"/>
                <w:lang w:eastAsia="lv-LV"/>
              </w:rPr>
            </w:pPr>
            <w:r w:rsidRPr="00A50468">
              <w:rPr>
                <w:rFonts w:eastAsia="Times New Roman" w:cs="Times New Roman"/>
                <w:color w:val="000000" w:themeColor="text1"/>
                <w:szCs w:val="24"/>
                <w:lang w:eastAsia="lv-LV"/>
              </w:rPr>
              <w:t>Pasākumu plāns noziedzīgi iegūtu līdzekļu legalizācijas, terorisma un proliferācijas finansēšanas novēršanai laikposmam no 2020. līdz 2022. gadam</w:t>
            </w:r>
          </w:p>
          <w:p w14:paraId="1EDB218C" w14:textId="77777777" w:rsidR="00300124" w:rsidRDefault="00300124" w:rsidP="00A967A5">
            <w:pPr>
              <w:jc w:val="both"/>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Patiesais labuma guvējs</w:t>
            </w:r>
          </w:p>
          <w:p w14:paraId="517039CC" w14:textId="3FB015EA" w:rsidR="00F16707" w:rsidRPr="001B1DB1" w:rsidRDefault="00F16707" w:rsidP="00A967A5">
            <w:pPr>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P</w:t>
            </w:r>
            <w:r w:rsidRPr="00F16707">
              <w:rPr>
                <w:rFonts w:eastAsia="Times New Roman" w:cs="Times New Roman"/>
                <w:color w:val="000000" w:themeColor="text1"/>
                <w:szCs w:val="24"/>
                <w:lang w:eastAsia="lv-LV"/>
              </w:rPr>
              <w:t>astāvīgā starpinstitūciju darba grupa</w:t>
            </w:r>
            <w:r>
              <w:rPr>
                <w:rFonts w:eastAsia="Times New Roman" w:cs="Times New Roman"/>
                <w:color w:val="000000" w:themeColor="text1"/>
                <w:szCs w:val="24"/>
                <w:lang w:eastAsia="lv-LV"/>
              </w:rPr>
              <w:t xml:space="preserve"> – </w:t>
            </w:r>
            <w:r w:rsidRPr="00F16707">
              <w:rPr>
                <w:rFonts w:eastAsia="Times New Roman" w:cs="Times New Roman"/>
                <w:color w:val="000000" w:themeColor="text1"/>
                <w:szCs w:val="24"/>
                <w:lang w:eastAsia="lv-LV"/>
              </w:rPr>
              <w:t>ar Valsts policija</w:t>
            </w:r>
            <w:r>
              <w:rPr>
                <w:rFonts w:eastAsia="Times New Roman" w:cs="Times New Roman"/>
                <w:color w:val="000000" w:themeColor="text1"/>
                <w:szCs w:val="24"/>
                <w:lang w:eastAsia="lv-LV"/>
              </w:rPr>
              <w:t>s</w:t>
            </w:r>
            <w:r w:rsidRPr="00F16707">
              <w:rPr>
                <w:rFonts w:eastAsia="Times New Roman" w:cs="Times New Roman"/>
                <w:color w:val="000000" w:themeColor="text1"/>
                <w:szCs w:val="24"/>
                <w:lang w:eastAsia="lv-LV"/>
              </w:rPr>
              <w:t xml:space="preserve"> priekšnieka 2019.</w:t>
            </w:r>
            <w:r>
              <w:rPr>
                <w:rFonts w:eastAsia="Times New Roman" w:cs="Times New Roman"/>
                <w:color w:val="000000" w:themeColor="text1"/>
                <w:szCs w:val="24"/>
                <w:lang w:eastAsia="lv-LV"/>
              </w:rPr>
              <w:t xml:space="preserve"> </w:t>
            </w:r>
            <w:r w:rsidRPr="00F16707">
              <w:rPr>
                <w:rFonts w:eastAsia="Times New Roman" w:cs="Times New Roman"/>
                <w:color w:val="000000" w:themeColor="text1"/>
                <w:szCs w:val="24"/>
                <w:lang w:eastAsia="lv-LV"/>
              </w:rPr>
              <w:t>gada 7.</w:t>
            </w:r>
            <w:r>
              <w:rPr>
                <w:rFonts w:eastAsia="Times New Roman" w:cs="Times New Roman"/>
                <w:color w:val="000000" w:themeColor="text1"/>
                <w:szCs w:val="24"/>
                <w:lang w:eastAsia="lv-LV"/>
              </w:rPr>
              <w:t xml:space="preserve"> </w:t>
            </w:r>
            <w:r w:rsidRPr="00F16707">
              <w:rPr>
                <w:rFonts w:eastAsia="Times New Roman" w:cs="Times New Roman"/>
                <w:color w:val="000000" w:themeColor="text1"/>
                <w:szCs w:val="24"/>
                <w:lang w:eastAsia="lv-LV"/>
              </w:rPr>
              <w:t>janvāra pavēli Nr.</w:t>
            </w:r>
            <w:r>
              <w:rPr>
                <w:rFonts w:eastAsia="Times New Roman" w:cs="Times New Roman"/>
                <w:color w:val="000000" w:themeColor="text1"/>
                <w:szCs w:val="24"/>
                <w:lang w:eastAsia="lv-LV"/>
              </w:rPr>
              <w:t xml:space="preserve"> </w:t>
            </w:r>
            <w:r w:rsidRPr="00F16707">
              <w:rPr>
                <w:rFonts w:eastAsia="Times New Roman" w:cs="Times New Roman"/>
                <w:color w:val="000000" w:themeColor="text1"/>
                <w:szCs w:val="24"/>
                <w:lang w:eastAsia="lv-LV"/>
              </w:rPr>
              <w:t>106 izveidotā darba grupa darba vadlīniju par noziedzīgi iegūtu līdzekļu</w:t>
            </w:r>
            <w:r>
              <w:rPr>
                <w:rFonts w:eastAsia="Times New Roman" w:cs="Times New Roman"/>
                <w:color w:val="000000" w:themeColor="text1"/>
                <w:szCs w:val="24"/>
                <w:lang w:eastAsia="lv-LV"/>
              </w:rPr>
              <w:t xml:space="preserve"> </w:t>
            </w:r>
            <w:r w:rsidRPr="00F16707">
              <w:rPr>
                <w:rFonts w:eastAsia="Times New Roman" w:cs="Times New Roman"/>
                <w:color w:val="000000" w:themeColor="text1"/>
                <w:szCs w:val="24"/>
                <w:lang w:eastAsia="lv-LV"/>
              </w:rPr>
              <w:t>legalizāciju izstrādei</w:t>
            </w:r>
          </w:p>
        </w:tc>
      </w:tr>
      <w:tr w:rsidR="00300124" w:rsidRPr="001B1DB1" w14:paraId="105AB8A1" w14:textId="77777777" w:rsidTr="00B577E5">
        <w:tc>
          <w:tcPr>
            <w:tcW w:w="1060" w:type="pct"/>
            <w:shd w:val="clear" w:color="auto" w:fill="FFFFFF"/>
            <w:hideMark/>
          </w:tcPr>
          <w:p w14:paraId="070616C1" w14:textId="77777777" w:rsidR="00300124" w:rsidRPr="001B1DB1" w:rsidRDefault="00300124" w:rsidP="00002D3D">
            <w:pPr>
              <w:rPr>
                <w:rFonts w:eastAsia="Times New Roman" w:cs="Times New Roman"/>
                <w:color w:val="000000" w:themeColor="text1"/>
                <w:szCs w:val="24"/>
                <w:lang w:eastAsia="lv-LV"/>
              </w:rPr>
            </w:pPr>
          </w:p>
        </w:tc>
        <w:tc>
          <w:tcPr>
            <w:tcW w:w="3940" w:type="pct"/>
            <w:shd w:val="clear" w:color="auto" w:fill="FFFFFF"/>
            <w:hideMark/>
          </w:tcPr>
          <w:p w14:paraId="0FA38CBC" w14:textId="77777777" w:rsidR="00300124" w:rsidRPr="001B1DB1" w:rsidRDefault="00300124" w:rsidP="00002D3D">
            <w:pPr>
              <w:rPr>
                <w:rFonts w:eastAsia="Times New Roman" w:cs="Times New Roman"/>
                <w:color w:val="000000" w:themeColor="text1"/>
                <w:szCs w:val="24"/>
                <w:lang w:eastAsia="lv-LV"/>
              </w:rPr>
            </w:pPr>
          </w:p>
        </w:tc>
      </w:tr>
      <w:tr w:rsidR="00300124" w:rsidRPr="001B1DB1" w14:paraId="79C14FE0" w14:textId="77777777" w:rsidTr="00B577E5">
        <w:tc>
          <w:tcPr>
            <w:tcW w:w="1060" w:type="pct"/>
            <w:shd w:val="clear" w:color="auto" w:fill="FFFFFF"/>
            <w:hideMark/>
          </w:tcPr>
          <w:p w14:paraId="0369B20A"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PTAC</w:t>
            </w:r>
          </w:p>
          <w:p w14:paraId="0C526DF4" w14:textId="7B3FDD3B"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SAB</w:t>
            </w:r>
          </w:p>
        </w:tc>
        <w:tc>
          <w:tcPr>
            <w:tcW w:w="3940" w:type="pct"/>
            <w:shd w:val="clear" w:color="auto" w:fill="FFFFFF"/>
            <w:hideMark/>
          </w:tcPr>
          <w:p w14:paraId="5150EFD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Patērētāju tiesību aizsardzības centrs</w:t>
            </w:r>
          </w:p>
          <w:p w14:paraId="21B6B819" w14:textId="5C171C9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Satversmes aizsardzības birojs</w:t>
            </w:r>
          </w:p>
        </w:tc>
      </w:tr>
      <w:tr w:rsidR="00300124" w:rsidRPr="001B1DB1" w14:paraId="3C3331B9" w14:textId="77777777" w:rsidTr="00B577E5">
        <w:tc>
          <w:tcPr>
            <w:tcW w:w="1060" w:type="pct"/>
            <w:shd w:val="clear" w:color="auto" w:fill="FFFFFF"/>
            <w:hideMark/>
          </w:tcPr>
          <w:p w14:paraId="1263DB8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TA</w:t>
            </w:r>
          </w:p>
          <w:p w14:paraId="1BE9DDF4"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TF</w:t>
            </w:r>
          </w:p>
          <w:p w14:paraId="75F4A28B"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TIS</w:t>
            </w:r>
          </w:p>
        </w:tc>
        <w:tc>
          <w:tcPr>
            <w:tcW w:w="3940" w:type="pct"/>
            <w:shd w:val="clear" w:color="auto" w:fill="FFFFFF"/>
            <w:hideMark/>
          </w:tcPr>
          <w:p w14:paraId="450CA495"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Tiesu administrācija</w:t>
            </w:r>
          </w:p>
          <w:p w14:paraId="1112CC2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Terorisma finansēšana</w:t>
            </w:r>
          </w:p>
          <w:p w14:paraId="192F072E"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Tiesu informācijas sistēma</w:t>
            </w:r>
          </w:p>
        </w:tc>
      </w:tr>
      <w:tr w:rsidR="00300124" w:rsidRPr="001B1DB1" w14:paraId="1EA97C4B" w14:textId="77777777" w:rsidTr="00B577E5">
        <w:tc>
          <w:tcPr>
            <w:tcW w:w="1060" w:type="pct"/>
            <w:shd w:val="clear" w:color="auto" w:fill="FFFFFF"/>
            <w:hideMark/>
          </w:tcPr>
          <w:p w14:paraId="13076106"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TM</w:t>
            </w:r>
          </w:p>
          <w:p w14:paraId="1D21DC5A"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UKI</w:t>
            </w:r>
          </w:p>
        </w:tc>
        <w:tc>
          <w:tcPr>
            <w:tcW w:w="3940" w:type="pct"/>
            <w:shd w:val="clear" w:color="auto" w:fill="FFFFFF"/>
            <w:hideMark/>
          </w:tcPr>
          <w:p w14:paraId="370F32E0"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Tieslietu ministrija</w:t>
            </w:r>
          </w:p>
          <w:p w14:paraId="5D1F8E7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Uzraudzības un kontroles institūcijas</w:t>
            </w:r>
          </w:p>
        </w:tc>
      </w:tr>
      <w:tr w:rsidR="00300124" w:rsidRPr="001B1DB1" w14:paraId="71FA8A63" w14:textId="77777777" w:rsidTr="00B577E5">
        <w:tc>
          <w:tcPr>
            <w:tcW w:w="1060" w:type="pct"/>
            <w:shd w:val="clear" w:color="auto" w:fill="FFFFFF"/>
            <w:hideMark/>
          </w:tcPr>
          <w:p w14:paraId="671215E5"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UR</w:t>
            </w:r>
          </w:p>
        </w:tc>
        <w:tc>
          <w:tcPr>
            <w:tcW w:w="3940" w:type="pct"/>
            <w:shd w:val="clear" w:color="auto" w:fill="FFFFFF"/>
            <w:hideMark/>
          </w:tcPr>
          <w:p w14:paraId="3BDEEB6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Uzņēmumu reģistrs</w:t>
            </w:r>
          </w:p>
        </w:tc>
      </w:tr>
      <w:tr w:rsidR="00300124" w:rsidRPr="001B1DB1" w14:paraId="5D7A0135" w14:textId="77777777" w:rsidTr="00B577E5">
        <w:tc>
          <w:tcPr>
            <w:tcW w:w="1060" w:type="pct"/>
            <w:shd w:val="clear" w:color="auto" w:fill="FFFFFF"/>
            <w:hideMark/>
          </w:tcPr>
          <w:p w14:paraId="339BF758" w14:textId="77777777" w:rsidR="0048676A" w:rsidRDefault="0048676A"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VARAM</w:t>
            </w:r>
          </w:p>
          <w:p w14:paraId="016CBCB8"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VAS</w:t>
            </w:r>
          </w:p>
        </w:tc>
        <w:tc>
          <w:tcPr>
            <w:tcW w:w="3940" w:type="pct"/>
            <w:shd w:val="clear" w:color="auto" w:fill="FFFFFF"/>
            <w:hideMark/>
          </w:tcPr>
          <w:p w14:paraId="439098D7" w14:textId="77777777" w:rsidR="0048676A" w:rsidRDefault="0048676A" w:rsidP="00002D3D">
            <w:pPr>
              <w:rPr>
                <w:rFonts w:eastAsia="Times New Roman" w:cs="Times New Roman"/>
                <w:color w:val="000000" w:themeColor="text1"/>
                <w:szCs w:val="24"/>
                <w:lang w:eastAsia="lv-LV"/>
              </w:rPr>
            </w:pPr>
            <w:r w:rsidRPr="0048676A">
              <w:rPr>
                <w:rFonts w:eastAsia="Times New Roman" w:cs="Times New Roman"/>
                <w:color w:val="000000" w:themeColor="text1"/>
                <w:szCs w:val="24"/>
                <w:lang w:eastAsia="lv-LV"/>
              </w:rPr>
              <w:t>Vides aizsardzības un reģionālās attīstības ministrija</w:t>
            </w:r>
          </w:p>
          <w:p w14:paraId="1D443A37"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administrācijas skola</w:t>
            </w:r>
          </w:p>
        </w:tc>
      </w:tr>
      <w:tr w:rsidR="00300124" w:rsidRPr="001B1DB1" w14:paraId="14653D35" w14:textId="77777777" w:rsidTr="00B577E5">
        <w:tc>
          <w:tcPr>
            <w:tcW w:w="1060" w:type="pct"/>
            <w:shd w:val="clear" w:color="auto" w:fill="FFFFFF"/>
            <w:hideMark/>
          </w:tcPr>
          <w:p w14:paraId="2C8D350F"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VDD</w:t>
            </w:r>
          </w:p>
          <w:p w14:paraId="27E8B1D3"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VID</w:t>
            </w:r>
          </w:p>
          <w:p w14:paraId="40393C04" w14:textId="24FAA8F2" w:rsidR="00E15011" w:rsidRPr="001B1DB1" w:rsidRDefault="00E15011" w:rsidP="00002D3D">
            <w:pPr>
              <w:rPr>
                <w:rFonts w:eastAsia="Times New Roman" w:cs="Times New Roman"/>
                <w:color w:val="000000" w:themeColor="text1"/>
                <w:szCs w:val="24"/>
                <w:lang w:eastAsia="lv-LV"/>
              </w:rPr>
            </w:pPr>
            <w:r>
              <w:rPr>
                <w:rFonts w:eastAsia="Times New Roman" w:cs="Times New Roman"/>
                <w:color w:val="000000" w:themeColor="text1"/>
                <w:szCs w:val="24"/>
                <w:lang w:eastAsia="lv-LV"/>
              </w:rPr>
              <w:t>VK</w:t>
            </w:r>
          </w:p>
        </w:tc>
        <w:tc>
          <w:tcPr>
            <w:tcW w:w="3940" w:type="pct"/>
            <w:shd w:val="clear" w:color="auto" w:fill="FFFFFF"/>
            <w:hideMark/>
          </w:tcPr>
          <w:p w14:paraId="6EC04ECD"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Valsts drošības dienests</w:t>
            </w:r>
          </w:p>
          <w:p w14:paraId="3F3015B8" w14:textId="77777777" w:rsidR="00300124"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Valsts ieņēmumu dienests</w:t>
            </w:r>
          </w:p>
          <w:p w14:paraId="629BF725" w14:textId="6C9E4237" w:rsidR="00E15011" w:rsidRPr="001B1DB1" w:rsidRDefault="00E15011" w:rsidP="00002D3D">
            <w:pPr>
              <w:rPr>
                <w:rFonts w:eastAsia="Times New Roman" w:cs="Times New Roman"/>
                <w:color w:val="000000" w:themeColor="text1"/>
                <w:szCs w:val="24"/>
                <w:lang w:eastAsia="lv-LV"/>
              </w:rPr>
            </w:pPr>
            <w:r w:rsidRPr="00E15011">
              <w:rPr>
                <w:rFonts w:eastAsia="Times New Roman" w:cs="Times New Roman"/>
                <w:color w:val="000000" w:themeColor="text1"/>
                <w:szCs w:val="24"/>
                <w:lang w:eastAsia="lv-LV"/>
              </w:rPr>
              <w:t>Valsts kanceleja</w:t>
            </w:r>
          </w:p>
        </w:tc>
      </w:tr>
      <w:tr w:rsidR="00300124" w:rsidRPr="001B1DB1" w14:paraId="31C80B47" w14:textId="77777777" w:rsidTr="00B577E5">
        <w:tc>
          <w:tcPr>
            <w:tcW w:w="1060" w:type="pct"/>
            <w:shd w:val="clear" w:color="auto" w:fill="FFFFFF"/>
            <w:hideMark/>
          </w:tcPr>
          <w:p w14:paraId="0AE9C9E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lastRenderedPageBreak/>
              <w:t>VP</w:t>
            </w:r>
          </w:p>
        </w:tc>
        <w:tc>
          <w:tcPr>
            <w:tcW w:w="3940" w:type="pct"/>
            <w:shd w:val="clear" w:color="auto" w:fill="FFFFFF"/>
            <w:hideMark/>
          </w:tcPr>
          <w:p w14:paraId="45F3B733"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policija</w:t>
            </w:r>
          </w:p>
        </w:tc>
      </w:tr>
      <w:tr w:rsidR="00300124" w:rsidRPr="001B1DB1" w14:paraId="0E9F6AE7" w14:textId="77777777" w:rsidTr="00B577E5">
        <w:tc>
          <w:tcPr>
            <w:tcW w:w="1060" w:type="pct"/>
            <w:shd w:val="clear" w:color="auto" w:fill="FFFFFF"/>
            <w:hideMark/>
          </w:tcPr>
          <w:p w14:paraId="62655DE9"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VRS</w:t>
            </w:r>
          </w:p>
        </w:tc>
        <w:tc>
          <w:tcPr>
            <w:tcW w:w="3940" w:type="pct"/>
            <w:shd w:val="clear" w:color="auto" w:fill="FFFFFF"/>
            <w:hideMark/>
          </w:tcPr>
          <w:p w14:paraId="65D0998C" w14:textId="77777777" w:rsidR="00300124" w:rsidRPr="001B1DB1" w:rsidRDefault="00300124" w:rsidP="00002D3D">
            <w:pPr>
              <w:rPr>
                <w:rFonts w:eastAsia="Times New Roman" w:cs="Times New Roman"/>
                <w:color w:val="000000" w:themeColor="text1"/>
                <w:szCs w:val="24"/>
                <w:lang w:eastAsia="lv-LV"/>
              </w:rPr>
            </w:pPr>
            <w:r w:rsidRPr="001B1DB1">
              <w:rPr>
                <w:rFonts w:eastAsia="Times New Roman" w:cs="Times New Roman"/>
                <w:color w:val="000000" w:themeColor="text1"/>
                <w:szCs w:val="24"/>
                <w:lang w:eastAsia="lv-LV"/>
              </w:rPr>
              <w:t>Valsts robežsardze</w:t>
            </w:r>
          </w:p>
        </w:tc>
      </w:tr>
    </w:tbl>
    <w:p w14:paraId="2ED65EF2" w14:textId="77777777" w:rsidR="00CE7755" w:rsidRPr="00CE7755" w:rsidRDefault="00CE7755" w:rsidP="00CE7755">
      <w:pPr>
        <w:spacing w:before="100" w:beforeAutospacing="1" w:after="100" w:afterAutospacing="1"/>
        <w:jc w:val="both"/>
        <w:outlineLvl w:val="0"/>
        <w:rPr>
          <w:rFonts w:eastAsia="Times New Roman" w:cs="Times New Roman"/>
          <w:b/>
          <w:bCs/>
          <w:kern w:val="36"/>
          <w:sz w:val="36"/>
          <w:szCs w:val="36"/>
          <w:lang w:eastAsia="en-GB"/>
        </w:rPr>
      </w:pPr>
      <w:r w:rsidRPr="00CE7755">
        <w:rPr>
          <w:rFonts w:eastAsia="Times New Roman" w:cs="Times New Roman"/>
          <w:b/>
          <w:bCs/>
          <w:kern w:val="36"/>
          <w:sz w:val="36"/>
          <w:szCs w:val="36"/>
          <w:lang w:eastAsia="en-GB"/>
        </w:rPr>
        <w:t>I Kopsavilkums</w:t>
      </w:r>
    </w:p>
    <w:p w14:paraId="71052F72" w14:textId="046EFB2F" w:rsidR="00CE7755" w:rsidRPr="00CE7755" w:rsidRDefault="00CE7755" w:rsidP="00CE7755">
      <w:pPr>
        <w:jc w:val="both"/>
        <w:rPr>
          <w:rFonts w:cs="Times New Roman"/>
          <w:szCs w:val="24"/>
        </w:rPr>
      </w:pPr>
      <w:r w:rsidRPr="00CE7755">
        <w:rPr>
          <w:rFonts w:cs="Times New Roman"/>
          <w:szCs w:val="24"/>
        </w:rPr>
        <w:t>Plāns ir izstrādāts, aktualizējot ar Ministru kabineta 2019. gada 23. decembra rīkojumu Nr. 653 apstiprināto “Pasākumu plānu noziedzīgi iegūtu līdzekļu legalizācijas, terorisma un proliferācijas finansēšanas novēršanai laikposmam no 2020. līdz 2022. gadam”. Plāna aktualizācija ir veikta pēc MONEYVAL Latvijas pēcpārbaudes ziņojuma publikācijas 2020. gada 22. janvārī un FATF 2020. gada februāra plenārsēdē apstiprinātā vērtējuma par Latvijas efektivitāti NILLTPFN. Ņemot vērā augšminētajos novērtējumos izteiktās rekomendācijas, tika veikti attiecīgie grozījumi plānā. Plāna aktualizācija tika veikt</w:t>
      </w:r>
      <w:r>
        <w:rPr>
          <w:rFonts w:cs="Times New Roman"/>
          <w:szCs w:val="24"/>
        </w:rPr>
        <w:t>a</w:t>
      </w:r>
      <w:r w:rsidRPr="00CE7755">
        <w:rPr>
          <w:rFonts w:cs="Times New Roman"/>
          <w:szCs w:val="24"/>
        </w:rPr>
        <w:t xml:space="preserve"> IeM vadībā, apkopojot par plāna rīcības virzienu īstenošanu atbildīgo  institūciju sniegtos priekšlikumus. Lai plāna grozījumi būtu pārskatāmi, ņemot vērā plāna grozījumu skaitu, ir sagatavota jauna plāna redakcija.</w:t>
      </w:r>
    </w:p>
    <w:p w14:paraId="6EFA17D4" w14:textId="77777777" w:rsidR="00CE7755" w:rsidRPr="00CE7755" w:rsidRDefault="00CE7755" w:rsidP="00CE7755">
      <w:pPr>
        <w:jc w:val="both"/>
        <w:rPr>
          <w:rFonts w:cs="Times New Roman"/>
          <w:szCs w:val="24"/>
        </w:rPr>
      </w:pPr>
      <w:r w:rsidRPr="00CE7755">
        <w:rPr>
          <w:rFonts w:cs="Times New Roman"/>
          <w:szCs w:val="24"/>
        </w:rPr>
        <w:t>Plāns balstās uz starptautiskiem,</w:t>
      </w:r>
      <w:r w:rsidRPr="00CE7755" w:rsidDel="00972875">
        <w:rPr>
          <w:rFonts w:cs="Times New Roman"/>
          <w:szCs w:val="24"/>
        </w:rPr>
        <w:t xml:space="preserve"> </w:t>
      </w:r>
      <w:r w:rsidRPr="00CE7755">
        <w:rPr>
          <w:rFonts w:cs="Times New Roman"/>
          <w:szCs w:val="24"/>
        </w:rPr>
        <w:t>valsts līmeņa un sektoru risku novērtējumiem, starptautisko organizāciju ieteikumiem un Pasākumu plāna noziedzīgi iegūtu līdzekļu legalizācijas un terorisma finansēšanas novēršanai laikposmam līdz 2019. gada 31. decembrim</w:t>
      </w:r>
      <w:r w:rsidRPr="00CE7755" w:rsidDel="00972875">
        <w:rPr>
          <w:rFonts w:cs="Times New Roman"/>
          <w:szCs w:val="24"/>
        </w:rPr>
        <w:t xml:space="preserve"> </w:t>
      </w:r>
      <w:r w:rsidRPr="00CE7755">
        <w:rPr>
          <w:rFonts w:cs="Times New Roman"/>
          <w:szCs w:val="24"/>
        </w:rPr>
        <w:t>īstenošanas gaitā gūtajiem rezultātiem. Plāns atbilst valdības prioritātēm, kas noteiktas Deklarācijā par Artura Krišjāņa Kariņa vadītā Ministru kabineta iecerēto darbību, valdības rīcības plāna pasākumiem šīs deklarācijas īstenošanai, kā arī Finanšu sektora attīstības plāna 2017.-2019.gadam horizontālajai prioritātei - finanšu sektora NILLTPFN atbilstības un valsts reputācijas paaugstināšana. Plāna mērķu sasniegšana ir cieši saistīta ar vairākos citos politikas plānošanas dokumentos nosprausto mērķu sasniegšanu.</w:t>
      </w:r>
    </w:p>
    <w:p w14:paraId="0B71241E" w14:textId="77777777" w:rsidR="00CE7755" w:rsidRPr="00CE7755" w:rsidRDefault="00CE7755" w:rsidP="00CE7755">
      <w:pPr>
        <w:jc w:val="both"/>
        <w:rPr>
          <w:rFonts w:cs="Times New Roman"/>
          <w:szCs w:val="24"/>
        </w:rPr>
      </w:pPr>
      <w:r w:rsidRPr="00CE7755">
        <w:rPr>
          <w:rFonts w:cs="Times New Roman"/>
          <w:szCs w:val="24"/>
        </w:rPr>
        <w:t>Plāna mērķis ir stiprināt Latvijas spējas cīnīties ar NILL, TF un PF un uzraudzīt NILLTPFN režīma prasību īstenošanu, samazināt vispārējos NILL, TF un PF riskus, tādējādi nodrošinot atbilstību starptautiskajām saistībām un standartiem NILLTPF novēršanas jomā un veicinot sabiedrisko drošību, ekonomiskās vides konkurētspēju un uzticību Latvijas jurisdikcijai.</w:t>
      </w:r>
    </w:p>
    <w:p w14:paraId="0B20068B" w14:textId="77777777" w:rsidR="00CE7755" w:rsidRDefault="00CE7755" w:rsidP="00CE7755">
      <w:pPr>
        <w:jc w:val="both"/>
        <w:rPr>
          <w:rFonts w:cs="Times New Roman"/>
          <w:szCs w:val="24"/>
        </w:rPr>
      </w:pPr>
      <w:r w:rsidRPr="00CE7755">
        <w:rPr>
          <w:rFonts w:cs="Times New Roman"/>
          <w:szCs w:val="24"/>
        </w:rPr>
        <w:t>Plāna pasākumi ir sagrupēti 11 rīcības virzienos atbilstoši MONEYVAL 5. kārtas novērtēšanā izmantotajiem FATF standartos nostiprinātajiem NILLTPFN sistēmas efektivitātes rādītājiem.</w:t>
      </w:r>
    </w:p>
    <w:p w14:paraId="5E889307" w14:textId="12CE304F" w:rsidR="00CE7755" w:rsidRDefault="00CE7755" w:rsidP="00CE7755">
      <w:pPr>
        <w:jc w:val="both"/>
        <w:rPr>
          <w:rFonts w:eastAsia="Times New Roman" w:cs="Times New Roman"/>
          <w:bCs/>
          <w:kern w:val="36"/>
          <w:szCs w:val="24"/>
          <w:lang w:eastAsia="en-GB"/>
        </w:rPr>
      </w:pPr>
      <w:r w:rsidRPr="00CE7755">
        <w:rPr>
          <w:rFonts w:eastAsia="Times New Roman" w:cs="Times New Roman"/>
          <w:bCs/>
          <w:kern w:val="36"/>
          <w:szCs w:val="24"/>
          <w:lang w:eastAsia="en-GB"/>
        </w:rPr>
        <w:t>Plāna pielikumā atspoguļots papildus nepieciešamo finanšu līdzekļu aprēķins plānā paredzēto pasākumu īstenošanai. Likums Par valsts budžetu 2020. gadam nosaka, ka līdzekļi 10 milj. EUR apmērā atbilstoši plānam pārdalāmi noziedzīgi iegūtu līdzekļu legalizācijas un terorisma un proliferācijas finansēšanas novēršanai.</w:t>
      </w:r>
    </w:p>
    <w:p w14:paraId="6EFB74DF" w14:textId="77777777" w:rsidR="00CE7755" w:rsidRDefault="00CE7755" w:rsidP="00CE7755">
      <w:pPr>
        <w:jc w:val="both"/>
        <w:rPr>
          <w:rFonts w:eastAsia="Times New Roman" w:cs="Times New Roman"/>
          <w:bCs/>
          <w:kern w:val="36"/>
          <w:szCs w:val="24"/>
          <w:lang w:eastAsia="en-GB"/>
        </w:rPr>
      </w:pPr>
    </w:p>
    <w:p w14:paraId="584AD5E2" w14:textId="77777777" w:rsidR="003D749E" w:rsidRPr="00CE7755" w:rsidRDefault="003D749E" w:rsidP="00CE7755">
      <w:pPr>
        <w:jc w:val="both"/>
        <w:rPr>
          <w:rFonts w:eastAsia="Times New Roman" w:cs="Times New Roman"/>
          <w:bCs/>
          <w:kern w:val="36"/>
          <w:szCs w:val="24"/>
          <w:lang w:eastAsia="en-GB"/>
        </w:rPr>
      </w:pPr>
    </w:p>
    <w:p w14:paraId="387D5121" w14:textId="77777777" w:rsidR="00CE7755" w:rsidRPr="00CE7755" w:rsidRDefault="00CE7755" w:rsidP="00CE7755">
      <w:pPr>
        <w:spacing w:before="100" w:beforeAutospacing="1" w:after="100" w:afterAutospacing="1"/>
        <w:jc w:val="both"/>
        <w:outlineLvl w:val="0"/>
        <w:rPr>
          <w:rFonts w:eastAsia="Times New Roman" w:cs="Times New Roman"/>
          <w:b/>
          <w:bCs/>
          <w:kern w:val="36"/>
          <w:sz w:val="36"/>
          <w:szCs w:val="36"/>
          <w:lang w:eastAsia="en-GB"/>
        </w:rPr>
      </w:pPr>
      <w:r w:rsidRPr="00CE7755">
        <w:rPr>
          <w:rFonts w:eastAsia="Times New Roman" w:cs="Times New Roman"/>
          <w:b/>
          <w:bCs/>
          <w:kern w:val="36"/>
          <w:sz w:val="36"/>
          <w:szCs w:val="36"/>
          <w:lang w:eastAsia="en-GB"/>
        </w:rPr>
        <w:lastRenderedPageBreak/>
        <w:t>II Esošās situācijas raksturojums</w:t>
      </w:r>
    </w:p>
    <w:p w14:paraId="3A9E33CF" w14:textId="77777777" w:rsidR="00CE7755" w:rsidRPr="00CE7755" w:rsidRDefault="00CE7755" w:rsidP="00CE7755">
      <w:pPr>
        <w:jc w:val="both"/>
        <w:rPr>
          <w:rFonts w:cs="Times New Roman"/>
          <w:szCs w:val="24"/>
        </w:rPr>
      </w:pPr>
      <w:r w:rsidRPr="00CE7755">
        <w:rPr>
          <w:rFonts w:cs="Times New Roman"/>
          <w:szCs w:val="24"/>
        </w:rPr>
        <w:t>2020.gada 14.aprīļa MK sēdē tika izskatīts “Informatīvais ziņojums par Latvijas Republikas delegācijas uzdevumu izpildi Eiropas Padomes Noziedzīgi iegūtu līdzekļu legalizācijas un terorisma finansēšanas novēršanas pasākumu novērtēšanas ekspertu komitejā un Finanšu darījumu darba grupā”. Informatīvais ziņojums (turpmāk – Ziņojums) tika sagatavots atbilstoši MK 2019. gada 17. jūlija rīkojumam Nr.360, kas paredz izveidot Latvijas Republikas delegāciju ar uzdevumu pārstāvēt Latvijas intereses MONEYVAL un FATF veiktajos novērtēšanas procesos, demonstrējot Latvijas panākto progresu, tai skaitā piedaloties 2019. gada decembra MONEYVAL plenārsēdē, FATF 2020. gada pirmajā plenārsēdē un citās sanāksmēs šo procesu ietvaros, un iesniegt Ministru kabinetā ziņojumu par delegācijas uzdevuma izpildi.</w:t>
      </w:r>
    </w:p>
    <w:p w14:paraId="6236575A" w14:textId="77777777" w:rsidR="00CE7755" w:rsidRPr="00CE7755" w:rsidRDefault="00CE7755" w:rsidP="00CE7755">
      <w:pPr>
        <w:jc w:val="both"/>
        <w:rPr>
          <w:rFonts w:cs="Times New Roman"/>
          <w:szCs w:val="24"/>
        </w:rPr>
      </w:pPr>
      <w:r w:rsidRPr="00CE7755">
        <w:rPr>
          <w:rFonts w:cs="Times New Roman"/>
          <w:szCs w:val="24"/>
        </w:rPr>
        <w:t xml:space="preserve">Ziņojumā tika sniegta informācija, ka 2019. gada decembrī MONEYVAL plenārsēdē izskatīja Latvijas iesniegto tehniskās atbilstības progresa ziņojumu, kurā sniegta informācija un ekspertu novērtējums par Latvijas paveikto normatīvā ietvara pilnveidošanā, lai tas atbilstu FATF 40 rekomendācijām. Pēc progresa ziņojuma izvērtēšanas no 40 FATF tehniskās atbilstības rekomendācijām 7 rekomendāciju izpilde novērtēta kā pilnībā atbilstoša un 33 kā lielākoties atbilstoša. </w:t>
      </w:r>
    </w:p>
    <w:p w14:paraId="59C1F8A7" w14:textId="77777777" w:rsidR="00CE7755" w:rsidRPr="00CE7755" w:rsidRDefault="00CE7755" w:rsidP="00CE7755">
      <w:pPr>
        <w:jc w:val="both"/>
        <w:rPr>
          <w:rFonts w:cs="Times New Roman"/>
          <w:szCs w:val="24"/>
        </w:rPr>
      </w:pPr>
      <w:r w:rsidRPr="00CE7755">
        <w:rPr>
          <w:rFonts w:cs="Times New Roman"/>
          <w:szCs w:val="24"/>
        </w:rPr>
        <w:t>Lai gan Latvijas normatīvais ietvars kopumā novērtēts kā atbilstošs visām 40 FATF rekomendācijām, būtiski norādīt, ka Latvija joprojām atrodas MONEYVAL pastiprinātajā uzraudzībā un Latvijai arī turpmāk jānodrošina regulāra ziņošana par progresu un sasniegtajiem rezultātiem NILLTPFN pasākumu ieviešanā. Latvijai nākamā atskaite MONEYVAL ir jāiesniedz 2021. gada pirmajā plenārsēdē.</w:t>
      </w:r>
    </w:p>
    <w:p w14:paraId="016CFA29" w14:textId="77777777" w:rsidR="00CE7755" w:rsidRPr="00CE7755" w:rsidRDefault="00CE7755" w:rsidP="00CE7755">
      <w:pPr>
        <w:jc w:val="both"/>
        <w:rPr>
          <w:rFonts w:cs="Times New Roman"/>
          <w:szCs w:val="24"/>
        </w:rPr>
      </w:pPr>
      <w:r w:rsidRPr="00CE7755">
        <w:rPr>
          <w:rFonts w:cs="Times New Roman"/>
          <w:szCs w:val="24"/>
        </w:rPr>
        <w:t>Savukārt 2020. gada februārī FATF plenārsēdē tika izskatīts Latvijas iesniegtais efektivitātes progresa ziņojums, kas atspoguļo normatīvā ietvara efektīvu piemērošanu cīņā pret NILLTPF. Pēc efektivitātes ziņojuma izvērtēšanas eksperti apliecinājuši, ka visos desmit efektivitātes rādītājos, kas iepriekš vērtēti ar vērtējumu “zems” vai “vidējs”, Latvija ir spējusi parādīt būtisku un pozitīvu rezultātu, kā arī demonstrējusi apņemšanos cīnīties ar ekonomiskajiem un finanšu noziegumiem, tādējādi stiprinot valsts drošību, labklājību, ilgtspēju un reputāciju.</w:t>
      </w:r>
    </w:p>
    <w:p w14:paraId="4CC5A20E" w14:textId="77777777" w:rsidR="00CE7755" w:rsidRPr="00CE7755" w:rsidRDefault="00CE7755" w:rsidP="00CE7755">
      <w:pPr>
        <w:jc w:val="both"/>
        <w:rPr>
          <w:rFonts w:cs="Times New Roman"/>
          <w:szCs w:val="24"/>
        </w:rPr>
      </w:pPr>
      <w:r w:rsidRPr="00CE7755">
        <w:rPr>
          <w:rFonts w:cs="Times New Roman"/>
          <w:szCs w:val="24"/>
        </w:rPr>
        <w:t>Pateicoties Latvijas valdības, UKI, kā arī FID un tiesībaizsardzības iestāžu kopējiem centieniem un ieguldītajam darbam nepilnību novēršanā NILLTPFN jomā, FATF eksperti atzinuši, ka Latvija ir izveidojusi stipru un noturīgu finanšu noziegumu novēršanas sistēmu un netiks iekļauta tā dēvētajā “pelēkajā sarakstā”.</w:t>
      </w:r>
    </w:p>
    <w:p w14:paraId="33289611" w14:textId="2159D699" w:rsidR="00CE7755" w:rsidRPr="00CE7755" w:rsidRDefault="00CE7755" w:rsidP="00CE7755">
      <w:pPr>
        <w:jc w:val="both"/>
        <w:rPr>
          <w:rFonts w:cs="Times New Roman"/>
          <w:szCs w:val="24"/>
        </w:rPr>
      </w:pPr>
      <w:r w:rsidRPr="00CE7755">
        <w:rPr>
          <w:rFonts w:cs="Times New Roman"/>
          <w:szCs w:val="24"/>
        </w:rPr>
        <w:t xml:space="preserve">Lai gan izvirzītais mērķis - sakārtot finanšu noziegumu novēršanas sistēmu un nodrošināt Latvijas NILLTPFN sistēmas atbilstību starptautiskajām prasībām, ir sasniegts, iesāktais darbs ir jāturpina, tajā skaitā attiecībā uz FATF ekspertu sniegtajām rekomendācijām un turpmāk veicamajām darbībām katrā no rīcības virzieniem. Vienlaikus īpaši uzsvērts, ka Latvijai jāpievērš pastiprināta uzmanība un resursi vietējās korupcijas apkarošanai un novēršanai.  </w:t>
      </w:r>
    </w:p>
    <w:p w14:paraId="009CB66C" w14:textId="77777777" w:rsidR="007722B6" w:rsidRDefault="007722B6" w:rsidP="00CE7755">
      <w:pPr>
        <w:jc w:val="both"/>
        <w:rPr>
          <w:rFonts w:cs="Times New Roman"/>
          <w:szCs w:val="24"/>
        </w:rPr>
      </w:pPr>
    </w:p>
    <w:p w14:paraId="3711CD2A" w14:textId="2E8A098A" w:rsidR="00CE7755" w:rsidRPr="00CE7755" w:rsidRDefault="00CE7755" w:rsidP="00CE7755">
      <w:pPr>
        <w:jc w:val="both"/>
        <w:rPr>
          <w:rFonts w:cs="Times New Roman"/>
          <w:szCs w:val="24"/>
        </w:rPr>
      </w:pPr>
      <w:r w:rsidRPr="00CE7755">
        <w:rPr>
          <w:rFonts w:cs="Times New Roman"/>
          <w:szCs w:val="24"/>
        </w:rPr>
        <w:t>Plānā ir veikti šādi būtisk</w:t>
      </w:r>
      <w:r w:rsidR="00F95386">
        <w:rPr>
          <w:rFonts w:cs="Times New Roman"/>
          <w:szCs w:val="24"/>
        </w:rPr>
        <w:t>ākie</w:t>
      </w:r>
      <w:r w:rsidRPr="00CE7755">
        <w:rPr>
          <w:rFonts w:cs="Times New Roman"/>
          <w:szCs w:val="24"/>
        </w:rPr>
        <w:t xml:space="preserve"> grozījumi:</w:t>
      </w:r>
    </w:p>
    <w:p w14:paraId="40F88692" w14:textId="0EDC67F0" w:rsidR="00CE7755" w:rsidRPr="00CE7755" w:rsidRDefault="00CE7755" w:rsidP="00CE7755">
      <w:pPr>
        <w:numPr>
          <w:ilvl w:val="0"/>
          <w:numId w:val="34"/>
        </w:numPr>
        <w:ind w:left="0" w:firstLine="0"/>
        <w:jc w:val="both"/>
        <w:rPr>
          <w:rFonts w:cs="Times New Roman"/>
          <w:szCs w:val="24"/>
        </w:rPr>
      </w:pPr>
      <w:r w:rsidRPr="00CE7755">
        <w:rPr>
          <w:rFonts w:cs="Times New Roman"/>
          <w:szCs w:val="24"/>
        </w:rPr>
        <w:t>papildinot un aktualizējot vadlīnijas</w:t>
      </w:r>
      <w:r w:rsidR="00F95386">
        <w:rPr>
          <w:rFonts w:cs="Times New Roman"/>
          <w:szCs w:val="24"/>
        </w:rPr>
        <w:t>,</w:t>
      </w:r>
      <w:r w:rsidRPr="00CE7755">
        <w:rPr>
          <w:rFonts w:cs="Times New Roman"/>
          <w:szCs w:val="24"/>
        </w:rPr>
        <w:t xml:space="preserve"> tiks nodrošināts, ka UKI, FID un izmeklēšanas iestādes var ātri, konstruktīvi un efektīvi nodrošināt visplašāko starptautisko sadarbību attiecībā uz NILL, saistītiem sākotnējiem noziedzīgajiem nodarījumiem un terorisma finansēšanu atbilstoši FATF 40.rekomendācijas prasībām;</w:t>
      </w:r>
    </w:p>
    <w:p w14:paraId="194F5F5D" w14:textId="4E99F6F3" w:rsidR="00CE7755" w:rsidRPr="00CE7755" w:rsidRDefault="00CE7755" w:rsidP="00CE7755">
      <w:pPr>
        <w:numPr>
          <w:ilvl w:val="0"/>
          <w:numId w:val="34"/>
        </w:numPr>
        <w:ind w:left="0" w:firstLine="0"/>
        <w:jc w:val="both"/>
        <w:rPr>
          <w:rFonts w:cs="Times New Roman"/>
          <w:szCs w:val="24"/>
        </w:rPr>
      </w:pPr>
      <w:r w:rsidRPr="00CE7755">
        <w:rPr>
          <w:rFonts w:cs="Times New Roman"/>
          <w:szCs w:val="24"/>
        </w:rPr>
        <w:lastRenderedPageBreak/>
        <w:t xml:space="preserve">2022.gadā </w:t>
      </w:r>
      <w:r w:rsidR="00F95386">
        <w:rPr>
          <w:rFonts w:cs="Times New Roman"/>
          <w:szCs w:val="24"/>
        </w:rPr>
        <w:t xml:space="preserve">plānots </w:t>
      </w:r>
      <w:r w:rsidRPr="00CE7755">
        <w:rPr>
          <w:rFonts w:cs="Times New Roman"/>
          <w:szCs w:val="24"/>
        </w:rPr>
        <w:t>organizēt starptautiska līmeņa Egmont grupas plenārsēd</w:t>
      </w:r>
      <w:r w:rsidR="00F95386">
        <w:rPr>
          <w:rFonts w:cs="Times New Roman"/>
          <w:szCs w:val="24"/>
        </w:rPr>
        <w:t>i</w:t>
      </w:r>
      <w:r w:rsidRPr="00CE7755">
        <w:rPr>
          <w:rFonts w:cs="Times New Roman"/>
          <w:szCs w:val="24"/>
        </w:rPr>
        <w:t xml:space="preserve"> Rīgā;</w:t>
      </w:r>
    </w:p>
    <w:p w14:paraId="150A41D6" w14:textId="37588D07" w:rsidR="00CE7755" w:rsidRPr="00CE7755" w:rsidRDefault="00CE7755" w:rsidP="00CE7755">
      <w:pPr>
        <w:numPr>
          <w:ilvl w:val="0"/>
          <w:numId w:val="34"/>
        </w:numPr>
        <w:ind w:left="0" w:firstLine="0"/>
        <w:jc w:val="both"/>
        <w:rPr>
          <w:rFonts w:cs="Times New Roman"/>
          <w:szCs w:val="24"/>
        </w:rPr>
      </w:pPr>
      <w:r w:rsidRPr="00CE7755">
        <w:rPr>
          <w:rFonts w:cs="Times New Roman"/>
          <w:szCs w:val="24"/>
        </w:rPr>
        <w:t>LAS ABLV kontrolēta pašlikvidācijas procesa nodrošināšana</w:t>
      </w:r>
      <w:r w:rsidR="00F95386">
        <w:rPr>
          <w:rFonts w:cs="Times New Roman"/>
          <w:szCs w:val="24"/>
        </w:rPr>
        <w:t xml:space="preserve">i paplašināts atbildīgo iestāžu loks ar </w:t>
      </w:r>
      <w:r w:rsidRPr="00CE7755">
        <w:rPr>
          <w:rFonts w:cs="Times New Roman"/>
          <w:szCs w:val="24"/>
        </w:rPr>
        <w:t>FID, VP, VID, KNAB, VDD;</w:t>
      </w:r>
    </w:p>
    <w:p w14:paraId="3941463E" w14:textId="7845FB34" w:rsidR="00CE7755" w:rsidRPr="00CE7755" w:rsidRDefault="00F95386" w:rsidP="00CE7755">
      <w:pPr>
        <w:numPr>
          <w:ilvl w:val="0"/>
          <w:numId w:val="34"/>
        </w:numPr>
        <w:ind w:left="0" w:firstLine="0"/>
        <w:jc w:val="both"/>
        <w:rPr>
          <w:rFonts w:cs="Times New Roman"/>
          <w:szCs w:val="24"/>
        </w:rPr>
      </w:pPr>
      <w:r>
        <w:rPr>
          <w:rFonts w:cs="Times New Roman"/>
          <w:szCs w:val="24"/>
        </w:rPr>
        <w:t xml:space="preserve">plānots </w:t>
      </w:r>
      <w:r w:rsidR="00CE7755" w:rsidRPr="00CE7755">
        <w:rPr>
          <w:rFonts w:cs="Times New Roman"/>
          <w:szCs w:val="24"/>
        </w:rPr>
        <w:t>izstrādāt vienot</w:t>
      </w:r>
      <w:r>
        <w:rPr>
          <w:rFonts w:cs="Times New Roman"/>
          <w:szCs w:val="24"/>
        </w:rPr>
        <w:t>u</w:t>
      </w:r>
      <w:r w:rsidR="00CE7755" w:rsidRPr="00CE7755">
        <w:rPr>
          <w:rFonts w:cs="Times New Roman"/>
          <w:szCs w:val="24"/>
        </w:rPr>
        <w:t xml:space="preserve"> tīmekļa vietn</w:t>
      </w:r>
      <w:r>
        <w:rPr>
          <w:rFonts w:cs="Times New Roman"/>
          <w:szCs w:val="24"/>
        </w:rPr>
        <w:t>i</w:t>
      </w:r>
      <w:r w:rsidR="00CE7755" w:rsidRPr="00CE7755">
        <w:rPr>
          <w:rFonts w:cs="Times New Roman"/>
          <w:szCs w:val="24"/>
        </w:rPr>
        <w:t xml:space="preserve"> www.sankcijas.gov.lv personu, pret kurām noteiktas sankcijas,  kā arī noteikto ierobežojumu  skrīningam;</w:t>
      </w:r>
    </w:p>
    <w:p w14:paraId="18309D88" w14:textId="4332E024" w:rsidR="00CE7755" w:rsidRPr="00CE7755" w:rsidRDefault="00CE7755" w:rsidP="00CE7755">
      <w:pPr>
        <w:numPr>
          <w:ilvl w:val="0"/>
          <w:numId w:val="34"/>
        </w:numPr>
        <w:ind w:left="0" w:firstLine="0"/>
        <w:jc w:val="both"/>
        <w:rPr>
          <w:rFonts w:cs="Times New Roman"/>
          <w:szCs w:val="24"/>
        </w:rPr>
      </w:pPr>
      <w:r w:rsidRPr="00CE7755">
        <w:rPr>
          <w:rFonts w:cs="Times New Roman"/>
          <w:szCs w:val="24"/>
        </w:rPr>
        <w:t xml:space="preserve">par pieciem mēnešiem saīsināts izpildes termiņš </w:t>
      </w:r>
      <w:r w:rsidR="00F95386">
        <w:rPr>
          <w:rFonts w:cs="Times New Roman"/>
          <w:szCs w:val="24"/>
        </w:rPr>
        <w:t xml:space="preserve">uzdevumam </w:t>
      </w:r>
      <w:r w:rsidRPr="00CE7755">
        <w:rPr>
          <w:rFonts w:cs="Times New Roman"/>
          <w:szCs w:val="24"/>
        </w:rPr>
        <w:t>visās izmeklēšanas iestādēs ieviest paralēlās finanšu izmeklēšanas veikšanas sistēmu;</w:t>
      </w:r>
    </w:p>
    <w:p w14:paraId="1C181831" w14:textId="77777777" w:rsidR="00CE7755" w:rsidRPr="00CE7755" w:rsidRDefault="00CE7755" w:rsidP="00CE7755">
      <w:pPr>
        <w:numPr>
          <w:ilvl w:val="0"/>
          <w:numId w:val="34"/>
        </w:numPr>
        <w:ind w:left="0" w:firstLine="0"/>
        <w:jc w:val="both"/>
        <w:rPr>
          <w:rFonts w:cs="Times New Roman"/>
          <w:szCs w:val="24"/>
        </w:rPr>
      </w:pPr>
      <w:r w:rsidRPr="00CE7755">
        <w:rPr>
          <w:rFonts w:cs="Times New Roman"/>
          <w:szCs w:val="24"/>
        </w:rPr>
        <w:t>precizēts, ka gadā uzsākti ne mazāk kā 10  kriminālprocesi par skaidras naudas nedeklarēšanu vai nepatiesu deklarēšanu un/vai legalizāciju;</w:t>
      </w:r>
    </w:p>
    <w:p w14:paraId="6364C29A" w14:textId="6C31C8B4" w:rsidR="00CE7755" w:rsidRDefault="00CE7755" w:rsidP="00CE7755">
      <w:pPr>
        <w:numPr>
          <w:ilvl w:val="0"/>
          <w:numId w:val="34"/>
        </w:numPr>
        <w:ind w:left="0" w:firstLine="0"/>
        <w:jc w:val="both"/>
        <w:rPr>
          <w:rFonts w:cs="Times New Roman"/>
          <w:szCs w:val="24"/>
        </w:rPr>
      </w:pPr>
      <w:r w:rsidRPr="00CE7755">
        <w:rPr>
          <w:rFonts w:cs="Times New Roman"/>
          <w:szCs w:val="24"/>
        </w:rPr>
        <w:t>precizēts, ka gadā ne mazāk kā 3 kriminālprocesi nodoti kriminālvajāšanas uzsākšanai par skaidras naudas nedeklarēšanu vai nepatiesu deklarēšanu un/vai legalizāciju;</w:t>
      </w:r>
    </w:p>
    <w:p w14:paraId="4CEDA02B" w14:textId="7475394E" w:rsidR="0034379B" w:rsidRPr="00A30AD5" w:rsidRDefault="00A30AD5" w:rsidP="00A30AD5">
      <w:pPr>
        <w:numPr>
          <w:ilvl w:val="0"/>
          <w:numId w:val="34"/>
        </w:numPr>
        <w:ind w:left="0" w:firstLine="0"/>
        <w:rPr>
          <w:rFonts w:cs="Times New Roman"/>
          <w:szCs w:val="24"/>
        </w:rPr>
      </w:pPr>
      <w:r w:rsidRPr="00A30AD5">
        <w:rPr>
          <w:rFonts w:cs="Times New Roman"/>
          <w:szCs w:val="24"/>
        </w:rPr>
        <w:t>ieviests mehānisms mantas  konfiskācijai ārpus kriminālprocesa un nodrošināta tā piemērošana;</w:t>
      </w:r>
    </w:p>
    <w:p w14:paraId="2B8A6DA1" w14:textId="2B076CA0" w:rsidR="00CE7755" w:rsidRPr="00CE7755" w:rsidRDefault="00CE7755" w:rsidP="00CE7755">
      <w:pPr>
        <w:numPr>
          <w:ilvl w:val="0"/>
          <w:numId w:val="34"/>
        </w:numPr>
        <w:ind w:left="0" w:firstLine="0"/>
        <w:jc w:val="both"/>
        <w:rPr>
          <w:rFonts w:cs="Times New Roman"/>
          <w:szCs w:val="24"/>
        </w:rPr>
      </w:pPr>
      <w:r w:rsidRPr="00CE7755">
        <w:rPr>
          <w:rFonts w:cs="Times New Roman"/>
          <w:szCs w:val="24"/>
        </w:rPr>
        <w:t>precizējot pasākumu</w:t>
      </w:r>
      <w:r w:rsidR="00F95386">
        <w:rPr>
          <w:rFonts w:cs="Times New Roman"/>
          <w:szCs w:val="24"/>
        </w:rPr>
        <w:t xml:space="preserve"> formulējumus</w:t>
      </w:r>
      <w:r w:rsidRPr="00CE7755">
        <w:rPr>
          <w:rFonts w:cs="Times New Roman"/>
          <w:szCs w:val="24"/>
        </w:rPr>
        <w:t xml:space="preserve">, to </w:t>
      </w:r>
      <w:r w:rsidR="00F95386">
        <w:rPr>
          <w:rFonts w:cs="Times New Roman"/>
          <w:szCs w:val="24"/>
        </w:rPr>
        <w:t>pl</w:t>
      </w:r>
      <w:r w:rsidR="00C56935">
        <w:rPr>
          <w:rFonts w:cs="Times New Roman"/>
          <w:szCs w:val="24"/>
        </w:rPr>
        <w:t>ānotos</w:t>
      </w:r>
      <w:r w:rsidR="00F95386">
        <w:rPr>
          <w:rFonts w:cs="Times New Roman"/>
          <w:szCs w:val="24"/>
        </w:rPr>
        <w:t xml:space="preserve"> </w:t>
      </w:r>
      <w:r w:rsidR="00C56935">
        <w:rPr>
          <w:rFonts w:cs="Times New Roman"/>
          <w:szCs w:val="24"/>
        </w:rPr>
        <w:t xml:space="preserve">darbības </w:t>
      </w:r>
      <w:r w:rsidRPr="00CE7755">
        <w:rPr>
          <w:rFonts w:cs="Times New Roman"/>
          <w:szCs w:val="24"/>
        </w:rPr>
        <w:t>rezultāt</w:t>
      </w:r>
      <w:r w:rsidR="00C56935">
        <w:rPr>
          <w:rFonts w:cs="Times New Roman"/>
          <w:szCs w:val="24"/>
        </w:rPr>
        <w:t>us</w:t>
      </w:r>
      <w:r w:rsidRPr="00CE7755">
        <w:rPr>
          <w:rFonts w:cs="Times New Roman"/>
          <w:szCs w:val="24"/>
        </w:rPr>
        <w:t xml:space="preserve">, rezultatīvos rādītājus un izpildes termiņus, </w:t>
      </w:r>
      <w:r w:rsidR="00C56935">
        <w:rPr>
          <w:rFonts w:cs="Times New Roman"/>
          <w:szCs w:val="24"/>
        </w:rPr>
        <w:t>nodrošināta visos rīcības virzienos vienotāka virzība uz plāna kopējo mērķu sasniegšanu un skaidrāki pasākumu izpildes novērtēšanas kritēriji</w:t>
      </w:r>
      <w:r w:rsidR="00F95386">
        <w:rPr>
          <w:rFonts w:cs="Times New Roman"/>
          <w:szCs w:val="24"/>
        </w:rPr>
        <w:t xml:space="preserve">. Vienlaikus </w:t>
      </w:r>
      <w:r w:rsidRPr="00CE7755">
        <w:rPr>
          <w:rFonts w:cs="Times New Roman"/>
          <w:szCs w:val="24"/>
        </w:rPr>
        <w:t>vairākiem pasākumiem mainītas atbildīgās un līdzatbildīgās iestādes, vairāki pasākumi pārcelti uz tiem atbilstošāku rīcības virzienu.</w:t>
      </w:r>
    </w:p>
    <w:p w14:paraId="6FC740F6" w14:textId="77777777" w:rsidR="007722B6" w:rsidRDefault="007722B6" w:rsidP="00CE7755">
      <w:pPr>
        <w:jc w:val="both"/>
        <w:rPr>
          <w:rFonts w:cs="Times New Roman"/>
          <w:szCs w:val="24"/>
        </w:rPr>
      </w:pPr>
    </w:p>
    <w:p w14:paraId="789C919A" w14:textId="331961BC" w:rsidR="00CE7755" w:rsidRPr="00CE7755" w:rsidRDefault="00CE7755" w:rsidP="00CE7755">
      <w:pPr>
        <w:jc w:val="both"/>
        <w:rPr>
          <w:rFonts w:cs="Times New Roman"/>
          <w:szCs w:val="24"/>
        </w:rPr>
      </w:pPr>
      <w:r w:rsidRPr="00CE7755">
        <w:rPr>
          <w:rFonts w:cs="Times New Roman"/>
          <w:szCs w:val="24"/>
        </w:rPr>
        <w:t>Atsevišķi pasākumi ir jau izpildīti un tāpēc ir svītroti no plāna:</w:t>
      </w:r>
    </w:p>
    <w:p w14:paraId="298AB22A" w14:textId="77777777" w:rsidR="00CE7755" w:rsidRPr="00CE7755" w:rsidRDefault="00CE7755" w:rsidP="00CE7755">
      <w:pPr>
        <w:numPr>
          <w:ilvl w:val="0"/>
          <w:numId w:val="33"/>
        </w:numPr>
        <w:ind w:left="0" w:firstLine="0"/>
        <w:jc w:val="both"/>
        <w:rPr>
          <w:rFonts w:cs="Times New Roman"/>
          <w:szCs w:val="24"/>
        </w:rPr>
      </w:pPr>
      <w:r w:rsidRPr="00CE7755">
        <w:rPr>
          <w:rFonts w:cs="Times New Roman"/>
          <w:szCs w:val="24"/>
        </w:rPr>
        <w:t>izstrādāta metodika ziņošanai UR par gadījumiem, kad likuma subjekti, UKI konstatējušas, ka noskaidrotā informācija par PLG neatbilst UR vestajos reģistros reģistrētajai informācijai;</w:t>
      </w:r>
    </w:p>
    <w:p w14:paraId="48E1BA6B" w14:textId="77777777" w:rsidR="00CE7755" w:rsidRPr="00CE7755" w:rsidRDefault="00CE7755" w:rsidP="00CE7755">
      <w:pPr>
        <w:numPr>
          <w:ilvl w:val="0"/>
          <w:numId w:val="33"/>
        </w:numPr>
        <w:ind w:left="0" w:firstLine="0"/>
        <w:jc w:val="both"/>
        <w:rPr>
          <w:rFonts w:cs="Times New Roman"/>
          <w:szCs w:val="24"/>
        </w:rPr>
      </w:pPr>
      <w:r w:rsidRPr="00CE7755">
        <w:rPr>
          <w:rFonts w:cs="Times New Roman"/>
          <w:szCs w:val="24"/>
        </w:rPr>
        <w:t>sagatavots un publicēts kopsavilkums par NVO NILLTPF risku novērtējumu, norādot tos faktorus, kas paaugstina iespēju NVO sektoru izmantot ļaunprātīgos nolūkos;</w:t>
      </w:r>
    </w:p>
    <w:p w14:paraId="16B96773" w14:textId="3F0AA552" w:rsidR="00CE7755" w:rsidRDefault="00CE7755" w:rsidP="00CE7755">
      <w:pPr>
        <w:numPr>
          <w:ilvl w:val="0"/>
          <w:numId w:val="33"/>
        </w:numPr>
        <w:ind w:left="0" w:firstLine="0"/>
        <w:jc w:val="both"/>
        <w:rPr>
          <w:rFonts w:cs="Times New Roman"/>
          <w:szCs w:val="24"/>
        </w:rPr>
      </w:pPr>
      <w:r w:rsidRPr="00CE7755">
        <w:rPr>
          <w:rFonts w:cs="Times New Roman"/>
          <w:szCs w:val="24"/>
        </w:rPr>
        <w:t>veikts izvērtējums par NVO iespējamo saistību ar TF riskiem.</w:t>
      </w:r>
    </w:p>
    <w:p w14:paraId="167508A4" w14:textId="15A3B3AC" w:rsidR="007722B6" w:rsidRDefault="007722B6" w:rsidP="007722B6">
      <w:pPr>
        <w:jc w:val="both"/>
        <w:rPr>
          <w:rFonts w:cs="Times New Roman"/>
          <w:szCs w:val="24"/>
        </w:rPr>
      </w:pPr>
    </w:p>
    <w:p w14:paraId="3124216D" w14:textId="77777777" w:rsidR="007722B6" w:rsidRPr="007722B6" w:rsidRDefault="007722B6" w:rsidP="007722B6">
      <w:pPr>
        <w:jc w:val="both"/>
        <w:rPr>
          <w:rFonts w:cs="Times New Roman"/>
          <w:szCs w:val="24"/>
        </w:rPr>
      </w:pPr>
      <w:r w:rsidRPr="007722B6">
        <w:rPr>
          <w:rFonts w:cs="Times New Roman"/>
          <w:szCs w:val="24"/>
        </w:rPr>
        <w:t>Plāna izpildei ir nepieciešams papildus finansējums šādiem pasākumiem:</w:t>
      </w:r>
    </w:p>
    <w:p w14:paraId="52231369" w14:textId="77777777" w:rsidR="007722B6" w:rsidRPr="007722B6" w:rsidRDefault="007722B6" w:rsidP="007722B6">
      <w:pPr>
        <w:jc w:val="both"/>
        <w:rPr>
          <w:rFonts w:cs="Times New Roman"/>
          <w:szCs w:val="24"/>
        </w:rPr>
      </w:pPr>
      <w:r w:rsidRPr="007722B6">
        <w:rPr>
          <w:rFonts w:cs="Times New Roman"/>
          <w:szCs w:val="24"/>
        </w:rPr>
        <w:t>1)</w:t>
      </w:r>
      <w:r w:rsidRPr="007722B6">
        <w:rPr>
          <w:rFonts w:cs="Times New Roman"/>
          <w:szCs w:val="24"/>
        </w:rPr>
        <w:tab/>
        <w:t>83 000 euro 2021. gadā un 747 000 euro 2022. gadā FID starptautiska līmeņa Egmont grupas plenārsēdes organizēšanai Rīgā;</w:t>
      </w:r>
    </w:p>
    <w:p w14:paraId="26AC818E" w14:textId="77777777" w:rsidR="007722B6" w:rsidRPr="007722B6" w:rsidRDefault="007722B6" w:rsidP="007722B6">
      <w:pPr>
        <w:jc w:val="both"/>
        <w:rPr>
          <w:rFonts w:cs="Times New Roman"/>
          <w:szCs w:val="24"/>
        </w:rPr>
      </w:pPr>
      <w:r w:rsidRPr="007722B6">
        <w:rPr>
          <w:rFonts w:cs="Times New Roman"/>
          <w:szCs w:val="24"/>
        </w:rPr>
        <w:t>2)</w:t>
      </w:r>
      <w:r w:rsidRPr="007722B6">
        <w:rPr>
          <w:rFonts w:cs="Times New Roman"/>
          <w:szCs w:val="24"/>
        </w:rPr>
        <w:tab/>
        <w:t>111 950 euro 2021. gadā Ārlietu ministrijai, lai izstrādātu vienotu tīmekļa vietni personu, pret kurām noteiktas sankcijas, kā arī noteikto ierobežojumu  skrīningam;</w:t>
      </w:r>
    </w:p>
    <w:p w14:paraId="42F2F954" w14:textId="77777777" w:rsidR="007722B6" w:rsidRPr="007722B6" w:rsidRDefault="007722B6" w:rsidP="007722B6">
      <w:pPr>
        <w:jc w:val="both"/>
        <w:rPr>
          <w:rFonts w:cs="Times New Roman"/>
          <w:szCs w:val="24"/>
        </w:rPr>
      </w:pPr>
      <w:r w:rsidRPr="007722B6">
        <w:rPr>
          <w:rFonts w:cs="Times New Roman"/>
          <w:szCs w:val="24"/>
        </w:rPr>
        <w:t>3)</w:t>
      </w:r>
      <w:r w:rsidRPr="007722B6">
        <w:rPr>
          <w:rFonts w:cs="Times New Roman"/>
          <w:szCs w:val="24"/>
        </w:rPr>
        <w:tab/>
        <w:t>116 955 euro 2021. gadā un 335 462 euro 2022.gadā FID, lai nodrošinātu NILLTPFN likuma prasībām atbilstošu kreditoru prasījumu izmaksas procesu LAS ABLV - 10 darbinieku piesaiste ziņojumu par aizdomīgajiem darījumiem analīzei, datu apkopošanai un nosūtīšanai tiesībsargājošām iestādēm;</w:t>
      </w:r>
    </w:p>
    <w:p w14:paraId="7E53F60F" w14:textId="77777777" w:rsidR="007722B6" w:rsidRPr="007722B6" w:rsidRDefault="007722B6" w:rsidP="007722B6">
      <w:pPr>
        <w:jc w:val="both"/>
        <w:rPr>
          <w:rFonts w:cs="Times New Roman"/>
          <w:szCs w:val="24"/>
        </w:rPr>
      </w:pPr>
      <w:r w:rsidRPr="007722B6">
        <w:rPr>
          <w:rFonts w:cs="Times New Roman"/>
          <w:szCs w:val="24"/>
        </w:rPr>
        <w:t>4)</w:t>
      </w:r>
      <w:r w:rsidRPr="007722B6">
        <w:rPr>
          <w:rFonts w:cs="Times New Roman"/>
          <w:szCs w:val="24"/>
        </w:rPr>
        <w:tab/>
        <w:t xml:space="preserve">961 192 euro 2021. gadā, 934 696 euro 2022. gadā un turpmāk katru gadu Valsts policijai, lai stiprinātu Valsts policijas rīcībā esošo darba resursu kapacitāti un spēju pilnvērtīgi apstrādāt un izmeklēt potenciāli pieaugušo pārbaudāmās informācijas apjomu un  kriminālprocesu skaitu </w:t>
      </w:r>
      <w:r w:rsidRPr="007722B6">
        <w:rPr>
          <w:rFonts w:cs="Times New Roman"/>
          <w:szCs w:val="24"/>
        </w:rPr>
        <w:lastRenderedPageBreak/>
        <w:t>NILL jomā - piešķirt finansējums 23 jaunu amata vietu izveidei VP Galvenās kriminālpolicijas pārvaldes Ekonomisko noziegumu apkarošanas pārvaldē un Kriminālizlūkošanas vadības pārvaldē;</w:t>
      </w:r>
    </w:p>
    <w:p w14:paraId="7BFD66D0" w14:textId="54152833" w:rsidR="00A30AD5" w:rsidRDefault="007722B6" w:rsidP="007722B6">
      <w:pPr>
        <w:jc w:val="both"/>
        <w:rPr>
          <w:rFonts w:cs="Times New Roman"/>
          <w:szCs w:val="24"/>
        </w:rPr>
      </w:pPr>
      <w:r w:rsidRPr="007722B6">
        <w:rPr>
          <w:rFonts w:cs="Times New Roman"/>
          <w:szCs w:val="24"/>
        </w:rPr>
        <w:t>5)</w:t>
      </w:r>
      <w:r w:rsidRPr="007722B6">
        <w:rPr>
          <w:rFonts w:cs="Times New Roman"/>
          <w:szCs w:val="24"/>
        </w:rPr>
        <w:tab/>
        <w:t>606 194 euro 2022. gadā un turpmāk katru gadu FID, lai ieviestu mehānismu mantas  konfiskācijai ārpus kriminālprocesa un nodrošinātu tā piemērošanu - papildus 15 amata vietas funkciju nodrošināšanai;</w:t>
      </w:r>
    </w:p>
    <w:p w14:paraId="4AB42037" w14:textId="11397918" w:rsidR="00A30AD5" w:rsidRPr="007722B6" w:rsidRDefault="00A30AD5" w:rsidP="007722B6">
      <w:pPr>
        <w:jc w:val="both"/>
        <w:rPr>
          <w:rFonts w:cs="Times New Roman"/>
          <w:szCs w:val="24"/>
        </w:rPr>
      </w:pPr>
      <w:r>
        <w:rPr>
          <w:rFonts w:cs="Times New Roman"/>
          <w:szCs w:val="24"/>
        </w:rPr>
        <w:t xml:space="preserve">6)         </w:t>
      </w:r>
      <w:r w:rsidRPr="00A30AD5">
        <w:rPr>
          <w:rFonts w:cs="Times New Roman"/>
          <w:szCs w:val="24"/>
        </w:rPr>
        <w:t>51 374 euro 2021.gadā un turpmāk katru gadu</w:t>
      </w:r>
      <w:r>
        <w:rPr>
          <w:rFonts w:cs="Times New Roman"/>
          <w:szCs w:val="24"/>
        </w:rPr>
        <w:t>, lai stiprinātu</w:t>
      </w:r>
      <w:r w:rsidRPr="00A30AD5">
        <w:rPr>
          <w:rFonts w:cs="Times New Roman"/>
          <w:szCs w:val="24"/>
        </w:rPr>
        <w:t xml:space="preserve"> Ma</w:t>
      </w:r>
      <w:r>
        <w:rPr>
          <w:rFonts w:cs="Times New Roman"/>
          <w:szCs w:val="24"/>
        </w:rPr>
        <w:t xml:space="preserve">ksātnespējas kontroles dienesta kapacitāti - </w:t>
      </w:r>
      <w:r w:rsidRPr="00A30AD5">
        <w:rPr>
          <w:rFonts w:cs="Times New Roman"/>
          <w:szCs w:val="24"/>
        </w:rPr>
        <w:t xml:space="preserve"> 2 jaunu amata vietu izveidei;</w:t>
      </w:r>
    </w:p>
    <w:p w14:paraId="3E078E13" w14:textId="43810A7B" w:rsidR="00A30AD5" w:rsidRPr="007722B6" w:rsidRDefault="00A30AD5" w:rsidP="007722B6">
      <w:pPr>
        <w:jc w:val="both"/>
        <w:rPr>
          <w:rFonts w:cs="Times New Roman"/>
          <w:szCs w:val="24"/>
        </w:rPr>
      </w:pPr>
      <w:r>
        <w:rPr>
          <w:rFonts w:cs="Times New Roman"/>
          <w:szCs w:val="24"/>
        </w:rPr>
        <w:t>7</w:t>
      </w:r>
      <w:r w:rsidR="007722B6" w:rsidRPr="007722B6">
        <w:rPr>
          <w:rFonts w:cs="Times New Roman"/>
          <w:szCs w:val="24"/>
        </w:rPr>
        <w:t>)</w:t>
      </w:r>
      <w:r w:rsidR="007722B6" w:rsidRPr="007722B6">
        <w:rPr>
          <w:rFonts w:cs="Times New Roman"/>
          <w:szCs w:val="24"/>
        </w:rPr>
        <w:tab/>
        <w:t>29 040 euro Valsts kancelejai Latvijas finanšu sektora starptautiskās rep</w:t>
      </w:r>
      <w:r>
        <w:rPr>
          <w:rFonts w:cs="Times New Roman"/>
          <w:szCs w:val="24"/>
        </w:rPr>
        <w:t>utācijas uzlabošanai 202</w:t>
      </w:r>
      <w:r w:rsidR="00D87375">
        <w:rPr>
          <w:rFonts w:cs="Times New Roman"/>
          <w:szCs w:val="24"/>
        </w:rPr>
        <w:t>0</w:t>
      </w:r>
      <w:r>
        <w:rPr>
          <w:rFonts w:cs="Times New Roman"/>
          <w:szCs w:val="24"/>
        </w:rPr>
        <w:t>. gadā.</w:t>
      </w:r>
    </w:p>
    <w:p w14:paraId="42CDF055" w14:textId="77777777" w:rsidR="007722B6" w:rsidRDefault="007722B6" w:rsidP="007722B6">
      <w:pPr>
        <w:jc w:val="both"/>
        <w:rPr>
          <w:rFonts w:cs="Times New Roman"/>
          <w:szCs w:val="24"/>
        </w:rPr>
      </w:pPr>
    </w:p>
    <w:p w14:paraId="067D8B8B" w14:textId="6A686A96" w:rsidR="007722B6" w:rsidRPr="007722B6" w:rsidRDefault="007722B6" w:rsidP="007722B6">
      <w:pPr>
        <w:jc w:val="both"/>
        <w:rPr>
          <w:rFonts w:cs="Times New Roman"/>
          <w:szCs w:val="24"/>
        </w:rPr>
      </w:pPr>
      <w:r w:rsidRPr="007722B6">
        <w:rPr>
          <w:rFonts w:cs="Times New Roman"/>
          <w:szCs w:val="24"/>
        </w:rPr>
        <w:t xml:space="preserve">Kopumā plāna pasākumu finansējums ir: </w:t>
      </w:r>
    </w:p>
    <w:p w14:paraId="195F101E" w14:textId="786931AD" w:rsidR="007722B6" w:rsidRPr="007722B6" w:rsidRDefault="007722B6" w:rsidP="007722B6">
      <w:pPr>
        <w:jc w:val="both"/>
        <w:rPr>
          <w:rFonts w:cs="Times New Roman"/>
          <w:szCs w:val="24"/>
        </w:rPr>
      </w:pPr>
      <w:r w:rsidRPr="007722B6">
        <w:rPr>
          <w:rFonts w:cs="Times New Roman"/>
          <w:szCs w:val="24"/>
        </w:rPr>
        <w:t>1)</w:t>
      </w:r>
      <w:r w:rsidRPr="007722B6">
        <w:rPr>
          <w:rFonts w:cs="Times New Roman"/>
          <w:szCs w:val="24"/>
        </w:rPr>
        <w:tab/>
        <w:t xml:space="preserve">samazināts par  </w:t>
      </w:r>
      <w:r w:rsidR="00A30AD5" w:rsidRPr="00A30AD5">
        <w:rPr>
          <w:rFonts w:cs="Times New Roman"/>
          <w:szCs w:val="24"/>
        </w:rPr>
        <w:t xml:space="preserve">247 484 </w:t>
      </w:r>
      <w:r w:rsidRPr="007722B6">
        <w:rPr>
          <w:rFonts w:cs="Times New Roman"/>
          <w:szCs w:val="24"/>
        </w:rPr>
        <w:t xml:space="preserve">euro 2020. gadā ( precizētais </w:t>
      </w:r>
      <w:r w:rsidR="00A30AD5" w:rsidRPr="00A30AD5">
        <w:rPr>
          <w:rFonts w:cs="Times New Roman"/>
          <w:szCs w:val="24"/>
        </w:rPr>
        <w:t xml:space="preserve">3 328 313 </w:t>
      </w:r>
      <w:r w:rsidRPr="007722B6">
        <w:rPr>
          <w:rFonts w:cs="Times New Roman"/>
          <w:szCs w:val="24"/>
        </w:rPr>
        <w:t>euro);</w:t>
      </w:r>
    </w:p>
    <w:p w14:paraId="6EFA0059" w14:textId="21E065EB" w:rsidR="007722B6" w:rsidRPr="007722B6" w:rsidRDefault="007722B6" w:rsidP="007722B6">
      <w:pPr>
        <w:jc w:val="both"/>
        <w:rPr>
          <w:rFonts w:cs="Times New Roman"/>
          <w:szCs w:val="24"/>
        </w:rPr>
      </w:pPr>
      <w:r w:rsidRPr="007722B6">
        <w:rPr>
          <w:rFonts w:cs="Times New Roman"/>
          <w:szCs w:val="24"/>
        </w:rPr>
        <w:t>2)</w:t>
      </w:r>
      <w:r w:rsidRPr="007722B6">
        <w:rPr>
          <w:rFonts w:cs="Times New Roman"/>
          <w:szCs w:val="24"/>
        </w:rPr>
        <w:tab/>
        <w:t xml:space="preserve">palielināts par </w:t>
      </w:r>
      <w:r w:rsidR="00A30AD5" w:rsidRPr="00A30AD5">
        <w:rPr>
          <w:rFonts w:cs="Times New Roman"/>
          <w:szCs w:val="24"/>
        </w:rPr>
        <w:t xml:space="preserve">1 400 234 </w:t>
      </w:r>
      <w:r w:rsidRPr="007722B6">
        <w:rPr>
          <w:rFonts w:cs="Times New Roman"/>
          <w:szCs w:val="24"/>
        </w:rPr>
        <w:t xml:space="preserve">euro 2021. gadā (precizētais </w:t>
      </w:r>
      <w:r w:rsidR="00A30AD5" w:rsidRPr="00A30AD5">
        <w:rPr>
          <w:rFonts w:cs="Times New Roman"/>
          <w:szCs w:val="24"/>
        </w:rPr>
        <w:t xml:space="preserve">6 351 006 </w:t>
      </w:r>
      <w:r w:rsidRPr="007722B6">
        <w:rPr>
          <w:rFonts w:cs="Times New Roman"/>
          <w:szCs w:val="24"/>
        </w:rPr>
        <w:t>euro);</w:t>
      </w:r>
    </w:p>
    <w:p w14:paraId="07EC520B" w14:textId="7AC61474" w:rsidR="007722B6" w:rsidRPr="007722B6" w:rsidRDefault="007722B6" w:rsidP="007722B6">
      <w:pPr>
        <w:jc w:val="both"/>
        <w:rPr>
          <w:rFonts w:cs="Times New Roman"/>
          <w:szCs w:val="24"/>
        </w:rPr>
      </w:pPr>
      <w:r w:rsidRPr="007722B6">
        <w:rPr>
          <w:rFonts w:cs="Times New Roman"/>
          <w:szCs w:val="24"/>
        </w:rPr>
        <w:t>3)</w:t>
      </w:r>
      <w:r w:rsidRPr="007722B6">
        <w:rPr>
          <w:rFonts w:cs="Times New Roman"/>
          <w:szCs w:val="24"/>
        </w:rPr>
        <w:tab/>
        <w:t xml:space="preserve">palielināts par </w:t>
      </w:r>
      <w:r w:rsidR="00A30AD5" w:rsidRPr="00A30AD5">
        <w:rPr>
          <w:rFonts w:cs="Times New Roman"/>
          <w:szCs w:val="24"/>
        </w:rPr>
        <w:t xml:space="preserve">2 361 211 </w:t>
      </w:r>
      <w:r w:rsidRPr="007722B6">
        <w:rPr>
          <w:rFonts w:cs="Times New Roman"/>
          <w:szCs w:val="24"/>
        </w:rPr>
        <w:t xml:space="preserve">euro 2022. gadā (precizētais </w:t>
      </w:r>
      <w:r w:rsidR="00A30AD5" w:rsidRPr="00A30AD5">
        <w:rPr>
          <w:rFonts w:cs="Times New Roman"/>
          <w:szCs w:val="24"/>
        </w:rPr>
        <w:t xml:space="preserve">7 232 661 </w:t>
      </w:r>
      <w:r w:rsidRPr="007722B6">
        <w:rPr>
          <w:rFonts w:cs="Times New Roman"/>
          <w:szCs w:val="24"/>
        </w:rPr>
        <w:t>euro);</w:t>
      </w:r>
    </w:p>
    <w:p w14:paraId="44309378" w14:textId="5A880244" w:rsidR="007722B6" w:rsidRDefault="007722B6" w:rsidP="007722B6">
      <w:pPr>
        <w:jc w:val="both"/>
        <w:rPr>
          <w:rFonts w:cs="Times New Roman"/>
          <w:szCs w:val="24"/>
        </w:rPr>
      </w:pPr>
      <w:r w:rsidRPr="007722B6">
        <w:rPr>
          <w:rFonts w:cs="Times New Roman"/>
          <w:szCs w:val="24"/>
        </w:rPr>
        <w:t>4)</w:t>
      </w:r>
      <w:r w:rsidRPr="007722B6">
        <w:rPr>
          <w:rFonts w:cs="Times New Roman"/>
          <w:szCs w:val="24"/>
        </w:rPr>
        <w:tab/>
        <w:t xml:space="preserve">palielināts par </w:t>
      </w:r>
      <w:r w:rsidR="00A30AD5" w:rsidRPr="00A30AD5">
        <w:rPr>
          <w:rFonts w:cs="Times New Roman"/>
          <w:szCs w:val="24"/>
        </w:rPr>
        <w:t xml:space="preserve">1 596 464 </w:t>
      </w:r>
      <w:r w:rsidRPr="007722B6">
        <w:rPr>
          <w:rFonts w:cs="Times New Roman"/>
          <w:szCs w:val="24"/>
        </w:rPr>
        <w:t xml:space="preserve">euro turpmāk katru gadu (precizētais </w:t>
      </w:r>
      <w:r w:rsidR="00A30AD5" w:rsidRPr="00A30AD5">
        <w:rPr>
          <w:rFonts w:cs="Times New Roman"/>
          <w:szCs w:val="24"/>
        </w:rPr>
        <w:t xml:space="preserve">5 547 020 </w:t>
      </w:r>
      <w:r w:rsidRPr="007722B6">
        <w:rPr>
          <w:rFonts w:cs="Times New Roman"/>
          <w:szCs w:val="24"/>
        </w:rPr>
        <w:t>euro).</w:t>
      </w:r>
    </w:p>
    <w:p w14:paraId="4D8F6608" w14:textId="77777777" w:rsidR="007722B6" w:rsidRPr="00CE7755" w:rsidRDefault="007722B6" w:rsidP="007722B6">
      <w:pPr>
        <w:jc w:val="both"/>
        <w:rPr>
          <w:rFonts w:cs="Times New Roman"/>
          <w:szCs w:val="24"/>
        </w:rPr>
      </w:pPr>
    </w:p>
    <w:p w14:paraId="61C272AE" w14:textId="77777777" w:rsidR="00CE7755" w:rsidRPr="00CE7755" w:rsidRDefault="00CE7755" w:rsidP="00CE7755">
      <w:pPr>
        <w:jc w:val="both"/>
        <w:rPr>
          <w:rFonts w:cs="Times New Roman"/>
          <w:szCs w:val="24"/>
        </w:rPr>
      </w:pPr>
      <w:r w:rsidRPr="00CE7755">
        <w:rPr>
          <w:rFonts w:cs="Times New Roman"/>
          <w:szCs w:val="24"/>
        </w:rPr>
        <w:t>Plāns balstās uz sekojošiem starptautiskiem, valsts līmeņa un sektoru risku novērtējumiem:</w:t>
      </w:r>
    </w:p>
    <w:p w14:paraId="7BB6571F" w14:textId="77777777" w:rsidR="00CE7755" w:rsidRPr="00CE7755" w:rsidRDefault="00CE7755" w:rsidP="00CE7755">
      <w:pPr>
        <w:numPr>
          <w:ilvl w:val="0"/>
          <w:numId w:val="32"/>
        </w:numPr>
        <w:ind w:left="0" w:firstLine="0"/>
        <w:jc w:val="both"/>
        <w:rPr>
          <w:rFonts w:cs="Times New Roman"/>
          <w:szCs w:val="24"/>
        </w:rPr>
      </w:pPr>
      <w:r w:rsidRPr="00CE7755">
        <w:rPr>
          <w:rFonts w:cs="Times New Roman"/>
          <w:szCs w:val="24"/>
        </w:rPr>
        <w:t>“Sektoru noziedzīgi iegūtu līdzekļu legalizācijas un terorisma finansēšanas risku novērtējums (2017.-2018.) kopsavilkuma ziņojums”;</w:t>
      </w:r>
    </w:p>
    <w:p w14:paraId="1D393F45" w14:textId="77777777" w:rsidR="00CE7755" w:rsidRPr="00CE7755" w:rsidRDefault="00CE7755" w:rsidP="00CE7755">
      <w:pPr>
        <w:numPr>
          <w:ilvl w:val="0"/>
          <w:numId w:val="32"/>
        </w:numPr>
        <w:ind w:left="0" w:firstLine="0"/>
        <w:jc w:val="both"/>
        <w:rPr>
          <w:rFonts w:cs="Times New Roman"/>
          <w:szCs w:val="24"/>
        </w:rPr>
      </w:pPr>
      <w:r w:rsidRPr="00CE7755">
        <w:rPr>
          <w:rFonts w:cs="Times New Roman"/>
          <w:szCs w:val="24"/>
        </w:rPr>
        <w:t>“Nacionālais terorisma un proliferācijas finansēšanas risku ziņojums par 2017.-2018.gadu” (papildināts 2019.gada jūlijā);</w:t>
      </w:r>
    </w:p>
    <w:p w14:paraId="383CE90C" w14:textId="77777777" w:rsidR="00CE7755" w:rsidRPr="00CE7755" w:rsidRDefault="00CE7755" w:rsidP="00CE7755">
      <w:pPr>
        <w:numPr>
          <w:ilvl w:val="0"/>
          <w:numId w:val="32"/>
        </w:numPr>
        <w:ind w:left="0" w:firstLine="0"/>
        <w:jc w:val="both"/>
        <w:rPr>
          <w:rFonts w:cs="Times New Roman"/>
          <w:szCs w:val="24"/>
        </w:rPr>
      </w:pPr>
      <w:r w:rsidRPr="00CE7755">
        <w:rPr>
          <w:rFonts w:cs="Times New Roman"/>
          <w:szCs w:val="24"/>
        </w:rPr>
        <w:t>“Juridisko personu un nevalstisko organizāciju noziedzīgi iegūtu līdzekļu legalizācijas un terorisma finansēšanas riski”;</w:t>
      </w:r>
    </w:p>
    <w:p w14:paraId="13C546EE" w14:textId="77777777" w:rsidR="00CE7755" w:rsidRPr="00CE7755" w:rsidRDefault="00CE7755" w:rsidP="00CE7755">
      <w:pPr>
        <w:numPr>
          <w:ilvl w:val="0"/>
          <w:numId w:val="32"/>
        </w:numPr>
        <w:ind w:left="0" w:firstLine="0"/>
        <w:jc w:val="both"/>
        <w:rPr>
          <w:rFonts w:cs="Times New Roman"/>
          <w:szCs w:val="24"/>
        </w:rPr>
      </w:pPr>
      <w:r w:rsidRPr="00CE7755">
        <w:rPr>
          <w:rFonts w:cs="Times New Roman"/>
          <w:szCs w:val="24"/>
        </w:rPr>
        <w:t>“Papildināts Latvijas Nacionālais NILLTF risku novērtēšanas ziņojums” (2018.gada 22.jūnijs);</w:t>
      </w:r>
    </w:p>
    <w:p w14:paraId="123EDC93" w14:textId="77777777" w:rsidR="00CE7755" w:rsidRPr="00CE7755" w:rsidRDefault="00CE7755" w:rsidP="00CE7755">
      <w:pPr>
        <w:numPr>
          <w:ilvl w:val="0"/>
          <w:numId w:val="32"/>
        </w:numPr>
        <w:ind w:left="0" w:firstLine="0"/>
        <w:jc w:val="both"/>
        <w:rPr>
          <w:rFonts w:cs="Times New Roman"/>
          <w:szCs w:val="24"/>
        </w:rPr>
      </w:pPr>
      <w:r w:rsidRPr="00CE7755">
        <w:rPr>
          <w:rFonts w:cs="Times New Roman"/>
          <w:szCs w:val="24"/>
        </w:rPr>
        <w:t>“Profesionālo pakalpojumu sniedzēju noziedzīgi iegūtu līdzekļu legalizācijas un terorisma finansēšanas risku ziņojums par 2017.-2018.gadu”;</w:t>
      </w:r>
    </w:p>
    <w:p w14:paraId="10A0AB27" w14:textId="77777777" w:rsidR="00CE7755" w:rsidRPr="00CE7755" w:rsidRDefault="00CE7755" w:rsidP="00CE7755">
      <w:pPr>
        <w:numPr>
          <w:ilvl w:val="0"/>
          <w:numId w:val="32"/>
        </w:numPr>
        <w:ind w:left="0" w:firstLine="0"/>
        <w:jc w:val="both"/>
        <w:rPr>
          <w:rFonts w:cs="Times New Roman"/>
          <w:szCs w:val="24"/>
        </w:rPr>
      </w:pPr>
      <w:r w:rsidRPr="00CE7755">
        <w:rPr>
          <w:rFonts w:cs="Times New Roman"/>
          <w:szCs w:val="24"/>
        </w:rPr>
        <w:t>“Virtuālās valūtas. Noziedzīgi iegūtu līdzekļu legalizācijas un terorisma finansēšanas riski”;</w:t>
      </w:r>
    </w:p>
    <w:p w14:paraId="7ED2B009" w14:textId="77777777" w:rsidR="00CE7755" w:rsidRPr="00CE7755" w:rsidRDefault="00CE7755" w:rsidP="00CE7755">
      <w:pPr>
        <w:numPr>
          <w:ilvl w:val="0"/>
          <w:numId w:val="32"/>
        </w:numPr>
        <w:ind w:left="0" w:firstLine="0"/>
        <w:jc w:val="both"/>
        <w:rPr>
          <w:rFonts w:cs="Times New Roman"/>
          <w:szCs w:val="24"/>
        </w:rPr>
      </w:pPr>
      <w:r w:rsidRPr="00CE7755">
        <w:rPr>
          <w:rFonts w:cs="Times New Roman"/>
          <w:szCs w:val="24"/>
        </w:rPr>
        <w:t>“Eiropas Komisijas Pārnacionālā noziedzīgi iegūtu līdzekļu legalizācijas un terorisma finansēšanas riska novērtējuma ziņojums”.</w:t>
      </w:r>
    </w:p>
    <w:p w14:paraId="73B8444D" w14:textId="77777777" w:rsidR="00CE7755" w:rsidRPr="00CE7755" w:rsidRDefault="00CE7755" w:rsidP="00CE7755">
      <w:pPr>
        <w:jc w:val="both"/>
        <w:rPr>
          <w:rFonts w:cs="Times New Roman"/>
          <w:szCs w:val="24"/>
        </w:rPr>
      </w:pPr>
      <w:r w:rsidRPr="00CE7755">
        <w:rPr>
          <w:rFonts w:cs="Times New Roman"/>
          <w:szCs w:val="24"/>
        </w:rPr>
        <w:t xml:space="preserve">Sagatavojot plānu tika apsvērts, ka kredītiestādes ir pakļautas paaugstinātam NILLTPF riskam, kā arī tām piemīt augstākais NILLTPF draudu līmenis. Riski joprojām pastāv banku spējā pārvaldīt un mazināt NILLTPF un sankciju apiešanas riskus. Ir uzlabojama ar risku pamatota pieeja, lai bankas pilnvērtīgi veiktu klientu padziļināto izpēti, noskaidrotu klienta un PLG līdzekļu un PLG labklājības izcelsmi, spētu atpazīt un izpētīt saistītu klientu grupu, pareizi klasificētu klientus pēc riska. Ir jāpanāk samērīgs risinājums starp finanšu pakalpojumu sniegšanu un gadījumiem, kad sadarbība ar klientiem, kas rada nepieņemamus NILLTPF riskus, ir laikus jāpārtrauc. </w:t>
      </w:r>
    </w:p>
    <w:p w14:paraId="791BF043" w14:textId="77777777" w:rsidR="007722B6" w:rsidRDefault="007722B6" w:rsidP="00CE7755">
      <w:pPr>
        <w:jc w:val="both"/>
        <w:rPr>
          <w:rFonts w:cs="Times New Roman"/>
          <w:szCs w:val="24"/>
        </w:rPr>
      </w:pPr>
    </w:p>
    <w:p w14:paraId="7F2121B3" w14:textId="42FCD8F4" w:rsidR="00CE7755" w:rsidRPr="00CE7755" w:rsidRDefault="00CE7755" w:rsidP="00CE7755">
      <w:pPr>
        <w:jc w:val="both"/>
        <w:rPr>
          <w:rFonts w:cs="Times New Roman"/>
          <w:szCs w:val="24"/>
        </w:rPr>
      </w:pPr>
      <w:r w:rsidRPr="00CE7755">
        <w:rPr>
          <w:rFonts w:cs="Times New Roman"/>
          <w:szCs w:val="24"/>
        </w:rPr>
        <w:t>Sagatavojot priekšlikumus, ņemti vērā šādi būtiski secinājumi no risku novērtējumiem:</w:t>
      </w:r>
    </w:p>
    <w:p w14:paraId="3516C73D" w14:textId="77777777" w:rsidR="00CE7755" w:rsidRPr="00CE7755" w:rsidRDefault="00CE7755" w:rsidP="00CE7755">
      <w:pPr>
        <w:jc w:val="both"/>
        <w:rPr>
          <w:rFonts w:cs="Times New Roman"/>
          <w:szCs w:val="24"/>
        </w:rPr>
      </w:pPr>
      <w:r w:rsidRPr="00CE7755">
        <w:rPr>
          <w:rFonts w:cs="Times New Roman"/>
          <w:szCs w:val="24"/>
        </w:rPr>
        <w:t>“Sektoru noziedzīgi iegūtu līdzekļu legalizācijas un terorisma finansēšanas risku novērtējums (2017.-2018.) kopsavilkuma ziņojums”:</w:t>
      </w:r>
    </w:p>
    <w:p w14:paraId="45E648B3" w14:textId="77777777" w:rsidR="00CE7755" w:rsidRPr="00CE7755" w:rsidRDefault="00CE7755" w:rsidP="00CE7755">
      <w:pPr>
        <w:jc w:val="both"/>
        <w:rPr>
          <w:rFonts w:cs="Times New Roman"/>
          <w:szCs w:val="24"/>
        </w:rPr>
      </w:pPr>
      <w:r w:rsidRPr="00CE7755">
        <w:rPr>
          <w:rFonts w:cs="Times New Roman"/>
          <w:szCs w:val="24"/>
        </w:rPr>
        <w:lastRenderedPageBreak/>
        <w:t>1)</w:t>
      </w:r>
      <w:r w:rsidRPr="00CE7755">
        <w:rPr>
          <w:rFonts w:cs="Times New Roman"/>
          <w:szCs w:val="24"/>
        </w:rPr>
        <w:tab/>
        <w:t>MI/ENI loma maksājumu pakalpojumu sniegšanā aizvien pieaug, nereti sniedzot kredītiestādēm analogus pakalpojumus maksājumu pakalpojumu jomā, padarot tās īpaši neaizsargātas un pakļautas NILLTF riskiem. MI/ENI riskus paaugstina segmenta augstā ievainojamība, kas galvenokārt ir saistīta ar nepietiekamu NILLTF risku pārvaldību, t.sk. nepietiekama NILLTF novēršanas IKS struktūru neatkarība un formāla pieeja NILLTFN normatīvo prasību izpildei. MI/ENI piedāvāto pakalpojumu specifikas dēļ, attiecīgos subjektus iespējams izmantot nodokļu krāpšanas shēmās. Uzraudzības gaitā konstatēts, ka MI/ENI, kas apkalpo iekšzemes klientus, īpaši piedāvājot tiem maksājumu kontu pakalpojumus, var tikt iesaistītas NILLTF shēmās, kas saistītas ar izvairīšanos no nodokļu nomaksas vai nodokļu izkrāpšanu. Tāpat iespējama iesaiste sankciju apiešanā un/vai pārkāpšanā.</w:t>
      </w:r>
    </w:p>
    <w:p w14:paraId="2E7FD731" w14:textId="77777777" w:rsidR="00CE7755" w:rsidRPr="00CE7755" w:rsidRDefault="00CE7755" w:rsidP="00CE7755">
      <w:pPr>
        <w:jc w:val="both"/>
        <w:rPr>
          <w:rFonts w:cs="Times New Roman"/>
          <w:szCs w:val="24"/>
        </w:rPr>
      </w:pPr>
      <w:r w:rsidRPr="00CE7755">
        <w:rPr>
          <w:rFonts w:cs="Times New Roman"/>
          <w:szCs w:val="24"/>
        </w:rPr>
        <w:t>2)</w:t>
      </w:r>
      <w:r w:rsidRPr="00CE7755">
        <w:rPr>
          <w:rFonts w:cs="Times New Roman"/>
          <w:szCs w:val="24"/>
        </w:rPr>
        <w:tab/>
        <w:t>IBS un IPS. IBS segmentā būtiskākos riskus rada pakalpojumu sniegšana ārvalstu klientiem, kā arī ar to saistītais paaugstinātais starptautisko darījumu apjoma īpatsvars. Finanšu instrumentus var izmantot sarežģītu, grūti izsekojamu NILL darījumu shēmu ar finanšu instrumentiem izveidē, kas apgrūtina iespēju pārliecināties par darījumu ekonomisko un tiesisko pamatu un faktisko mērķi. IPS segmentā paaugstinātus NILLTF riskus rada ārvalstu klientu individuālo investīciju portfeļu pārvaldīšana. IPS var tikt iesaistītas sarežģītās NILL darījumu shēmās ar finanšu instrumentiem.</w:t>
      </w:r>
    </w:p>
    <w:p w14:paraId="796F364F" w14:textId="77777777" w:rsidR="00CE7755" w:rsidRPr="00CE7755" w:rsidRDefault="00CE7755" w:rsidP="00CE7755">
      <w:pPr>
        <w:jc w:val="both"/>
        <w:rPr>
          <w:rFonts w:cs="Times New Roman"/>
          <w:szCs w:val="24"/>
        </w:rPr>
      </w:pPr>
      <w:r w:rsidRPr="00CE7755">
        <w:rPr>
          <w:rFonts w:cs="Times New Roman"/>
          <w:szCs w:val="24"/>
        </w:rPr>
        <w:t>3)</w:t>
      </w:r>
      <w:r w:rsidRPr="00CE7755">
        <w:rPr>
          <w:rFonts w:cs="Times New Roman"/>
          <w:szCs w:val="24"/>
        </w:rPr>
        <w:tab/>
        <w:t>Juridiska veidojuma vai juridiskās personas dibināšanas un darbības nodrošināšanas pakalpojumu sniedzēji. Ar NILLTF saistītie riski ir čaulas kompāniju un sarežģītu īpašumtiesību struktūras izveide, izmantojot dažādas jurisdikcijas, lai slēptu vai apgrūtinātu PLG noskaidrošanu. Arī NVO var tikt izmantotas NILL vai lai finansētu terorismu.</w:t>
      </w:r>
    </w:p>
    <w:p w14:paraId="3A8367CA" w14:textId="77777777" w:rsidR="00CE7755" w:rsidRPr="00CE7755" w:rsidRDefault="00CE7755" w:rsidP="00CE7755">
      <w:pPr>
        <w:jc w:val="both"/>
        <w:rPr>
          <w:rFonts w:cs="Times New Roman"/>
          <w:szCs w:val="24"/>
        </w:rPr>
      </w:pPr>
      <w:r w:rsidRPr="00CE7755">
        <w:rPr>
          <w:rFonts w:cs="Times New Roman"/>
          <w:szCs w:val="24"/>
        </w:rPr>
        <w:t>4)</w:t>
      </w:r>
      <w:r w:rsidRPr="00CE7755">
        <w:rPr>
          <w:rFonts w:cs="Times New Roman"/>
          <w:szCs w:val="24"/>
        </w:rPr>
        <w:tab/>
        <w:t>Nodokļu konsultanti. Pastāv risks, ka konsultācijas tiek izmantotas NILL, kā arī lai izvairītos no nodokļu nomaksas - noziedznieki var izmantot sektora pārstāvju sniegtos pakalpojumus, lai slēptu NIL izcelsmi un/vai leģitimētu aktīvus dažādos veidos, piemēram, izveidojot uzņēmumus un ārzonas uzņēmumu struktūras, sniedzot fiktīvus līgumus un citus darījumu dokumentus, sagatavotu gada pārskatus.</w:t>
      </w:r>
    </w:p>
    <w:p w14:paraId="5E318A38" w14:textId="77777777" w:rsidR="00CE7755" w:rsidRPr="00CE7755" w:rsidRDefault="00CE7755" w:rsidP="00CE7755">
      <w:pPr>
        <w:jc w:val="both"/>
        <w:rPr>
          <w:rFonts w:cs="Times New Roman"/>
          <w:szCs w:val="24"/>
        </w:rPr>
      </w:pPr>
      <w:r w:rsidRPr="00CE7755">
        <w:rPr>
          <w:rFonts w:cs="Times New Roman"/>
          <w:szCs w:val="24"/>
        </w:rPr>
        <w:t>5)</w:t>
      </w:r>
      <w:r w:rsidRPr="00CE7755">
        <w:rPr>
          <w:rFonts w:cs="Times New Roman"/>
          <w:szCs w:val="24"/>
        </w:rPr>
        <w:tab/>
        <w:t>Ārpakalpojumu grāmatveži. Arī grāmatvedības pakalpojumu sniedzēji jeb ārpakalpojuma grāmatveži, to specifisko zināšanu dēļ, ir spējīgi sniegt konsultācijas saistībā ar nodokļiem. Izvēloties ārpakalpojuma grāmatvedi, personai nav valstiski atzīta mehānisma, lai noskaidrotu, kura no šīm personām ir uzticama un zinoša, kā arī to, kādi ir šīs personas ētikas standarti un atbildības mehānisms. Noziedznieki var izmantot sektora pārstāvjus, lai slēptu NIL izcelsmi un/vai leģitimētu aktīvus dažādos veidos, piemēram, izveidojot uzņēmumus un ārzonas uzņēmumu struktūras, sniedzot fiktīvus līgumus un citus darījumu dokumentus, sagatavotu gada pārskatus.</w:t>
      </w:r>
    </w:p>
    <w:p w14:paraId="2D907E61" w14:textId="77777777" w:rsidR="00CE7755" w:rsidRPr="00CE7755" w:rsidRDefault="00CE7755" w:rsidP="00CE7755">
      <w:pPr>
        <w:jc w:val="both"/>
        <w:rPr>
          <w:rFonts w:cs="Times New Roman"/>
          <w:szCs w:val="24"/>
        </w:rPr>
      </w:pPr>
      <w:r w:rsidRPr="00CE7755">
        <w:rPr>
          <w:rFonts w:cs="Times New Roman"/>
          <w:szCs w:val="24"/>
        </w:rPr>
        <w:t>6)</w:t>
      </w:r>
      <w:r w:rsidRPr="00CE7755">
        <w:rPr>
          <w:rFonts w:cs="Times New Roman"/>
          <w:szCs w:val="24"/>
        </w:rPr>
        <w:tab/>
        <w:t>Neatkarīgi juridisko pakalpojumu sniedzēji. Sektora būtiskākos riskus rada apzināta darījumu un juridisko personu strukturēšana, lai slēptu līdzekļu plūsmu un PLG, fiktīvu darījumu dokumentu sagatavošana (t.sk. lai izvairītos no nodokļu nomaksas; radītu leģitimitātes aizsegu kriminālām darbībām). Tāpat iespējama konsultāciju sniegšana par NILL. Ņemot vērā šīs nozares profesionāļu padziļinātās zināšanas normatīvajos aktos un ekonomikā, pastāv risks, ka konsultācijas tiek apzināti sniegtas vai neapzināti izmantotas NILL mērķiem.</w:t>
      </w:r>
    </w:p>
    <w:p w14:paraId="1B4D28A1" w14:textId="77777777" w:rsidR="00CE7755" w:rsidRPr="00CE7755" w:rsidRDefault="00CE7755" w:rsidP="00CE7755">
      <w:pPr>
        <w:jc w:val="both"/>
        <w:rPr>
          <w:rFonts w:cs="Times New Roman"/>
          <w:szCs w:val="24"/>
        </w:rPr>
      </w:pPr>
      <w:r w:rsidRPr="00CE7755">
        <w:rPr>
          <w:rFonts w:cs="Times New Roman"/>
          <w:szCs w:val="24"/>
        </w:rPr>
        <w:t>7)</w:t>
      </w:r>
      <w:r w:rsidRPr="00CE7755">
        <w:rPr>
          <w:rFonts w:cs="Times New Roman"/>
          <w:szCs w:val="24"/>
        </w:rPr>
        <w:tab/>
        <w:t xml:space="preserve">Zvērināti advokāti. Daļa no advokātu sniegtajiem pakalpojumiem var būt pievilcīgi noziedzniekiem, kas vēlas slēpt NIL izcelsmi. Pastāv risks, ka zvērināti advokāti var tikt neapzināti iesaistīti un/vai izmatoti NILL, piemēram, darījumiem nepieciešamo dokumentu sagatavošanā, juridisku struktūru izveidē, kas ļauj slēpt NIL izcelsmi un/vai PLG. Tāpat nav izslēdzama iespējamība, ka šādus pakalpojumus apzināti sniedz </w:t>
      </w:r>
      <w:r w:rsidRPr="00CE7755">
        <w:rPr>
          <w:rFonts w:cs="Times New Roman"/>
          <w:szCs w:val="24"/>
        </w:rPr>
        <w:lastRenderedPageBreak/>
        <w:t xml:space="preserve">negodprātīgi profesijas pārstāvji. Tāpat noziedznieki var izmantot zvērinātu advokātu statusa priekšrocības, pilnvarojot profesijas pārstāvi rīkoties klienta interesēs, piemēram, iegādāties nekustamo īpašumu. </w:t>
      </w:r>
    </w:p>
    <w:p w14:paraId="68FFA857" w14:textId="77777777" w:rsidR="007722B6" w:rsidRDefault="007722B6" w:rsidP="00CE7755">
      <w:pPr>
        <w:jc w:val="both"/>
        <w:rPr>
          <w:rFonts w:cs="Times New Roman"/>
          <w:szCs w:val="24"/>
        </w:rPr>
      </w:pPr>
    </w:p>
    <w:p w14:paraId="7A1C76B6" w14:textId="240B8525" w:rsidR="00CE7755" w:rsidRPr="00CE7755" w:rsidRDefault="00CE7755" w:rsidP="00CE7755">
      <w:pPr>
        <w:jc w:val="both"/>
        <w:rPr>
          <w:rFonts w:cs="Times New Roman"/>
          <w:szCs w:val="24"/>
        </w:rPr>
      </w:pPr>
      <w:r w:rsidRPr="00CE7755">
        <w:rPr>
          <w:rFonts w:cs="Times New Roman"/>
          <w:szCs w:val="24"/>
        </w:rPr>
        <w:t>“Nacionālais terorisma un proliferācijas finansēšanas risku ziņojums par 2017.-2018.gadu”. Faktori, kas rada nozīmīgāko nacionālo ievainojamību:</w:t>
      </w:r>
    </w:p>
    <w:p w14:paraId="3103163C" w14:textId="77777777" w:rsidR="00CE7755" w:rsidRPr="00CE7755" w:rsidRDefault="00CE7755" w:rsidP="00CE7755">
      <w:pPr>
        <w:jc w:val="both"/>
        <w:rPr>
          <w:rFonts w:cs="Times New Roman"/>
          <w:szCs w:val="24"/>
        </w:rPr>
      </w:pPr>
      <w:r w:rsidRPr="00CE7755">
        <w:rPr>
          <w:rFonts w:cs="Times New Roman"/>
          <w:szCs w:val="24"/>
        </w:rPr>
        <w:t>1)</w:t>
      </w:r>
      <w:r w:rsidRPr="00CE7755">
        <w:rPr>
          <w:rFonts w:cs="Times New Roman"/>
          <w:szCs w:val="24"/>
        </w:rPr>
        <w:tab/>
        <w:t>Latvijas finanšu pakalpojumu sniedzēji var tikt izmantoti finanšu līdzekļu pārskatījumiem – izmantojot sarežģītus darījumus vai īpašnieku struktūras, zem kā var slēpt TF, veicot darījumus gan lielos, gan nelielos apmēros, lai finansētu terorismu citās valstīs (kā norādīts Ziņojuma pielikumos, līdz šim nav pierādījumu, kas pamatotu šo potenciālo apdraudējumu).</w:t>
      </w:r>
    </w:p>
    <w:p w14:paraId="5E78C7D9" w14:textId="77777777" w:rsidR="00CE7755" w:rsidRPr="00CE7755" w:rsidRDefault="00CE7755" w:rsidP="00CE7755">
      <w:pPr>
        <w:jc w:val="both"/>
        <w:rPr>
          <w:rFonts w:cs="Times New Roman"/>
          <w:szCs w:val="24"/>
        </w:rPr>
      </w:pPr>
      <w:r w:rsidRPr="00CE7755">
        <w:rPr>
          <w:rFonts w:cs="Times New Roman"/>
          <w:szCs w:val="24"/>
        </w:rPr>
        <w:t>2)</w:t>
      </w:r>
      <w:r w:rsidRPr="00CE7755">
        <w:rPr>
          <w:rFonts w:cs="Times New Roman"/>
          <w:szCs w:val="24"/>
        </w:rPr>
        <w:tab/>
        <w:t xml:space="preserve">Nebanku sektorā ne vienmēr tiek izmantoti adekvāti tehnoloģiskie risinājumi teroristu identificēšanai, t.sk. klientu pārbaudei sankciju sarakstos. </w:t>
      </w:r>
    </w:p>
    <w:p w14:paraId="5A97B7AE" w14:textId="77777777" w:rsidR="00CE7755" w:rsidRPr="00CE7755" w:rsidRDefault="00CE7755" w:rsidP="00CE7755">
      <w:pPr>
        <w:jc w:val="both"/>
        <w:rPr>
          <w:rFonts w:cs="Times New Roman"/>
          <w:szCs w:val="24"/>
        </w:rPr>
      </w:pPr>
      <w:r w:rsidRPr="00CE7755">
        <w:rPr>
          <w:rFonts w:cs="Times New Roman"/>
          <w:szCs w:val="24"/>
        </w:rPr>
        <w:t>3)</w:t>
      </w:r>
      <w:r w:rsidRPr="00CE7755">
        <w:rPr>
          <w:rFonts w:cs="Times New Roman"/>
          <w:szCs w:val="24"/>
        </w:rPr>
        <w:tab/>
        <w:t xml:space="preserve">Finanšu pakalpojumi, ko iespējams saņemt neklātienē, rada anonimitātes un krāpniecības risku, kā rezultātā nauda var tikt nodota trešajai personai. Šādi pakalpojumi ir viegli un ātri pieejami, un nav skaidrs iegūto līdzekļu izlietošanas mērķis. </w:t>
      </w:r>
    </w:p>
    <w:p w14:paraId="096E84FA" w14:textId="77777777" w:rsidR="00CE7755" w:rsidRPr="00CE7755" w:rsidRDefault="00CE7755" w:rsidP="00CE7755">
      <w:pPr>
        <w:jc w:val="both"/>
        <w:rPr>
          <w:rFonts w:cs="Times New Roman"/>
          <w:szCs w:val="24"/>
        </w:rPr>
      </w:pPr>
      <w:r w:rsidRPr="00CE7755">
        <w:rPr>
          <w:rFonts w:cs="Times New Roman"/>
          <w:szCs w:val="24"/>
        </w:rPr>
        <w:t>4)</w:t>
      </w:r>
      <w:r w:rsidRPr="00CE7755">
        <w:rPr>
          <w:rFonts w:cs="Times New Roman"/>
          <w:szCs w:val="24"/>
        </w:rPr>
        <w:tab/>
        <w:t xml:space="preserve">Nebanku sektorā ne vienmēr tiek praktizēta pilnvērtīga personu pārbaude starptautisko un nacionālo sankciju sarakstos, kā arī nebanku sektorā nodarbināto zināšanas par TF riskiem ir nepilnīgas. </w:t>
      </w:r>
    </w:p>
    <w:p w14:paraId="6FF01A79" w14:textId="77777777" w:rsidR="00CE7755" w:rsidRPr="00CE7755" w:rsidRDefault="00CE7755" w:rsidP="00CE7755">
      <w:pPr>
        <w:jc w:val="both"/>
        <w:rPr>
          <w:rFonts w:cs="Times New Roman"/>
          <w:szCs w:val="24"/>
        </w:rPr>
      </w:pPr>
      <w:r w:rsidRPr="00CE7755">
        <w:rPr>
          <w:rFonts w:cs="Times New Roman"/>
          <w:szCs w:val="24"/>
        </w:rPr>
        <w:t>5)</w:t>
      </w:r>
      <w:r w:rsidRPr="00CE7755">
        <w:rPr>
          <w:rFonts w:cs="Times New Roman"/>
          <w:szCs w:val="24"/>
        </w:rPr>
        <w:tab/>
        <w:t>Biedrībām pastāv iespēja brīvi saņemt ziedojumus, kā avoti netiek uzskaitīti, turklāt praksē konstatētas grūtības veikt mērķziedojumu izlietošanas kontroli.</w:t>
      </w:r>
    </w:p>
    <w:p w14:paraId="545D1AD6" w14:textId="77777777" w:rsidR="007722B6" w:rsidRDefault="007722B6" w:rsidP="00CE7755">
      <w:pPr>
        <w:jc w:val="both"/>
        <w:rPr>
          <w:rFonts w:cs="Times New Roman"/>
          <w:szCs w:val="24"/>
        </w:rPr>
      </w:pPr>
    </w:p>
    <w:p w14:paraId="693481E0" w14:textId="78CC6574" w:rsidR="00CE7755" w:rsidRPr="00CE7755" w:rsidRDefault="00CE7755" w:rsidP="00CE7755">
      <w:pPr>
        <w:jc w:val="both"/>
        <w:rPr>
          <w:rFonts w:cs="Times New Roman"/>
          <w:szCs w:val="24"/>
        </w:rPr>
      </w:pPr>
      <w:r w:rsidRPr="00CE7755">
        <w:rPr>
          <w:rFonts w:cs="Times New Roman"/>
          <w:szCs w:val="24"/>
        </w:rPr>
        <w:t>“Juridisko personu un nevalstisko organizāciju noziedzīgi iegūtu līdzekļu legalizācijas un terorisma finansēšanas riski”:</w:t>
      </w:r>
    </w:p>
    <w:p w14:paraId="1E675A33" w14:textId="77777777" w:rsidR="00CE7755" w:rsidRPr="00CE7755" w:rsidRDefault="00CE7755" w:rsidP="00CE7755">
      <w:pPr>
        <w:jc w:val="both"/>
        <w:rPr>
          <w:rFonts w:cs="Times New Roman"/>
          <w:szCs w:val="24"/>
        </w:rPr>
      </w:pPr>
      <w:r w:rsidRPr="00CE7755">
        <w:rPr>
          <w:rFonts w:cs="Times New Roman"/>
          <w:szCs w:val="24"/>
        </w:rPr>
        <w:t>1)</w:t>
      </w:r>
      <w:r w:rsidRPr="00CE7755">
        <w:rPr>
          <w:rFonts w:cs="Times New Roman"/>
          <w:szCs w:val="24"/>
        </w:rPr>
        <w:tab/>
        <w:t>Juridiskajām personām piemīt augsta NILLTF ievainojamība un iespējamība juridiskās personas izmantot, lai slēptu līdzekļu izcelsmi, maskētu PLG, kā arī nepiesaistītu ar NILLTF uzraudzību un novēršanu atbildīgo institūciju uzmanību.</w:t>
      </w:r>
    </w:p>
    <w:p w14:paraId="7DFC189C" w14:textId="77777777" w:rsidR="00CE7755" w:rsidRPr="00CE7755" w:rsidRDefault="00CE7755" w:rsidP="00CE7755">
      <w:pPr>
        <w:jc w:val="both"/>
        <w:rPr>
          <w:rFonts w:cs="Times New Roman"/>
          <w:szCs w:val="24"/>
        </w:rPr>
      </w:pPr>
      <w:r w:rsidRPr="00CE7755">
        <w:rPr>
          <w:rFonts w:cs="Times New Roman"/>
          <w:szCs w:val="24"/>
        </w:rPr>
        <w:t>2)</w:t>
      </w:r>
      <w:r w:rsidRPr="00CE7755">
        <w:rPr>
          <w:rFonts w:cs="Times New Roman"/>
          <w:szCs w:val="24"/>
        </w:rPr>
        <w:tab/>
        <w:t>NVO galvenokārt neveic tiešu un nepastarpinātu TF un atbalstīšanu – lielākoties NVO ieņem starpnieka lomu, lai piesaistītu līdzekļus un vēlāk tos novirzītu, slēpjot patieso saņēmēju un izlietojuma mērķi. NVO var tikt iesaistītas vairākos vai jebkurā no NILLTF shēmas posmiem: līdzekļu vākšana, legalizācija, sadale.</w:t>
      </w:r>
    </w:p>
    <w:p w14:paraId="67E5AEA9" w14:textId="77777777" w:rsidR="007722B6" w:rsidRDefault="007722B6" w:rsidP="00CE7755">
      <w:pPr>
        <w:jc w:val="both"/>
        <w:rPr>
          <w:rFonts w:cs="Times New Roman"/>
          <w:szCs w:val="24"/>
        </w:rPr>
      </w:pPr>
    </w:p>
    <w:p w14:paraId="4B4920D1" w14:textId="1182F460" w:rsidR="00CE7755" w:rsidRPr="00CE7755" w:rsidRDefault="00CE7755" w:rsidP="00CE7755">
      <w:pPr>
        <w:jc w:val="both"/>
        <w:rPr>
          <w:rFonts w:cs="Times New Roman"/>
          <w:szCs w:val="24"/>
        </w:rPr>
      </w:pPr>
      <w:r w:rsidRPr="00CE7755">
        <w:rPr>
          <w:rFonts w:cs="Times New Roman"/>
          <w:szCs w:val="24"/>
        </w:rPr>
        <w:t>“Papildināts Latvijas Nacionālais NILLTF risku novērtēšanas ziņojums”. Faktori, kas rada nozīmīgāko finanšu sektora ievainojamību:</w:t>
      </w:r>
    </w:p>
    <w:p w14:paraId="4F7CCD6A" w14:textId="77777777" w:rsidR="00CE7755" w:rsidRPr="00CE7755" w:rsidRDefault="00CE7755" w:rsidP="00CE7755">
      <w:pPr>
        <w:jc w:val="both"/>
        <w:rPr>
          <w:rFonts w:cs="Times New Roman"/>
          <w:szCs w:val="24"/>
        </w:rPr>
      </w:pPr>
      <w:r w:rsidRPr="00CE7755">
        <w:rPr>
          <w:rFonts w:cs="Times New Roman"/>
          <w:szCs w:val="24"/>
        </w:rPr>
        <w:t>1)</w:t>
      </w:r>
      <w:r w:rsidRPr="00CE7755">
        <w:rPr>
          <w:rFonts w:cs="Times New Roman"/>
          <w:szCs w:val="24"/>
        </w:rPr>
        <w:tab/>
        <w:t>augsta riska apetīte attiecībā uz paaugstinātam NILLTF riskam pakļautajiem ārvalstu klientu darījumiem ārvalstu klientus apkalpojošo banku sektorā;</w:t>
      </w:r>
    </w:p>
    <w:p w14:paraId="01E12D09" w14:textId="77777777" w:rsidR="00CE7755" w:rsidRPr="00CE7755" w:rsidRDefault="00CE7755" w:rsidP="00CE7755">
      <w:pPr>
        <w:jc w:val="both"/>
        <w:rPr>
          <w:rFonts w:cs="Times New Roman"/>
          <w:szCs w:val="24"/>
        </w:rPr>
      </w:pPr>
      <w:r w:rsidRPr="00CE7755">
        <w:rPr>
          <w:rFonts w:cs="Times New Roman"/>
          <w:szCs w:val="24"/>
        </w:rPr>
        <w:t>2)</w:t>
      </w:r>
      <w:r w:rsidRPr="00CE7755">
        <w:rPr>
          <w:rFonts w:cs="Times New Roman"/>
          <w:szCs w:val="24"/>
        </w:rPr>
        <w:tab/>
        <w:t>IKS nepietiekama neatkarība, ko rada būtiski trūkumi organizatoriskajā struktūrā (korporatīvās pārvaldības principu nepietiekama ievērošana, tai skaitā banku akcionāru iesaiste IKS vadībā);</w:t>
      </w:r>
    </w:p>
    <w:p w14:paraId="3689575C" w14:textId="77777777" w:rsidR="00CE7755" w:rsidRPr="00CE7755" w:rsidRDefault="00CE7755" w:rsidP="00CE7755">
      <w:pPr>
        <w:jc w:val="both"/>
        <w:rPr>
          <w:rFonts w:cs="Times New Roman"/>
          <w:szCs w:val="24"/>
        </w:rPr>
      </w:pPr>
      <w:r w:rsidRPr="00CE7755">
        <w:rPr>
          <w:rFonts w:cs="Times New Roman"/>
          <w:szCs w:val="24"/>
        </w:rPr>
        <w:t>3)</w:t>
      </w:r>
      <w:r w:rsidRPr="00CE7755">
        <w:rPr>
          <w:rFonts w:cs="Times New Roman"/>
          <w:szCs w:val="24"/>
        </w:rPr>
        <w:tab/>
        <w:t>nepietiekama IKS personāla kompetence un trūkumi personiskās atbildības nodrošinājuma jomā;</w:t>
      </w:r>
    </w:p>
    <w:p w14:paraId="4DE93AE4" w14:textId="77777777" w:rsidR="00CE7755" w:rsidRPr="00CE7755" w:rsidRDefault="00CE7755" w:rsidP="00CE7755">
      <w:pPr>
        <w:jc w:val="both"/>
        <w:rPr>
          <w:rFonts w:cs="Times New Roman"/>
          <w:szCs w:val="24"/>
        </w:rPr>
      </w:pPr>
      <w:r w:rsidRPr="00CE7755">
        <w:rPr>
          <w:rFonts w:cs="Times New Roman"/>
          <w:szCs w:val="24"/>
        </w:rPr>
        <w:t>4)</w:t>
      </w:r>
      <w:r w:rsidRPr="00CE7755">
        <w:rPr>
          <w:rFonts w:cs="Times New Roman"/>
          <w:szCs w:val="24"/>
        </w:rPr>
        <w:tab/>
        <w:t>neatbilstošas IT sistēmas NILLTF risku pārvaldībā.</w:t>
      </w:r>
    </w:p>
    <w:p w14:paraId="07851ED7" w14:textId="77777777" w:rsidR="00CE7755" w:rsidRPr="00CE7755" w:rsidRDefault="00CE7755" w:rsidP="00CE7755">
      <w:pPr>
        <w:jc w:val="both"/>
        <w:rPr>
          <w:rFonts w:cs="Times New Roman"/>
          <w:szCs w:val="24"/>
        </w:rPr>
      </w:pPr>
      <w:r w:rsidRPr="00CE7755">
        <w:rPr>
          <w:rFonts w:cs="Times New Roman"/>
          <w:szCs w:val="24"/>
        </w:rPr>
        <w:lastRenderedPageBreak/>
        <w:t>Šis plāns izstrādāts, lai turpinātu ieviest pasākumus atbilstoši saņemtajiem starptautisko organizāciju ieteikumiem, kas ietverti MONEYVAL ziņojumā, kā arī OECD un SVF ziņojumos.</w:t>
      </w:r>
    </w:p>
    <w:p w14:paraId="563BDD68" w14:textId="77777777" w:rsidR="007722B6" w:rsidRDefault="007722B6" w:rsidP="00CE7755">
      <w:pPr>
        <w:jc w:val="both"/>
        <w:rPr>
          <w:rFonts w:cs="Times New Roman"/>
          <w:szCs w:val="24"/>
        </w:rPr>
      </w:pPr>
    </w:p>
    <w:p w14:paraId="18FCC1B3" w14:textId="715147C9" w:rsidR="00CE7755" w:rsidRPr="00CE7755" w:rsidRDefault="00CE7755" w:rsidP="00CE7755">
      <w:pPr>
        <w:jc w:val="both"/>
        <w:rPr>
          <w:rFonts w:cs="Times New Roman"/>
          <w:szCs w:val="24"/>
        </w:rPr>
      </w:pPr>
      <w:r w:rsidRPr="00CE7755">
        <w:rPr>
          <w:rFonts w:cs="Times New Roman"/>
          <w:szCs w:val="24"/>
        </w:rPr>
        <w:t>Tāpat plāns balstās uz Pasākumu plāna noziedzīgi iegūtu līdzekļu legalizācijas un terorisma finansēšanas novēršanai laikposmam līdz 2019. gada 31. decembrim</w:t>
      </w:r>
      <w:r w:rsidRPr="00CE7755" w:rsidDel="00972875">
        <w:rPr>
          <w:rFonts w:cs="Times New Roman"/>
          <w:szCs w:val="24"/>
        </w:rPr>
        <w:t xml:space="preserve"> </w:t>
      </w:r>
      <w:r w:rsidRPr="00CE7755">
        <w:rPr>
          <w:rFonts w:cs="Times New Roman"/>
          <w:szCs w:val="24"/>
        </w:rPr>
        <w:t xml:space="preserve">īstenošanas gaitā gūtajiem rezultātiem. </w:t>
      </w:r>
    </w:p>
    <w:p w14:paraId="339FAE38" w14:textId="45962685" w:rsidR="00CE7755" w:rsidRPr="00CE7755" w:rsidRDefault="00CE7755" w:rsidP="00CE7755">
      <w:pPr>
        <w:jc w:val="both"/>
        <w:rPr>
          <w:rFonts w:cs="Times New Roman"/>
          <w:szCs w:val="24"/>
        </w:rPr>
      </w:pPr>
      <w:r w:rsidRPr="00CE7755">
        <w:rPr>
          <w:rFonts w:cs="Times New Roman"/>
          <w:szCs w:val="24"/>
        </w:rPr>
        <w:t xml:space="preserve">Turpinot jau iepriekšējo valdību uzsākto, MK A.K. Kariņa vadībā ir panācis turpmāku progresu Latvijas NILLTPFN sistēmas pilnveidošanā. Atbilstoši valdības deklarācijā un rīcības plānā noteiktajam īstenojot finanšu sektora reformas un nodrošinot caurskatāmu, ilgtspējīgu un drošu finanšu sektora darbību Latvijā, tika izstrādāti un Saeimā 2019. gada 13. jūnijā pieņemti finanšu sektora “kapitālā remonta” likumprojekti – “Grozījumi Finanšu un kapitāla tirgus komisijas likumā” un “Grozījumi Kredītiestāžu likumā”, kas iezīmē nozīmīgas pārmaiņas finanšu sektora uzraudzības jomā. Ar šiem grozījumiem tika papildināts FKTK darbības mērķa tvērums, nostiprinot FKTK uzraudzības lomu un uzdevumus NILLTPFN jautājumos, kā arī mainīts FKTK pārvaldības modelis. Savukārt, Kredītiestāžu likumā tika precizētas tiesību normas, kas regulē kredītiestāžu likvidācijas procesu, pilnveidojot likvidācijas procesa uzraudzību un NILL kontroli. Tika izstrādāti un Saeimā 2019. gada 13. jūnijā pieņemti būtiski grozījumi NILLTPFNL, pārņemot AMLD V, kā arī veicot virkni būtiskus grozījumus ar mērķi pilnveidot NILTPFN sistēmu, tostarp paplašinot ziņojumu par aizdomīgu darījumu saturu, ieviešot </w:t>
      </w:r>
      <w:r w:rsidRPr="00CE7755">
        <w:rPr>
          <w:rFonts w:eastAsia="Times New Roman" w:cs="Times New Roman"/>
          <w:color w:val="000000" w:themeColor="text1"/>
          <w:szCs w:val="24"/>
          <w:lang w:eastAsia="lv-LV"/>
        </w:rPr>
        <w:t xml:space="preserve">likuma subjektu </w:t>
      </w:r>
      <w:r w:rsidRPr="00CE7755">
        <w:rPr>
          <w:rFonts w:cs="Times New Roman"/>
          <w:szCs w:val="24"/>
        </w:rPr>
        <w:t xml:space="preserve">pienākumu iesniegt FID sliekšņa deklarācijas, kā arī precizējot ziņojumu  veidlapu. Pamatojoties uz NILLTPFN likuma 31. pantu, 2019. gadā izstrādāti noteikumi, kas paredz MK deleģējumu noteikt kārtību, kādā sniedzami ziņojumi par aizdomīgiem darījumiem, kā arī pieņemti noteikumi, kas paredz MK deleģējumu noteikt gadījumus, kad iesniedzama sliekšņa deklarācija, sliekšņa deklarācijas iesniegšanas kārtību un saturu. Vienlaikus tika izstrādāts un Saeimā pieņemts likumprojekts “Grozījumi likumā “Par skaidras naudas deklarēšanu uz valsts robežas””, lai nodrošinātu MONEYVAL ziņojumā ietvertās rekomendācijas par vairāk atturošu sistēmu attiecībā uz robežas nedeklarētās vai nepatiesi deklarētās skaidras naudas arestēšanu un konfiskāciju izpildi. Lai atslogotu tiesībaizsardzības iestāžu un prokuratūras darbu un tieslietu sistēmu kopumā, sadarbībā ar Saeimas Juridiskās komisijas Krimināltiesību politikas apakškomisiju sagatavoti priekšlikumi grozījumiem KL, likumā "Par Krimināllikuma spēkā stāšanās un piemērošanas kārtību" un KPL. Minēto grozījumu mērķis ir noziedzīgu nodarījumu, īpaši tādu, kas saistīti ar NILL,TF un PF, izmeklēšanas efektivitātes paaugstināšana. Lai ieviestu MONEYVAL ziņojumā sniegtās rekomendācijas un turpinātu stiprināt Latvijas NILLTPFN sistēmu, FSAP kā atbildīgā institūcija pieņem lēmumus un koordinē pasākumu plānā noteikto uzdevumu izpildi. FSAP tiekas regulāri, lai diskutētu par nepieciešamajiem risinājumiem, kā arī sekmētu to operatīvu īstenošanu. Lai reglamentētu kārtību, kādā notiek informācijas pieprasīšana un sniegšana no VID uzturētās politiski nozīmīgu personu datubāzes, tika pieņemti attiecīgi MK noteikumi. FID sadarbībā ar VDD ir izstrādājis Nacionālo terorisma finansēšanas un proliferācijas finansēšanas risku ziņojumu. Lai nodrošinātu lielāku caurskatāmību par UR reģistrētajām juridiskajām personām, tostarp to formālajiem un īstajiem īpašniekiem jeb tām fiziskajām personām, kas ir juridisko personu PLG, kā arī lai īstenotu MONEYVAL ziņojumā par Latviju sniegto rekomendāciju izpildi, atbilstoši grozījumiem NILLTPFNL UR ir tiesības, reģistrējot uzņēmumu vai organizāciju, prasīt papildu informāciju par PLG un lietot efektīvāku likvidācijas procedūru, ja tie netiek atklāti. Tāpat UR noteikts pienākums intensīvāk sadarboties ar privāto sektoru, lai apzinātu un ziņotu tiesībaizsardzības iestādēm par iespējami nepatiesi sniegtām ziņām par PLG. Panākta vienošanās par VID atbalstu un </w:t>
      </w:r>
      <w:r w:rsidRPr="00CE7755">
        <w:rPr>
          <w:rFonts w:cs="Times New Roman"/>
          <w:szCs w:val="24"/>
        </w:rPr>
        <w:lastRenderedPageBreak/>
        <w:t>elektroniskās deklarēšanas sistēmas izmantošanu UR komunikācijā ar uzņēmumiem, kuri nav izpildījuši likumā noteikto pienākumu atklāt savus PLG un tiks pakļauti vienkāršotās likvidācijas procedūrai bez tiesas iesaistes. Pastiprināta krimināltiesiskā atbildība par NILL atbilstoši ES noteiktajiem standartiem par noziedzīgi iegūtu līdzekļu legalizācijas apkarošanu, izstrādājot grozījumus KL un NILLTPFNL. Lai veicinātu finanšu sektora sakārtošanu un MONEYVAL rekomendāciju ieviešanu, ĀM sadarbībā ar vairāk nekā 30 institūcijām gan privātajā, gan publiskajā sektorā ir izstrādājusi būtiskus grozījumus starptautisko un nacionālo sankciju normatīvajā regulējumā, tai skaitā nodrošinot ANO DP rezolūcijās noteikto sankciju tūlītēju ieviešanu. Lai veicinātu komunikāciju un vienotu izpratni normatīvo aktu piemērošanā sankciju jomā, MK ir izveidojis Sankciju koordinācijas padomi, kurā visas iesaistītās institūcijas dalās ar zināšanām sankciju jomā. ĀM regulāri rīko informatīvus seminārus par sankcijām, ik mēnesi izdod informatīvo biļetenu, kā arī, izmantojot īpaši izveidotu elektroniskā pasta adresi, atbild uz valsts iestāžu un privātpersonu jautājumiem par sankcijām un to ietekmi uz uzņēmējdarbību. Tāpat MK mājas lapā regulāri tiek publicēts informatīvais biļetens “Finanšu sektora jaunumi” informējot par aktualitātēm Latvijas finanšu sektorā un, jo īpaši NILLTPFN jomā gan Latvijas, gan starptautisko sabiedrību.  Īstenojot MONEYVAL ziņojumā ietverto prasību izpildi, lai stiprinātu Latvijas spējas cīnīties ar NILL, TF un PF, notiek izmeklētāju un prokuroru apmācības par kriptovalūtām un ar tām saistītiem riskiem, izmeklētāju un analītiķu apmācības finanšu analīzes jomā un finanšu izmeklēšanas organizēšanā, kā arī apmācības specifisku TF noziedzīgu nodarījumu izmeklēšanai. Ciešākai Latvijas un ASV sadarbībai, lai veicinātu Latvijas tiesībaizsardzības iestāžu spēju efektīvi novērst un apkarot finanšu un ekonomiskos noziegumus, tostarp koruptīvās un NILL shēmas, izstrādāts līgumprojekts, paredzot tiesnešu, izmeklēšanas iestāžu, prokuratūras un citu iestāžu speciālistu apmācības, kā arī seminārus un juridisko analīzi, lai noteiktu iespējas efektivizēt kriminālprocesu un stiprināt tiesiskumu. Tiesībaizsardzības iestāžu kapacitātes paaugstināšana ļauj samazināt arī pirmstiesas izmeklēšanas un iztiesāšanas laiku sarežģītu ekonomisko un finanšu noziegumu lietās. Lai stiprinātu Latvijas spējas cīnīties ar NILL, TF un PF, ir izveidotas trīs papildu darba vietas NKMP, izstrādāti un pieņemti grozījumi NILLTPFNL, paredzot jaunu likuma subjektu kategoriju – personas, kas darbojas mākslas un antikvāro priekšmetu apritē, tos ievedot Latvijas Republikā vai izvedot no tās, glabājot vai tirgojot, tostarp tādas personas, kas paredzētās darbības veic antikvariātos, izsoļu namos vai ostās. Veikti sektorālie risku novērtējumi visos regulētajos sektoros un izstrādāti ar risku pamatoti to uzraudzības rīcības plāni. Izstrādātas iekšējās kārtības un vadlīnijas likuma subjektu pārbaudēm, kā arī vadlīnijas starptautiskajai sadarbībai.</w:t>
      </w:r>
    </w:p>
    <w:p w14:paraId="2FDC8F3A" w14:textId="77777777" w:rsidR="007722B6" w:rsidRDefault="007722B6" w:rsidP="00CE7755">
      <w:pPr>
        <w:jc w:val="both"/>
        <w:rPr>
          <w:rFonts w:cs="Times New Roman"/>
          <w:szCs w:val="24"/>
        </w:rPr>
      </w:pPr>
    </w:p>
    <w:p w14:paraId="0FEB6B0B" w14:textId="72472ED5" w:rsidR="00CE7755" w:rsidRPr="00CE7755" w:rsidRDefault="00CE7755" w:rsidP="00CE7755">
      <w:pPr>
        <w:jc w:val="both"/>
        <w:rPr>
          <w:rFonts w:cs="Times New Roman"/>
          <w:szCs w:val="24"/>
        </w:rPr>
      </w:pPr>
      <w:r w:rsidRPr="00CE7755">
        <w:rPr>
          <w:rFonts w:cs="Times New Roman"/>
          <w:szCs w:val="24"/>
        </w:rPr>
        <w:t>Plāna pasākumi atbilst Finanšu sektora attīstības plāna 2017.-2019.gadam horizontālajai prioritātei - finanšu sektora NILLTFN atbilstības un valsts reputācijas paaugstināšana.</w:t>
      </w:r>
    </w:p>
    <w:p w14:paraId="37D0FAEC" w14:textId="77777777" w:rsidR="007722B6" w:rsidRDefault="007722B6" w:rsidP="00CE7755">
      <w:pPr>
        <w:jc w:val="both"/>
        <w:rPr>
          <w:rFonts w:cs="Times New Roman"/>
          <w:szCs w:val="24"/>
        </w:rPr>
      </w:pPr>
    </w:p>
    <w:p w14:paraId="55765086" w14:textId="3D6DC951" w:rsidR="00CE7755" w:rsidRDefault="00CE7755" w:rsidP="00CE7755">
      <w:pPr>
        <w:jc w:val="both"/>
        <w:rPr>
          <w:rFonts w:cs="Times New Roman"/>
          <w:szCs w:val="24"/>
        </w:rPr>
      </w:pPr>
      <w:r w:rsidRPr="00CE7755">
        <w:rPr>
          <w:rFonts w:cs="Times New Roman"/>
          <w:szCs w:val="24"/>
        </w:rPr>
        <w:t>Plāna mērķu sasniegšana ir cieši saistīta ar mērķu sasniegšanu, kas nosprausti vairākos citos politikas plānošanas dokumentos. Tie ir Saeimā 2019. gada 26. septembrī apstiprinātā Nacionālās drošības koncepcija, ar MK 2018.gada 28.februāra rīkojumu Nr.90 apstiprinātais Organizētās noziedzības novēršanas un apkarošanas plāns 2018.-2020.gadam, Ēnu ekonomikas apkarošanas padomes 2016.gada 10.jūnijā apstiprinātais Valsts iestāžu darba plāns ēnu ekonomikas ierobežošanai 2016.-2020.gadam, ar MK 2015. gada 16. jūlija rīkojumu Nr. 393 apstiprinātās Korupcijas novēršanas un apkarošanas pamatnostādnes 2015.-2020.gadam.</w:t>
      </w:r>
    </w:p>
    <w:p w14:paraId="4C3E735E" w14:textId="77777777" w:rsidR="003D749E" w:rsidRDefault="003D749E" w:rsidP="00CE7755">
      <w:pPr>
        <w:jc w:val="both"/>
        <w:rPr>
          <w:rFonts w:cs="Times New Roman"/>
          <w:szCs w:val="24"/>
        </w:rPr>
      </w:pPr>
    </w:p>
    <w:p w14:paraId="12DCB724" w14:textId="77777777" w:rsidR="003D749E" w:rsidRPr="00CE7755" w:rsidRDefault="003D749E" w:rsidP="00CE7755">
      <w:pPr>
        <w:jc w:val="both"/>
        <w:rPr>
          <w:rFonts w:cs="Times New Roman"/>
          <w:szCs w:val="24"/>
        </w:rPr>
      </w:pPr>
    </w:p>
    <w:p w14:paraId="1BF49104" w14:textId="50A14BB9" w:rsidR="008D79D5" w:rsidRPr="001B1DB1" w:rsidRDefault="003F4DE8" w:rsidP="00564502">
      <w:pPr>
        <w:pStyle w:val="Heading1"/>
        <w:rPr>
          <w:sz w:val="36"/>
          <w:szCs w:val="36"/>
          <w:lang w:val="lv-LV"/>
        </w:rPr>
      </w:pPr>
      <w:bookmarkStart w:id="1" w:name="_Toc524977648"/>
      <w:r>
        <w:rPr>
          <w:sz w:val="36"/>
          <w:szCs w:val="36"/>
          <w:lang w:val="lv-LV"/>
        </w:rPr>
        <w:t xml:space="preserve">III </w:t>
      </w:r>
      <w:r w:rsidR="00891D5B" w:rsidRPr="001B1DB1">
        <w:rPr>
          <w:sz w:val="36"/>
          <w:szCs w:val="36"/>
          <w:lang w:val="lv-LV"/>
        </w:rPr>
        <w:t>P</w:t>
      </w:r>
      <w:r w:rsidR="0040178E" w:rsidRPr="001B1DB1">
        <w:rPr>
          <w:sz w:val="36"/>
          <w:szCs w:val="36"/>
          <w:lang w:val="lv-LV"/>
        </w:rPr>
        <w:t xml:space="preserve">lāna </w:t>
      </w:r>
      <w:r w:rsidR="00424857" w:rsidRPr="001B1DB1">
        <w:rPr>
          <w:sz w:val="36"/>
          <w:szCs w:val="36"/>
          <w:lang w:val="lv-LV"/>
        </w:rPr>
        <w:t>mērķis</w:t>
      </w:r>
      <w:r w:rsidR="008D79D5" w:rsidRPr="001B1DB1">
        <w:rPr>
          <w:sz w:val="36"/>
          <w:szCs w:val="36"/>
          <w:lang w:val="lv-LV"/>
        </w:rPr>
        <w:t xml:space="preserve"> un </w:t>
      </w:r>
      <w:r w:rsidR="00424857" w:rsidRPr="001B1DB1">
        <w:rPr>
          <w:sz w:val="36"/>
          <w:szCs w:val="36"/>
          <w:lang w:val="lv-LV"/>
        </w:rPr>
        <w:t>rīcības virzieni</w:t>
      </w:r>
      <w:bookmarkEnd w:id="1"/>
    </w:p>
    <w:p w14:paraId="106C1342" w14:textId="77777777" w:rsidR="0000507F" w:rsidRPr="001B1DB1" w:rsidRDefault="0000507F" w:rsidP="00232E53">
      <w:pPr>
        <w:jc w:val="both"/>
        <w:rPr>
          <w:rFonts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90"/>
        <w:gridCol w:w="11158"/>
      </w:tblGrid>
      <w:tr w:rsidR="00780D18" w:rsidRPr="001B1DB1" w14:paraId="0576F1CA" w14:textId="77777777" w:rsidTr="001F76B5">
        <w:tc>
          <w:tcPr>
            <w:tcW w:w="1000" w:type="pct"/>
            <w:shd w:val="clear" w:color="auto" w:fill="FFFFFF"/>
            <w:hideMark/>
          </w:tcPr>
          <w:p w14:paraId="1D2B856C" w14:textId="77777777" w:rsidR="00780D18" w:rsidRPr="001B1DB1" w:rsidRDefault="00780D18" w:rsidP="00780D18">
            <w:pPr>
              <w:rPr>
                <w:rFonts w:eastAsia="Times New Roman" w:cs="Times New Roman"/>
                <w:b/>
                <w:bCs/>
                <w:color w:val="414142"/>
                <w:sz w:val="20"/>
                <w:szCs w:val="20"/>
                <w:lang w:eastAsia="lv-LV"/>
              </w:rPr>
            </w:pPr>
            <w:r w:rsidRPr="001B1DB1">
              <w:rPr>
                <w:rFonts w:eastAsia="Times New Roman" w:cs="Times New Roman"/>
                <w:b/>
                <w:bCs/>
                <w:color w:val="414142"/>
                <w:sz w:val="20"/>
                <w:szCs w:val="20"/>
                <w:lang w:eastAsia="lv-LV"/>
              </w:rPr>
              <w:t>Plāna mērķis</w:t>
            </w:r>
          </w:p>
        </w:tc>
        <w:tc>
          <w:tcPr>
            <w:tcW w:w="4000" w:type="pct"/>
            <w:shd w:val="clear" w:color="auto" w:fill="FFFFFF"/>
          </w:tcPr>
          <w:p w14:paraId="29AA4DC9" w14:textId="65AEFACA" w:rsidR="00780D18" w:rsidRPr="001B1DB1" w:rsidRDefault="00300124" w:rsidP="002D503C">
            <w:pPr>
              <w:jc w:val="both"/>
              <w:rPr>
                <w:rFonts w:eastAsia="Times New Roman" w:cs="Times New Roman"/>
                <w:color w:val="000000" w:themeColor="text1"/>
                <w:sz w:val="20"/>
                <w:szCs w:val="20"/>
                <w:lang w:eastAsia="lv-LV"/>
              </w:rPr>
            </w:pPr>
            <w:r w:rsidRPr="001B1DB1">
              <w:rPr>
                <w:rFonts w:cs="Times New Roman"/>
                <w:sz w:val="20"/>
                <w:szCs w:val="20"/>
              </w:rPr>
              <w:t xml:space="preserve">Plāna mērķis ir stiprināt Latvijas spējas cīnīties ar NILLTPF </w:t>
            </w:r>
            <w:r w:rsidRPr="00324AA2">
              <w:rPr>
                <w:rFonts w:cs="Times New Roman"/>
                <w:sz w:val="20"/>
                <w:szCs w:val="20"/>
              </w:rPr>
              <w:t>un</w:t>
            </w:r>
            <w:r w:rsidR="00324AA2" w:rsidRPr="00B577E5">
              <w:rPr>
                <w:rFonts w:cs="Times New Roman"/>
                <w:sz w:val="20"/>
                <w:szCs w:val="20"/>
              </w:rPr>
              <w:t xml:space="preserve"> uzraudzīt NILLTPFN režīma prasību īstenošanu,</w:t>
            </w:r>
            <w:r w:rsidRPr="001B1DB1">
              <w:rPr>
                <w:rFonts w:cs="Times New Roman"/>
                <w:sz w:val="20"/>
                <w:szCs w:val="20"/>
              </w:rPr>
              <w:t xml:space="preserve"> samazināt vispārējos NILLTPF riskus, tādējādi nodrošinot atbilstību starptautiskajām saistībām un standartiem NILLTPF novēršanas jomā un veicinot sabiedrisko drošību, ekonomiskās vides konkurētspēju un uzticību Latvijas jurisdikcijai.</w:t>
            </w:r>
          </w:p>
        </w:tc>
      </w:tr>
      <w:tr w:rsidR="00914F28" w:rsidRPr="001B1DB1" w14:paraId="037B84B3" w14:textId="77777777" w:rsidTr="001F76B5">
        <w:tc>
          <w:tcPr>
            <w:tcW w:w="1000" w:type="pct"/>
            <w:shd w:val="clear" w:color="auto" w:fill="FFFFFF"/>
            <w:hideMark/>
          </w:tcPr>
          <w:p w14:paraId="3F2676B9" w14:textId="77777777" w:rsidR="00780D18" w:rsidRPr="001B1DB1" w:rsidRDefault="00780D18" w:rsidP="00914F28">
            <w:pPr>
              <w:rPr>
                <w:rFonts w:eastAsia="Times New Roman" w:cs="Times New Roman"/>
                <w:b/>
                <w:bCs/>
                <w:color w:val="000000" w:themeColor="text1"/>
                <w:sz w:val="20"/>
                <w:szCs w:val="20"/>
                <w:lang w:eastAsia="lv-LV"/>
              </w:rPr>
            </w:pPr>
            <w:r w:rsidRPr="001B1DB1">
              <w:rPr>
                <w:rFonts w:eastAsia="Times New Roman" w:cs="Times New Roman"/>
                <w:b/>
                <w:bCs/>
                <w:color w:val="000000" w:themeColor="text1"/>
                <w:sz w:val="20"/>
                <w:szCs w:val="20"/>
                <w:lang w:eastAsia="lv-LV"/>
              </w:rPr>
              <w:t>Politikas rezultāts/-i un rezultatīvais rādītājs/-i</w:t>
            </w:r>
          </w:p>
        </w:tc>
        <w:tc>
          <w:tcPr>
            <w:tcW w:w="4000" w:type="pct"/>
            <w:shd w:val="clear" w:color="auto" w:fill="FFFFFF"/>
            <w:hideMark/>
          </w:tcPr>
          <w:p w14:paraId="41A574B8" w14:textId="77777777" w:rsidR="00780D18" w:rsidRPr="001B1DB1" w:rsidRDefault="00300124" w:rsidP="009D3605">
            <w:pPr>
              <w:rPr>
                <w:rFonts w:eastAsia="Times New Roman" w:cs="Times New Roman"/>
                <w:color w:val="000000" w:themeColor="text1"/>
                <w:sz w:val="20"/>
                <w:szCs w:val="20"/>
                <w:lang w:eastAsia="lv-LV"/>
              </w:rPr>
            </w:pPr>
            <w:r w:rsidRPr="001B1DB1">
              <w:rPr>
                <w:rFonts w:cs="Times New Roman"/>
                <w:sz w:val="20"/>
                <w:szCs w:val="20"/>
              </w:rPr>
              <w:t>Paaugstināta Latvijas NILLTPFN sistēmas efektivitāte.</w:t>
            </w:r>
          </w:p>
        </w:tc>
      </w:tr>
    </w:tbl>
    <w:p w14:paraId="349E6FF0" w14:textId="77777777" w:rsidR="00780D18" w:rsidRDefault="00780D18" w:rsidP="00914F28">
      <w:pPr>
        <w:rPr>
          <w:rFonts w:cs="Times New Roman"/>
          <w:b/>
          <w:bCs/>
          <w:color w:val="000000" w:themeColor="text1"/>
          <w:sz w:val="28"/>
          <w:szCs w:val="28"/>
        </w:rPr>
      </w:pPr>
    </w:p>
    <w:p w14:paraId="552AA693"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bookmarkStart w:id="2" w:name="_Toc524977649"/>
      <w:r w:rsidRPr="001B1DB1">
        <w:rPr>
          <w:rFonts w:ascii="Times New Roman" w:hAnsi="Times New Roman" w:cs="Times New Roman"/>
          <w:b/>
          <w:color w:val="auto"/>
          <w:sz w:val="28"/>
          <w:szCs w:val="28"/>
        </w:rPr>
        <w:t>rīcības v</w:t>
      </w:r>
      <w:r w:rsidR="006E72F8" w:rsidRPr="001B1DB1">
        <w:rPr>
          <w:rFonts w:ascii="Times New Roman" w:hAnsi="Times New Roman" w:cs="Times New Roman"/>
          <w:b/>
          <w:color w:val="auto"/>
          <w:sz w:val="28"/>
          <w:szCs w:val="28"/>
        </w:rPr>
        <w:t>i</w:t>
      </w:r>
      <w:r w:rsidRPr="001B1DB1">
        <w:rPr>
          <w:rFonts w:ascii="Times New Roman" w:hAnsi="Times New Roman" w:cs="Times New Roman"/>
          <w:b/>
          <w:color w:val="auto"/>
          <w:sz w:val="28"/>
          <w:szCs w:val="28"/>
        </w:rPr>
        <w:t xml:space="preserve">rziens – </w:t>
      </w:r>
      <w:r w:rsidR="001628EF" w:rsidRPr="001B1DB1">
        <w:rPr>
          <w:rFonts w:ascii="Times New Roman" w:hAnsi="Times New Roman" w:cs="Times New Roman"/>
          <w:b/>
          <w:color w:val="auto"/>
          <w:sz w:val="28"/>
          <w:szCs w:val="28"/>
        </w:rPr>
        <w:t>r</w:t>
      </w:r>
      <w:r w:rsidRPr="001B1DB1">
        <w:rPr>
          <w:rFonts w:ascii="Times New Roman" w:hAnsi="Times New Roman" w:cs="Times New Roman"/>
          <w:b/>
          <w:color w:val="auto"/>
          <w:sz w:val="28"/>
          <w:szCs w:val="28"/>
        </w:rPr>
        <w:t xml:space="preserve">iski, politika un koordinācija  </w:t>
      </w:r>
    </w:p>
    <w:p w14:paraId="60453B87" w14:textId="77777777" w:rsidR="00C703D7" w:rsidRPr="001B1DB1" w:rsidRDefault="00C703D7" w:rsidP="00C703D7">
      <w:pPr>
        <w:pStyle w:val="Heading2"/>
        <w:rPr>
          <w:rFonts w:ascii="Times New Roman" w:hAnsi="Times New Roman" w:cs="Times New Roman"/>
          <w:b/>
          <w:color w:val="auto"/>
          <w:sz w:val="28"/>
          <w:szCs w:val="28"/>
        </w:rPr>
      </w:pPr>
    </w:p>
    <w:p w14:paraId="5B0999FC" w14:textId="04D80A67" w:rsidR="00C703D7" w:rsidRPr="005B3F2E" w:rsidRDefault="00C703D7" w:rsidP="00C703D7">
      <w:pPr>
        <w:jc w:val="both"/>
        <w:rPr>
          <w:szCs w:val="24"/>
        </w:rPr>
      </w:pPr>
      <w:r w:rsidRPr="001B1DB1">
        <w:rPr>
          <w:szCs w:val="24"/>
        </w:rPr>
        <w:t xml:space="preserve">Par rīcības virzienu atbildīgā </w:t>
      </w:r>
      <w:r w:rsidR="000853A3" w:rsidRPr="000853A3">
        <w:rPr>
          <w:szCs w:val="24"/>
        </w:rPr>
        <w:t>institūcija</w:t>
      </w:r>
      <w:r w:rsidRPr="005B3F2E">
        <w:rPr>
          <w:szCs w:val="24"/>
        </w:rPr>
        <w:t xml:space="preserve">: IeM </w:t>
      </w:r>
      <w:r w:rsidR="007F5EA1" w:rsidRPr="005B3F2E">
        <w:rPr>
          <w:szCs w:val="24"/>
        </w:rPr>
        <w:t xml:space="preserve">- </w:t>
      </w:r>
      <w:r w:rsidRPr="005B3F2E">
        <w:rPr>
          <w:szCs w:val="24"/>
        </w:rPr>
        <w:t xml:space="preserve">par pasākumiem, kas saistīti ar politikas </w:t>
      </w:r>
      <w:r w:rsidR="006A60DF" w:rsidRPr="005B3F2E">
        <w:rPr>
          <w:szCs w:val="24"/>
        </w:rPr>
        <w:t>plānošanu</w:t>
      </w:r>
      <w:r w:rsidRPr="005B3F2E">
        <w:rPr>
          <w:szCs w:val="24"/>
        </w:rPr>
        <w:t xml:space="preserve"> un tās </w:t>
      </w:r>
      <w:r w:rsidR="006A60DF" w:rsidRPr="005B3F2E">
        <w:rPr>
          <w:szCs w:val="24"/>
        </w:rPr>
        <w:t>īstenošanas</w:t>
      </w:r>
      <w:r w:rsidRPr="005B3F2E">
        <w:rPr>
          <w:szCs w:val="24"/>
        </w:rPr>
        <w:t xml:space="preserve"> koordināciju</w:t>
      </w:r>
    </w:p>
    <w:p w14:paraId="1A6540A0" w14:textId="77777777" w:rsidR="00C703D7" w:rsidRPr="001B1DB1" w:rsidRDefault="00C703D7" w:rsidP="00C703D7">
      <w:pPr>
        <w:jc w:val="both"/>
        <w:rPr>
          <w:szCs w:val="24"/>
        </w:rPr>
      </w:pPr>
      <w:r w:rsidRPr="005B3F2E">
        <w:rPr>
          <w:szCs w:val="24"/>
        </w:rPr>
        <w:tab/>
      </w:r>
      <w:r w:rsidRPr="005B3F2E">
        <w:rPr>
          <w:szCs w:val="24"/>
        </w:rPr>
        <w:tab/>
      </w:r>
      <w:r w:rsidRPr="005B3F2E">
        <w:rPr>
          <w:szCs w:val="24"/>
        </w:rPr>
        <w:tab/>
      </w:r>
      <w:r w:rsidRPr="005B3F2E">
        <w:rPr>
          <w:szCs w:val="24"/>
        </w:rPr>
        <w:tab/>
      </w:r>
      <w:r w:rsidRPr="005B3F2E">
        <w:rPr>
          <w:szCs w:val="24"/>
        </w:rPr>
        <w:tab/>
        <w:t>FID</w:t>
      </w:r>
      <w:r w:rsidRPr="001B1DB1">
        <w:rPr>
          <w:szCs w:val="24"/>
        </w:rPr>
        <w:t xml:space="preserve"> </w:t>
      </w:r>
      <w:r w:rsidR="007F5EA1" w:rsidRPr="001B1DB1">
        <w:rPr>
          <w:szCs w:val="24"/>
        </w:rPr>
        <w:t xml:space="preserve">- </w:t>
      </w:r>
      <w:r w:rsidRPr="001B1DB1">
        <w:rPr>
          <w:szCs w:val="24"/>
        </w:rPr>
        <w:t>par pasākumiem, kas saistīti ar risku novērtēšanu</w:t>
      </w:r>
    </w:p>
    <w:p w14:paraId="396CF911" w14:textId="3A52A224" w:rsidR="00AD1DFC" w:rsidRPr="001B1DB1" w:rsidRDefault="00C703D7" w:rsidP="00C703D7">
      <w:pPr>
        <w:jc w:val="both"/>
        <w:rPr>
          <w:szCs w:val="24"/>
        </w:rPr>
      </w:pPr>
      <w:r w:rsidRPr="001B1DB1">
        <w:rPr>
          <w:szCs w:val="24"/>
        </w:rPr>
        <w:t xml:space="preserve">Līdzatbildīgās </w:t>
      </w:r>
      <w:r w:rsidR="00D00DDA">
        <w:rPr>
          <w:szCs w:val="24"/>
        </w:rPr>
        <w:t>institūcijas</w:t>
      </w:r>
      <w:r w:rsidRPr="001B1DB1">
        <w:rPr>
          <w:szCs w:val="24"/>
        </w:rPr>
        <w:t>:</w:t>
      </w:r>
      <w:r w:rsidR="001054BF" w:rsidRPr="001B1DB1">
        <w:rPr>
          <w:szCs w:val="24"/>
        </w:rPr>
        <w:t xml:space="preserve"> </w:t>
      </w:r>
      <w:r w:rsidR="00B618D9" w:rsidRPr="00F036AA">
        <w:rPr>
          <w:szCs w:val="24"/>
        </w:rPr>
        <w:t xml:space="preserve">ĀM, </w:t>
      </w:r>
      <w:r w:rsidR="00F036AA" w:rsidRPr="00F036AA">
        <w:rPr>
          <w:szCs w:val="24"/>
        </w:rPr>
        <w:t xml:space="preserve">EM, </w:t>
      </w:r>
      <w:r w:rsidR="004348E5" w:rsidRPr="004348E5">
        <w:rPr>
          <w:szCs w:val="24"/>
        </w:rPr>
        <w:t>Finanšu sektora komunikācijas koordinācijas grupa</w:t>
      </w:r>
      <w:r w:rsidR="004348E5">
        <w:rPr>
          <w:szCs w:val="24"/>
        </w:rPr>
        <w:t>,</w:t>
      </w:r>
      <w:r w:rsidR="004348E5" w:rsidRPr="004348E5">
        <w:rPr>
          <w:szCs w:val="24"/>
        </w:rPr>
        <w:t xml:space="preserve"> </w:t>
      </w:r>
      <w:r w:rsidR="00B618D9" w:rsidRPr="00F036AA">
        <w:rPr>
          <w:szCs w:val="24"/>
        </w:rPr>
        <w:t xml:space="preserve">FKTK, FM, </w:t>
      </w:r>
      <w:r w:rsidR="00917CEE">
        <w:rPr>
          <w:szCs w:val="24"/>
        </w:rPr>
        <w:t>L</w:t>
      </w:r>
      <w:r w:rsidR="00F036AA" w:rsidRPr="00F036AA">
        <w:rPr>
          <w:szCs w:val="24"/>
        </w:rPr>
        <w:t xml:space="preserve">FNA, </w:t>
      </w:r>
      <w:r w:rsidR="00B618D9" w:rsidRPr="00F036AA">
        <w:rPr>
          <w:szCs w:val="24"/>
        </w:rPr>
        <w:t xml:space="preserve">ĢP, IAUI, KNAB, </w:t>
      </w:r>
      <w:r w:rsidR="00583E1D" w:rsidRPr="00F036AA">
        <w:rPr>
          <w:szCs w:val="24"/>
        </w:rPr>
        <w:t xml:space="preserve">Latvijas Vēstnesis, </w:t>
      </w:r>
      <w:r w:rsidR="00B618D9" w:rsidRPr="00F036AA">
        <w:rPr>
          <w:szCs w:val="24"/>
        </w:rPr>
        <w:t xml:space="preserve">LB, </w:t>
      </w:r>
      <w:r w:rsidR="00825B81">
        <w:rPr>
          <w:szCs w:val="24"/>
        </w:rPr>
        <w:t xml:space="preserve">LSMPAA, </w:t>
      </w:r>
      <w:r w:rsidR="00583E1D" w:rsidRPr="00F036AA">
        <w:rPr>
          <w:szCs w:val="24"/>
        </w:rPr>
        <w:t xml:space="preserve">LZAP, LZNP, LZRA, </w:t>
      </w:r>
      <w:r w:rsidR="00171A05">
        <w:rPr>
          <w:szCs w:val="24"/>
        </w:rPr>
        <w:t xml:space="preserve">MKD, </w:t>
      </w:r>
      <w:r w:rsidR="004348E5" w:rsidRPr="004348E5">
        <w:rPr>
          <w:szCs w:val="24"/>
        </w:rPr>
        <w:t>NKIM starpinstitūciju darba grupa</w:t>
      </w:r>
      <w:r w:rsidR="004348E5">
        <w:rPr>
          <w:szCs w:val="24"/>
        </w:rPr>
        <w:t>,</w:t>
      </w:r>
      <w:r w:rsidR="004348E5" w:rsidRPr="004348E5">
        <w:rPr>
          <w:szCs w:val="24"/>
        </w:rPr>
        <w:t xml:space="preserve"> </w:t>
      </w:r>
      <w:r w:rsidR="00583E1D" w:rsidRPr="00F036AA">
        <w:rPr>
          <w:szCs w:val="24"/>
        </w:rPr>
        <w:t>NKMP,</w:t>
      </w:r>
      <w:r w:rsidR="00E15011">
        <w:rPr>
          <w:szCs w:val="24"/>
        </w:rPr>
        <w:t xml:space="preserve"> </w:t>
      </w:r>
      <w:r w:rsidR="00583E1D" w:rsidRPr="00F036AA">
        <w:rPr>
          <w:szCs w:val="24"/>
        </w:rPr>
        <w:t xml:space="preserve">PTAC, TM, </w:t>
      </w:r>
      <w:r w:rsidR="00797DB3" w:rsidRPr="00797DB3">
        <w:rPr>
          <w:szCs w:val="24"/>
        </w:rPr>
        <w:t>Valsts valodas centrs</w:t>
      </w:r>
      <w:r w:rsidR="00797DB3">
        <w:rPr>
          <w:szCs w:val="24"/>
        </w:rPr>
        <w:t>,</w:t>
      </w:r>
      <w:r w:rsidR="00797DB3" w:rsidRPr="00797DB3">
        <w:rPr>
          <w:szCs w:val="24"/>
        </w:rPr>
        <w:t xml:space="preserve"> </w:t>
      </w:r>
      <w:r w:rsidR="00583E1D" w:rsidRPr="00F036AA">
        <w:rPr>
          <w:szCs w:val="24"/>
        </w:rPr>
        <w:t xml:space="preserve">VDD, VID, </w:t>
      </w:r>
      <w:r w:rsidR="00E15011">
        <w:rPr>
          <w:szCs w:val="24"/>
        </w:rPr>
        <w:t xml:space="preserve">VK, </w:t>
      </w:r>
      <w:r w:rsidR="00583E1D" w:rsidRPr="00F036AA">
        <w:rPr>
          <w:szCs w:val="24"/>
        </w:rPr>
        <w:t>VP</w:t>
      </w:r>
    </w:p>
    <w:p w14:paraId="249BCAD5"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703D7" w:rsidRPr="001B1DB1" w14:paraId="3C3BF6E2" w14:textId="77777777" w:rsidTr="009744C5">
        <w:tc>
          <w:tcPr>
            <w:tcW w:w="4395" w:type="dxa"/>
            <w:gridSpan w:val="2"/>
          </w:tcPr>
          <w:p w14:paraId="07C11610" w14:textId="77777777" w:rsidR="00C703D7" w:rsidRPr="001B1DB1" w:rsidRDefault="00C703D7" w:rsidP="009744C5">
            <w:pPr>
              <w:rPr>
                <w:rFonts w:cs="Times New Roman"/>
                <w:b/>
                <w:bCs/>
                <w:sz w:val="20"/>
                <w:szCs w:val="20"/>
              </w:rPr>
            </w:pPr>
            <w:r w:rsidRPr="001B1DB1">
              <w:rPr>
                <w:rFonts w:cs="Times New Roman"/>
                <w:b/>
                <w:bCs/>
                <w:sz w:val="20"/>
                <w:szCs w:val="20"/>
              </w:rPr>
              <w:t>Rīcības virziens</w:t>
            </w:r>
          </w:p>
        </w:tc>
        <w:tc>
          <w:tcPr>
            <w:tcW w:w="10631" w:type="dxa"/>
            <w:gridSpan w:val="6"/>
          </w:tcPr>
          <w:p w14:paraId="15781EA2" w14:textId="77777777" w:rsidR="00C703D7" w:rsidRPr="001B1DB1" w:rsidRDefault="00C703D7" w:rsidP="009744C5">
            <w:pPr>
              <w:jc w:val="both"/>
              <w:rPr>
                <w:rFonts w:cs="Times New Roman"/>
                <w:b/>
                <w:bCs/>
                <w:sz w:val="20"/>
                <w:szCs w:val="20"/>
              </w:rPr>
            </w:pPr>
            <w:r w:rsidRPr="001B1DB1">
              <w:rPr>
                <w:rFonts w:cs="Times New Roman"/>
                <w:b/>
                <w:bCs/>
                <w:sz w:val="20"/>
                <w:szCs w:val="20"/>
              </w:rPr>
              <w:t>RISKI, POLITIKA UN KOORDINĀCIJA</w:t>
            </w:r>
          </w:p>
        </w:tc>
      </w:tr>
      <w:tr w:rsidR="00653158" w:rsidRPr="001B1DB1" w14:paraId="00908A47" w14:textId="77777777" w:rsidTr="009744C5">
        <w:tc>
          <w:tcPr>
            <w:tcW w:w="4395" w:type="dxa"/>
            <w:gridSpan w:val="2"/>
          </w:tcPr>
          <w:p w14:paraId="637B0142" w14:textId="1D0C286D"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Pr>
          <w:p w14:paraId="00EC33EC" w14:textId="77777777" w:rsidR="00653158" w:rsidRPr="001B1DB1" w:rsidRDefault="00653158" w:rsidP="002C489F">
            <w:pPr>
              <w:jc w:val="both"/>
              <w:rPr>
                <w:rFonts w:cs="Times New Roman"/>
                <w:b/>
                <w:bCs/>
                <w:sz w:val="20"/>
                <w:szCs w:val="20"/>
              </w:rPr>
            </w:pPr>
            <w:r w:rsidRPr="001B1DB1">
              <w:rPr>
                <w:rFonts w:cs="Times New Roman"/>
                <w:b/>
                <w:bCs/>
                <w:sz w:val="20"/>
                <w:szCs w:val="20"/>
              </w:rPr>
              <w:t>NILLTPF riski tiek izprasti, un valsts līmenī tiek koordinēta rīcība NILLTPF novēršanai.</w:t>
            </w:r>
          </w:p>
        </w:tc>
      </w:tr>
      <w:tr w:rsidR="00C703D7" w:rsidRPr="001B1DB1" w14:paraId="549D90E1" w14:textId="77777777" w:rsidTr="009744C5">
        <w:trPr>
          <w:trHeight w:val="543"/>
        </w:trPr>
        <w:tc>
          <w:tcPr>
            <w:tcW w:w="709" w:type="dxa"/>
          </w:tcPr>
          <w:p w14:paraId="44157958"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6DD091D"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68B3441F"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40494802"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565C3A09"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2B2B45C9"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3620F3AE"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293134E0"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5FC646F8"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EA244A" w:rsidRPr="001B1DB1" w14:paraId="63C2BEB8" w14:textId="77777777" w:rsidTr="00002D3D">
        <w:trPr>
          <w:trHeight w:val="543"/>
        </w:trPr>
        <w:tc>
          <w:tcPr>
            <w:tcW w:w="709" w:type="dxa"/>
          </w:tcPr>
          <w:p w14:paraId="3BCBDA16" w14:textId="5A89552A" w:rsidR="00EA244A" w:rsidRPr="001B1DB1" w:rsidRDefault="00EA244A" w:rsidP="00F6007F">
            <w:pPr>
              <w:jc w:val="center"/>
              <w:rPr>
                <w:rFonts w:cs="Times New Roman"/>
                <w:bCs/>
                <w:sz w:val="20"/>
                <w:szCs w:val="20"/>
              </w:rPr>
            </w:pPr>
            <w:r w:rsidRPr="001B1DB1">
              <w:rPr>
                <w:rFonts w:cs="Times New Roman"/>
                <w:bCs/>
                <w:sz w:val="20"/>
                <w:szCs w:val="20"/>
              </w:rPr>
              <w:t>1.1.</w:t>
            </w:r>
          </w:p>
        </w:tc>
        <w:tc>
          <w:tcPr>
            <w:tcW w:w="3686" w:type="dxa"/>
            <w:shd w:val="clear" w:color="auto" w:fill="auto"/>
          </w:tcPr>
          <w:p w14:paraId="167A495F" w14:textId="0C6A0688" w:rsidR="00EA244A" w:rsidRPr="001B1DB1" w:rsidRDefault="00EA244A" w:rsidP="00002D3D">
            <w:pPr>
              <w:jc w:val="both"/>
              <w:rPr>
                <w:rFonts w:cs="Times New Roman"/>
                <w:b/>
                <w:bCs/>
                <w:sz w:val="20"/>
                <w:szCs w:val="20"/>
              </w:rPr>
            </w:pPr>
            <w:r w:rsidRPr="001B1DB1">
              <w:rPr>
                <w:sz w:val="20"/>
                <w:szCs w:val="20"/>
              </w:rPr>
              <w:t>Nodrošināt vispusīgus statistikas datus par NILLTPF novēršanas sistēmu un pasākumu efektivitāti un produktivitāti.</w:t>
            </w:r>
          </w:p>
        </w:tc>
        <w:tc>
          <w:tcPr>
            <w:tcW w:w="1559" w:type="dxa"/>
          </w:tcPr>
          <w:p w14:paraId="6C5D9102" w14:textId="2559EC9A" w:rsidR="00EA244A" w:rsidRPr="001B1DB1" w:rsidRDefault="00EA244A" w:rsidP="001209FF">
            <w:pPr>
              <w:jc w:val="both"/>
              <w:rPr>
                <w:rFonts w:cs="Times New Roman"/>
                <w:b/>
                <w:sz w:val="20"/>
                <w:szCs w:val="20"/>
              </w:rPr>
            </w:pPr>
            <w:r w:rsidRPr="001B1DB1">
              <w:rPr>
                <w:sz w:val="20"/>
                <w:szCs w:val="20"/>
              </w:rPr>
              <w:t>FATF 33</w:t>
            </w:r>
            <w:r w:rsidR="001209FF">
              <w:rPr>
                <w:sz w:val="20"/>
                <w:szCs w:val="20"/>
              </w:rPr>
              <w:t>.</w:t>
            </w:r>
            <w:r w:rsidRPr="001B1DB1">
              <w:rPr>
                <w:sz w:val="20"/>
                <w:szCs w:val="20"/>
              </w:rPr>
              <w:t xml:space="preserve"> </w:t>
            </w:r>
            <w:r w:rsidR="001209FF" w:rsidRPr="001B1DB1">
              <w:rPr>
                <w:rFonts w:cs="Times New Roman"/>
                <w:sz w:val="20"/>
                <w:szCs w:val="20"/>
              </w:rPr>
              <w:t>rekomendācija</w:t>
            </w:r>
            <w:r w:rsidR="001209FF">
              <w:rPr>
                <w:rFonts w:cs="Times New Roman"/>
                <w:sz w:val="20"/>
                <w:szCs w:val="20"/>
              </w:rPr>
              <w:t>;</w:t>
            </w:r>
            <w:r w:rsidR="001209FF" w:rsidRPr="001B1DB1" w:rsidDel="001209FF">
              <w:rPr>
                <w:sz w:val="20"/>
                <w:szCs w:val="20"/>
              </w:rPr>
              <w:t xml:space="preserve"> </w:t>
            </w:r>
            <w:r w:rsidRPr="001B1DB1">
              <w:rPr>
                <w:sz w:val="20"/>
                <w:szCs w:val="20"/>
              </w:rPr>
              <w:t>MONEYVAL 8.2.</w:t>
            </w:r>
            <w:r w:rsidRPr="001B1DB1">
              <w:t xml:space="preserve"> </w:t>
            </w:r>
            <w:r w:rsidR="001209FF" w:rsidRPr="001B1DB1">
              <w:rPr>
                <w:rFonts w:cs="Times New Roman"/>
                <w:sz w:val="20"/>
                <w:szCs w:val="20"/>
              </w:rPr>
              <w:t>rekomendācija</w:t>
            </w:r>
            <w:r w:rsidR="001209FF">
              <w:rPr>
                <w:rFonts w:cs="Times New Roman"/>
                <w:sz w:val="20"/>
                <w:szCs w:val="20"/>
              </w:rPr>
              <w:t>.</w:t>
            </w:r>
          </w:p>
        </w:tc>
        <w:tc>
          <w:tcPr>
            <w:tcW w:w="2551" w:type="dxa"/>
            <w:shd w:val="clear" w:color="auto" w:fill="auto"/>
          </w:tcPr>
          <w:p w14:paraId="68A8EEB8" w14:textId="274178EC" w:rsidR="00F5157B" w:rsidRDefault="00F5157B" w:rsidP="00F5157B">
            <w:pPr>
              <w:jc w:val="both"/>
              <w:rPr>
                <w:rFonts w:cs="Times New Roman"/>
                <w:sz w:val="20"/>
                <w:szCs w:val="20"/>
              </w:rPr>
            </w:pPr>
            <w:r>
              <w:rPr>
                <w:rFonts w:cs="Times New Roman"/>
                <w:sz w:val="20"/>
                <w:szCs w:val="20"/>
              </w:rPr>
              <w:t>Ieviesta v</w:t>
            </w:r>
            <w:r w:rsidRPr="001B1DB1">
              <w:rPr>
                <w:rFonts w:cs="Times New Roman"/>
                <w:sz w:val="20"/>
                <w:szCs w:val="20"/>
              </w:rPr>
              <w:t>ienota prakse statistikas datu vākšanā un apkopošanā atbilstoši Statistikas darba grupas 2019. gada ziņojumā nolemtajam.</w:t>
            </w:r>
          </w:p>
          <w:p w14:paraId="5C90EF36" w14:textId="50A85D3A" w:rsidR="00EA244A" w:rsidRPr="001B1DB1" w:rsidRDefault="00EA244A" w:rsidP="00002D3D">
            <w:pPr>
              <w:jc w:val="both"/>
              <w:rPr>
                <w:rFonts w:cs="Times New Roman"/>
                <w:b/>
                <w:sz w:val="20"/>
                <w:szCs w:val="20"/>
              </w:rPr>
            </w:pPr>
          </w:p>
        </w:tc>
        <w:tc>
          <w:tcPr>
            <w:tcW w:w="2694" w:type="dxa"/>
          </w:tcPr>
          <w:p w14:paraId="3F35E3A0" w14:textId="478D1566" w:rsidR="00F5157B" w:rsidRPr="001B1DB1" w:rsidRDefault="00F5157B" w:rsidP="00945D93">
            <w:pPr>
              <w:jc w:val="both"/>
              <w:rPr>
                <w:rFonts w:cs="Times New Roman"/>
                <w:b/>
                <w:sz w:val="20"/>
                <w:szCs w:val="20"/>
              </w:rPr>
            </w:pPr>
            <w:r w:rsidRPr="001B1DB1">
              <w:rPr>
                <w:rFonts w:cs="Times New Roman"/>
                <w:sz w:val="20"/>
                <w:szCs w:val="20"/>
              </w:rPr>
              <w:t>Izveidot</w:t>
            </w:r>
            <w:r>
              <w:rPr>
                <w:rFonts w:cs="Times New Roman"/>
                <w:sz w:val="20"/>
                <w:szCs w:val="20"/>
              </w:rPr>
              <w:t>s</w:t>
            </w:r>
            <w:r w:rsidRPr="001B1DB1">
              <w:rPr>
                <w:rFonts w:cs="Times New Roman"/>
                <w:sz w:val="20"/>
                <w:szCs w:val="20"/>
              </w:rPr>
              <w:t xml:space="preserve"> statistikas datu sniedzēju sadarbības </w:t>
            </w:r>
            <w:r>
              <w:rPr>
                <w:rFonts w:cs="Times New Roman"/>
                <w:sz w:val="20"/>
                <w:szCs w:val="20"/>
              </w:rPr>
              <w:t>mehānisms</w:t>
            </w:r>
            <w:r w:rsidRPr="001B1DB1">
              <w:rPr>
                <w:rFonts w:cs="Times New Roman"/>
                <w:sz w:val="20"/>
                <w:szCs w:val="20"/>
              </w:rPr>
              <w:t xml:space="preserve"> speciālistu līmenī.</w:t>
            </w:r>
          </w:p>
        </w:tc>
        <w:tc>
          <w:tcPr>
            <w:tcW w:w="1134" w:type="dxa"/>
            <w:shd w:val="clear" w:color="auto" w:fill="auto"/>
          </w:tcPr>
          <w:p w14:paraId="116A5861" w14:textId="216A04A4" w:rsidR="00EA244A" w:rsidRPr="001B1DB1" w:rsidRDefault="00EA244A" w:rsidP="00664B7B">
            <w:pPr>
              <w:jc w:val="center"/>
              <w:rPr>
                <w:rFonts w:cs="Times New Roman"/>
                <w:b/>
                <w:bCs/>
                <w:sz w:val="20"/>
                <w:szCs w:val="20"/>
              </w:rPr>
            </w:pPr>
            <w:r w:rsidRPr="001B1DB1">
              <w:rPr>
                <w:sz w:val="20"/>
                <w:szCs w:val="20"/>
              </w:rPr>
              <w:t>FID</w:t>
            </w:r>
          </w:p>
        </w:tc>
        <w:tc>
          <w:tcPr>
            <w:tcW w:w="1275" w:type="dxa"/>
            <w:shd w:val="clear" w:color="auto" w:fill="auto"/>
          </w:tcPr>
          <w:p w14:paraId="37CD4041" w14:textId="3BC9C367" w:rsidR="00EA244A" w:rsidRPr="001B1DB1" w:rsidRDefault="00EA244A" w:rsidP="00664B7B">
            <w:pPr>
              <w:jc w:val="center"/>
              <w:rPr>
                <w:rFonts w:cs="Times New Roman"/>
                <w:b/>
                <w:bCs/>
                <w:sz w:val="20"/>
                <w:szCs w:val="20"/>
              </w:rPr>
            </w:pPr>
            <w:r w:rsidRPr="001B1DB1">
              <w:rPr>
                <w:sz w:val="20"/>
                <w:szCs w:val="20"/>
              </w:rPr>
              <w:t>VP, VID, VDD,</w:t>
            </w:r>
            <w:r w:rsidR="00740CD5" w:rsidRPr="001B1DB1">
              <w:rPr>
                <w:sz w:val="20"/>
                <w:szCs w:val="20"/>
              </w:rPr>
              <w:t xml:space="preserve"> </w:t>
            </w:r>
            <w:r w:rsidRPr="001B1DB1">
              <w:rPr>
                <w:sz w:val="20"/>
                <w:szCs w:val="20"/>
              </w:rPr>
              <w:t xml:space="preserve">KNAB, ĢP, TM (kā TA uzraudzības iestāde), IeM (kā IC </w:t>
            </w:r>
            <w:r w:rsidRPr="001B1DB1">
              <w:rPr>
                <w:sz w:val="20"/>
                <w:szCs w:val="20"/>
              </w:rPr>
              <w:lastRenderedPageBreak/>
              <w:t>uzraudzības iestāde)</w:t>
            </w:r>
          </w:p>
        </w:tc>
        <w:tc>
          <w:tcPr>
            <w:tcW w:w="1418" w:type="dxa"/>
            <w:shd w:val="clear" w:color="auto" w:fill="auto"/>
          </w:tcPr>
          <w:p w14:paraId="5826CE3C" w14:textId="1352F503" w:rsidR="00EA244A" w:rsidRPr="001B1DB1" w:rsidRDefault="00BD0843" w:rsidP="003C6C91">
            <w:pPr>
              <w:jc w:val="center"/>
              <w:rPr>
                <w:rFonts w:cs="Times New Roman"/>
                <w:b/>
                <w:bCs/>
                <w:sz w:val="20"/>
                <w:szCs w:val="20"/>
              </w:rPr>
            </w:pPr>
            <w:r>
              <w:rPr>
                <w:rFonts w:cs="Times New Roman"/>
                <w:bCs/>
                <w:sz w:val="20"/>
                <w:szCs w:val="20"/>
              </w:rPr>
              <w:lastRenderedPageBreak/>
              <w:t>31.12.2020.</w:t>
            </w:r>
          </w:p>
        </w:tc>
      </w:tr>
      <w:tr w:rsidR="00670659" w:rsidRPr="001B1DB1" w14:paraId="19D18118" w14:textId="77777777" w:rsidTr="00002D3D">
        <w:trPr>
          <w:trHeight w:val="543"/>
        </w:trPr>
        <w:tc>
          <w:tcPr>
            <w:tcW w:w="709" w:type="dxa"/>
            <w:vMerge w:val="restart"/>
          </w:tcPr>
          <w:p w14:paraId="411B7A67" w14:textId="77777777" w:rsidR="00670659" w:rsidRPr="001B1DB1" w:rsidRDefault="00670659" w:rsidP="00670659">
            <w:pPr>
              <w:jc w:val="center"/>
              <w:rPr>
                <w:rFonts w:cs="Times New Roman"/>
                <w:bCs/>
                <w:sz w:val="20"/>
                <w:szCs w:val="20"/>
              </w:rPr>
            </w:pPr>
            <w:r w:rsidRPr="001B1DB1">
              <w:rPr>
                <w:rFonts w:cs="Times New Roman"/>
                <w:bCs/>
                <w:sz w:val="20"/>
                <w:szCs w:val="20"/>
              </w:rPr>
              <w:t>1.2.</w:t>
            </w:r>
          </w:p>
        </w:tc>
        <w:tc>
          <w:tcPr>
            <w:tcW w:w="3686" w:type="dxa"/>
            <w:vMerge w:val="restart"/>
            <w:shd w:val="clear" w:color="auto" w:fill="auto"/>
          </w:tcPr>
          <w:p w14:paraId="563387ED" w14:textId="5A29C3A1" w:rsidR="00670659" w:rsidRPr="001B1DB1" w:rsidRDefault="00670659" w:rsidP="00797DB3">
            <w:pPr>
              <w:jc w:val="both"/>
              <w:rPr>
                <w:sz w:val="20"/>
                <w:szCs w:val="20"/>
              </w:rPr>
            </w:pPr>
            <w:r w:rsidRPr="001B1DB1">
              <w:rPr>
                <w:rFonts w:cs="Times New Roman"/>
                <w:sz w:val="20"/>
                <w:szCs w:val="20"/>
              </w:rPr>
              <w:t xml:space="preserve">Veikt Nacionālo </w:t>
            </w:r>
            <w:r w:rsidRPr="001B1DB1">
              <w:rPr>
                <w:sz w:val="20"/>
                <w:szCs w:val="20"/>
              </w:rPr>
              <w:t xml:space="preserve">NILLTPF </w:t>
            </w:r>
            <w:r w:rsidRPr="001B1DB1">
              <w:rPr>
                <w:rFonts w:cs="Times New Roman"/>
                <w:sz w:val="20"/>
                <w:szCs w:val="20"/>
              </w:rPr>
              <w:t>risku novērtējumu par 2017.-2019.</w:t>
            </w:r>
            <w:r>
              <w:rPr>
                <w:rFonts w:cs="Times New Roman"/>
                <w:sz w:val="20"/>
                <w:szCs w:val="20"/>
              </w:rPr>
              <w:t xml:space="preserve"> un 2020.-2022. </w:t>
            </w:r>
            <w:r w:rsidRPr="001B1DB1">
              <w:rPr>
                <w:rFonts w:cs="Times New Roman"/>
                <w:sz w:val="20"/>
                <w:szCs w:val="20"/>
              </w:rPr>
              <w:t>gad</w:t>
            </w:r>
            <w:r>
              <w:rPr>
                <w:rFonts w:cs="Times New Roman"/>
                <w:sz w:val="20"/>
                <w:szCs w:val="20"/>
              </w:rPr>
              <w:t>u</w:t>
            </w:r>
            <w:r w:rsidRPr="001B1DB1">
              <w:rPr>
                <w:rFonts w:cs="Times New Roman"/>
                <w:sz w:val="20"/>
                <w:szCs w:val="20"/>
              </w:rPr>
              <w:t>.</w:t>
            </w:r>
          </w:p>
        </w:tc>
        <w:tc>
          <w:tcPr>
            <w:tcW w:w="1559" w:type="dxa"/>
            <w:vMerge w:val="restart"/>
          </w:tcPr>
          <w:p w14:paraId="11F26605" w14:textId="5E3483CB" w:rsidR="00670659" w:rsidRPr="001B1DB1" w:rsidRDefault="00670659" w:rsidP="00670659">
            <w:pPr>
              <w:rPr>
                <w:rFonts w:cs="Times New Roman"/>
                <w:sz w:val="20"/>
                <w:szCs w:val="20"/>
              </w:rPr>
            </w:pPr>
            <w:r w:rsidRPr="001B1DB1">
              <w:rPr>
                <w:rFonts w:cs="Times New Roman"/>
                <w:sz w:val="20"/>
                <w:szCs w:val="20"/>
              </w:rPr>
              <w:t>FATF IO</w:t>
            </w:r>
            <w:r w:rsidR="001209FF">
              <w:rPr>
                <w:rFonts w:cs="Times New Roman"/>
                <w:sz w:val="20"/>
                <w:szCs w:val="20"/>
              </w:rPr>
              <w:t xml:space="preserve"> </w:t>
            </w:r>
            <w:r w:rsidRPr="001B1DB1">
              <w:rPr>
                <w:rFonts w:cs="Times New Roman"/>
                <w:sz w:val="20"/>
                <w:szCs w:val="20"/>
              </w:rPr>
              <w:t xml:space="preserve">1 </w:t>
            </w:r>
            <w:r>
              <w:rPr>
                <w:rFonts w:cs="Times New Roman"/>
                <w:sz w:val="20"/>
                <w:szCs w:val="20"/>
              </w:rPr>
              <w:t>-</w:t>
            </w:r>
            <w:r w:rsidRPr="001B1DB1">
              <w:rPr>
                <w:rFonts w:cs="Times New Roman"/>
                <w:sz w:val="20"/>
                <w:szCs w:val="20"/>
              </w:rPr>
              <w:t>1.1.</w:t>
            </w:r>
            <w:r>
              <w:rPr>
                <w:rFonts w:cs="Times New Roman"/>
                <w:sz w:val="20"/>
                <w:szCs w:val="20"/>
              </w:rPr>
              <w:t xml:space="preserve"> </w:t>
            </w:r>
            <w:r w:rsidRPr="000950D9">
              <w:rPr>
                <w:rFonts w:cs="Times New Roman"/>
                <w:sz w:val="20"/>
                <w:szCs w:val="20"/>
              </w:rPr>
              <w:t>pamatjautājums</w:t>
            </w:r>
            <w:r>
              <w:rPr>
                <w:rFonts w:cs="Times New Roman"/>
                <w:sz w:val="20"/>
                <w:szCs w:val="20"/>
              </w:rPr>
              <w:t>.</w:t>
            </w:r>
          </w:p>
          <w:p w14:paraId="1B4075E8" w14:textId="77777777" w:rsidR="00670659" w:rsidRPr="001B1DB1" w:rsidRDefault="00670659" w:rsidP="00670659">
            <w:pPr>
              <w:rPr>
                <w:sz w:val="20"/>
                <w:szCs w:val="20"/>
              </w:rPr>
            </w:pPr>
          </w:p>
        </w:tc>
        <w:tc>
          <w:tcPr>
            <w:tcW w:w="2551" w:type="dxa"/>
            <w:vMerge w:val="restart"/>
            <w:shd w:val="clear" w:color="auto" w:fill="auto"/>
          </w:tcPr>
          <w:p w14:paraId="12F7FF94" w14:textId="77777777" w:rsidR="00670659" w:rsidRPr="001B1DB1" w:rsidRDefault="00670659" w:rsidP="00670659">
            <w:pPr>
              <w:jc w:val="both"/>
              <w:rPr>
                <w:rFonts w:cs="Times New Roman"/>
                <w:sz w:val="20"/>
                <w:szCs w:val="20"/>
              </w:rPr>
            </w:pPr>
            <w:r w:rsidRPr="001B1DB1">
              <w:rPr>
                <w:rFonts w:cs="Times New Roman"/>
                <w:sz w:val="20"/>
                <w:szCs w:val="20"/>
              </w:rPr>
              <w:t xml:space="preserve">Identificēti, novērtēti un izprasti Latvijai piemītošie </w:t>
            </w:r>
            <w:r w:rsidRPr="001B1DB1">
              <w:rPr>
                <w:sz w:val="20"/>
                <w:szCs w:val="20"/>
              </w:rPr>
              <w:t xml:space="preserve">NILLTPF </w:t>
            </w:r>
            <w:r w:rsidRPr="001B1DB1">
              <w:rPr>
                <w:rFonts w:cs="Times New Roman"/>
                <w:sz w:val="20"/>
                <w:szCs w:val="20"/>
              </w:rPr>
              <w:t>riski.</w:t>
            </w:r>
          </w:p>
        </w:tc>
        <w:tc>
          <w:tcPr>
            <w:tcW w:w="2694" w:type="dxa"/>
          </w:tcPr>
          <w:p w14:paraId="4F149061" w14:textId="2F2FCCD9" w:rsidR="00670659" w:rsidRPr="001B1DB1" w:rsidRDefault="00670659" w:rsidP="00670659">
            <w:pPr>
              <w:jc w:val="both"/>
              <w:rPr>
                <w:rFonts w:cs="Times New Roman"/>
                <w:sz w:val="20"/>
                <w:szCs w:val="20"/>
              </w:rPr>
            </w:pPr>
            <w:r>
              <w:rPr>
                <w:rFonts w:cs="Times New Roman"/>
                <w:sz w:val="20"/>
                <w:szCs w:val="20"/>
              </w:rPr>
              <w:t>1.</w:t>
            </w:r>
            <w:r w:rsidRPr="001B1DB1">
              <w:rPr>
                <w:rFonts w:cs="Times New Roman"/>
                <w:sz w:val="20"/>
                <w:szCs w:val="20"/>
              </w:rPr>
              <w:t xml:space="preserve"> Izstrādāts Nacionālais NILLTPF risku novērtējums par 2017.-2019.gadu.</w:t>
            </w:r>
          </w:p>
        </w:tc>
        <w:tc>
          <w:tcPr>
            <w:tcW w:w="1134" w:type="dxa"/>
            <w:shd w:val="clear" w:color="auto" w:fill="auto"/>
          </w:tcPr>
          <w:p w14:paraId="62F3BB3E" w14:textId="57D26311" w:rsidR="00670659" w:rsidRPr="001B1DB1" w:rsidRDefault="00670659" w:rsidP="00670659">
            <w:pPr>
              <w:jc w:val="center"/>
              <w:rPr>
                <w:sz w:val="20"/>
                <w:szCs w:val="20"/>
              </w:rPr>
            </w:pPr>
            <w:r w:rsidRPr="001B1DB1">
              <w:rPr>
                <w:rFonts w:cs="Times New Roman"/>
                <w:sz w:val="20"/>
                <w:szCs w:val="20"/>
              </w:rPr>
              <w:t>FID</w:t>
            </w:r>
          </w:p>
        </w:tc>
        <w:tc>
          <w:tcPr>
            <w:tcW w:w="1275" w:type="dxa"/>
            <w:shd w:val="clear" w:color="auto" w:fill="auto"/>
          </w:tcPr>
          <w:p w14:paraId="3B6329D7" w14:textId="1DC49163" w:rsidR="00670659" w:rsidRPr="001B1DB1" w:rsidRDefault="00670659" w:rsidP="00670659">
            <w:pPr>
              <w:jc w:val="center"/>
              <w:rPr>
                <w:sz w:val="20"/>
                <w:szCs w:val="20"/>
              </w:rPr>
            </w:pPr>
            <w:r w:rsidRPr="001B1DB1">
              <w:rPr>
                <w:rFonts w:cs="Times New Roman"/>
                <w:sz w:val="20"/>
                <w:szCs w:val="20"/>
              </w:rPr>
              <w:t xml:space="preserve">FKTK, VID, LB, IAUI, LZAP, LZNP, LZRA, NKMP, PTAC, </w:t>
            </w:r>
            <w:r>
              <w:rPr>
                <w:sz w:val="20"/>
                <w:szCs w:val="20"/>
              </w:rPr>
              <w:t>LSMPAA</w:t>
            </w:r>
            <w:r>
              <w:rPr>
                <w:rFonts w:cs="Times New Roman"/>
                <w:sz w:val="20"/>
                <w:szCs w:val="20"/>
              </w:rPr>
              <w:t xml:space="preserve">, </w:t>
            </w:r>
            <w:r w:rsidR="00171A05">
              <w:rPr>
                <w:rFonts w:cs="Times New Roman"/>
                <w:sz w:val="20"/>
                <w:szCs w:val="20"/>
              </w:rPr>
              <w:t xml:space="preserve">MKD, </w:t>
            </w:r>
            <w:r w:rsidRPr="001B1DB1">
              <w:rPr>
                <w:rFonts w:cs="Times New Roman"/>
                <w:sz w:val="20"/>
                <w:szCs w:val="20"/>
              </w:rPr>
              <w:t>VP, KNA</w:t>
            </w:r>
            <w:r>
              <w:rPr>
                <w:rFonts w:cs="Times New Roman"/>
                <w:sz w:val="20"/>
                <w:szCs w:val="20"/>
              </w:rPr>
              <w:t>B</w:t>
            </w:r>
            <w:r w:rsidRPr="001B1DB1">
              <w:rPr>
                <w:rFonts w:cs="Times New Roman"/>
                <w:sz w:val="20"/>
                <w:szCs w:val="20"/>
              </w:rPr>
              <w:t>, VDD, ĢP, IeM, FM, TM, ĀM</w:t>
            </w:r>
          </w:p>
        </w:tc>
        <w:tc>
          <w:tcPr>
            <w:tcW w:w="1418" w:type="dxa"/>
            <w:shd w:val="clear" w:color="auto" w:fill="auto"/>
          </w:tcPr>
          <w:p w14:paraId="664901A8" w14:textId="346182B6" w:rsidR="00670659" w:rsidRPr="001B1DB1" w:rsidRDefault="00670659" w:rsidP="00670659">
            <w:pPr>
              <w:jc w:val="center"/>
              <w:rPr>
                <w:rFonts w:cs="Times New Roman"/>
                <w:bCs/>
                <w:sz w:val="20"/>
                <w:szCs w:val="20"/>
              </w:rPr>
            </w:pPr>
            <w:r w:rsidRPr="001B1DB1">
              <w:rPr>
                <w:rFonts w:cs="Times New Roman"/>
                <w:sz w:val="20"/>
                <w:szCs w:val="20"/>
              </w:rPr>
              <w:t>31.12.2020.</w:t>
            </w:r>
          </w:p>
        </w:tc>
      </w:tr>
      <w:tr w:rsidR="00670659" w:rsidRPr="001B1DB1" w14:paraId="74ACC1C1" w14:textId="77777777" w:rsidTr="00002D3D">
        <w:trPr>
          <w:trHeight w:val="543"/>
        </w:trPr>
        <w:tc>
          <w:tcPr>
            <w:tcW w:w="709" w:type="dxa"/>
            <w:vMerge/>
          </w:tcPr>
          <w:p w14:paraId="7F805A79" w14:textId="77777777" w:rsidR="00670659" w:rsidRPr="001B1DB1" w:rsidRDefault="00670659" w:rsidP="00670659">
            <w:pPr>
              <w:jc w:val="center"/>
              <w:rPr>
                <w:rFonts w:cs="Times New Roman"/>
                <w:bCs/>
                <w:sz w:val="20"/>
                <w:szCs w:val="20"/>
              </w:rPr>
            </w:pPr>
          </w:p>
        </w:tc>
        <w:tc>
          <w:tcPr>
            <w:tcW w:w="3686" w:type="dxa"/>
            <w:vMerge/>
            <w:shd w:val="clear" w:color="auto" w:fill="auto"/>
          </w:tcPr>
          <w:p w14:paraId="7A1BE1B8" w14:textId="77777777" w:rsidR="00670659" w:rsidRPr="001B1DB1" w:rsidRDefault="00670659" w:rsidP="00670659">
            <w:pPr>
              <w:rPr>
                <w:rFonts w:cs="Times New Roman"/>
                <w:sz w:val="20"/>
                <w:szCs w:val="20"/>
              </w:rPr>
            </w:pPr>
          </w:p>
        </w:tc>
        <w:tc>
          <w:tcPr>
            <w:tcW w:w="1559" w:type="dxa"/>
            <w:vMerge/>
          </w:tcPr>
          <w:p w14:paraId="1AAF4329" w14:textId="77777777" w:rsidR="00670659" w:rsidRPr="001B1DB1" w:rsidRDefault="00670659" w:rsidP="00670659">
            <w:pPr>
              <w:rPr>
                <w:rFonts w:cs="Times New Roman"/>
                <w:sz w:val="20"/>
                <w:szCs w:val="20"/>
              </w:rPr>
            </w:pPr>
          </w:p>
        </w:tc>
        <w:tc>
          <w:tcPr>
            <w:tcW w:w="2551" w:type="dxa"/>
            <w:vMerge/>
            <w:shd w:val="clear" w:color="auto" w:fill="auto"/>
          </w:tcPr>
          <w:p w14:paraId="50B04459" w14:textId="77777777" w:rsidR="00670659" w:rsidRPr="001B1DB1" w:rsidRDefault="00670659" w:rsidP="00670659">
            <w:pPr>
              <w:rPr>
                <w:rFonts w:cs="Times New Roman"/>
                <w:sz w:val="20"/>
                <w:szCs w:val="20"/>
              </w:rPr>
            </w:pPr>
          </w:p>
        </w:tc>
        <w:tc>
          <w:tcPr>
            <w:tcW w:w="2694" w:type="dxa"/>
          </w:tcPr>
          <w:p w14:paraId="5EDD7D62" w14:textId="0A765385" w:rsidR="00670659" w:rsidRPr="001B1DB1" w:rsidRDefault="00670659" w:rsidP="00670659">
            <w:pPr>
              <w:jc w:val="both"/>
              <w:rPr>
                <w:rFonts w:cs="Times New Roman"/>
                <w:sz w:val="20"/>
                <w:szCs w:val="20"/>
              </w:rPr>
            </w:pPr>
            <w:r>
              <w:rPr>
                <w:rFonts w:cs="Times New Roman"/>
                <w:sz w:val="20"/>
                <w:szCs w:val="20"/>
              </w:rPr>
              <w:t xml:space="preserve">2. </w:t>
            </w:r>
            <w:r w:rsidRPr="001B1DB1">
              <w:rPr>
                <w:rFonts w:cs="Times New Roman"/>
                <w:sz w:val="20"/>
                <w:szCs w:val="20"/>
              </w:rPr>
              <w:t xml:space="preserve"> Izstrādāts jauno tehnoloģiju </w:t>
            </w:r>
            <w:r w:rsidRPr="000368EA">
              <w:rPr>
                <w:rFonts w:cs="Times New Roman"/>
                <w:sz w:val="20"/>
                <w:szCs w:val="20"/>
              </w:rPr>
              <w:t>(t.sk. potenciālo draudu (</w:t>
            </w:r>
            <w:r w:rsidRPr="00B577E5">
              <w:rPr>
                <w:rFonts w:cs="Times New Roman"/>
                <w:i/>
                <w:sz w:val="20"/>
                <w:szCs w:val="20"/>
              </w:rPr>
              <w:t>emerging threats</w:t>
            </w:r>
            <w:r w:rsidRPr="000368EA">
              <w:rPr>
                <w:rFonts w:cs="Times New Roman"/>
                <w:sz w:val="20"/>
                <w:szCs w:val="20"/>
              </w:rPr>
              <w:t>)) un ar t</w:t>
            </w:r>
            <w:r>
              <w:rPr>
                <w:rFonts w:cs="Times New Roman"/>
                <w:sz w:val="20"/>
                <w:szCs w:val="20"/>
              </w:rPr>
              <w:t>ā</w:t>
            </w:r>
            <w:r w:rsidRPr="000368EA">
              <w:rPr>
                <w:rFonts w:cs="Times New Roman"/>
                <w:sz w:val="20"/>
                <w:szCs w:val="20"/>
              </w:rPr>
              <w:t xml:space="preserve">m saistīto </w:t>
            </w:r>
            <w:r w:rsidRPr="001B1DB1">
              <w:rPr>
                <w:rFonts w:cs="Times New Roman"/>
                <w:sz w:val="20"/>
                <w:szCs w:val="20"/>
              </w:rPr>
              <w:t>NILLTPF risku novērtējums.</w:t>
            </w:r>
          </w:p>
          <w:p w14:paraId="153AFCFA" w14:textId="7BA9C0E7" w:rsidR="00670659" w:rsidRPr="001B1DB1" w:rsidRDefault="00670659" w:rsidP="00670659">
            <w:pPr>
              <w:jc w:val="both"/>
              <w:rPr>
                <w:rFonts w:cs="Times New Roman"/>
                <w:sz w:val="20"/>
                <w:szCs w:val="20"/>
              </w:rPr>
            </w:pPr>
          </w:p>
        </w:tc>
        <w:tc>
          <w:tcPr>
            <w:tcW w:w="1134" w:type="dxa"/>
            <w:shd w:val="clear" w:color="auto" w:fill="auto"/>
          </w:tcPr>
          <w:p w14:paraId="501D39C8" w14:textId="77777777" w:rsidR="00670659" w:rsidRPr="001B1DB1" w:rsidRDefault="00670659" w:rsidP="00670659">
            <w:pPr>
              <w:jc w:val="center"/>
              <w:rPr>
                <w:rFonts w:cs="Times New Roman"/>
                <w:sz w:val="20"/>
                <w:szCs w:val="20"/>
              </w:rPr>
            </w:pPr>
            <w:r w:rsidRPr="001B1DB1">
              <w:rPr>
                <w:rFonts w:cs="Times New Roman"/>
                <w:sz w:val="20"/>
                <w:szCs w:val="20"/>
              </w:rPr>
              <w:t>FID</w:t>
            </w:r>
          </w:p>
          <w:p w14:paraId="1307B2DA" w14:textId="3A5A5A73" w:rsidR="00670659" w:rsidRPr="001B1DB1" w:rsidRDefault="00670659" w:rsidP="00670659">
            <w:pPr>
              <w:jc w:val="center"/>
              <w:rPr>
                <w:rFonts w:cs="Times New Roman"/>
                <w:sz w:val="20"/>
                <w:szCs w:val="20"/>
              </w:rPr>
            </w:pPr>
          </w:p>
        </w:tc>
        <w:tc>
          <w:tcPr>
            <w:tcW w:w="1275" w:type="dxa"/>
            <w:shd w:val="clear" w:color="auto" w:fill="auto"/>
          </w:tcPr>
          <w:p w14:paraId="2965193B" w14:textId="51ECD09E" w:rsidR="00670659" w:rsidRPr="001B1DB1" w:rsidRDefault="00670659" w:rsidP="00670659">
            <w:pPr>
              <w:jc w:val="center"/>
              <w:rPr>
                <w:rFonts w:cs="Times New Roman"/>
                <w:sz w:val="20"/>
                <w:szCs w:val="20"/>
              </w:rPr>
            </w:pPr>
            <w:r w:rsidRPr="00053D97">
              <w:rPr>
                <w:rFonts w:cs="Times New Roman"/>
                <w:sz w:val="20"/>
                <w:szCs w:val="20"/>
              </w:rPr>
              <w:t>FKTK, VID, LB, IAUI, LZAP, LZNP, LZRA, NKMP,</w:t>
            </w:r>
            <w:r w:rsidRPr="001B1DB1">
              <w:rPr>
                <w:rFonts w:cs="Times New Roman"/>
                <w:sz w:val="20"/>
                <w:szCs w:val="20"/>
              </w:rPr>
              <w:t xml:space="preserve"> PTAC,</w:t>
            </w:r>
            <w:r>
              <w:rPr>
                <w:rFonts w:cs="Times New Roman"/>
                <w:sz w:val="20"/>
                <w:szCs w:val="20"/>
              </w:rPr>
              <w:t xml:space="preserve"> </w:t>
            </w:r>
            <w:r>
              <w:rPr>
                <w:sz w:val="20"/>
                <w:szCs w:val="20"/>
              </w:rPr>
              <w:t>LSMPAA,</w:t>
            </w:r>
            <w:r w:rsidRPr="001B1DB1">
              <w:rPr>
                <w:rFonts w:cs="Times New Roman"/>
                <w:sz w:val="20"/>
                <w:szCs w:val="20"/>
              </w:rPr>
              <w:t xml:space="preserve"> </w:t>
            </w:r>
            <w:r w:rsidR="00171A05">
              <w:rPr>
                <w:rFonts w:cs="Times New Roman"/>
                <w:sz w:val="20"/>
                <w:szCs w:val="20"/>
              </w:rPr>
              <w:t xml:space="preserve">MKD, </w:t>
            </w:r>
            <w:r w:rsidRPr="001B1DB1">
              <w:rPr>
                <w:rFonts w:cs="Times New Roman"/>
                <w:sz w:val="20"/>
                <w:szCs w:val="20"/>
              </w:rPr>
              <w:t>VP, KNA</w:t>
            </w:r>
            <w:r>
              <w:rPr>
                <w:rFonts w:cs="Times New Roman"/>
                <w:sz w:val="20"/>
                <w:szCs w:val="20"/>
              </w:rPr>
              <w:t>B</w:t>
            </w:r>
            <w:r w:rsidRPr="001B1DB1">
              <w:rPr>
                <w:rFonts w:cs="Times New Roman"/>
                <w:sz w:val="20"/>
                <w:szCs w:val="20"/>
              </w:rPr>
              <w:t>, VDD, ĢP, IeM, FM, TM, ĀM</w:t>
            </w:r>
          </w:p>
        </w:tc>
        <w:tc>
          <w:tcPr>
            <w:tcW w:w="1418" w:type="dxa"/>
            <w:shd w:val="clear" w:color="auto" w:fill="auto"/>
          </w:tcPr>
          <w:p w14:paraId="609A6FC9" w14:textId="77777777" w:rsidR="00670659" w:rsidRPr="001B1DB1" w:rsidRDefault="00670659" w:rsidP="00670659">
            <w:pPr>
              <w:jc w:val="center"/>
              <w:rPr>
                <w:rFonts w:cs="Times New Roman"/>
                <w:sz w:val="20"/>
                <w:szCs w:val="20"/>
              </w:rPr>
            </w:pPr>
            <w:r w:rsidRPr="001B1DB1">
              <w:rPr>
                <w:rFonts w:cs="Times New Roman"/>
                <w:sz w:val="20"/>
                <w:szCs w:val="20"/>
              </w:rPr>
              <w:t>Reizi gadā līdz</w:t>
            </w:r>
            <w:r>
              <w:rPr>
                <w:rFonts w:cs="Times New Roman"/>
                <w:sz w:val="20"/>
                <w:szCs w:val="20"/>
              </w:rPr>
              <w:t xml:space="preserve"> 1. jūlijam</w:t>
            </w:r>
          </w:p>
          <w:p w14:paraId="2685C394" w14:textId="250EDE07" w:rsidR="00670659" w:rsidRPr="001B1DB1" w:rsidRDefault="00670659" w:rsidP="00670659">
            <w:pPr>
              <w:jc w:val="center"/>
              <w:rPr>
                <w:rFonts w:cs="Times New Roman"/>
                <w:sz w:val="20"/>
                <w:szCs w:val="20"/>
              </w:rPr>
            </w:pPr>
          </w:p>
        </w:tc>
      </w:tr>
      <w:tr w:rsidR="00670659" w:rsidRPr="001B1DB1" w14:paraId="36BE0F9F" w14:textId="77777777" w:rsidTr="00C842AB">
        <w:trPr>
          <w:trHeight w:val="416"/>
        </w:trPr>
        <w:tc>
          <w:tcPr>
            <w:tcW w:w="709" w:type="dxa"/>
            <w:vMerge/>
          </w:tcPr>
          <w:p w14:paraId="229203C6" w14:textId="77777777" w:rsidR="00670659" w:rsidRPr="001B1DB1" w:rsidRDefault="00670659" w:rsidP="00670659">
            <w:pPr>
              <w:jc w:val="center"/>
              <w:rPr>
                <w:rFonts w:cs="Times New Roman"/>
                <w:bCs/>
                <w:sz w:val="20"/>
                <w:szCs w:val="20"/>
              </w:rPr>
            </w:pPr>
          </w:p>
        </w:tc>
        <w:tc>
          <w:tcPr>
            <w:tcW w:w="3686" w:type="dxa"/>
            <w:vMerge/>
            <w:shd w:val="clear" w:color="auto" w:fill="auto"/>
          </w:tcPr>
          <w:p w14:paraId="56A783BE" w14:textId="77777777" w:rsidR="00670659" w:rsidRPr="001B1DB1" w:rsidRDefault="00670659" w:rsidP="00670659">
            <w:pPr>
              <w:rPr>
                <w:rFonts w:cs="Times New Roman"/>
                <w:sz w:val="20"/>
                <w:szCs w:val="20"/>
              </w:rPr>
            </w:pPr>
          </w:p>
        </w:tc>
        <w:tc>
          <w:tcPr>
            <w:tcW w:w="1559" w:type="dxa"/>
            <w:vMerge/>
          </w:tcPr>
          <w:p w14:paraId="7375EE6E" w14:textId="77777777" w:rsidR="00670659" w:rsidRPr="001B1DB1" w:rsidRDefault="00670659" w:rsidP="00670659">
            <w:pPr>
              <w:rPr>
                <w:rFonts w:cs="Times New Roman"/>
                <w:sz w:val="20"/>
                <w:szCs w:val="20"/>
              </w:rPr>
            </w:pPr>
          </w:p>
        </w:tc>
        <w:tc>
          <w:tcPr>
            <w:tcW w:w="2551" w:type="dxa"/>
            <w:vMerge/>
            <w:shd w:val="clear" w:color="auto" w:fill="auto"/>
          </w:tcPr>
          <w:p w14:paraId="0E48ED12" w14:textId="77777777" w:rsidR="00670659" w:rsidRPr="001B1DB1" w:rsidRDefault="00670659" w:rsidP="00670659">
            <w:pPr>
              <w:rPr>
                <w:rFonts w:cs="Times New Roman"/>
                <w:sz w:val="20"/>
                <w:szCs w:val="20"/>
              </w:rPr>
            </w:pPr>
          </w:p>
        </w:tc>
        <w:tc>
          <w:tcPr>
            <w:tcW w:w="2694" w:type="dxa"/>
          </w:tcPr>
          <w:p w14:paraId="1EBB8FCD" w14:textId="13789913" w:rsidR="00670659" w:rsidRPr="001B1DB1" w:rsidRDefault="00670659" w:rsidP="0007769A">
            <w:pPr>
              <w:jc w:val="both"/>
              <w:rPr>
                <w:rFonts w:cs="Times New Roman"/>
                <w:sz w:val="20"/>
                <w:szCs w:val="20"/>
              </w:rPr>
            </w:pPr>
            <w:r>
              <w:rPr>
                <w:sz w:val="20"/>
                <w:szCs w:val="20"/>
              </w:rPr>
              <w:t xml:space="preserve">3. </w:t>
            </w:r>
            <w:r w:rsidRPr="001B1DB1">
              <w:rPr>
                <w:sz w:val="20"/>
                <w:szCs w:val="20"/>
              </w:rPr>
              <w:t>Uzsākts darbs pie  Nacionālā NILLTPF risku novērtējuma izstrādes par 2020. - 2022. gad</w:t>
            </w:r>
            <w:r w:rsidR="0007769A">
              <w:rPr>
                <w:sz w:val="20"/>
                <w:szCs w:val="20"/>
              </w:rPr>
              <w:t>u</w:t>
            </w:r>
            <w:r w:rsidRPr="001B1DB1">
              <w:rPr>
                <w:sz w:val="20"/>
                <w:szCs w:val="20"/>
              </w:rPr>
              <w:t>.</w:t>
            </w:r>
          </w:p>
        </w:tc>
        <w:tc>
          <w:tcPr>
            <w:tcW w:w="1134" w:type="dxa"/>
            <w:shd w:val="clear" w:color="auto" w:fill="auto"/>
          </w:tcPr>
          <w:p w14:paraId="1C887129" w14:textId="295EADC4" w:rsidR="00670659" w:rsidRPr="001B1DB1" w:rsidRDefault="00670659" w:rsidP="00670659">
            <w:pPr>
              <w:jc w:val="center"/>
              <w:rPr>
                <w:rFonts w:cs="Times New Roman"/>
                <w:sz w:val="20"/>
                <w:szCs w:val="20"/>
              </w:rPr>
            </w:pPr>
            <w:r w:rsidRPr="001B1DB1">
              <w:rPr>
                <w:sz w:val="20"/>
                <w:szCs w:val="20"/>
              </w:rPr>
              <w:t>FID</w:t>
            </w:r>
          </w:p>
        </w:tc>
        <w:tc>
          <w:tcPr>
            <w:tcW w:w="1275" w:type="dxa"/>
            <w:shd w:val="clear" w:color="auto" w:fill="auto"/>
          </w:tcPr>
          <w:p w14:paraId="3969E286" w14:textId="41CB66CA" w:rsidR="00670659" w:rsidRPr="001B1DB1" w:rsidRDefault="00670659" w:rsidP="00670659">
            <w:pPr>
              <w:jc w:val="center"/>
              <w:rPr>
                <w:rFonts w:cs="Times New Roman"/>
                <w:sz w:val="20"/>
                <w:szCs w:val="20"/>
              </w:rPr>
            </w:pPr>
            <w:r w:rsidRPr="001B1DB1">
              <w:rPr>
                <w:sz w:val="20"/>
                <w:szCs w:val="20"/>
              </w:rPr>
              <w:t>FKTK, VID, LB, IAUI, LZAP, LZNP, LZRA, NKMP, PTAC,</w:t>
            </w:r>
            <w:r>
              <w:rPr>
                <w:sz w:val="20"/>
                <w:szCs w:val="20"/>
              </w:rPr>
              <w:t xml:space="preserve"> LSMPAA,</w:t>
            </w:r>
            <w:r w:rsidR="00171A05">
              <w:rPr>
                <w:sz w:val="20"/>
                <w:szCs w:val="20"/>
              </w:rPr>
              <w:t xml:space="preserve"> </w:t>
            </w:r>
            <w:r w:rsidR="00171A05">
              <w:rPr>
                <w:rFonts w:cs="Times New Roman"/>
                <w:sz w:val="20"/>
                <w:szCs w:val="20"/>
              </w:rPr>
              <w:t>MKD,</w:t>
            </w:r>
            <w:r w:rsidRPr="001B1DB1">
              <w:rPr>
                <w:sz w:val="20"/>
                <w:szCs w:val="20"/>
              </w:rPr>
              <w:t xml:space="preserve"> VP, </w:t>
            </w:r>
            <w:r w:rsidRPr="001B1DB1">
              <w:rPr>
                <w:sz w:val="20"/>
                <w:szCs w:val="20"/>
              </w:rPr>
              <w:lastRenderedPageBreak/>
              <w:t>KNAB, VDD, ĢP, IeM, FM, TM</w:t>
            </w:r>
          </w:p>
        </w:tc>
        <w:tc>
          <w:tcPr>
            <w:tcW w:w="1418" w:type="dxa"/>
            <w:shd w:val="clear" w:color="auto" w:fill="auto"/>
          </w:tcPr>
          <w:p w14:paraId="2E240419" w14:textId="32EA6407" w:rsidR="00670659" w:rsidRPr="001B1DB1" w:rsidRDefault="00670659" w:rsidP="00670659">
            <w:pPr>
              <w:jc w:val="center"/>
              <w:rPr>
                <w:rFonts w:cs="Times New Roman"/>
                <w:sz w:val="20"/>
                <w:szCs w:val="20"/>
              </w:rPr>
            </w:pPr>
            <w:r w:rsidRPr="001B1DB1">
              <w:rPr>
                <w:rFonts w:cs="Times New Roman"/>
                <w:bCs/>
                <w:sz w:val="20"/>
                <w:szCs w:val="20"/>
              </w:rPr>
              <w:lastRenderedPageBreak/>
              <w:t>31.12.2022.</w:t>
            </w:r>
          </w:p>
        </w:tc>
      </w:tr>
      <w:tr w:rsidR="00EA244A" w:rsidRPr="001B1DB1" w14:paraId="2C1B2740" w14:textId="77777777" w:rsidTr="00002D3D">
        <w:trPr>
          <w:trHeight w:val="543"/>
        </w:trPr>
        <w:tc>
          <w:tcPr>
            <w:tcW w:w="709" w:type="dxa"/>
            <w:vMerge w:val="restart"/>
          </w:tcPr>
          <w:p w14:paraId="0B7D4C05" w14:textId="77777777" w:rsidR="00EA244A" w:rsidRPr="001B1DB1" w:rsidRDefault="00EA244A" w:rsidP="00002D3D">
            <w:pPr>
              <w:jc w:val="center"/>
              <w:rPr>
                <w:rFonts w:cs="Times New Roman"/>
                <w:bCs/>
                <w:sz w:val="20"/>
                <w:szCs w:val="20"/>
              </w:rPr>
            </w:pPr>
            <w:r w:rsidRPr="001B1DB1">
              <w:rPr>
                <w:rFonts w:cs="Times New Roman"/>
                <w:bCs/>
                <w:sz w:val="20"/>
                <w:szCs w:val="20"/>
              </w:rPr>
              <w:t>1.3.</w:t>
            </w:r>
          </w:p>
        </w:tc>
        <w:tc>
          <w:tcPr>
            <w:tcW w:w="3686" w:type="dxa"/>
            <w:vMerge w:val="restart"/>
            <w:shd w:val="clear" w:color="auto" w:fill="auto"/>
          </w:tcPr>
          <w:p w14:paraId="60DA0BB2" w14:textId="25C55438" w:rsidR="00EA244A" w:rsidRPr="001B1DB1" w:rsidRDefault="00E37E41" w:rsidP="00002D3D">
            <w:pPr>
              <w:jc w:val="both"/>
              <w:rPr>
                <w:sz w:val="20"/>
                <w:szCs w:val="20"/>
              </w:rPr>
            </w:pPr>
            <w:r w:rsidRPr="00E37E41">
              <w:rPr>
                <w:sz w:val="20"/>
                <w:szCs w:val="20"/>
              </w:rPr>
              <w:t>Nodrošināt likuma subjektu un atbildīgo institūciju izpratni par likuma subjektu darbībai piemītošiem NILLTPF riskiem, informācijas sniegšanu un apmācības</w:t>
            </w:r>
            <w:r w:rsidR="003B72A6">
              <w:rPr>
                <w:sz w:val="20"/>
                <w:szCs w:val="20"/>
              </w:rPr>
              <w:t>.</w:t>
            </w:r>
          </w:p>
        </w:tc>
        <w:tc>
          <w:tcPr>
            <w:tcW w:w="1559" w:type="dxa"/>
            <w:vMerge w:val="restart"/>
          </w:tcPr>
          <w:p w14:paraId="27FF8821" w14:textId="0885BA96" w:rsidR="00EA244A" w:rsidRPr="001B1DB1" w:rsidRDefault="00EA244A" w:rsidP="001209FF">
            <w:pPr>
              <w:rPr>
                <w:rFonts w:cs="Times New Roman"/>
                <w:sz w:val="20"/>
                <w:szCs w:val="20"/>
              </w:rPr>
            </w:pPr>
            <w:r w:rsidRPr="001B1DB1">
              <w:rPr>
                <w:rFonts w:cs="Times New Roman"/>
                <w:sz w:val="20"/>
                <w:szCs w:val="20"/>
              </w:rPr>
              <w:t>FATF IO</w:t>
            </w:r>
            <w:r w:rsidR="001209FF">
              <w:rPr>
                <w:rFonts w:cs="Times New Roman"/>
                <w:sz w:val="20"/>
                <w:szCs w:val="20"/>
              </w:rPr>
              <w:t xml:space="preserve"> </w:t>
            </w:r>
            <w:r w:rsidRPr="001B1DB1">
              <w:rPr>
                <w:rFonts w:cs="Times New Roman"/>
                <w:sz w:val="20"/>
                <w:szCs w:val="20"/>
              </w:rPr>
              <w:t>1</w:t>
            </w:r>
            <w:r w:rsidR="000950D9">
              <w:rPr>
                <w:rFonts w:cs="Times New Roman"/>
                <w:sz w:val="20"/>
                <w:szCs w:val="20"/>
              </w:rPr>
              <w:t xml:space="preserve"> -</w:t>
            </w:r>
            <w:r w:rsidRPr="001B1DB1">
              <w:rPr>
                <w:rFonts w:cs="Times New Roman"/>
                <w:sz w:val="20"/>
                <w:szCs w:val="20"/>
              </w:rPr>
              <w:t>1.6.</w:t>
            </w:r>
            <w:r w:rsidR="000950D9">
              <w:rPr>
                <w:rFonts w:cs="Times New Roman"/>
                <w:sz w:val="20"/>
                <w:szCs w:val="20"/>
              </w:rPr>
              <w:t xml:space="preserve"> </w:t>
            </w:r>
            <w:r w:rsidR="000950D9" w:rsidRPr="000950D9">
              <w:rPr>
                <w:rFonts w:cs="Times New Roman"/>
                <w:sz w:val="20"/>
                <w:szCs w:val="20"/>
              </w:rPr>
              <w:t>pamatjautājums</w:t>
            </w:r>
            <w:r w:rsidR="001209FF">
              <w:rPr>
                <w:rFonts w:cs="Times New Roman"/>
                <w:sz w:val="20"/>
                <w:szCs w:val="20"/>
              </w:rPr>
              <w:t>;</w:t>
            </w:r>
            <w:r w:rsidRPr="001B1DB1">
              <w:rPr>
                <w:rFonts w:cs="Times New Roman"/>
                <w:sz w:val="20"/>
                <w:szCs w:val="20"/>
              </w:rPr>
              <w:t xml:space="preserve"> </w:t>
            </w:r>
            <w:r w:rsidRPr="001B1DB1">
              <w:rPr>
                <w:sz w:val="20"/>
                <w:szCs w:val="20"/>
              </w:rPr>
              <w:t>MONEYVAL</w:t>
            </w:r>
            <w:r w:rsidRPr="001B1DB1">
              <w:t xml:space="preserve"> </w:t>
            </w:r>
            <w:r w:rsidRPr="001B1DB1">
              <w:rPr>
                <w:rFonts w:cs="Times New Roman"/>
                <w:sz w:val="20"/>
                <w:szCs w:val="20"/>
              </w:rPr>
              <w:t>1.3., 1.5.</w:t>
            </w:r>
            <w:r w:rsidR="001209FF">
              <w:rPr>
                <w:rFonts w:cs="Times New Roman"/>
                <w:sz w:val="20"/>
                <w:szCs w:val="20"/>
              </w:rPr>
              <w:t xml:space="preserve"> r</w:t>
            </w:r>
            <w:r w:rsidR="001209FF" w:rsidRPr="001B1DB1">
              <w:rPr>
                <w:rFonts w:cs="Times New Roman"/>
                <w:sz w:val="20"/>
                <w:szCs w:val="20"/>
              </w:rPr>
              <w:t>ekomendācija</w:t>
            </w:r>
            <w:r w:rsidR="001209FF">
              <w:rPr>
                <w:rFonts w:cs="Times New Roman"/>
                <w:sz w:val="20"/>
                <w:szCs w:val="20"/>
              </w:rPr>
              <w:t>.</w:t>
            </w:r>
          </w:p>
        </w:tc>
        <w:tc>
          <w:tcPr>
            <w:tcW w:w="2551" w:type="dxa"/>
            <w:vMerge w:val="restart"/>
            <w:shd w:val="clear" w:color="auto" w:fill="auto"/>
          </w:tcPr>
          <w:p w14:paraId="11161303" w14:textId="77777777" w:rsidR="00EA244A" w:rsidRPr="001B1DB1" w:rsidRDefault="00EA244A" w:rsidP="00D16025">
            <w:pPr>
              <w:jc w:val="both"/>
              <w:rPr>
                <w:rFonts w:cs="Times New Roman"/>
                <w:sz w:val="20"/>
                <w:szCs w:val="20"/>
              </w:rPr>
            </w:pPr>
            <w:r w:rsidRPr="001B1DB1">
              <w:rPr>
                <w:rFonts w:cs="Times New Roman"/>
                <w:sz w:val="20"/>
                <w:szCs w:val="20"/>
              </w:rPr>
              <w:t xml:space="preserve">Pilnveidotas likuma subjektu zināšanas </w:t>
            </w:r>
            <w:r w:rsidRPr="001B1DB1">
              <w:rPr>
                <w:sz w:val="20"/>
                <w:szCs w:val="20"/>
              </w:rPr>
              <w:t xml:space="preserve">NILLTPF </w:t>
            </w:r>
            <w:r w:rsidRPr="001B1DB1">
              <w:rPr>
                <w:rFonts w:cs="Times New Roman"/>
                <w:sz w:val="20"/>
                <w:szCs w:val="20"/>
              </w:rPr>
              <w:t xml:space="preserve">novēršanas jomā gan attiecībā uz </w:t>
            </w:r>
            <w:r w:rsidRPr="001B1DB1">
              <w:rPr>
                <w:sz w:val="20"/>
                <w:szCs w:val="20"/>
              </w:rPr>
              <w:t xml:space="preserve">NILLTPF </w:t>
            </w:r>
            <w:r w:rsidRPr="001B1DB1">
              <w:rPr>
                <w:rFonts w:cs="Times New Roman"/>
                <w:sz w:val="20"/>
                <w:szCs w:val="20"/>
              </w:rPr>
              <w:t>risku izpratni, gan pienākumu nodrošināt</w:t>
            </w:r>
            <w:r w:rsidRPr="001B1DB1">
              <w:t xml:space="preserve"> </w:t>
            </w:r>
            <w:r w:rsidRPr="001B1DB1">
              <w:rPr>
                <w:rFonts w:cs="Times New Roman"/>
                <w:sz w:val="20"/>
                <w:szCs w:val="20"/>
              </w:rPr>
              <w:t>korektu aizdomīgu darījumu un sliekšņa deklarāciju ziņošanu.</w:t>
            </w:r>
          </w:p>
        </w:tc>
        <w:tc>
          <w:tcPr>
            <w:tcW w:w="2694" w:type="dxa"/>
          </w:tcPr>
          <w:p w14:paraId="16E41656" w14:textId="3DAEB892" w:rsidR="00EA244A" w:rsidRPr="001B1DB1" w:rsidRDefault="00EA244A" w:rsidP="00231C79">
            <w:pPr>
              <w:jc w:val="both"/>
              <w:rPr>
                <w:rFonts w:cs="Times New Roman"/>
                <w:sz w:val="20"/>
                <w:szCs w:val="20"/>
              </w:rPr>
            </w:pPr>
            <w:r w:rsidRPr="001B1DB1">
              <w:rPr>
                <w:rFonts w:cs="Times New Roman"/>
                <w:sz w:val="20"/>
                <w:szCs w:val="20"/>
              </w:rPr>
              <w:t xml:space="preserve">1. </w:t>
            </w:r>
            <w:r w:rsidR="00231C79">
              <w:rPr>
                <w:rFonts w:cs="Times New Roman"/>
                <w:sz w:val="20"/>
                <w:szCs w:val="20"/>
              </w:rPr>
              <w:t>A</w:t>
            </w:r>
            <w:r w:rsidR="00231C79" w:rsidRPr="00231C79">
              <w:rPr>
                <w:rFonts w:cs="Times New Roman"/>
                <w:sz w:val="20"/>
                <w:szCs w:val="20"/>
              </w:rPr>
              <w:t>tbilstoši institūcijas ikgadējam plānam</w:t>
            </w:r>
            <w:r w:rsidR="00231C79">
              <w:rPr>
                <w:rFonts w:cs="Times New Roman"/>
                <w:sz w:val="20"/>
                <w:szCs w:val="20"/>
              </w:rPr>
              <w:t xml:space="preserve"> o</w:t>
            </w:r>
            <w:r w:rsidRPr="001B1DB1">
              <w:rPr>
                <w:rFonts w:cs="Times New Roman"/>
                <w:sz w:val="20"/>
                <w:szCs w:val="20"/>
              </w:rPr>
              <w:t>rganizēti semināri likuma subjektiem, kuros skaidroti risku novērtējumu secinājumi.</w:t>
            </w:r>
          </w:p>
        </w:tc>
        <w:tc>
          <w:tcPr>
            <w:tcW w:w="1134" w:type="dxa"/>
            <w:shd w:val="clear" w:color="auto" w:fill="auto"/>
          </w:tcPr>
          <w:p w14:paraId="47399637" w14:textId="77777777" w:rsidR="00EA244A" w:rsidRPr="001B1DB1" w:rsidRDefault="00EA244A" w:rsidP="00664B7B">
            <w:pPr>
              <w:jc w:val="center"/>
              <w:rPr>
                <w:sz w:val="20"/>
                <w:szCs w:val="20"/>
              </w:rPr>
            </w:pPr>
            <w:r w:rsidRPr="001B1DB1">
              <w:rPr>
                <w:sz w:val="20"/>
                <w:szCs w:val="20"/>
              </w:rPr>
              <w:t>FID</w:t>
            </w:r>
          </w:p>
        </w:tc>
        <w:tc>
          <w:tcPr>
            <w:tcW w:w="1275" w:type="dxa"/>
            <w:shd w:val="clear" w:color="auto" w:fill="auto"/>
          </w:tcPr>
          <w:p w14:paraId="0744A5EF" w14:textId="24519360" w:rsidR="00EA244A" w:rsidRPr="001B1DB1" w:rsidRDefault="00F12F45" w:rsidP="00664B7B">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6F9E6F27" w14:textId="77777777" w:rsidR="00EA244A" w:rsidRPr="001B1DB1" w:rsidRDefault="00EA244A" w:rsidP="00664B7B">
            <w:pPr>
              <w:jc w:val="center"/>
              <w:rPr>
                <w:rFonts w:cs="Times New Roman"/>
                <w:bCs/>
                <w:sz w:val="20"/>
                <w:szCs w:val="20"/>
              </w:rPr>
            </w:pPr>
            <w:r w:rsidRPr="001B1DB1">
              <w:rPr>
                <w:rFonts w:cs="Times New Roman"/>
                <w:bCs/>
                <w:sz w:val="20"/>
                <w:szCs w:val="20"/>
              </w:rPr>
              <w:t>Pastāvīgi</w:t>
            </w:r>
          </w:p>
        </w:tc>
      </w:tr>
      <w:tr w:rsidR="00EA244A" w:rsidRPr="001B1DB1" w14:paraId="55BAF2C7" w14:textId="77777777" w:rsidTr="00002D3D">
        <w:trPr>
          <w:trHeight w:val="543"/>
        </w:trPr>
        <w:tc>
          <w:tcPr>
            <w:tcW w:w="709" w:type="dxa"/>
            <w:vMerge/>
          </w:tcPr>
          <w:p w14:paraId="7B532289" w14:textId="77777777" w:rsidR="00EA244A" w:rsidRPr="001B1DB1" w:rsidRDefault="00EA244A" w:rsidP="00002D3D">
            <w:pPr>
              <w:jc w:val="center"/>
              <w:rPr>
                <w:rFonts w:cs="Times New Roman"/>
                <w:bCs/>
                <w:sz w:val="20"/>
                <w:szCs w:val="20"/>
              </w:rPr>
            </w:pPr>
          </w:p>
        </w:tc>
        <w:tc>
          <w:tcPr>
            <w:tcW w:w="3686" w:type="dxa"/>
            <w:vMerge/>
            <w:shd w:val="clear" w:color="auto" w:fill="auto"/>
          </w:tcPr>
          <w:p w14:paraId="3F60DC81" w14:textId="77777777" w:rsidR="00EA244A" w:rsidRPr="001B1DB1" w:rsidRDefault="00EA244A" w:rsidP="00002D3D">
            <w:pPr>
              <w:jc w:val="both"/>
              <w:rPr>
                <w:sz w:val="20"/>
                <w:szCs w:val="20"/>
              </w:rPr>
            </w:pPr>
          </w:p>
        </w:tc>
        <w:tc>
          <w:tcPr>
            <w:tcW w:w="1559" w:type="dxa"/>
            <w:vMerge/>
          </w:tcPr>
          <w:p w14:paraId="01F808B9" w14:textId="77777777" w:rsidR="00EA244A" w:rsidRPr="001B1DB1" w:rsidRDefault="00EA244A" w:rsidP="00002D3D">
            <w:pPr>
              <w:rPr>
                <w:rFonts w:cs="Times New Roman"/>
                <w:sz w:val="20"/>
                <w:szCs w:val="20"/>
              </w:rPr>
            </w:pPr>
          </w:p>
        </w:tc>
        <w:tc>
          <w:tcPr>
            <w:tcW w:w="2551" w:type="dxa"/>
            <w:vMerge/>
            <w:shd w:val="clear" w:color="auto" w:fill="auto"/>
          </w:tcPr>
          <w:p w14:paraId="23735C1A" w14:textId="77777777" w:rsidR="00EA244A" w:rsidRPr="001B1DB1" w:rsidRDefault="00EA244A" w:rsidP="00002D3D">
            <w:pPr>
              <w:rPr>
                <w:rFonts w:cs="Times New Roman"/>
                <w:sz w:val="20"/>
                <w:szCs w:val="20"/>
              </w:rPr>
            </w:pPr>
          </w:p>
        </w:tc>
        <w:tc>
          <w:tcPr>
            <w:tcW w:w="2694" w:type="dxa"/>
          </w:tcPr>
          <w:p w14:paraId="1BA12273" w14:textId="6EA21903" w:rsidR="00EA244A" w:rsidRPr="001B1DB1" w:rsidRDefault="00934A86" w:rsidP="00002D3D">
            <w:pPr>
              <w:jc w:val="both"/>
              <w:rPr>
                <w:rFonts w:cs="Times New Roman"/>
                <w:sz w:val="20"/>
                <w:szCs w:val="20"/>
              </w:rPr>
            </w:pPr>
            <w:r>
              <w:rPr>
                <w:rFonts w:cs="Times New Roman"/>
                <w:sz w:val="20"/>
                <w:szCs w:val="20"/>
              </w:rPr>
              <w:t>2.</w:t>
            </w:r>
            <w:r w:rsidR="002009AC">
              <w:rPr>
                <w:rFonts w:cs="Times New Roman"/>
                <w:sz w:val="20"/>
                <w:szCs w:val="20"/>
              </w:rPr>
              <w:t xml:space="preserve"> </w:t>
            </w:r>
            <w:r w:rsidR="00EA244A" w:rsidRPr="001B1DB1">
              <w:rPr>
                <w:rFonts w:cs="Times New Roman"/>
                <w:sz w:val="20"/>
                <w:szCs w:val="20"/>
              </w:rPr>
              <w:t xml:space="preserve"> Organizētas Naudas likumu dienas kā izglītojoša kampaņa uzņēmējiem un sabiedrībai, lai vairotu izpratni par ekonomiskajiem un </w:t>
            </w:r>
            <w:r w:rsidR="00EA244A" w:rsidRPr="00053D97">
              <w:rPr>
                <w:rFonts w:cs="Times New Roman"/>
                <w:sz w:val="20"/>
                <w:szCs w:val="20"/>
              </w:rPr>
              <w:t>finanšu noziegumiem ar mērķi brīdināt par riskiem tikt iesaistītiem tajos.</w:t>
            </w:r>
          </w:p>
        </w:tc>
        <w:tc>
          <w:tcPr>
            <w:tcW w:w="1134" w:type="dxa"/>
            <w:shd w:val="clear" w:color="auto" w:fill="auto"/>
          </w:tcPr>
          <w:p w14:paraId="0FB34775" w14:textId="77777777" w:rsidR="00EA244A" w:rsidRPr="001B1DB1" w:rsidRDefault="00EA244A" w:rsidP="00664B7B">
            <w:pPr>
              <w:jc w:val="center"/>
              <w:rPr>
                <w:sz w:val="20"/>
                <w:szCs w:val="20"/>
              </w:rPr>
            </w:pPr>
            <w:r w:rsidRPr="001B1DB1">
              <w:rPr>
                <w:sz w:val="20"/>
                <w:szCs w:val="20"/>
              </w:rPr>
              <w:t>FID</w:t>
            </w:r>
          </w:p>
        </w:tc>
        <w:tc>
          <w:tcPr>
            <w:tcW w:w="1275" w:type="dxa"/>
            <w:shd w:val="clear" w:color="auto" w:fill="auto"/>
          </w:tcPr>
          <w:p w14:paraId="6BC91763" w14:textId="105A8F33" w:rsidR="00EA244A" w:rsidRPr="001B1DB1" w:rsidRDefault="00EA244A" w:rsidP="00664B7B">
            <w:pPr>
              <w:jc w:val="center"/>
              <w:rPr>
                <w:sz w:val="20"/>
                <w:szCs w:val="20"/>
              </w:rPr>
            </w:pPr>
          </w:p>
        </w:tc>
        <w:tc>
          <w:tcPr>
            <w:tcW w:w="1418" w:type="dxa"/>
            <w:shd w:val="clear" w:color="auto" w:fill="auto"/>
          </w:tcPr>
          <w:p w14:paraId="1C932089" w14:textId="6DD1718B" w:rsidR="00EA244A" w:rsidRPr="001B1DB1" w:rsidRDefault="00EA244A" w:rsidP="00664B7B">
            <w:pPr>
              <w:jc w:val="center"/>
              <w:rPr>
                <w:rFonts w:cs="Times New Roman"/>
                <w:bCs/>
                <w:sz w:val="20"/>
                <w:szCs w:val="20"/>
              </w:rPr>
            </w:pPr>
            <w:r w:rsidRPr="001B1DB1">
              <w:rPr>
                <w:rFonts w:cs="Times New Roman"/>
                <w:bCs/>
                <w:sz w:val="20"/>
                <w:szCs w:val="20"/>
              </w:rPr>
              <w:t>Ne retāk kā reizi gadā</w:t>
            </w:r>
          </w:p>
          <w:p w14:paraId="5353ED14" w14:textId="77777777" w:rsidR="00EA244A" w:rsidRPr="001B1DB1" w:rsidRDefault="00EA244A" w:rsidP="00664B7B">
            <w:pPr>
              <w:jc w:val="center"/>
              <w:rPr>
                <w:rFonts w:cs="Times New Roman"/>
                <w:bCs/>
                <w:sz w:val="20"/>
                <w:szCs w:val="20"/>
              </w:rPr>
            </w:pPr>
          </w:p>
        </w:tc>
      </w:tr>
      <w:tr w:rsidR="00EA244A" w:rsidRPr="001B1DB1" w14:paraId="3156AEDB" w14:textId="77777777" w:rsidTr="00002D3D">
        <w:trPr>
          <w:trHeight w:val="543"/>
        </w:trPr>
        <w:tc>
          <w:tcPr>
            <w:tcW w:w="709" w:type="dxa"/>
            <w:vMerge/>
          </w:tcPr>
          <w:p w14:paraId="0000A652" w14:textId="77777777" w:rsidR="00EA244A" w:rsidRPr="001B1DB1" w:rsidRDefault="00EA244A" w:rsidP="00002D3D">
            <w:pPr>
              <w:jc w:val="center"/>
              <w:rPr>
                <w:rFonts w:cs="Times New Roman"/>
                <w:bCs/>
                <w:sz w:val="20"/>
                <w:szCs w:val="20"/>
              </w:rPr>
            </w:pPr>
          </w:p>
        </w:tc>
        <w:tc>
          <w:tcPr>
            <w:tcW w:w="3686" w:type="dxa"/>
            <w:vMerge/>
            <w:shd w:val="clear" w:color="auto" w:fill="auto"/>
          </w:tcPr>
          <w:p w14:paraId="33F94C17" w14:textId="77777777" w:rsidR="00EA244A" w:rsidRPr="001B1DB1" w:rsidRDefault="00EA244A" w:rsidP="00002D3D">
            <w:pPr>
              <w:jc w:val="both"/>
              <w:rPr>
                <w:sz w:val="20"/>
                <w:szCs w:val="20"/>
              </w:rPr>
            </w:pPr>
          </w:p>
        </w:tc>
        <w:tc>
          <w:tcPr>
            <w:tcW w:w="1559" w:type="dxa"/>
            <w:vMerge/>
          </w:tcPr>
          <w:p w14:paraId="7DE8DFF3" w14:textId="77777777" w:rsidR="00EA244A" w:rsidRPr="001B1DB1" w:rsidRDefault="00EA244A" w:rsidP="00002D3D">
            <w:pPr>
              <w:rPr>
                <w:rFonts w:cs="Times New Roman"/>
                <w:sz w:val="20"/>
                <w:szCs w:val="20"/>
              </w:rPr>
            </w:pPr>
          </w:p>
        </w:tc>
        <w:tc>
          <w:tcPr>
            <w:tcW w:w="2551" w:type="dxa"/>
            <w:vMerge/>
            <w:shd w:val="clear" w:color="auto" w:fill="auto"/>
          </w:tcPr>
          <w:p w14:paraId="69E473D9" w14:textId="77777777" w:rsidR="00EA244A" w:rsidRPr="001B1DB1" w:rsidRDefault="00EA244A" w:rsidP="00002D3D">
            <w:pPr>
              <w:rPr>
                <w:rFonts w:cs="Times New Roman"/>
                <w:sz w:val="20"/>
                <w:szCs w:val="20"/>
              </w:rPr>
            </w:pPr>
          </w:p>
        </w:tc>
        <w:tc>
          <w:tcPr>
            <w:tcW w:w="2694" w:type="dxa"/>
          </w:tcPr>
          <w:p w14:paraId="7C3D2E5C" w14:textId="79D47510" w:rsidR="00EA244A" w:rsidRPr="001B1DB1" w:rsidRDefault="002009AC" w:rsidP="002A4CBD">
            <w:pPr>
              <w:jc w:val="both"/>
              <w:rPr>
                <w:rFonts w:cs="Times New Roman"/>
                <w:sz w:val="20"/>
                <w:szCs w:val="20"/>
              </w:rPr>
            </w:pPr>
            <w:r>
              <w:rPr>
                <w:rFonts w:cs="Times New Roman"/>
                <w:sz w:val="20"/>
                <w:szCs w:val="20"/>
              </w:rPr>
              <w:t xml:space="preserve">3. </w:t>
            </w:r>
            <w:r w:rsidR="00396C03">
              <w:rPr>
                <w:rFonts w:cs="Times New Roman"/>
                <w:sz w:val="20"/>
                <w:szCs w:val="20"/>
              </w:rPr>
              <w:t>V</w:t>
            </w:r>
            <w:r w:rsidR="00EA244A" w:rsidRPr="001B1DB1">
              <w:rPr>
                <w:rFonts w:cs="Times New Roman"/>
                <w:sz w:val="20"/>
                <w:szCs w:val="20"/>
              </w:rPr>
              <w:t xml:space="preserve">eikta specializētā apmācība noteiktām likuma subjektu grupām par aktuāliem </w:t>
            </w:r>
            <w:r w:rsidR="00EA244A" w:rsidRPr="001B1DB1">
              <w:rPr>
                <w:sz w:val="20"/>
                <w:szCs w:val="20"/>
              </w:rPr>
              <w:t xml:space="preserve">NILLTPF </w:t>
            </w:r>
            <w:r w:rsidR="00EA244A" w:rsidRPr="001B1DB1">
              <w:rPr>
                <w:rFonts w:cs="Times New Roman"/>
                <w:sz w:val="20"/>
                <w:szCs w:val="20"/>
              </w:rPr>
              <w:t>novēršanas jautājumiem</w:t>
            </w:r>
            <w:r w:rsidR="00396C03">
              <w:rPr>
                <w:rFonts w:cs="Times New Roman"/>
                <w:sz w:val="20"/>
                <w:szCs w:val="20"/>
              </w:rPr>
              <w:t>,</w:t>
            </w:r>
            <w:r w:rsidR="002A4CBD">
              <w:rPr>
                <w:rFonts w:cs="Times New Roman"/>
                <w:sz w:val="20"/>
                <w:szCs w:val="20"/>
              </w:rPr>
              <w:t xml:space="preserve"> </w:t>
            </w:r>
            <w:r w:rsidR="00396C03" w:rsidRPr="00396C03">
              <w:rPr>
                <w:rFonts w:cs="Times New Roman"/>
                <w:sz w:val="20"/>
                <w:szCs w:val="20"/>
              </w:rPr>
              <w:t>-</w:t>
            </w:r>
            <w:r w:rsidR="002A4CBD">
              <w:rPr>
                <w:rFonts w:cs="Times New Roman"/>
                <w:sz w:val="20"/>
                <w:szCs w:val="20"/>
              </w:rPr>
              <w:t xml:space="preserve"> </w:t>
            </w:r>
            <w:r w:rsidR="00396C03" w:rsidRPr="00396C03">
              <w:rPr>
                <w:rFonts w:cs="Times New Roman"/>
                <w:sz w:val="20"/>
                <w:szCs w:val="20"/>
              </w:rPr>
              <w:t>nodrošin</w:t>
            </w:r>
            <w:r w:rsidR="00396C03">
              <w:rPr>
                <w:rFonts w:cs="Times New Roman"/>
                <w:sz w:val="20"/>
                <w:szCs w:val="20"/>
              </w:rPr>
              <w:t>o</w:t>
            </w:r>
            <w:r w:rsidR="00396C03" w:rsidRPr="00396C03">
              <w:rPr>
                <w:rFonts w:cs="Times New Roman"/>
                <w:sz w:val="20"/>
                <w:szCs w:val="20"/>
              </w:rPr>
              <w:t>t</w:t>
            </w:r>
            <w:r w:rsidR="002A4CBD">
              <w:rPr>
                <w:rFonts w:cs="Times New Roman"/>
                <w:sz w:val="20"/>
                <w:szCs w:val="20"/>
              </w:rPr>
              <w:t xml:space="preserve"> </w:t>
            </w:r>
            <w:r w:rsidR="00396C03" w:rsidRPr="00396C03">
              <w:rPr>
                <w:rFonts w:cs="Times New Roman"/>
                <w:sz w:val="20"/>
                <w:szCs w:val="20"/>
              </w:rPr>
              <w:t>likuma subjektu informēšanu par nacionālo risku novērtējumu rezultātiem, kas attiecīgi tiek implementēti likuma subjektu iekšējās politikās, procedūrās un kontroles sistēmās</w:t>
            </w:r>
            <w:r w:rsidR="00EA244A" w:rsidRPr="001B1DB1">
              <w:rPr>
                <w:rFonts w:cs="Times New Roman"/>
                <w:sz w:val="20"/>
                <w:szCs w:val="20"/>
              </w:rPr>
              <w:t>.</w:t>
            </w:r>
            <w:r w:rsidR="00C57D8E">
              <w:rPr>
                <w:rFonts w:cs="Times New Roman"/>
                <w:sz w:val="20"/>
                <w:szCs w:val="20"/>
              </w:rPr>
              <w:t xml:space="preserve"> </w:t>
            </w:r>
          </w:p>
        </w:tc>
        <w:tc>
          <w:tcPr>
            <w:tcW w:w="1134" w:type="dxa"/>
            <w:shd w:val="clear" w:color="auto" w:fill="auto"/>
          </w:tcPr>
          <w:p w14:paraId="52287A27" w14:textId="552B0C3F" w:rsidR="00EA244A" w:rsidRPr="001B1DB1" w:rsidRDefault="00396C03" w:rsidP="00664B7B">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75E31862" w14:textId="09008AEF" w:rsidR="00EA244A" w:rsidRPr="001B1DB1" w:rsidRDefault="00396C03" w:rsidP="00664B7B">
            <w:pPr>
              <w:jc w:val="center"/>
              <w:rPr>
                <w:rFonts w:cs="Times New Roman"/>
                <w:sz w:val="20"/>
                <w:szCs w:val="20"/>
              </w:rPr>
            </w:pPr>
            <w:r>
              <w:rPr>
                <w:sz w:val="20"/>
                <w:szCs w:val="20"/>
              </w:rPr>
              <w:t>FID</w:t>
            </w:r>
          </w:p>
        </w:tc>
        <w:tc>
          <w:tcPr>
            <w:tcW w:w="1418" w:type="dxa"/>
            <w:shd w:val="clear" w:color="auto" w:fill="auto"/>
          </w:tcPr>
          <w:p w14:paraId="242B6F39" w14:textId="63A4A19F" w:rsidR="00EA244A" w:rsidRPr="001B1DB1" w:rsidRDefault="00EA244A" w:rsidP="00664B7B">
            <w:pPr>
              <w:jc w:val="center"/>
              <w:rPr>
                <w:rFonts w:cs="Times New Roman"/>
                <w:bCs/>
                <w:sz w:val="20"/>
                <w:szCs w:val="20"/>
              </w:rPr>
            </w:pPr>
            <w:r w:rsidRPr="001B1DB1">
              <w:rPr>
                <w:rFonts w:cs="Times New Roman"/>
                <w:bCs/>
                <w:sz w:val="20"/>
                <w:szCs w:val="20"/>
              </w:rPr>
              <w:t>Pastāvīgi</w:t>
            </w:r>
          </w:p>
        </w:tc>
      </w:tr>
      <w:tr w:rsidR="00EA244A" w:rsidRPr="001B1DB1" w14:paraId="3ADC6CE3" w14:textId="77777777" w:rsidTr="00C842AB">
        <w:trPr>
          <w:trHeight w:val="416"/>
        </w:trPr>
        <w:tc>
          <w:tcPr>
            <w:tcW w:w="709" w:type="dxa"/>
            <w:vMerge/>
          </w:tcPr>
          <w:p w14:paraId="657ED688" w14:textId="77777777" w:rsidR="00EA244A" w:rsidRPr="001B1DB1" w:rsidRDefault="00EA244A" w:rsidP="00002D3D">
            <w:pPr>
              <w:jc w:val="center"/>
              <w:rPr>
                <w:rFonts w:cs="Times New Roman"/>
                <w:bCs/>
                <w:sz w:val="20"/>
                <w:szCs w:val="20"/>
              </w:rPr>
            </w:pPr>
          </w:p>
        </w:tc>
        <w:tc>
          <w:tcPr>
            <w:tcW w:w="3686" w:type="dxa"/>
            <w:vMerge/>
            <w:shd w:val="clear" w:color="auto" w:fill="auto"/>
          </w:tcPr>
          <w:p w14:paraId="4DF90A7A" w14:textId="77777777" w:rsidR="00EA244A" w:rsidRPr="001B1DB1" w:rsidRDefault="00EA244A" w:rsidP="00002D3D">
            <w:pPr>
              <w:jc w:val="both"/>
              <w:rPr>
                <w:sz w:val="20"/>
                <w:szCs w:val="20"/>
              </w:rPr>
            </w:pPr>
          </w:p>
        </w:tc>
        <w:tc>
          <w:tcPr>
            <w:tcW w:w="1559" w:type="dxa"/>
            <w:vMerge/>
          </w:tcPr>
          <w:p w14:paraId="6613D9D0" w14:textId="77777777" w:rsidR="00EA244A" w:rsidRPr="001B1DB1" w:rsidRDefault="00EA244A" w:rsidP="00002D3D">
            <w:pPr>
              <w:rPr>
                <w:rFonts w:cs="Times New Roman"/>
                <w:sz w:val="20"/>
                <w:szCs w:val="20"/>
              </w:rPr>
            </w:pPr>
          </w:p>
        </w:tc>
        <w:tc>
          <w:tcPr>
            <w:tcW w:w="2551" w:type="dxa"/>
            <w:vMerge/>
            <w:shd w:val="clear" w:color="auto" w:fill="auto"/>
          </w:tcPr>
          <w:p w14:paraId="2297E531" w14:textId="77777777" w:rsidR="00EA244A" w:rsidRPr="001B1DB1" w:rsidRDefault="00EA244A" w:rsidP="00002D3D">
            <w:pPr>
              <w:rPr>
                <w:rFonts w:cs="Times New Roman"/>
                <w:sz w:val="20"/>
                <w:szCs w:val="20"/>
              </w:rPr>
            </w:pPr>
          </w:p>
        </w:tc>
        <w:tc>
          <w:tcPr>
            <w:tcW w:w="2694" w:type="dxa"/>
          </w:tcPr>
          <w:p w14:paraId="38406078" w14:textId="74DEA207" w:rsidR="00EA244A" w:rsidRPr="001B1DB1" w:rsidRDefault="002009AC" w:rsidP="0044784A">
            <w:pPr>
              <w:jc w:val="both"/>
              <w:rPr>
                <w:rFonts w:cs="Times New Roman"/>
                <w:sz w:val="20"/>
                <w:szCs w:val="20"/>
              </w:rPr>
            </w:pPr>
            <w:r>
              <w:rPr>
                <w:rFonts w:cs="Times New Roman"/>
                <w:sz w:val="20"/>
                <w:szCs w:val="20"/>
              </w:rPr>
              <w:t>4</w:t>
            </w:r>
            <w:r w:rsidR="00EA244A" w:rsidRPr="001B1DB1">
              <w:rPr>
                <w:rFonts w:cs="Times New Roman"/>
                <w:sz w:val="20"/>
                <w:szCs w:val="20"/>
              </w:rPr>
              <w:t xml:space="preserve">. Pilnveidota FID </w:t>
            </w:r>
            <w:r w:rsidR="0044784A" w:rsidRPr="0044784A">
              <w:rPr>
                <w:rFonts w:cs="Times New Roman"/>
                <w:sz w:val="20"/>
                <w:szCs w:val="20"/>
              </w:rPr>
              <w:t>tīmekļa vietn</w:t>
            </w:r>
            <w:r w:rsidR="0044784A">
              <w:rPr>
                <w:rFonts w:cs="Times New Roman"/>
                <w:sz w:val="20"/>
                <w:szCs w:val="20"/>
              </w:rPr>
              <w:t>ē</w:t>
            </w:r>
            <w:r w:rsidR="00EA244A" w:rsidRPr="001B1DB1">
              <w:rPr>
                <w:rFonts w:cs="Times New Roman"/>
                <w:sz w:val="20"/>
                <w:szCs w:val="20"/>
              </w:rPr>
              <w:t xml:space="preserve"> (publiski pieejama) un e-ziņošanas sadaļā (tikai reģistrētiem lietotājiem) esošā informācija par aktualitātēm </w:t>
            </w:r>
            <w:r w:rsidR="00EA244A" w:rsidRPr="001B1DB1">
              <w:rPr>
                <w:rFonts w:cs="Times New Roman"/>
                <w:sz w:val="20"/>
                <w:szCs w:val="20"/>
              </w:rPr>
              <w:lastRenderedPageBreak/>
              <w:t xml:space="preserve">attiecībā uz </w:t>
            </w:r>
            <w:r w:rsidR="00EA244A" w:rsidRPr="001B1DB1">
              <w:rPr>
                <w:sz w:val="20"/>
                <w:szCs w:val="20"/>
              </w:rPr>
              <w:t>NILLTPF novēršanu</w:t>
            </w:r>
            <w:r w:rsidR="00EA244A" w:rsidRPr="001B1DB1">
              <w:rPr>
                <w:rFonts w:cs="Times New Roman"/>
                <w:sz w:val="20"/>
                <w:szCs w:val="20"/>
              </w:rPr>
              <w:t>.</w:t>
            </w:r>
          </w:p>
        </w:tc>
        <w:tc>
          <w:tcPr>
            <w:tcW w:w="1134" w:type="dxa"/>
            <w:shd w:val="clear" w:color="auto" w:fill="auto"/>
          </w:tcPr>
          <w:p w14:paraId="18C1A301" w14:textId="77777777" w:rsidR="00EA244A" w:rsidRPr="001B1DB1" w:rsidRDefault="00EA244A" w:rsidP="00664B7B">
            <w:pPr>
              <w:jc w:val="center"/>
              <w:rPr>
                <w:sz w:val="20"/>
                <w:szCs w:val="20"/>
              </w:rPr>
            </w:pPr>
            <w:r w:rsidRPr="001B1DB1">
              <w:rPr>
                <w:sz w:val="20"/>
                <w:szCs w:val="20"/>
              </w:rPr>
              <w:lastRenderedPageBreak/>
              <w:t>FID</w:t>
            </w:r>
          </w:p>
        </w:tc>
        <w:tc>
          <w:tcPr>
            <w:tcW w:w="1275" w:type="dxa"/>
            <w:shd w:val="clear" w:color="auto" w:fill="auto"/>
          </w:tcPr>
          <w:p w14:paraId="579714CF" w14:textId="3AF20A63" w:rsidR="00EA244A" w:rsidRPr="001B1DB1" w:rsidRDefault="00F12F45" w:rsidP="00664B7B">
            <w:pPr>
              <w:jc w:val="center"/>
              <w:rPr>
                <w:rFonts w:cs="Times New Roman"/>
                <w:sz w:val="20"/>
                <w:szCs w:val="20"/>
              </w:rPr>
            </w:pPr>
            <w:r w:rsidRPr="001B1DB1">
              <w:rPr>
                <w:sz w:val="20"/>
                <w:szCs w:val="20"/>
              </w:rPr>
              <w:t xml:space="preserve">FKTK, VID, LB, IAUI, LZAP, LZNP, LZRA, </w:t>
            </w:r>
            <w:r w:rsidRPr="001B1DB1">
              <w:rPr>
                <w:sz w:val="20"/>
                <w:szCs w:val="20"/>
              </w:rPr>
              <w:lastRenderedPageBreak/>
              <w:t>NKMP, PTAC</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5A0632EC" w14:textId="3DD92F66" w:rsidR="00EA244A" w:rsidRPr="001B1DB1" w:rsidRDefault="00EA244A" w:rsidP="00664B7B">
            <w:pPr>
              <w:jc w:val="center"/>
              <w:rPr>
                <w:rFonts w:cs="Times New Roman"/>
                <w:bCs/>
                <w:sz w:val="20"/>
                <w:szCs w:val="20"/>
              </w:rPr>
            </w:pPr>
            <w:r w:rsidRPr="001B1DB1">
              <w:rPr>
                <w:rFonts w:cs="Times New Roman"/>
                <w:bCs/>
                <w:sz w:val="20"/>
                <w:szCs w:val="20"/>
              </w:rPr>
              <w:lastRenderedPageBreak/>
              <w:t>Pastāvīgi</w:t>
            </w:r>
          </w:p>
        </w:tc>
      </w:tr>
      <w:tr w:rsidR="00EA244A" w:rsidRPr="001B1DB1" w14:paraId="55E6F784" w14:textId="77777777" w:rsidTr="00002D3D">
        <w:trPr>
          <w:trHeight w:val="543"/>
        </w:trPr>
        <w:tc>
          <w:tcPr>
            <w:tcW w:w="709" w:type="dxa"/>
            <w:vMerge/>
          </w:tcPr>
          <w:p w14:paraId="354A228C" w14:textId="77777777" w:rsidR="00EA244A" w:rsidRPr="001B1DB1" w:rsidRDefault="00EA244A" w:rsidP="00002D3D">
            <w:pPr>
              <w:jc w:val="center"/>
              <w:rPr>
                <w:rFonts w:cs="Times New Roman"/>
                <w:bCs/>
                <w:sz w:val="20"/>
                <w:szCs w:val="20"/>
              </w:rPr>
            </w:pPr>
          </w:p>
        </w:tc>
        <w:tc>
          <w:tcPr>
            <w:tcW w:w="3686" w:type="dxa"/>
            <w:vMerge/>
            <w:shd w:val="clear" w:color="auto" w:fill="auto"/>
          </w:tcPr>
          <w:p w14:paraId="781C25C7" w14:textId="77777777" w:rsidR="00EA244A" w:rsidRPr="001B1DB1" w:rsidRDefault="00EA244A" w:rsidP="00002D3D">
            <w:pPr>
              <w:jc w:val="both"/>
              <w:rPr>
                <w:sz w:val="20"/>
                <w:szCs w:val="20"/>
              </w:rPr>
            </w:pPr>
          </w:p>
        </w:tc>
        <w:tc>
          <w:tcPr>
            <w:tcW w:w="1559" w:type="dxa"/>
            <w:vMerge/>
          </w:tcPr>
          <w:p w14:paraId="6AE24A16" w14:textId="77777777" w:rsidR="00EA244A" w:rsidRPr="001B1DB1" w:rsidRDefault="00EA244A" w:rsidP="00002D3D">
            <w:pPr>
              <w:rPr>
                <w:rFonts w:cs="Times New Roman"/>
                <w:sz w:val="20"/>
                <w:szCs w:val="20"/>
              </w:rPr>
            </w:pPr>
          </w:p>
        </w:tc>
        <w:tc>
          <w:tcPr>
            <w:tcW w:w="2551" w:type="dxa"/>
            <w:vMerge/>
            <w:shd w:val="clear" w:color="auto" w:fill="auto"/>
          </w:tcPr>
          <w:p w14:paraId="06412582" w14:textId="77777777" w:rsidR="00EA244A" w:rsidRPr="001B1DB1" w:rsidRDefault="00EA244A" w:rsidP="00002D3D">
            <w:pPr>
              <w:rPr>
                <w:rFonts w:cs="Times New Roman"/>
                <w:sz w:val="20"/>
                <w:szCs w:val="20"/>
              </w:rPr>
            </w:pPr>
          </w:p>
        </w:tc>
        <w:tc>
          <w:tcPr>
            <w:tcW w:w="2694" w:type="dxa"/>
          </w:tcPr>
          <w:p w14:paraId="0C4894EB" w14:textId="740AE0C0" w:rsidR="00EA244A" w:rsidRPr="001B1DB1" w:rsidRDefault="002009AC" w:rsidP="007C5808">
            <w:pPr>
              <w:jc w:val="both"/>
              <w:rPr>
                <w:rFonts w:cs="Times New Roman"/>
                <w:sz w:val="20"/>
                <w:szCs w:val="20"/>
              </w:rPr>
            </w:pPr>
            <w:r>
              <w:rPr>
                <w:rFonts w:cs="Times New Roman"/>
                <w:sz w:val="20"/>
                <w:szCs w:val="20"/>
              </w:rPr>
              <w:t>5</w:t>
            </w:r>
            <w:r w:rsidR="00EA244A" w:rsidRPr="001B1DB1">
              <w:rPr>
                <w:rFonts w:cs="Times New Roman"/>
                <w:sz w:val="20"/>
                <w:szCs w:val="20"/>
              </w:rPr>
              <w:t xml:space="preserve">. Nodrošināta atgriezeniskā saite </w:t>
            </w:r>
            <w:r w:rsidR="00EA244A" w:rsidRPr="001B1DB1">
              <w:rPr>
                <w:sz w:val="20"/>
                <w:szCs w:val="20"/>
              </w:rPr>
              <w:t xml:space="preserve">likuma </w:t>
            </w:r>
            <w:r w:rsidR="00EA244A" w:rsidRPr="001B1DB1">
              <w:rPr>
                <w:rFonts w:cs="Times New Roman"/>
                <w:sz w:val="20"/>
                <w:szCs w:val="20"/>
              </w:rPr>
              <w:t xml:space="preserve">subjektiem (balstoties uz </w:t>
            </w:r>
            <w:r w:rsidR="00D06F5B" w:rsidRPr="001B1DB1">
              <w:rPr>
                <w:rFonts w:cs="Times New Roman"/>
                <w:sz w:val="20"/>
                <w:szCs w:val="20"/>
              </w:rPr>
              <w:t xml:space="preserve">risku </w:t>
            </w:r>
            <w:r w:rsidR="007C5808">
              <w:rPr>
                <w:rFonts w:cs="Times New Roman"/>
                <w:sz w:val="20"/>
                <w:szCs w:val="20"/>
              </w:rPr>
              <w:t>novērtējumā balstītā</w:t>
            </w:r>
            <w:r w:rsidR="007C5808" w:rsidRPr="001B1DB1">
              <w:rPr>
                <w:rFonts w:cs="Times New Roman"/>
                <w:sz w:val="20"/>
                <w:szCs w:val="20"/>
              </w:rPr>
              <w:t xml:space="preserve"> </w:t>
            </w:r>
            <w:r w:rsidR="00EA244A" w:rsidRPr="001B1DB1">
              <w:rPr>
                <w:rFonts w:cs="Times New Roman"/>
                <w:sz w:val="20"/>
                <w:szCs w:val="20"/>
              </w:rPr>
              <w:t>pieej</w:t>
            </w:r>
            <w:r w:rsidR="007C5808">
              <w:rPr>
                <w:rFonts w:cs="Times New Roman"/>
                <w:sz w:val="20"/>
                <w:szCs w:val="20"/>
              </w:rPr>
              <w:t>ā</w:t>
            </w:r>
            <w:r w:rsidR="00EA244A" w:rsidRPr="001B1DB1">
              <w:rPr>
                <w:rFonts w:cs="Times New Roman"/>
                <w:sz w:val="20"/>
                <w:szCs w:val="20"/>
              </w:rPr>
              <w:t>) un UKI par aizdomīgu darījumu ziņošanu FID.</w:t>
            </w:r>
          </w:p>
        </w:tc>
        <w:tc>
          <w:tcPr>
            <w:tcW w:w="1134" w:type="dxa"/>
            <w:shd w:val="clear" w:color="auto" w:fill="auto"/>
          </w:tcPr>
          <w:p w14:paraId="5785A0AF" w14:textId="77777777" w:rsidR="00EA244A" w:rsidRPr="001B1DB1" w:rsidRDefault="00EA244A" w:rsidP="00664B7B">
            <w:pPr>
              <w:jc w:val="center"/>
              <w:rPr>
                <w:sz w:val="20"/>
                <w:szCs w:val="20"/>
              </w:rPr>
            </w:pPr>
            <w:r w:rsidRPr="001B1DB1">
              <w:rPr>
                <w:sz w:val="20"/>
                <w:szCs w:val="20"/>
              </w:rPr>
              <w:t>FID</w:t>
            </w:r>
          </w:p>
        </w:tc>
        <w:tc>
          <w:tcPr>
            <w:tcW w:w="1275" w:type="dxa"/>
            <w:shd w:val="clear" w:color="auto" w:fill="auto"/>
          </w:tcPr>
          <w:p w14:paraId="3C7244F2" w14:textId="6A6849FA" w:rsidR="00EA244A" w:rsidRPr="001B1DB1" w:rsidRDefault="00F12F45" w:rsidP="00664B7B">
            <w:pPr>
              <w:jc w:val="center"/>
              <w:rPr>
                <w:rFonts w:cs="Times New Roman"/>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06CBDCEC" w14:textId="4FFC1F57" w:rsidR="00EA244A" w:rsidRPr="001B1DB1" w:rsidRDefault="00EA244A" w:rsidP="00664B7B">
            <w:pPr>
              <w:jc w:val="center"/>
              <w:rPr>
                <w:rFonts w:cs="Times New Roman"/>
                <w:bCs/>
                <w:sz w:val="20"/>
                <w:szCs w:val="20"/>
              </w:rPr>
            </w:pPr>
            <w:r w:rsidRPr="001B1DB1">
              <w:rPr>
                <w:rFonts w:cs="Times New Roman"/>
                <w:bCs/>
                <w:sz w:val="20"/>
                <w:szCs w:val="20"/>
              </w:rPr>
              <w:t>Pastāvīgi</w:t>
            </w:r>
          </w:p>
        </w:tc>
      </w:tr>
      <w:tr w:rsidR="00EA244A" w:rsidRPr="001B1DB1" w14:paraId="298CFB85" w14:textId="77777777" w:rsidTr="00002D3D">
        <w:trPr>
          <w:trHeight w:val="543"/>
        </w:trPr>
        <w:tc>
          <w:tcPr>
            <w:tcW w:w="709" w:type="dxa"/>
          </w:tcPr>
          <w:p w14:paraId="18B25C1F" w14:textId="77777777" w:rsidR="00EA244A" w:rsidRPr="001B1DB1" w:rsidRDefault="00EA244A" w:rsidP="00F6007F">
            <w:pPr>
              <w:jc w:val="center"/>
              <w:rPr>
                <w:rFonts w:cs="Times New Roman"/>
                <w:bCs/>
                <w:sz w:val="20"/>
                <w:szCs w:val="20"/>
              </w:rPr>
            </w:pPr>
            <w:r w:rsidRPr="001B1DB1">
              <w:rPr>
                <w:rFonts w:cs="Times New Roman"/>
                <w:bCs/>
                <w:sz w:val="20"/>
                <w:szCs w:val="20"/>
              </w:rPr>
              <w:t>1.</w:t>
            </w:r>
            <w:r w:rsidR="00BA2B73" w:rsidRPr="001B1DB1">
              <w:rPr>
                <w:rFonts w:cs="Times New Roman"/>
                <w:bCs/>
                <w:sz w:val="20"/>
                <w:szCs w:val="20"/>
              </w:rPr>
              <w:t>4</w:t>
            </w:r>
            <w:r w:rsidRPr="001B1DB1">
              <w:rPr>
                <w:rFonts w:cs="Times New Roman"/>
                <w:bCs/>
                <w:sz w:val="20"/>
                <w:szCs w:val="20"/>
              </w:rPr>
              <w:t>.</w:t>
            </w:r>
          </w:p>
        </w:tc>
        <w:tc>
          <w:tcPr>
            <w:tcW w:w="3686" w:type="dxa"/>
            <w:shd w:val="clear" w:color="auto" w:fill="auto"/>
          </w:tcPr>
          <w:p w14:paraId="0D84CA96" w14:textId="3D639B11" w:rsidR="00EA244A" w:rsidRPr="001B1DB1" w:rsidRDefault="00EA244A" w:rsidP="00945D93">
            <w:pPr>
              <w:jc w:val="both"/>
              <w:rPr>
                <w:rFonts w:cs="Times New Roman"/>
                <w:b/>
                <w:bCs/>
                <w:sz w:val="20"/>
                <w:szCs w:val="20"/>
              </w:rPr>
            </w:pPr>
            <w:r w:rsidRPr="001B1DB1">
              <w:rPr>
                <w:sz w:val="20"/>
                <w:szCs w:val="20"/>
              </w:rPr>
              <w:t>Balstoties uz veikt</w:t>
            </w:r>
            <w:r w:rsidR="00D40A11">
              <w:rPr>
                <w:sz w:val="20"/>
                <w:szCs w:val="20"/>
              </w:rPr>
              <w:t>ajiem</w:t>
            </w:r>
            <w:r w:rsidRPr="001B1DB1">
              <w:rPr>
                <w:sz w:val="20"/>
                <w:szCs w:val="20"/>
              </w:rPr>
              <w:t xml:space="preserve"> </w:t>
            </w:r>
            <w:r w:rsidR="00306A87">
              <w:rPr>
                <w:sz w:val="20"/>
                <w:szCs w:val="20"/>
              </w:rPr>
              <w:t>sektoru</w:t>
            </w:r>
            <w:r w:rsidRPr="001B1DB1">
              <w:rPr>
                <w:sz w:val="20"/>
                <w:szCs w:val="20"/>
              </w:rPr>
              <w:t xml:space="preserve"> </w:t>
            </w:r>
            <w:r w:rsidR="00563696" w:rsidRPr="001B1DB1">
              <w:rPr>
                <w:sz w:val="20"/>
                <w:szCs w:val="20"/>
              </w:rPr>
              <w:t xml:space="preserve">un citiem </w:t>
            </w:r>
            <w:r w:rsidRPr="001B1DB1">
              <w:rPr>
                <w:sz w:val="20"/>
                <w:szCs w:val="20"/>
              </w:rPr>
              <w:t>NILLTPF risku novērtējum</w:t>
            </w:r>
            <w:r w:rsidR="00563696" w:rsidRPr="001B1DB1">
              <w:rPr>
                <w:sz w:val="20"/>
                <w:szCs w:val="20"/>
              </w:rPr>
              <w:t>iem</w:t>
            </w:r>
            <w:r w:rsidRPr="001B1DB1">
              <w:rPr>
                <w:sz w:val="20"/>
                <w:szCs w:val="20"/>
              </w:rPr>
              <w:t>, aktualizēt vadlīnijas par identificētajiem riskiem un rekomendētajiem risku mazinošiem pasākumiem, kā arī likuma subjektu risku novērtējumu veikšanu</w:t>
            </w:r>
            <w:r w:rsidR="002C73EE" w:rsidRPr="001B1DB1">
              <w:rPr>
                <w:sz w:val="20"/>
                <w:szCs w:val="20"/>
              </w:rPr>
              <w:t>.</w:t>
            </w:r>
          </w:p>
        </w:tc>
        <w:tc>
          <w:tcPr>
            <w:tcW w:w="1559" w:type="dxa"/>
          </w:tcPr>
          <w:p w14:paraId="3A5C8E3F" w14:textId="33196442" w:rsidR="00EA244A" w:rsidRPr="001B1DB1" w:rsidRDefault="00EA244A" w:rsidP="001209FF">
            <w:pPr>
              <w:jc w:val="both"/>
              <w:rPr>
                <w:rFonts w:cs="Times New Roman"/>
                <w:b/>
                <w:sz w:val="20"/>
                <w:szCs w:val="20"/>
              </w:rPr>
            </w:pPr>
            <w:r w:rsidRPr="001B1DB1">
              <w:rPr>
                <w:rFonts w:cs="Times New Roman"/>
                <w:sz w:val="20"/>
                <w:szCs w:val="20"/>
              </w:rPr>
              <w:t xml:space="preserve">FATF 1., 6. un 7. rekomendācija;MONEYVAL </w:t>
            </w:r>
            <w:r w:rsidRPr="001B1DB1">
              <w:rPr>
                <w:sz w:val="20"/>
                <w:szCs w:val="20"/>
              </w:rPr>
              <w:t>1.4., 1.5., 1.9.</w:t>
            </w:r>
            <w:r w:rsidR="001209FF">
              <w:rPr>
                <w:sz w:val="20"/>
                <w:szCs w:val="20"/>
              </w:rPr>
              <w:t xml:space="preserve"> </w:t>
            </w:r>
            <w:r w:rsidR="001209FF" w:rsidRPr="001B1DB1">
              <w:rPr>
                <w:sz w:val="20"/>
                <w:szCs w:val="20"/>
              </w:rPr>
              <w:t>rekomendācija</w:t>
            </w:r>
            <w:r w:rsidR="001209FF">
              <w:rPr>
                <w:sz w:val="20"/>
                <w:szCs w:val="20"/>
              </w:rPr>
              <w:t>.</w:t>
            </w:r>
          </w:p>
        </w:tc>
        <w:tc>
          <w:tcPr>
            <w:tcW w:w="2551" w:type="dxa"/>
            <w:shd w:val="clear" w:color="auto" w:fill="auto"/>
          </w:tcPr>
          <w:p w14:paraId="0BC9D1BE" w14:textId="77777777" w:rsidR="00EA244A" w:rsidRPr="001B1DB1" w:rsidRDefault="00EA244A" w:rsidP="00002D3D">
            <w:pPr>
              <w:jc w:val="both"/>
              <w:rPr>
                <w:rFonts w:cs="Times New Roman"/>
                <w:b/>
                <w:sz w:val="20"/>
                <w:szCs w:val="20"/>
              </w:rPr>
            </w:pPr>
            <w:r w:rsidRPr="001B1DB1">
              <w:rPr>
                <w:rFonts w:cs="Times New Roman"/>
                <w:sz w:val="20"/>
                <w:szCs w:val="20"/>
              </w:rPr>
              <w:t xml:space="preserve">Nodrošināta </w:t>
            </w:r>
            <w:r w:rsidRPr="001B1DB1">
              <w:rPr>
                <w:sz w:val="20"/>
                <w:szCs w:val="20"/>
              </w:rPr>
              <w:t xml:space="preserve">likuma </w:t>
            </w:r>
            <w:r w:rsidRPr="001B1DB1">
              <w:rPr>
                <w:rFonts w:cs="Times New Roman"/>
                <w:sz w:val="20"/>
                <w:szCs w:val="20"/>
              </w:rPr>
              <w:t>subjektu informēšana par identificētajiem riskiem un rekomendētajiem risku mazinošiem pasākumiem. Likuma subjekti izmanto NRA rezultātus, veicot savus riska novērtējumus.</w:t>
            </w:r>
          </w:p>
        </w:tc>
        <w:tc>
          <w:tcPr>
            <w:tcW w:w="2694" w:type="dxa"/>
          </w:tcPr>
          <w:p w14:paraId="58802B1B" w14:textId="77777777" w:rsidR="00EA244A" w:rsidRPr="001B1DB1" w:rsidRDefault="00EA244A" w:rsidP="00002D3D">
            <w:pPr>
              <w:jc w:val="both"/>
              <w:rPr>
                <w:rFonts w:cs="Times New Roman"/>
                <w:b/>
                <w:sz w:val="20"/>
                <w:szCs w:val="20"/>
              </w:rPr>
            </w:pPr>
            <w:r w:rsidRPr="001B1DB1">
              <w:rPr>
                <w:rFonts w:cs="Times New Roman"/>
                <w:sz w:val="20"/>
                <w:szCs w:val="20"/>
              </w:rPr>
              <w:t xml:space="preserve">Aktualizētas vadlīnijas </w:t>
            </w:r>
            <w:r w:rsidRPr="001B1DB1">
              <w:rPr>
                <w:sz w:val="20"/>
                <w:szCs w:val="20"/>
              </w:rPr>
              <w:t xml:space="preserve">likuma </w:t>
            </w:r>
            <w:r w:rsidRPr="001B1DB1">
              <w:rPr>
                <w:rFonts w:cs="Times New Roman"/>
                <w:sz w:val="20"/>
                <w:szCs w:val="20"/>
              </w:rPr>
              <w:t>subjektiem</w:t>
            </w:r>
            <w:r w:rsidR="002C73EE" w:rsidRPr="001B1DB1">
              <w:rPr>
                <w:rFonts w:cs="Times New Roman"/>
                <w:sz w:val="20"/>
                <w:szCs w:val="20"/>
              </w:rPr>
              <w:t>.</w:t>
            </w:r>
          </w:p>
        </w:tc>
        <w:tc>
          <w:tcPr>
            <w:tcW w:w="1134" w:type="dxa"/>
            <w:shd w:val="clear" w:color="auto" w:fill="auto"/>
          </w:tcPr>
          <w:p w14:paraId="480296C8" w14:textId="4DCC4DB9" w:rsidR="00EA244A" w:rsidRPr="001B1DB1" w:rsidRDefault="00EA244A" w:rsidP="00664B7B">
            <w:pPr>
              <w:jc w:val="center"/>
              <w:rPr>
                <w:rFonts w:cs="Times New Roman"/>
                <w:b/>
                <w:bCs/>
                <w:sz w:val="20"/>
                <w:szCs w:val="20"/>
              </w:rPr>
            </w:pPr>
            <w:r w:rsidRPr="001B1DB1">
              <w:rPr>
                <w:sz w:val="20"/>
                <w:szCs w:val="20"/>
              </w:rPr>
              <w:t xml:space="preserve">FKTK, VID, LB, IAUI, LZAP, LZNP, LZRA, NKMP, PTAC, </w:t>
            </w:r>
            <w:r w:rsidR="00F12F45">
              <w:rPr>
                <w:sz w:val="20"/>
                <w:szCs w:val="20"/>
              </w:rPr>
              <w:t>LSMPAA</w:t>
            </w:r>
            <w:r w:rsidR="00171A05">
              <w:rPr>
                <w:sz w:val="20"/>
                <w:szCs w:val="20"/>
              </w:rPr>
              <w:t xml:space="preserve">, </w:t>
            </w:r>
            <w:r w:rsidR="00171A05">
              <w:rPr>
                <w:rFonts w:cs="Times New Roman"/>
                <w:sz w:val="20"/>
                <w:szCs w:val="20"/>
              </w:rPr>
              <w:t>MKD</w:t>
            </w:r>
          </w:p>
        </w:tc>
        <w:tc>
          <w:tcPr>
            <w:tcW w:w="1275" w:type="dxa"/>
            <w:shd w:val="clear" w:color="auto" w:fill="auto"/>
          </w:tcPr>
          <w:p w14:paraId="265F46AE" w14:textId="77777777" w:rsidR="00EA244A" w:rsidRPr="001B1DB1" w:rsidRDefault="00EA244A" w:rsidP="00664B7B">
            <w:pPr>
              <w:jc w:val="center"/>
              <w:rPr>
                <w:rFonts w:cs="Times New Roman"/>
                <w:b/>
                <w:bCs/>
                <w:sz w:val="20"/>
                <w:szCs w:val="20"/>
              </w:rPr>
            </w:pPr>
          </w:p>
        </w:tc>
        <w:tc>
          <w:tcPr>
            <w:tcW w:w="1418" w:type="dxa"/>
            <w:shd w:val="clear" w:color="auto" w:fill="auto"/>
          </w:tcPr>
          <w:p w14:paraId="30275AC0" w14:textId="3C8B3AB1" w:rsidR="00EA244A" w:rsidRPr="001B1DB1" w:rsidRDefault="00994CD7" w:rsidP="00664B7B">
            <w:pPr>
              <w:jc w:val="center"/>
              <w:rPr>
                <w:rFonts w:cs="Times New Roman"/>
                <w:sz w:val="20"/>
                <w:szCs w:val="20"/>
              </w:rPr>
            </w:pPr>
            <w:r>
              <w:rPr>
                <w:rFonts w:cs="Times New Roman"/>
                <w:sz w:val="20"/>
                <w:szCs w:val="20"/>
              </w:rPr>
              <w:t>31.03.</w:t>
            </w:r>
            <w:r w:rsidR="00EA244A" w:rsidRPr="001B1DB1">
              <w:rPr>
                <w:rFonts w:cs="Times New Roman"/>
                <w:sz w:val="20"/>
                <w:szCs w:val="20"/>
              </w:rPr>
              <w:t>202</w:t>
            </w:r>
            <w:r w:rsidR="00563696" w:rsidRPr="001B1DB1">
              <w:rPr>
                <w:rFonts w:cs="Times New Roman"/>
                <w:sz w:val="20"/>
                <w:szCs w:val="20"/>
              </w:rPr>
              <w:t>1</w:t>
            </w:r>
            <w:r w:rsidR="00EA244A" w:rsidRPr="001B1DB1">
              <w:rPr>
                <w:rFonts w:cs="Times New Roman"/>
                <w:sz w:val="20"/>
                <w:szCs w:val="20"/>
              </w:rPr>
              <w:t>.</w:t>
            </w:r>
          </w:p>
          <w:p w14:paraId="70D153E9" w14:textId="77777777" w:rsidR="00EA244A" w:rsidRPr="001B1DB1" w:rsidRDefault="00EA244A" w:rsidP="00664B7B">
            <w:pPr>
              <w:jc w:val="center"/>
              <w:rPr>
                <w:rFonts w:cs="Times New Roman"/>
                <w:b/>
                <w:bCs/>
                <w:sz w:val="20"/>
                <w:szCs w:val="20"/>
              </w:rPr>
            </w:pPr>
          </w:p>
        </w:tc>
      </w:tr>
      <w:tr w:rsidR="00EA244A" w:rsidRPr="001B1DB1" w14:paraId="582B7064" w14:textId="77777777" w:rsidTr="00002D3D">
        <w:trPr>
          <w:trHeight w:val="543"/>
        </w:trPr>
        <w:tc>
          <w:tcPr>
            <w:tcW w:w="709" w:type="dxa"/>
          </w:tcPr>
          <w:p w14:paraId="2099EA1F" w14:textId="77777777" w:rsidR="00EA244A" w:rsidRPr="001B1DB1" w:rsidRDefault="00EA244A" w:rsidP="00F6007F">
            <w:pPr>
              <w:jc w:val="center"/>
              <w:rPr>
                <w:rFonts w:cs="Times New Roman"/>
                <w:bCs/>
                <w:sz w:val="20"/>
                <w:szCs w:val="20"/>
              </w:rPr>
            </w:pPr>
            <w:r w:rsidRPr="001B1DB1">
              <w:rPr>
                <w:rFonts w:cs="Times New Roman"/>
                <w:bCs/>
                <w:sz w:val="20"/>
                <w:szCs w:val="20"/>
              </w:rPr>
              <w:t>1.</w:t>
            </w:r>
            <w:r w:rsidR="00BA2B73" w:rsidRPr="001B1DB1">
              <w:rPr>
                <w:rFonts w:cs="Times New Roman"/>
                <w:bCs/>
                <w:sz w:val="20"/>
                <w:szCs w:val="20"/>
              </w:rPr>
              <w:t>5</w:t>
            </w:r>
            <w:r w:rsidRPr="001B1DB1">
              <w:rPr>
                <w:rFonts w:cs="Times New Roman"/>
                <w:bCs/>
                <w:sz w:val="20"/>
                <w:szCs w:val="20"/>
              </w:rPr>
              <w:t>.</w:t>
            </w:r>
          </w:p>
        </w:tc>
        <w:tc>
          <w:tcPr>
            <w:tcW w:w="3686" w:type="dxa"/>
            <w:shd w:val="clear" w:color="auto" w:fill="auto"/>
          </w:tcPr>
          <w:p w14:paraId="4BB761B5" w14:textId="77777777" w:rsidR="00EA244A" w:rsidRPr="001B1DB1" w:rsidRDefault="00EA244A" w:rsidP="00002D3D">
            <w:pPr>
              <w:jc w:val="both"/>
              <w:rPr>
                <w:rFonts w:cs="Times New Roman"/>
                <w:b/>
                <w:bCs/>
                <w:sz w:val="20"/>
                <w:szCs w:val="20"/>
              </w:rPr>
            </w:pPr>
            <w:r w:rsidRPr="001B1DB1">
              <w:rPr>
                <w:sz w:val="20"/>
                <w:szCs w:val="20"/>
              </w:rPr>
              <w:t>Aktualizēt kompetento iestāžu rīcības plānus atbilstoši aktuālajiem NILLTPF riskiem.</w:t>
            </w:r>
          </w:p>
        </w:tc>
        <w:tc>
          <w:tcPr>
            <w:tcW w:w="1559" w:type="dxa"/>
          </w:tcPr>
          <w:p w14:paraId="552C2A4E" w14:textId="77777777" w:rsidR="00EA244A" w:rsidRPr="001B1DB1" w:rsidRDefault="00EA244A" w:rsidP="00002D3D">
            <w:pPr>
              <w:jc w:val="both"/>
              <w:rPr>
                <w:rFonts w:cs="Times New Roman"/>
                <w:sz w:val="20"/>
                <w:szCs w:val="20"/>
              </w:rPr>
            </w:pPr>
            <w:r w:rsidRPr="001B1DB1">
              <w:rPr>
                <w:rFonts w:cs="Times New Roman"/>
                <w:sz w:val="20"/>
                <w:szCs w:val="20"/>
              </w:rPr>
              <w:t>FATF 1., 6. un 7. rekomendācija;</w:t>
            </w:r>
          </w:p>
          <w:p w14:paraId="1A5FCC1A" w14:textId="0B231908" w:rsidR="00EA244A" w:rsidRPr="001B1DB1" w:rsidRDefault="00EA244A" w:rsidP="00002D3D">
            <w:pPr>
              <w:jc w:val="both"/>
              <w:rPr>
                <w:sz w:val="20"/>
                <w:szCs w:val="20"/>
              </w:rPr>
            </w:pPr>
            <w:r w:rsidRPr="001B1DB1">
              <w:rPr>
                <w:rFonts w:cs="Times New Roman"/>
                <w:sz w:val="20"/>
                <w:szCs w:val="20"/>
              </w:rPr>
              <w:t xml:space="preserve">MONEYVAL </w:t>
            </w:r>
            <w:r w:rsidRPr="001B1DB1">
              <w:rPr>
                <w:sz w:val="20"/>
                <w:szCs w:val="20"/>
              </w:rPr>
              <w:t>1.10., 1.12.</w:t>
            </w:r>
            <w:r w:rsidR="001209FF">
              <w:rPr>
                <w:sz w:val="20"/>
                <w:szCs w:val="20"/>
              </w:rPr>
              <w:t xml:space="preserve"> </w:t>
            </w:r>
            <w:r w:rsidR="001209FF" w:rsidRPr="001B1DB1">
              <w:rPr>
                <w:sz w:val="20"/>
                <w:szCs w:val="20"/>
              </w:rPr>
              <w:t>rekomendācija</w:t>
            </w:r>
            <w:r w:rsidR="001209FF">
              <w:rPr>
                <w:sz w:val="20"/>
                <w:szCs w:val="20"/>
              </w:rPr>
              <w:t>.</w:t>
            </w:r>
          </w:p>
          <w:p w14:paraId="6825CC26" w14:textId="336433DA" w:rsidR="00EA244A" w:rsidRPr="001B1DB1" w:rsidRDefault="00EA244A" w:rsidP="00002D3D">
            <w:pPr>
              <w:jc w:val="both"/>
              <w:rPr>
                <w:rFonts w:cs="Times New Roman"/>
                <w:sz w:val="20"/>
                <w:szCs w:val="20"/>
              </w:rPr>
            </w:pPr>
            <w:r w:rsidRPr="001B1DB1">
              <w:rPr>
                <w:rFonts w:cs="Times New Roman"/>
                <w:i/>
                <w:sz w:val="20"/>
                <w:szCs w:val="20"/>
              </w:rPr>
              <w:t>Papildināts Latvijas Nacionālais NILLTF risku novērtēšanas ziņojums</w:t>
            </w:r>
            <w:r w:rsidRPr="001B1DB1">
              <w:rPr>
                <w:rFonts w:cs="Times New Roman"/>
                <w:sz w:val="20"/>
                <w:szCs w:val="20"/>
              </w:rPr>
              <w:t xml:space="preserve">, </w:t>
            </w:r>
            <w:r w:rsidRPr="001B1DB1">
              <w:rPr>
                <w:rFonts w:cs="Times New Roman"/>
                <w:sz w:val="20"/>
                <w:szCs w:val="20"/>
              </w:rPr>
              <w:lastRenderedPageBreak/>
              <w:t>1.3.7.apakšpunkts, 8.lpp</w:t>
            </w:r>
            <w:r w:rsidR="00F509B4" w:rsidRPr="001B1DB1">
              <w:rPr>
                <w:rFonts w:cs="Times New Roman"/>
                <w:sz w:val="20"/>
                <w:szCs w:val="20"/>
              </w:rPr>
              <w:t>.</w:t>
            </w:r>
            <w:r w:rsidRPr="001B1DB1">
              <w:rPr>
                <w:rStyle w:val="FootnoteReference"/>
                <w:rFonts w:cs="Times New Roman"/>
                <w:sz w:val="20"/>
                <w:szCs w:val="20"/>
              </w:rPr>
              <w:footnoteReference w:id="2"/>
            </w:r>
            <w:r w:rsidR="001209FF">
              <w:rPr>
                <w:rFonts w:cs="Times New Roman"/>
                <w:sz w:val="20"/>
                <w:szCs w:val="20"/>
              </w:rPr>
              <w:t>;</w:t>
            </w:r>
          </w:p>
          <w:p w14:paraId="0D15AB52" w14:textId="77777777" w:rsidR="00EA244A" w:rsidRPr="001B1DB1" w:rsidRDefault="00EA244A" w:rsidP="00002D3D">
            <w:pPr>
              <w:jc w:val="both"/>
              <w:rPr>
                <w:rFonts w:cs="Times New Roman"/>
                <w:b/>
                <w:sz w:val="20"/>
                <w:szCs w:val="20"/>
              </w:rPr>
            </w:pPr>
            <w:r w:rsidRPr="001B1DB1">
              <w:rPr>
                <w:rFonts w:cs="Times New Roman"/>
                <w:sz w:val="20"/>
                <w:szCs w:val="20"/>
              </w:rPr>
              <w:t>Sektorālais NILLTPF risku novērtējums</w:t>
            </w:r>
            <w:r w:rsidR="002C73EE" w:rsidRPr="001B1DB1">
              <w:rPr>
                <w:rFonts w:cs="Times New Roman"/>
                <w:sz w:val="20"/>
                <w:szCs w:val="20"/>
              </w:rPr>
              <w:t>.</w:t>
            </w:r>
          </w:p>
        </w:tc>
        <w:tc>
          <w:tcPr>
            <w:tcW w:w="2551" w:type="dxa"/>
            <w:shd w:val="clear" w:color="auto" w:fill="auto"/>
          </w:tcPr>
          <w:p w14:paraId="135A1048" w14:textId="77777777" w:rsidR="00EA244A" w:rsidRPr="001B1DB1" w:rsidRDefault="00EA244A" w:rsidP="00002D3D">
            <w:pPr>
              <w:jc w:val="both"/>
              <w:rPr>
                <w:rFonts w:cs="Times New Roman"/>
                <w:b/>
                <w:sz w:val="20"/>
                <w:szCs w:val="20"/>
              </w:rPr>
            </w:pPr>
            <w:r w:rsidRPr="001B1DB1">
              <w:rPr>
                <w:rFonts w:cs="Times New Roman"/>
                <w:sz w:val="20"/>
                <w:szCs w:val="20"/>
              </w:rPr>
              <w:lastRenderedPageBreak/>
              <w:t>Kompetento iestāžu rīcības plāni ir atbilstoši identificētajiem riskiem, definē uz nākotni vērstus un atbilstoši prioritizētus pasākumus, nosaka precīzus termiņus un izmērāmus ieviešanas rezultātus, un tie tiek ieviesti saprātīgi mazinot toleranci pret likuma subjektu formālu pieeju atbilstībai.</w:t>
            </w:r>
          </w:p>
        </w:tc>
        <w:tc>
          <w:tcPr>
            <w:tcW w:w="2694" w:type="dxa"/>
          </w:tcPr>
          <w:p w14:paraId="012F4312" w14:textId="4457663A" w:rsidR="00EA244A" w:rsidRPr="001B1DB1" w:rsidRDefault="00EA244A" w:rsidP="00945D93">
            <w:pPr>
              <w:jc w:val="both"/>
              <w:rPr>
                <w:rFonts w:cs="Times New Roman"/>
                <w:b/>
                <w:sz w:val="20"/>
                <w:szCs w:val="20"/>
              </w:rPr>
            </w:pPr>
            <w:r w:rsidRPr="001B1DB1">
              <w:rPr>
                <w:rFonts w:cs="Times New Roman"/>
                <w:sz w:val="20"/>
                <w:szCs w:val="20"/>
              </w:rPr>
              <w:t xml:space="preserve">Atbilstoši Nacionālajam </w:t>
            </w:r>
            <w:r w:rsidRPr="001B1DB1">
              <w:rPr>
                <w:sz w:val="20"/>
                <w:szCs w:val="20"/>
              </w:rPr>
              <w:t xml:space="preserve">NILLTPF </w:t>
            </w:r>
            <w:r w:rsidRPr="001B1DB1">
              <w:rPr>
                <w:rFonts w:cs="Times New Roman"/>
                <w:sz w:val="20"/>
                <w:szCs w:val="20"/>
              </w:rPr>
              <w:t>risku novērtējumam aktualizēti kompetento iestāžu rīcības plāni</w:t>
            </w:r>
            <w:r w:rsidR="002C73EE" w:rsidRPr="001B1DB1">
              <w:rPr>
                <w:rFonts w:cs="Times New Roman"/>
                <w:sz w:val="20"/>
                <w:szCs w:val="20"/>
              </w:rPr>
              <w:t>.</w:t>
            </w:r>
          </w:p>
        </w:tc>
        <w:tc>
          <w:tcPr>
            <w:tcW w:w="1134" w:type="dxa"/>
            <w:shd w:val="clear" w:color="auto" w:fill="auto"/>
          </w:tcPr>
          <w:p w14:paraId="0D2CC3C3" w14:textId="28C3CDEF" w:rsidR="00EA244A" w:rsidRPr="001B1DB1" w:rsidRDefault="00EA244A" w:rsidP="002C5D04">
            <w:pPr>
              <w:jc w:val="center"/>
              <w:rPr>
                <w:rFonts w:cs="Times New Roman"/>
                <w:b/>
                <w:bCs/>
                <w:sz w:val="20"/>
                <w:szCs w:val="20"/>
              </w:rPr>
            </w:pPr>
            <w:r w:rsidRPr="001B1DB1">
              <w:rPr>
                <w:rFonts w:cs="Times New Roman"/>
                <w:sz w:val="20"/>
                <w:szCs w:val="20"/>
              </w:rPr>
              <w:t>FKTK, VID, LB, IAUI, LZAP, LZNP, LZRA, NKMP, PTAC,</w:t>
            </w:r>
            <w:r w:rsidR="00F12F45">
              <w:rPr>
                <w:rFonts w:cs="Times New Roman"/>
                <w:sz w:val="20"/>
                <w:szCs w:val="20"/>
              </w:rPr>
              <w:t xml:space="preserve"> </w:t>
            </w:r>
            <w:r w:rsidR="00F12F45">
              <w:rPr>
                <w:sz w:val="20"/>
                <w:szCs w:val="20"/>
              </w:rPr>
              <w:t>LSMPAA,</w:t>
            </w:r>
            <w:r w:rsidR="00171A05">
              <w:rPr>
                <w:sz w:val="20"/>
                <w:szCs w:val="20"/>
              </w:rPr>
              <w:t xml:space="preserve"> </w:t>
            </w:r>
            <w:r w:rsidR="00171A05">
              <w:rPr>
                <w:rFonts w:cs="Times New Roman"/>
                <w:sz w:val="20"/>
                <w:szCs w:val="20"/>
              </w:rPr>
              <w:t>MKD,</w:t>
            </w:r>
            <w:r w:rsidRPr="001B1DB1">
              <w:rPr>
                <w:rFonts w:cs="Times New Roman"/>
                <w:sz w:val="20"/>
                <w:szCs w:val="20"/>
              </w:rPr>
              <w:t xml:space="preserve"> ĢP, VP, KNAB, </w:t>
            </w:r>
            <w:r w:rsidRPr="001B1DB1">
              <w:rPr>
                <w:sz w:val="20"/>
                <w:szCs w:val="20"/>
              </w:rPr>
              <w:t>FID</w:t>
            </w:r>
          </w:p>
        </w:tc>
        <w:tc>
          <w:tcPr>
            <w:tcW w:w="1275" w:type="dxa"/>
            <w:shd w:val="clear" w:color="auto" w:fill="auto"/>
          </w:tcPr>
          <w:p w14:paraId="095EC87E" w14:textId="77777777" w:rsidR="00EA244A" w:rsidRPr="001B1DB1" w:rsidRDefault="00EA244A" w:rsidP="00664B7B">
            <w:pPr>
              <w:jc w:val="center"/>
              <w:rPr>
                <w:rFonts w:cs="Times New Roman"/>
                <w:b/>
                <w:bCs/>
                <w:sz w:val="20"/>
                <w:szCs w:val="20"/>
              </w:rPr>
            </w:pPr>
          </w:p>
        </w:tc>
        <w:tc>
          <w:tcPr>
            <w:tcW w:w="1418" w:type="dxa"/>
            <w:shd w:val="clear" w:color="auto" w:fill="auto"/>
          </w:tcPr>
          <w:p w14:paraId="143E2EAE" w14:textId="3E074411" w:rsidR="00EA244A" w:rsidRPr="001B1DB1" w:rsidRDefault="00994CD7" w:rsidP="00664B7B">
            <w:pPr>
              <w:jc w:val="center"/>
              <w:rPr>
                <w:rFonts w:cs="Times New Roman"/>
                <w:sz w:val="20"/>
                <w:szCs w:val="20"/>
              </w:rPr>
            </w:pPr>
            <w:r>
              <w:rPr>
                <w:rFonts w:cs="Times New Roman"/>
                <w:sz w:val="20"/>
                <w:szCs w:val="20"/>
              </w:rPr>
              <w:t>31.03.</w:t>
            </w:r>
            <w:r w:rsidR="00EA244A" w:rsidRPr="001B1DB1">
              <w:rPr>
                <w:rFonts w:cs="Times New Roman"/>
                <w:sz w:val="20"/>
                <w:szCs w:val="20"/>
              </w:rPr>
              <w:t>202</w:t>
            </w:r>
            <w:r w:rsidR="00563696" w:rsidRPr="001B1DB1">
              <w:rPr>
                <w:rFonts w:cs="Times New Roman"/>
                <w:sz w:val="20"/>
                <w:szCs w:val="20"/>
              </w:rPr>
              <w:t>1</w:t>
            </w:r>
            <w:r w:rsidR="00EA244A" w:rsidRPr="001B1DB1">
              <w:rPr>
                <w:rFonts w:cs="Times New Roman"/>
                <w:sz w:val="20"/>
                <w:szCs w:val="20"/>
              </w:rPr>
              <w:t>.</w:t>
            </w:r>
          </w:p>
          <w:p w14:paraId="30917B14" w14:textId="77777777" w:rsidR="00EA244A" w:rsidRPr="001B1DB1" w:rsidRDefault="00EA244A" w:rsidP="00664B7B">
            <w:pPr>
              <w:jc w:val="center"/>
              <w:rPr>
                <w:rFonts w:cs="Times New Roman"/>
                <w:b/>
                <w:bCs/>
                <w:sz w:val="20"/>
                <w:szCs w:val="20"/>
              </w:rPr>
            </w:pPr>
          </w:p>
        </w:tc>
      </w:tr>
      <w:tr w:rsidR="00EA244A" w:rsidRPr="001B1DB1" w14:paraId="6DA281B8" w14:textId="77777777" w:rsidTr="00002D3D">
        <w:trPr>
          <w:trHeight w:val="543"/>
        </w:trPr>
        <w:tc>
          <w:tcPr>
            <w:tcW w:w="709" w:type="dxa"/>
          </w:tcPr>
          <w:p w14:paraId="15837E6A" w14:textId="77777777" w:rsidR="00EA244A" w:rsidRPr="001B1DB1" w:rsidRDefault="00EA244A" w:rsidP="00F6007F">
            <w:pPr>
              <w:jc w:val="center"/>
              <w:rPr>
                <w:rFonts w:cs="Times New Roman"/>
                <w:bCs/>
                <w:sz w:val="20"/>
                <w:szCs w:val="20"/>
              </w:rPr>
            </w:pPr>
            <w:r w:rsidRPr="001B1DB1">
              <w:rPr>
                <w:rFonts w:cs="Times New Roman"/>
                <w:bCs/>
                <w:sz w:val="20"/>
                <w:szCs w:val="20"/>
              </w:rPr>
              <w:t>1.</w:t>
            </w:r>
            <w:r w:rsidR="00BA2B73" w:rsidRPr="001B1DB1">
              <w:rPr>
                <w:rFonts w:cs="Times New Roman"/>
                <w:bCs/>
                <w:sz w:val="20"/>
                <w:szCs w:val="20"/>
              </w:rPr>
              <w:t>6</w:t>
            </w:r>
            <w:r w:rsidRPr="001B1DB1">
              <w:rPr>
                <w:rFonts w:cs="Times New Roman"/>
                <w:bCs/>
                <w:sz w:val="20"/>
                <w:szCs w:val="20"/>
              </w:rPr>
              <w:t>.</w:t>
            </w:r>
          </w:p>
        </w:tc>
        <w:tc>
          <w:tcPr>
            <w:tcW w:w="3686" w:type="dxa"/>
            <w:shd w:val="clear" w:color="auto" w:fill="auto"/>
          </w:tcPr>
          <w:p w14:paraId="70956EA3" w14:textId="37CB0AE1" w:rsidR="00EA244A" w:rsidRPr="001B1DB1" w:rsidRDefault="00EA244A" w:rsidP="00945D93">
            <w:pPr>
              <w:jc w:val="both"/>
              <w:rPr>
                <w:rFonts w:cs="Times New Roman"/>
                <w:b/>
                <w:bCs/>
                <w:sz w:val="20"/>
                <w:szCs w:val="20"/>
              </w:rPr>
            </w:pPr>
            <w:r w:rsidRPr="001B1DB1">
              <w:rPr>
                <w:sz w:val="20"/>
                <w:szCs w:val="20"/>
              </w:rPr>
              <w:t>Atbilstoši Nacionālajam NILLTPF risku novērtējumam veikt nepieciešamās izmaiņas politikas plānošanas dokumentos un normatīvajos aktos.</w:t>
            </w:r>
          </w:p>
        </w:tc>
        <w:tc>
          <w:tcPr>
            <w:tcW w:w="1559" w:type="dxa"/>
          </w:tcPr>
          <w:p w14:paraId="2FC26405" w14:textId="2B3247E3" w:rsidR="00EA244A" w:rsidRPr="001B1DB1" w:rsidRDefault="00EA244A" w:rsidP="001209FF">
            <w:pPr>
              <w:jc w:val="both"/>
              <w:rPr>
                <w:rFonts w:cs="Times New Roman"/>
                <w:b/>
                <w:sz w:val="20"/>
                <w:szCs w:val="20"/>
              </w:rPr>
            </w:pPr>
            <w:r w:rsidRPr="001B1DB1">
              <w:rPr>
                <w:rFonts w:cs="Times New Roman"/>
                <w:sz w:val="20"/>
                <w:szCs w:val="20"/>
              </w:rPr>
              <w:t xml:space="preserve">FATF 1., 6. un 7. rekomendācija;MONEYVAL </w:t>
            </w:r>
            <w:r w:rsidRPr="001B1DB1">
              <w:rPr>
                <w:sz w:val="20"/>
                <w:szCs w:val="20"/>
              </w:rPr>
              <w:t>1.8., 1.11.</w:t>
            </w:r>
            <w:r w:rsidR="001209FF">
              <w:rPr>
                <w:sz w:val="20"/>
                <w:szCs w:val="20"/>
              </w:rPr>
              <w:t xml:space="preserve"> </w:t>
            </w:r>
            <w:r w:rsidR="001209FF" w:rsidRPr="001B1DB1">
              <w:rPr>
                <w:sz w:val="20"/>
                <w:szCs w:val="20"/>
              </w:rPr>
              <w:t>rekomendācija</w:t>
            </w:r>
            <w:r w:rsidR="001209FF">
              <w:rPr>
                <w:sz w:val="20"/>
                <w:szCs w:val="20"/>
              </w:rPr>
              <w:t>.</w:t>
            </w:r>
          </w:p>
        </w:tc>
        <w:tc>
          <w:tcPr>
            <w:tcW w:w="2551" w:type="dxa"/>
            <w:shd w:val="clear" w:color="auto" w:fill="auto"/>
          </w:tcPr>
          <w:p w14:paraId="4F83D095" w14:textId="3AB6358F" w:rsidR="00EA244A" w:rsidRPr="001B1DB1" w:rsidRDefault="00EA244A" w:rsidP="001B10D3">
            <w:pPr>
              <w:jc w:val="both"/>
              <w:rPr>
                <w:rFonts w:cs="Times New Roman"/>
                <w:b/>
                <w:sz w:val="20"/>
                <w:szCs w:val="20"/>
              </w:rPr>
            </w:pPr>
            <w:r w:rsidRPr="001B1DB1">
              <w:rPr>
                <w:rFonts w:cs="Times New Roman"/>
                <w:sz w:val="20"/>
                <w:szCs w:val="20"/>
              </w:rPr>
              <w:t>Nodrošināt, ka</w:t>
            </w:r>
            <w:r w:rsidR="00D40A11">
              <w:rPr>
                <w:rFonts w:cs="Times New Roman"/>
                <w:sz w:val="20"/>
                <w:szCs w:val="20"/>
              </w:rPr>
              <w:t>,</w:t>
            </w:r>
            <w:r w:rsidRPr="001B1DB1">
              <w:rPr>
                <w:rFonts w:cs="Times New Roman"/>
                <w:sz w:val="20"/>
                <w:szCs w:val="20"/>
              </w:rPr>
              <w:t xml:space="preserve"> </w:t>
            </w:r>
            <w:r w:rsidR="00BA784B" w:rsidRPr="00BA784B">
              <w:rPr>
                <w:rFonts w:cs="Times New Roman"/>
                <w:sz w:val="20"/>
                <w:szCs w:val="20"/>
              </w:rPr>
              <w:t xml:space="preserve">izstrādājot politikas plānošanas dokumentus un normatīvos aktus, </w:t>
            </w:r>
            <w:r w:rsidR="00D40A11">
              <w:rPr>
                <w:rFonts w:cs="Times New Roman"/>
                <w:sz w:val="20"/>
                <w:szCs w:val="20"/>
              </w:rPr>
              <w:t xml:space="preserve">tiek </w:t>
            </w:r>
            <w:r w:rsidR="00BA784B" w:rsidRPr="00BA784B">
              <w:rPr>
                <w:rFonts w:cs="Times New Roman"/>
                <w:sz w:val="20"/>
                <w:szCs w:val="20"/>
              </w:rPr>
              <w:t>ņemti vērā identificētie NILLTPF riski</w:t>
            </w:r>
            <w:r w:rsidRPr="001B1DB1">
              <w:rPr>
                <w:rFonts w:cs="Times New Roman"/>
                <w:sz w:val="20"/>
                <w:szCs w:val="20"/>
              </w:rPr>
              <w:t>.</w:t>
            </w:r>
          </w:p>
        </w:tc>
        <w:tc>
          <w:tcPr>
            <w:tcW w:w="2694" w:type="dxa"/>
          </w:tcPr>
          <w:p w14:paraId="0EE5C9E3" w14:textId="77777777" w:rsidR="00EA244A" w:rsidRPr="001B1DB1" w:rsidRDefault="00EA244A" w:rsidP="00002D3D">
            <w:pPr>
              <w:jc w:val="both"/>
              <w:rPr>
                <w:rFonts w:cs="Times New Roman"/>
                <w:b/>
                <w:sz w:val="20"/>
                <w:szCs w:val="20"/>
              </w:rPr>
            </w:pPr>
            <w:r w:rsidRPr="00053D97">
              <w:rPr>
                <w:rFonts w:cs="Times New Roman"/>
                <w:sz w:val="20"/>
                <w:szCs w:val="20"/>
              </w:rPr>
              <w:t>Sagatavoti priekšlikumi nepieciešamajiem grozījumiem politikas plānošanas dokumentos un normatīvajos aktos.</w:t>
            </w:r>
          </w:p>
        </w:tc>
        <w:tc>
          <w:tcPr>
            <w:tcW w:w="1134" w:type="dxa"/>
            <w:shd w:val="clear" w:color="auto" w:fill="auto"/>
          </w:tcPr>
          <w:p w14:paraId="207EB034" w14:textId="77777777" w:rsidR="00EA244A" w:rsidRPr="001B1DB1" w:rsidRDefault="00EA244A" w:rsidP="00664B7B">
            <w:pPr>
              <w:jc w:val="center"/>
              <w:rPr>
                <w:rFonts w:cs="Times New Roman"/>
                <w:b/>
                <w:bCs/>
                <w:sz w:val="20"/>
                <w:szCs w:val="20"/>
              </w:rPr>
            </w:pPr>
            <w:r w:rsidRPr="001B1DB1">
              <w:rPr>
                <w:sz w:val="20"/>
                <w:szCs w:val="20"/>
              </w:rPr>
              <w:t>FM, TM, IeM, ĀM, EM</w:t>
            </w:r>
          </w:p>
        </w:tc>
        <w:tc>
          <w:tcPr>
            <w:tcW w:w="1275" w:type="dxa"/>
            <w:shd w:val="clear" w:color="auto" w:fill="auto"/>
          </w:tcPr>
          <w:p w14:paraId="373A9135" w14:textId="77777777" w:rsidR="00EA244A" w:rsidRPr="001B1DB1" w:rsidRDefault="00EA244A" w:rsidP="00664B7B">
            <w:pPr>
              <w:jc w:val="center"/>
              <w:rPr>
                <w:rFonts w:cs="Times New Roman"/>
                <w:b/>
                <w:bCs/>
                <w:sz w:val="20"/>
                <w:szCs w:val="20"/>
              </w:rPr>
            </w:pPr>
          </w:p>
        </w:tc>
        <w:tc>
          <w:tcPr>
            <w:tcW w:w="1418" w:type="dxa"/>
            <w:shd w:val="clear" w:color="auto" w:fill="auto"/>
          </w:tcPr>
          <w:p w14:paraId="5CE181AF" w14:textId="5F8EF5BC" w:rsidR="00EA244A" w:rsidRPr="001B1DB1" w:rsidRDefault="00994CD7" w:rsidP="00664B7B">
            <w:pPr>
              <w:jc w:val="center"/>
              <w:rPr>
                <w:rFonts w:cs="Times New Roman"/>
                <w:sz w:val="20"/>
                <w:szCs w:val="20"/>
              </w:rPr>
            </w:pPr>
            <w:r>
              <w:rPr>
                <w:rFonts w:cs="Times New Roman"/>
                <w:sz w:val="20"/>
                <w:szCs w:val="20"/>
              </w:rPr>
              <w:t>31.</w:t>
            </w:r>
            <w:r w:rsidR="00390494">
              <w:rPr>
                <w:rFonts w:cs="Times New Roman"/>
                <w:sz w:val="20"/>
                <w:szCs w:val="20"/>
              </w:rPr>
              <w:t>12</w:t>
            </w:r>
            <w:r>
              <w:rPr>
                <w:rFonts w:cs="Times New Roman"/>
                <w:sz w:val="20"/>
                <w:szCs w:val="20"/>
              </w:rPr>
              <w:t>.</w:t>
            </w:r>
            <w:r w:rsidR="00EA244A" w:rsidRPr="001B1DB1">
              <w:rPr>
                <w:rFonts w:cs="Times New Roman"/>
                <w:sz w:val="20"/>
                <w:szCs w:val="20"/>
              </w:rPr>
              <w:t>202</w:t>
            </w:r>
            <w:r w:rsidR="00E36008" w:rsidRPr="001B1DB1">
              <w:rPr>
                <w:rFonts w:cs="Times New Roman"/>
                <w:sz w:val="20"/>
                <w:szCs w:val="20"/>
              </w:rPr>
              <w:t>1</w:t>
            </w:r>
            <w:r w:rsidR="00EA244A" w:rsidRPr="001B1DB1">
              <w:rPr>
                <w:rFonts w:cs="Times New Roman"/>
                <w:sz w:val="20"/>
                <w:szCs w:val="20"/>
              </w:rPr>
              <w:t>.</w:t>
            </w:r>
          </w:p>
          <w:p w14:paraId="5238F1D6" w14:textId="77777777" w:rsidR="00EA244A" w:rsidRPr="001B1DB1" w:rsidRDefault="00EA244A" w:rsidP="00664B7B">
            <w:pPr>
              <w:jc w:val="center"/>
              <w:rPr>
                <w:rFonts w:cs="Times New Roman"/>
                <w:b/>
                <w:bCs/>
                <w:sz w:val="20"/>
                <w:szCs w:val="20"/>
              </w:rPr>
            </w:pPr>
          </w:p>
        </w:tc>
      </w:tr>
      <w:tr w:rsidR="00EA244A" w:rsidRPr="001B1DB1" w14:paraId="7E3B6930" w14:textId="77777777" w:rsidTr="00002D3D">
        <w:trPr>
          <w:trHeight w:val="543"/>
        </w:trPr>
        <w:tc>
          <w:tcPr>
            <w:tcW w:w="709" w:type="dxa"/>
          </w:tcPr>
          <w:p w14:paraId="0E576E07" w14:textId="77777777" w:rsidR="00EA244A" w:rsidRPr="001B1DB1" w:rsidRDefault="00EA244A" w:rsidP="00F6007F">
            <w:pPr>
              <w:jc w:val="center"/>
              <w:rPr>
                <w:rFonts w:cs="Times New Roman"/>
                <w:bCs/>
                <w:sz w:val="20"/>
                <w:szCs w:val="20"/>
              </w:rPr>
            </w:pPr>
            <w:r w:rsidRPr="001B1DB1">
              <w:rPr>
                <w:rFonts w:cs="Times New Roman"/>
                <w:bCs/>
                <w:sz w:val="20"/>
                <w:szCs w:val="20"/>
              </w:rPr>
              <w:t>1.</w:t>
            </w:r>
            <w:r w:rsidR="00BA2B73" w:rsidRPr="001B1DB1">
              <w:rPr>
                <w:rFonts w:cs="Times New Roman"/>
                <w:bCs/>
                <w:sz w:val="20"/>
                <w:szCs w:val="20"/>
              </w:rPr>
              <w:t>7</w:t>
            </w:r>
            <w:r w:rsidRPr="001B1DB1">
              <w:rPr>
                <w:rFonts w:cs="Times New Roman"/>
                <w:bCs/>
                <w:sz w:val="20"/>
                <w:szCs w:val="20"/>
              </w:rPr>
              <w:t>.</w:t>
            </w:r>
          </w:p>
        </w:tc>
        <w:tc>
          <w:tcPr>
            <w:tcW w:w="3686" w:type="dxa"/>
            <w:shd w:val="clear" w:color="auto" w:fill="auto"/>
          </w:tcPr>
          <w:p w14:paraId="4B24B186" w14:textId="77777777" w:rsidR="00EA244A" w:rsidRPr="001B1DB1" w:rsidRDefault="00EA244A" w:rsidP="00002D3D">
            <w:pPr>
              <w:jc w:val="both"/>
              <w:rPr>
                <w:rFonts w:cs="Times New Roman"/>
                <w:b/>
                <w:bCs/>
                <w:sz w:val="20"/>
                <w:szCs w:val="20"/>
              </w:rPr>
            </w:pPr>
            <w:r w:rsidRPr="001B1DB1">
              <w:rPr>
                <w:sz w:val="20"/>
                <w:szCs w:val="20"/>
              </w:rPr>
              <w:t>Nodrošināt NILLTPF novēršanā un apkarošanā iesaistīto kompet</w:t>
            </w:r>
            <w:r w:rsidR="002C73EE" w:rsidRPr="001B1DB1">
              <w:rPr>
                <w:sz w:val="20"/>
                <w:szCs w:val="20"/>
              </w:rPr>
              <w:t>ento iestāžu ciešāku sadarbību.</w:t>
            </w:r>
          </w:p>
        </w:tc>
        <w:tc>
          <w:tcPr>
            <w:tcW w:w="1559" w:type="dxa"/>
          </w:tcPr>
          <w:p w14:paraId="59BB373F" w14:textId="3463EA7D" w:rsidR="00EA244A" w:rsidRPr="001B1DB1" w:rsidRDefault="00EA244A" w:rsidP="00002D3D">
            <w:pPr>
              <w:jc w:val="both"/>
              <w:rPr>
                <w:rFonts w:cs="Times New Roman"/>
                <w:b/>
                <w:sz w:val="20"/>
                <w:szCs w:val="20"/>
              </w:rPr>
            </w:pPr>
            <w:r w:rsidRPr="001B1DB1">
              <w:rPr>
                <w:rFonts w:cs="Times New Roman"/>
                <w:i/>
                <w:sz w:val="20"/>
                <w:szCs w:val="20"/>
              </w:rPr>
              <w:t>Papildināt</w:t>
            </w:r>
            <w:r w:rsidR="00E36008" w:rsidRPr="001B1DB1">
              <w:rPr>
                <w:rFonts w:cs="Times New Roman"/>
                <w:i/>
                <w:sz w:val="20"/>
                <w:szCs w:val="20"/>
              </w:rPr>
              <w:t>ai</w:t>
            </w:r>
            <w:r w:rsidRPr="001B1DB1">
              <w:rPr>
                <w:rFonts w:cs="Times New Roman"/>
                <w:i/>
                <w:sz w:val="20"/>
                <w:szCs w:val="20"/>
              </w:rPr>
              <w:t>s Latvijas Nacionālais NILLTF risku novērtēšanas ziņojums</w:t>
            </w:r>
            <w:r w:rsidRPr="001B1DB1">
              <w:rPr>
                <w:rFonts w:cs="Times New Roman"/>
                <w:sz w:val="20"/>
                <w:szCs w:val="20"/>
              </w:rPr>
              <w:t>, 1.3.7.</w:t>
            </w:r>
            <w:r w:rsidR="00917786">
              <w:rPr>
                <w:rFonts w:cs="Times New Roman"/>
                <w:sz w:val="20"/>
                <w:szCs w:val="20"/>
              </w:rPr>
              <w:t xml:space="preserve"> </w:t>
            </w:r>
            <w:r w:rsidRPr="001B1DB1">
              <w:rPr>
                <w:rFonts w:cs="Times New Roman"/>
                <w:sz w:val="20"/>
                <w:szCs w:val="20"/>
              </w:rPr>
              <w:t>apakšpunkts, 8.lpp</w:t>
            </w:r>
            <w:r w:rsidR="00F509B4" w:rsidRPr="001B1DB1">
              <w:rPr>
                <w:rFonts w:cs="Times New Roman"/>
                <w:sz w:val="20"/>
                <w:szCs w:val="20"/>
              </w:rPr>
              <w:t>.</w:t>
            </w:r>
            <w:r w:rsidRPr="001B1DB1">
              <w:rPr>
                <w:rStyle w:val="FootnoteReference"/>
                <w:rFonts w:cs="Times New Roman"/>
                <w:sz w:val="20"/>
                <w:szCs w:val="20"/>
              </w:rPr>
              <w:footnoteReference w:id="3"/>
            </w:r>
          </w:p>
        </w:tc>
        <w:tc>
          <w:tcPr>
            <w:tcW w:w="2551" w:type="dxa"/>
            <w:shd w:val="clear" w:color="auto" w:fill="auto"/>
          </w:tcPr>
          <w:p w14:paraId="7E43565B" w14:textId="77777777" w:rsidR="00EA244A" w:rsidRPr="001B1DB1" w:rsidRDefault="00EA244A" w:rsidP="004F249C">
            <w:pPr>
              <w:jc w:val="both"/>
              <w:rPr>
                <w:rFonts w:cs="Times New Roman"/>
                <w:b/>
                <w:sz w:val="20"/>
                <w:szCs w:val="20"/>
              </w:rPr>
            </w:pPr>
            <w:r w:rsidRPr="001B1DB1">
              <w:rPr>
                <w:sz w:val="20"/>
                <w:szCs w:val="20"/>
              </w:rPr>
              <w:t xml:space="preserve">NILLTPF </w:t>
            </w:r>
            <w:r w:rsidRPr="001B1DB1">
              <w:rPr>
                <w:rFonts w:cs="Times New Roman"/>
                <w:sz w:val="20"/>
                <w:szCs w:val="20"/>
              </w:rPr>
              <w:t>novēršanā un apkarošanā iesaistīto kompetento iestāžu (FID, izmeklēšanas iestāžu un prokuratūras) pastāvīga sadarbība – i</w:t>
            </w:r>
            <w:r w:rsidR="002C73EE" w:rsidRPr="001B1DB1">
              <w:rPr>
                <w:rFonts w:cs="Times New Roman"/>
                <w:sz w:val="20"/>
                <w:szCs w:val="20"/>
              </w:rPr>
              <w:t>nformācijas un prakses apmaiņa.</w:t>
            </w:r>
          </w:p>
        </w:tc>
        <w:tc>
          <w:tcPr>
            <w:tcW w:w="2694" w:type="dxa"/>
          </w:tcPr>
          <w:p w14:paraId="7854E587" w14:textId="77777777" w:rsidR="00EA244A" w:rsidRPr="001B1DB1" w:rsidRDefault="00EA244A" w:rsidP="00002D3D">
            <w:pPr>
              <w:jc w:val="both"/>
              <w:rPr>
                <w:rFonts w:cs="Times New Roman"/>
                <w:b/>
                <w:sz w:val="20"/>
                <w:szCs w:val="20"/>
              </w:rPr>
            </w:pPr>
            <w:r w:rsidRPr="001B1DB1">
              <w:rPr>
                <w:rFonts w:cs="Times New Roman"/>
                <w:sz w:val="20"/>
                <w:szCs w:val="20"/>
              </w:rPr>
              <w:t>Izveidota pastāvīga starpinstitūciju ekspertu (darba) grupa cieš</w:t>
            </w:r>
            <w:r w:rsidR="002C73EE" w:rsidRPr="001B1DB1">
              <w:rPr>
                <w:rFonts w:cs="Times New Roman"/>
                <w:sz w:val="20"/>
                <w:szCs w:val="20"/>
              </w:rPr>
              <w:t>ākas sadarbības nodrošināšanai.</w:t>
            </w:r>
          </w:p>
        </w:tc>
        <w:tc>
          <w:tcPr>
            <w:tcW w:w="1134" w:type="dxa"/>
            <w:shd w:val="clear" w:color="auto" w:fill="auto"/>
          </w:tcPr>
          <w:p w14:paraId="6BF671A3" w14:textId="50212091" w:rsidR="00EA244A" w:rsidRPr="001B1DB1" w:rsidRDefault="00EA244A" w:rsidP="00664B7B">
            <w:pPr>
              <w:jc w:val="center"/>
              <w:rPr>
                <w:rFonts w:cs="Times New Roman"/>
                <w:b/>
                <w:bCs/>
                <w:sz w:val="20"/>
                <w:szCs w:val="20"/>
              </w:rPr>
            </w:pPr>
            <w:r w:rsidRPr="001B1DB1">
              <w:rPr>
                <w:sz w:val="20"/>
                <w:szCs w:val="20"/>
              </w:rPr>
              <w:t>NKIM starpinstitūciju darba grupa</w:t>
            </w:r>
          </w:p>
        </w:tc>
        <w:tc>
          <w:tcPr>
            <w:tcW w:w="1275" w:type="dxa"/>
            <w:shd w:val="clear" w:color="auto" w:fill="auto"/>
          </w:tcPr>
          <w:p w14:paraId="68727552" w14:textId="77777777" w:rsidR="00EA244A" w:rsidRPr="001B1DB1" w:rsidRDefault="00EA244A" w:rsidP="00664B7B">
            <w:pPr>
              <w:jc w:val="center"/>
              <w:rPr>
                <w:rFonts w:cs="Times New Roman"/>
                <w:b/>
                <w:bCs/>
                <w:sz w:val="20"/>
                <w:szCs w:val="20"/>
              </w:rPr>
            </w:pPr>
          </w:p>
        </w:tc>
        <w:tc>
          <w:tcPr>
            <w:tcW w:w="1418" w:type="dxa"/>
            <w:shd w:val="clear" w:color="auto" w:fill="auto"/>
          </w:tcPr>
          <w:p w14:paraId="0A0BB56A" w14:textId="0E5CABED" w:rsidR="00EA244A" w:rsidRPr="001B1DB1" w:rsidRDefault="00EA244A" w:rsidP="00664B7B">
            <w:pPr>
              <w:jc w:val="center"/>
              <w:rPr>
                <w:rFonts w:cs="Times New Roman"/>
                <w:b/>
                <w:bCs/>
                <w:sz w:val="20"/>
                <w:szCs w:val="20"/>
              </w:rPr>
            </w:pPr>
            <w:r w:rsidRPr="001B1DB1">
              <w:rPr>
                <w:rFonts w:cs="Times New Roman"/>
                <w:bCs/>
                <w:sz w:val="20"/>
                <w:szCs w:val="20"/>
              </w:rPr>
              <w:t>Pastāvīgi</w:t>
            </w:r>
          </w:p>
        </w:tc>
      </w:tr>
      <w:tr w:rsidR="00075EFF" w:rsidRPr="001B1DB1" w14:paraId="68E94107" w14:textId="77777777" w:rsidTr="00002D3D">
        <w:trPr>
          <w:trHeight w:val="543"/>
        </w:trPr>
        <w:tc>
          <w:tcPr>
            <w:tcW w:w="709" w:type="dxa"/>
            <w:vMerge w:val="restart"/>
          </w:tcPr>
          <w:p w14:paraId="483F53CB" w14:textId="77777777" w:rsidR="00075EFF" w:rsidRPr="001B1DB1" w:rsidRDefault="00075EFF" w:rsidP="00F172FF">
            <w:pPr>
              <w:jc w:val="center"/>
              <w:rPr>
                <w:rFonts w:cs="Times New Roman"/>
                <w:bCs/>
                <w:sz w:val="20"/>
                <w:szCs w:val="20"/>
              </w:rPr>
            </w:pPr>
            <w:r w:rsidRPr="001B1DB1">
              <w:rPr>
                <w:rFonts w:cs="Times New Roman"/>
                <w:bCs/>
                <w:sz w:val="20"/>
                <w:szCs w:val="20"/>
              </w:rPr>
              <w:t>1.8.</w:t>
            </w:r>
          </w:p>
        </w:tc>
        <w:tc>
          <w:tcPr>
            <w:tcW w:w="3686" w:type="dxa"/>
            <w:vMerge w:val="restart"/>
            <w:shd w:val="clear" w:color="auto" w:fill="auto"/>
          </w:tcPr>
          <w:p w14:paraId="407E683D" w14:textId="76CE05B2" w:rsidR="00075EFF" w:rsidRPr="001B1DB1" w:rsidRDefault="00A1724C" w:rsidP="00002D3D">
            <w:pPr>
              <w:jc w:val="both"/>
              <w:rPr>
                <w:rFonts w:cs="Times New Roman"/>
                <w:sz w:val="20"/>
                <w:szCs w:val="20"/>
              </w:rPr>
            </w:pPr>
            <w:r>
              <w:rPr>
                <w:rFonts w:cs="Times New Roman"/>
                <w:sz w:val="20"/>
                <w:szCs w:val="20"/>
              </w:rPr>
              <w:t xml:space="preserve">Nodrošināt informācijas atspoguļojumu informatīvajā telpā </w:t>
            </w:r>
            <w:r w:rsidR="00075EFF" w:rsidRPr="001B1DB1">
              <w:rPr>
                <w:rFonts w:cs="Times New Roman"/>
                <w:sz w:val="20"/>
                <w:szCs w:val="20"/>
              </w:rPr>
              <w:t>par NILLTPFN jomas jautājumiem.</w:t>
            </w:r>
          </w:p>
          <w:p w14:paraId="4C71CFAA" w14:textId="77777777" w:rsidR="00075EFF" w:rsidRPr="001B1DB1" w:rsidRDefault="00075EFF" w:rsidP="00002D3D">
            <w:pPr>
              <w:jc w:val="both"/>
              <w:rPr>
                <w:rFonts w:cs="Times New Roman"/>
                <w:sz w:val="20"/>
                <w:szCs w:val="20"/>
              </w:rPr>
            </w:pPr>
          </w:p>
          <w:p w14:paraId="45388EFD" w14:textId="77777777" w:rsidR="00075EFF" w:rsidRPr="001B1DB1" w:rsidRDefault="00075EFF" w:rsidP="00002D3D">
            <w:pPr>
              <w:jc w:val="both"/>
              <w:rPr>
                <w:rFonts w:cs="Times New Roman"/>
                <w:sz w:val="20"/>
                <w:szCs w:val="20"/>
              </w:rPr>
            </w:pPr>
          </w:p>
          <w:p w14:paraId="25D25EC5" w14:textId="77777777" w:rsidR="00075EFF" w:rsidRPr="001B1DB1" w:rsidRDefault="00075EFF" w:rsidP="00002D3D">
            <w:pPr>
              <w:jc w:val="both"/>
              <w:rPr>
                <w:rFonts w:cs="Times New Roman"/>
                <w:sz w:val="20"/>
                <w:szCs w:val="20"/>
              </w:rPr>
            </w:pPr>
          </w:p>
          <w:p w14:paraId="128A83C3" w14:textId="77777777" w:rsidR="00075EFF" w:rsidRPr="001B1DB1" w:rsidRDefault="00075EFF" w:rsidP="00002D3D">
            <w:pPr>
              <w:jc w:val="both"/>
              <w:rPr>
                <w:rFonts w:cs="Times New Roman"/>
                <w:sz w:val="20"/>
                <w:szCs w:val="20"/>
              </w:rPr>
            </w:pPr>
          </w:p>
          <w:p w14:paraId="66ED7B4C" w14:textId="77777777" w:rsidR="00075EFF" w:rsidRPr="001B1DB1" w:rsidRDefault="00075EFF" w:rsidP="00002D3D">
            <w:pPr>
              <w:jc w:val="both"/>
              <w:rPr>
                <w:rFonts w:cs="Times New Roman"/>
                <w:sz w:val="20"/>
                <w:szCs w:val="20"/>
              </w:rPr>
            </w:pPr>
          </w:p>
        </w:tc>
        <w:tc>
          <w:tcPr>
            <w:tcW w:w="1559" w:type="dxa"/>
            <w:vMerge w:val="restart"/>
          </w:tcPr>
          <w:p w14:paraId="3F9FF9F0" w14:textId="0EB34A47" w:rsidR="00075EFF" w:rsidRPr="001B1DB1" w:rsidRDefault="00075EFF" w:rsidP="001209FF">
            <w:pPr>
              <w:rPr>
                <w:rFonts w:cs="Times New Roman"/>
                <w:sz w:val="20"/>
                <w:szCs w:val="20"/>
              </w:rPr>
            </w:pPr>
            <w:r w:rsidRPr="001B1DB1">
              <w:rPr>
                <w:rFonts w:cs="Times New Roman"/>
                <w:sz w:val="20"/>
                <w:szCs w:val="20"/>
              </w:rPr>
              <w:t>MONEYVAL 1.3. (1.1., 1.2.,  1.4. (1.8., 1.11.), 1.5.  (1.10.), 1.9.), 3.4., 4.1., 4.3., 6.1., 10.4. un 11.3.</w:t>
            </w:r>
            <w:r w:rsidR="001209FF">
              <w:rPr>
                <w:rFonts w:cs="Times New Roman"/>
                <w:sz w:val="20"/>
                <w:szCs w:val="20"/>
              </w:rPr>
              <w:t xml:space="preserve"> </w:t>
            </w:r>
            <w:r w:rsidR="001209FF" w:rsidRPr="001B1DB1">
              <w:rPr>
                <w:rFonts w:cs="Times New Roman"/>
                <w:sz w:val="20"/>
                <w:szCs w:val="20"/>
              </w:rPr>
              <w:t>rekomendācija</w:t>
            </w:r>
            <w:r w:rsidR="001209FF">
              <w:rPr>
                <w:rFonts w:cs="Times New Roman"/>
                <w:sz w:val="20"/>
                <w:szCs w:val="20"/>
              </w:rPr>
              <w:t>.</w:t>
            </w:r>
          </w:p>
        </w:tc>
        <w:tc>
          <w:tcPr>
            <w:tcW w:w="2551" w:type="dxa"/>
            <w:vMerge w:val="restart"/>
            <w:shd w:val="clear" w:color="auto" w:fill="auto"/>
          </w:tcPr>
          <w:p w14:paraId="7744322B" w14:textId="3B05DDB9" w:rsidR="00075EFF" w:rsidRPr="001B1DB1" w:rsidRDefault="00075EFF" w:rsidP="00002D3D">
            <w:pPr>
              <w:jc w:val="both"/>
              <w:rPr>
                <w:rFonts w:eastAsia="Times New Roman" w:cs="Times New Roman"/>
                <w:sz w:val="20"/>
                <w:szCs w:val="20"/>
                <w:lang w:eastAsia="lv-LV"/>
              </w:rPr>
            </w:pPr>
            <w:r w:rsidRPr="001B1DB1">
              <w:rPr>
                <w:rFonts w:eastAsia="Times New Roman" w:cs="Times New Roman"/>
                <w:sz w:val="20"/>
                <w:szCs w:val="20"/>
                <w:lang w:eastAsia="lv-LV"/>
              </w:rPr>
              <w:t>Nacionāl</w:t>
            </w:r>
            <w:r w:rsidR="007C0A79">
              <w:rPr>
                <w:rFonts w:eastAsia="Times New Roman" w:cs="Times New Roman"/>
                <w:sz w:val="20"/>
                <w:szCs w:val="20"/>
                <w:lang w:eastAsia="lv-LV"/>
              </w:rPr>
              <w:t>ā</w:t>
            </w:r>
            <w:r w:rsidRPr="001B1DB1">
              <w:rPr>
                <w:rFonts w:eastAsia="Times New Roman" w:cs="Times New Roman"/>
                <w:sz w:val="20"/>
                <w:szCs w:val="20"/>
                <w:lang w:eastAsia="lv-LV"/>
              </w:rPr>
              <w:t xml:space="preserve"> </w:t>
            </w:r>
            <w:r w:rsidRPr="001B1DB1">
              <w:rPr>
                <w:sz w:val="20"/>
                <w:szCs w:val="20"/>
              </w:rPr>
              <w:t xml:space="preserve">NILLTPF </w:t>
            </w:r>
            <w:r w:rsidRPr="001B1DB1">
              <w:rPr>
                <w:rFonts w:eastAsia="Times New Roman" w:cs="Times New Roman"/>
                <w:sz w:val="20"/>
                <w:szCs w:val="20"/>
                <w:lang w:eastAsia="lv-LV"/>
              </w:rPr>
              <w:t>risku novērtējuma rezultāt</w:t>
            </w:r>
            <w:r w:rsidR="007C0A79">
              <w:rPr>
                <w:rFonts w:eastAsia="Times New Roman" w:cs="Times New Roman"/>
                <w:sz w:val="20"/>
                <w:szCs w:val="20"/>
                <w:lang w:eastAsia="lv-LV"/>
              </w:rPr>
              <w:t>i</w:t>
            </w:r>
            <w:r w:rsidRPr="001B1DB1">
              <w:rPr>
                <w:rFonts w:eastAsia="Times New Roman" w:cs="Times New Roman"/>
                <w:sz w:val="20"/>
                <w:szCs w:val="20"/>
                <w:lang w:eastAsia="lv-LV"/>
              </w:rPr>
              <w:t xml:space="preserve"> izskaidro</w:t>
            </w:r>
            <w:r w:rsidR="007C0A79">
              <w:rPr>
                <w:rFonts w:eastAsia="Times New Roman" w:cs="Times New Roman"/>
                <w:sz w:val="20"/>
                <w:szCs w:val="20"/>
                <w:lang w:eastAsia="lv-LV"/>
              </w:rPr>
              <w:t>ti</w:t>
            </w:r>
            <w:r w:rsidRPr="001B1DB1">
              <w:rPr>
                <w:rFonts w:eastAsia="Times New Roman" w:cs="Times New Roman"/>
                <w:sz w:val="20"/>
                <w:szCs w:val="20"/>
                <w:lang w:eastAsia="lv-LV"/>
              </w:rPr>
              <w:t xml:space="preserve"> sabiedrībai (īpaši privātajam sektoram). </w:t>
            </w:r>
          </w:p>
          <w:p w14:paraId="1D78166C" w14:textId="6D999725" w:rsidR="00075EFF" w:rsidRPr="001B1DB1" w:rsidRDefault="007C0A79" w:rsidP="00002D3D">
            <w:pPr>
              <w:jc w:val="both"/>
              <w:rPr>
                <w:rFonts w:eastAsia="Times New Roman" w:cs="Times New Roman"/>
                <w:sz w:val="20"/>
                <w:szCs w:val="20"/>
                <w:lang w:eastAsia="lv-LV"/>
              </w:rPr>
            </w:pPr>
            <w:r>
              <w:rPr>
                <w:rFonts w:eastAsia="Times New Roman" w:cs="Times New Roman"/>
                <w:sz w:val="20"/>
                <w:szCs w:val="20"/>
                <w:lang w:eastAsia="lv-LV"/>
              </w:rPr>
              <w:t>S</w:t>
            </w:r>
            <w:r w:rsidR="00075EFF" w:rsidRPr="001B1DB1">
              <w:rPr>
                <w:rFonts w:eastAsia="Times New Roman" w:cs="Times New Roman"/>
                <w:sz w:val="20"/>
                <w:szCs w:val="20"/>
                <w:lang w:eastAsia="lv-LV"/>
              </w:rPr>
              <w:t>nieg</w:t>
            </w:r>
            <w:r>
              <w:rPr>
                <w:rFonts w:eastAsia="Times New Roman" w:cs="Times New Roman"/>
                <w:sz w:val="20"/>
                <w:szCs w:val="20"/>
                <w:lang w:eastAsia="lv-LV"/>
              </w:rPr>
              <w:t>t</w:t>
            </w:r>
            <w:r w:rsidR="00075EFF" w:rsidRPr="001B1DB1">
              <w:rPr>
                <w:rFonts w:eastAsia="Times New Roman" w:cs="Times New Roman"/>
                <w:sz w:val="20"/>
                <w:szCs w:val="20"/>
                <w:lang w:eastAsia="lv-LV"/>
              </w:rPr>
              <w:t>a</w:t>
            </w:r>
            <w:r>
              <w:rPr>
                <w:rFonts w:eastAsia="Times New Roman" w:cs="Times New Roman"/>
                <w:sz w:val="20"/>
                <w:szCs w:val="20"/>
                <w:lang w:eastAsia="lv-LV"/>
              </w:rPr>
              <w:t xml:space="preserve"> i</w:t>
            </w:r>
            <w:r w:rsidRPr="001B1DB1">
              <w:rPr>
                <w:rFonts w:eastAsia="Times New Roman" w:cs="Times New Roman"/>
                <w:sz w:val="20"/>
                <w:szCs w:val="20"/>
                <w:lang w:eastAsia="lv-LV"/>
              </w:rPr>
              <w:t>nformācija</w:t>
            </w:r>
            <w:r w:rsidR="00075EFF" w:rsidRPr="001B1DB1">
              <w:rPr>
                <w:rFonts w:eastAsia="Times New Roman" w:cs="Times New Roman"/>
                <w:sz w:val="20"/>
                <w:szCs w:val="20"/>
                <w:lang w:eastAsia="lv-LV"/>
              </w:rPr>
              <w:t xml:space="preserve"> par </w:t>
            </w:r>
            <w:r w:rsidRPr="001B1DB1">
              <w:rPr>
                <w:rFonts w:eastAsia="Times New Roman" w:cs="Times New Roman"/>
                <w:sz w:val="20"/>
                <w:szCs w:val="20"/>
                <w:lang w:eastAsia="lv-LV"/>
              </w:rPr>
              <w:t>paveikto</w:t>
            </w:r>
            <w:r w:rsidRPr="001B1DB1">
              <w:rPr>
                <w:sz w:val="20"/>
                <w:szCs w:val="20"/>
              </w:rPr>
              <w:t xml:space="preserve"> </w:t>
            </w:r>
            <w:r w:rsidR="00075EFF" w:rsidRPr="001B1DB1">
              <w:rPr>
                <w:sz w:val="20"/>
                <w:szCs w:val="20"/>
              </w:rPr>
              <w:t xml:space="preserve">NILLTPF </w:t>
            </w:r>
            <w:r w:rsidR="00075EFF" w:rsidRPr="001B1DB1">
              <w:rPr>
                <w:rFonts w:eastAsia="Times New Roman" w:cs="Times New Roman"/>
                <w:sz w:val="20"/>
                <w:szCs w:val="20"/>
                <w:lang w:eastAsia="lv-LV"/>
              </w:rPr>
              <w:t>novēršanas jomā.</w:t>
            </w:r>
          </w:p>
          <w:p w14:paraId="7565C484" w14:textId="77777777" w:rsidR="00075EFF" w:rsidRPr="001B1DB1" w:rsidRDefault="00075EFF" w:rsidP="00002D3D">
            <w:pPr>
              <w:jc w:val="both"/>
              <w:rPr>
                <w:rFonts w:eastAsia="Times New Roman" w:cs="Times New Roman"/>
                <w:sz w:val="20"/>
                <w:szCs w:val="20"/>
                <w:lang w:eastAsia="lv-LV"/>
              </w:rPr>
            </w:pPr>
            <w:r w:rsidRPr="001B1DB1">
              <w:rPr>
                <w:rFonts w:eastAsia="Times New Roman" w:cs="Times New Roman"/>
                <w:sz w:val="20"/>
                <w:szCs w:val="20"/>
                <w:lang w:eastAsia="lv-LV"/>
              </w:rPr>
              <w:t xml:space="preserve">Palielinās sabiedrības informētība, zināšanas un izpratne par NILLTPF (t.sk. starptautisko </w:t>
            </w:r>
            <w:r w:rsidR="00683CFA">
              <w:rPr>
                <w:rFonts w:eastAsia="Times New Roman" w:cs="Times New Roman"/>
                <w:sz w:val="20"/>
                <w:szCs w:val="20"/>
                <w:lang w:eastAsia="lv-LV"/>
              </w:rPr>
              <w:t xml:space="preserve">un nacionālo </w:t>
            </w:r>
            <w:r w:rsidRPr="001B1DB1">
              <w:rPr>
                <w:rFonts w:eastAsia="Times New Roman" w:cs="Times New Roman"/>
                <w:sz w:val="20"/>
                <w:szCs w:val="20"/>
                <w:lang w:eastAsia="lv-LV"/>
              </w:rPr>
              <w:t xml:space="preserve">sankciju) jautājumiem. </w:t>
            </w:r>
          </w:p>
          <w:p w14:paraId="5E2C7D84" w14:textId="38484826" w:rsidR="00075EFF" w:rsidRPr="001B1DB1" w:rsidRDefault="00075EFF" w:rsidP="00002D3D">
            <w:pPr>
              <w:jc w:val="both"/>
              <w:rPr>
                <w:rFonts w:cs="Times New Roman"/>
                <w:sz w:val="20"/>
                <w:szCs w:val="20"/>
              </w:rPr>
            </w:pPr>
            <w:r w:rsidRPr="001B1DB1">
              <w:rPr>
                <w:rFonts w:eastAsia="Times New Roman" w:cs="Times New Roman"/>
                <w:sz w:val="20"/>
                <w:szCs w:val="20"/>
                <w:lang w:eastAsia="lv-LV"/>
              </w:rPr>
              <w:lastRenderedPageBreak/>
              <w:t xml:space="preserve">Samazinājies to noziedzīgo nodarījumu skaits, kur personas iesaistītas </w:t>
            </w:r>
            <w:r w:rsidRPr="001B1DB1">
              <w:rPr>
                <w:sz w:val="20"/>
                <w:szCs w:val="20"/>
              </w:rPr>
              <w:t>NILLTPF</w:t>
            </w:r>
            <w:r w:rsidR="00683CFA">
              <w:rPr>
                <w:sz w:val="20"/>
                <w:szCs w:val="20"/>
              </w:rPr>
              <w:t>,</w:t>
            </w:r>
            <w:r w:rsidRPr="001B1DB1">
              <w:rPr>
                <w:sz w:val="20"/>
                <w:szCs w:val="20"/>
              </w:rPr>
              <w:t xml:space="preserve"> </w:t>
            </w:r>
            <w:r w:rsidRPr="001B1DB1">
              <w:rPr>
                <w:rFonts w:eastAsia="Times New Roman" w:cs="Times New Roman"/>
                <w:sz w:val="20"/>
                <w:szCs w:val="20"/>
                <w:lang w:eastAsia="lv-LV"/>
              </w:rPr>
              <w:t>to neapzinoties.</w:t>
            </w:r>
          </w:p>
          <w:p w14:paraId="6BD81701" w14:textId="77777777" w:rsidR="00075EFF" w:rsidRPr="001B1DB1" w:rsidRDefault="00075EFF" w:rsidP="00002D3D">
            <w:pPr>
              <w:jc w:val="both"/>
              <w:rPr>
                <w:rFonts w:cs="Times New Roman"/>
                <w:sz w:val="20"/>
                <w:szCs w:val="20"/>
              </w:rPr>
            </w:pPr>
          </w:p>
          <w:p w14:paraId="5BF76A56" w14:textId="77777777" w:rsidR="00075EFF" w:rsidRPr="001B1DB1" w:rsidRDefault="00075EFF" w:rsidP="00002D3D">
            <w:pPr>
              <w:jc w:val="both"/>
              <w:rPr>
                <w:rFonts w:cs="Times New Roman"/>
                <w:sz w:val="20"/>
                <w:szCs w:val="20"/>
              </w:rPr>
            </w:pPr>
          </w:p>
          <w:p w14:paraId="3DB75184" w14:textId="77777777" w:rsidR="00075EFF" w:rsidRPr="001B1DB1" w:rsidRDefault="00075EFF" w:rsidP="00002D3D">
            <w:pPr>
              <w:jc w:val="both"/>
              <w:rPr>
                <w:rFonts w:cs="Times New Roman"/>
                <w:sz w:val="20"/>
                <w:szCs w:val="20"/>
              </w:rPr>
            </w:pPr>
          </w:p>
          <w:p w14:paraId="3CBEFA7D" w14:textId="77777777" w:rsidR="00075EFF" w:rsidRPr="001B1DB1" w:rsidRDefault="00075EFF" w:rsidP="00002D3D">
            <w:pPr>
              <w:jc w:val="both"/>
              <w:rPr>
                <w:rFonts w:cs="Times New Roman"/>
                <w:sz w:val="20"/>
                <w:szCs w:val="20"/>
              </w:rPr>
            </w:pPr>
          </w:p>
          <w:p w14:paraId="059C5678" w14:textId="77777777" w:rsidR="00075EFF" w:rsidRPr="001B1DB1" w:rsidRDefault="00075EFF" w:rsidP="00002D3D">
            <w:pPr>
              <w:rPr>
                <w:rFonts w:cs="Times New Roman"/>
                <w:sz w:val="20"/>
                <w:szCs w:val="20"/>
              </w:rPr>
            </w:pPr>
          </w:p>
        </w:tc>
        <w:tc>
          <w:tcPr>
            <w:tcW w:w="2694" w:type="dxa"/>
          </w:tcPr>
          <w:p w14:paraId="59ADF0E4" w14:textId="769D9BEC" w:rsidR="00075EFF" w:rsidRPr="001B1DB1" w:rsidRDefault="00075EFF" w:rsidP="00002D3D">
            <w:pPr>
              <w:jc w:val="both"/>
              <w:rPr>
                <w:rFonts w:cs="Times New Roman"/>
                <w:sz w:val="20"/>
                <w:szCs w:val="20"/>
              </w:rPr>
            </w:pPr>
            <w:r>
              <w:rPr>
                <w:rFonts w:cs="Times New Roman"/>
                <w:sz w:val="20"/>
                <w:szCs w:val="20"/>
              </w:rPr>
              <w:lastRenderedPageBreak/>
              <w:t xml:space="preserve">1. </w:t>
            </w:r>
            <w:r w:rsidRPr="001B1DB1">
              <w:rPr>
                <w:rFonts w:cs="Times New Roman"/>
                <w:sz w:val="20"/>
                <w:szCs w:val="20"/>
              </w:rPr>
              <w:t xml:space="preserve">Aktualizēts un uzturēts </w:t>
            </w:r>
            <w:r w:rsidR="00800AE6">
              <w:rPr>
                <w:rFonts w:cs="Times New Roman"/>
                <w:sz w:val="20"/>
                <w:szCs w:val="20"/>
              </w:rPr>
              <w:t>LV</w:t>
            </w:r>
            <w:r w:rsidRPr="001B1DB1">
              <w:rPr>
                <w:rFonts w:cs="Times New Roman"/>
                <w:sz w:val="20"/>
                <w:szCs w:val="20"/>
              </w:rPr>
              <w:t xml:space="preserve"> portāla izveidotais patstāvīgais satura kanāls "</w:t>
            </w:r>
            <w:r w:rsidRPr="001B1DB1">
              <w:rPr>
                <w:sz w:val="20"/>
                <w:szCs w:val="20"/>
              </w:rPr>
              <w:t>MONEYVAL</w:t>
            </w:r>
            <w:r w:rsidRPr="001B1DB1">
              <w:rPr>
                <w:rFonts w:cs="Times New Roman"/>
                <w:sz w:val="20"/>
                <w:szCs w:val="20"/>
              </w:rPr>
              <w:t>".</w:t>
            </w:r>
          </w:p>
          <w:p w14:paraId="59DF126E" w14:textId="77777777" w:rsidR="00075EFF" w:rsidRPr="001B1DB1" w:rsidRDefault="00075EFF" w:rsidP="00002D3D">
            <w:pPr>
              <w:jc w:val="both"/>
              <w:rPr>
                <w:rFonts w:cs="Times New Roman"/>
                <w:sz w:val="20"/>
                <w:szCs w:val="20"/>
              </w:rPr>
            </w:pPr>
            <w:r w:rsidRPr="001B1DB1">
              <w:rPr>
                <w:rFonts w:cs="Times New Roman"/>
                <w:sz w:val="20"/>
                <w:szCs w:val="20"/>
              </w:rPr>
              <w:t>Pastāvīgi aktualizēta, multimediāla tematiskā sadaļa "</w:t>
            </w:r>
            <w:r w:rsidRPr="001B1DB1">
              <w:rPr>
                <w:sz w:val="20"/>
                <w:szCs w:val="20"/>
              </w:rPr>
              <w:t>MONEYVAL</w:t>
            </w:r>
            <w:r w:rsidRPr="001B1DB1">
              <w:rPr>
                <w:rFonts w:cs="Times New Roman"/>
                <w:sz w:val="20"/>
                <w:szCs w:val="20"/>
              </w:rPr>
              <w:t>" LV portālā visā pasākuma darbības periodā.</w:t>
            </w:r>
          </w:p>
          <w:p w14:paraId="5DD2E74B" w14:textId="77777777" w:rsidR="00075EFF" w:rsidRPr="001B1DB1" w:rsidRDefault="00075EFF" w:rsidP="00002D3D">
            <w:pPr>
              <w:jc w:val="both"/>
              <w:rPr>
                <w:rFonts w:cs="Times New Roman"/>
                <w:sz w:val="20"/>
                <w:szCs w:val="20"/>
              </w:rPr>
            </w:pPr>
            <w:r w:rsidRPr="001B1DB1">
              <w:rPr>
                <w:rFonts w:cs="Times New Roman"/>
                <w:sz w:val="20"/>
                <w:szCs w:val="20"/>
              </w:rPr>
              <w:t xml:space="preserve">LV portāla sasniedzamā auditorija – vidēji 200 000 unikālo lietotāju mēnesī, tematiskās satura sadaļas </w:t>
            </w:r>
            <w:r w:rsidRPr="001B1DB1">
              <w:rPr>
                <w:rFonts w:cs="Times New Roman"/>
                <w:sz w:val="20"/>
                <w:szCs w:val="20"/>
              </w:rPr>
              <w:lastRenderedPageBreak/>
              <w:t>"</w:t>
            </w:r>
            <w:r w:rsidRPr="001B1DB1">
              <w:rPr>
                <w:sz w:val="20"/>
                <w:szCs w:val="20"/>
              </w:rPr>
              <w:t>MONEYVAL</w:t>
            </w:r>
            <w:r w:rsidRPr="001B1DB1">
              <w:rPr>
                <w:rFonts w:cs="Times New Roman"/>
                <w:sz w:val="20"/>
                <w:szCs w:val="20"/>
              </w:rPr>
              <w:t>" apmeklējums caurmērā 600 - 700 lietotāju ik mēnesi.</w:t>
            </w:r>
          </w:p>
          <w:p w14:paraId="3FCCC71C" w14:textId="77777777" w:rsidR="00075EFF" w:rsidRPr="001B1DB1" w:rsidRDefault="00075EFF" w:rsidP="00002D3D">
            <w:pPr>
              <w:jc w:val="both"/>
              <w:rPr>
                <w:rFonts w:cs="Times New Roman"/>
                <w:sz w:val="20"/>
                <w:szCs w:val="20"/>
              </w:rPr>
            </w:pPr>
            <w:r w:rsidRPr="001B1DB1">
              <w:rPr>
                <w:rFonts w:cs="Times New Roman"/>
                <w:sz w:val="20"/>
                <w:szCs w:val="20"/>
              </w:rPr>
              <w:t>Vienuviet nodrošināta pastāvīga satura plūsma, tostarp, audiovizuālā formātā (vismaz 100 publikācijas gadā) LV portāla tematiskajā sadaļā "</w:t>
            </w:r>
            <w:r w:rsidRPr="001B1DB1">
              <w:rPr>
                <w:sz w:val="20"/>
                <w:szCs w:val="20"/>
              </w:rPr>
              <w:t>MONEYVAL</w:t>
            </w:r>
            <w:r w:rsidRPr="001B1DB1">
              <w:rPr>
                <w:rFonts w:cs="Times New Roman"/>
                <w:sz w:val="20"/>
                <w:szCs w:val="20"/>
              </w:rPr>
              <w:t>", aptverot šādu tematisko loku:</w:t>
            </w:r>
          </w:p>
          <w:p w14:paraId="2DFF604E"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informācija par progresu aktuālās "</w:t>
            </w:r>
            <w:r w:rsidRPr="001B1DB1">
              <w:rPr>
                <w:sz w:val="20"/>
                <w:szCs w:val="20"/>
              </w:rPr>
              <w:t>MONEYVAL</w:t>
            </w:r>
            <w:r w:rsidRPr="001B1DB1">
              <w:rPr>
                <w:rFonts w:cs="Times New Roman"/>
                <w:sz w:val="20"/>
                <w:szCs w:val="20"/>
              </w:rPr>
              <w:t>" kārtas uzdevumu izpildē;</w:t>
            </w:r>
          </w:p>
          <w:p w14:paraId="391E4FBA"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skaidrojumi par aktuālo regulējumu un izmaiņām tiesību aktos;</w:t>
            </w:r>
          </w:p>
          <w:p w14:paraId="5AE55FAC"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informācija par regulējuma piemērošanu praksē;</w:t>
            </w:r>
          </w:p>
          <w:p w14:paraId="2C941FCE" w14:textId="417E9CC4"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atjaunināts “</w:t>
            </w:r>
            <w:r w:rsidRPr="001B1DB1">
              <w:rPr>
                <w:sz w:val="20"/>
                <w:szCs w:val="20"/>
              </w:rPr>
              <w:t>MONEYVAL</w:t>
            </w:r>
            <w:r w:rsidRPr="001B1DB1">
              <w:rPr>
                <w:rFonts w:cs="Times New Roman"/>
                <w:sz w:val="20"/>
                <w:szCs w:val="20"/>
              </w:rPr>
              <w:t>" Ceļvedis 11 rīcības virzienos, atbilstoši aktuālajiem mērķiem, saglabājot pieeju informācijai par "</w:t>
            </w:r>
            <w:r w:rsidRPr="001B1DB1">
              <w:rPr>
                <w:sz w:val="20"/>
                <w:szCs w:val="20"/>
              </w:rPr>
              <w:t>MONEYVAL</w:t>
            </w:r>
            <w:r w:rsidRPr="001B1DB1">
              <w:rPr>
                <w:rFonts w:cs="Times New Roman"/>
                <w:sz w:val="20"/>
                <w:szCs w:val="20"/>
              </w:rPr>
              <w:t>" iepriekšējo kārtu;</w:t>
            </w:r>
          </w:p>
          <w:p w14:paraId="4994DEE7"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nodrošināta valsts iestāžu sniegto paziņojumu/preses relīžu pieejamība vienuviet tematiskajā sadaļā "</w:t>
            </w:r>
            <w:r w:rsidRPr="001B1DB1">
              <w:rPr>
                <w:sz w:val="20"/>
                <w:szCs w:val="20"/>
              </w:rPr>
              <w:t>MONEYVAL</w:t>
            </w:r>
            <w:r w:rsidRPr="001B1DB1">
              <w:rPr>
                <w:rFonts w:cs="Times New Roman"/>
                <w:sz w:val="20"/>
                <w:szCs w:val="20"/>
              </w:rPr>
              <w:t>";</w:t>
            </w:r>
          </w:p>
          <w:p w14:paraId="6F381F2E" w14:textId="77777777" w:rsidR="00075EFF" w:rsidRPr="001B1DB1" w:rsidRDefault="00075EFF" w:rsidP="00002D3D">
            <w:pPr>
              <w:pStyle w:val="ListParagraph"/>
              <w:numPr>
                <w:ilvl w:val="0"/>
                <w:numId w:val="2"/>
              </w:numPr>
              <w:ind w:left="312" w:hanging="284"/>
              <w:jc w:val="both"/>
              <w:rPr>
                <w:rFonts w:cs="Times New Roman"/>
                <w:sz w:val="20"/>
                <w:szCs w:val="20"/>
              </w:rPr>
            </w:pPr>
            <w:r w:rsidRPr="001B1DB1">
              <w:rPr>
                <w:rFonts w:cs="Times New Roman"/>
                <w:sz w:val="20"/>
                <w:szCs w:val="20"/>
              </w:rPr>
              <w:t>multimediāls saturs tematiskajā sadaļā "</w:t>
            </w:r>
            <w:r w:rsidRPr="001B1DB1">
              <w:rPr>
                <w:sz w:val="20"/>
                <w:szCs w:val="20"/>
              </w:rPr>
              <w:t>MONEYVAL</w:t>
            </w:r>
            <w:r w:rsidRPr="001B1DB1">
              <w:rPr>
                <w:rFonts w:cs="Times New Roman"/>
                <w:sz w:val="20"/>
                <w:szCs w:val="20"/>
              </w:rPr>
              <w:t>";</w:t>
            </w:r>
          </w:p>
          <w:p w14:paraId="57110AB1" w14:textId="77777777" w:rsidR="00075EFF" w:rsidRPr="001B1DB1" w:rsidRDefault="00075EFF" w:rsidP="00002D3D">
            <w:pPr>
              <w:jc w:val="both"/>
              <w:rPr>
                <w:rFonts w:cs="Times New Roman"/>
                <w:sz w:val="20"/>
                <w:szCs w:val="20"/>
              </w:rPr>
            </w:pPr>
            <w:r w:rsidRPr="001B1DB1">
              <w:rPr>
                <w:rFonts w:cs="Times New Roman"/>
                <w:sz w:val="20"/>
                <w:szCs w:val="20"/>
              </w:rPr>
              <w:t>nodrošināta tematiskās sadaļas "</w:t>
            </w:r>
            <w:r w:rsidRPr="001B1DB1">
              <w:rPr>
                <w:sz w:val="20"/>
                <w:szCs w:val="20"/>
              </w:rPr>
              <w:t>MONEYVAL</w:t>
            </w:r>
            <w:r w:rsidRPr="001B1DB1">
              <w:rPr>
                <w:rFonts w:cs="Times New Roman"/>
                <w:sz w:val="20"/>
                <w:szCs w:val="20"/>
              </w:rPr>
              <w:t>” satura komunikācija sociālajos medijos.</w:t>
            </w:r>
          </w:p>
        </w:tc>
        <w:tc>
          <w:tcPr>
            <w:tcW w:w="1134" w:type="dxa"/>
            <w:shd w:val="clear" w:color="auto" w:fill="auto"/>
          </w:tcPr>
          <w:p w14:paraId="43D40031" w14:textId="77777777" w:rsidR="00075EFF" w:rsidRPr="001B1DB1" w:rsidRDefault="00075EFF" w:rsidP="00664B7B">
            <w:pPr>
              <w:jc w:val="center"/>
              <w:rPr>
                <w:rFonts w:cs="Times New Roman"/>
                <w:sz w:val="20"/>
                <w:szCs w:val="20"/>
              </w:rPr>
            </w:pPr>
            <w:r w:rsidRPr="001B1DB1">
              <w:rPr>
                <w:rFonts w:cs="Times New Roman"/>
                <w:sz w:val="20"/>
                <w:szCs w:val="20"/>
              </w:rPr>
              <w:lastRenderedPageBreak/>
              <w:t>TM</w:t>
            </w:r>
          </w:p>
        </w:tc>
        <w:tc>
          <w:tcPr>
            <w:tcW w:w="1275" w:type="dxa"/>
            <w:shd w:val="clear" w:color="auto" w:fill="auto"/>
          </w:tcPr>
          <w:p w14:paraId="3718341D" w14:textId="5CB56D95" w:rsidR="00075EFF" w:rsidRPr="001B1DB1" w:rsidRDefault="00075EFF" w:rsidP="00664B7B">
            <w:pPr>
              <w:jc w:val="center"/>
              <w:rPr>
                <w:rFonts w:cs="Times New Roman"/>
                <w:sz w:val="20"/>
                <w:szCs w:val="20"/>
              </w:rPr>
            </w:pPr>
            <w:r w:rsidRPr="001B1DB1">
              <w:rPr>
                <w:rFonts w:cs="Times New Roman"/>
                <w:sz w:val="20"/>
                <w:szCs w:val="20"/>
              </w:rPr>
              <w:t>Latvijas Vēstnesis, IeM, FID, FM, ĀM</w:t>
            </w:r>
          </w:p>
        </w:tc>
        <w:tc>
          <w:tcPr>
            <w:tcW w:w="1418" w:type="dxa"/>
            <w:shd w:val="clear" w:color="auto" w:fill="auto"/>
          </w:tcPr>
          <w:p w14:paraId="36940DFC" w14:textId="77777777" w:rsidR="00075EFF" w:rsidRPr="001B1DB1" w:rsidRDefault="00075EFF" w:rsidP="00664B7B">
            <w:pPr>
              <w:jc w:val="center"/>
              <w:rPr>
                <w:rFonts w:cs="Times New Roman"/>
                <w:sz w:val="20"/>
                <w:szCs w:val="20"/>
              </w:rPr>
            </w:pPr>
            <w:r w:rsidRPr="001B1DB1">
              <w:rPr>
                <w:rFonts w:cs="Times New Roman"/>
                <w:bCs/>
                <w:sz w:val="20"/>
                <w:szCs w:val="20"/>
              </w:rPr>
              <w:t>Pastāvīgi</w:t>
            </w:r>
          </w:p>
        </w:tc>
      </w:tr>
      <w:tr w:rsidR="00075EFF" w:rsidRPr="001B1DB1" w14:paraId="5FBB6072" w14:textId="77777777" w:rsidTr="00002D3D">
        <w:trPr>
          <w:trHeight w:val="543"/>
        </w:trPr>
        <w:tc>
          <w:tcPr>
            <w:tcW w:w="709" w:type="dxa"/>
            <w:vMerge/>
          </w:tcPr>
          <w:p w14:paraId="70893843" w14:textId="77777777" w:rsidR="00075EFF" w:rsidRPr="001B1DB1" w:rsidRDefault="00075EFF" w:rsidP="00F172FF">
            <w:pPr>
              <w:jc w:val="center"/>
              <w:rPr>
                <w:rFonts w:cs="Times New Roman"/>
                <w:bCs/>
                <w:sz w:val="20"/>
                <w:szCs w:val="20"/>
              </w:rPr>
            </w:pPr>
          </w:p>
        </w:tc>
        <w:tc>
          <w:tcPr>
            <w:tcW w:w="3686" w:type="dxa"/>
            <w:vMerge/>
            <w:shd w:val="clear" w:color="auto" w:fill="auto"/>
          </w:tcPr>
          <w:p w14:paraId="5B4061F1" w14:textId="77777777" w:rsidR="00075EFF" w:rsidRPr="001B1DB1" w:rsidRDefault="00075EFF" w:rsidP="001C2B3B">
            <w:pPr>
              <w:jc w:val="both"/>
              <w:rPr>
                <w:sz w:val="20"/>
                <w:szCs w:val="20"/>
              </w:rPr>
            </w:pPr>
          </w:p>
        </w:tc>
        <w:tc>
          <w:tcPr>
            <w:tcW w:w="1559" w:type="dxa"/>
            <w:vMerge/>
          </w:tcPr>
          <w:p w14:paraId="4FFA4147" w14:textId="77777777" w:rsidR="00075EFF" w:rsidRPr="001B1DB1" w:rsidRDefault="00075EFF" w:rsidP="003B5008">
            <w:pPr>
              <w:rPr>
                <w:rFonts w:cs="Times New Roman"/>
                <w:sz w:val="20"/>
                <w:szCs w:val="20"/>
              </w:rPr>
            </w:pPr>
          </w:p>
        </w:tc>
        <w:tc>
          <w:tcPr>
            <w:tcW w:w="2551" w:type="dxa"/>
            <w:vMerge/>
            <w:shd w:val="clear" w:color="auto" w:fill="auto"/>
          </w:tcPr>
          <w:p w14:paraId="4EA71BC1" w14:textId="77777777" w:rsidR="00075EFF" w:rsidRPr="001B1DB1" w:rsidRDefault="00075EFF" w:rsidP="003B5008">
            <w:pPr>
              <w:jc w:val="both"/>
              <w:rPr>
                <w:sz w:val="20"/>
                <w:szCs w:val="20"/>
              </w:rPr>
            </w:pPr>
          </w:p>
        </w:tc>
        <w:tc>
          <w:tcPr>
            <w:tcW w:w="2694" w:type="dxa"/>
          </w:tcPr>
          <w:p w14:paraId="7BE0A895" w14:textId="0E283852" w:rsidR="00075EFF" w:rsidRPr="001B1DB1" w:rsidRDefault="00075EFF" w:rsidP="003B5008">
            <w:pPr>
              <w:jc w:val="both"/>
              <w:rPr>
                <w:sz w:val="20"/>
                <w:szCs w:val="20"/>
              </w:rPr>
            </w:pPr>
            <w:r>
              <w:rPr>
                <w:sz w:val="20"/>
                <w:szCs w:val="20"/>
              </w:rPr>
              <w:t xml:space="preserve">2. </w:t>
            </w:r>
            <w:r w:rsidRPr="00FE78F0">
              <w:rPr>
                <w:sz w:val="20"/>
                <w:szCs w:val="20"/>
              </w:rPr>
              <w:t>Būtiskākie NILLTPFN jomas normatīvie akti un citi dokumenti ir pieejami tulkoti uz un no angļu vai citas nepieciešamās valodas tam piešķirtā finansējuma apmērā</w:t>
            </w:r>
            <w:r>
              <w:rPr>
                <w:sz w:val="20"/>
                <w:szCs w:val="20"/>
              </w:rPr>
              <w:t>.</w:t>
            </w:r>
          </w:p>
        </w:tc>
        <w:tc>
          <w:tcPr>
            <w:tcW w:w="1134" w:type="dxa"/>
            <w:shd w:val="clear" w:color="auto" w:fill="auto"/>
          </w:tcPr>
          <w:p w14:paraId="74B0446D" w14:textId="3805521E" w:rsidR="00075EFF" w:rsidRPr="001B1DB1" w:rsidRDefault="00075EFF" w:rsidP="00664B7B">
            <w:pPr>
              <w:jc w:val="center"/>
              <w:rPr>
                <w:sz w:val="20"/>
                <w:szCs w:val="20"/>
              </w:rPr>
            </w:pPr>
            <w:r>
              <w:rPr>
                <w:sz w:val="20"/>
                <w:szCs w:val="20"/>
              </w:rPr>
              <w:t>TM</w:t>
            </w:r>
          </w:p>
        </w:tc>
        <w:tc>
          <w:tcPr>
            <w:tcW w:w="1275" w:type="dxa"/>
            <w:shd w:val="clear" w:color="auto" w:fill="auto"/>
          </w:tcPr>
          <w:p w14:paraId="293E03CF" w14:textId="452F58BC" w:rsidR="00075EFF" w:rsidRPr="007325CA" w:rsidRDefault="00075EFF" w:rsidP="00664B7B">
            <w:pPr>
              <w:jc w:val="center"/>
              <w:rPr>
                <w:sz w:val="20"/>
                <w:szCs w:val="20"/>
              </w:rPr>
            </w:pPr>
            <w:r>
              <w:rPr>
                <w:sz w:val="20"/>
                <w:szCs w:val="20"/>
              </w:rPr>
              <w:t>Valsts valodas centrs</w:t>
            </w:r>
          </w:p>
        </w:tc>
        <w:tc>
          <w:tcPr>
            <w:tcW w:w="1418" w:type="dxa"/>
            <w:shd w:val="clear" w:color="auto" w:fill="auto"/>
          </w:tcPr>
          <w:p w14:paraId="4B24D991" w14:textId="3365BFE9" w:rsidR="00075EFF" w:rsidRPr="001B1DB1" w:rsidRDefault="00075EFF" w:rsidP="00664B7B">
            <w:pPr>
              <w:jc w:val="center"/>
              <w:rPr>
                <w:sz w:val="20"/>
                <w:szCs w:val="20"/>
              </w:rPr>
            </w:pPr>
            <w:r w:rsidRPr="001B1DB1">
              <w:rPr>
                <w:rFonts w:cs="Times New Roman"/>
                <w:bCs/>
                <w:sz w:val="20"/>
                <w:szCs w:val="20"/>
              </w:rPr>
              <w:t>Pastāvīgi</w:t>
            </w:r>
          </w:p>
        </w:tc>
      </w:tr>
      <w:tr w:rsidR="00E15011" w:rsidRPr="001B1DB1" w14:paraId="5C2F9DD1" w14:textId="77777777" w:rsidTr="00C135AB">
        <w:trPr>
          <w:trHeight w:val="384"/>
        </w:trPr>
        <w:tc>
          <w:tcPr>
            <w:tcW w:w="709" w:type="dxa"/>
          </w:tcPr>
          <w:p w14:paraId="4ADBE067" w14:textId="01329395" w:rsidR="00E15011" w:rsidRPr="001B1DB1" w:rsidRDefault="00E15011" w:rsidP="00E15011">
            <w:pPr>
              <w:jc w:val="center"/>
              <w:rPr>
                <w:rFonts w:cs="Times New Roman"/>
                <w:bCs/>
                <w:sz w:val="20"/>
                <w:szCs w:val="20"/>
              </w:rPr>
            </w:pPr>
            <w:r>
              <w:rPr>
                <w:rFonts w:cs="Times New Roman"/>
                <w:bCs/>
                <w:sz w:val="20"/>
                <w:szCs w:val="20"/>
              </w:rPr>
              <w:lastRenderedPageBreak/>
              <w:t>1.9.</w:t>
            </w:r>
          </w:p>
        </w:tc>
        <w:tc>
          <w:tcPr>
            <w:tcW w:w="3686" w:type="dxa"/>
            <w:shd w:val="clear" w:color="auto" w:fill="auto"/>
          </w:tcPr>
          <w:p w14:paraId="703C9F84" w14:textId="0C546A6A" w:rsidR="00E15011" w:rsidRPr="00817435" w:rsidRDefault="00E15011" w:rsidP="00E15011">
            <w:pPr>
              <w:jc w:val="both"/>
              <w:rPr>
                <w:bCs/>
                <w:sz w:val="20"/>
                <w:szCs w:val="20"/>
              </w:rPr>
            </w:pPr>
            <w:r>
              <w:rPr>
                <w:sz w:val="20"/>
                <w:szCs w:val="20"/>
              </w:rPr>
              <w:t>Uzlabot Latvijas finanšu sektora starptautisko reputāciju.</w:t>
            </w:r>
          </w:p>
        </w:tc>
        <w:tc>
          <w:tcPr>
            <w:tcW w:w="1559" w:type="dxa"/>
          </w:tcPr>
          <w:p w14:paraId="60C06B76" w14:textId="77777777" w:rsidR="00E15011" w:rsidRPr="001B1DB1" w:rsidRDefault="00E15011" w:rsidP="00E15011">
            <w:pPr>
              <w:rPr>
                <w:rFonts w:cs="Times New Roman"/>
                <w:sz w:val="20"/>
                <w:szCs w:val="20"/>
              </w:rPr>
            </w:pPr>
          </w:p>
        </w:tc>
        <w:tc>
          <w:tcPr>
            <w:tcW w:w="2551" w:type="dxa"/>
            <w:shd w:val="clear" w:color="auto" w:fill="auto"/>
          </w:tcPr>
          <w:p w14:paraId="50E765E8" w14:textId="1D83093A" w:rsidR="00E15011" w:rsidRPr="001B1DB1" w:rsidRDefault="00E15011" w:rsidP="00E15011">
            <w:pPr>
              <w:jc w:val="both"/>
              <w:rPr>
                <w:sz w:val="20"/>
                <w:szCs w:val="20"/>
              </w:rPr>
            </w:pPr>
            <w:r w:rsidRPr="00F61425">
              <w:rPr>
                <w:sz w:val="20"/>
                <w:szCs w:val="20"/>
              </w:rPr>
              <w:t>Iepirkt</w:t>
            </w:r>
            <w:r>
              <w:rPr>
                <w:sz w:val="20"/>
                <w:szCs w:val="20"/>
              </w:rPr>
              <w:t>i komunikācijas pakalpojumi</w:t>
            </w:r>
            <w:r w:rsidRPr="00F61425">
              <w:rPr>
                <w:sz w:val="20"/>
                <w:szCs w:val="20"/>
              </w:rPr>
              <w:t xml:space="preserve"> Latvijas finanšu sektora starptautiskās reputācijas uzlabošanai, ko nav iespējams īstenot ar valsts</w:t>
            </w:r>
            <w:r>
              <w:rPr>
                <w:sz w:val="20"/>
                <w:szCs w:val="20"/>
              </w:rPr>
              <w:t xml:space="preserve"> pārvaldes iekšējiem resursiem.</w:t>
            </w:r>
          </w:p>
        </w:tc>
        <w:tc>
          <w:tcPr>
            <w:tcW w:w="2694" w:type="dxa"/>
          </w:tcPr>
          <w:p w14:paraId="583D5F87" w14:textId="4705B533" w:rsidR="00E15011" w:rsidRPr="00053D97" w:rsidRDefault="00E15011" w:rsidP="00E15011">
            <w:pPr>
              <w:jc w:val="both"/>
              <w:rPr>
                <w:sz w:val="20"/>
                <w:szCs w:val="20"/>
              </w:rPr>
            </w:pPr>
            <w:r w:rsidRPr="009F2A56">
              <w:rPr>
                <w:sz w:val="20"/>
                <w:szCs w:val="20"/>
              </w:rPr>
              <w:t>Regulāri sagatavots  un nosūtīts finanšu sektora apkārtraksts angļu un latviešu valodā, pilnveidots apkārtraksta saturs, saņēmēju loks un izplatīšanas efektivitāte.</w:t>
            </w:r>
            <w:r>
              <w:rPr>
                <w:sz w:val="20"/>
                <w:szCs w:val="20"/>
              </w:rPr>
              <w:t xml:space="preserve"> </w:t>
            </w:r>
            <w:r w:rsidRPr="009F2A56">
              <w:rPr>
                <w:sz w:val="20"/>
                <w:szCs w:val="20"/>
              </w:rPr>
              <w:t>Izstrādāts komunikācijas produkts, regulāri atjaunots un tulkots uz angļu vai latviešu valodu (atbildes uz jautājumiem angļu valodā un citi komunikācijas materiāli).</w:t>
            </w:r>
          </w:p>
        </w:tc>
        <w:tc>
          <w:tcPr>
            <w:tcW w:w="1134" w:type="dxa"/>
            <w:shd w:val="clear" w:color="auto" w:fill="auto"/>
          </w:tcPr>
          <w:p w14:paraId="4586AD9C" w14:textId="41052D6C" w:rsidR="00E15011" w:rsidRPr="001B1DB1" w:rsidRDefault="00E15011" w:rsidP="00E15011">
            <w:pPr>
              <w:jc w:val="center"/>
              <w:rPr>
                <w:sz w:val="20"/>
                <w:szCs w:val="20"/>
              </w:rPr>
            </w:pPr>
            <w:r>
              <w:rPr>
                <w:sz w:val="20"/>
                <w:szCs w:val="20"/>
              </w:rPr>
              <w:t>VK</w:t>
            </w:r>
          </w:p>
        </w:tc>
        <w:tc>
          <w:tcPr>
            <w:tcW w:w="1275" w:type="dxa"/>
            <w:shd w:val="clear" w:color="auto" w:fill="auto"/>
          </w:tcPr>
          <w:p w14:paraId="5ABF2545" w14:textId="7EAC59C1" w:rsidR="00E15011" w:rsidRPr="007325CA" w:rsidRDefault="00E15011" w:rsidP="00E15011">
            <w:pPr>
              <w:jc w:val="center"/>
              <w:rPr>
                <w:sz w:val="20"/>
                <w:szCs w:val="20"/>
              </w:rPr>
            </w:pPr>
            <w:r>
              <w:rPr>
                <w:sz w:val="20"/>
                <w:szCs w:val="20"/>
              </w:rPr>
              <w:t>Finanšu sektora komunikācijas koordinācijas grupa</w:t>
            </w:r>
          </w:p>
        </w:tc>
        <w:tc>
          <w:tcPr>
            <w:tcW w:w="1418" w:type="dxa"/>
            <w:shd w:val="clear" w:color="auto" w:fill="auto"/>
          </w:tcPr>
          <w:p w14:paraId="72059B9C" w14:textId="34FC32EE" w:rsidR="00E15011" w:rsidRPr="001B1DB1" w:rsidRDefault="00E15011" w:rsidP="00E15011">
            <w:pPr>
              <w:jc w:val="center"/>
              <w:rPr>
                <w:sz w:val="20"/>
                <w:szCs w:val="20"/>
              </w:rPr>
            </w:pPr>
            <w:r>
              <w:rPr>
                <w:rFonts w:cs="Times New Roman"/>
                <w:bCs/>
                <w:sz w:val="20"/>
                <w:szCs w:val="20"/>
              </w:rPr>
              <w:t>31.12.2020.</w:t>
            </w:r>
          </w:p>
        </w:tc>
      </w:tr>
      <w:tr w:rsidR="00E15011" w:rsidRPr="001B1DB1" w14:paraId="1326A7AD" w14:textId="77777777" w:rsidTr="00C135AB">
        <w:trPr>
          <w:trHeight w:val="384"/>
        </w:trPr>
        <w:tc>
          <w:tcPr>
            <w:tcW w:w="709" w:type="dxa"/>
          </w:tcPr>
          <w:p w14:paraId="5770AA7E" w14:textId="5BD0DBBF" w:rsidR="00E15011" w:rsidRPr="001B1DB1" w:rsidRDefault="00E15011" w:rsidP="00E15011">
            <w:pPr>
              <w:jc w:val="center"/>
              <w:rPr>
                <w:rFonts w:cs="Times New Roman"/>
                <w:bCs/>
                <w:sz w:val="20"/>
                <w:szCs w:val="20"/>
              </w:rPr>
            </w:pPr>
            <w:r w:rsidRPr="001B1DB1">
              <w:rPr>
                <w:rFonts w:cs="Times New Roman"/>
                <w:bCs/>
                <w:sz w:val="20"/>
                <w:szCs w:val="20"/>
              </w:rPr>
              <w:t>1.</w:t>
            </w:r>
            <w:r>
              <w:rPr>
                <w:rFonts w:cs="Times New Roman"/>
                <w:bCs/>
                <w:sz w:val="20"/>
                <w:szCs w:val="20"/>
              </w:rPr>
              <w:t>10</w:t>
            </w:r>
            <w:r w:rsidRPr="001B1DB1">
              <w:rPr>
                <w:rFonts w:cs="Times New Roman"/>
                <w:bCs/>
                <w:sz w:val="20"/>
                <w:szCs w:val="20"/>
              </w:rPr>
              <w:t>.</w:t>
            </w:r>
          </w:p>
        </w:tc>
        <w:tc>
          <w:tcPr>
            <w:tcW w:w="3686" w:type="dxa"/>
            <w:shd w:val="clear" w:color="auto" w:fill="auto"/>
          </w:tcPr>
          <w:p w14:paraId="184994C5" w14:textId="6D469DFF" w:rsidR="00E15011" w:rsidRPr="00817435" w:rsidRDefault="00E15011" w:rsidP="00375AB6">
            <w:pPr>
              <w:jc w:val="both"/>
              <w:rPr>
                <w:rFonts w:cs="Times New Roman"/>
                <w:sz w:val="20"/>
                <w:szCs w:val="20"/>
              </w:rPr>
            </w:pPr>
            <w:r w:rsidRPr="00817435">
              <w:rPr>
                <w:bCs/>
                <w:sz w:val="20"/>
                <w:szCs w:val="20"/>
              </w:rPr>
              <w:t xml:space="preserve">Pilnveidot </w:t>
            </w:r>
            <w:r w:rsidR="007C5808">
              <w:rPr>
                <w:bCs/>
                <w:sz w:val="20"/>
                <w:szCs w:val="20"/>
              </w:rPr>
              <w:t>uz</w:t>
            </w:r>
            <w:r w:rsidR="007C5808" w:rsidRPr="00DE3A39">
              <w:rPr>
                <w:bCs/>
                <w:sz w:val="20"/>
                <w:szCs w:val="20"/>
              </w:rPr>
              <w:t xml:space="preserve"> </w:t>
            </w:r>
            <w:r w:rsidRPr="00DE3A39">
              <w:rPr>
                <w:bCs/>
                <w:sz w:val="20"/>
                <w:szCs w:val="20"/>
              </w:rPr>
              <w:t xml:space="preserve">risku </w:t>
            </w:r>
            <w:r w:rsidR="007C5808">
              <w:rPr>
                <w:bCs/>
                <w:sz w:val="20"/>
                <w:szCs w:val="20"/>
              </w:rPr>
              <w:t>novērtējumu balstīto</w:t>
            </w:r>
            <w:r w:rsidR="007C5808" w:rsidRPr="00DE3A39">
              <w:rPr>
                <w:bCs/>
                <w:sz w:val="20"/>
                <w:szCs w:val="20"/>
              </w:rPr>
              <w:t xml:space="preserve"> </w:t>
            </w:r>
            <w:r w:rsidRPr="00817435">
              <w:rPr>
                <w:bCs/>
                <w:sz w:val="20"/>
                <w:szCs w:val="20"/>
              </w:rPr>
              <w:t xml:space="preserve">pieeju finanšu sektorā klientu sākotnējās izpētes procesā, lai novērstu finanšu pakalpojumu nepieejamību nepamatotas sadarbības uzsākšanas atteikumu gadījumos. </w:t>
            </w:r>
          </w:p>
        </w:tc>
        <w:tc>
          <w:tcPr>
            <w:tcW w:w="1559" w:type="dxa"/>
          </w:tcPr>
          <w:p w14:paraId="59DCF9BE" w14:textId="77777777" w:rsidR="00E15011" w:rsidRPr="001B1DB1" w:rsidRDefault="00E15011" w:rsidP="00E15011">
            <w:pPr>
              <w:rPr>
                <w:rFonts w:cs="Times New Roman"/>
                <w:sz w:val="20"/>
                <w:szCs w:val="20"/>
              </w:rPr>
            </w:pPr>
          </w:p>
        </w:tc>
        <w:tc>
          <w:tcPr>
            <w:tcW w:w="2551" w:type="dxa"/>
            <w:shd w:val="clear" w:color="auto" w:fill="auto"/>
          </w:tcPr>
          <w:p w14:paraId="0D65E65D" w14:textId="53CC62F5" w:rsidR="00E15011" w:rsidRPr="001B1DB1" w:rsidRDefault="00E15011" w:rsidP="00E15011">
            <w:pPr>
              <w:jc w:val="both"/>
              <w:rPr>
                <w:rFonts w:eastAsia="Times New Roman" w:cs="Times New Roman"/>
                <w:sz w:val="20"/>
                <w:szCs w:val="20"/>
                <w:lang w:eastAsia="lv-LV"/>
              </w:rPr>
            </w:pPr>
            <w:r w:rsidRPr="001B1DB1">
              <w:rPr>
                <w:sz w:val="20"/>
                <w:szCs w:val="20"/>
              </w:rPr>
              <w:t>Nodrošināta labāka un adekvātāka risku pārvaldība, mazinot to personu skaitu, kuriem nav pieejami finanšu pakalpojumi tikai tādu normatīvo aktu prasību dēļ, kas paredz</w:t>
            </w:r>
            <w:r>
              <w:rPr>
                <w:sz w:val="20"/>
                <w:szCs w:val="20"/>
              </w:rPr>
              <w:t xml:space="preserve"> uz noteikumiem balstītu pieeju</w:t>
            </w:r>
            <w:r w:rsidRPr="001B1DB1">
              <w:rPr>
                <w:sz w:val="20"/>
                <w:szCs w:val="20"/>
              </w:rPr>
              <w:t xml:space="preserve">.  </w:t>
            </w:r>
          </w:p>
        </w:tc>
        <w:tc>
          <w:tcPr>
            <w:tcW w:w="2694" w:type="dxa"/>
          </w:tcPr>
          <w:p w14:paraId="19432653" w14:textId="77777777" w:rsidR="00E15011" w:rsidRPr="001B1DB1" w:rsidRDefault="00E15011" w:rsidP="00E15011">
            <w:pPr>
              <w:jc w:val="both"/>
              <w:rPr>
                <w:rFonts w:cs="Times New Roman"/>
                <w:sz w:val="20"/>
                <w:szCs w:val="20"/>
              </w:rPr>
            </w:pPr>
            <w:r w:rsidRPr="00053D97">
              <w:rPr>
                <w:sz w:val="20"/>
                <w:szCs w:val="20"/>
              </w:rPr>
              <w:t>Izdots normatīvais akts vai</w:t>
            </w:r>
            <w:r w:rsidRPr="001B1DB1">
              <w:rPr>
                <w:sz w:val="20"/>
                <w:szCs w:val="20"/>
              </w:rPr>
              <w:t xml:space="preserve"> vadlīnijas.</w:t>
            </w:r>
          </w:p>
        </w:tc>
        <w:tc>
          <w:tcPr>
            <w:tcW w:w="1134" w:type="dxa"/>
            <w:shd w:val="clear" w:color="auto" w:fill="auto"/>
          </w:tcPr>
          <w:p w14:paraId="4021FBE5" w14:textId="77777777" w:rsidR="00E15011" w:rsidRPr="001B1DB1" w:rsidRDefault="00E15011" w:rsidP="00E15011">
            <w:pPr>
              <w:jc w:val="center"/>
              <w:rPr>
                <w:rFonts w:cs="Times New Roman"/>
                <w:sz w:val="20"/>
                <w:szCs w:val="20"/>
              </w:rPr>
            </w:pPr>
            <w:r w:rsidRPr="001B1DB1">
              <w:rPr>
                <w:sz w:val="20"/>
                <w:szCs w:val="20"/>
              </w:rPr>
              <w:t>FKTK</w:t>
            </w:r>
          </w:p>
        </w:tc>
        <w:tc>
          <w:tcPr>
            <w:tcW w:w="1275" w:type="dxa"/>
            <w:shd w:val="clear" w:color="auto" w:fill="auto"/>
          </w:tcPr>
          <w:p w14:paraId="72C94D71" w14:textId="77777777" w:rsidR="00E15011" w:rsidRPr="001B1DB1" w:rsidRDefault="00E15011" w:rsidP="00E15011">
            <w:pPr>
              <w:jc w:val="center"/>
              <w:rPr>
                <w:rFonts w:cs="Times New Roman"/>
                <w:sz w:val="20"/>
                <w:szCs w:val="20"/>
              </w:rPr>
            </w:pPr>
            <w:r w:rsidRPr="007325CA">
              <w:rPr>
                <w:sz w:val="20"/>
                <w:szCs w:val="20"/>
              </w:rPr>
              <w:t>LFNA</w:t>
            </w:r>
          </w:p>
        </w:tc>
        <w:tc>
          <w:tcPr>
            <w:tcW w:w="1418" w:type="dxa"/>
            <w:shd w:val="clear" w:color="auto" w:fill="auto"/>
          </w:tcPr>
          <w:p w14:paraId="2FACCC4E" w14:textId="77777777" w:rsidR="00E15011" w:rsidRPr="001B1DB1" w:rsidRDefault="00E15011" w:rsidP="00E15011">
            <w:pPr>
              <w:jc w:val="center"/>
              <w:rPr>
                <w:rFonts w:cs="Times New Roman"/>
                <w:bCs/>
                <w:sz w:val="20"/>
                <w:szCs w:val="20"/>
              </w:rPr>
            </w:pPr>
            <w:r w:rsidRPr="001B1DB1">
              <w:rPr>
                <w:sz w:val="20"/>
                <w:szCs w:val="20"/>
              </w:rPr>
              <w:t>01.07.2021.</w:t>
            </w:r>
          </w:p>
        </w:tc>
      </w:tr>
      <w:tr w:rsidR="00E15011" w:rsidRPr="001B1DB1" w14:paraId="5685CB5B" w14:textId="77777777" w:rsidTr="002D6D5D">
        <w:trPr>
          <w:trHeight w:val="1968"/>
        </w:trPr>
        <w:tc>
          <w:tcPr>
            <w:tcW w:w="709" w:type="dxa"/>
            <w:vMerge w:val="restart"/>
          </w:tcPr>
          <w:p w14:paraId="3BFA0408" w14:textId="768B035A" w:rsidR="00E15011" w:rsidRPr="001B1DB1" w:rsidRDefault="00E15011" w:rsidP="00E15011">
            <w:pPr>
              <w:jc w:val="center"/>
              <w:rPr>
                <w:rFonts w:cs="Times New Roman"/>
                <w:bCs/>
                <w:sz w:val="20"/>
                <w:szCs w:val="20"/>
              </w:rPr>
            </w:pPr>
            <w:r>
              <w:rPr>
                <w:rFonts w:cs="Times New Roman"/>
                <w:bCs/>
                <w:sz w:val="20"/>
                <w:szCs w:val="20"/>
              </w:rPr>
              <w:t>1.11.</w:t>
            </w:r>
          </w:p>
        </w:tc>
        <w:tc>
          <w:tcPr>
            <w:tcW w:w="3686" w:type="dxa"/>
            <w:vMerge w:val="restart"/>
            <w:shd w:val="clear" w:color="auto" w:fill="auto"/>
          </w:tcPr>
          <w:p w14:paraId="6D704069" w14:textId="1774ABEB" w:rsidR="00E15011" w:rsidRPr="001B1DB1" w:rsidRDefault="00E15011" w:rsidP="00E15011">
            <w:pPr>
              <w:jc w:val="both"/>
              <w:rPr>
                <w:rFonts w:cs="Times New Roman"/>
                <w:sz w:val="20"/>
                <w:szCs w:val="20"/>
              </w:rPr>
            </w:pPr>
            <w:r>
              <w:rPr>
                <w:rFonts w:cs="Times New Roman"/>
                <w:sz w:val="20"/>
                <w:szCs w:val="20"/>
              </w:rPr>
              <w:t>Uzturēt</w:t>
            </w:r>
            <w:r w:rsidRPr="001B1DB1">
              <w:rPr>
                <w:rFonts w:cs="Times New Roman"/>
                <w:sz w:val="20"/>
                <w:szCs w:val="20"/>
              </w:rPr>
              <w:t xml:space="preserve"> mehānism</w:t>
            </w:r>
            <w:r>
              <w:rPr>
                <w:rFonts w:cs="Times New Roman"/>
                <w:sz w:val="20"/>
                <w:szCs w:val="20"/>
              </w:rPr>
              <w:t>u</w:t>
            </w:r>
            <w:r w:rsidRPr="001B1DB1">
              <w:rPr>
                <w:rFonts w:cs="Times New Roman"/>
                <w:sz w:val="20"/>
                <w:szCs w:val="20"/>
              </w:rPr>
              <w:t xml:space="preserve">, kas nodrošina, ka visām UKI, tai skaitā pašregulācijas iestādēm, ir vienota izpratne par </w:t>
            </w:r>
            <w:r w:rsidRPr="001B1DB1">
              <w:rPr>
                <w:sz w:val="20"/>
                <w:szCs w:val="20"/>
              </w:rPr>
              <w:t xml:space="preserve">NILLTPF </w:t>
            </w:r>
            <w:r w:rsidRPr="001B1DB1">
              <w:rPr>
                <w:rFonts w:cs="Times New Roman"/>
                <w:sz w:val="20"/>
                <w:szCs w:val="20"/>
              </w:rPr>
              <w:t xml:space="preserve">riskiem un ka tiek piemēroti adekvāti preventīvie pasākumi šo risku mazināšanai. Nodrošināt informācijas apmaiņu par </w:t>
            </w:r>
            <w:r w:rsidRPr="001B1DB1">
              <w:rPr>
                <w:sz w:val="20"/>
                <w:szCs w:val="20"/>
              </w:rPr>
              <w:t xml:space="preserve">NILLTPF </w:t>
            </w:r>
            <w:r w:rsidRPr="001B1DB1">
              <w:rPr>
                <w:rFonts w:cs="Times New Roman"/>
                <w:sz w:val="20"/>
                <w:szCs w:val="20"/>
              </w:rPr>
              <w:t>riskiem.</w:t>
            </w:r>
          </w:p>
          <w:p w14:paraId="01796E64" w14:textId="0663E054" w:rsidR="00E15011" w:rsidRPr="00817435" w:rsidRDefault="00E15011" w:rsidP="00E15011">
            <w:pPr>
              <w:jc w:val="both"/>
              <w:rPr>
                <w:bCs/>
                <w:sz w:val="20"/>
                <w:szCs w:val="20"/>
              </w:rPr>
            </w:pPr>
            <w:r w:rsidRPr="001B1DB1">
              <w:rPr>
                <w:sz w:val="20"/>
                <w:szCs w:val="20"/>
              </w:rPr>
              <w:lastRenderedPageBreak/>
              <w:t>Nodrošināt informācijas apmaiņu, savstarpējo koordināciju un sadarbību UKI starpā.</w:t>
            </w:r>
          </w:p>
        </w:tc>
        <w:tc>
          <w:tcPr>
            <w:tcW w:w="1559" w:type="dxa"/>
            <w:vMerge w:val="restart"/>
          </w:tcPr>
          <w:p w14:paraId="0E28DC88" w14:textId="35CF8C83" w:rsidR="00E15011" w:rsidRDefault="00E15011" w:rsidP="00E15011">
            <w:pPr>
              <w:rPr>
                <w:rFonts w:cs="Times New Roman"/>
                <w:sz w:val="20"/>
                <w:szCs w:val="20"/>
              </w:rPr>
            </w:pPr>
            <w:r>
              <w:rPr>
                <w:rFonts w:cs="Times New Roman"/>
                <w:sz w:val="20"/>
                <w:szCs w:val="20"/>
              </w:rPr>
              <w:lastRenderedPageBreak/>
              <w:t>FATF 1.4. pamatjautājums;</w:t>
            </w:r>
          </w:p>
          <w:p w14:paraId="764E47B1" w14:textId="27457445" w:rsidR="00E15011" w:rsidRDefault="00E15011" w:rsidP="00E15011">
            <w:pPr>
              <w:rPr>
                <w:rFonts w:cs="Times New Roman"/>
                <w:sz w:val="20"/>
                <w:szCs w:val="20"/>
              </w:rPr>
            </w:pPr>
            <w:r>
              <w:rPr>
                <w:rFonts w:cs="Times New Roman"/>
                <w:sz w:val="20"/>
                <w:szCs w:val="20"/>
              </w:rPr>
              <w:t>FATF 1.5. pamatjautājums</w:t>
            </w:r>
            <w:r w:rsidR="001209FF">
              <w:rPr>
                <w:rFonts w:cs="Times New Roman"/>
                <w:sz w:val="20"/>
                <w:szCs w:val="20"/>
              </w:rPr>
              <w:t>;</w:t>
            </w:r>
          </w:p>
          <w:p w14:paraId="2A8CB0BF" w14:textId="2939DA7F" w:rsidR="00E15011" w:rsidRPr="001B1DB1" w:rsidRDefault="00E15011" w:rsidP="00E15011">
            <w:pPr>
              <w:rPr>
                <w:rFonts w:cs="Times New Roman"/>
                <w:sz w:val="20"/>
                <w:szCs w:val="20"/>
              </w:rPr>
            </w:pPr>
            <w:r>
              <w:rPr>
                <w:rFonts w:cs="Times New Roman"/>
                <w:sz w:val="20"/>
                <w:szCs w:val="20"/>
              </w:rPr>
              <w:t>FATF 2. rekomendācija</w:t>
            </w:r>
          </w:p>
        </w:tc>
        <w:tc>
          <w:tcPr>
            <w:tcW w:w="2551" w:type="dxa"/>
            <w:vMerge w:val="restart"/>
            <w:shd w:val="clear" w:color="auto" w:fill="auto"/>
          </w:tcPr>
          <w:p w14:paraId="596AEF65" w14:textId="77777777" w:rsidR="00E15011" w:rsidRPr="001B1DB1" w:rsidRDefault="00E15011" w:rsidP="00E15011">
            <w:pPr>
              <w:jc w:val="both"/>
              <w:rPr>
                <w:rFonts w:cs="Times New Roman"/>
                <w:sz w:val="20"/>
                <w:szCs w:val="20"/>
              </w:rPr>
            </w:pPr>
            <w:r w:rsidRPr="001B1DB1">
              <w:rPr>
                <w:rFonts w:cs="Times New Roman"/>
                <w:sz w:val="20"/>
                <w:szCs w:val="20"/>
              </w:rPr>
              <w:t xml:space="preserve">- Nodrošināta informācijas un labākās pieredzes apmaiņa par </w:t>
            </w:r>
            <w:r w:rsidRPr="001B1DB1">
              <w:rPr>
                <w:sz w:val="20"/>
                <w:szCs w:val="20"/>
              </w:rPr>
              <w:t xml:space="preserve">NILLTPF </w:t>
            </w:r>
            <w:r w:rsidRPr="001B1DB1">
              <w:rPr>
                <w:rFonts w:cs="Times New Roman"/>
                <w:sz w:val="20"/>
                <w:szCs w:val="20"/>
              </w:rPr>
              <w:t>novēršanas uzraudzības praksi;</w:t>
            </w:r>
          </w:p>
          <w:p w14:paraId="766ECE8E" w14:textId="77777777" w:rsidR="00E15011" w:rsidRPr="001B1DB1" w:rsidRDefault="00E15011" w:rsidP="00E15011">
            <w:pPr>
              <w:jc w:val="both"/>
              <w:rPr>
                <w:rFonts w:cs="Times New Roman"/>
                <w:sz w:val="20"/>
                <w:szCs w:val="20"/>
              </w:rPr>
            </w:pPr>
            <w:r w:rsidRPr="001B1DB1">
              <w:rPr>
                <w:rFonts w:cs="Times New Roman"/>
                <w:sz w:val="20"/>
                <w:szCs w:val="20"/>
              </w:rPr>
              <w:t xml:space="preserve">- Vienota izpratne par </w:t>
            </w:r>
            <w:r w:rsidRPr="001B1DB1">
              <w:rPr>
                <w:sz w:val="20"/>
                <w:szCs w:val="20"/>
              </w:rPr>
              <w:t xml:space="preserve">NILLTPF </w:t>
            </w:r>
            <w:r w:rsidRPr="001B1DB1">
              <w:rPr>
                <w:rFonts w:cs="Times New Roman"/>
                <w:sz w:val="20"/>
                <w:szCs w:val="20"/>
              </w:rPr>
              <w:t>riskiem;</w:t>
            </w:r>
          </w:p>
          <w:p w14:paraId="72654EA0" w14:textId="13F707C3" w:rsidR="00E15011" w:rsidRPr="001B1DB1" w:rsidRDefault="00E15011" w:rsidP="00E15011">
            <w:pPr>
              <w:jc w:val="both"/>
              <w:rPr>
                <w:sz w:val="20"/>
                <w:szCs w:val="20"/>
              </w:rPr>
            </w:pPr>
            <w:r w:rsidRPr="001B1DB1">
              <w:rPr>
                <w:rFonts w:cs="Times New Roman"/>
                <w:sz w:val="20"/>
                <w:szCs w:val="20"/>
              </w:rPr>
              <w:t xml:space="preserve">- UKI ir pieejama informācija par </w:t>
            </w:r>
            <w:r w:rsidRPr="001B1DB1">
              <w:rPr>
                <w:rFonts w:cs="Times New Roman"/>
                <w:sz w:val="20"/>
                <w:szCs w:val="20"/>
              </w:rPr>
              <w:lastRenderedPageBreak/>
              <w:t xml:space="preserve">aktuālākajiem </w:t>
            </w:r>
            <w:r w:rsidRPr="001B1DB1">
              <w:rPr>
                <w:sz w:val="20"/>
                <w:szCs w:val="20"/>
              </w:rPr>
              <w:t xml:space="preserve">NILLTPF </w:t>
            </w:r>
            <w:r w:rsidRPr="001B1DB1">
              <w:rPr>
                <w:rFonts w:cs="Times New Roman"/>
                <w:sz w:val="20"/>
                <w:szCs w:val="20"/>
              </w:rPr>
              <w:t>riskiem, tai skaitā analizētas jaunākās tendences.</w:t>
            </w:r>
          </w:p>
        </w:tc>
        <w:tc>
          <w:tcPr>
            <w:tcW w:w="2694" w:type="dxa"/>
          </w:tcPr>
          <w:p w14:paraId="06F18628" w14:textId="77777777" w:rsidR="00E15011" w:rsidRPr="001B1DB1" w:rsidRDefault="00E15011" w:rsidP="00E15011">
            <w:pPr>
              <w:jc w:val="both"/>
              <w:rPr>
                <w:rFonts w:cs="Times New Roman"/>
                <w:sz w:val="20"/>
                <w:szCs w:val="20"/>
              </w:rPr>
            </w:pPr>
            <w:r>
              <w:rPr>
                <w:rFonts w:cs="Times New Roman"/>
                <w:sz w:val="20"/>
                <w:szCs w:val="20"/>
              </w:rPr>
              <w:lastRenderedPageBreak/>
              <w:t>1. Regulāri</w:t>
            </w:r>
            <w:r w:rsidRPr="001B1DB1">
              <w:rPr>
                <w:rFonts w:cs="Times New Roman"/>
                <w:sz w:val="20"/>
                <w:szCs w:val="20"/>
              </w:rPr>
              <w:t xml:space="preserve"> organizē</w:t>
            </w:r>
            <w:r>
              <w:rPr>
                <w:rFonts w:cs="Times New Roman"/>
                <w:sz w:val="20"/>
                <w:szCs w:val="20"/>
              </w:rPr>
              <w:t>tas</w:t>
            </w:r>
            <w:r w:rsidRPr="001B1DB1">
              <w:rPr>
                <w:rFonts w:cs="Times New Roman"/>
                <w:sz w:val="20"/>
                <w:szCs w:val="20"/>
              </w:rPr>
              <w:t xml:space="preserve"> uzraudzības un kontroles institūciju sadarbības platformas sēd</w:t>
            </w:r>
            <w:r>
              <w:rPr>
                <w:rFonts w:cs="Times New Roman"/>
                <w:sz w:val="20"/>
                <w:szCs w:val="20"/>
              </w:rPr>
              <w:t>es</w:t>
            </w:r>
            <w:r w:rsidRPr="001B1DB1">
              <w:rPr>
                <w:rFonts w:cs="Times New Roman"/>
                <w:sz w:val="20"/>
                <w:szCs w:val="20"/>
              </w:rPr>
              <w:t>.</w:t>
            </w:r>
          </w:p>
          <w:p w14:paraId="33864128" w14:textId="77777777" w:rsidR="00E15011" w:rsidRPr="00053D97" w:rsidRDefault="00E15011" w:rsidP="00E15011">
            <w:pPr>
              <w:jc w:val="both"/>
              <w:rPr>
                <w:sz w:val="20"/>
                <w:szCs w:val="20"/>
              </w:rPr>
            </w:pPr>
          </w:p>
        </w:tc>
        <w:tc>
          <w:tcPr>
            <w:tcW w:w="1134" w:type="dxa"/>
            <w:shd w:val="clear" w:color="auto" w:fill="auto"/>
          </w:tcPr>
          <w:p w14:paraId="7AB4567D" w14:textId="77777777" w:rsidR="00E15011" w:rsidRPr="001B1DB1" w:rsidRDefault="00E15011" w:rsidP="00E15011">
            <w:pPr>
              <w:jc w:val="center"/>
              <w:rPr>
                <w:rFonts w:cs="Times New Roman"/>
                <w:sz w:val="20"/>
                <w:szCs w:val="20"/>
              </w:rPr>
            </w:pPr>
            <w:r w:rsidRPr="001B1DB1">
              <w:rPr>
                <w:rFonts w:cs="Times New Roman"/>
                <w:sz w:val="20"/>
                <w:szCs w:val="20"/>
              </w:rPr>
              <w:t>FID</w:t>
            </w:r>
          </w:p>
          <w:p w14:paraId="7366EED2" w14:textId="77777777" w:rsidR="00E15011" w:rsidRPr="001B1DB1" w:rsidRDefault="00E15011" w:rsidP="00E15011">
            <w:pPr>
              <w:jc w:val="center"/>
              <w:rPr>
                <w:sz w:val="20"/>
                <w:szCs w:val="20"/>
              </w:rPr>
            </w:pPr>
          </w:p>
          <w:p w14:paraId="407E627D" w14:textId="77777777" w:rsidR="00E15011" w:rsidRPr="001B1DB1" w:rsidRDefault="00E15011" w:rsidP="00E15011">
            <w:pPr>
              <w:jc w:val="center"/>
              <w:rPr>
                <w:sz w:val="20"/>
                <w:szCs w:val="20"/>
              </w:rPr>
            </w:pPr>
          </w:p>
        </w:tc>
        <w:tc>
          <w:tcPr>
            <w:tcW w:w="1275" w:type="dxa"/>
            <w:shd w:val="clear" w:color="auto" w:fill="auto"/>
          </w:tcPr>
          <w:p w14:paraId="4B952FC6" w14:textId="1AD1C87F" w:rsidR="00E15011" w:rsidRPr="007325CA" w:rsidRDefault="00E15011" w:rsidP="00E15011">
            <w:pPr>
              <w:jc w:val="center"/>
              <w:rPr>
                <w:sz w:val="20"/>
                <w:szCs w:val="20"/>
              </w:rPr>
            </w:pPr>
            <w:r w:rsidRPr="002F45D0">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35569B04" w14:textId="5364DA45" w:rsidR="00E15011" w:rsidRPr="001B1DB1" w:rsidRDefault="00C461C1" w:rsidP="00E15011">
            <w:pPr>
              <w:jc w:val="center"/>
              <w:rPr>
                <w:sz w:val="20"/>
                <w:szCs w:val="20"/>
              </w:rPr>
            </w:pPr>
            <w:r w:rsidRPr="00C461C1">
              <w:rPr>
                <w:rFonts w:cs="Times New Roman"/>
                <w:bCs/>
                <w:sz w:val="20"/>
                <w:szCs w:val="20"/>
              </w:rPr>
              <w:t>10 reizes gadā</w:t>
            </w:r>
          </w:p>
        </w:tc>
      </w:tr>
      <w:tr w:rsidR="00E15011" w:rsidRPr="001B1DB1" w14:paraId="5E3BBBC6" w14:textId="77777777" w:rsidTr="00002D3D">
        <w:trPr>
          <w:trHeight w:val="1967"/>
        </w:trPr>
        <w:tc>
          <w:tcPr>
            <w:tcW w:w="709" w:type="dxa"/>
            <w:vMerge/>
          </w:tcPr>
          <w:p w14:paraId="7D97D60A" w14:textId="77777777" w:rsidR="00E15011" w:rsidRDefault="00E15011" w:rsidP="00E15011">
            <w:pPr>
              <w:jc w:val="center"/>
              <w:rPr>
                <w:rFonts w:cs="Times New Roman"/>
                <w:bCs/>
                <w:sz w:val="20"/>
                <w:szCs w:val="20"/>
              </w:rPr>
            </w:pPr>
          </w:p>
        </w:tc>
        <w:tc>
          <w:tcPr>
            <w:tcW w:w="3686" w:type="dxa"/>
            <w:vMerge/>
            <w:shd w:val="clear" w:color="auto" w:fill="auto"/>
          </w:tcPr>
          <w:p w14:paraId="44FB3BD0" w14:textId="77777777" w:rsidR="00E15011" w:rsidRDefault="00E15011" w:rsidP="00E15011">
            <w:pPr>
              <w:jc w:val="both"/>
              <w:rPr>
                <w:rFonts w:cs="Times New Roman"/>
                <w:sz w:val="20"/>
                <w:szCs w:val="20"/>
              </w:rPr>
            </w:pPr>
          </w:p>
        </w:tc>
        <w:tc>
          <w:tcPr>
            <w:tcW w:w="1559" w:type="dxa"/>
            <w:vMerge/>
          </w:tcPr>
          <w:p w14:paraId="75326FE7" w14:textId="77777777" w:rsidR="00E15011" w:rsidRPr="001B1DB1" w:rsidRDefault="00E15011" w:rsidP="00E15011">
            <w:pPr>
              <w:rPr>
                <w:rFonts w:cs="Times New Roman"/>
                <w:sz w:val="20"/>
                <w:szCs w:val="20"/>
              </w:rPr>
            </w:pPr>
          </w:p>
        </w:tc>
        <w:tc>
          <w:tcPr>
            <w:tcW w:w="2551" w:type="dxa"/>
            <w:vMerge/>
            <w:shd w:val="clear" w:color="auto" w:fill="auto"/>
          </w:tcPr>
          <w:p w14:paraId="2AFBECDA" w14:textId="77777777" w:rsidR="00E15011" w:rsidRPr="001B1DB1" w:rsidRDefault="00E15011" w:rsidP="00E15011">
            <w:pPr>
              <w:jc w:val="both"/>
              <w:rPr>
                <w:rFonts w:cs="Times New Roman"/>
                <w:sz w:val="20"/>
                <w:szCs w:val="20"/>
              </w:rPr>
            </w:pPr>
          </w:p>
        </w:tc>
        <w:tc>
          <w:tcPr>
            <w:tcW w:w="2694" w:type="dxa"/>
          </w:tcPr>
          <w:p w14:paraId="1DBA2B75" w14:textId="3DE8F175" w:rsidR="00E15011" w:rsidRDefault="00E15011" w:rsidP="00E15011">
            <w:pPr>
              <w:jc w:val="both"/>
              <w:rPr>
                <w:rFonts w:cs="Times New Roman"/>
                <w:sz w:val="20"/>
                <w:szCs w:val="20"/>
              </w:rPr>
            </w:pPr>
            <w:r>
              <w:rPr>
                <w:rFonts w:cs="Times New Roman"/>
                <w:sz w:val="20"/>
                <w:szCs w:val="20"/>
              </w:rPr>
              <w:t xml:space="preserve">2. </w:t>
            </w:r>
            <w:r w:rsidRPr="001B1DB1">
              <w:rPr>
                <w:rFonts w:cs="Times New Roman"/>
                <w:sz w:val="20"/>
                <w:szCs w:val="20"/>
              </w:rPr>
              <w:t xml:space="preserve">Veicināta vienota izpratne par </w:t>
            </w:r>
            <w:r w:rsidRPr="001B1DB1">
              <w:rPr>
                <w:sz w:val="20"/>
                <w:szCs w:val="20"/>
              </w:rPr>
              <w:t xml:space="preserve">NILLTPF </w:t>
            </w:r>
            <w:r w:rsidRPr="001B1DB1">
              <w:rPr>
                <w:rFonts w:cs="Times New Roman"/>
                <w:sz w:val="20"/>
                <w:szCs w:val="20"/>
              </w:rPr>
              <w:t xml:space="preserve">riskiem, vienota pieeja uzraudzības un kontroles pienākumu izpildē, t.sk. izstrādāti vienoti FATF standartiem atbilstoši </w:t>
            </w:r>
            <w:r w:rsidRPr="00053D97">
              <w:rPr>
                <w:rFonts w:cs="Times New Roman"/>
                <w:sz w:val="20"/>
                <w:szCs w:val="20"/>
              </w:rPr>
              <w:t>uzraudzības procesuālie dokumenti, vadlīnijas visās būtiskākajās uzraudzības jomās.</w:t>
            </w:r>
          </w:p>
        </w:tc>
        <w:tc>
          <w:tcPr>
            <w:tcW w:w="1134" w:type="dxa"/>
            <w:shd w:val="clear" w:color="auto" w:fill="auto"/>
          </w:tcPr>
          <w:p w14:paraId="0A21ED31" w14:textId="59FCFC68" w:rsidR="00E15011" w:rsidRPr="001B1DB1" w:rsidRDefault="00E15011" w:rsidP="00E15011">
            <w:pPr>
              <w:jc w:val="center"/>
              <w:rPr>
                <w:rFonts w:cs="Times New Roman"/>
                <w:sz w:val="20"/>
                <w:szCs w:val="20"/>
              </w:rPr>
            </w:pPr>
            <w:r w:rsidRPr="002F45D0">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1AF060A2" w14:textId="77777777" w:rsidR="00E15011" w:rsidRPr="001B1DB1" w:rsidRDefault="00E15011" w:rsidP="00E15011">
            <w:pPr>
              <w:jc w:val="center"/>
              <w:rPr>
                <w:rFonts w:cs="Times New Roman"/>
                <w:sz w:val="20"/>
                <w:szCs w:val="20"/>
              </w:rPr>
            </w:pPr>
            <w:r w:rsidRPr="001B1DB1">
              <w:rPr>
                <w:rFonts w:cs="Times New Roman"/>
                <w:sz w:val="20"/>
                <w:szCs w:val="20"/>
              </w:rPr>
              <w:t>FID</w:t>
            </w:r>
          </w:p>
          <w:p w14:paraId="5295216E" w14:textId="77777777" w:rsidR="00E15011" w:rsidRPr="002F45D0" w:rsidRDefault="00E15011" w:rsidP="00E15011">
            <w:pPr>
              <w:jc w:val="center"/>
              <w:rPr>
                <w:sz w:val="20"/>
                <w:szCs w:val="20"/>
              </w:rPr>
            </w:pPr>
          </w:p>
        </w:tc>
        <w:tc>
          <w:tcPr>
            <w:tcW w:w="1418" w:type="dxa"/>
            <w:shd w:val="clear" w:color="auto" w:fill="auto"/>
          </w:tcPr>
          <w:p w14:paraId="3E304E61" w14:textId="12B7EE09" w:rsidR="00E15011" w:rsidRPr="001B1DB1" w:rsidRDefault="00E15011" w:rsidP="00E15011">
            <w:pPr>
              <w:jc w:val="center"/>
              <w:rPr>
                <w:rFonts w:cs="Times New Roman"/>
                <w:bCs/>
                <w:sz w:val="20"/>
                <w:szCs w:val="20"/>
              </w:rPr>
            </w:pPr>
            <w:r w:rsidRPr="001B1DB1">
              <w:rPr>
                <w:rFonts w:cs="Times New Roman"/>
                <w:bCs/>
                <w:sz w:val="20"/>
                <w:szCs w:val="20"/>
              </w:rPr>
              <w:t>Pastāvīgi</w:t>
            </w:r>
          </w:p>
        </w:tc>
      </w:tr>
      <w:tr w:rsidR="00E15011" w:rsidRPr="001B1DB1" w14:paraId="2659FDDD" w14:textId="77777777" w:rsidTr="00002D3D">
        <w:trPr>
          <w:trHeight w:val="543"/>
        </w:trPr>
        <w:tc>
          <w:tcPr>
            <w:tcW w:w="709" w:type="dxa"/>
          </w:tcPr>
          <w:p w14:paraId="64418231" w14:textId="4E0C9326" w:rsidR="00E15011" w:rsidRPr="001B1DB1" w:rsidRDefault="00E15011" w:rsidP="00E15011">
            <w:pPr>
              <w:jc w:val="center"/>
              <w:rPr>
                <w:rFonts w:cs="Times New Roman"/>
                <w:bCs/>
                <w:sz w:val="20"/>
                <w:szCs w:val="20"/>
              </w:rPr>
            </w:pPr>
            <w:r>
              <w:rPr>
                <w:rFonts w:cs="Times New Roman"/>
                <w:bCs/>
                <w:sz w:val="20"/>
                <w:szCs w:val="20"/>
              </w:rPr>
              <w:t>1.12.</w:t>
            </w:r>
          </w:p>
        </w:tc>
        <w:tc>
          <w:tcPr>
            <w:tcW w:w="3686" w:type="dxa"/>
            <w:shd w:val="clear" w:color="auto" w:fill="auto"/>
          </w:tcPr>
          <w:p w14:paraId="402C7754" w14:textId="290D66E5" w:rsidR="00E15011" w:rsidRPr="00817435" w:rsidRDefault="00E15011" w:rsidP="00245B03">
            <w:pPr>
              <w:jc w:val="both"/>
              <w:rPr>
                <w:bCs/>
                <w:sz w:val="20"/>
                <w:szCs w:val="20"/>
              </w:rPr>
            </w:pPr>
            <w:r w:rsidRPr="001B1DB1">
              <w:rPr>
                <w:rFonts w:cs="Times New Roman"/>
                <w:bCs/>
                <w:sz w:val="20"/>
                <w:szCs w:val="20"/>
              </w:rPr>
              <w:t xml:space="preserve">Atkārtoti izvērtēt un noteikt Latvijas riska profilu, lai </w:t>
            </w:r>
            <w:r w:rsidR="00245B03" w:rsidRPr="001B1DB1">
              <w:rPr>
                <w:rFonts w:cs="Times New Roman"/>
                <w:bCs/>
                <w:sz w:val="20"/>
                <w:szCs w:val="20"/>
              </w:rPr>
              <w:t xml:space="preserve">atbilstoši </w:t>
            </w:r>
            <w:r w:rsidR="00245B03">
              <w:rPr>
                <w:rFonts w:cs="Times New Roman"/>
                <w:bCs/>
                <w:sz w:val="20"/>
                <w:szCs w:val="20"/>
              </w:rPr>
              <w:t>aktuālajiem riskiem</w:t>
            </w:r>
            <w:r w:rsidR="00245B03" w:rsidRPr="001B1DB1">
              <w:rPr>
                <w:rFonts w:cs="Times New Roman"/>
                <w:bCs/>
                <w:sz w:val="20"/>
                <w:szCs w:val="20"/>
              </w:rPr>
              <w:t xml:space="preserve"> </w:t>
            </w:r>
            <w:r w:rsidRPr="001B1DB1">
              <w:rPr>
                <w:rFonts w:cs="Times New Roman"/>
                <w:bCs/>
                <w:sz w:val="20"/>
                <w:szCs w:val="20"/>
              </w:rPr>
              <w:t xml:space="preserve">reaģētu uz situācijas izmaiņām un </w:t>
            </w:r>
            <w:r w:rsidR="00245B03">
              <w:rPr>
                <w:rFonts w:cs="Times New Roman"/>
                <w:bCs/>
                <w:sz w:val="20"/>
                <w:szCs w:val="20"/>
              </w:rPr>
              <w:t xml:space="preserve">nodrošinātu NILL konfiskāciju un </w:t>
            </w:r>
            <w:r w:rsidRPr="001B1DB1">
              <w:rPr>
                <w:rFonts w:cs="Times New Roman"/>
                <w:bCs/>
                <w:sz w:val="20"/>
                <w:szCs w:val="20"/>
              </w:rPr>
              <w:t>noteiktu prioritātes NILL izmeklēšanā</w:t>
            </w:r>
            <w:r>
              <w:rPr>
                <w:rFonts w:cs="Times New Roman"/>
                <w:bCs/>
                <w:sz w:val="20"/>
                <w:szCs w:val="20"/>
              </w:rPr>
              <w:t>.</w:t>
            </w:r>
            <w:r w:rsidRPr="001B1DB1">
              <w:rPr>
                <w:rFonts w:cs="Times New Roman"/>
                <w:bCs/>
                <w:sz w:val="20"/>
                <w:szCs w:val="20"/>
              </w:rPr>
              <w:t xml:space="preserve"> </w:t>
            </w:r>
          </w:p>
        </w:tc>
        <w:tc>
          <w:tcPr>
            <w:tcW w:w="1559" w:type="dxa"/>
          </w:tcPr>
          <w:p w14:paraId="609EA3B8" w14:textId="6ED19835" w:rsidR="00E15011" w:rsidRDefault="00E15011" w:rsidP="00E15011">
            <w:pPr>
              <w:rPr>
                <w:rFonts w:cs="Times New Roman"/>
                <w:sz w:val="20"/>
                <w:szCs w:val="20"/>
              </w:rPr>
            </w:pPr>
            <w:r>
              <w:rPr>
                <w:rFonts w:cs="Times New Roman"/>
                <w:sz w:val="20"/>
                <w:szCs w:val="20"/>
              </w:rPr>
              <w:t>FATF 1.2. pamatjautājums;</w:t>
            </w:r>
          </w:p>
          <w:p w14:paraId="04EAB014" w14:textId="333C8EC5" w:rsidR="00E15011" w:rsidRPr="001B1DB1" w:rsidRDefault="00E15011" w:rsidP="00E15011">
            <w:pPr>
              <w:rPr>
                <w:rFonts w:cs="Times New Roman"/>
                <w:sz w:val="20"/>
                <w:szCs w:val="20"/>
              </w:rPr>
            </w:pPr>
            <w:r>
              <w:rPr>
                <w:rFonts w:cs="Times New Roman"/>
                <w:sz w:val="20"/>
                <w:szCs w:val="20"/>
              </w:rPr>
              <w:t>FATF 1. rekomendācija</w:t>
            </w:r>
            <w:r w:rsidR="001209FF">
              <w:rPr>
                <w:rFonts w:cs="Times New Roman"/>
                <w:sz w:val="20"/>
                <w:szCs w:val="20"/>
              </w:rPr>
              <w:t>.</w:t>
            </w:r>
          </w:p>
        </w:tc>
        <w:tc>
          <w:tcPr>
            <w:tcW w:w="2551" w:type="dxa"/>
            <w:shd w:val="clear" w:color="auto" w:fill="auto"/>
          </w:tcPr>
          <w:p w14:paraId="3A71AB95" w14:textId="023130A4" w:rsidR="00E15011" w:rsidRPr="001B1DB1" w:rsidRDefault="00E15011" w:rsidP="00245B03">
            <w:pPr>
              <w:jc w:val="both"/>
              <w:rPr>
                <w:sz w:val="20"/>
                <w:szCs w:val="20"/>
              </w:rPr>
            </w:pPr>
            <w:r w:rsidRPr="008B395B">
              <w:rPr>
                <w:rFonts w:cs="Times New Roman"/>
                <w:sz w:val="20"/>
                <w:szCs w:val="20"/>
              </w:rPr>
              <w:t xml:space="preserve">Noteiktas NILL izmeklēšanas prioritātes </w:t>
            </w:r>
            <w:r w:rsidR="00245B03" w:rsidRPr="00245B03">
              <w:rPr>
                <w:rFonts w:cs="Times New Roman"/>
                <w:sz w:val="20"/>
                <w:szCs w:val="20"/>
              </w:rPr>
              <w:t>un nodrošināt</w:t>
            </w:r>
            <w:r w:rsidR="00245B03">
              <w:rPr>
                <w:rFonts w:cs="Times New Roman"/>
                <w:sz w:val="20"/>
                <w:szCs w:val="20"/>
              </w:rPr>
              <w:t>a</w:t>
            </w:r>
            <w:r w:rsidR="00245B03" w:rsidRPr="00245B03">
              <w:rPr>
                <w:rFonts w:cs="Times New Roman"/>
                <w:sz w:val="20"/>
                <w:szCs w:val="20"/>
              </w:rPr>
              <w:t xml:space="preserve"> </w:t>
            </w:r>
            <w:r w:rsidR="00245B03" w:rsidRPr="008B395B">
              <w:rPr>
                <w:rFonts w:cs="Times New Roman"/>
                <w:sz w:val="20"/>
                <w:szCs w:val="20"/>
              </w:rPr>
              <w:t xml:space="preserve">NILL </w:t>
            </w:r>
            <w:r w:rsidR="00245B03" w:rsidRPr="00245B03">
              <w:rPr>
                <w:rFonts w:cs="Times New Roman"/>
                <w:sz w:val="20"/>
                <w:szCs w:val="20"/>
              </w:rPr>
              <w:t>konfiskācij</w:t>
            </w:r>
            <w:r w:rsidR="00245B03">
              <w:rPr>
                <w:rFonts w:cs="Times New Roman"/>
                <w:sz w:val="20"/>
                <w:szCs w:val="20"/>
              </w:rPr>
              <w:t>a</w:t>
            </w:r>
            <w:r w:rsidR="00245B03" w:rsidRPr="00245B03">
              <w:rPr>
                <w:rFonts w:cs="Times New Roman"/>
                <w:sz w:val="20"/>
                <w:szCs w:val="20"/>
              </w:rPr>
              <w:t xml:space="preserve"> </w:t>
            </w:r>
            <w:r w:rsidRPr="008B395B">
              <w:rPr>
                <w:rFonts w:cs="Times New Roman"/>
                <w:sz w:val="20"/>
                <w:szCs w:val="20"/>
              </w:rPr>
              <w:t>atbilstoši Latvijas riska profilam.</w:t>
            </w:r>
            <w:r w:rsidRPr="001B1DB1">
              <w:rPr>
                <w:rFonts w:cs="Times New Roman"/>
                <w:sz w:val="20"/>
                <w:szCs w:val="20"/>
              </w:rPr>
              <w:t xml:space="preserve"> </w:t>
            </w:r>
          </w:p>
        </w:tc>
        <w:tc>
          <w:tcPr>
            <w:tcW w:w="2694" w:type="dxa"/>
          </w:tcPr>
          <w:p w14:paraId="35D05570" w14:textId="5C9F2E01" w:rsidR="00E15011" w:rsidRPr="00053D97" w:rsidRDefault="00E15011" w:rsidP="00E15011">
            <w:pPr>
              <w:jc w:val="both"/>
              <w:rPr>
                <w:sz w:val="20"/>
                <w:szCs w:val="20"/>
              </w:rPr>
            </w:pPr>
            <w:r>
              <w:rPr>
                <w:rFonts w:cs="Times New Roman"/>
                <w:sz w:val="20"/>
                <w:szCs w:val="20"/>
              </w:rPr>
              <w:t xml:space="preserve">Aktualizēts </w:t>
            </w:r>
            <w:r w:rsidRPr="004D11F9">
              <w:rPr>
                <w:rFonts w:cs="Times New Roman"/>
                <w:sz w:val="20"/>
                <w:szCs w:val="20"/>
              </w:rPr>
              <w:t>Latvijas riska profil</w:t>
            </w:r>
            <w:r>
              <w:rPr>
                <w:rFonts w:cs="Times New Roman"/>
                <w:sz w:val="20"/>
                <w:szCs w:val="20"/>
              </w:rPr>
              <w:t>s.</w:t>
            </w:r>
          </w:p>
        </w:tc>
        <w:tc>
          <w:tcPr>
            <w:tcW w:w="1134" w:type="dxa"/>
            <w:shd w:val="clear" w:color="auto" w:fill="auto"/>
          </w:tcPr>
          <w:p w14:paraId="146A6928" w14:textId="53FDAE3E" w:rsidR="00E15011" w:rsidRPr="001B1DB1" w:rsidRDefault="00E15011" w:rsidP="00E15011">
            <w:pPr>
              <w:jc w:val="center"/>
              <w:rPr>
                <w:sz w:val="20"/>
                <w:szCs w:val="20"/>
              </w:rPr>
            </w:pPr>
            <w:r>
              <w:rPr>
                <w:rFonts w:cs="Times New Roman"/>
                <w:bCs/>
                <w:sz w:val="20"/>
                <w:szCs w:val="20"/>
              </w:rPr>
              <w:t>FID</w:t>
            </w:r>
          </w:p>
        </w:tc>
        <w:tc>
          <w:tcPr>
            <w:tcW w:w="1275" w:type="dxa"/>
            <w:shd w:val="clear" w:color="auto" w:fill="auto"/>
          </w:tcPr>
          <w:p w14:paraId="5150D13D" w14:textId="46127137" w:rsidR="00E15011" w:rsidRPr="007325CA" w:rsidRDefault="00E15011" w:rsidP="00E15011">
            <w:pPr>
              <w:jc w:val="center"/>
              <w:rPr>
                <w:sz w:val="20"/>
                <w:szCs w:val="20"/>
              </w:rPr>
            </w:pPr>
            <w:r>
              <w:rPr>
                <w:rFonts w:cs="Times New Roman"/>
                <w:bCs/>
                <w:sz w:val="20"/>
                <w:szCs w:val="20"/>
              </w:rPr>
              <w:t>ĢP</w:t>
            </w:r>
            <w:r w:rsidRPr="004D11F9">
              <w:rPr>
                <w:rFonts w:cs="Times New Roman"/>
                <w:bCs/>
                <w:sz w:val="20"/>
                <w:szCs w:val="20"/>
              </w:rPr>
              <w:t xml:space="preserve">, izmeklēšanas iestādes, </w:t>
            </w:r>
            <w:r>
              <w:rPr>
                <w:rFonts w:cs="Times New Roman"/>
                <w:bCs/>
                <w:sz w:val="20"/>
                <w:szCs w:val="20"/>
              </w:rPr>
              <w:t>TM, IeM</w:t>
            </w:r>
          </w:p>
        </w:tc>
        <w:tc>
          <w:tcPr>
            <w:tcW w:w="1418" w:type="dxa"/>
            <w:shd w:val="clear" w:color="auto" w:fill="auto"/>
          </w:tcPr>
          <w:p w14:paraId="2477E35C" w14:textId="4C8E2C03" w:rsidR="00E15011" w:rsidRPr="001B1DB1" w:rsidRDefault="00E15011" w:rsidP="00E15011">
            <w:pPr>
              <w:jc w:val="center"/>
              <w:rPr>
                <w:sz w:val="20"/>
                <w:szCs w:val="20"/>
              </w:rPr>
            </w:pPr>
            <w:r>
              <w:rPr>
                <w:rFonts w:cs="Times New Roman"/>
                <w:bCs/>
                <w:sz w:val="20"/>
                <w:szCs w:val="20"/>
              </w:rPr>
              <w:t>30.06.2021.</w:t>
            </w:r>
          </w:p>
        </w:tc>
      </w:tr>
      <w:tr w:rsidR="00E15011" w:rsidRPr="001B1DB1" w14:paraId="4BE1C173" w14:textId="77777777" w:rsidTr="00002D3D">
        <w:trPr>
          <w:trHeight w:val="543"/>
        </w:trPr>
        <w:tc>
          <w:tcPr>
            <w:tcW w:w="709" w:type="dxa"/>
          </w:tcPr>
          <w:p w14:paraId="7B3311D7" w14:textId="5375F198" w:rsidR="00E15011" w:rsidRPr="001B1DB1" w:rsidRDefault="00E15011" w:rsidP="00E15011">
            <w:pPr>
              <w:jc w:val="center"/>
              <w:rPr>
                <w:rFonts w:cs="Times New Roman"/>
                <w:bCs/>
                <w:sz w:val="20"/>
                <w:szCs w:val="20"/>
              </w:rPr>
            </w:pPr>
            <w:r>
              <w:rPr>
                <w:rFonts w:cs="Times New Roman"/>
                <w:bCs/>
                <w:sz w:val="20"/>
                <w:szCs w:val="20"/>
              </w:rPr>
              <w:t>1.13.</w:t>
            </w:r>
          </w:p>
        </w:tc>
        <w:tc>
          <w:tcPr>
            <w:tcW w:w="3686" w:type="dxa"/>
            <w:shd w:val="clear" w:color="auto" w:fill="auto"/>
          </w:tcPr>
          <w:p w14:paraId="71405BCA" w14:textId="0A7C78AE" w:rsidR="00E15011" w:rsidRDefault="00E15011" w:rsidP="002A297E">
            <w:pPr>
              <w:jc w:val="both"/>
              <w:rPr>
                <w:bCs/>
                <w:sz w:val="20"/>
                <w:szCs w:val="20"/>
              </w:rPr>
            </w:pPr>
            <w:r w:rsidRPr="001B1DB1">
              <w:rPr>
                <w:rFonts w:cs="Times New Roman"/>
                <w:bCs/>
                <w:sz w:val="20"/>
                <w:szCs w:val="20"/>
              </w:rPr>
              <w:t>NILL</w:t>
            </w:r>
            <w:r>
              <w:rPr>
                <w:rFonts w:cs="Times New Roman"/>
                <w:bCs/>
                <w:sz w:val="20"/>
                <w:szCs w:val="20"/>
              </w:rPr>
              <w:t>TPF</w:t>
            </w:r>
            <w:r w:rsidRPr="001B1DB1">
              <w:rPr>
                <w:rFonts w:cs="Times New Roman"/>
                <w:bCs/>
                <w:sz w:val="20"/>
                <w:szCs w:val="20"/>
              </w:rPr>
              <w:t xml:space="preserve"> apkarošanā iesaistītajām institūcijām aktuālo izmeklēšanu ietvaros pēc iesaistītās institūcijas iniciatīvas sasaukt </w:t>
            </w:r>
            <w:r>
              <w:rPr>
                <w:rFonts w:cs="Times New Roman"/>
                <w:bCs/>
                <w:sz w:val="20"/>
                <w:szCs w:val="20"/>
              </w:rPr>
              <w:t xml:space="preserve">FID </w:t>
            </w:r>
            <w:r w:rsidRPr="001B1DB1">
              <w:rPr>
                <w:rFonts w:cs="Times New Roman"/>
                <w:bCs/>
                <w:sz w:val="20"/>
                <w:szCs w:val="20"/>
              </w:rPr>
              <w:t>sadarbības koordinācijas grupu.</w:t>
            </w:r>
          </w:p>
        </w:tc>
        <w:tc>
          <w:tcPr>
            <w:tcW w:w="1559" w:type="dxa"/>
          </w:tcPr>
          <w:p w14:paraId="4D0E49CC" w14:textId="55437096" w:rsidR="00E15011" w:rsidRPr="001B1DB1" w:rsidRDefault="00E15011" w:rsidP="00E15011">
            <w:pPr>
              <w:rPr>
                <w:rFonts w:cs="Times New Roman"/>
                <w:sz w:val="20"/>
                <w:szCs w:val="20"/>
              </w:rPr>
            </w:pPr>
            <w:r>
              <w:rPr>
                <w:rFonts w:cs="Times New Roman"/>
                <w:sz w:val="20"/>
                <w:szCs w:val="20"/>
              </w:rPr>
              <w:t>FATF 2. rekomendācija</w:t>
            </w:r>
            <w:r w:rsidR="001209FF">
              <w:rPr>
                <w:rFonts w:cs="Times New Roman"/>
                <w:sz w:val="20"/>
                <w:szCs w:val="20"/>
              </w:rPr>
              <w:t>.</w:t>
            </w:r>
          </w:p>
        </w:tc>
        <w:tc>
          <w:tcPr>
            <w:tcW w:w="2551" w:type="dxa"/>
            <w:shd w:val="clear" w:color="auto" w:fill="auto"/>
          </w:tcPr>
          <w:p w14:paraId="0CB88F9C" w14:textId="77777777" w:rsidR="00E15011" w:rsidRDefault="00E15011" w:rsidP="00E15011">
            <w:pPr>
              <w:jc w:val="both"/>
              <w:rPr>
                <w:rFonts w:cs="Times New Roman"/>
                <w:sz w:val="20"/>
                <w:szCs w:val="20"/>
              </w:rPr>
            </w:pPr>
            <w:r>
              <w:rPr>
                <w:rFonts w:cs="Times New Roman"/>
                <w:sz w:val="20"/>
                <w:szCs w:val="20"/>
              </w:rPr>
              <w:t>Turpināta</w:t>
            </w:r>
            <w:r w:rsidRPr="001B1DB1">
              <w:rPr>
                <w:rFonts w:cs="Times New Roman"/>
                <w:sz w:val="20"/>
                <w:szCs w:val="20"/>
              </w:rPr>
              <w:t xml:space="preserve"> sadarbības koordinācijas grupu praktiskā darbība.</w:t>
            </w:r>
          </w:p>
          <w:p w14:paraId="3831E2DD" w14:textId="2170CC58" w:rsidR="00E15011" w:rsidRPr="001B1DB1" w:rsidRDefault="00E15011" w:rsidP="00E15011">
            <w:pPr>
              <w:jc w:val="both"/>
              <w:rPr>
                <w:sz w:val="20"/>
                <w:szCs w:val="20"/>
              </w:rPr>
            </w:pPr>
            <w:r>
              <w:rPr>
                <w:rFonts w:cs="Times New Roman"/>
                <w:sz w:val="20"/>
                <w:szCs w:val="20"/>
              </w:rPr>
              <w:t>Nodrošināta e</w:t>
            </w:r>
            <w:r w:rsidRPr="001B1DB1">
              <w:rPr>
                <w:rFonts w:cs="Times New Roman"/>
                <w:sz w:val="20"/>
                <w:szCs w:val="20"/>
              </w:rPr>
              <w:t>fektīvāka informācijas apmaiņa starp publisko un privāto sektoru.</w:t>
            </w:r>
          </w:p>
        </w:tc>
        <w:tc>
          <w:tcPr>
            <w:tcW w:w="2694" w:type="dxa"/>
          </w:tcPr>
          <w:p w14:paraId="2BE74758" w14:textId="17EE2ABA" w:rsidR="00E15011" w:rsidRDefault="00E15011" w:rsidP="00E15011">
            <w:pPr>
              <w:jc w:val="both"/>
              <w:rPr>
                <w:rFonts w:cs="Times New Roman"/>
                <w:sz w:val="20"/>
                <w:szCs w:val="20"/>
              </w:rPr>
            </w:pPr>
            <w:r>
              <w:rPr>
                <w:rFonts w:cs="Times New Roman"/>
                <w:sz w:val="20"/>
                <w:szCs w:val="20"/>
              </w:rPr>
              <w:t>Pastāvīgi turpinātas FID sadarbības koordinācijas grupas sanāksmes.</w:t>
            </w:r>
          </w:p>
          <w:p w14:paraId="2614618A" w14:textId="02504716" w:rsidR="00E15011" w:rsidRDefault="00E15011" w:rsidP="00E15011">
            <w:pPr>
              <w:jc w:val="both"/>
              <w:rPr>
                <w:rFonts w:cs="Times New Roman"/>
                <w:sz w:val="20"/>
                <w:szCs w:val="20"/>
              </w:rPr>
            </w:pPr>
            <w:r w:rsidRPr="001B1DB1">
              <w:rPr>
                <w:rFonts w:cs="Times New Roman"/>
                <w:sz w:val="20"/>
                <w:szCs w:val="20"/>
              </w:rPr>
              <w:t xml:space="preserve">Regulāras </w:t>
            </w:r>
            <w:r>
              <w:rPr>
                <w:rFonts w:cs="Times New Roman"/>
                <w:sz w:val="20"/>
                <w:szCs w:val="20"/>
              </w:rPr>
              <w:t>FID s</w:t>
            </w:r>
            <w:r w:rsidRPr="001B1DB1">
              <w:rPr>
                <w:rFonts w:cs="Times New Roman"/>
                <w:sz w:val="20"/>
                <w:szCs w:val="20"/>
              </w:rPr>
              <w:t>adarbības koordinācijas grupas sanāksmes.</w:t>
            </w:r>
          </w:p>
          <w:p w14:paraId="6CD90443" w14:textId="76EEA0DA" w:rsidR="00E15011" w:rsidRPr="00053D97" w:rsidRDefault="00E15011" w:rsidP="00E15011">
            <w:pPr>
              <w:jc w:val="both"/>
              <w:rPr>
                <w:sz w:val="20"/>
                <w:szCs w:val="20"/>
              </w:rPr>
            </w:pPr>
            <w:r w:rsidRPr="001B1DB1">
              <w:rPr>
                <w:rFonts w:cs="Times New Roman"/>
                <w:sz w:val="20"/>
                <w:szCs w:val="20"/>
              </w:rPr>
              <w:t>Dalība starptautiska mēroga publiskās – privātās partnerības formātos.</w:t>
            </w:r>
          </w:p>
        </w:tc>
        <w:tc>
          <w:tcPr>
            <w:tcW w:w="1134" w:type="dxa"/>
            <w:shd w:val="clear" w:color="auto" w:fill="auto"/>
          </w:tcPr>
          <w:p w14:paraId="5C855F39" w14:textId="4E6E5C24" w:rsidR="00E15011" w:rsidRPr="001B1DB1" w:rsidRDefault="00E15011" w:rsidP="00E15011">
            <w:pPr>
              <w:jc w:val="center"/>
              <w:rPr>
                <w:sz w:val="20"/>
                <w:szCs w:val="20"/>
              </w:rPr>
            </w:pPr>
            <w:r w:rsidRPr="001B1DB1">
              <w:rPr>
                <w:rFonts w:cs="Times New Roman"/>
                <w:bCs/>
                <w:sz w:val="20"/>
                <w:szCs w:val="20"/>
              </w:rPr>
              <w:t>FID</w:t>
            </w:r>
          </w:p>
        </w:tc>
        <w:tc>
          <w:tcPr>
            <w:tcW w:w="1275" w:type="dxa"/>
            <w:shd w:val="clear" w:color="auto" w:fill="auto"/>
          </w:tcPr>
          <w:p w14:paraId="03A2E24E" w14:textId="4D79E11E" w:rsidR="00E15011" w:rsidRPr="007325CA" w:rsidRDefault="00E15011" w:rsidP="00E15011">
            <w:pPr>
              <w:jc w:val="center"/>
              <w:rPr>
                <w:sz w:val="20"/>
                <w:szCs w:val="20"/>
              </w:rPr>
            </w:pPr>
            <w:r>
              <w:rPr>
                <w:rFonts w:cs="Times New Roman"/>
                <w:bCs/>
                <w:sz w:val="20"/>
                <w:szCs w:val="20"/>
              </w:rPr>
              <w:t xml:space="preserve">UKI, </w:t>
            </w:r>
            <w:r w:rsidRPr="001B1DB1">
              <w:rPr>
                <w:rFonts w:cs="Times New Roman"/>
                <w:bCs/>
                <w:sz w:val="20"/>
                <w:szCs w:val="20"/>
              </w:rPr>
              <w:t xml:space="preserve">VP, VDD, VID, KNAB, VRS, IDB, </w:t>
            </w:r>
            <w:r w:rsidRPr="00833304">
              <w:rPr>
                <w:rFonts w:cs="Times New Roman"/>
                <w:bCs/>
                <w:sz w:val="20"/>
                <w:szCs w:val="20"/>
              </w:rPr>
              <w:t>MP</w:t>
            </w:r>
            <w:r w:rsidRPr="001B1DB1">
              <w:rPr>
                <w:rFonts w:cs="Times New Roman"/>
                <w:bCs/>
                <w:sz w:val="20"/>
                <w:szCs w:val="20"/>
              </w:rPr>
              <w:t>, IeVP, ĢP un likuma subjekti</w:t>
            </w:r>
            <w:r>
              <w:rPr>
                <w:rFonts w:cs="Times New Roman"/>
                <w:bCs/>
                <w:sz w:val="20"/>
                <w:szCs w:val="20"/>
              </w:rPr>
              <w:t>, LFNA</w:t>
            </w:r>
          </w:p>
        </w:tc>
        <w:tc>
          <w:tcPr>
            <w:tcW w:w="1418" w:type="dxa"/>
            <w:shd w:val="clear" w:color="auto" w:fill="auto"/>
          </w:tcPr>
          <w:p w14:paraId="1AD08096" w14:textId="3423C810" w:rsidR="00E15011" w:rsidRPr="001B1DB1" w:rsidRDefault="00C461C1" w:rsidP="00E15011">
            <w:pPr>
              <w:jc w:val="center"/>
              <w:rPr>
                <w:sz w:val="20"/>
                <w:szCs w:val="20"/>
              </w:rPr>
            </w:pPr>
            <w:r w:rsidRPr="00C461C1">
              <w:rPr>
                <w:rFonts w:cs="Times New Roman"/>
                <w:bCs/>
                <w:sz w:val="20"/>
                <w:szCs w:val="20"/>
              </w:rPr>
              <w:t>Reiz</w:t>
            </w:r>
            <w:r>
              <w:rPr>
                <w:rFonts w:cs="Times New Roman"/>
                <w:bCs/>
                <w:sz w:val="20"/>
                <w:szCs w:val="20"/>
              </w:rPr>
              <w:t>i</w:t>
            </w:r>
            <w:r w:rsidRPr="00C461C1">
              <w:rPr>
                <w:rFonts w:cs="Times New Roman"/>
                <w:bCs/>
                <w:sz w:val="20"/>
                <w:szCs w:val="20"/>
              </w:rPr>
              <w:t xml:space="preserve"> mēnesī</w:t>
            </w:r>
          </w:p>
        </w:tc>
      </w:tr>
    </w:tbl>
    <w:p w14:paraId="4CFB5B6F" w14:textId="77777777" w:rsidR="009754EF" w:rsidRPr="001B1DB1" w:rsidRDefault="009754EF" w:rsidP="009754EF">
      <w:pPr>
        <w:pStyle w:val="Heading2"/>
        <w:rPr>
          <w:rFonts w:ascii="Times New Roman" w:hAnsi="Times New Roman" w:cs="Times New Roman"/>
          <w:b/>
          <w:color w:val="auto"/>
          <w:sz w:val="28"/>
          <w:szCs w:val="28"/>
        </w:rPr>
      </w:pPr>
    </w:p>
    <w:p w14:paraId="61EF8504"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s</w:t>
      </w:r>
      <w:r w:rsidRPr="001B1DB1">
        <w:rPr>
          <w:rFonts w:ascii="Times New Roman" w:hAnsi="Times New Roman" w:cs="Times New Roman"/>
          <w:b/>
          <w:color w:val="auto"/>
          <w:sz w:val="28"/>
          <w:szCs w:val="28"/>
        </w:rPr>
        <w:t xml:space="preserve">tarptautiskā sadarbība  </w:t>
      </w:r>
    </w:p>
    <w:p w14:paraId="3CCEE689" w14:textId="77777777" w:rsidR="00C703D7" w:rsidRPr="001B1DB1" w:rsidRDefault="00C703D7" w:rsidP="00C703D7">
      <w:pPr>
        <w:pStyle w:val="Heading2"/>
        <w:rPr>
          <w:rFonts w:ascii="Times New Roman" w:hAnsi="Times New Roman" w:cs="Times New Roman"/>
          <w:b/>
          <w:color w:val="auto"/>
          <w:sz w:val="28"/>
          <w:szCs w:val="28"/>
        </w:rPr>
      </w:pPr>
    </w:p>
    <w:p w14:paraId="686EE7D0" w14:textId="21F1F307" w:rsidR="00C703D7" w:rsidRPr="001B1DB1" w:rsidRDefault="00C703D7" w:rsidP="00C703D7">
      <w:pPr>
        <w:jc w:val="both"/>
        <w:rPr>
          <w:szCs w:val="24"/>
        </w:rPr>
      </w:pPr>
      <w:r w:rsidRPr="001B1DB1">
        <w:rPr>
          <w:szCs w:val="24"/>
        </w:rPr>
        <w:t xml:space="preserve">Par rīcības virzienu atbildīgā </w:t>
      </w:r>
      <w:r w:rsidR="000853A3" w:rsidRPr="000853A3">
        <w:rPr>
          <w:szCs w:val="24"/>
        </w:rPr>
        <w:t>institūcija</w:t>
      </w:r>
      <w:r w:rsidRPr="001B1DB1">
        <w:rPr>
          <w:szCs w:val="24"/>
        </w:rPr>
        <w:t>: TM</w:t>
      </w:r>
    </w:p>
    <w:p w14:paraId="01C012CC" w14:textId="5BAD15F8" w:rsidR="00C703D7" w:rsidRPr="0008052F" w:rsidRDefault="00C703D7" w:rsidP="00766BA7">
      <w:r w:rsidRPr="001B1DB1">
        <w:rPr>
          <w:szCs w:val="24"/>
        </w:rPr>
        <w:t xml:space="preserve">Līdzatbildīgās </w:t>
      </w:r>
      <w:r w:rsidR="00D00DDA">
        <w:rPr>
          <w:szCs w:val="24"/>
        </w:rPr>
        <w:t>institūcijas</w:t>
      </w:r>
      <w:r w:rsidRPr="006F0BC9">
        <w:rPr>
          <w:szCs w:val="24"/>
        </w:rPr>
        <w:t>:</w:t>
      </w:r>
      <w:r w:rsidR="00703C4E">
        <w:rPr>
          <w:szCs w:val="24"/>
        </w:rPr>
        <w:t xml:space="preserve"> </w:t>
      </w:r>
      <w:r w:rsidR="0008052F">
        <w:t xml:space="preserve">ĀM, </w:t>
      </w:r>
      <w:r w:rsidR="005D0547" w:rsidRPr="006F0BC9">
        <w:rPr>
          <w:szCs w:val="24"/>
        </w:rPr>
        <w:t xml:space="preserve">FID, </w:t>
      </w:r>
      <w:r w:rsidR="006F0BC9" w:rsidRPr="006F0BC9">
        <w:rPr>
          <w:szCs w:val="24"/>
        </w:rPr>
        <w:t xml:space="preserve">FKTK, </w:t>
      </w:r>
      <w:r w:rsidR="005D0547" w:rsidRPr="006F0BC9">
        <w:rPr>
          <w:szCs w:val="24"/>
        </w:rPr>
        <w:t xml:space="preserve">ĢP, </w:t>
      </w:r>
      <w:r w:rsidR="006F0BC9" w:rsidRPr="006F0BC9">
        <w:rPr>
          <w:szCs w:val="24"/>
        </w:rPr>
        <w:t xml:space="preserve">IAUI, </w:t>
      </w:r>
      <w:r w:rsidR="0008052F">
        <w:t xml:space="preserve">IDB, IeVP, KNAB, </w:t>
      </w:r>
      <w:r w:rsidR="00014779">
        <w:rPr>
          <w:szCs w:val="24"/>
        </w:rPr>
        <w:t xml:space="preserve">KM, </w:t>
      </w:r>
      <w:r w:rsidR="005D0547" w:rsidRPr="006F0BC9">
        <w:rPr>
          <w:szCs w:val="24"/>
        </w:rPr>
        <w:t>LB,</w:t>
      </w:r>
      <w:r w:rsidR="00F12F45">
        <w:rPr>
          <w:szCs w:val="24"/>
        </w:rPr>
        <w:t xml:space="preserve"> </w:t>
      </w:r>
      <w:r w:rsidR="0095437A">
        <w:rPr>
          <w:szCs w:val="24"/>
        </w:rPr>
        <w:t xml:space="preserve">LIAA, </w:t>
      </w:r>
      <w:r w:rsidR="00F12F45" w:rsidRPr="00152ADD">
        <w:rPr>
          <w:szCs w:val="24"/>
        </w:rPr>
        <w:t>LSMPAA</w:t>
      </w:r>
      <w:r w:rsidR="00F12F45">
        <w:rPr>
          <w:szCs w:val="24"/>
        </w:rPr>
        <w:t>,</w:t>
      </w:r>
      <w:r w:rsidR="005D0547" w:rsidRPr="006F0BC9">
        <w:rPr>
          <w:szCs w:val="24"/>
        </w:rPr>
        <w:t xml:space="preserve"> LZAP, LZNP, LZRA,</w:t>
      </w:r>
      <w:r w:rsidR="0008052F">
        <w:rPr>
          <w:szCs w:val="24"/>
        </w:rPr>
        <w:t xml:space="preserve"> </w:t>
      </w:r>
      <w:r w:rsidR="00171A05">
        <w:rPr>
          <w:szCs w:val="24"/>
        </w:rPr>
        <w:t xml:space="preserve">MKD, </w:t>
      </w:r>
      <w:r w:rsidR="0008052F">
        <w:t>MP,</w:t>
      </w:r>
      <w:r w:rsidR="005D0547" w:rsidRPr="006F0BC9">
        <w:rPr>
          <w:szCs w:val="24"/>
        </w:rPr>
        <w:t xml:space="preserve"> NKMP, PTAC</w:t>
      </w:r>
      <w:r w:rsidR="00C97ADE" w:rsidRPr="006F0BC9">
        <w:rPr>
          <w:szCs w:val="24"/>
        </w:rPr>
        <w:t xml:space="preserve">, </w:t>
      </w:r>
      <w:r w:rsidR="006F0BC9" w:rsidRPr="006F0BC9">
        <w:rPr>
          <w:szCs w:val="24"/>
        </w:rPr>
        <w:t xml:space="preserve">TA, </w:t>
      </w:r>
      <w:r w:rsidR="0008052F">
        <w:t xml:space="preserve">VDD, </w:t>
      </w:r>
      <w:r w:rsidR="006F0BC9" w:rsidRPr="006F0BC9">
        <w:rPr>
          <w:szCs w:val="24"/>
        </w:rPr>
        <w:t>VID, VP</w:t>
      </w:r>
      <w:r w:rsidR="0008052F">
        <w:rPr>
          <w:szCs w:val="24"/>
        </w:rPr>
        <w:t xml:space="preserve">, </w:t>
      </w:r>
      <w:r w:rsidR="0008052F">
        <w:t>VRS</w:t>
      </w:r>
    </w:p>
    <w:p w14:paraId="409DD5BB"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703D7" w:rsidRPr="001B1DB1" w14:paraId="15F5A275" w14:textId="77777777" w:rsidTr="009744C5">
        <w:tc>
          <w:tcPr>
            <w:tcW w:w="4395" w:type="dxa"/>
            <w:gridSpan w:val="2"/>
          </w:tcPr>
          <w:p w14:paraId="021D3491" w14:textId="77777777" w:rsidR="00C703D7" w:rsidRPr="001B1DB1" w:rsidRDefault="00C703D7" w:rsidP="00C703D7">
            <w:pPr>
              <w:rPr>
                <w:rFonts w:cs="Times New Roman"/>
                <w:b/>
                <w:bCs/>
                <w:sz w:val="20"/>
                <w:szCs w:val="20"/>
              </w:rPr>
            </w:pPr>
            <w:r w:rsidRPr="001B1DB1">
              <w:rPr>
                <w:rFonts w:cs="Times New Roman"/>
                <w:b/>
                <w:bCs/>
                <w:sz w:val="20"/>
                <w:szCs w:val="20"/>
              </w:rPr>
              <w:t>Rīcības virziens</w:t>
            </w:r>
          </w:p>
        </w:tc>
        <w:tc>
          <w:tcPr>
            <w:tcW w:w="10631" w:type="dxa"/>
            <w:gridSpan w:val="6"/>
          </w:tcPr>
          <w:p w14:paraId="357649B0" w14:textId="77777777" w:rsidR="00C703D7" w:rsidRPr="001B1DB1" w:rsidRDefault="00C703D7" w:rsidP="00C703D7">
            <w:pPr>
              <w:jc w:val="both"/>
              <w:rPr>
                <w:rFonts w:cs="Times New Roman"/>
                <w:b/>
                <w:bCs/>
                <w:sz w:val="20"/>
                <w:szCs w:val="20"/>
              </w:rPr>
            </w:pPr>
            <w:r w:rsidRPr="001B1DB1">
              <w:rPr>
                <w:rFonts w:cs="Times New Roman"/>
                <w:b/>
                <w:bCs/>
                <w:sz w:val="20"/>
                <w:szCs w:val="20"/>
              </w:rPr>
              <w:t>Starptautiskā sadarbība</w:t>
            </w:r>
          </w:p>
        </w:tc>
      </w:tr>
      <w:tr w:rsidR="00653158" w:rsidRPr="001B1DB1" w14:paraId="32CCFD47" w14:textId="77777777" w:rsidTr="00172808">
        <w:tc>
          <w:tcPr>
            <w:tcW w:w="4395" w:type="dxa"/>
            <w:gridSpan w:val="2"/>
          </w:tcPr>
          <w:p w14:paraId="0B6631DB" w14:textId="7677921F"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6A935FBE" w14:textId="77777777" w:rsidR="00653158" w:rsidRPr="001B1DB1" w:rsidRDefault="00653158" w:rsidP="00653158">
            <w:pPr>
              <w:jc w:val="both"/>
              <w:rPr>
                <w:rFonts w:cs="Times New Roman"/>
                <w:b/>
                <w:bCs/>
                <w:sz w:val="20"/>
                <w:szCs w:val="20"/>
              </w:rPr>
            </w:pPr>
            <w:r w:rsidRPr="001B1DB1">
              <w:rPr>
                <w:b/>
                <w:bCs/>
                <w:sz w:val="20"/>
                <w:szCs w:val="20"/>
              </w:rPr>
              <w:t>Starptautiskā sadarbība sniedz noderīgu informāciju, sekmē finanšu izlūkošanu un pierādījumu iegūšanu un veicina vēršanos pret noziedzniekiem un to aktīviem.</w:t>
            </w:r>
          </w:p>
        </w:tc>
      </w:tr>
      <w:tr w:rsidR="004F6CB1" w:rsidRPr="001B1DB1" w14:paraId="6E7057A2" w14:textId="77777777" w:rsidTr="009744C5">
        <w:trPr>
          <w:trHeight w:val="543"/>
        </w:trPr>
        <w:tc>
          <w:tcPr>
            <w:tcW w:w="709" w:type="dxa"/>
          </w:tcPr>
          <w:p w14:paraId="7D1D4CEE" w14:textId="77777777" w:rsidR="004F6CB1" w:rsidRPr="001B1DB1" w:rsidRDefault="004F6CB1" w:rsidP="004F6CB1">
            <w:pPr>
              <w:jc w:val="center"/>
              <w:rPr>
                <w:rFonts w:cs="Times New Roman"/>
                <w:bCs/>
                <w:sz w:val="20"/>
                <w:szCs w:val="20"/>
              </w:rPr>
            </w:pPr>
            <w:r w:rsidRPr="001B1DB1">
              <w:rPr>
                <w:rFonts w:cs="Times New Roman"/>
                <w:bCs/>
                <w:sz w:val="20"/>
                <w:szCs w:val="20"/>
              </w:rPr>
              <w:lastRenderedPageBreak/>
              <w:t>Nr. P.k.</w:t>
            </w:r>
          </w:p>
        </w:tc>
        <w:tc>
          <w:tcPr>
            <w:tcW w:w="3686" w:type="dxa"/>
            <w:shd w:val="clear" w:color="auto" w:fill="auto"/>
          </w:tcPr>
          <w:p w14:paraId="681D32E1" w14:textId="77777777" w:rsidR="004F6CB1" w:rsidRPr="001B1DB1" w:rsidRDefault="004F6CB1" w:rsidP="004F6CB1">
            <w:pPr>
              <w:jc w:val="center"/>
              <w:rPr>
                <w:rFonts w:cs="Times New Roman"/>
                <w:bCs/>
                <w:i/>
                <w:sz w:val="20"/>
                <w:szCs w:val="20"/>
              </w:rPr>
            </w:pPr>
            <w:r w:rsidRPr="001B1DB1">
              <w:rPr>
                <w:rFonts w:cs="Times New Roman"/>
                <w:b/>
                <w:bCs/>
                <w:sz w:val="20"/>
                <w:szCs w:val="20"/>
              </w:rPr>
              <w:t>Pasākums</w:t>
            </w:r>
          </w:p>
        </w:tc>
        <w:tc>
          <w:tcPr>
            <w:tcW w:w="1559" w:type="dxa"/>
          </w:tcPr>
          <w:p w14:paraId="4335DBA6" w14:textId="77777777" w:rsidR="004F6CB1" w:rsidRPr="001B1DB1" w:rsidRDefault="004F6CB1" w:rsidP="004F6CB1">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04383717" w14:textId="77777777" w:rsidR="004F6CB1" w:rsidRPr="001B1DB1" w:rsidRDefault="004F6CB1" w:rsidP="004F6CB1">
            <w:pPr>
              <w:jc w:val="center"/>
              <w:rPr>
                <w:rFonts w:cs="Times New Roman"/>
                <w:b/>
                <w:bCs/>
                <w:i/>
                <w:sz w:val="20"/>
                <w:szCs w:val="20"/>
              </w:rPr>
            </w:pPr>
            <w:r w:rsidRPr="001B1DB1">
              <w:rPr>
                <w:rFonts w:cs="Times New Roman"/>
                <w:b/>
                <w:sz w:val="20"/>
                <w:szCs w:val="20"/>
              </w:rPr>
              <w:t>Darbības rezultāts</w:t>
            </w:r>
          </w:p>
        </w:tc>
        <w:tc>
          <w:tcPr>
            <w:tcW w:w="2694" w:type="dxa"/>
          </w:tcPr>
          <w:p w14:paraId="7BA62147" w14:textId="77777777" w:rsidR="004F6CB1" w:rsidRPr="001B1DB1" w:rsidRDefault="004F6CB1" w:rsidP="004F6CB1">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2F579C47" w14:textId="77777777" w:rsidR="004F6CB1" w:rsidRPr="001B1DB1" w:rsidRDefault="004F6CB1" w:rsidP="004F6CB1">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4F131075" w14:textId="77777777" w:rsidR="004F6CB1" w:rsidRPr="001B1DB1" w:rsidRDefault="004F6CB1" w:rsidP="004F6CB1">
            <w:pPr>
              <w:jc w:val="center"/>
              <w:rPr>
                <w:rFonts w:cs="Times New Roman"/>
                <w:b/>
                <w:bCs/>
                <w:sz w:val="20"/>
                <w:szCs w:val="20"/>
              </w:rPr>
            </w:pPr>
            <w:r w:rsidRPr="001B1DB1">
              <w:rPr>
                <w:rFonts w:cs="Times New Roman"/>
                <w:b/>
                <w:bCs/>
                <w:sz w:val="20"/>
                <w:szCs w:val="20"/>
              </w:rPr>
              <w:t>Līdz-</w:t>
            </w:r>
          </w:p>
          <w:p w14:paraId="296B28FB" w14:textId="77777777" w:rsidR="004F6CB1" w:rsidRPr="001B1DB1" w:rsidRDefault="004F6CB1" w:rsidP="004F6CB1">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0F0FDBCF" w14:textId="77777777" w:rsidR="004F6CB1" w:rsidRPr="001B1DB1" w:rsidRDefault="004F6CB1" w:rsidP="004F6CB1">
            <w:pPr>
              <w:jc w:val="center"/>
              <w:rPr>
                <w:rFonts w:cs="Times New Roman"/>
                <w:bCs/>
                <w:i/>
                <w:sz w:val="20"/>
                <w:szCs w:val="20"/>
              </w:rPr>
            </w:pPr>
            <w:r w:rsidRPr="001B1DB1">
              <w:rPr>
                <w:rFonts w:cs="Times New Roman"/>
                <w:b/>
                <w:bCs/>
                <w:sz w:val="20"/>
                <w:szCs w:val="20"/>
              </w:rPr>
              <w:t>Izpildes termiņš</w:t>
            </w:r>
          </w:p>
        </w:tc>
      </w:tr>
      <w:tr w:rsidR="00F51665" w:rsidRPr="001B1DB1" w14:paraId="2FE6443A"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DECDF9" w14:textId="77777777" w:rsidR="00F51665" w:rsidRPr="001B1DB1" w:rsidRDefault="00F51665" w:rsidP="00F6007F">
            <w:pPr>
              <w:jc w:val="center"/>
              <w:rPr>
                <w:rFonts w:cs="Times New Roman"/>
                <w:sz w:val="20"/>
                <w:szCs w:val="20"/>
              </w:rPr>
            </w:pPr>
            <w:r w:rsidRPr="001B1DB1">
              <w:rPr>
                <w:sz w:val="20"/>
                <w:szCs w:val="20"/>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C90A77F" w14:textId="27C4E77C" w:rsidR="00F51665" w:rsidRPr="001B1DB1" w:rsidRDefault="00F51665" w:rsidP="001E0AB7">
            <w:pPr>
              <w:jc w:val="both"/>
              <w:rPr>
                <w:sz w:val="20"/>
                <w:szCs w:val="20"/>
              </w:rPr>
            </w:pPr>
            <w:r w:rsidRPr="001B1DB1">
              <w:rPr>
                <w:sz w:val="20"/>
                <w:szCs w:val="20"/>
              </w:rPr>
              <w:t xml:space="preserve">Organizēt regulāru sadarbību ar ārvalstu finanšu izlūkošanas dienestiem IFIT ietvaros par </w:t>
            </w:r>
            <w:r w:rsidR="00D123E2" w:rsidRPr="00D123E2">
              <w:rPr>
                <w:sz w:val="20"/>
                <w:szCs w:val="20"/>
              </w:rPr>
              <w:t>LAS ABLV</w:t>
            </w:r>
            <w:r w:rsidR="00D123E2" w:rsidRPr="00D123E2" w:rsidDel="00D123E2">
              <w:rPr>
                <w:sz w:val="20"/>
                <w:szCs w:val="20"/>
              </w:rPr>
              <w:t xml:space="preserve"> </w:t>
            </w:r>
            <w:r w:rsidRPr="001B1DB1">
              <w:rPr>
                <w:sz w:val="20"/>
                <w:szCs w:val="20"/>
              </w:rPr>
              <w:t>lietu</w:t>
            </w:r>
            <w:r w:rsidR="002C73EE" w:rsidRPr="001B1DB1">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76650A" w14:textId="66B98D93" w:rsidR="00F51665" w:rsidRPr="001B1DB1" w:rsidRDefault="00F51665" w:rsidP="001209FF">
            <w:pPr>
              <w:jc w:val="both"/>
              <w:rPr>
                <w:sz w:val="20"/>
                <w:szCs w:val="20"/>
              </w:rPr>
            </w:pPr>
            <w:r w:rsidRPr="001B1DB1">
              <w:rPr>
                <w:sz w:val="20"/>
                <w:szCs w:val="20"/>
              </w:rPr>
              <w:t>FATF IO</w:t>
            </w:r>
            <w:r w:rsidR="001209FF">
              <w:rPr>
                <w:sz w:val="20"/>
                <w:szCs w:val="20"/>
              </w:rPr>
              <w:t xml:space="preserve"> </w:t>
            </w:r>
            <w:r w:rsidRPr="001B1DB1">
              <w:rPr>
                <w:sz w:val="20"/>
                <w:szCs w:val="20"/>
              </w:rPr>
              <w:t>2</w:t>
            </w:r>
            <w:r w:rsidR="000950D9">
              <w:rPr>
                <w:sz w:val="20"/>
                <w:szCs w:val="20"/>
              </w:rPr>
              <w:t xml:space="preserve"> - </w:t>
            </w:r>
            <w:r w:rsidRPr="001B1DB1">
              <w:rPr>
                <w:sz w:val="20"/>
                <w:szCs w:val="20"/>
              </w:rPr>
              <w:t>2.3.</w:t>
            </w:r>
            <w:r w:rsidR="000950D9">
              <w:rPr>
                <w:sz w:val="20"/>
                <w:szCs w:val="20"/>
              </w:rPr>
              <w:t xml:space="preserve"> </w:t>
            </w:r>
            <w:r w:rsidR="000950D9" w:rsidRPr="000950D9">
              <w:rPr>
                <w:sz w:val="20"/>
                <w:szCs w:val="20"/>
              </w:rPr>
              <w:t>pamatjautājums</w:t>
            </w:r>
            <w:r w:rsidR="000950D9">
              <w:rPr>
                <w:sz w:val="20"/>
                <w:szCs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D0F096C" w14:textId="4FA5705C" w:rsidR="00F51665" w:rsidRPr="001B1DB1" w:rsidRDefault="00F51665" w:rsidP="00703C4E">
            <w:pPr>
              <w:jc w:val="both"/>
              <w:rPr>
                <w:rFonts w:cs="Times New Roman"/>
                <w:sz w:val="20"/>
                <w:szCs w:val="20"/>
              </w:rPr>
            </w:pPr>
            <w:r w:rsidRPr="001B1DB1">
              <w:rPr>
                <w:sz w:val="20"/>
                <w:szCs w:val="20"/>
              </w:rPr>
              <w:t>Nodrošināta opera</w:t>
            </w:r>
            <w:r w:rsidR="000B05C7">
              <w:rPr>
                <w:sz w:val="20"/>
                <w:szCs w:val="20"/>
              </w:rPr>
              <w:t>tīvās</w:t>
            </w:r>
            <w:r w:rsidRPr="001B1DB1">
              <w:rPr>
                <w:sz w:val="20"/>
                <w:szCs w:val="20"/>
              </w:rPr>
              <w:t xml:space="preserve"> un stratēģiskas informācijas apmaiņa IFIT dalībnieku vidū par </w:t>
            </w:r>
            <w:r w:rsidR="00D123E2" w:rsidRPr="00D123E2">
              <w:rPr>
                <w:sz w:val="20"/>
                <w:szCs w:val="20"/>
              </w:rPr>
              <w:t>LAS ABLV</w:t>
            </w:r>
            <w:r w:rsidR="00D123E2" w:rsidRPr="00D123E2" w:rsidDel="00D123E2">
              <w:rPr>
                <w:sz w:val="20"/>
                <w:szCs w:val="20"/>
              </w:rPr>
              <w:t xml:space="preserve"> </w:t>
            </w:r>
            <w:r w:rsidRPr="001B1DB1">
              <w:rPr>
                <w:sz w:val="20"/>
                <w:szCs w:val="20"/>
              </w:rPr>
              <w:t>lietas analīzes procesā konstatētajiem predikatīvajiem noziegumiem, tipoloģijām, iesaistītajām personām un naudas summām,</w:t>
            </w:r>
            <w:r w:rsidRPr="001B1DB1">
              <w:t xml:space="preserve"> </w:t>
            </w:r>
            <w:r w:rsidRPr="001B1DB1">
              <w:rPr>
                <w:sz w:val="20"/>
                <w:szCs w:val="20"/>
              </w:rPr>
              <w:t>uzsāktajiem kriminālprocesiem, kā arī naudas līdzekļiem un īpašumiem, ko potenciāli iespējams iesaldēt un konfiscēt.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E95770" w14:textId="77777777" w:rsidR="00F51665" w:rsidRPr="00053D97" w:rsidRDefault="00F51665" w:rsidP="00F51665">
            <w:pPr>
              <w:jc w:val="both"/>
              <w:rPr>
                <w:rFonts w:cs="Times New Roman"/>
                <w:sz w:val="20"/>
                <w:szCs w:val="20"/>
              </w:rPr>
            </w:pPr>
            <w:r w:rsidRPr="00053D97">
              <w:rPr>
                <w:sz w:val="20"/>
                <w:szCs w:val="20"/>
              </w:rPr>
              <w:t>Ārvalstu finanšu izlūkošanas vienību skaits, kas piedalās IFIT un tās ietvaros organizētajās sanāksmēs.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CC5069" w14:textId="77777777" w:rsidR="00F51665" w:rsidRPr="001B1DB1" w:rsidRDefault="00F51665" w:rsidP="00664B7B">
            <w:pPr>
              <w:jc w:val="center"/>
              <w:rPr>
                <w:sz w:val="20"/>
                <w:szCs w:val="20"/>
              </w:rPr>
            </w:pPr>
            <w:r w:rsidRPr="001B1DB1">
              <w:rPr>
                <w:sz w:val="20"/>
                <w:szCs w:val="20"/>
              </w:rPr>
              <w:t>FID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359533" w14:textId="77777777" w:rsidR="00F51665" w:rsidRPr="001B1DB1" w:rsidRDefault="00F51665" w:rsidP="00664B7B">
            <w:pPr>
              <w:jc w:val="center"/>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A9A330" w14:textId="0DAE1232" w:rsidR="00F51665" w:rsidRPr="001B1DB1" w:rsidRDefault="00802A44" w:rsidP="00664B7B">
            <w:pPr>
              <w:jc w:val="center"/>
              <w:rPr>
                <w:rFonts w:cs="Times New Roman"/>
                <w:bCs/>
                <w:sz w:val="20"/>
                <w:szCs w:val="20"/>
              </w:rPr>
            </w:pPr>
            <w:r w:rsidRPr="001B1DB1">
              <w:rPr>
                <w:sz w:val="20"/>
                <w:szCs w:val="20"/>
              </w:rPr>
              <w:t>Pastāvīgi</w:t>
            </w:r>
          </w:p>
        </w:tc>
      </w:tr>
      <w:tr w:rsidR="00F51665" w:rsidRPr="001B1DB1" w14:paraId="61F3FAE2" w14:textId="77777777" w:rsidTr="00C57682">
        <w:trPr>
          <w:trHeight w:val="1380"/>
        </w:trPr>
        <w:tc>
          <w:tcPr>
            <w:tcW w:w="709" w:type="dxa"/>
            <w:vMerge w:val="restart"/>
            <w:tcBorders>
              <w:top w:val="single" w:sz="4" w:space="0" w:color="000000"/>
              <w:left w:val="single" w:sz="4" w:space="0" w:color="000000"/>
              <w:right w:val="single" w:sz="4" w:space="0" w:color="000000"/>
            </w:tcBorders>
            <w:shd w:val="clear" w:color="auto" w:fill="auto"/>
          </w:tcPr>
          <w:p w14:paraId="2FD42C1B" w14:textId="77777777" w:rsidR="00F51665" w:rsidRPr="001B1DB1" w:rsidRDefault="00F51665" w:rsidP="00F6007F">
            <w:pPr>
              <w:jc w:val="center"/>
              <w:rPr>
                <w:rFonts w:cs="Times New Roman"/>
                <w:sz w:val="20"/>
                <w:szCs w:val="20"/>
              </w:rPr>
            </w:pPr>
            <w:r w:rsidRPr="001B1DB1">
              <w:rPr>
                <w:sz w:val="20"/>
                <w:szCs w:val="20"/>
              </w:rPr>
              <w:t>2.2.</w:t>
            </w:r>
          </w:p>
        </w:tc>
        <w:tc>
          <w:tcPr>
            <w:tcW w:w="3686" w:type="dxa"/>
            <w:vMerge w:val="restart"/>
            <w:tcBorders>
              <w:top w:val="single" w:sz="4" w:space="0" w:color="000000"/>
              <w:left w:val="single" w:sz="4" w:space="0" w:color="000000"/>
              <w:right w:val="single" w:sz="4" w:space="0" w:color="000000"/>
            </w:tcBorders>
            <w:shd w:val="clear" w:color="auto" w:fill="auto"/>
          </w:tcPr>
          <w:p w14:paraId="79ACC2C6" w14:textId="3AA9704B" w:rsidR="00F51665" w:rsidRPr="001B1DB1" w:rsidRDefault="00F51665" w:rsidP="00362151">
            <w:pPr>
              <w:jc w:val="both"/>
              <w:rPr>
                <w:sz w:val="20"/>
                <w:szCs w:val="20"/>
              </w:rPr>
            </w:pPr>
            <w:r w:rsidRPr="001B1DB1">
              <w:rPr>
                <w:sz w:val="20"/>
                <w:szCs w:val="20"/>
              </w:rPr>
              <w:t>Nodrošināt FID pārstāvīb</w:t>
            </w:r>
            <w:r w:rsidR="00C57682">
              <w:rPr>
                <w:sz w:val="20"/>
                <w:szCs w:val="20"/>
              </w:rPr>
              <w:t>u</w:t>
            </w:r>
            <w:r w:rsidRPr="001B1DB1">
              <w:rPr>
                <w:sz w:val="20"/>
                <w:szCs w:val="20"/>
              </w:rPr>
              <w:t xml:space="preserve"> Egmont grupas </w:t>
            </w:r>
            <w:r w:rsidR="00A52F7A">
              <w:rPr>
                <w:sz w:val="20"/>
                <w:szCs w:val="20"/>
              </w:rPr>
              <w:t>organizētajās sanāksmēs</w:t>
            </w:r>
            <w:r w:rsidRPr="001B1DB1">
              <w:rPr>
                <w:sz w:val="20"/>
                <w:szCs w:val="20"/>
              </w:rPr>
              <w:t xml:space="preserve">, MONEYVAL, kā arī ES finanšu izlūkošanas </w:t>
            </w:r>
            <w:r w:rsidR="00A52F7A">
              <w:rPr>
                <w:sz w:val="20"/>
                <w:szCs w:val="20"/>
              </w:rPr>
              <w:t>vienību</w:t>
            </w:r>
            <w:r w:rsidR="00A52F7A" w:rsidRPr="001B1DB1">
              <w:rPr>
                <w:sz w:val="20"/>
                <w:szCs w:val="20"/>
              </w:rPr>
              <w:t xml:space="preserve"> </w:t>
            </w:r>
            <w:r w:rsidRPr="001B1DB1">
              <w:rPr>
                <w:sz w:val="20"/>
                <w:szCs w:val="20"/>
              </w:rPr>
              <w:t>platformā</w:t>
            </w:r>
            <w:r w:rsidR="002C73EE" w:rsidRPr="001B1DB1">
              <w:rPr>
                <w:sz w:val="20"/>
                <w:szCs w:val="20"/>
              </w:rPr>
              <w:t>.</w:t>
            </w:r>
          </w:p>
        </w:tc>
        <w:tc>
          <w:tcPr>
            <w:tcW w:w="1559" w:type="dxa"/>
            <w:vMerge w:val="restart"/>
            <w:tcBorders>
              <w:top w:val="single" w:sz="4" w:space="0" w:color="000000"/>
              <w:left w:val="single" w:sz="4" w:space="0" w:color="000000"/>
              <w:right w:val="single" w:sz="4" w:space="0" w:color="000000"/>
            </w:tcBorders>
            <w:shd w:val="clear" w:color="auto" w:fill="auto"/>
          </w:tcPr>
          <w:p w14:paraId="73B92442" w14:textId="1D976085" w:rsidR="00F51665" w:rsidRPr="001B1DB1" w:rsidRDefault="00F51665" w:rsidP="001209FF">
            <w:pPr>
              <w:jc w:val="both"/>
              <w:rPr>
                <w:sz w:val="20"/>
                <w:szCs w:val="20"/>
              </w:rPr>
            </w:pPr>
            <w:r w:rsidRPr="001B1DB1">
              <w:rPr>
                <w:sz w:val="20"/>
                <w:szCs w:val="20"/>
              </w:rPr>
              <w:t>FATF IO</w:t>
            </w:r>
            <w:r w:rsidR="001209FF">
              <w:rPr>
                <w:sz w:val="20"/>
                <w:szCs w:val="20"/>
              </w:rPr>
              <w:t xml:space="preserve"> </w:t>
            </w:r>
            <w:r w:rsidRPr="001B1DB1">
              <w:rPr>
                <w:sz w:val="20"/>
                <w:szCs w:val="20"/>
              </w:rPr>
              <w:t>2</w:t>
            </w:r>
            <w:r w:rsidR="000950D9">
              <w:rPr>
                <w:sz w:val="20"/>
                <w:szCs w:val="20"/>
              </w:rPr>
              <w:t xml:space="preserve"> - </w:t>
            </w:r>
            <w:r w:rsidRPr="001B1DB1">
              <w:rPr>
                <w:sz w:val="20"/>
                <w:szCs w:val="20"/>
              </w:rPr>
              <w:t>2.3.</w:t>
            </w:r>
            <w:r w:rsidR="000950D9">
              <w:rPr>
                <w:sz w:val="20"/>
                <w:szCs w:val="20"/>
              </w:rPr>
              <w:t xml:space="preserve"> </w:t>
            </w:r>
            <w:r w:rsidR="000950D9" w:rsidRPr="000950D9">
              <w:rPr>
                <w:sz w:val="20"/>
                <w:szCs w:val="20"/>
              </w:rPr>
              <w:t>pamatjautājums</w:t>
            </w:r>
            <w:r w:rsidR="000950D9">
              <w:rPr>
                <w:sz w:val="20"/>
                <w:szCs w:val="20"/>
              </w:rPr>
              <w:t>.</w:t>
            </w:r>
          </w:p>
        </w:tc>
        <w:tc>
          <w:tcPr>
            <w:tcW w:w="2551" w:type="dxa"/>
            <w:vMerge w:val="restart"/>
            <w:tcBorders>
              <w:top w:val="single" w:sz="4" w:space="0" w:color="000000"/>
              <w:left w:val="single" w:sz="4" w:space="0" w:color="000000"/>
              <w:right w:val="single" w:sz="4" w:space="0" w:color="000000"/>
            </w:tcBorders>
            <w:shd w:val="clear" w:color="auto" w:fill="auto"/>
          </w:tcPr>
          <w:p w14:paraId="20B0DB69" w14:textId="1BAAF496" w:rsidR="00F51665" w:rsidRPr="001B1DB1" w:rsidRDefault="00F51665" w:rsidP="00966ED3">
            <w:pPr>
              <w:jc w:val="both"/>
              <w:rPr>
                <w:rFonts w:cs="Times New Roman"/>
                <w:sz w:val="20"/>
                <w:szCs w:val="20"/>
              </w:rPr>
            </w:pPr>
            <w:r w:rsidRPr="001B1DB1">
              <w:rPr>
                <w:sz w:val="20"/>
                <w:szCs w:val="20"/>
              </w:rPr>
              <w:t xml:space="preserve">Nodrošināta aktualitāšu un jaunāko pasaules tendenču </w:t>
            </w:r>
            <w:r w:rsidR="00966ED3">
              <w:rPr>
                <w:sz w:val="20"/>
                <w:szCs w:val="20"/>
              </w:rPr>
              <w:t>NILLTFPN</w:t>
            </w:r>
            <w:r w:rsidRPr="001B1DB1">
              <w:rPr>
                <w:sz w:val="20"/>
                <w:szCs w:val="20"/>
              </w:rPr>
              <w:t xml:space="preserve"> jomā izzināšana, ES aktualitāšu un jaunākās likumdošanas </w:t>
            </w:r>
            <w:r w:rsidR="00966ED3">
              <w:rPr>
                <w:sz w:val="20"/>
                <w:szCs w:val="20"/>
              </w:rPr>
              <w:t>NILLTPFN</w:t>
            </w:r>
            <w:r w:rsidRPr="001B1DB1">
              <w:rPr>
                <w:sz w:val="20"/>
                <w:szCs w:val="20"/>
              </w:rPr>
              <w:t xml:space="preserve"> jomā izzināšana, dalība diskusijās un nepārtraukta kontaktu veidošana un uzturēšana ar ārvalstu kolēģiem, tādējādi īstenojot FID likumā noteiktās tiesības.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DE001F" w14:textId="0A59D717" w:rsidR="00F51665" w:rsidRPr="001B1DB1" w:rsidRDefault="00A52F7A" w:rsidP="00B60885">
            <w:pPr>
              <w:jc w:val="both"/>
              <w:rPr>
                <w:rFonts w:cs="Times New Roman"/>
                <w:sz w:val="20"/>
                <w:szCs w:val="20"/>
              </w:rPr>
            </w:pPr>
            <w:r>
              <w:rPr>
                <w:sz w:val="20"/>
                <w:szCs w:val="20"/>
              </w:rPr>
              <w:t xml:space="preserve">1. Dalība </w:t>
            </w:r>
            <w:r w:rsidR="002B2721" w:rsidRPr="002B2721">
              <w:rPr>
                <w:sz w:val="20"/>
                <w:szCs w:val="20"/>
              </w:rPr>
              <w:t>Egmont</w:t>
            </w:r>
            <w:r w:rsidR="00362151">
              <w:rPr>
                <w:sz w:val="20"/>
                <w:szCs w:val="20"/>
              </w:rPr>
              <w:t xml:space="preserve"> grupas</w:t>
            </w:r>
            <w:r w:rsidR="002B2721" w:rsidRPr="002B2721">
              <w:rPr>
                <w:sz w:val="20"/>
                <w:szCs w:val="20"/>
              </w:rPr>
              <w:t xml:space="preserve">, MONEYVAL </w:t>
            </w:r>
            <w:r>
              <w:rPr>
                <w:sz w:val="20"/>
                <w:szCs w:val="20"/>
              </w:rPr>
              <w:t>un</w:t>
            </w:r>
            <w:r w:rsidR="002B2721" w:rsidRPr="002B2721">
              <w:rPr>
                <w:sz w:val="20"/>
                <w:szCs w:val="20"/>
              </w:rPr>
              <w:t xml:space="preserve"> ES finanšu izlūkošanas </w:t>
            </w:r>
            <w:r>
              <w:rPr>
                <w:sz w:val="20"/>
                <w:szCs w:val="20"/>
              </w:rPr>
              <w:t>vienību</w:t>
            </w:r>
            <w:r w:rsidRPr="002B2721">
              <w:rPr>
                <w:sz w:val="20"/>
                <w:szCs w:val="20"/>
              </w:rPr>
              <w:t xml:space="preserve"> platform</w:t>
            </w:r>
            <w:r>
              <w:rPr>
                <w:sz w:val="20"/>
                <w:szCs w:val="20"/>
              </w:rPr>
              <w:t>as pasākumos un tajos</w:t>
            </w:r>
            <w:r w:rsidR="002B2721" w:rsidRPr="002B2721">
              <w:rPr>
                <w:sz w:val="20"/>
                <w:szCs w:val="20"/>
              </w:rPr>
              <w:t xml:space="preserve"> izskatāmo politikas, procedūru, u.c. dokumentu izvērtējum</w:t>
            </w:r>
            <w:r w:rsidR="00607418">
              <w:rPr>
                <w:sz w:val="20"/>
                <w:szCs w:val="20"/>
              </w:rPr>
              <w:t>os</w:t>
            </w:r>
            <w:r>
              <w:rPr>
                <w:sz w:val="20"/>
                <w:szCs w:val="20"/>
              </w:rPr>
              <w:t>.</w:t>
            </w:r>
          </w:p>
        </w:tc>
        <w:tc>
          <w:tcPr>
            <w:tcW w:w="1134" w:type="dxa"/>
            <w:tcBorders>
              <w:top w:val="single" w:sz="4" w:space="0" w:color="000000"/>
              <w:left w:val="single" w:sz="4" w:space="0" w:color="000000"/>
              <w:right w:val="single" w:sz="4" w:space="0" w:color="000000"/>
            </w:tcBorders>
            <w:shd w:val="clear" w:color="auto" w:fill="auto"/>
          </w:tcPr>
          <w:p w14:paraId="4EB768D9" w14:textId="77777777" w:rsidR="00F51665" w:rsidRPr="00053D97" w:rsidRDefault="00F51665" w:rsidP="00664B7B">
            <w:pPr>
              <w:jc w:val="center"/>
              <w:rPr>
                <w:sz w:val="20"/>
                <w:szCs w:val="20"/>
              </w:rPr>
            </w:pPr>
            <w:r w:rsidRPr="00053D97">
              <w:rPr>
                <w:sz w:val="20"/>
                <w:szCs w:val="20"/>
              </w:rPr>
              <w:t>FID</w:t>
            </w:r>
          </w:p>
        </w:tc>
        <w:tc>
          <w:tcPr>
            <w:tcW w:w="1275" w:type="dxa"/>
            <w:tcBorders>
              <w:top w:val="single" w:sz="4" w:space="0" w:color="000000"/>
              <w:left w:val="single" w:sz="4" w:space="0" w:color="000000"/>
              <w:right w:val="single" w:sz="4" w:space="0" w:color="000000"/>
            </w:tcBorders>
            <w:shd w:val="clear" w:color="auto" w:fill="auto"/>
          </w:tcPr>
          <w:p w14:paraId="6D3E2086" w14:textId="77777777" w:rsidR="00F51665" w:rsidRPr="00053D97" w:rsidRDefault="00F51665" w:rsidP="00664B7B">
            <w:pPr>
              <w:jc w:val="center"/>
              <w:rPr>
                <w:rFonts w:cs="Times New Roman"/>
                <w:sz w:val="20"/>
                <w:szCs w:val="20"/>
              </w:rPr>
            </w:pPr>
          </w:p>
        </w:tc>
        <w:tc>
          <w:tcPr>
            <w:tcW w:w="1418" w:type="dxa"/>
            <w:tcBorders>
              <w:top w:val="single" w:sz="4" w:space="0" w:color="000000"/>
              <w:left w:val="single" w:sz="4" w:space="0" w:color="000000"/>
              <w:right w:val="single" w:sz="4" w:space="0" w:color="000000"/>
            </w:tcBorders>
            <w:shd w:val="clear" w:color="auto" w:fill="auto"/>
          </w:tcPr>
          <w:p w14:paraId="0372B0C4" w14:textId="77777777" w:rsidR="00F51665" w:rsidRPr="00053D97" w:rsidRDefault="00F51665" w:rsidP="00664B7B">
            <w:pPr>
              <w:jc w:val="center"/>
              <w:rPr>
                <w:rFonts w:cs="Times New Roman"/>
                <w:bCs/>
                <w:sz w:val="20"/>
                <w:szCs w:val="20"/>
              </w:rPr>
            </w:pPr>
            <w:r w:rsidRPr="00053D97">
              <w:rPr>
                <w:sz w:val="20"/>
                <w:szCs w:val="20"/>
              </w:rPr>
              <w:t>Pastāvīgi</w:t>
            </w:r>
          </w:p>
        </w:tc>
      </w:tr>
      <w:tr w:rsidR="00A52F7A" w:rsidRPr="001B1DB1" w14:paraId="1D6E73CD" w14:textId="77777777" w:rsidTr="00A52F7A">
        <w:trPr>
          <w:trHeight w:val="1380"/>
        </w:trPr>
        <w:tc>
          <w:tcPr>
            <w:tcW w:w="709" w:type="dxa"/>
            <w:vMerge/>
            <w:tcBorders>
              <w:left w:val="single" w:sz="4" w:space="0" w:color="000000"/>
              <w:right w:val="single" w:sz="4" w:space="0" w:color="000000"/>
            </w:tcBorders>
            <w:shd w:val="clear" w:color="auto" w:fill="auto"/>
          </w:tcPr>
          <w:p w14:paraId="2B90DD64" w14:textId="77777777" w:rsidR="00A52F7A" w:rsidRPr="001B1DB1" w:rsidRDefault="00A52F7A" w:rsidP="00F51665">
            <w:pPr>
              <w:jc w:val="both"/>
              <w:rPr>
                <w:sz w:val="20"/>
                <w:szCs w:val="20"/>
              </w:rPr>
            </w:pPr>
          </w:p>
        </w:tc>
        <w:tc>
          <w:tcPr>
            <w:tcW w:w="3686" w:type="dxa"/>
            <w:vMerge/>
            <w:tcBorders>
              <w:left w:val="single" w:sz="4" w:space="0" w:color="000000"/>
              <w:right w:val="single" w:sz="4" w:space="0" w:color="000000"/>
            </w:tcBorders>
            <w:shd w:val="clear" w:color="auto" w:fill="auto"/>
          </w:tcPr>
          <w:p w14:paraId="6F8A1AD2" w14:textId="77777777" w:rsidR="00A52F7A" w:rsidRPr="001B1DB1" w:rsidRDefault="00A52F7A" w:rsidP="00647051">
            <w:pPr>
              <w:jc w:val="both"/>
              <w:rPr>
                <w:sz w:val="20"/>
                <w:szCs w:val="20"/>
              </w:rPr>
            </w:pPr>
          </w:p>
        </w:tc>
        <w:tc>
          <w:tcPr>
            <w:tcW w:w="1559" w:type="dxa"/>
            <w:vMerge/>
            <w:tcBorders>
              <w:left w:val="single" w:sz="4" w:space="0" w:color="000000"/>
              <w:right w:val="single" w:sz="4" w:space="0" w:color="000000"/>
            </w:tcBorders>
            <w:shd w:val="clear" w:color="auto" w:fill="auto"/>
          </w:tcPr>
          <w:p w14:paraId="2033CDCC" w14:textId="77777777" w:rsidR="00A52F7A" w:rsidRPr="001B1DB1" w:rsidRDefault="00A52F7A" w:rsidP="000950D9">
            <w:pPr>
              <w:jc w:val="both"/>
              <w:rPr>
                <w:sz w:val="20"/>
                <w:szCs w:val="20"/>
              </w:rPr>
            </w:pPr>
          </w:p>
        </w:tc>
        <w:tc>
          <w:tcPr>
            <w:tcW w:w="2551" w:type="dxa"/>
            <w:vMerge/>
            <w:tcBorders>
              <w:left w:val="single" w:sz="4" w:space="0" w:color="000000"/>
              <w:right w:val="single" w:sz="4" w:space="0" w:color="000000"/>
            </w:tcBorders>
            <w:shd w:val="clear" w:color="auto" w:fill="auto"/>
          </w:tcPr>
          <w:p w14:paraId="7E6AC6F9" w14:textId="77777777" w:rsidR="00A52F7A" w:rsidRPr="001B1DB1" w:rsidRDefault="00A52F7A" w:rsidP="00966ED3">
            <w:pPr>
              <w:jc w:val="both"/>
              <w:rPr>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16043AE" w14:textId="5CE538DE" w:rsidR="00A52F7A" w:rsidRPr="00E338A4" w:rsidRDefault="00A52F7A" w:rsidP="00647051">
            <w:pPr>
              <w:jc w:val="both"/>
              <w:rPr>
                <w:sz w:val="20"/>
                <w:szCs w:val="20"/>
              </w:rPr>
            </w:pPr>
            <w:r w:rsidRPr="00E338A4">
              <w:rPr>
                <w:sz w:val="20"/>
                <w:szCs w:val="20"/>
              </w:rPr>
              <w:t xml:space="preserve">2. </w:t>
            </w:r>
            <w:r w:rsidRPr="00C57682">
              <w:rPr>
                <w:sz w:val="20"/>
                <w:szCs w:val="20"/>
              </w:rPr>
              <w:t>Dalība Egmont grupas labākās analītiskās lietas balvas konkursā.</w:t>
            </w:r>
          </w:p>
        </w:tc>
        <w:tc>
          <w:tcPr>
            <w:tcW w:w="1134" w:type="dxa"/>
            <w:tcBorders>
              <w:left w:val="single" w:sz="4" w:space="0" w:color="000000"/>
              <w:bottom w:val="single" w:sz="4" w:space="0" w:color="000000"/>
              <w:right w:val="single" w:sz="4" w:space="0" w:color="000000"/>
            </w:tcBorders>
            <w:shd w:val="clear" w:color="auto" w:fill="auto"/>
          </w:tcPr>
          <w:p w14:paraId="4511428D" w14:textId="60C381A6" w:rsidR="00A52F7A" w:rsidRPr="00053D97" w:rsidRDefault="00A52F7A" w:rsidP="00664B7B">
            <w:pPr>
              <w:jc w:val="center"/>
              <w:rPr>
                <w:sz w:val="20"/>
                <w:szCs w:val="20"/>
              </w:rPr>
            </w:pPr>
            <w:r>
              <w:rPr>
                <w:sz w:val="20"/>
                <w:szCs w:val="20"/>
              </w:rPr>
              <w:t>FID</w:t>
            </w:r>
          </w:p>
        </w:tc>
        <w:tc>
          <w:tcPr>
            <w:tcW w:w="1275" w:type="dxa"/>
            <w:tcBorders>
              <w:left w:val="single" w:sz="4" w:space="0" w:color="000000"/>
              <w:bottom w:val="single" w:sz="4" w:space="0" w:color="000000"/>
              <w:right w:val="single" w:sz="4" w:space="0" w:color="000000"/>
            </w:tcBorders>
            <w:shd w:val="clear" w:color="auto" w:fill="auto"/>
          </w:tcPr>
          <w:p w14:paraId="4232FAFB" w14:textId="77777777" w:rsidR="00A52F7A" w:rsidRPr="00053D97" w:rsidRDefault="00A52F7A" w:rsidP="00664B7B">
            <w:pPr>
              <w:jc w:val="center"/>
              <w:rPr>
                <w:rFonts w:cs="Times New Roman"/>
                <w:sz w:val="20"/>
                <w:szCs w:val="20"/>
              </w:rPr>
            </w:pPr>
          </w:p>
        </w:tc>
        <w:tc>
          <w:tcPr>
            <w:tcW w:w="1418" w:type="dxa"/>
            <w:tcBorders>
              <w:left w:val="single" w:sz="4" w:space="0" w:color="000000"/>
              <w:bottom w:val="single" w:sz="4" w:space="0" w:color="000000"/>
              <w:right w:val="single" w:sz="4" w:space="0" w:color="000000"/>
            </w:tcBorders>
            <w:shd w:val="clear" w:color="auto" w:fill="auto"/>
          </w:tcPr>
          <w:p w14:paraId="38D34E45" w14:textId="4751B7D0" w:rsidR="00A52F7A" w:rsidRPr="00053D97" w:rsidRDefault="00A52F7A" w:rsidP="00664B7B">
            <w:pPr>
              <w:jc w:val="center"/>
              <w:rPr>
                <w:sz w:val="20"/>
                <w:szCs w:val="20"/>
              </w:rPr>
            </w:pPr>
            <w:r>
              <w:rPr>
                <w:sz w:val="20"/>
                <w:szCs w:val="20"/>
              </w:rPr>
              <w:t>31.07.2022.</w:t>
            </w:r>
          </w:p>
        </w:tc>
      </w:tr>
      <w:tr w:rsidR="00F51665" w:rsidRPr="001B1DB1" w14:paraId="3089E232" w14:textId="77777777" w:rsidTr="00FF556E">
        <w:trPr>
          <w:trHeight w:val="543"/>
        </w:trPr>
        <w:tc>
          <w:tcPr>
            <w:tcW w:w="709" w:type="dxa"/>
            <w:vMerge w:val="restart"/>
            <w:tcBorders>
              <w:top w:val="single" w:sz="4" w:space="0" w:color="000000"/>
              <w:left w:val="single" w:sz="4" w:space="0" w:color="000000"/>
              <w:right w:val="single" w:sz="4" w:space="0" w:color="000000"/>
            </w:tcBorders>
            <w:shd w:val="clear" w:color="auto" w:fill="auto"/>
          </w:tcPr>
          <w:p w14:paraId="67ECAC55" w14:textId="77777777" w:rsidR="00F51665" w:rsidRPr="001B1DB1" w:rsidRDefault="00F51665" w:rsidP="00F6007F">
            <w:pPr>
              <w:jc w:val="center"/>
              <w:rPr>
                <w:rFonts w:cs="Times New Roman"/>
                <w:sz w:val="20"/>
                <w:szCs w:val="20"/>
              </w:rPr>
            </w:pPr>
            <w:r w:rsidRPr="001B1DB1">
              <w:rPr>
                <w:sz w:val="20"/>
                <w:szCs w:val="20"/>
              </w:rPr>
              <w:t>2.3.</w:t>
            </w:r>
          </w:p>
        </w:tc>
        <w:tc>
          <w:tcPr>
            <w:tcW w:w="3686" w:type="dxa"/>
            <w:vMerge w:val="restart"/>
            <w:tcBorders>
              <w:top w:val="single" w:sz="4" w:space="0" w:color="000000"/>
              <w:left w:val="single" w:sz="4" w:space="0" w:color="000000"/>
              <w:right w:val="single" w:sz="4" w:space="0" w:color="000000"/>
            </w:tcBorders>
            <w:shd w:val="clear" w:color="auto" w:fill="auto"/>
          </w:tcPr>
          <w:p w14:paraId="7D9C18DC" w14:textId="77777777" w:rsidR="00F51665" w:rsidRPr="001B1DB1" w:rsidRDefault="00F51665" w:rsidP="00F51665">
            <w:pPr>
              <w:jc w:val="both"/>
              <w:rPr>
                <w:sz w:val="20"/>
                <w:szCs w:val="20"/>
              </w:rPr>
            </w:pPr>
            <w:r w:rsidRPr="001B1DB1">
              <w:rPr>
                <w:sz w:val="20"/>
                <w:szCs w:val="20"/>
              </w:rPr>
              <w:t>Stiprināt sadarbību nelikumīgas kultūras priekšmetu aprites novēršanai starp Baltijas valstīm.</w:t>
            </w:r>
          </w:p>
        </w:tc>
        <w:tc>
          <w:tcPr>
            <w:tcW w:w="1559" w:type="dxa"/>
            <w:vMerge w:val="restart"/>
            <w:tcBorders>
              <w:top w:val="single" w:sz="4" w:space="0" w:color="000000"/>
              <w:left w:val="single" w:sz="4" w:space="0" w:color="000000"/>
              <w:right w:val="single" w:sz="4" w:space="0" w:color="000000"/>
            </w:tcBorders>
            <w:shd w:val="clear" w:color="auto" w:fill="auto"/>
          </w:tcPr>
          <w:p w14:paraId="6872A3E9" w14:textId="77777777" w:rsidR="00F51665" w:rsidRPr="001B1DB1" w:rsidRDefault="00F51665" w:rsidP="00F51665">
            <w:pPr>
              <w:jc w:val="both"/>
              <w:rPr>
                <w:sz w:val="20"/>
                <w:szCs w:val="20"/>
              </w:rPr>
            </w:pPr>
          </w:p>
        </w:tc>
        <w:tc>
          <w:tcPr>
            <w:tcW w:w="2551" w:type="dxa"/>
            <w:vMerge w:val="restart"/>
            <w:tcBorders>
              <w:top w:val="single" w:sz="4" w:space="0" w:color="000000"/>
              <w:left w:val="single" w:sz="4" w:space="0" w:color="000000"/>
              <w:right w:val="single" w:sz="4" w:space="0" w:color="000000"/>
            </w:tcBorders>
            <w:shd w:val="clear" w:color="auto" w:fill="auto"/>
          </w:tcPr>
          <w:p w14:paraId="11070261" w14:textId="77777777" w:rsidR="00F51665" w:rsidRPr="001B1DB1" w:rsidRDefault="00F51665" w:rsidP="00E70589">
            <w:pPr>
              <w:jc w:val="both"/>
              <w:rPr>
                <w:rFonts w:cs="Times New Roman"/>
                <w:sz w:val="20"/>
                <w:szCs w:val="20"/>
              </w:rPr>
            </w:pPr>
            <w:r w:rsidRPr="001B1DB1">
              <w:rPr>
                <w:sz w:val="20"/>
                <w:szCs w:val="20"/>
              </w:rPr>
              <w:t xml:space="preserve">Uzlabota Baltijas valstu </w:t>
            </w:r>
            <w:r w:rsidR="00E70589" w:rsidRPr="001B1DB1">
              <w:rPr>
                <w:sz w:val="20"/>
                <w:szCs w:val="20"/>
              </w:rPr>
              <w:t>UKI</w:t>
            </w:r>
            <w:r w:rsidRPr="001B1DB1">
              <w:rPr>
                <w:sz w:val="20"/>
                <w:szCs w:val="20"/>
              </w:rPr>
              <w:t xml:space="preserve"> starptautiskā sadarbība mākslas un antikvāro priekšmetu aprites jomā.</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4F309D2" w14:textId="0F7D1F25" w:rsidR="00F51665" w:rsidRPr="00053D97" w:rsidRDefault="002E7AD2" w:rsidP="00F51665">
            <w:pPr>
              <w:jc w:val="both"/>
              <w:rPr>
                <w:rFonts w:cs="Times New Roman"/>
                <w:sz w:val="20"/>
                <w:szCs w:val="20"/>
              </w:rPr>
            </w:pPr>
            <w:r w:rsidRPr="00053D97">
              <w:rPr>
                <w:sz w:val="20"/>
                <w:szCs w:val="20"/>
              </w:rPr>
              <w:t xml:space="preserve">1. </w:t>
            </w:r>
            <w:r w:rsidR="00F51665" w:rsidRPr="00053D97">
              <w:rPr>
                <w:sz w:val="20"/>
                <w:szCs w:val="20"/>
              </w:rPr>
              <w:t xml:space="preserve">Noorganizēta starptautiskā tikšanās ar Baltijas </w:t>
            </w:r>
            <w:r w:rsidR="000B05C7">
              <w:rPr>
                <w:sz w:val="20"/>
                <w:szCs w:val="20"/>
              </w:rPr>
              <w:t xml:space="preserve">valstu </w:t>
            </w:r>
            <w:r w:rsidR="00F51665" w:rsidRPr="00053D97">
              <w:rPr>
                <w:sz w:val="20"/>
                <w:szCs w:val="20"/>
              </w:rPr>
              <w:t>kultūras mantojuma institūcijām</w:t>
            </w:r>
            <w:r w:rsidR="002C73EE" w:rsidRPr="00053D97">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CC9B2E" w14:textId="21855D81" w:rsidR="00F51665" w:rsidRPr="001B1DB1" w:rsidRDefault="009B6662" w:rsidP="00664B7B">
            <w:pPr>
              <w:jc w:val="center"/>
              <w:rPr>
                <w:sz w:val="20"/>
                <w:szCs w:val="20"/>
              </w:rPr>
            </w:pPr>
            <w:r w:rsidRPr="009B6662">
              <w:rPr>
                <w:sz w:val="20"/>
                <w:szCs w:val="20"/>
              </w:rPr>
              <w:t>NKMP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669D7AD" w14:textId="6475B302" w:rsidR="00F51665" w:rsidRPr="001B1DB1" w:rsidRDefault="009B6662" w:rsidP="00664B7B">
            <w:pPr>
              <w:jc w:val="center"/>
              <w:rPr>
                <w:rFonts w:cs="Times New Roman"/>
                <w:sz w:val="20"/>
                <w:szCs w:val="20"/>
              </w:rPr>
            </w:pPr>
            <w:r w:rsidRPr="009B6662">
              <w:rPr>
                <w:rFonts w:cs="Times New Roman"/>
                <w:sz w:val="20"/>
                <w:szCs w:val="20"/>
              </w:rPr>
              <w:t>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83E8E2" w14:textId="4E20812B" w:rsidR="00F51665" w:rsidRPr="001B1DB1" w:rsidRDefault="00351E4D" w:rsidP="00664B7B">
            <w:pPr>
              <w:jc w:val="center"/>
              <w:rPr>
                <w:rFonts w:cs="Times New Roman"/>
                <w:bCs/>
                <w:sz w:val="20"/>
                <w:szCs w:val="20"/>
              </w:rPr>
            </w:pPr>
            <w:r>
              <w:rPr>
                <w:sz w:val="20"/>
                <w:szCs w:val="20"/>
              </w:rPr>
              <w:t>31.12.</w:t>
            </w:r>
            <w:r w:rsidR="00F51665" w:rsidRPr="001B1DB1">
              <w:rPr>
                <w:sz w:val="20"/>
                <w:szCs w:val="20"/>
              </w:rPr>
              <w:t>2020</w:t>
            </w:r>
            <w:r w:rsidR="000B05C7">
              <w:rPr>
                <w:sz w:val="20"/>
                <w:szCs w:val="20"/>
              </w:rPr>
              <w:t>.</w:t>
            </w:r>
          </w:p>
        </w:tc>
      </w:tr>
      <w:tr w:rsidR="00F51665" w:rsidRPr="001B1DB1" w14:paraId="1B1C8F86" w14:textId="77777777" w:rsidTr="00FF556E">
        <w:trPr>
          <w:trHeight w:val="543"/>
        </w:trPr>
        <w:tc>
          <w:tcPr>
            <w:tcW w:w="709" w:type="dxa"/>
            <w:vMerge/>
            <w:tcBorders>
              <w:left w:val="single" w:sz="4" w:space="0" w:color="000000"/>
              <w:bottom w:val="single" w:sz="4" w:space="0" w:color="000000"/>
              <w:right w:val="single" w:sz="4" w:space="0" w:color="000000"/>
            </w:tcBorders>
            <w:shd w:val="clear" w:color="auto" w:fill="auto"/>
          </w:tcPr>
          <w:p w14:paraId="34B76591" w14:textId="77777777" w:rsidR="00F51665" w:rsidRPr="001B1DB1" w:rsidRDefault="00F51665" w:rsidP="00F51665">
            <w:pPr>
              <w:jc w:val="both"/>
              <w:rPr>
                <w:rFonts w:cs="Times New Roman"/>
                <w:sz w:val="20"/>
                <w:szCs w:val="20"/>
              </w:rPr>
            </w:pPr>
          </w:p>
        </w:tc>
        <w:tc>
          <w:tcPr>
            <w:tcW w:w="3686" w:type="dxa"/>
            <w:vMerge/>
            <w:tcBorders>
              <w:left w:val="single" w:sz="4" w:space="0" w:color="000000"/>
              <w:bottom w:val="single" w:sz="4" w:space="0" w:color="000000"/>
              <w:right w:val="single" w:sz="4" w:space="0" w:color="000000"/>
            </w:tcBorders>
            <w:shd w:val="clear" w:color="auto" w:fill="auto"/>
          </w:tcPr>
          <w:p w14:paraId="7AC03780" w14:textId="77777777" w:rsidR="00F51665" w:rsidRPr="001B1DB1" w:rsidRDefault="00F51665" w:rsidP="00F51665">
            <w:pPr>
              <w:jc w:val="both"/>
              <w:rPr>
                <w:sz w:val="20"/>
                <w:szCs w:val="20"/>
              </w:rPr>
            </w:pPr>
          </w:p>
        </w:tc>
        <w:tc>
          <w:tcPr>
            <w:tcW w:w="1559" w:type="dxa"/>
            <w:vMerge/>
            <w:tcBorders>
              <w:left w:val="single" w:sz="4" w:space="0" w:color="000000"/>
              <w:bottom w:val="single" w:sz="4" w:space="0" w:color="000000"/>
              <w:right w:val="single" w:sz="4" w:space="0" w:color="000000"/>
            </w:tcBorders>
            <w:shd w:val="clear" w:color="auto" w:fill="auto"/>
          </w:tcPr>
          <w:p w14:paraId="3B1E22CF" w14:textId="77777777" w:rsidR="00F51665" w:rsidRPr="001B1DB1" w:rsidRDefault="00F51665" w:rsidP="00F51665">
            <w:pPr>
              <w:jc w:val="both"/>
              <w:rPr>
                <w:sz w:val="20"/>
                <w:szCs w:val="20"/>
              </w:rPr>
            </w:pPr>
          </w:p>
        </w:tc>
        <w:tc>
          <w:tcPr>
            <w:tcW w:w="2551" w:type="dxa"/>
            <w:vMerge/>
            <w:tcBorders>
              <w:left w:val="single" w:sz="4" w:space="0" w:color="000000"/>
              <w:bottom w:val="single" w:sz="4" w:space="0" w:color="000000"/>
              <w:right w:val="single" w:sz="4" w:space="0" w:color="000000"/>
            </w:tcBorders>
            <w:shd w:val="clear" w:color="auto" w:fill="auto"/>
          </w:tcPr>
          <w:p w14:paraId="0E2A3C0A" w14:textId="77777777" w:rsidR="00F51665" w:rsidRPr="001B1DB1" w:rsidRDefault="00F51665" w:rsidP="00F51665">
            <w:pPr>
              <w:jc w:val="both"/>
              <w:rPr>
                <w:rFonts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4E0123" w14:textId="77777777" w:rsidR="00F51665" w:rsidRPr="00053D97" w:rsidRDefault="002E7AD2" w:rsidP="00F51665">
            <w:pPr>
              <w:jc w:val="both"/>
              <w:rPr>
                <w:rFonts w:cs="Times New Roman"/>
                <w:sz w:val="20"/>
                <w:szCs w:val="20"/>
              </w:rPr>
            </w:pPr>
            <w:r w:rsidRPr="00053D97">
              <w:rPr>
                <w:sz w:val="20"/>
                <w:szCs w:val="20"/>
              </w:rPr>
              <w:t xml:space="preserve">2. </w:t>
            </w:r>
            <w:r w:rsidR="00F51665" w:rsidRPr="00053D97">
              <w:rPr>
                <w:sz w:val="20"/>
                <w:szCs w:val="20"/>
              </w:rPr>
              <w:t>Panākta vienošanās par sadarbības modeli</w:t>
            </w:r>
            <w:r w:rsidR="002C73EE" w:rsidRPr="00053D97">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8E435B" w14:textId="21A52330" w:rsidR="00F51665" w:rsidRPr="001B1DB1" w:rsidRDefault="00B30651" w:rsidP="00664B7B">
            <w:pPr>
              <w:jc w:val="center"/>
              <w:rPr>
                <w:sz w:val="20"/>
                <w:szCs w:val="20"/>
              </w:rPr>
            </w:pPr>
            <w:r>
              <w:rPr>
                <w:sz w:val="20"/>
                <w:szCs w:val="20"/>
              </w:rPr>
              <w:t>NKMP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BAB0E9" w14:textId="4A8D37EE" w:rsidR="00F51665" w:rsidRPr="001B1DB1" w:rsidRDefault="00B30651" w:rsidP="00664B7B">
            <w:pPr>
              <w:jc w:val="center"/>
              <w:rPr>
                <w:rFonts w:cs="Times New Roman"/>
                <w:sz w:val="20"/>
                <w:szCs w:val="20"/>
              </w:rPr>
            </w:pPr>
            <w:r>
              <w:rPr>
                <w:rFonts w:cs="Times New Roman"/>
                <w:sz w:val="20"/>
                <w:szCs w:val="20"/>
              </w:rPr>
              <w:t>KM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218C9F" w14:textId="0CC9A3D7" w:rsidR="00F51665" w:rsidRPr="001B1DB1" w:rsidRDefault="00351E4D" w:rsidP="00664B7B">
            <w:pPr>
              <w:jc w:val="center"/>
              <w:rPr>
                <w:rFonts w:cs="Times New Roman"/>
                <w:bCs/>
                <w:sz w:val="20"/>
                <w:szCs w:val="20"/>
              </w:rPr>
            </w:pPr>
            <w:r>
              <w:rPr>
                <w:sz w:val="20"/>
                <w:szCs w:val="20"/>
              </w:rPr>
              <w:t>31.12.</w:t>
            </w:r>
            <w:r w:rsidR="00F51665" w:rsidRPr="001B1DB1">
              <w:rPr>
                <w:sz w:val="20"/>
                <w:szCs w:val="20"/>
              </w:rPr>
              <w:t>2022</w:t>
            </w:r>
            <w:r>
              <w:rPr>
                <w:sz w:val="20"/>
                <w:szCs w:val="20"/>
              </w:rPr>
              <w:t>.</w:t>
            </w:r>
          </w:p>
        </w:tc>
      </w:tr>
      <w:tr w:rsidR="00F51665" w:rsidRPr="001B1DB1" w14:paraId="54B30E6E" w14:textId="77777777" w:rsidTr="00FF556E">
        <w:trPr>
          <w:trHeight w:val="543"/>
        </w:trPr>
        <w:tc>
          <w:tcPr>
            <w:tcW w:w="709" w:type="dxa"/>
            <w:vMerge w:val="restart"/>
            <w:tcBorders>
              <w:top w:val="single" w:sz="4" w:space="0" w:color="000000"/>
              <w:left w:val="single" w:sz="4" w:space="0" w:color="000000"/>
              <w:right w:val="single" w:sz="4" w:space="0" w:color="000000"/>
            </w:tcBorders>
            <w:shd w:val="clear" w:color="auto" w:fill="auto"/>
          </w:tcPr>
          <w:p w14:paraId="31BAC067" w14:textId="77777777" w:rsidR="00F51665" w:rsidRPr="001B1DB1" w:rsidRDefault="00F51665" w:rsidP="00F6007F">
            <w:pPr>
              <w:jc w:val="center"/>
              <w:rPr>
                <w:rFonts w:cs="Times New Roman"/>
                <w:sz w:val="20"/>
                <w:szCs w:val="20"/>
              </w:rPr>
            </w:pPr>
            <w:r w:rsidRPr="001B1DB1">
              <w:rPr>
                <w:sz w:val="20"/>
                <w:szCs w:val="20"/>
              </w:rPr>
              <w:lastRenderedPageBreak/>
              <w:t>2.4.</w:t>
            </w:r>
          </w:p>
        </w:tc>
        <w:tc>
          <w:tcPr>
            <w:tcW w:w="3686" w:type="dxa"/>
            <w:vMerge w:val="restart"/>
            <w:tcBorders>
              <w:top w:val="single" w:sz="4" w:space="0" w:color="000000"/>
              <w:left w:val="single" w:sz="4" w:space="0" w:color="000000"/>
              <w:right w:val="single" w:sz="4" w:space="0" w:color="000000"/>
            </w:tcBorders>
            <w:shd w:val="clear" w:color="auto" w:fill="auto"/>
          </w:tcPr>
          <w:p w14:paraId="6473F626" w14:textId="42441A1F" w:rsidR="00F51665" w:rsidRPr="001B1DB1" w:rsidRDefault="00F51665" w:rsidP="007944F2">
            <w:pPr>
              <w:jc w:val="both"/>
              <w:rPr>
                <w:sz w:val="20"/>
                <w:szCs w:val="20"/>
              </w:rPr>
            </w:pPr>
            <w:r w:rsidRPr="001B1DB1">
              <w:rPr>
                <w:sz w:val="20"/>
                <w:szCs w:val="20"/>
              </w:rPr>
              <w:t>Starptautiskās sadarbības veicināšana NILLTPF novēršanas jomā un tās kontrole, organizējot UKI pieredzes apmaiņas pasākumus par starptautisko sadarbību un informācijas pieprasījumu prioritizāciju un izpildes kvalitāti.</w:t>
            </w:r>
          </w:p>
        </w:tc>
        <w:tc>
          <w:tcPr>
            <w:tcW w:w="1559" w:type="dxa"/>
            <w:vMerge w:val="restart"/>
            <w:tcBorders>
              <w:top w:val="single" w:sz="4" w:space="0" w:color="000000"/>
              <w:left w:val="single" w:sz="4" w:space="0" w:color="000000"/>
              <w:right w:val="single" w:sz="4" w:space="0" w:color="000000"/>
            </w:tcBorders>
            <w:shd w:val="clear" w:color="auto" w:fill="auto"/>
          </w:tcPr>
          <w:p w14:paraId="4FB6FBA0" w14:textId="2C9EC558" w:rsidR="00F51665" w:rsidRPr="001B1DB1" w:rsidRDefault="00F51665" w:rsidP="001209FF">
            <w:pPr>
              <w:jc w:val="both"/>
              <w:rPr>
                <w:sz w:val="20"/>
                <w:szCs w:val="20"/>
              </w:rPr>
            </w:pPr>
            <w:r w:rsidRPr="001B1DB1">
              <w:rPr>
                <w:sz w:val="20"/>
                <w:szCs w:val="20"/>
              </w:rPr>
              <w:t>MONEYVAL 2.1., 2.2., 2.3.</w:t>
            </w:r>
            <w:r w:rsidR="001209FF">
              <w:rPr>
                <w:sz w:val="20"/>
                <w:szCs w:val="20"/>
              </w:rPr>
              <w:t xml:space="preserve"> </w:t>
            </w:r>
            <w:r w:rsidR="001209FF" w:rsidRPr="001B1DB1">
              <w:rPr>
                <w:sz w:val="20"/>
                <w:szCs w:val="20"/>
              </w:rPr>
              <w:t>rekomendācija</w:t>
            </w:r>
            <w:r w:rsidR="001209FF">
              <w:rPr>
                <w:sz w:val="20"/>
                <w:szCs w:val="20"/>
              </w:rPr>
              <w:t>.</w:t>
            </w:r>
          </w:p>
        </w:tc>
        <w:tc>
          <w:tcPr>
            <w:tcW w:w="2551" w:type="dxa"/>
            <w:vMerge w:val="restart"/>
            <w:tcBorders>
              <w:top w:val="single" w:sz="4" w:space="0" w:color="000000"/>
              <w:left w:val="single" w:sz="4" w:space="0" w:color="000000"/>
              <w:right w:val="single" w:sz="4" w:space="0" w:color="000000"/>
            </w:tcBorders>
            <w:shd w:val="clear" w:color="auto" w:fill="auto"/>
          </w:tcPr>
          <w:p w14:paraId="39E01193" w14:textId="7F9EF004" w:rsidR="00F51665" w:rsidRPr="001B1DB1" w:rsidRDefault="00F51665" w:rsidP="00F51665">
            <w:pPr>
              <w:jc w:val="both"/>
              <w:rPr>
                <w:rFonts w:cs="Times New Roman"/>
                <w:sz w:val="20"/>
                <w:szCs w:val="20"/>
              </w:rPr>
            </w:pPr>
            <w:r w:rsidRPr="001B1DB1">
              <w:rPr>
                <w:sz w:val="20"/>
                <w:szCs w:val="20"/>
              </w:rPr>
              <w:t>Iniciēta sadarbība ar citu valstu UKI atbilstoši NILLTPFNL 46.</w:t>
            </w:r>
            <w:r w:rsidR="00107FE9">
              <w:rPr>
                <w:sz w:val="20"/>
                <w:szCs w:val="20"/>
              </w:rPr>
              <w:t xml:space="preserve"> </w:t>
            </w:r>
            <w:r w:rsidRPr="001B1DB1">
              <w:rPr>
                <w:sz w:val="20"/>
                <w:szCs w:val="20"/>
              </w:rPr>
              <w:t>panta pirmās daļas 7.</w:t>
            </w:r>
            <w:r w:rsidR="00107FE9">
              <w:rPr>
                <w:sz w:val="20"/>
                <w:szCs w:val="20"/>
              </w:rPr>
              <w:t xml:space="preserve"> </w:t>
            </w:r>
            <w:r w:rsidRPr="001B1DB1">
              <w:rPr>
                <w:sz w:val="20"/>
                <w:szCs w:val="20"/>
              </w:rPr>
              <w:t xml:space="preserve">punktam.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0F162F" w14:textId="77777777" w:rsidR="00F51665" w:rsidRPr="001B1DB1" w:rsidRDefault="00F51665" w:rsidP="00F51665">
            <w:pPr>
              <w:jc w:val="both"/>
              <w:rPr>
                <w:rFonts w:cs="Times New Roman"/>
                <w:sz w:val="20"/>
                <w:szCs w:val="20"/>
              </w:rPr>
            </w:pPr>
            <w:r w:rsidRPr="001B1DB1">
              <w:rPr>
                <w:sz w:val="20"/>
                <w:szCs w:val="20"/>
              </w:rPr>
              <w:t>1. Nosūtīto informācijas apmaiņas pieprasījumu skaits.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D2E47D" w14:textId="24E24B5B" w:rsidR="00F51665" w:rsidRPr="001B1DB1" w:rsidRDefault="00F51665" w:rsidP="00107FE9">
            <w:pPr>
              <w:jc w:val="center"/>
              <w:rPr>
                <w:sz w:val="20"/>
                <w:szCs w:val="20"/>
              </w:rPr>
            </w:pPr>
            <w:r w:rsidRPr="001B1DB1">
              <w:rPr>
                <w:sz w:val="20"/>
                <w:szCs w:val="20"/>
              </w:rPr>
              <w:t>VID, FKTK, LB, IAUI, LZAP, LZNP, LZRA, NKMP, PTAC,</w:t>
            </w:r>
            <w:r w:rsidR="00F12F45">
              <w:rPr>
                <w:sz w:val="20"/>
                <w:szCs w:val="20"/>
              </w:rPr>
              <w:t xml:space="preserve"> LSMPAA</w:t>
            </w:r>
            <w:r w:rsidR="00171A05">
              <w:rPr>
                <w:sz w:val="20"/>
                <w:szCs w:val="20"/>
              </w:rPr>
              <w:t>,</w:t>
            </w:r>
            <w:r w:rsidR="00FD2944" w:rsidRPr="001B1DB1" w:rsidDel="00FD2944">
              <w:rPr>
                <w:sz w:val="20"/>
                <w:szCs w:val="20"/>
              </w:rPr>
              <w:t xml:space="preserve"> </w:t>
            </w:r>
            <w:r w:rsidR="00171A05">
              <w:rPr>
                <w:rFonts w:cs="Times New Roman"/>
                <w:sz w:val="20"/>
                <w:szCs w:val="20"/>
              </w:rPr>
              <w:t>MKD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9459F8" w14:textId="77777777" w:rsidR="00F51665" w:rsidRPr="001B1DB1" w:rsidRDefault="00F51665" w:rsidP="00664B7B">
            <w:pPr>
              <w:jc w:val="center"/>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4C284F" w14:textId="77777777" w:rsidR="00F51665" w:rsidRPr="001B1DB1" w:rsidRDefault="00F51665" w:rsidP="00664B7B">
            <w:pPr>
              <w:jc w:val="center"/>
              <w:rPr>
                <w:rFonts w:cs="Times New Roman"/>
                <w:bCs/>
                <w:sz w:val="20"/>
                <w:szCs w:val="20"/>
              </w:rPr>
            </w:pPr>
            <w:r w:rsidRPr="001B1DB1">
              <w:rPr>
                <w:sz w:val="20"/>
                <w:szCs w:val="20"/>
              </w:rPr>
              <w:t>Pastāvīgi</w:t>
            </w:r>
          </w:p>
        </w:tc>
      </w:tr>
      <w:tr w:rsidR="00F51665" w:rsidRPr="001B1DB1" w14:paraId="40115407" w14:textId="77777777" w:rsidTr="00FF556E">
        <w:trPr>
          <w:trHeight w:val="543"/>
        </w:trPr>
        <w:tc>
          <w:tcPr>
            <w:tcW w:w="709" w:type="dxa"/>
            <w:vMerge/>
            <w:tcBorders>
              <w:left w:val="single" w:sz="4" w:space="0" w:color="000000"/>
              <w:bottom w:val="single" w:sz="4" w:space="0" w:color="000000"/>
              <w:right w:val="single" w:sz="4" w:space="0" w:color="000000"/>
            </w:tcBorders>
            <w:shd w:val="clear" w:color="auto" w:fill="auto"/>
          </w:tcPr>
          <w:p w14:paraId="743D777C" w14:textId="77777777" w:rsidR="00F51665" w:rsidRPr="001B1DB1" w:rsidRDefault="00F51665" w:rsidP="00F51665">
            <w:pPr>
              <w:jc w:val="both"/>
              <w:rPr>
                <w:rFonts w:cs="Times New Roman"/>
                <w:sz w:val="20"/>
                <w:szCs w:val="20"/>
              </w:rPr>
            </w:pPr>
          </w:p>
        </w:tc>
        <w:tc>
          <w:tcPr>
            <w:tcW w:w="3686" w:type="dxa"/>
            <w:vMerge/>
            <w:tcBorders>
              <w:left w:val="single" w:sz="4" w:space="0" w:color="000000"/>
              <w:bottom w:val="single" w:sz="4" w:space="0" w:color="000000"/>
              <w:right w:val="single" w:sz="4" w:space="0" w:color="000000"/>
            </w:tcBorders>
            <w:shd w:val="clear" w:color="auto" w:fill="auto"/>
          </w:tcPr>
          <w:p w14:paraId="751DD4F7" w14:textId="77777777" w:rsidR="00F51665" w:rsidRPr="001B1DB1" w:rsidRDefault="00F51665" w:rsidP="00F51665">
            <w:pPr>
              <w:jc w:val="both"/>
              <w:rPr>
                <w:sz w:val="20"/>
                <w:szCs w:val="20"/>
              </w:rPr>
            </w:pPr>
          </w:p>
        </w:tc>
        <w:tc>
          <w:tcPr>
            <w:tcW w:w="1559" w:type="dxa"/>
            <w:vMerge/>
            <w:tcBorders>
              <w:left w:val="single" w:sz="4" w:space="0" w:color="000000"/>
              <w:bottom w:val="single" w:sz="4" w:space="0" w:color="000000"/>
              <w:right w:val="single" w:sz="4" w:space="0" w:color="000000"/>
            </w:tcBorders>
            <w:shd w:val="clear" w:color="auto" w:fill="auto"/>
          </w:tcPr>
          <w:p w14:paraId="148010ED" w14:textId="77777777" w:rsidR="00F51665" w:rsidRPr="001B1DB1" w:rsidRDefault="00F51665" w:rsidP="00F51665">
            <w:pPr>
              <w:jc w:val="both"/>
              <w:rPr>
                <w:sz w:val="20"/>
                <w:szCs w:val="20"/>
              </w:rPr>
            </w:pPr>
          </w:p>
        </w:tc>
        <w:tc>
          <w:tcPr>
            <w:tcW w:w="2551" w:type="dxa"/>
            <w:vMerge/>
            <w:tcBorders>
              <w:left w:val="single" w:sz="4" w:space="0" w:color="000000"/>
              <w:bottom w:val="single" w:sz="4" w:space="0" w:color="000000"/>
              <w:right w:val="single" w:sz="4" w:space="0" w:color="000000"/>
            </w:tcBorders>
            <w:shd w:val="clear" w:color="auto" w:fill="auto"/>
          </w:tcPr>
          <w:p w14:paraId="10161E0E" w14:textId="77777777" w:rsidR="00F51665" w:rsidRPr="001B1DB1" w:rsidRDefault="00F51665" w:rsidP="00F51665">
            <w:pPr>
              <w:jc w:val="both"/>
              <w:rPr>
                <w:rFonts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B8BBD47" w14:textId="77777777" w:rsidR="00F51665" w:rsidRPr="001B1DB1" w:rsidRDefault="00F51665" w:rsidP="00F51665">
            <w:pPr>
              <w:jc w:val="both"/>
              <w:rPr>
                <w:rFonts w:cs="Times New Roman"/>
                <w:sz w:val="20"/>
                <w:szCs w:val="20"/>
              </w:rPr>
            </w:pPr>
            <w:r w:rsidRPr="001B1DB1">
              <w:rPr>
                <w:sz w:val="20"/>
                <w:szCs w:val="20"/>
              </w:rPr>
              <w:t>2. Saņemto informācijas apmaiņas pieprasījumu skaits.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E91D7D" w14:textId="1517B475" w:rsidR="00F51665" w:rsidRPr="001B1DB1" w:rsidRDefault="00F51665" w:rsidP="00107FE9">
            <w:pPr>
              <w:jc w:val="center"/>
              <w:rPr>
                <w:sz w:val="20"/>
                <w:szCs w:val="20"/>
              </w:rPr>
            </w:pPr>
            <w:r w:rsidRPr="001B1DB1">
              <w:rPr>
                <w:sz w:val="20"/>
                <w:szCs w:val="20"/>
              </w:rPr>
              <w:t>VID, FKTK, LB, IAUI, LZAP, LZNP, LZRA, NKMP, PTAC,</w:t>
            </w:r>
            <w:r w:rsidR="00F12F45">
              <w:rPr>
                <w:sz w:val="20"/>
                <w:szCs w:val="20"/>
              </w:rPr>
              <w:t xml:space="preserve"> LSMPAA</w:t>
            </w:r>
            <w:r w:rsidR="00171A05">
              <w:rPr>
                <w:sz w:val="20"/>
                <w:szCs w:val="20"/>
              </w:rPr>
              <w:t xml:space="preserve">, </w:t>
            </w:r>
            <w:r w:rsidR="00171A05">
              <w:rPr>
                <w:rFonts w:cs="Times New Roman"/>
                <w:sz w:val="20"/>
                <w:szCs w:val="20"/>
              </w:rPr>
              <w:t>MKD</w:t>
            </w:r>
            <w:r w:rsidRPr="001B1DB1">
              <w:rPr>
                <w:sz w:val="20"/>
                <w:szCs w:val="20"/>
              </w:rPr>
              <w:t xml:space="preserve"> </w:t>
            </w:r>
            <w:r w:rsidR="00FD2944" w:rsidRPr="001B1DB1" w:rsidDel="00FD2944">
              <w:rPr>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1D364D" w14:textId="77777777" w:rsidR="00F51665" w:rsidRPr="001B1DB1" w:rsidRDefault="00F51665" w:rsidP="00664B7B">
            <w:pPr>
              <w:jc w:val="center"/>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90568" w14:textId="77777777" w:rsidR="00F51665" w:rsidRPr="001B1DB1" w:rsidRDefault="00F51665" w:rsidP="00664B7B">
            <w:pPr>
              <w:jc w:val="center"/>
              <w:rPr>
                <w:rFonts w:cs="Times New Roman"/>
                <w:bCs/>
                <w:sz w:val="20"/>
                <w:szCs w:val="20"/>
              </w:rPr>
            </w:pPr>
            <w:r w:rsidRPr="001B1DB1">
              <w:rPr>
                <w:sz w:val="20"/>
                <w:szCs w:val="20"/>
              </w:rPr>
              <w:t>Pastāvīgi</w:t>
            </w:r>
          </w:p>
        </w:tc>
      </w:tr>
      <w:tr w:rsidR="00F51665" w:rsidRPr="001B1DB1" w14:paraId="3468C5A5"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D163EF" w14:textId="77777777" w:rsidR="00F51665" w:rsidRPr="001B1DB1" w:rsidRDefault="00F51665" w:rsidP="00F6007F">
            <w:pPr>
              <w:jc w:val="center"/>
              <w:rPr>
                <w:rFonts w:cs="Times New Roman"/>
                <w:sz w:val="20"/>
                <w:szCs w:val="20"/>
              </w:rPr>
            </w:pPr>
            <w:r w:rsidRPr="001B1DB1">
              <w:rPr>
                <w:sz w:val="20"/>
                <w:szCs w:val="20"/>
              </w:rPr>
              <w:t>2.5.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F3CE65" w14:textId="6A7169AC" w:rsidR="00F51665" w:rsidRPr="001B1DB1" w:rsidRDefault="00F51665" w:rsidP="007944F2">
            <w:pPr>
              <w:jc w:val="both"/>
              <w:rPr>
                <w:sz w:val="20"/>
                <w:szCs w:val="20"/>
              </w:rPr>
            </w:pPr>
            <w:r w:rsidRPr="001B1DB1">
              <w:rPr>
                <w:sz w:val="20"/>
                <w:szCs w:val="20"/>
              </w:rPr>
              <w:t>Nodrošināt, ka Starptautiskās krimināltiesiskās sadarbības lūgumu informācijas sistēma saistībā ar plānotajām izmaiņām TIS atbilst FATF 37. un 38.</w:t>
            </w:r>
            <w:r w:rsidR="007944F2">
              <w:rPr>
                <w:sz w:val="20"/>
                <w:szCs w:val="20"/>
              </w:rPr>
              <w:t xml:space="preserve"> </w:t>
            </w:r>
            <w:r w:rsidRPr="001B1DB1">
              <w:rPr>
                <w:sz w:val="20"/>
                <w:szCs w:val="20"/>
              </w:rPr>
              <w:t>rekomendācijai.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41DB39" w14:textId="1BEFD79C" w:rsidR="00F51665" w:rsidRPr="001B1DB1" w:rsidRDefault="00F51665" w:rsidP="00E36839">
            <w:pPr>
              <w:jc w:val="both"/>
              <w:rPr>
                <w:sz w:val="20"/>
                <w:szCs w:val="20"/>
              </w:rPr>
            </w:pPr>
            <w:r w:rsidRPr="001B1DB1">
              <w:rPr>
                <w:sz w:val="20"/>
                <w:szCs w:val="20"/>
              </w:rPr>
              <w:t>FATF 37. un 38.</w:t>
            </w:r>
            <w:r w:rsidR="00E36839">
              <w:rPr>
                <w:sz w:val="20"/>
                <w:szCs w:val="20"/>
              </w:rPr>
              <w:t xml:space="preserve"> </w:t>
            </w:r>
            <w:r w:rsidRPr="001B1DB1">
              <w:rPr>
                <w:sz w:val="20"/>
                <w:szCs w:val="20"/>
              </w:rPr>
              <w:t>rekomendācija</w:t>
            </w:r>
            <w:r w:rsidR="002C73EE" w:rsidRPr="001B1DB1">
              <w:rPr>
                <w:sz w:val="20"/>
                <w:szCs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83EE13" w14:textId="77777777" w:rsidR="00F51665" w:rsidRPr="001B1DB1" w:rsidRDefault="00F51665" w:rsidP="00F51665">
            <w:pPr>
              <w:jc w:val="both"/>
              <w:rPr>
                <w:rFonts w:cs="Times New Roman"/>
                <w:sz w:val="20"/>
                <w:szCs w:val="20"/>
              </w:rPr>
            </w:pPr>
            <w:r w:rsidRPr="001B1DB1">
              <w:rPr>
                <w:sz w:val="20"/>
                <w:szCs w:val="20"/>
              </w:rPr>
              <w:t>Nodrošināta starptautiskās krimināltiesiskās sadarbības lūgumu vadības sistēmas funkcionēšana.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3513CF8" w14:textId="77777777" w:rsidR="00F51665" w:rsidRPr="001B1DB1" w:rsidRDefault="00F51665" w:rsidP="00F51665">
            <w:pPr>
              <w:jc w:val="both"/>
              <w:rPr>
                <w:rFonts w:cs="Times New Roman"/>
                <w:sz w:val="20"/>
                <w:szCs w:val="20"/>
              </w:rPr>
            </w:pPr>
            <w:r w:rsidRPr="001B1DB1">
              <w:rPr>
                <w:sz w:val="20"/>
                <w:szCs w:val="20"/>
              </w:rPr>
              <w:t>Izstrādāti priekšlikumi Starptautiskās krimināltiesiskās sadarbības lūgumu informācijas sistēmas uzlabošanā.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77E89" w14:textId="3E394F1F" w:rsidR="00F51665" w:rsidRPr="001B1DB1" w:rsidRDefault="00F51665" w:rsidP="00664B7B">
            <w:pPr>
              <w:pStyle w:val="Body"/>
              <w:jc w:val="center"/>
              <w:rPr>
                <w:sz w:val="20"/>
                <w:szCs w:val="20"/>
              </w:rPr>
            </w:pPr>
            <w:r w:rsidRPr="001B1DB1">
              <w:rPr>
                <w:sz w:val="20"/>
                <w:szCs w:val="20"/>
              </w:rPr>
              <w:t>TM (TA), ĢP,</w:t>
            </w:r>
            <w:r w:rsidR="00E41086">
              <w:rPr>
                <w:sz w:val="20"/>
                <w:szCs w:val="20"/>
              </w:rPr>
              <w:t xml:space="preserve"> </w:t>
            </w:r>
            <w:r w:rsidRPr="001B1DB1">
              <w:rPr>
                <w:sz w:val="20"/>
                <w:szCs w:val="20"/>
              </w:rPr>
              <w:t>VP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AE0E0F" w14:textId="77777777" w:rsidR="00F51665" w:rsidRPr="001B1DB1" w:rsidRDefault="00F51665" w:rsidP="00664B7B">
            <w:pPr>
              <w:jc w:val="center"/>
              <w:rPr>
                <w:rFonts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5E2972" w14:textId="77777777" w:rsidR="00F51665" w:rsidRPr="001B1DB1" w:rsidRDefault="002C73EE" w:rsidP="00664B7B">
            <w:pPr>
              <w:jc w:val="center"/>
              <w:rPr>
                <w:rFonts w:cs="Times New Roman"/>
                <w:bCs/>
                <w:sz w:val="20"/>
                <w:szCs w:val="20"/>
              </w:rPr>
            </w:pPr>
            <w:r w:rsidRPr="001B1DB1">
              <w:rPr>
                <w:sz w:val="20"/>
                <w:szCs w:val="20"/>
              </w:rPr>
              <w:t>01.03.</w:t>
            </w:r>
            <w:r w:rsidR="00F51665" w:rsidRPr="001B1DB1">
              <w:rPr>
                <w:sz w:val="20"/>
                <w:szCs w:val="20"/>
              </w:rPr>
              <w:t>2021.</w:t>
            </w:r>
          </w:p>
        </w:tc>
      </w:tr>
      <w:tr w:rsidR="00B9541C" w:rsidRPr="001B1DB1" w14:paraId="662B353D"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B08D47" w14:textId="78DD5712" w:rsidR="00B9541C" w:rsidRPr="001B1DB1" w:rsidRDefault="00B9541C" w:rsidP="00F6007F">
            <w:pPr>
              <w:jc w:val="center"/>
              <w:rPr>
                <w:sz w:val="20"/>
                <w:szCs w:val="20"/>
              </w:rPr>
            </w:pPr>
            <w:r>
              <w:rPr>
                <w:sz w:val="20"/>
                <w:szCs w:val="20"/>
              </w:rPr>
              <w:t>2.6.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428C0F9" w14:textId="543CD3CB" w:rsidR="00B9541C" w:rsidRPr="001B1DB1" w:rsidRDefault="00B9541C" w:rsidP="00B9541C">
            <w:pPr>
              <w:jc w:val="both"/>
              <w:rPr>
                <w:sz w:val="20"/>
                <w:szCs w:val="20"/>
              </w:rPr>
            </w:pPr>
            <w:r>
              <w:rPr>
                <w:sz w:val="20"/>
                <w:szCs w:val="20"/>
              </w:rPr>
              <w:t xml:space="preserve">Nodrošināt, ka UKI, FID un izmeklēšanas iestādes </w:t>
            </w:r>
            <w:r w:rsidRPr="00D860EF">
              <w:rPr>
                <w:sz w:val="20"/>
                <w:szCs w:val="20"/>
              </w:rPr>
              <w:t xml:space="preserve">var ātri, konstruktīvi un efektīvi nodrošināt visplašāko starptautisko sadarbību attiecībā uz </w:t>
            </w:r>
            <w:r>
              <w:rPr>
                <w:sz w:val="20"/>
                <w:szCs w:val="20"/>
              </w:rPr>
              <w:t>NILL</w:t>
            </w:r>
            <w:r w:rsidRPr="00D860EF">
              <w:rPr>
                <w:sz w:val="20"/>
                <w:szCs w:val="20"/>
              </w:rPr>
              <w:t>, saistītiem sākotnējiem noziedzīgajiem nodarīj</w:t>
            </w:r>
            <w:r>
              <w:rPr>
                <w:sz w:val="20"/>
                <w:szCs w:val="20"/>
              </w:rPr>
              <w:t>umiem un terorisma finansēšanu atbilstoši FATF 40. rekomendācijas prasībām.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254BC9" w14:textId="6EE8F0F0" w:rsidR="00B9541C" w:rsidRDefault="00B9541C" w:rsidP="00B9541C">
            <w:pPr>
              <w:jc w:val="both"/>
              <w:rPr>
                <w:sz w:val="20"/>
                <w:szCs w:val="20"/>
              </w:rPr>
            </w:pPr>
            <w:r>
              <w:rPr>
                <w:sz w:val="20"/>
                <w:szCs w:val="20"/>
              </w:rPr>
              <w:t>FATF 40. rekomendācija</w:t>
            </w:r>
            <w:r w:rsidR="001209FF">
              <w:rPr>
                <w:sz w:val="20"/>
                <w:szCs w:val="20"/>
              </w:rPr>
              <w:t>;</w:t>
            </w:r>
          </w:p>
          <w:p w14:paraId="1A7FE4C1" w14:textId="010650F9" w:rsidR="00B9541C" w:rsidRPr="001B1DB1" w:rsidRDefault="00B9541C" w:rsidP="00B9541C">
            <w:pPr>
              <w:jc w:val="both"/>
              <w:rPr>
                <w:sz w:val="20"/>
                <w:szCs w:val="20"/>
              </w:rPr>
            </w:pPr>
            <w:r w:rsidRPr="00CA689C">
              <w:rPr>
                <w:i/>
                <w:sz w:val="20"/>
                <w:szCs w:val="20"/>
              </w:rPr>
              <w:t>Latvia’s First Enhanced Follow up Report</w:t>
            </w:r>
            <w:r>
              <w:rPr>
                <w:sz w:val="20"/>
                <w:szCs w:val="20"/>
              </w:rPr>
              <w:t xml:space="preserve"> – 73. un 75. rindkopa.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7780DA" w14:textId="3C95EC70" w:rsidR="00B9541C" w:rsidRPr="001B1DB1" w:rsidRDefault="00B9541C" w:rsidP="00B9541C">
            <w:pPr>
              <w:jc w:val="both"/>
              <w:rPr>
                <w:sz w:val="20"/>
                <w:szCs w:val="20"/>
              </w:rPr>
            </w:pPr>
            <w:r>
              <w:rPr>
                <w:sz w:val="20"/>
                <w:szCs w:val="20"/>
              </w:rPr>
              <w:t xml:space="preserve">UKI, FID un izmeklēšanas iestāžu īstenotā starptautiskā sadarbība </w:t>
            </w:r>
            <w:r w:rsidRPr="00D860EF">
              <w:rPr>
                <w:sz w:val="20"/>
                <w:szCs w:val="20"/>
              </w:rPr>
              <w:t xml:space="preserve">attiecībā uz </w:t>
            </w:r>
            <w:r>
              <w:rPr>
                <w:sz w:val="20"/>
                <w:szCs w:val="20"/>
              </w:rPr>
              <w:t>NILL</w:t>
            </w:r>
            <w:r w:rsidRPr="00D860EF">
              <w:rPr>
                <w:sz w:val="20"/>
                <w:szCs w:val="20"/>
              </w:rPr>
              <w:t>, saistītiem sākotnējiem noziedzīgajiem nodarīj</w:t>
            </w:r>
            <w:r>
              <w:rPr>
                <w:sz w:val="20"/>
                <w:szCs w:val="20"/>
              </w:rPr>
              <w:t>umiem un terorisma finansēšanu atbilst FATF 40.rekomendācijas prasībām.</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E9702A2" w14:textId="68C2D3D1" w:rsidR="00B9541C" w:rsidRPr="001B1DB1" w:rsidRDefault="00B9541C" w:rsidP="00B9541C">
            <w:pPr>
              <w:jc w:val="both"/>
              <w:rPr>
                <w:sz w:val="20"/>
                <w:szCs w:val="20"/>
              </w:rPr>
            </w:pPr>
            <w:r>
              <w:rPr>
                <w:sz w:val="20"/>
                <w:szCs w:val="20"/>
              </w:rPr>
              <w:t>Papildinātas un aktualizētas „</w:t>
            </w:r>
            <w:r w:rsidRPr="00B205AF">
              <w:rPr>
                <w:sz w:val="20"/>
                <w:szCs w:val="20"/>
              </w:rPr>
              <w:t>Vadlīnijas noziedzīgi iegūtu līdzekļu legalizācijas un terorisma finansēšanas novēršanas uzraudzības un kontroles institūc</w:t>
            </w:r>
            <w:r>
              <w:rPr>
                <w:sz w:val="20"/>
                <w:szCs w:val="20"/>
              </w:rPr>
              <w:t xml:space="preserve">iju starptautiskajai sadarbībai”, attiecinot tās arī uz FID un izmeklēšanas iestāžu īstenoto starptautisko sadarbību saskaņā ar FATF 40.rekomendācijas prasībām.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4D0015" w14:textId="0D2E1CA5" w:rsidR="00B9541C" w:rsidRPr="001B1DB1" w:rsidRDefault="00B9541C" w:rsidP="00B9541C">
            <w:pPr>
              <w:pStyle w:val="Body"/>
              <w:jc w:val="center"/>
              <w:rPr>
                <w:sz w:val="20"/>
                <w:szCs w:val="20"/>
              </w:rPr>
            </w:pPr>
            <w:r>
              <w:rPr>
                <w:sz w:val="20"/>
                <w:szCs w:val="20"/>
              </w:rPr>
              <w:t>TM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08E970" w14:textId="0D9B8A93" w:rsidR="00B9541C" w:rsidRPr="001B1DB1" w:rsidRDefault="00B9541C" w:rsidP="00B9541C">
            <w:pPr>
              <w:jc w:val="center"/>
              <w:rPr>
                <w:rFonts w:cs="Times New Roman"/>
                <w:sz w:val="20"/>
                <w:szCs w:val="20"/>
              </w:rPr>
            </w:pPr>
            <w:r w:rsidRPr="001B1DB1">
              <w:rPr>
                <w:sz w:val="20"/>
                <w:szCs w:val="20"/>
              </w:rPr>
              <w:t>VID, FKTK, LB, IAUI, LZAP, LZNP, LZRA, NKMP, PTAC,</w:t>
            </w:r>
            <w:r>
              <w:rPr>
                <w:sz w:val="20"/>
                <w:szCs w:val="20"/>
              </w:rPr>
              <w:t xml:space="preserve"> LSMPAA,</w:t>
            </w:r>
            <w:r w:rsidR="00171A05">
              <w:rPr>
                <w:sz w:val="20"/>
                <w:szCs w:val="20"/>
              </w:rPr>
              <w:t xml:space="preserve"> </w:t>
            </w:r>
            <w:r w:rsidR="00171A05">
              <w:rPr>
                <w:rFonts w:cs="Times New Roman"/>
                <w:sz w:val="20"/>
                <w:szCs w:val="20"/>
              </w:rPr>
              <w:t>MKD,</w:t>
            </w:r>
            <w:r w:rsidRPr="001B1DB1">
              <w:rPr>
                <w:sz w:val="20"/>
                <w:szCs w:val="20"/>
              </w:rPr>
              <w:t xml:space="preserve"> FID</w:t>
            </w:r>
            <w:r>
              <w:rPr>
                <w:sz w:val="20"/>
                <w:szCs w:val="20"/>
              </w:rPr>
              <w:t xml:space="preserve">, </w:t>
            </w:r>
            <w:r w:rsidRPr="001B1DB1">
              <w:rPr>
                <w:sz w:val="20"/>
                <w:szCs w:val="20"/>
              </w:rPr>
              <w:t xml:space="preserve">VP, KNAB, VDD, VRS, IDB, </w:t>
            </w:r>
            <w:r w:rsidRPr="00833304">
              <w:rPr>
                <w:sz w:val="20"/>
                <w:szCs w:val="20"/>
              </w:rPr>
              <w:t>MP</w:t>
            </w:r>
            <w:r w:rsidRPr="001B1DB1">
              <w:rPr>
                <w:sz w:val="20"/>
                <w:szCs w:val="20"/>
              </w:rPr>
              <w:t>, IeVP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F05649" w14:textId="63511F2C" w:rsidR="00B9541C" w:rsidRPr="001B1DB1" w:rsidRDefault="00B9541C" w:rsidP="00B9541C">
            <w:pPr>
              <w:jc w:val="center"/>
              <w:rPr>
                <w:sz w:val="20"/>
                <w:szCs w:val="20"/>
              </w:rPr>
            </w:pPr>
            <w:r>
              <w:rPr>
                <w:sz w:val="20"/>
                <w:szCs w:val="20"/>
              </w:rPr>
              <w:t>31.12.2020.</w:t>
            </w:r>
          </w:p>
        </w:tc>
      </w:tr>
      <w:tr w:rsidR="00BB1744" w:rsidRPr="001B1DB1" w14:paraId="02B1C4F3" w14:textId="77777777" w:rsidTr="00172808">
        <w:trPr>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65626A" w14:textId="34EFA49D" w:rsidR="00BB1744" w:rsidRDefault="00BB1744" w:rsidP="00F6007F">
            <w:pPr>
              <w:jc w:val="center"/>
              <w:rPr>
                <w:sz w:val="20"/>
                <w:szCs w:val="20"/>
              </w:rPr>
            </w:pPr>
            <w:r>
              <w:rPr>
                <w:sz w:val="20"/>
                <w:szCs w:val="20"/>
              </w:rPr>
              <w:lastRenderedPageBreak/>
              <w:t>2.7.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87D6CAE" w14:textId="7923D4C0" w:rsidR="00BB1744" w:rsidRDefault="000F2EB7" w:rsidP="008B7EFA">
            <w:pPr>
              <w:jc w:val="both"/>
              <w:rPr>
                <w:sz w:val="20"/>
                <w:szCs w:val="20"/>
              </w:rPr>
            </w:pPr>
            <w:r w:rsidRPr="000F2EB7">
              <w:rPr>
                <w:sz w:val="20"/>
                <w:szCs w:val="20"/>
              </w:rPr>
              <w:t>Organizēt starptautiska līmeņa Egmont grupas plenārsēd</w:t>
            </w:r>
            <w:r>
              <w:rPr>
                <w:sz w:val="20"/>
                <w:szCs w:val="20"/>
              </w:rPr>
              <w:t>i</w:t>
            </w:r>
            <w:r w:rsidRPr="000F2EB7">
              <w:rPr>
                <w:sz w:val="20"/>
                <w:szCs w:val="20"/>
              </w:rPr>
              <w:t xml:space="preserve"> Rīgā</w:t>
            </w:r>
            <w:r w:rsidR="00BB1744" w:rsidRPr="001B1DB1">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BEFF8A" w14:textId="7D3E39EA" w:rsidR="00BB1744" w:rsidRDefault="00362151" w:rsidP="00BB1744">
            <w:pPr>
              <w:jc w:val="both"/>
              <w:rPr>
                <w:sz w:val="20"/>
                <w:szCs w:val="20"/>
              </w:rPr>
            </w:pPr>
            <w:r w:rsidRPr="00362151">
              <w:rPr>
                <w:sz w:val="20"/>
                <w:szCs w:val="20"/>
              </w:rPr>
              <w:t>Egmont grupas</w:t>
            </w:r>
            <w:r>
              <w:rPr>
                <w:sz w:val="20"/>
                <w:szCs w:val="20"/>
              </w:rPr>
              <w:t xml:space="preserve"> iniciatīva.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05E310B" w14:textId="290C8C14" w:rsidR="00BB1744" w:rsidRDefault="00BB1744" w:rsidP="000F2EB7">
            <w:pPr>
              <w:jc w:val="both"/>
              <w:rPr>
                <w:sz w:val="20"/>
                <w:szCs w:val="20"/>
              </w:rPr>
            </w:pPr>
            <w:r>
              <w:rPr>
                <w:rFonts w:cs="Times New Roman"/>
                <w:sz w:val="20"/>
                <w:szCs w:val="20"/>
              </w:rPr>
              <w:t xml:space="preserve">Stiprināta </w:t>
            </w:r>
            <w:r w:rsidR="000F2EB7" w:rsidRPr="000F2EB7">
              <w:rPr>
                <w:rFonts w:cs="Times New Roman"/>
                <w:sz w:val="20"/>
                <w:szCs w:val="20"/>
              </w:rPr>
              <w:t>Latvijas kā valsts, kas veiksmīgi stiprinājusi finanšu sektoru krīzes situācijā, starptautisk</w:t>
            </w:r>
            <w:r w:rsidR="000F2EB7">
              <w:rPr>
                <w:rFonts w:cs="Times New Roman"/>
                <w:sz w:val="20"/>
                <w:szCs w:val="20"/>
              </w:rPr>
              <w:t>ā</w:t>
            </w:r>
            <w:r w:rsidRPr="001B1DB1">
              <w:rPr>
                <w:rFonts w:cs="Times New Roman"/>
                <w:sz w:val="20"/>
                <w:szCs w:val="20"/>
              </w:rPr>
              <w:t xml:space="preserve"> reputācija.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88C39A8" w14:textId="5BF5C073" w:rsidR="00BB1744" w:rsidRDefault="00BB1744" w:rsidP="00BB1744">
            <w:pPr>
              <w:jc w:val="both"/>
              <w:rPr>
                <w:sz w:val="20"/>
                <w:szCs w:val="20"/>
              </w:rPr>
            </w:pPr>
            <w:r>
              <w:rPr>
                <w:sz w:val="20"/>
                <w:szCs w:val="20"/>
              </w:rPr>
              <w:t>Organizēta s</w:t>
            </w:r>
            <w:r w:rsidRPr="001B1DB1">
              <w:rPr>
                <w:sz w:val="20"/>
                <w:szCs w:val="20"/>
              </w:rPr>
              <w:t xml:space="preserve">tarptautiska līmeņa </w:t>
            </w:r>
            <w:r w:rsidRPr="00A52F7A">
              <w:rPr>
                <w:sz w:val="20"/>
                <w:szCs w:val="20"/>
              </w:rPr>
              <w:t>Egmont grupas plenārsēd</w:t>
            </w:r>
            <w:r>
              <w:rPr>
                <w:sz w:val="20"/>
                <w:szCs w:val="20"/>
              </w:rPr>
              <w:t>e</w:t>
            </w:r>
            <w:r w:rsidRPr="00A52F7A">
              <w:rPr>
                <w:sz w:val="20"/>
                <w:szCs w:val="20"/>
              </w:rPr>
              <w:t xml:space="preserve"> </w:t>
            </w:r>
            <w:r>
              <w:rPr>
                <w:sz w:val="20"/>
                <w:szCs w:val="20"/>
              </w:rPr>
              <w:t xml:space="preserve"> </w:t>
            </w:r>
            <w:r w:rsidRPr="001B1DB1">
              <w:rPr>
                <w:sz w:val="20"/>
                <w:szCs w:val="20"/>
              </w:rPr>
              <w:t>Rīgā.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8CA086" w14:textId="7DE4D9E2" w:rsidR="00BB1744" w:rsidRDefault="00BB1744" w:rsidP="00BB1744">
            <w:pPr>
              <w:pStyle w:val="Body"/>
              <w:jc w:val="center"/>
              <w:rPr>
                <w:sz w:val="20"/>
                <w:szCs w:val="20"/>
              </w:rPr>
            </w:pPr>
            <w:r w:rsidRPr="001B1DB1">
              <w:rPr>
                <w:sz w:val="20"/>
                <w:szCs w:val="20"/>
              </w:rPr>
              <w:t>FID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F6FAE3" w14:textId="4F87B8B3" w:rsidR="00BB1744" w:rsidRPr="001B1DB1" w:rsidRDefault="00BB1744" w:rsidP="00BB1744">
            <w:pPr>
              <w:jc w:val="center"/>
              <w:rPr>
                <w:sz w:val="20"/>
                <w:szCs w:val="20"/>
              </w:rPr>
            </w:pPr>
            <w:r w:rsidRPr="001B1DB1">
              <w:rPr>
                <w:sz w:val="20"/>
                <w:szCs w:val="20"/>
              </w:rPr>
              <w:t xml:space="preserve">ĀM, </w:t>
            </w:r>
            <w:r>
              <w:rPr>
                <w:sz w:val="20"/>
                <w:szCs w:val="20"/>
              </w:rPr>
              <w:t>LIAA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03B7E0" w14:textId="5EFAA6D8" w:rsidR="00BB1744" w:rsidRDefault="00BB1744" w:rsidP="00BB1744">
            <w:pPr>
              <w:jc w:val="center"/>
              <w:rPr>
                <w:sz w:val="20"/>
                <w:szCs w:val="20"/>
              </w:rPr>
            </w:pPr>
            <w:r>
              <w:rPr>
                <w:rFonts w:cs="Times New Roman"/>
                <w:bCs/>
                <w:sz w:val="20"/>
                <w:szCs w:val="20"/>
              </w:rPr>
              <w:t>31.07.2022</w:t>
            </w:r>
            <w:r w:rsidR="00847CE3">
              <w:rPr>
                <w:rFonts w:cs="Times New Roman"/>
                <w:bCs/>
                <w:sz w:val="20"/>
                <w:szCs w:val="20"/>
              </w:rPr>
              <w:t>.</w:t>
            </w:r>
          </w:p>
        </w:tc>
      </w:tr>
    </w:tbl>
    <w:p w14:paraId="32730C81" w14:textId="77777777" w:rsidR="009754EF" w:rsidRPr="001B1DB1" w:rsidRDefault="009754EF" w:rsidP="009754EF">
      <w:pPr>
        <w:pStyle w:val="Heading2"/>
        <w:ind w:left="720"/>
        <w:rPr>
          <w:rFonts w:ascii="Times New Roman" w:hAnsi="Times New Roman" w:cs="Times New Roman"/>
          <w:b/>
          <w:color w:val="auto"/>
          <w:sz w:val="28"/>
          <w:szCs w:val="28"/>
        </w:rPr>
      </w:pPr>
    </w:p>
    <w:p w14:paraId="02B3883C"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u</w:t>
      </w:r>
      <w:r w:rsidR="00913DC1" w:rsidRPr="001B1DB1">
        <w:rPr>
          <w:rFonts w:ascii="Times New Roman" w:hAnsi="Times New Roman" w:cs="Times New Roman"/>
          <w:b/>
          <w:color w:val="auto"/>
          <w:sz w:val="28"/>
          <w:szCs w:val="28"/>
        </w:rPr>
        <w:t>zraudzība</w:t>
      </w:r>
    </w:p>
    <w:p w14:paraId="3C7E1155" w14:textId="77777777" w:rsidR="00C703D7" w:rsidRPr="001B1DB1" w:rsidRDefault="00C703D7" w:rsidP="00C703D7">
      <w:pPr>
        <w:pStyle w:val="Heading2"/>
        <w:rPr>
          <w:rFonts w:ascii="Times New Roman" w:hAnsi="Times New Roman" w:cs="Times New Roman"/>
          <w:b/>
          <w:color w:val="auto"/>
          <w:sz w:val="28"/>
          <w:szCs w:val="28"/>
        </w:rPr>
      </w:pPr>
    </w:p>
    <w:p w14:paraId="4B6BB1D0" w14:textId="24919C65" w:rsidR="00C703D7" w:rsidRPr="007632E0" w:rsidRDefault="00C703D7" w:rsidP="00210B8B">
      <w:pPr>
        <w:jc w:val="both"/>
        <w:rPr>
          <w:szCs w:val="24"/>
        </w:rPr>
      </w:pPr>
      <w:r w:rsidRPr="001B1DB1">
        <w:rPr>
          <w:szCs w:val="24"/>
        </w:rPr>
        <w:t xml:space="preserve">Par rīcības virzienu atbildīgā </w:t>
      </w:r>
      <w:r w:rsidR="000853A3" w:rsidRPr="000853A3">
        <w:rPr>
          <w:szCs w:val="24"/>
        </w:rPr>
        <w:t>institūcija</w:t>
      </w:r>
      <w:r w:rsidRPr="007632E0">
        <w:rPr>
          <w:szCs w:val="24"/>
        </w:rPr>
        <w:t xml:space="preserve">: </w:t>
      </w:r>
      <w:r w:rsidR="003B47DA" w:rsidRPr="007632E0">
        <w:rPr>
          <w:szCs w:val="24"/>
        </w:rPr>
        <w:t>F</w:t>
      </w:r>
      <w:r w:rsidR="00896F55" w:rsidRPr="007632E0">
        <w:rPr>
          <w:szCs w:val="24"/>
        </w:rPr>
        <w:t>M</w:t>
      </w:r>
    </w:p>
    <w:p w14:paraId="7D91516D" w14:textId="44D9021E" w:rsidR="00C703D7" w:rsidRPr="007632E0" w:rsidRDefault="00C703D7" w:rsidP="00C703D7">
      <w:pPr>
        <w:jc w:val="both"/>
        <w:rPr>
          <w:szCs w:val="24"/>
        </w:rPr>
      </w:pPr>
      <w:r w:rsidRPr="007632E0">
        <w:rPr>
          <w:szCs w:val="24"/>
        </w:rPr>
        <w:t xml:space="preserve">Līdzatbildīgās </w:t>
      </w:r>
      <w:r w:rsidR="00D00DDA">
        <w:rPr>
          <w:szCs w:val="24"/>
        </w:rPr>
        <w:t>institūcijas</w:t>
      </w:r>
      <w:r w:rsidRPr="007632E0">
        <w:rPr>
          <w:szCs w:val="24"/>
        </w:rPr>
        <w:t>:</w:t>
      </w:r>
      <w:r w:rsidR="003B47DA" w:rsidRPr="007632E0">
        <w:rPr>
          <w:szCs w:val="24"/>
        </w:rPr>
        <w:t xml:space="preserve"> </w:t>
      </w:r>
      <w:r w:rsidR="007632E0" w:rsidRPr="007632E0">
        <w:rPr>
          <w:szCs w:val="24"/>
        </w:rPr>
        <w:t xml:space="preserve">EM, FID, </w:t>
      </w:r>
      <w:r w:rsidR="00D33872" w:rsidRPr="007632E0">
        <w:rPr>
          <w:szCs w:val="24"/>
        </w:rPr>
        <w:t xml:space="preserve">FKTK, </w:t>
      </w:r>
      <w:r w:rsidR="00917CEE">
        <w:rPr>
          <w:szCs w:val="24"/>
        </w:rPr>
        <w:t>L</w:t>
      </w:r>
      <w:r w:rsidR="007632E0" w:rsidRPr="007632E0">
        <w:rPr>
          <w:szCs w:val="24"/>
        </w:rPr>
        <w:t xml:space="preserve">FNA, IAUI, KM, KNAB, </w:t>
      </w:r>
      <w:r w:rsidR="00D33872" w:rsidRPr="007632E0">
        <w:rPr>
          <w:szCs w:val="24"/>
        </w:rPr>
        <w:t>LB,</w:t>
      </w:r>
      <w:r w:rsidR="00F12F45">
        <w:rPr>
          <w:szCs w:val="24"/>
        </w:rPr>
        <w:t xml:space="preserve"> LSMPAA,</w:t>
      </w:r>
      <w:r w:rsidR="00D33872" w:rsidRPr="007632E0">
        <w:rPr>
          <w:szCs w:val="24"/>
        </w:rPr>
        <w:t xml:space="preserve"> </w:t>
      </w:r>
      <w:r w:rsidR="003B47DA" w:rsidRPr="007632E0">
        <w:rPr>
          <w:szCs w:val="24"/>
        </w:rPr>
        <w:t xml:space="preserve">LZAP, LZNP, LZRA, </w:t>
      </w:r>
      <w:r w:rsidR="00C5365F">
        <w:rPr>
          <w:szCs w:val="24"/>
        </w:rPr>
        <w:t xml:space="preserve">MKD, </w:t>
      </w:r>
      <w:r w:rsidR="003B47DA" w:rsidRPr="007632E0">
        <w:rPr>
          <w:szCs w:val="24"/>
        </w:rPr>
        <w:t xml:space="preserve">NKMP, PTAC, </w:t>
      </w:r>
      <w:r w:rsidR="00CD3388">
        <w:rPr>
          <w:szCs w:val="24"/>
        </w:rPr>
        <w:t xml:space="preserve">VDD, </w:t>
      </w:r>
      <w:r w:rsidR="007632E0" w:rsidRPr="007632E0">
        <w:rPr>
          <w:szCs w:val="24"/>
        </w:rPr>
        <w:t xml:space="preserve">VID, </w:t>
      </w:r>
      <w:r w:rsidR="00E70B70" w:rsidRPr="007632E0">
        <w:rPr>
          <w:szCs w:val="24"/>
        </w:rPr>
        <w:t>VP</w:t>
      </w:r>
    </w:p>
    <w:p w14:paraId="4AEDACC5"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12517F" w:rsidRPr="001B1DB1" w14:paraId="5C9B7FE1" w14:textId="77777777" w:rsidTr="009744C5">
        <w:tc>
          <w:tcPr>
            <w:tcW w:w="4395" w:type="dxa"/>
            <w:gridSpan w:val="2"/>
          </w:tcPr>
          <w:p w14:paraId="1B09EA3E" w14:textId="77777777" w:rsidR="0012517F" w:rsidRPr="001B1DB1" w:rsidRDefault="0012517F" w:rsidP="0012517F">
            <w:pPr>
              <w:rPr>
                <w:rFonts w:cs="Times New Roman"/>
                <w:b/>
                <w:bCs/>
                <w:sz w:val="20"/>
                <w:szCs w:val="20"/>
              </w:rPr>
            </w:pPr>
            <w:r w:rsidRPr="001B1DB1">
              <w:rPr>
                <w:rFonts w:cs="Times New Roman"/>
                <w:b/>
                <w:bCs/>
                <w:sz w:val="20"/>
                <w:szCs w:val="20"/>
              </w:rPr>
              <w:t>Rīcības virziens</w:t>
            </w:r>
          </w:p>
        </w:tc>
        <w:tc>
          <w:tcPr>
            <w:tcW w:w="10631" w:type="dxa"/>
            <w:gridSpan w:val="6"/>
          </w:tcPr>
          <w:p w14:paraId="666C1CD8" w14:textId="77777777" w:rsidR="0012517F" w:rsidRPr="001B1DB1" w:rsidRDefault="00913DC1" w:rsidP="0012517F">
            <w:pPr>
              <w:jc w:val="both"/>
              <w:rPr>
                <w:rFonts w:cs="Times New Roman"/>
                <w:b/>
                <w:bCs/>
                <w:sz w:val="20"/>
                <w:szCs w:val="20"/>
              </w:rPr>
            </w:pPr>
            <w:r w:rsidRPr="001B1DB1">
              <w:rPr>
                <w:rFonts w:cs="Times New Roman"/>
                <w:b/>
                <w:bCs/>
                <w:sz w:val="20"/>
                <w:szCs w:val="20"/>
              </w:rPr>
              <w:t>UZRAUDZĪBA</w:t>
            </w:r>
          </w:p>
        </w:tc>
      </w:tr>
      <w:tr w:rsidR="00653158" w:rsidRPr="001B1DB1" w14:paraId="2A6433C3" w14:textId="77777777" w:rsidTr="009744C5">
        <w:tc>
          <w:tcPr>
            <w:tcW w:w="4395" w:type="dxa"/>
            <w:gridSpan w:val="2"/>
          </w:tcPr>
          <w:p w14:paraId="5485CCC7" w14:textId="642D95C3"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Pr>
          <w:p w14:paraId="2C0DD9AB" w14:textId="77777777" w:rsidR="00653158" w:rsidRPr="001B1DB1" w:rsidRDefault="00653158">
            <w:pPr>
              <w:jc w:val="both"/>
              <w:rPr>
                <w:rFonts w:cs="Times New Roman"/>
                <w:b/>
                <w:bCs/>
                <w:sz w:val="20"/>
                <w:szCs w:val="20"/>
              </w:rPr>
            </w:pPr>
            <w:r w:rsidRPr="001B1DB1">
              <w:rPr>
                <w:rFonts w:cs="Times New Roman"/>
                <w:b/>
                <w:bCs/>
                <w:sz w:val="20"/>
                <w:szCs w:val="20"/>
              </w:rPr>
              <w:t>UKI pienācīgi uzrauga, kontrolē un regulē finanšu iestādes, NNDP un virtuālo aktīvu pakalpojumu sniedzējus, lai nodrošinātu atbilstību NILLTPFN prasībām, kas ir samērīgas atbilstošajiem riskiem.</w:t>
            </w:r>
          </w:p>
        </w:tc>
      </w:tr>
      <w:tr w:rsidR="00C703D7" w:rsidRPr="001B1DB1" w14:paraId="1CFBFA95" w14:textId="77777777" w:rsidTr="009744C5">
        <w:trPr>
          <w:trHeight w:val="543"/>
        </w:trPr>
        <w:tc>
          <w:tcPr>
            <w:tcW w:w="709" w:type="dxa"/>
          </w:tcPr>
          <w:p w14:paraId="612293FC"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69403B7"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775F3CCC"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1BAC5C97"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3E68D7B6"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57282633"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3A4E5E80"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6B8C2485"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7A620237"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CF34C2" w:rsidRPr="001B1DB1" w14:paraId="4CCD1A5B" w14:textId="77777777" w:rsidTr="00002D3D">
        <w:trPr>
          <w:trHeight w:val="543"/>
        </w:trPr>
        <w:tc>
          <w:tcPr>
            <w:tcW w:w="709" w:type="dxa"/>
            <w:vMerge w:val="restart"/>
          </w:tcPr>
          <w:p w14:paraId="09C8F0B0" w14:textId="77777777" w:rsidR="00CF34C2" w:rsidRPr="001B1DB1" w:rsidRDefault="00CF34C2" w:rsidP="00002D3D">
            <w:pPr>
              <w:jc w:val="center"/>
              <w:rPr>
                <w:rFonts w:cs="Times New Roman"/>
                <w:bCs/>
                <w:sz w:val="20"/>
                <w:szCs w:val="20"/>
              </w:rPr>
            </w:pPr>
            <w:r w:rsidRPr="001B1DB1">
              <w:rPr>
                <w:rFonts w:cs="Times New Roman"/>
                <w:bCs/>
                <w:sz w:val="20"/>
                <w:szCs w:val="20"/>
              </w:rPr>
              <w:t>3.1.</w:t>
            </w:r>
          </w:p>
        </w:tc>
        <w:tc>
          <w:tcPr>
            <w:tcW w:w="3686" w:type="dxa"/>
            <w:vMerge w:val="restart"/>
            <w:shd w:val="clear" w:color="auto" w:fill="auto"/>
          </w:tcPr>
          <w:p w14:paraId="7CC63925" w14:textId="47B198D0" w:rsidR="00CF34C2" w:rsidRPr="001B1DB1" w:rsidRDefault="00CF34C2" w:rsidP="00002D3D">
            <w:pPr>
              <w:jc w:val="both"/>
              <w:rPr>
                <w:sz w:val="20"/>
                <w:szCs w:val="20"/>
              </w:rPr>
            </w:pPr>
            <w:r w:rsidRPr="001B1DB1">
              <w:rPr>
                <w:rFonts w:cs="Times New Roman"/>
                <w:sz w:val="20"/>
                <w:szCs w:val="20"/>
              </w:rPr>
              <w:t xml:space="preserve">Nodrošināt </w:t>
            </w:r>
            <w:r w:rsidR="00D06F5B" w:rsidRPr="001B1DB1">
              <w:rPr>
                <w:rFonts w:cs="Times New Roman"/>
                <w:sz w:val="20"/>
                <w:szCs w:val="20"/>
              </w:rPr>
              <w:t>ar risk</w:t>
            </w:r>
            <w:r w:rsidR="00D21CEE">
              <w:rPr>
                <w:rFonts w:cs="Times New Roman"/>
                <w:sz w:val="20"/>
                <w:szCs w:val="20"/>
              </w:rPr>
              <w:t>iem</w:t>
            </w:r>
            <w:r w:rsidR="00D06F5B" w:rsidRPr="001B1DB1">
              <w:rPr>
                <w:rFonts w:cs="Times New Roman"/>
                <w:sz w:val="20"/>
                <w:szCs w:val="20"/>
              </w:rPr>
              <w:t xml:space="preserve"> pamatotu </w:t>
            </w:r>
            <w:r w:rsidRPr="001B1DB1">
              <w:rPr>
                <w:rFonts w:cs="Times New Roman"/>
                <w:sz w:val="20"/>
                <w:szCs w:val="20"/>
              </w:rPr>
              <w:t>uzraudzības procesu</w:t>
            </w:r>
            <w:r w:rsidR="002C73EE" w:rsidRPr="001B1DB1">
              <w:rPr>
                <w:rFonts w:cs="Times New Roman"/>
                <w:sz w:val="20"/>
                <w:szCs w:val="20"/>
              </w:rPr>
              <w:t>.</w:t>
            </w:r>
          </w:p>
        </w:tc>
        <w:tc>
          <w:tcPr>
            <w:tcW w:w="1559" w:type="dxa"/>
            <w:vMerge w:val="restart"/>
          </w:tcPr>
          <w:p w14:paraId="5B8B3CE5" w14:textId="44499210" w:rsidR="00CF34C2" w:rsidRPr="001B1DB1" w:rsidRDefault="00CF34C2" w:rsidP="00002D3D">
            <w:pPr>
              <w:jc w:val="both"/>
              <w:rPr>
                <w:rFonts w:cs="Times New Roman"/>
                <w:sz w:val="20"/>
                <w:szCs w:val="20"/>
              </w:rPr>
            </w:pPr>
            <w:r w:rsidRPr="001B1DB1">
              <w:rPr>
                <w:rFonts w:cs="Times New Roman"/>
                <w:sz w:val="20"/>
                <w:szCs w:val="20"/>
              </w:rPr>
              <w:t>MONEYVAL 3.1., 3.4., 4.1, 4.2., 4.3.,. 4.4., 4.5., 4.7., 4.8., 4.16., 7.3.</w:t>
            </w:r>
            <w:r w:rsidR="001209FF">
              <w:rPr>
                <w:rFonts w:cs="Times New Roman"/>
                <w:sz w:val="20"/>
                <w:szCs w:val="20"/>
              </w:rPr>
              <w:t xml:space="preserve"> </w:t>
            </w:r>
            <w:r w:rsidR="001209FF" w:rsidRPr="001B1DB1">
              <w:rPr>
                <w:rFonts w:cs="Times New Roman"/>
                <w:sz w:val="20"/>
                <w:szCs w:val="20"/>
              </w:rPr>
              <w:t>rekomendācija</w:t>
            </w:r>
            <w:r w:rsidR="001209FF">
              <w:rPr>
                <w:rFonts w:cs="Times New Roman"/>
                <w:sz w:val="20"/>
                <w:szCs w:val="20"/>
              </w:rPr>
              <w:t>;</w:t>
            </w:r>
          </w:p>
          <w:p w14:paraId="07AC1229" w14:textId="475B2EB0" w:rsidR="00CF34C2" w:rsidRPr="001B1DB1" w:rsidRDefault="001209FF" w:rsidP="00214D65">
            <w:pPr>
              <w:jc w:val="both"/>
              <w:rPr>
                <w:rFonts w:cs="Times New Roman"/>
                <w:sz w:val="20"/>
                <w:szCs w:val="20"/>
              </w:rPr>
            </w:pPr>
            <w:r>
              <w:rPr>
                <w:rFonts w:cs="Times New Roman"/>
                <w:sz w:val="20"/>
                <w:szCs w:val="20"/>
              </w:rPr>
              <w:t>s</w:t>
            </w:r>
            <w:r w:rsidR="00CB680F" w:rsidRPr="001B1DB1">
              <w:rPr>
                <w:rFonts w:cs="Times New Roman"/>
                <w:sz w:val="20"/>
                <w:szCs w:val="20"/>
              </w:rPr>
              <w:t>ektorālie risku novērtējumi</w:t>
            </w:r>
            <w:r w:rsidR="002C73EE" w:rsidRPr="001B1DB1">
              <w:rPr>
                <w:rFonts w:cs="Times New Roman"/>
                <w:sz w:val="20"/>
                <w:szCs w:val="20"/>
              </w:rPr>
              <w:t>.</w:t>
            </w:r>
          </w:p>
        </w:tc>
        <w:tc>
          <w:tcPr>
            <w:tcW w:w="2551" w:type="dxa"/>
            <w:shd w:val="clear" w:color="auto" w:fill="auto"/>
          </w:tcPr>
          <w:p w14:paraId="6F4150C2" w14:textId="77777777" w:rsidR="00CF34C2" w:rsidRPr="001B1DB1" w:rsidRDefault="00CF34C2" w:rsidP="00D16025">
            <w:pPr>
              <w:jc w:val="both"/>
              <w:rPr>
                <w:rFonts w:cs="Times New Roman"/>
                <w:sz w:val="20"/>
                <w:szCs w:val="20"/>
              </w:rPr>
            </w:pPr>
            <w:r w:rsidRPr="001B1DB1">
              <w:rPr>
                <w:rFonts w:cs="Times New Roman"/>
                <w:sz w:val="20"/>
                <w:szCs w:val="20"/>
              </w:rPr>
              <w:t>1. Pārbaudes NILLTPF novēršanas jomā tiek veiktas atbilstoši novērtētajiem riskiem.</w:t>
            </w:r>
          </w:p>
        </w:tc>
        <w:tc>
          <w:tcPr>
            <w:tcW w:w="2694" w:type="dxa"/>
          </w:tcPr>
          <w:p w14:paraId="37C42693" w14:textId="77777777" w:rsidR="00CF34C2" w:rsidRPr="001B1DB1" w:rsidRDefault="00CF34C2" w:rsidP="00002D3D">
            <w:pPr>
              <w:jc w:val="both"/>
              <w:rPr>
                <w:rFonts w:cs="Times New Roman"/>
                <w:sz w:val="20"/>
                <w:szCs w:val="20"/>
              </w:rPr>
            </w:pPr>
            <w:r w:rsidRPr="001B1DB1">
              <w:rPr>
                <w:rFonts w:cs="Times New Roman"/>
                <w:sz w:val="20"/>
                <w:szCs w:val="20"/>
              </w:rPr>
              <w:t>Visās UKI ir pilnveidota nozares apdraudējumu un ievainojamības risku noteikšanas un profilēšanas matrica, kas identificē augstākā riska likuma subjektus, tai skaitā ņemot vērā:</w:t>
            </w:r>
          </w:p>
          <w:p w14:paraId="7B08B83B" w14:textId="03403ADC" w:rsidR="00CF34C2" w:rsidRPr="001B1DB1" w:rsidRDefault="00CF34C2" w:rsidP="00002D3D">
            <w:pPr>
              <w:jc w:val="both"/>
              <w:rPr>
                <w:rFonts w:cs="Times New Roman"/>
                <w:sz w:val="20"/>
                <w:szCs w:val="20"/>
              </w:rPr>
            </w:pPr>
            <w:r w:rsidRPr="001B1DB1">
              <w:rPr>
                <w:rFonts w:cs="Times New Roman"/>
                <w:sz w:val="20"/>
                <w:szCs w:val="20"/>
              </w:rPr>
              <w:t>- valstij un nozarei piemītošos NILLT</w:t>
            </w:r>
            <w:r w:rsidR="005165E8">
              <w:rPr>
                <w:rFonts w:cs="Times New Roman"/>
                <w:sz w:val="20"/>
                <w:szCs w:val="20"/>
              </w:rPr>
              <w:t>P</w:t>
            </w:r>
            <w:r w:rsidRPr="001B1DB1">
              <w:rPr>
                <w:rFonts w:cs="Times New Roman"/>
                <w:sz w:val="20"/>
                <w:szCs w:val="20"/>
              </w:rPr>
              <w:t>F riskus;</w:t>
            </w:r>
          </w:p>
          <w:p w14:paraId="18909FAE" w14:textId="77777777" w:rsidR="00CF34C2" w:rsidRPr="001B1DB1" w:rsidRDefault="00CF34C2" w:rsidP="00002D3D">
            <w:pPr>
              <w:jc w:val="both"/>
              <w:rPr>
                <w:rFonts w:cs="Times New Roman"/>
                <w:sz w:val="20"/>
                <w:szCs w:val="20"/>
              </w:rPr>
            </w:pPr>
            <w:r w:rsidRPr="001B1DB1">
              <w:rPr>
                <w:rFonts w:cs="Times New Roman"/>
                <w:sz w:val="20"/>
                <w:szCs w:val="20"/>
              </w:rPr>
              <w:t>- likuma subjekta riska profilu, tostarp, iekšējās kontroles sistēmu un tam piemītošos NILLTPF riskus;</w:t>
            </w:r>
          </w:p>
          <w:p w14:paraId="7F4A8D94" w14:textId="77777777" w:rsidR="00CF34C2" w:rsidRPr="001B1DB1" w:rsidRDefault="00CF34C2" w:rsidP="00002D3D">
            <w:pPr>
              <w:jc w:val="both"/>
              <w:rPr>
                <w:rFonts w:cs="Times New Roman"/>
                <w:sz w:val="20"/>
                <w:szCs w:val="20"/>
              </w:rPr>
            </w:pPr>
            <w:r w:rsidRPr="001B1DB1">
              <w:rPr>
                <w:rFonts w:cs="Times New Roman"/>
                <w:sz w:val="20"/>
                <w:szCs w:val="20"/>
              </w:rPr>
              <w:t>- subjektu skaitu nozarē, kā arī to sniegtos pakalpojumus.</w:t>
            </w:r>
          </w:p>
        </w:tc>
        <w:tc>
          <w:tcPr>
            <w:tcW w:w="1134" w:type="dxa"/>
            <w:shd w:val="clear" w:color="auto" w:fill="auto"/>
          </w:tcPr>
          <w:p w14:paraId="6A266FE2" w14:textId="37FA1E9F" w:rsidR="00CF34C2" w:rsidRPr="001B1DB1" w:rsidRDefault="00CF34C2" w:rsidP="00664B7B">
            <w:pPr>
              <w:jc w:val="center"/>
              <w:rPr>
                <w:sz w:val="20"/>
                <w:szCs w:val="20"/>
              </w:rPr>
            </w:pPr>
            <w:r w:rsidRPr="001B1DB1">
              <w:rPr>
                <w:rFonts w:cs="Times New Roman"/>
                <w:sz w:val="20"/>
                <w:szCs w:val="20"/>
              </w:rPr>
              <w:t>FKTK, VID, LB, IAUI, LZAP, LZNP, LZRA, NKMP, PTAC</w:t>
            </w:r>
            <w:r w:rsidR="00283C62">
              <w:rPr>
                <w:rFonts w:cs="Times New Roman"/>
                <w:sz w:val="20"/>
                <w:szCs w:val="20"/>
              </w:rPr>
              <w:t xml:space="preserve">, </w:t>
            </w:r>
            <w:r w:rsidR="00283C62">
              <w:rPr>
                <w:sz w:val="20"/>
                <w:szCs w:val="20"/>
              </w:rPr>
              <w:t>LSMPAA</w:t>
            </w:r>
            <w:r w:rsidR="00171A05">
              <w:rPr>
                <w:sz w:val="20"/>
                <w:szCs w:val="20"/>
              </w:rPr>
              <w:t xml:space="preserve">, </w:t>
            </w:r>
            <w:r w:rsidR="00171A05">
              <w:rPr>
                <w:rFonts w:cs="Times New Roman"/>
                <w:sz w:val="20"/>
                <w:szCs w:val="20"/>
              </w:rPr>
              <w:t>MKD</w:t>
            </w:r>
          </w:p>
        </w:tc>
        <w:tc>
          <w:tcPr>
            <w:tcW w:w="1275" w:type="dxa"/>
            <w:shd w:val="clear" w:color="auto" w:fill="auto"/>
          </w:tcPr>
          <w:p w14:paraId="5F9F1A86" w14:textId="77777777" w:rsidR="00CF34C2" w:rsidRPr="001B1DB1" w:rsidRDefault="00CF34C2" w:rsidP="00664B7B">
            <w:pPr>
              <w:jc w:val="center"/>
              <w:rPr>
                <w:sz w:val="20"/>
                <w:szCs w:val="20"/>
              </w:rPr>
            </w:pPr>
          </w:p>
        </w:tc>
        <w:tc>
          <w:tcPr>
            <w:tcW w:w="1418" w:type="dxa"/>
            <w:shd w:val="clear" w:color="auto" w:fill="auto"/>
          </w:tcPr>
          <w:p w14:paraId="75C97652"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CF34C2" w:rsidRPr="001B1DB1" w14:paraId="2B8C1649" w14:textId="77777777" w:rsidTr="00002D3D">
        <w:trPr>
          <w:trHeight w:val="543"/>
        </w:trPr>
        <w:tc>
          <w:tcPr>
            <w:tcW w:w="709" w:type="dxa"/>
            <w:vMerge/>
          </w:tcPr>
          <w:p w14:paraId="7378E48E" w14:textId="77777777" w:rsidR="00CF34C2" w:rsidRPr="001B1DB1" w:rsidRDefault="00CF34C2" w:rsidP="00002D3D">
            <w:pPr>
              <w:jc w:val="center"/>
              <w:rPr>
                <w:rFonts w:cs="Times New Roman"/>
                <w:bCs/>
                <w:sz w:val="20"/>
                <w:szCs w:val="20"/>
              </w:rPr>
            </w:pPr>
          </w:p>
        </w:tc>
        <w:tc>
          <w:tcPr>
            <w:tcW w:w="3686" w:type="dxa"/>
            <w:vMerge/>
            <w:shd w:val="clear" w:color="auto" w:fill="auto"/>
          </w:tcPr>
          <w:p w14:paraId="7FE51112" w14:textId="77777777" w:rsidR="00CF34C2" w:rsidRPr="001B1DB1" w:rsidRDefault="00CF34C2" w:rsidP="00002D3D">
            <w:pPr>
              <w:jc w:val="both"/>
              <w:rPr>
                <w:sz w:val="20"/>
                <w:szCs w:val="20"/>
              </w:rPr>
            </w:pPr>
          </w:p>
        </w:tc>
        <w:tc>
          <w:tcPr>
            <w:tcW w:w="1559" w:type="dxa"/>
            <w:vMerge/>
          </w:tcPr>
          <w:p w14:paraId="11CCD88D" w14:textId="77777777" w:rsidR="00CF34C2" w:rsidRPr="001B1DB1" w:rsidRDefault="00CF34C2" w:rsidP="00002D3D">
            <w:pPr>
              <w:rPr>
                <w:rFonts w:cs="Times New Roman"/>
                <w:sz w:val="20"/>
                <w:szCs w:val="20"/>
              </w:rPr>
            </w:pPr>
          </w:p>
        </w:tc>
        <w:tc>
          <w:tcPr>
            <w:tcW w:w="2551" w:type="dxa"/>
            <w:shd w:val="clear" w:color="auto" w:fill="auto"/>
          </w:tcPr>
          <w:p w14:paraId="7A9C5A2F" w14:textId="61D45567" w:rsidR="00CF34C2" w:rsidRPr="001B1DB1" w:rsidRDefault="00CF34C2" w:rsidP="00D16025">
            <w:pPr>
              <w:jc w:val="both"/>
              <w:rPr>
                <w:rFonts w:cs="Times New Roman"/>
                <w:sz w:val="20"/>
                <w:szCs w:val="20"/>
              </w:rPr>
            </w:pPr>
            <w:r w:rsidRPr="001B1DB1">
              <w:rPr>
                <w:rFonts w:cs="Times New Roman"/>
                <w:sz w:val="20"/>
                <w:szCs w:val="20"/>
              </w:rPr>
              <w:t>2. Balstoties uz risku novērtējumu, veikt</w:t>
            </w:r>
            <w:r w:rsidR="007944F2">
              <w:rPr>
                <w:rFonts w:cs="Times New Roman"/>
                <w:sz w:val="20"/>
                <w:szCs w:val="20"/>
              </w:rPr>
              <w:t>as</w:t>
            </w:r>
            <w:r w:rsidRPr="001B1DB1">
              <w:rPr>
                <w:rFonts w:cs="Times New Roman"/>
                <w:sz w:val="20"/>
                <w:szCs w:val="20"/>
              </w:rPr>
              <w:t xml:space="preserve"> klātienes un neklātienes pārbaudes</w:t>
            </w:r>
            <w:r w:rsidR="002C73EE" w:rsidRPr="001B1DB1">
              <w:rPr>
                <w:rFonts w:cs="Times New Roman"/>
                <w:sz w:val="20"/>
                <w:szCs w:val="20"/>
              </w:rPr>
              <w:t>.</w:t>
            </w:r>
          </w:p>
        </w:tc>
        <w:tc>
          <w:tcPr>
            <w:tcW w:w="2694" w:type="dxa"/>
          </w:tcPr>
          <w:p w14:paraId="5B3CA96B" w14:textId="77777777" w:rsidR="00CF34C2" w:rsidRPr="001B1DB1" w:rsidRDefault="00CF34C2">
            <w:pPr>
              <w:jc w:val="both"/>
              <w:rPr>
                <w:rFonts w:cs="Times New Roman"/>
                <w:sz w:val="20"/>
                <w:szCs w:val="20"/>
              </w:rPr>
            </w:pPr>
            <w:r w:rsidRPr="001B1DB1">
              <w:rPr>
                <w:rFonts w:cs="Times New Roman"/>
                <w:sz w:val="20"/>
                <w:szCs w:val="20"/>
              </w:rPr>
              <w:t>Veiktas pārbaudes atbilstoši identificētajiem riskiem, tai skaitā veicot mērķētas uzraudzības pārbaudes jomās, kur identificētas nepilnības, nodrošinot lielāku pārbaužu skaitu pie augstāka riska likuma subjektiem.</w:t>
            </w:r>
          </w:p>
        </w:tc>
        <w:tc>
          <w:tcPr>
            <w:tcW w:w="1134" w:type="dxa"/>
            <w:shd w:val="clear" w:color="auto" w:fill="auto"/>
          </w:tcPr>
          <w:p w14:paraId="413C60E3" w14:textId="10AA9E23" w:rsidR="00CF34C2" w:rsidRPr="001B1DB1" w:rsidRDefault="00CF34C2" w:rsidP="00664B7B">
            <w:pPr>
              <w:jc w:val="center"/>
              <w:rPr>
                <w:sz w:val="20"/>
                <w:szCs w:val="20"/>
              </w:rPr>
            </w:pPr>
            <w:r w:rsidRPr="001B1DB1">
              <w:rPr>
                <w:rFonts w:cs="Times New Roman"/>
                <w:sz w:val="20"/>
                <w:szCs w:val="20"/>
              </w:rPr>
              <w:t>FKTK, VID, LB, IAUI, LZAP, LZNP, LZRA, NKMP, PTAC</w:t>
            </w:r>
            <w:r w:rsidR="00283C62">
              <w:rPr>
                <w:rFonts w:cs="Times New Roman"/>
                <w:sz w:val="20"/>
                <w:szCs w:val="20"/>
              </w:rPr>
              <w:t xml:space="preserve">, </w:t>
            </w:r>
            <w:r w:rsidR="00283C62">
              <w:rPr>
                <w:sz w:val="20"/>
                <w:szCs w:val="20"/>
              </w:rPr>
              <w:t>LSMPAA</w:t>
            </w:r>
            <w:r w:rsidR="00171A05">
              <w:rPr>
                <w:sz w:val="20"/>
                <w:szCs w:val="20"/>
              </w:rPr>
              <w:t xml:space="preserve">, </w:t>
            </w:r>
            <w:r w:rsidR="00171A05">
              <w:rPr>
                <w:rFonts w:cs="Times New Roman"/>
                <w:sz w:val="20"/>
                <w:szCs w:val="20"/>
              </w:rPr>
              <w:t>MKD</w:t>
            </w:r>
          </w:p>
        </w:tc>
        <w:tc>
          <w:tcPr>
            <w:tcW w:w="1275" w:type="dxa"/>
            <w:shd w:val="clear" w:color="auto" w:fill="auto"/>
          </w:tcPr>
          <w:p w14:paraId="445DB756" w14:textId="77777777" w:rsidR="00CF34C2" w:rsidRPr="001B1DB1" w:rsidRDefault="00CF34C2" w:rsidP="00664B7B">
            <w:pPr>
              <w:jc w:val="center"/>
              <w:rPr>
                <w:sz w:val="20"/>
                <w:szCs w:val="20"/>
              </w:rPr>
            </w:pPr>
          </w:p>
        </w:tc>
        <w:tc>
          <w:tcPr>
            <w:tcW w:w="1418" w:type="dxa"/>
            <w:shd w:val="clear" w:color="auto" w:fill="auto"/>
          </w:tcPr>
          <w:p w14:paraId="5A4F3409"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CF34C2" w:rsidRPr="001B1DB1" w14:paraId="1A212B94" w14:textId="77777777" w:rsidTr="00002D3D">
        <w:trPr>
          <w:trHeight w:val="543"/>
        </w:trPr>
        <w:tc>
          <w:tcPr>
            <w:tcW w:w="709" w:type="dxa"/>
            <w:vMerge/>
          </w:tcPr>
          <w:p w14:paraId="383FC044" w14:textId="77777777" w:rsidR="00CF34C2" w:rsidRPr="001B1DB1" w:rsidRDefault="00CF34C2" w:rsidP="00002D3D">
            <w:pPr>
              <w:jc w:val="center"/>
              <w:rPr>
                <w:rFonts w:cs="Times New Roman"/>
                <w:bCs/>
                <w:sz w:val="20"/>
                <w:szCs w:val="20"/>
              </w:rPr>
            </w:pPr>
          </w:p>
        </w:tc>
        <w:tc>
          <w:tcPr>
            <w:tcW w:w="3686" w:type="dxa"/>
            <w:vMerge/>
            <w:shd w:val="clear" w:color="auto" w:fill="auto"/>
          </w:tcPr>
          <w:p w14:paraId="00BFD111" w14:textId="77777777" w:rsidR="00CF34C2" w:rsidRPr="001B1DB1" w:rsidRDefault="00CF34C2" w:rsidP="00002D3D">
            <w:pPr>
              <w:jc w:val="both"/>
              <w:rPr>
                <w:sz w:val="20"/>
                <w:szCs w:val="20"/>
              </w:rPr>
            </w:pPr>
          </w:p>
        </w:tc>
        <w:tc>
          <w:tcPr>
            <w:tcW w:w="1559" w:type="dxa"/>
            <w:vMerge/>
          </w:tcPr>
          <w:p w14:paraId="59C41CEA" w14:textId="77777777" w:rsidR="00CF34C2" w:rsidRPr="001B1DB1" w:rsidRDefault="00CF34C2" w:rsidP="00002D3D">
            <w:pPr>
              <w:rPr>
                <w:rFonts w:cs="Times New Roman"/>
                <w:sz w:val="20"/>
                <w:szCs w:val="20"/>
              </w:rPr>
            </w:pPr>
          </w:p>
        </w:tc>
        <w:tc>
          <w:tcPr>
            <w:tcW w:w="2551" w:type="dxa"/>
            <w:shd w:val="clear" w:color="auto" w:fill="auto"/>
          </w:tcPr>
          <w:p w14:paraId="53962F80" w14:textId="29DD32A7" w:rsidR="00CF34C2" w:rsidRPr="001B1DB1" w:rsidRDefault="00CF34C2" w:rsidP="00D16025">
            <w:pPr>
              <w:jc w:val="both"/>
              <w:rPr>
                <w:rFonts w:cs="Times New Roman"/>
                <w:sz w:val="20"/>
                <w:szCs w:val="20"/>
              </w:rPr>
            </w:pPr>
            <w:r w:rsidRPr="001B1DB1">
              <w:rPr>
                <w:rFonts w:cs="Times New Roman"/>
                <w:sz w:val="20"/>
                <w:szCs w:val="20"/>
              </w:rPr>
              <w:t>3.</w:t>
            </w:r>
            <w:r w:rsidRPr="001B1DB1">
              <w:t> </w:t>
            </w:r>
            <w:r w:rsidRPr="001B1DB1">
              <w:rPr>
                <w:rFonts w:cs="Times New Roman"/>
                <w:sz w:val="20"/>
                <w:szCs w:val="20"/>
              </w:rPr>
              <w:t>Pilnveidot</w:t>
            </w:r>
            <w:r w:rsidR="007944F2">
              <w:rPr>
                <w:rFonts w:cs="Times New Roman"/>
                <w:sz w:val="20"/>
                <w:szCs w:val="20"/>
              </w:rPr>
              <w:t>as</w:t>
            </w:r>
            <w:r w:rsidRPr="001B1DB1">
              <w:rPr>
                <w:rFonts w:cs="Times New Roman"/>
                <w:sz w:val="20"/>
                <w:szCs w:val="20"/>
              </w:rPr>
              <w:t xml:space="preserve"> iekšējās procedūras </w:t>
            </w:r>
            <w:r w:rsidR="00D21CEE">
              <w:rPr>
                <w:rFonts w:cs="Times New Roman"/>
                <w:sz w:val="20"/>
                <w:szCs w:val="20"/>
              </w:rPr>
              <w:t>un vadlīnijas</w:t>
            </w:r>
            <w:r w:rsidRPr="001B1DB1">
              <w:rPr>
                <w:rFonts w:cs="Times New Roman"/>
                <w:sz w:val="20"/>
                <w:szCs w:val="20"/>
              </w:rPr>
              <w:t xml:space="preserve"> </w:t>
            </w:r>
            <w:r w:rsidRPr="001B1DB1">
              <w:rPr>
                <w:sz w:val="20"/>
                <w:szCs w:val="20"/>
              </w:rPr>
              <w:t xml:space="preserve">NILLTPF </w:t>
            </w:r>
            <w:r w:rsidRPr="001B1DB1">
              <w:rPr>
                <w:rFonts w:cs="Times New Roman"/>
                <w:sz w:val="20"/>
                <w:szCs w:val="20"/>
              </w:rPr>
              <w:t>novēršanas uzraudzībā, ņemot vērā klātienes un neklātienes pārbaudēs konstatētos faktus un būtiskākās neatbilstības.</w:t>
            </w:r>
          </w:p>
        </w:tc>
        <w:tc>
          <w:tcPr>
            <w:tcW w:w="2694" w:type="dxa"/>
          </w:tcPr>
          <w:p w14:paraId="43A9156B" w14:textId="7E18BD76" w:rsidR="00CF34C2" w:rsidRPr="001B1DB1" w:rsidRDefault="00CF34C2">
            <w:pPr>
              <w:jc w:val="both"/>
              <w:rPr>
                <w:rFonts w:cs="Times New Roman"/>
                <w:sz w:val="20"/>
                <w:szCs w:val="20"/>
              </w:rPr>
            </w:pPr>
            <w:r w:rsidRPr="001B1DB1">
              <w:rPr>
                <w:rFonts w:cs="Times New Roman"/>
                <w:sz w:val="20"/>
                <w:szCs w:val="20"/>
              </w:rPr>
              <w:t xml:space="preserve">Pilnveidotas iekšējās procedūras </w:t>
            </w:r>
            <w:r w:rsidR="005165E8">
              <w:rPr>
                <w:rFonts w:cs="Times New Roman"/>
                <w:sz w:val="20"/>
                <w:szCs w:val="20"/>
              </w:rPr>
              <w:t xml:space="preserve">un vadlīnijas </w:t>
            </w:r>
            <w:r w:rsidRPr="001B1DB1">
              <w:rPr>
                <w:sz w:val="20"/>
                <w:szCs w:val="20"/>
              </w:rPr>
              <w:t xml:space="preserve">NILLTPF </w:t>
            </w:r>
            <w:r w:rsidRPr="001B1DB1">
              <w:rPr>
                <w:rFonts w:cs="Times New Roman"/>
                <w:sz w:val="20"/>
                <w:szCs w:val="20"/>
              </w:rPr>
              <w:t>novēršanas uzraudzībā, ņemot vērā klātienes un neklātienes pārbaudēs konstatētos faktus un būtiskākās neatbilstības.</w:t>
            </w:r>
          </w:p>
        </w:tc>
        <w:tc>
          <w:tcPr>
            <w:tcW w:w="1134" w:type="dxa"/>
            <w:shd w:val="clear" w:color="auto" w:fill="auto"/>
          </w:tcPr>
          <w:p w14:paraId="48A7947E" w14:textId="7EAC4416" w:rsidR="00CF34C2" w:rsidRPr="001B1DB1" w:rsidRDefault="00CF34C2" w:rsidP="00664B7B">
            <w:pPr>
              <w:jc w:val="center"/>
              <w:rPr>
                <w:sz w:val="20"/>
                <w:szCs w:val="20"/>
              </w:rPr>
            </w:pPr>
            <w:r w:rsidRPr="001B1DB1">
              <w:rPr>
                <w:rFonts w:cs="Times New Roman"/>
                <w:sz w:val="20"/>
                <w:szCs w:val="20"/>
              </w:rPr>
              <w:t>FKTK, VID, LB, IAUI, LZAP, LZNP, LZRA, NKMP, PTAC</w:t>
            </w:r>
            <w:r w:rsidR="00283C62">
              <w:rPr>
                <w:rFonts w:cs="Times New Roman"/>
                <w:sz w:val="20"/>
                <w:szCs w:val="20"/>
              </w:rPr>
              <w:t xml:space="preserve">, </w:t>
            </w:r>
            <w:r w:rsidR="00283C62">
              <w:rPr>
                <w:sz w:val="20"/>
                <w:szCs w:val="20"/>
              </w:rPr>
              <w:t>LSMPAA</w:t>
            </w:r>
            <w:r w:rsidR="00171A05">
              <w:rPr>
                <w:sz w:val="20"/>
                <w:szCs w:val="20"/>
              </w:rPr>
              <w:t xml:space="preserve">, </w:t>
            </w:r>
            <w:r w:rsidR="00171A05">
              <w:rPr>
                <w:rFonts w:cs="Times New Roman"/>
                <w:sz w:val="20"/>
                <w:szCs w:val="20"/>
              </w:rPr>
              <w:t>MKD</w:t>
            </w:r>
          </w:p>
        </w:tc>
        <w:tc>
          <w:tcPr>
            <w:tcW w:w="1275" w:type="dxa"/>
            <w:shd w:val="clear" w:color="auto" w:fill="auto"/>
          </w:tcPr>
          <w:p w14:paraId="5FF891D2" w14:textId="77777777" w:rsidR="00CF34C2" w:rsidRPr="001B1DB1" w:rsidRDefault="00CF34C2" w:rsidP="00664B7B">
            <w:pPr>
              <w:jc w:val="center"/>
              <w:rPr>
                <w:sz w:val="20"/>
                <w:szCs w:val="20"/>
              </w:rPr>
            </w:pPr>
          </w:p>
        </w:tc>
        <w:tc>
          <w:tcPr>
            <w:tcW w:w="1418" w:type="dxa"/>
            <w:shd w:val="clear" w:color="auto" w:fill="auto"/>
          </w:tcPr>
          <w:p w14:paraId="5DFEFC48"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7A3A99" w:rsidRPr="001B1DB1" w14:paraId="3761EC03" w14:textId="77777777" w:rsidTr="00002D3D">
        <w:trPr>
          <w:trHeight w:val="543"/>
        </w:trPr>
        <w:tc>
          <w:tcPr>
            <w:tcW w:w="709" w:type="dxa"/>
            <w:vMerge w:val="restart"/>
          </w:tcPr>
          <w:p w14:paraId="059182F1" w14:textId="77777777" w:rsidR="007A3A99" w:rsidRPr="001B1DB1" w:rsidRDefault="007A3A99" w:rsidP="00002D3D">
            <w:pPr>
              <w:jc w:val="center"/>
              <w:rPr>
                <w:rFonts w:cs="Times New Roman"/>
                <w:bCs/>
                <w:sz w:val="20"/>
                <w:szCs w:val="20"/>
              </w:rPr>
            </w:pPr>
            <w:r w:rsidRPr="001B1DB1">
              <w:rPr>
                <w:rFonts w:cs="Times New Roman"/>
                <w:bCs/>
                <w:sz w:val="20"/>
                <w:szCs w:val="20"/>
              </w:rPr>
              <w:t>3.2.</w:t>
            </w:r>
          </w:p>
        </w:tc>
        <w:tc>
          <w:tcPr>
            <w:tcW w:w="3686" w:type="dxa"/>
            <w:vMerge w:val="restart"/>
            <w:shd w:val="clear" w:color="auto" w:fill="auto"/>
          </w:tcPr>
          <w:p w14:paraId="3A59178A" w14:textId="77777777" w:rsidR="007A3A99" w:rsidRPr="001B1DB1" w:rsidRDefault="007A3A99" w:rsidP="003C76EA">
            <w:pPr>
              <w:jc w:val="both"/>
              <w:rPr>
                <w:sz w:val="20"/>
                <w:szCs w:val="20"/>
              </w:rPr>
            </w:pPr>
            <w:r w:rsidRPr="001B1DB1">
              <w:rPr>
                <w:rFonts w:cs="Times New Roman"/>
                <w:sz w:val="20"/>
                <w:szCs w:val="20"/>
              </w:rPr>
              <w:t>Pārskatīt UKI darbinieku skaitu un resursus, lai nodrošinātu, ka tās spēj adekvāti pārvaldīt identificētos riskus un uzraudzīt likuma subjektu rīcību attiecībā uz riskiem.</w:t>
            </w:r>
          </w:p>
        </w:tc>
        <w:tc>
          <w:tcPr>
            <w:tcW w:w="1559" w:type="dxa"/>
            <w:vMerge w:val="restart"/>
          </w:tcPr>
          <w:p w14:paraId="06E8E79F" w14:textId="79344E4E" w:rsidR="007A3A99" w:rsidRPr="001B1DB1" w:rsidRDefault="007A3A99" w:rsidP="001209FF">
            <w:pPr>
              <w:jc w:val="both"/>
              <w:rPr>
                <w:rFonts w:cs="Times New Roman"/>
                <w:sz w:val="20"/>
                <w:szCs w:val="20"/>
              </w:rPr>
            </w:pPr>
            <w:r w:rsidRPr="001B1DB1">
              <w:rPr>
                <w:rFonts w:cs="Times New Roman"/>
                <w:sz w:val="20"/>
                <w:szCs w:val="20"/>
              </w:rPr>
              <w:t>MONEYVAL 3.5.</w:t>
            </w:r>
            <w:r>
              <w:rPr>
                <w:rFonts w:cs="Times New Roman"/>
                <w:sz w:val="20"/>
                <w:szCs w:val="20"/>
              </w:rPr>
              <w:t xml:space="preserve"> </w:t>
            </w:r>
            <w:r w:rsidRPr="001B1DB1">
              <w:rPr>
                <w:rFonts w:cs="Times New Roman"/>
                <w:sz w:val="20"/>
                <w:szCs w:val="20"/>
              </w:rPr>
              <w:t>rekomendācija</w:t>
            </w:r>
            <w:r>
              <w:rPr>
                <w:rFonts w:cs="Times New Roman"/>
                <w:sz w:val="20"/>
                <w:szCs w:val="20"/>
              </w:rPr>
              <w:t>.</w:t>
            </w:r>
          </w:p>
        </w:tc>
        <w:tc>
          <w:tcPr>
            <w:tcW w:w="2551" w:type="dxa"/>
            <w:vMerge w:val="restart"/>
            <w:shd w:val="clear" w:color="auto" w:fill="auto"/>
          </w:tcPr>
          <w:p w14:paraId="300A741D" w14:textId="77777777" w:rsidR="007A3A99" w:rsidRPr="001B1DB1" w:rsidRDefault="007A3A99" w:rsidP="00002D3D">
            <w:pPr>
              <w:rPr>
                <w:rFonts w:cs="Times New Roman"/>
                <w:sz w:val="20"/>
                <w:szCs w:val="20"/>
              </w:rPr>
            </w:pPr>
            <w:r w:rsidRPr="001B1DB1">
              <w:rPr>
                <w:rFonts w:cs="Times New Roman"/>
                <w:sz w:val="20"/>
                <w:szCs w:val="20"/>
              </w:rPr>
              <w:t>Stiprināta UKI kapacitāte.</w:t>
            </w:r>
          </w:p>
        </w:tc>
        <w:tc>
          <w:tcPr>
            <w:tcW w:w="2694" w:type="dxa"/>
          </w:tcPr>
          <w:p w14:paraId="1C153C9A" w14:textId="77777777" w:rsidR="007A3A99" w:rsidRPr="001B1DB1" w:rsidRDefault="007A3A99" w:rsidP="00002D3D">
            <w:pPr>
              <w:jc w:val="both"/>
              <w:rPr>
                <w:rFonts w:cs="Times New Roman"/>
                <w:sz w:val="20"/>
                <w:szCs w:val="20"/>
              </w:rPr>
            </w:pPr>
            <w:r w:rsidRPr="001B1DB1">
              <w:rPr>
                <w:rFonts w:cs="Times New Roman"/>
                <w:sz w:val="20"/>
                <w:szCs w:val="20"/>
              </w:rPr>
              <w:t>1. Izveidotas 3 jaunas amata vietas NKMP.</w:t>
            </w:r>
          </w:p>
        </w:tc>
        <w:tc>
          <w:tcPr>
            <w:tcW w:w="1134" w:type="dxa"/>
            <w:shd w:val="clear" w:color="auto" w:fill="auto"/>
          </w:tcPr>
          <w:p w14:paraId="75C29F08" w14:textId="77777777" w:rsidR="007A3A99" w:rsidRPr="001B1DB1" w:rsidRDefault="007A3A99" w:rsidP="00664B7B">
            <w:pPr>
              <w:jc w:val="center"/>
              <w:rPr>
                <w:sz w:val="20"/>
                <w:szCs w:val="20"/>
              </w:rPr>
            </w:pPr>
            <w:r w:rsidRPr="001B1DB1">
              <w:rPr>
                <w:rFonts w:cs="Times New Roman"/>
                <w:sz w:val="20"/>
                <w:szCs w:val="20"/>
              </w:rPr>
              <w:t>NKMP</w:t>
            </w:r>
          </w:p>
        </w:tc>
        <w:tc>
          <w:tcPr>
            <w:tcW w:w="1275" w:type="dxa"/>
            <w:shd w:val="clear" w:color="auto" w:fill="auto"/>
          </w:tcPr>
          <w:p w14:paraId="465BF3DC" w14:textId="77777777" w:rsidR="007A3A99" w:rsidRPr="001B1DB1" w:rsidRDefault="007A3A99" w:rsidP="00664B7B">
            <w:pPr>
              <w:jc w:val="center"/>
              <w:rPr>
                <w:sz w:val="20"/>
                <w:szCs w:val="20"/>
              </w:rPr>
            </w:pPr>
            <w:r w:rsidRPr="001B1DB1">
              <w:rPr>
                <w:sz w:val="20"/>
                <w:szCs w:val="20"/>
              </w:rPr>
              <w:t>KM</w:t>
            </w:r>
          </w:p>
        </w:tc>
        <w:tc>
          <w:tcPr>
            <w:tcW w:w="1418" w:type="dxa"/>
            <w:shd w:val="clear" w:color="auto" w:fill="auto"/>
          </w:tcPr>
          <w:p w14:paraId="50A725CC" w14:textId="77777777" w:rsidR="007A3A99" w:rsidRPr="001B1DB1" w:rsidRDefault="007A3A99" w:rsidP="00664B7B">
            <w:pPr>
              <w:jc w:val="center"/>
              <w:rPr>
                <w:rFonts w:cs="Times New Roman"/>
                <w:bCs/>
                <w:sz w:val="20"/>
                <w:szCs w:val="20"/>
              </w:rPr>
            </w:pPr>
            <w:r>
              <w:rPr>
                <w:rFonts w:cs="Times New Roman"/>
                <w:sz w:val="20"/>
                <w:szCs w:val="20"/>
              </w:rPr>
              <w:t>31.12.</w:t>
            </w:r>
            <w:r w:rsidRPr="001B1DB1">
              <w:rPr>
                <w:rFonts w:cs="Times New Roman"/>
                <w:sz w:val="20"/>
                <w:szCs w:val="20"/>
              </w:rPr>
              <w:t>2020.</w:t>
            </w:r>
          </w:p>
        </w:tc>
      </w:tr>
      <w:tr w:rsidR="007A3A99" w:rsidRPr="001B1DB1" w14:paraId="0323B43F" w14:textId="77777777" w:rsidTr="00002D3D">
        <w:trPr>
          <w:trHeight w:val="543"/>
        </w:trPr>
        <w:tc>
          <w:tcPr>
            <w:tcW w:w="709" w:type="dxa"/>
            <w:vMerge/>
          </w:tcPr>
          <w:p w14:paraId="42A7EDF4" w14:textId="77777777" w:rsidR="007A3A99" w:rsidRPr="001B1DB1" w:rsidRDefault="007A3A99" w:rsidP="00002D3D">
            <w:pPr>
              <w:jc w:val="center"/>
              <w:rPr>
                <w:rFonts w:cs="Times New Roman"/>
                <w:bCs/>
                <w:sz w:val="20"/>
                <w:szCs w:val="20"/>
              </w:rPr>
            </w:pPr>
          </w:p>
        </w:tc>
        <w:tc>
          <w:tcPr>
            <w:tcW w:w="3686" w:type="dxa"/>
            <w:vMerge/>
            <w:shd w:val="clear" w:color="auto" w:fill="auto"/>
          </w:tcPr>
          <w:p w14:paraId="3F6092B1" w14:textId="77777777" w:rsidR="007A3A99" w:rsidRPr="001B1DB1" w:rsidRDefault="007A3A99" w:rsidP="00002D3D">
            <w:pPr>
              <w:jc w:val="both"/>
              <w:rPr>
                <w:sz w:val="20"/>
                <w:szCs w:val="20"/>
              </w:rPr>
            </w:pPr>
          </w:p>
        </w:tc>
        <w:tc>
          <w:tcPr>
            <w:tcW w:w="1559" w:type="dxa"/>
            <w:vMerge/>
          </w:tcPr>
          <w:p w14:paraId="76E85D19" w14:textId="77777777" w:rsidR="007A3A99" w:rsidRPr="001B1DB1" w:rsidRDefault="007A3A99" w:rsidP="00002D3D">
            <w:pPr>
              <w:rPr>
                <w:rFonts w:cs="Times New Roman"/>
                <w:sz w:val="20"/>
                <w:szCs w:val="20"/>
              </w:rPr>
            </w:pPr>
          </w:p>
        </w:tc>
        <w:tc>
          <w:tcPr>
            <w:tcW w:w="2551" w:type="dxa"/>
            <w:vMerge/>
            <w:shd w:val="clear" w:color="auto" w:fill="auto"/>
          </w:tcPr>
          <w:p w14:paraId="4B488F41" w14:textId="77777777" w:rsidR="007A3A99" w:rsidRPr="001B1DB1" w:rsidRDefault="007A3A99" w:rsidP="00002D3D">
            <w:pPr>
              <w:rPr>
                <w:rFonts w:cs="Times New Roman"/>
                <w:sz w:val="20"/>
                <w:szCs w:val="20"/>
              </w:rPr>
            </w:pPr>
          </w:p>
        </w:tc>
        <w:tc>
          <w:tcPr>
            <w:tcW w:w="2694" w:type="dxa"/>
          </w:tcPr>
          <w:p w14:paraId="39AC7E2A" w14:textId="77777777" w:rsidR="007A3A99" w:rsidRPr="001B1DB1" w:rsidRDefault="007A3A99" w:rsidP="00002D3D">
            <w:pPr>
              <w:jc w:val="both"/>
              <w:rPr>
                <w:rFonts w:cs="Times New Roman"/>
                <w:sz w:val="20"/>
                <w:szCs w:val="20"/>
              </w:rPr>
            </w:pPr>
            <w:r w:rsidRPr="001B1DB1">
              <w:rPr>
                <w:rFonts w:cs="Times New Roman"/>
                <w:sz w:val="20"/>
                <w:szCs w:val="20"/>
              </w:rPr>
              <w:t>2. 1) Pilnveidots FKTK Atbilstības kontroles departamentā ieviestais IT risinājums, ieviešot risinājuma “</w:t>
            </w:r>
            <w:r w:rsidRPr="001B1DB1">
              <w:rPr>
                <w:rFonts w:cs="Times New Roman"/>
                <w:i/>
                <w:sz w:val="20"/>
                <w:szCs w:val="20"/>
              </w:rPr>
              <w:t>Adverse media search</w:t>
            </w:r>
            <w:r w:rsidRPr="001B1DB1">
              <w:rPr>
                <w:rFonts w:cs="Times New Roman"/>
                <w:sz w:val="20"/>
                <w:szCs w:val="20"/>
              </w:rPr>
              <w:t>” automatizēto versiju;</w:t>
            </w:r>
          </w:p>
          <w:p w14:paraId="2970EB06" w14:textId="5BBEE867" w:rsidR="007A3A99" w:rsidRPr="001B1DB1" w:rsidRDefault="007A3A99" w:rsidP="00002D3D">
            <w:pPr>
              <w:jc w:val="both"/>
              <w:rPr>
                <w:rFonts w:cs="Times New Roman"/>
                <w:sz w:val="20"/>
                <w:szCs w:val="20"/>
              </w:rPr>
            </w:pPr>
            <w:r w:rsidRPr="001B1DB1">
              <w:rPr>
                <w:rFonts w:cs="Times New Roman"/>
                <w:sz w:val="20"/>
                <w:szCs w:val="20"/>
              </w:rPr>
              <w:t>2) </w:t>
            </w:r>
            <w:r>
              <w:rPr>
                <w:rFonts w:cs="Times New Roman"/>
                <w:sz w:val="20"/>
                <w:szCs w:val="20"/>
              </w:rPr>
              <w:t>i</w:t>
            </w:r>
            <w:r w:rsidRPr="001B1DB1">
              <w:rPr>
                <w:rFonts w:cs="Times New Roman"/>
                <w:sz w:val="20"/>
                <w:szCs w:val="20"/>
              </w:rPr>
              <w:t xml:space="preserve">zveidots </w:t>
            </w:r>
            <w:r w:rsidRPr="001B1DB1">
              <w:rPr>
                <w:sz w:val="20"/>
                <w:szCs w:val="20"/>
              </w:rPr>
              <w:t>NILLTPF</w:t>
            </w:r>
            <w:r w:rsidRPr="001B1DB1">
              <w:rPr>
                <w:rFonts w:cs="Times New Roman"/>
                <w:sz w:val="20"/>
                <w:szCs w:val="20"/>
              </w:rPr>
              <w:t xml:space="preserve"> novēršanas IT nodrošinājuma auditora amats FKTK Atbilstības kontroles departamentā;</w:t>
            </w:r>
          </w:p>
          <w:p w14:paraId="6BF50FE1" w14:textId="77777777" w:rsidR="007A3A99" w:rsidRPr="001B1DB1" w:rsidRDefault="007A3A99" w:rsidP="00002D3D">
            <w:pPr>
              <w:jc w:val="both"/>
              <w:rPr>
                <w:rFonts w:cs="Times New Roman"/>
                <w:sz w:val="20"/>
                <w:szCs w:val="20"/>
              </w:rPr>
            </w:pPr>
            <w:r w:rsidRPr="001B1DB1">
              <w:rPr>
                <w:rFonts w:cs="Times New Roman"/>
                <w:sz w:val="20"/>
                <w:szCs w:val="20"/>
              </w:rPr>
              <w:t>3) SRSS (</w:t>
            </w:r>
            <w:r w:rsidRPr="00B67767">
              <w:rPr>
                <w:rFonts w:cs="Times New Roman"/>
                <w:i/>
                <w:sz w:val="20"/>
                <w:szCs w:val="20"/>
              </w:rPr>
              <w:t>Structural Reform Support Service</w:t>
            </w:r>
            <w:r w:rsidRPr="001B1DB1">
              <w:rPr>
                <w:rFonts w:cs="Times New Roman"/>
                <w:sz w:val="20"/>
                <w:szCs w:val="20"/>
              </w:rPr>
              <w:t xml:space="preserve"> / Strukturālo reformu atbalsta dienests) un EEZ (Eiropas Ekonomikas </w:t>
            </w:r>
            <w:r w:rsidRPr="001B1DB1">
              <w:rPr>
                <w:rFonts w:cs="Times New Roman"/>
                <w:sz w:val="20"/>
                <w:szCs w:val="20"/>
              </w:rPr>
              <w:lastRenderedPageBreak/>
              <w:t>zona) projektu ieviešana FKTK kapacitātes stiprināšanai.</w:t>
            </w:r>
          </w:p>
        </w:tc>
        <w:tc>
          <w:tcPr>
            <w:tcW w:w="1134" w:type="dxa"/>
            <w:shd w:val="clear" w:color="auto" w:fill="auto"/>
          </w:tcPr>
          <w:p w14:paraId="336F2E9D" w14:textId="77777777" w:rsidR="007A3A99" w:rsidRPr="001B1DB1" w:rsidRDefault="007A3A99" w:rsidP="00664B7B">
            <w:pPr>
              <w:jc w:val="center"/>
              <w:rPr>
                <w:sz w:val="20"/>
                <w:szCs w:val="20"/>
              </w:rPr>
            </w:pPr>
            <w:r w:rsidRPr="001B1DB1">
              <w:rPr>
                <w:rFonts w:cs="Times New Roman"/>
                <w:sz w:val="20"/>
                <w:szCs w:val="20"/>
              </w:rPr>
              <w:lastRenderedPageBreak/>
              <w:t>FKTK</w:t>
            </w:r>
          </w:p>
        </w:tc>
        <w:tc>
          <w:tcPr>
            <w:tcW w:w="1275" w:type="dxa"/>
            <w:shd w:val="clear" w:color="auto" w:fill="auto"/>
          </w:tcPr>
          <w:p w14:paraId="4B5C0AE3" w14:textId="77777777" w:rsidR="007A3A99" w:rsidRPr="001B1DB1" w:rsidRDefault="007A3A99" w:rsidP="00664B7B">
            <w:pPr>
              <w:jc w:val="center"/>
              <w:rPr>
                <w:sz w:val="20"/>
                <w:szCs w:val="20"/>
              </w:rPr>
            </w:pPr>
          </w:p>
        </w:tc>
        <w:tc>
          <w:tcPr>
            <w:tcW w:w="1418" w:type="dxa"/>
            <w:shd w:val="clear" w:color="auto" w:fill="auto"/>
          </w:tcPr>
          <w:p w14:paraId="251A75BE" w14:textId="77777777" w:rsidR="007A3A99" w:rsidRPr="001B1DB1" w:rsidRDefault="007A3A99" w:rsidP="00664B7B">
            <w:pPr>
              <w:jc w:val="center"/>
              <w:rPr>
                <w:rFonts w:cs="Times New Roman"/>
                <w:bCs/>
                <w:sz w:val="20"/>
                <w:szCs w:val="20"/>
              </w:rPr>
            </w:pPr>
            <w:r>
              <w:rPr>
                <w:rFonts w:cs="Times New Roman"/>
                <w:sz w:val="20"/>
                <w:szCs w:val="20"/>
              </w:rPr>
              <w:t>31.12.</w:t>
            </w:r>
            <w:r w:rsidRPr="001B1DB1">
              <w:rPr>
                <w:rFonts w:cs="Times New Roman"/>
                <w:sz w:val="20"/>
                <w:szCs w:val="20"/>
              </w:rPr>
              <w:t>2020.</w:t>
            </w:r>
          </w:p>
        </w:tc>
      </w:tr>
      <w:tr w:rsidR="007A3A99" w:rsidRPr="001B1DB1" w14:paraId="5B093788" w14:textId="77777777" w:rsidTr="00C842AB">
        <w:trPr>
          <w:trHeight w:val="543"/>
        </w:trPr>
        <w:tc>
          <w:tcPr>
            <w:tcW w:w="709" w:type="dxa"/>
            <w:vMerge/>
          </w:tcPr>
          <w:p w14:paraId="61F14DA8" w14:textId="77777777" w:rsidR="007A3A99" w:rsidRPr="001B1DB1" w:rsidRDefault="007A3A99" w:rsidP="007A3A99">
            <w:pPr>
              <w:jc w:val="center"/>
              <w:rPr>
                <w:rFonts w:cs="Times New Roman"/>
                <w:bCs/>
                <w:sz w:val="20"/>
                <w:szCs w:val="20"/>
              </w:rPr>
            </w:pPr>
          </w:p>
        </w:tc>
        <w:tc>
          <w:tcPr>
            <w:tcW w:w="3686" w:type="dxa"/>
            <w:vMerge/>
            <w:shd w:val="clear" w:color="auto" w:fill="auto"/>
          </w:tcPr>
          <w:p w14:paraId="013D2317" w14:textId="77777777" w:rsidR="007A3A99" w:rsidRPr="001B1DB1" w:rsidRDefault="007A3A99" w:rsidP="007A3A99">
            <w:pPr>
              <w:jc w:val="both"/>
              <w:rPr>
                <w:sz w:val="20"/>
                <w:szCs w:val="20"/>
              </w:rPr>
            </w:pPr>
          </w:p>
        </w:tc>
        <w:tc>
          <w:tcPr>
            <w:tcW w:w="1559" w:type="dxa"/>
            <w:vMerge/>
          </w:tcPr>
          <w:p w14:paraId="2177E2E7" w14:textId="77777777" w:rsidR="007A3A99" w:rsidRPr="001B1DB1" w:rsidRDefault="007A3A99" w:rsidP="007A3A99">
            <w:pPr>
              <w:rPr>
                <w:rFonts w:cs="Times New Roman"/>
                <w:sz w:val="20"/>
                <w:szCs w:val="20"/>
              </w:rPr>
            </w:pPr>
          </w:p>
        </w:tc>
        <w:tc>
          <w:tcPr>
            <w:tcW w:w="2551" w:type="dxa"/>
            <w:vMerge/>
            <w:shd w:val="clear" w:color="auto" w:fill="auto"/>
          </w:tcPr>
          <w:p w14:paraId="0F487E94" w14:textId="77777777" w:rsidR="007A3A99" w:rsidRPr="001B1DB1" w:rsidRDefault="007A3A99" w:rsidP="007A3A99">
            <w:pPr>
              <w:rPr>
                <w:rFonts w:cs="Times New Roman"/>
                <w:sz w:val="20"/>
                <w:szCs w:val="20"/>
              </w:rPr>
            </w:pPr>
          </w:p>
        </w:tc>
        <w:tc>
          <w:tcPr>
            <w:tcW w:w="2694" w:type="dxa"/>
            <w:tcBorders>
              <w:top w:val="nil"/>
              <w:left w:val="nil"/>
              <w:bottom w:val="single" w:sz="8" w:space="0" w:color="auto"/>
              <w:right w:val="single" w:sz="8" w:space="0" w:color="auto"/>
            </w:tcBorders>
          </w:tcPr>
          <w:p w14:paraId="6B2CBDC1" w14:textId="41B21D18" w:rsidR="007A3A99" w:rsidRPr="001B1DB1" w:rsidRDefault="007A3A99" w:rsidP="007A3A99">
            <w:pPr>
              <w:jc w:val="both"/>
              <w:rPr>
                <w:rFonts w:cs="Times New Roman"/>
                <w:sz w:val="20"/>
                <w:szCs w:val="20"/>
              </w:rPr>
            </w:pPr>
            <w:r>
              <w:rPr>
                <w:sz w:val="20"/>
                <w:szCs w:val="20"/>
              </w:rPr>
              <w:t>3. Izveidotas 2 jaunas amata vietas MKD.</w:t>
            </w:r>
          </w:p>
        </w:tc>
        <w:tc>
          <w:tcPr>
            <w:tcW w:w="1134" w:type="dxa"/>
            <w:tcBorders>
              <w:top w:val="nil"/>
              <w:left w:val="nil"/>
              <w:bottom w:val="single" w:sz="8" w:space="0" w:color="auto"/>
              <w:right w:val="single" w:sz="8" w:space="0" w:color="auto"/>
            </w:tcBorders>
            <w:shd w:val="clear" w:color="auto" w:fill="auto"/>
          </w:tcPr>
          <w:p w14:paraId="2E789056" w14:textId="1179AF1E" w:rsidR="007A3A99" w:rsidRPr="001B1DB1" w:rsidRDefault="007A3A99" w:rsidP="007A3A99">
            <w:pPr>
              <w:jc w:val="center"/>
              <w:rPr>
                <w:rFonts w:cs="Times New Roman"/>
                <w:sz w:val="20"/>
                <w:szCs w:val="20"/>
              </w:rPr>
            </w:pPr>
            <w:r>
              <w:rPr>
                <w:sz w:val="20"/>
                <w:szCs w:val="20"/>
              </w:rPr>
              <w:t>MKD</w:t>
            </w:r>
          </w:p>
        </w:tc>
        <w:tc>
          <w:tcPr>
            <w:tcW w:w="1275" w:type="dxa"/>
            <w:tcBorders>
              <w:top w:val="nil"/>
              <w:left w:val="nil"/>
              <w:bottom w:val="single" w:sz="8" w:space="0" w:color="auto"/>
              <w:right w:val="single" w:sz="8" w:space="0" w:color="auto"/>
            </w:tcBorders>
            <w:shd w:val="clear" w:color="auto" w:fill="auto"/>
          </w:tcPr>
          <w:p w14:paraId="6245EECF" w14:textId="043FC83A" w:rsidR="007A3A99" w:rsidRPr="001B1DB1" w:rsidRDefault="007A3A99" w:rsidP="007A3A99">
            <w:pPr>
              <w:jc w:val="center"/>
              <w:rPr>
                <w:sz w:val="20"/>
                <w:szCs w:val="20"/>
              </w:rPr>
            </w:pPr>
            <w:r>
              <w:rPr>
                <w:sz w:val="20"/>
                <w:szCs w:val="20"/>
              </w:rPr>
              <w:t>TM</w:t>
            </w:r>
          </w:p>
        </w:tc>
        <w:tc>
          <w:tcPr>
            <w:tcW w:w="1418" w:type="dxa"/>
            <w:tcBorders>
              <w:top w:val="nil"/>
              <w:left w:val="nil"/>
              <w:bottom w:val="single" w:sz="8" w:space="0" w:color="auto"/>
              <w:right w:val="single" w:sz="8" w:space="0" w:color="auto"/>
            </w:tcBorders>
            <w:shd w:val="clear" w:color="auto" w:fill="auto"/>
          </w:tcPr>
          <w:p w14:paraId="2FE7648D" w14:textId="1DF100A3" w:rsidR="007A3A99" w:rsidRDefault="007A3A99" w:rsidP="007A3A99">
            <w:pPr>
              <w:jc w:val="center"/>
              <w:rPr>
                <w:rFonts w:cs="Times New Roman"/>
                <w:sz w:val="20"/>
                <w:szCs w:val="20"/>
              </w:rPr>
            </w:pPr>
            <w:r>
              <w:rPr>
                <w:sz w:val="20"/>
                <w:szCs w:val="20"/>
              </w:rPr>
              <w:t>31.12.2020.</w:t>
            </w:r>
          </w:p>
        </w:tc>
      </w:tr>
      <w:tr w:rsidR="00CF34C2" w:rsidRPr="001B1DB1" w14:paraId="634D0E1C" w14:textId="77777777" w:rsidTr="00002D3D">
        <w:trPr>
          <w:trHeight w:val="543"/>
        </w:trPr>
        <w:tc>
          <w:tcPr>
            <w:tcW w:w="709" w:type="dxa"/>
          </w:tcPr>
          <w:p w14:paraId="23B170CA" w14:textId="21C19EF5"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3</w:t>
            </w:r>
            <w:r w:rsidRPr="001B1DB1">
              <w:rPr>
                <w:rFonts w:cs="Times New Roman"/>
                <w:bCs/>
                <w:sz w:val="20"/>
                <w:szCs w:val="20"/>
              </w:rPr>
              <w:t>.</w:t>
            </w:r>
          </w:p>
        </w:tc>
        <w:tc>
          <w:tcPr>
            <w:tcW w:w="3686" w:type="dxa"/>
            <w:shd w:val="clear" w:color="auto" w:fill="auto"/>
          </w:tcPr>
          <w:p w14:paraId="6940C508" w14:textId="6C469738" w:rsidR="00CF34C2" w:rsidRPr="001B1DB1" w:rsidRDefault="00D123E2" w:rsidP="00002D3D">
            <w:pPr>
              <w:jc w:val="both"/>
              <w:rPr>
                <w:sz w:val="20"/>
                <w:szCs w:val="20"/>
              </w:rPr>
            </w:pPr>
            <w:r w:rsidRPr="00D123E2">
              <w:rPr>
                <w:rFonts w:cs="Times New Roman"/>
                <w:sz w:val="20"/>
                <w:szCs w:val="20"/>
              </w:rPr>
              <w:t>LAS ABLV</w:t>
            </w:r>
            <w:r w:rsidRPr="00D123E2" w:rsidDel="00D123E2">
              <w:rPr>
                <w:rFonts w:cs="Times New Roman"/>
                <w:sz w:val="20"/>
                <w:szCs w:val="20"/>
              </w:rPr>
              <w:t xml:space="preserve"> </w:t>
            </w:r>
            <w:r w:rsidR="00CF34C2" w:rsidRPr="001B1DB1">
              <w:rPr>
                <w:rFonts w:cs="Times New Roman"/>
                <w:sz w:val="20"/>
                <w:szCs w:val="20"/>
              </w:rPr>
              <w:t>kontrolēta pašlikvidācijas procesa nodrošināšana</w:t>
            </w:r>
            <w:r w:rsidR="002C73EE" w:rsidRPr="001B1DB1">
              <w:rPr>
                <w:rFonts w:cs="Times New Roman"/>
                <w:sz w:val="20"/>
                <w:szCs w:val="20"/>
              </w:rPr>
              <w:t>.</w:t>
            </w:r>
          </w:p>
        </w:tc>
        <w:tc>
          <w:tcPr>
            <w:tcW w:w="1559" w:type="dxa"/>
          </w:tcPr>
          <w:p w14:paraId="74D3A0F7" w14:textId="238F191A" w:rsidR="00CF34C2" w:rsidRPr="001B1DB1" w:rsidRDefault="00CF34C2" w:rsidP="00D358EE">
            <w:pPr>
              <w:jc w:val="both"/>
              <w:rPr>
                <w:rFonts w:cs="Times New Roman"/>
                <w:sz w:val="20"/>
                <w:szCs w:val="20"/>
              </w:rPr>
            </w:pPr>
            <w:r w:rsidRPr="001B1DB1">
              <w:rPr>
                <w:rFonts w:cs="Times New Roman"/>
                <w:sz w:val="20"/>
                <w:szCs w:val="20"/>
              </w:rPr>
              <w:t>2018.</w:t>
            </w:r>
            <w:r w:rsidR="001209FF">
              <w:rPr>
                <w:rFonts w:cs="Times New Roman"/>
                <w:sz w:val="20"/>
                <w:szCs w:val="20"/>
              </w:rPr>
              <w:t xml:space="preserve"> </w:t>
            </w:r>
            <w:r w:rsidRPr="001B1DB1">
              <w:rPr>
                <w:rFonts w:cs="Times New Roman"/>
                <w:sz w:val="20"/>
                <w:szCs w:val="20"/>
              </w:rPr>
              <w:t>gada 21.</w:t>
            </w:r>
            <w:r w:rsidR="00E74CDF">
              <w:rPr>
                <w:rFonts w:cs="Times New Roman"/>
                <w:sz w:val="20"/>
                <w:szCs w:val="20"/>
              </w:rPr>
              <w:t xml:space="preserve"> </w:t>
            </w:r>
            <w:r w:rsidRPr="001B1DB1">
              <w:rPr>
                <w:rFonts w:cs="Times New Roman"/>
                <w:sz w:val="20"/>
                <w:szCs w:val="20"/>
              </w:rPr>
              <w:t>marta FSAP lēmums</w:t>
            </w:r>
            <w:r w:rsidR="002C73EE" w:rsidRPr="001B1DB1">
              <w:rPr>
                <w:rFonts w:cs="Times New Roman"/>
                <w:sz w:val="20"/>
                <w:szCs w:val="20"/>
              </w:rPr>
              <w:t>.</w:t>
            </w:r>
          </w:p>
        </w:tc>
        <w:tc>
          <w:tcPr>
            <w:tcW w:w="2551" w:type="dxa"/>
            <w:shd w:val="clear" w:color="auto" w:fill="auto"/>
          </w:tcPr>
          <w:p w14:paraId="75D3147F" w14:textId="72AA9381" w:rsidR="00CF34C2" w:rsidRPr="001B1DB1" w:rsidRDefault="00CF34C2" w:rsidP="00D16025">
            <w:pPr>
              <w:jc w:val="both"/>
              <w:rPr>
                <w:rFonts w:cs="Times New Roman"/>
                <w:sz w:val="20"/>
                <w:szCs w:val="20"/>
              </w:rPr>
            </w:pPr>
            <w:r w:rsidRPr="001B1DB1">
              <w:rPr>
                <w:rFonts w:cs="Times New Roman"/>
                <w:sz w:val="20"/>
                <w:szCs w:val="20"/>
              </w:rPr>
              <w:t>Kontrolēts pašlikvidācijas process, nodrošinot kreditoru un ar tiem saistīto personu, PLG un pārstāvju atbilstības NILLTPF</w:t>
            </w:r>
            <w:r w:rsidR="005627C5">
              <w:rPr>
                <w:rFonts w:cs="Times New Roman"/>
                <w:sz w:val="20"/>
                <w:szCs w:val="20"/>
              </w:rPr>
              <w:t>N</w:t>
            </w:r>
            <w:r w:rsidRPr="001B1DB1">
              <w:rPr>
                <w:rFonts w:cs="Times New Roman"/>
                <w:sz w:val="20"/>
                <w:szCs w:val="20"/>
              </w:rPr>
              <w:t xml:space="preserve"> un </w:t>
            </w:r>
            <w:r w:rsidRPr="00053D97">
              <w:rPr>
                <w:rFonts w:cs="Times New Roman"/>
                <w:sz w:val="20"/>
                <w:szCs w:val="20"/>
              </w:rPr>
              <w:t>sankciju prasībām pārbaudi un efektīvu sadarbību ar tiesību aizsardzības iestādēm.</w:t>
            </w:r>
          </w:p>
        </w:tc>
        <w:tc>
          <w:tcPr>
            <w:tcW w:w="2694" w:type="dxa"/>
          </w:tcPr>
          <w:p w14:paraId="3DC63436" w14:textId="465C5588" w:rsidR="00CF34C2" w:rsidRPr="001B1DB1" w:rsidRDefault="00CF34C2" w:rsidP="00002D3D">
            <w:pPr>
              <w:jc w:val="both"/>
              <w:rPr>
                <w:rFonts w:cs="Times New Roman"/>
                <w:sz w:val="20"/>
                <w:szCs w:val="20"/>
              </w:rPr>
            </w:pPr>
            <w:r w:rsidRPr="001B1DB1">
              <w:rPr>
                <w:rFonts w:cs="Times New Roman"/>
                <w:sz w:val="20"/>
                <w:szCs w:val="20"/>
              </w:rPr>
              <w:t xml:space="preserve">Regulāri vismaz reizi mēnesī par </w:t>
            </w:r>
            <w:r w:rsidR="00D123E2" w:rsidRPr="00D123E2">
              <w:rPr>
                <w:rFonts w:cs="Times New Roman"/>
                <w:sz w:val="20"/>
                <w:szCs w:val="20"/>
              </w:rPr>
              <w:t>LAS ABLV</w:t>
            </w:r>
            <w:r w:rsidR="00D123E2" w:rsidRPr="00D123E2" w:rsidDel="00D123E2">
              <w:rPr>
                <w:rFonts w:cs="Times New Roman"/>
                <w:sz w:val="20"/>
                <w:szCs w:val="20"/>
              </w:rPr>
              <w:t xml:space="preserve"> </w:t>
            </w:r>
            <w:r w:rsidRPr="001B1DB1">
              <w:rPr>
                <w:rFonts w:cs="Times New Roman"/>
                <w:sz w:val="20"/>
                <w:szCs w:val="20"/>
              </w:rPr>
              <w:t>pašlikvidācijas procesu informēt</w:t>
            </w:r>
            <w:r w:rsidR="0062496B">
              <w:rPr>
                <w:rFonts w:cs="Times New Roman"/>
                <w:sz w:val="20"/>
                <w:szCs w:val="20"/>
              </w:rPr>
              <w:t>a</w:t>
            </w:r>
            <w:r w:rsidRPr="001B1DB1">
              <w:rPr>
                <w:rFonts w:cs="Times New Roman"/>
                <w:sz w:val="20"/>
                <w:szCs w:val="20"/>
              </w:rPr>
              <w:t xml:space="preserve"> FSAP, lai nodrošinātu visu iesaistīto pušu darbības koordināciju efektīva pašlikvidācijas procesa nodrošināšanai.</w:t>
            </w:r>
          </w:p>
        </w:tc>
        <w:tc>
          <w:tcPr>
            <w:tcW w:w="1134" w:type="dxa"/>
            <w:shd w:val="clear" w:color="auto" w:fill="auto"/>
          </w:tcPr>
          <w:p w14:paraId="77CDE0FE" w14:textId="45E6990D" w:rsidR="00CF34C2" w:rsidRPr="001B1DB1" w:rsidRDefault="00CF34C2" w:rsidP="005627C5">
            <w:pPr>
              <w:jc w:val="center"/>
              <w:rPr>
                <w:sz w:val="20"/>
                <w:szCs w:val="20"/>
              </w:rPr>
            </w:pPr>
            <w:r w:rsidRPr="001B1DB1">
              <w:rPr>
                <w:rFonts w:cs="Times New Roman"/>
                <w:sz w:val="20"/>
                <w:szCs w:val="20"/>
              </w:rPr>
              <w:t>FKTK</w:t>
            </w:r>
            <w:r w:rsidR="005B7005">
              <w:rPr>
                <w:rFonts w:cs="Times New Roman"/>
                <w:sz w:val="20"/>
                <w:szCs w:val="20"/>
              </w:rPr>
              <w:t xml:space="preserve">, FID, </w:t>
            </w:r>
            <w:r w:rsidR="005B7005" w:rsidRPr="001B1DB1">
              <w:rPr>
                <w:rFonts w:cs="Times New Roman"/>
                <w:sz w:val="20"/>
                <w:szCs w:val="20"/>
              </w:rPr>
              <w:t>VP, VID, KNAB</w:t>
            </w:r>
          </w:p>
        </w:tc>
        <w:tc>
          <w:tcPr>
            <w:tcW w:w="1275" w:type="dxa"/>
            <w:shd w:val="clear" w:color="auto" w:fill="auto"/>
          </w:tcPr>
          <w:p w14:paraId="303D6743" w14:textId="14E9B1BA" w:rsidR="00CF34C2" w:rsidRPr="001B1DB1" w:rsidRDefault="005627C5" w:rsidP="00664B7B">
            <w:pPr>
              <w:jc w:val="center"/>
              <w:rPr>
                <w:sz w:val="20"/>
                <w:szCs w:val="20"/>
              </w:rPr>
            </w:pPr>
            <w:r>
              <w:rPr>
                <w:sz w:val="20"/>
                <w:szCs w:val="20"/>
              </w:rPr>
              <w:t>VDD</w:t>
            </w:r>
          </w:p>
        </w:tc>
        <w:tc>
          <w:tcPr>
            <w:tcW w:w="1418" w:type="dxa"/>
            <w:shd w:val="clear" w:color="auto" w:fill="auto"/>
          </w:tcPr>
          <w:p w14:paraId="3EAF39E6" w14:textId="77777777" w:rsidR="00CF34C2" w:rsidRPr="001B1DB1" w:rsidRDefault="00CF34C2" w:rsidP="00664B7B">
            <w:pPr>
              <w:jc w:val="center"/>
              <w:rPr>
                <w:rFonts w:cs="Times New Roman"/>
                <w:bCs/>
                <w:sz w:val="20"/>
                <w:szCs w:val="20"/>
              </w:rPr>
            </w:pPr>
            <w:r w:rsidRPr="001B1DB1">
              <w:rPr>
                <w:rFonts w:cs="Times New Roman"/>
                <w:sz w:val="20"/>
                <w:szCs w:val="20"/>
              </w:rPr>
              <w:t>Pastāvīgi</w:t>
            </w:r>
          </w:p>
        </w:tc>
      </w:tr>
      <w:tr w:rsidR="00CF34C2" w:rsidRPr="001B1DB1" w14:paraId="630CB0F5" w14:textId="77777777" w:rsidTr="00002D3D">
        <w:trPr>
          <w:trHeight w:val="543"/>
        </w:trPr>
        <w:tc>
          <w:tcPr>
            <w:tcW w:w="709" w:type="dxa"/>
            <w:vMerge w:val="restart"/>
          </w:tcPr>
          <w:p w14:paraId="1E23350C" w14:textId="22E6E4AD"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4</w:t>
            </w:r>
            <w:r w:rsidRPr="001B1DB1">
              <w:rPr>
                <w:rFonts w:cs="Times New Roman"/>
                <w:bCs/>
                <w:sz w:val="20"/>
                <w:szCs w:val="20"/>
              </w:rPr>
              <w:t>.</w:t>
            </w:r>
          </w:p>
        </w:tc>
        <w:tc>
          <w:tcPr>
            <w:tcW w:w="3686" w:type="dxa"/>
            <w:vMerge w:val="restart"/>
            <w:shd w:val="clear" w:color="auto" w:fill="auto"/>
          </w:tcPr>
          <w:p w14:paraId="47B6BDEA" w14:textId="77777777" w:rsidR="00CF34C2" w:rsidRPr="001B1DB1" w:rsidRDefault="00CF34C2" w:rsidP="00002D3D">
            <w:pPr>
              <w:jc w:val="both"/>
              <w:rPr>
                <w:sz w:val="20"/>
                <w:szCs w:val="20"/>
              </w:rPr>
            </w:pPr>
            <w:r w:rsidRPr="001B1DB1">
              <w:rPr>
                <w:rFonts w:cs="Times New Roman"/>
                <w:sz w:val="20"/>
                <w:szCs w:val="20"/>
              </w:rPr>
              <w:t>Uzraudzīt kredītiestāžu biznesa modeļu maiņu, samazinot augsta riska klientu īpatsvaru, sasniedzot FKTK noteiktos mērķa lielumus nozarei kopumā.</w:t>
            </w:r>
          </w:p>
        </w:tc>
        <w:tc>
          <w:tcPr>
            <w:tcW w:w="1559" w:type="dxa"/>
            <w:vMerge w:val="restart"/>
          </w:tcPr>
          <w:p w14:paraId="48A08875" w14:textId="77777777" w:rsidR="00CF34C2" w:rsidRPr="001B1DB1" w:rsidRDefault="00F509B4" w:rsidP="00F509B4">
            <w:pPr>
              <w:rPr>
                <w:rFonts w:cs="Times New Roman"/>
                <w:sz w:val="20"/>
                <w:szCs w:val="20"/>
              </w:rPr>
            </w:pPr>
            <w:r w:rsidRPr="001B1DB1">
              <w:rPr>
                <w:rFonts w:cs="Times New Roman"/>
                <w:sz w:val="20"/>
                <w:szCs w:val="20"/>
              </w:rPr>
              <w:t>NRA</w:t>
            </w:r>
            <w:r w:rsidR="002C73EE" w:rsidRPr="001B1DB1">
              <w:rPr>
                <w:rFonts w:cs="Times New Roman"/>
                <w:sz w:val="20"/>
                <w:szCs w:val="20"/>
              </w:rPr>
              <w:t>.</w:t>
            </w:r>
          </w:p>
        </w:tc>
        <w:tc>
          <w:tcPr>
            <w:tcW w:w="2551" w:type="dxa"/>
            <w:vMerge w:val="restart"/>
            <w:shd w:val="clear" w:color="auto" w:fill="auto"/>
          </w:tcPr>
          <w:p w14:paraId="519FD129" w14:textId="77777777" w:rsidR="00CF34C2" w:rsidRPr="001B1DB1" w:rsidRDefault="00CF34C2" w:rsidP="00002D3D">
            <w:pPr>
              <w:rPr>
                <w:rFonts w:cs="Times New Roman"/>
                <w:sz w:val="20"/>
                <w:szCs w:val="20"/>
              </w:rPr>
            </w:pPr>
            <w:r w:rsidRPr="001B1DB1">
              <w:rPr>
                <w:rFonts w:cs="Times New Roman"/>
                <w:sz w:val="20"/>
                <w:szCs w:val="20"/>
              </w:rPr>
              <w:t>Risku būtisks samazinājums kredītiestāžu nozarē</w:t>
            </w:r>
            <w:r w:rsidR="002C73EE" w:rsidRPr="001B1DB1">
              <w:rPr>
                <w:rFonts w:cs="Times New Roman"/>
                <w:sz w:val="20"/>
                <w:szCs w:val="20"/>
              </w:rPr>
              <w:t>.</w:t>
            </w:r>
          </w:p>
        </w:tc>
        <w:tc>
          <w:tcPr>
            <w:tcW w:w="2694" w:type="dxa"/>
          </w:tcPr>
          <w:p w14:paraId="7B27F7DE" w14:textId="711559C1" w:rsidR="00CF34C2" w:rsidRPr="001B1DB1" w:rsidRDefault="00CF34C2" w:rsidP="00002D3D">
            <w:pPr>
              <w:jc w:val="both"/>
              <w:rPr>
                <w:rFonts w:cs="Times New Roman"/>
                <w:sz w:val="20"/>
                <w:szCs w:val="20"/>
              </w:rPr>
            </w:pPr>
            <w:r w:rsidRPr="001B1DB1">
              <w:rPr>
                <w:rFonts w:cs="Times New Roman"/>
                <w:sz w:val="20"/>
                <w:szCs w:val="20"/>
              </w:rPr>
              <w:t>1. Regulāri par kredītiestāžu biznesa modeļu maiņas procesu un rezultātiem informēt</w:t>
            </w:r>
            <w:r w:rsidR="001D23F0">
              <w:rPr>
                <w:rFonts w:cs="Times New Roman"/>
                <w:sz w:val="20"/>
                <w:szCs w:val="20"/>
              </w:rPr>
              <w:t>a</w:t>
            </w:r>
            <w:r w:rsidRPr="001B1DB1">
              <w:rPr>
                <w:rFonts w:cs="Times New Roman"/>
                <w:sz w:val="20"/>
                <w:szCs w:val="20"/>
              </w:rPr>
              <w:t xml:space="preserve"> FSAP</w:t>
            </w:r>
            <w:r w:rsidR="002C73EE" w:rsidRPr="001B1DB1">
              <w:rPr>
                <w:rFonts w:cs="Times New Roman"/>
                <w:sz w:val="20"/>
                <w:szCs w:val="20"/>
              </w:rPr>
              <w:t>.</w:t>
            </w:r>
          </w:p>
        </w:tc>
        <w:tc>
          <w:tcPr>
            <w:tcW w:w="1134" w:type="dxa"/>
            <w:shd w:val="clear" w:color="auto" w:fill="auto"/>
          </w:tcPr>
          <w:p w14:paraId="475D0805" w14:textId="77777777" w:rsidR="00CF34C2" w:rsidRPr="001B1DB1" w:rsidRDefault="00CF34C2" w:rsidP="00664B7B">
            <w:pPr>
              <w:jc w:val="center"/>
              <w:rPr>
                <w:sz w:val="20"/>
                <w:szCs w:val="20"/>
              </w:rPr>
            </w:pPr>
            <w:r w:rsidRPr="001B1DB1">
              <w:rPr>
                <w:rFonts w:cs="Times New Roman"/>
                <w:sz w:val="20"/>
                <w:szCs w:val="20"/>
              </w:rPr>
              <w:t>FKTK</w:t>
            </w:r>
          </w:p>
        </w:tc>
        <w:tc>
          <w:tcPr>
            <w:tcW w:w="1275" w:type="dxa"/>
            <w:shd w:val="clear" w:color="auto" w:fill="auto"/>
          </w:tcPr>
          <w:p w14:paraId="570971C5" w14:textId="77777777" w:rsidR="00CF34C2" w:rsidRPr="001B1DB1" w:rsidRDefault="00CF34C2" w:rsidP="00664B7B">
            <w:pPr>
              <w:jc w:val="center"/>
              <w:rPr>
                <w:sz w:val="20"/>
                <w:szCs w:val="20"/>
              </w:rPr>
            </w:pPr>
          </w:p>
        </w:tc>
        <w:tc>
          <w:tcPr>
            <w:tcW w:w="1418" w:type="dxa"/>
            <w:shd w:val="clear" w:color="auto" w:fill="auto"/>
          </w:tcPr>
          <w:p w14:paraId="205E771F"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CF34C2" w:rsidRPr="001B1DB1" w14:paraId="5ACAD165" w14:textId="77777777" w:rsidTr="00002D3D">
        <w:trPr>
          <w:trHeight w:val="543"/>
        </w:trPr>
        <w:tc>
          <w:tcPr>
            <w:tcW w:w="709" w:type="dxa"/>
            <w:vMerge/>
          </w:tcPr>
          <w:p w14:paraId="78ED98E4" w14:textId="77777777" w:rsidR="00CF34C2" w:rsidRPr="001B1DB1" w:rsidRDefault="00CF34C2" w:rsidP="00002D3D">
            <w:pPr>
              <w:jc w:val="center"/>
              <w:rPr>
                <w:rFonts w:cs="Times New Roman"/>
                <w:bCs/>
                <w:sz w:val="20"/>
                <w:szCs w:val="20"/>
              </w:rPr>
            </w:pPr>
          </w:p>
        </w:tc>
        <w:tc>
          <w:tcPr>
            <w:tcW w:w="3686" w:type="dxa"/>
            <w:vMerge/>
            <w:shd w:val="clear" w:color="auto" w:fill="auto"/>
          </w:tcPr>
          <w:p w14:paraId="4E0F66A0" w14:textId="77777777" w:rsidR="00CF34C2" w:rsidRPr="001B1DB1" w:rsidRDefault="00CF34C2" w:rsidP="00002D3D">
            <w:pPr>
              <w:jc w:val="both"/>
              <w:rPr>
                <w:sz w:val="20"/>
                <w:szCs w:val="20"/>
              </w:rPr>
            </w:pPr>
          </w:p>
        </w:tc>
        <w:tc>
          <w:tcPr>
            <w:tcW w:w="1559" w:type="dxa"/>
            <w:vMerge/>
          </w:tcPr>
          <w:p w14:paraId="3FE0F572" w14:textId="77777777" w:rsidR="00CF34C2" w:rsidRPr="001B1DB1" w:rsidRDefault="00CF34C2" w:rsidP="00002D3D">
            <w:pPr>
              <w:rPr>
                <w:rFonts w:cs="Times New Roman"/>
                <w:sz w:val="20"/>
                <w:szCs w:val="20"/>
              </w:rPr>
            </w:pPr>
          </w:p>
        </w:tc>
        <w:tc>
          <w:tcPr>
            <w:tcW w:w="2551" w:type="dxa"/>
            <w:vMerge/>
            <w:shd w:val="clear" w:color="auto" w:fill="auto"/>
          </w:tcPr>
          <w:p w14:paraId="3434F0C7" w14:textId="77777777" w:rsidR="00CF34C2" w:rsidRPr="001B1DB1" w:rsidRDefault="00CF34C2" w:rsidP="00002D3D">
            <w:pPr>
              <w:rPr>
                <w:rFonts w:cs="Times New Roman"/>
                <w:sz w:val="20"/>
                <w:szCs w:val="20"/>
              </w:rPr>
            </w:pPr>
          </w:p>
        </w:tc>
        <w:tc>
          <w:tcPr>
            <w:tcW w:w="2694" w:type="dxa"/>
          </w:tcPr>
          <w:p w14:paraId="6E05DE61" w14:textId="76917D6C" w:rsidR="00CF34C2" w:rsidRPr="001B1DB1" w:rsidRDefault="00CF34C2" w:rsidP="001D23F0">
            <w:pPr>
              <w:jc w:val="both"/>
              <w:rPr>
                <w:rFonts w:cs="Times New Roman"/>
                <w:sz w:val="20"/>
                <w:szCs w:val="20"/>
              </w:rPr>
            </w:pPr>
            <w:r w:rsidRPr="001B1DB1">
              <w:rPr>
                <w:rFonts w:cs="Times New Roman"/>
                <w:sz w:val="20"/>
                <w:szCs w:val="20"/>
              </w:rPr>
              <w:t xml:space="preserve">2. </w:t>
            </w:r>
            <w:r w:rsidR="001D23F0">
              <w:rPr>
                <w:rFonts w:cs="Times New Roman"/>
                <w:sz w:val="20"/>
                <w:szCs w:val="20"/>
              </w:rPr>
              <w:t>Regulāri s</w:t>
            </w:r>
            <w:r w:rsidRPr="001B1DB1">
              <w:rPr>
                <w:rFonts w:cs="Times New Roman"/>
                <w:sz w:val="20"/>
                <w:szCs w:val="20"/>
              </w:rPr>
              <w:t>niegta informācija par izmaiņām r</w:t>
            </w:r>
            <w:r w:rsidR="002C73EE" w:rsidRPr="001B1DB1">
              <w:rPr>
                <w:rFonts w:cs="Times New Roman"/>
                <w:sz w:val="20"/>
                <w:szCs w:val="20"/>
              </w:rPr>
              <w:t>iska līmenī.</w:t>
            </w:r>
          </w:p>
        </w:tc>
        <w:tc>
          <w:tcPr>
            <w:tcW w:w="1134" w:type="dxa"/>
            <w:shd w:val="clear" w:color="auto" w:fill="auto"/>
          </w:tcPr>
          <w:p w14:paraId="72311224" w14:textId="77777777" w:rsidR="00CF34C2" w:rsidRPr="001B1DB1" w:rsidRDefault="00CF34C2" w:rsidP="00664B7B">
            <w:pPr>
              <w:jc w:val="center"/>
              <w:rPr>
                <w:sz w:val="20"/>
                <w:szCs w:val="20"/>
              </w:rPr>
            </w:pPr>
            <w:r w:rsidRPr="001B1DB1">
              <w:rPr>
                <w:rFonts w:cs="Times New Roman"/>
                <w:sz w:val="20"/>
                <w:szCs w:val="20"/>
              </w:rPr>
              <w:t>FKTK</w:t>
            </w:r>
          </w:p>
        </w:tc>
        <w:tc>
          <w:tcPr>
            <w:tcW w:w="1275" w:type="dxa"/>
            <w:shd w:val="clear" w:color="auto" w:fill="auto"/>
          </w:tcPr>
          <w:p w14:paraId="5F91E64A" w14:textId="77777777" w:rsidR="00CF34C2" w:rsidRPr="001B1DB1" w:rsidRDefault="00CF34C2" w:rsidP="00664B7B">
            <w:pPr>
              <w:jc w:val="center"/>
              <w:rPr>
                <w:sz w:val="20"/>
                <w:szCs w:val="20"/>
              </w:rPr>
            </w:pPr>
          </w:p>
        </w:tc>
        <w:tc>
          <w:tcPr>
            <w:tcW w:w="1418" w:type="dxa"/>
            <w:shd w:val="clear" w:color="auto" w:fill="auto"/>
          </w:tcPr>
          <w:p w14:paraId="7B3C7E6B" w14:textId="77777777" w:rsidR="00CF34C2" w:rsidRPr="001B1DB1" w:rsidRDefault="00CF34C2" w:rsidP="00664B7B">
            <w:pPr>
              <w:jc w:val="center"/>
              <w:rPr>
                <w:rFonts w:cs="Times New Roman"/>
                <w:bCs/>
                <w:sz w:val="20"/>
                <w:szCs w:val="20"/>
              </w:rPr>
            </w:pPr>
            <w:r w:rsidRPr="001B1DB1">
              <w:rPr>
                <w:rFonts w:cs="Times New Roman"/>
                <w:sz w:val="20"/>
                <w:szCs w:val="20"/>
              </w:rPr>
              <w:t>Katru gadu</w:t>
            </w:r>
          </w:p>
        </w:tc>
      </w:tr>
      <w:tr w:rsidR="00CF34C2" w:rsidRPr="001B1DB1" w14:paraId="2F0ABF35" w14:textId="77777777" w:rsidTr="00002D3D">
        <w:trPr>
          <w:trHeight w:val="543"/>
        </w:trPr>
        <w:tc>
          <w:tcPr>
            <w:tcW w:w="709" w:type="dxa"/>
          </w:tcPr>
          <w:p w14:paraId="31CFF9B7" w14:textId="46859331"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5</w:t>
            </w:r>
            <w:r w:rsidRPr="001B1DB1">
              <w:rPr>
                <w:rFonts w:cs="Times New Roman"/>
                <w:bCs/>
                <w:sz w:val="20"/>
                <w:szCs w:val="20"/>
              </w:rPr>
              <w:t>.</w:t>
            </w:r>
          </w:p>
        </w:tc>
        <w:tc>
          <w:tcPr>
            <w:tcW w:w="3686" w:type="dxa"/>
            <w:shd w:val="clear" w:color="auto" w:fill="auto"/>
          </w:tcPr>
          <w:p w14:paraId="12ABBC26" w14:textId="19BAC531" w:rsidR="00CF34C2" w:rsidRPr="001B1DB1" w:rsidRDefault="00B27926" w:rsidP="00002D3D">
            <w:pPr>
              <w:jc w:val="both"/>
              <w:rPr>
                <w:sz w:val="20"/>
                <w:szCs w:val="20"/>
              </w:rPr>
            </w:pPr>
            <w:r w:rsidRPr="00B27926">
              <w:rPr>
                <w:rFonts w:cs="Times New Roman"/>
                <w:sz w:val="20"/>
                <w:szCs w:val="20"/>
              </w:rPr>
              <w:t>Izvērtēt klientu izpētes procesu par darījumu, kas atbilst NILLTPFN likuma 11.panta pirmās daļas 4.punkta nosacījumiem, nosakot iespējas tā pilnveidošanai</w:t>
            </w:r>
            <w:r w:rsidR="001D23F0">
              <w:rPr>
                <w:rFonts w:cs="Times New Roman"/>
                <w:sz w:val="20"/>
                <w:szCs w:val="20"/>
              </w:rPr>
              <w:t>.</w:t>
            </w:r>
          </w:p>
        </w:tc>
        <w:tc>
          <w:tcPr>
            <w:tcW w:w="1559" w:type="dxa"/>
          </w:tcPr>
          <w:p w14:paraId="615DA909" w14:textId="4F093382" w:rsidR="00CF34C2" w:rsidRPr="001B1DB1" w:rsidRDefault="00CF34C2" w:rsidP="00002D3D">
            <w:pPr>
              <w:rPr>
                <w:rFonts w:cs="Times New Roman"/>
                <w:sz w:val="20"/>
                <w:szCs w:val="20"/>
              </w:rPr>
            </w:pPr>
            <w:r w:rsidRPr="001B1DB1">
              <w:rPr>
                <w:rFonts w:cs="Times New Roman"/>
                <w:sz w:val="20"/>
                <w:szCs w:val="20"/>
              </w:rPr>
              <w:t>Sektorālais riska novērtējums 2017-2019</w:t>
            </w:r>
            <w:r w:rsidR="002C73EE" w:rsidRPr="001B1DB1">
              <w:rPr>
                <w:rFonts w:cs="Times New Roman"/>
                <w:sz w:val="20"/>
                <w:szCs w:val="20"/>
              </w:rPr>
              <w:t>.</w:t>
            </w:r>
          </w:p>
        </w:tc>
        <w:tc>
          <w:tcPr>
            <w:tcW w:w="2551" w:type="dxa"/>
            <w:shd w:val="clear" w:color="auto" w:fill="auto"/>
          </w:tcPr>
          <w:p w14:paraId="3EBD666F" w14:textId="5B212D75" w:rsidR="00CF34C2" w:rsidRPr="001B1DB1" w:rsidRDefault="00B27926" w:rsidP="00D16025">
            <w:pPr>
              <w:jc w:val="both"/>
              <w:rPr>
                <w:rFonts w:cs="Times New Roman"/>
                <w:sz w:val="20"/>
                <w:szCs w:val="20"/>
              </w:rPr>
            </w:pPr>
            <w:r w:rsidRPr="00B27926">
              <w:rPr>
                <w:rFonts w:cs="Times New Roman"/>
                <w:sz w:val="20"/>
                <w:szCs w:val="20"/>
              </w:rPr>
              <w:t>Pilnveidots klientu izpētes process par darījumu, kas atbilst NILLTPFN likuma 11.panta pirmās daļas 4.punkta nosacījumiem. Pilnveidotas prasības attiecībā uz video novērošanu</w:t>
            </w:r>
            <w:r w:rsidR="001D23F0">
              <w:rPr>
                <w:rFonts w:cs="Times New Roman"/>
                <w:sz w:val="20"/>
                <w:szCs w:val="20"/>
              </w:rPr>
              <w:t>.</w:t>
            </w:r>
          </w:p>
        </w:tc>
        <w:tc>
          <w:tcPr>
            <w:tcW w:w="2694" w:type="dxa"/>
          </w:tcPr>
          <w:p w14:paraId="030F7BB5" w14:textId="1AD7DCF6" w:rsidR="00CF34C2" w:rsidRPr="001B1DB1" w:rsidRDefault="00F65B7B" w:rsidP="00C55667">
            <w:pPr>
              <w:jc w:val="both"/>
              <w:rPr>
                <w:rFonts w:cs="Times New Roman"/>
                <w:sz w:val="20"/>
                <w:szCs w:val="20"/>
              </w:rPr>
            </w:pPr>
            <w:r>
              <w:rPr>
                <w:rFonts w:cs="Times New Roman"/>
                <w:sz w:val="20"/>
                <w:szCs w:val="20"/>
              </w:rPr>
              <w:t>Sagatavots i</w:t>
            </w:r>
            <w:r w:rsidR="00B27926" w:rsidRPr="00B27926">
              <w:rPr>
                <w:rFonts w:cs="Times New Roman"/>
                <w:sz w:val="20"/>
                <w:szCs w:val="20"/>
              </w:rPr>
              <w:t xml:space="preserve">zvērtējums par klientu izpētes procesu par darījumu, kas atbilst NILLTPFN likuma 11.panta pirmās daļas 4.punkta nosacījumiem, </w:t>
            </w:r>
            <w:r>
              <w:rPr>
                <w:rFonts w:cs="Times New Roman"/>
                <w:sz w:val="20"/>
                <w:szCs w:val="20"/>
              </w:rPr>
              <w:t>ietverot</w:t>
            </w:r>
            <w:r w:rsidRPr="00B27926">
              <w:rPr>
                <w:rFonts w:cs="Times New Roman"/>
                <w:sz w:val="20"/>
                <w:szCs w:val="20"/>
              </w:rPr>
              <w:t xml:space="preserve"> </w:t>
            </w:r>
            <w:r w:rsidR="00B27926" w:rsidRPr="00B27926">
              <w:rPr>
                <w:rFonts w:cs="Times New Roman"/>
                <w:sz w:val="20"/>
                <w:szCs w:val="20"/>
              </w:rPr>
              <w:t>priekšlikumus tā pilnveidošanai</w:t>
            </w:r>
            <w:r>
              <w:rPr>
                <w:rFonts w:cs="Times New Roman"/>
                <w:sz w:val="20"/>
                <w:szCs w:val="20"/>
              </w:rPr>
              <w:t>, tai skaitā attiecībā uz video novērošanu.</w:t>
            </w:r>
          </w:p>
        </w:tc>
        <w:tc>
          <w:tcPr>
            <w:tcW w:w="1134" w:type="dxa"/>
            <w:shd w:val="clear" w:color="auto" w:fill="auto"/>
          </w:tcPr>
          <w:p w14:paraId="040977E5" w14:textId="77777777" w:rsidR="00CF34C2" w:rsidRPr="00053D97" w:rsidRDefault="00CF34C2" w:rsidP="00664B7B">
            <w:pPr>
              <w:jc w:val="center"/>
              <w:rPr>
                <w:sz w:val="20"/>
                <w:szCs w:val="20"/>
              </w:rPr>
            </w:pPr>
            <w:r w:rsidRPr="00053D97">
              <w:rPr>
                <w:rFonts w:cs="Times New Roman"/>
                <w:sz w:val="20"/>
                <w:szCs w:val="20"/>
              </w:rPr>
              <w:t>IAUI</w:t>
            </w:r>
          </w:p>
        </w:tc>
        <w:tc>
          <w:tcPr>
            <w:tcW w:w="1275" w:type="dxa"/>
            <w:shd w:val="clear" w:color="auto" w:fill="auto"/>
          </w:tcPr>
          <w:p w14:paraId="7A4934F4" w14:textId="77777777" w:rsidR="00CF34C2" w:rsidRPr="00053D97" w:rsidRDefault="00CF34C2" w:rsidP="00664B7B">
            <w:pPr>
              <w:jc w:val="center"/>
              <w:rPr>
                <w:sz w:val="20"/>
                <w:szCs w:val="20"/>
              </w:rPr>
            </w:pPr>
            <w:r w:rsidRPr="00053D97">
              <w:rPr>
                <w:rFonts w:cs="Times New Roman"/>
                <w:sz w:val="20"/>
                <w:szCs w:val="20"/>
              </w:rPr>
              <w:t>FM</w:t>
            </w:r>
          </w:p>
        </w:tc>
        <w:tc>
          <w:tcPr>
            <w:tcW w:w="1418" w:type="dxa"/>
            <w:shd w:val="clear" w:color="auto" w:fill="auto"/>
          </w:tcPr>
          <w:p w14:paraId="65815E47" w14:textId="77777777" w:rsidR="00CF34C2" w:rsidRPr="00053D97" w:rsidRDefault="002C73EE" w:rsidP="00664B7B">
            <w:pPr>
              <w:jc w:val="center"/>
              <w:rPr>
                <w:rFonts w:cs="Times New Roman"/>
                <w:bCs/>
                <w:sz w:val="20"/>
                <w:szCs w:val="20"/>
              </w:rPr>
            </w:pPr>
            <w:r w:rsidRPr="00053D97">
              <w:rPr>
                <w:rFonts w:cs="Times New Roman"/>
                <w:sz w:val="20"/>
                <w:szCs w:val="20"/>
              </w:rPr>
              <w:t>31.12.</w:t>
            </w:r>
            <w:r w:rsidR="00CF34C2" w:rsidRPr="00053D97">
              <w:rPr>
                <w:rFonts w:cs="Times New Roman"/>
                <w:sz w:val="20"/>
                <w:szCs w:val="20"/>
              </w:rPr>
              <w:t>2021.</w:t>
            </w:r>
          </w:p>
        </w:tc>
      </w:tr>
      <w:tr w:rsidR="00CF34C2" w:rsidRPr="001B1DB1" w14:paraId="56E459BA" w14:textId="77777777" w:rsidTr="00002D3D">
        <w:trPr>
          <w:trHeight w:val="543"/>
        </w:trPr>
        <w:tc>
          <w:tcPr>
            <w:tcW w:w="709" w:type="dxa"/>
          </w:tcPr>
          <w:p w14:paraId="4A561FEE" w14:textId="66449498"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6</w:t>
            </w:r>
            <w:r w:rsidRPr="001B1DB1">
              <w:rPr>
                <w:rFonts w:cs="Times New Roman"/>
                <w:bCs/>
                <w:sz w:val="20"/>
                <w:szCs w:val="20"/>
              </w:rPr>
              <w:t>.</w:t>
            </w:r>
          </w:p>
        </w:tc>
        <w:tc>
          <w:tcPr>
            <w:tcW w:w="3686" w:type="dxa"/>
            <w:shd w:val="clear" w:color="auto" w:fill="auto"/>
          </w:tcPr>
          <w:p w14:paraId="6513D8D5" w14:textId="1039EE93" w:rsidR="00CF34C2" w:rsidRPr="001B1DB1" w:rsidRDefault="00CF34C2" w:rsidP="004F249C">
            <w:pPr>
              <w:jc w:val="both"/>
              <w:rPr>
                <w:sz w:val="20"/>
                <w:szCs w:val="20"/>
              </w:rPr>
            </w:pPr>
            <w:r w:rsidRPr="001B1DB1">
              <w:rPr>
                <w:sz w:val="20"/>
                <w:szCs w:val="20"/>
              </w:rPr>
              <w:t>Izvērtēt</w:t>
            </w:r>
            <w:r w:rsidR="00FA207F">
              <w:rPr>
                <w:sz w:val="20"/>
                <w:szCs w:val="20"/>
              </w:rPr>
              <w:t>,</w:t>
            </w:r>
            <w:r w:rsidRPr="001B1DB1">
              <w:rPr>
                <w:sz w:val="20"/>
                <w:szCs w:val="20"/>
              </w:rPr>
              <w:t xml:space="preserve"> vai kredītiestāžu meitas sabiedrības, kas sniedz finanšu līzinga pakalpojumus, attiecībā uz NILLTPF riskiem būtu nepieciešams uzraudzīt FKTK, nevis PTAC.</w:t>
            </w:r>
          </w:p>
        </w:tc>
        <w:tc>
          <w:tcPr>
            <w:tcW w:w="1559" w:type="dxa"/>
          </w:tcPr>
          <w:p w14:paraId="45724862" w14:textId="77777777" w:rsidR="00CF34C2" w:rsidRPr="001B1DB1" w:rsidRDefault="00CF34C2" w:rsidP="00002D3D">
            <w:pPr>
              <w:jc w:val="both"/>
              <w:rPr>
                <w:rFonts w:cs="Times New Roman"/>
                <w:sz w:val="20"/>
                <w:szCs w:val="20"/>
              </w:rPr>
            </w:pPr>
          </w:p>
        </w:tc>
        <w:tc>
          <w:tcPr>
            <w:tcW w:w="2551" w:type="dxa"/>
            <w:shd w:val="clear" w:color="auto" w:fill="auto"/>
          </w:tcPr>
          <w:p w14:paraId="4C4FABBF" w14:textId="77777777" w:rsidR="00CF34C2" w:rsidRPr="001B1DB1" w:rsidRDefault="00CF34C2" w:rsidP="00002D3D">
            <w:pPr>
              <w:jc w:val="both"/>
              <w:rPr>
                <w:rFonts w:cs="Times New Roman"/>
                <w:sz w:val="20"/>
                <w:szCs w:val="20"/>
              </w:rPr>
            </w:pPr>
            <w:r w:rsidRPr="001B1DB1">
              <w:rPr>
                <w:rFonts w:cs="Times New Roman"/>
                <w:sz w:val="20"/>
                <w:szCs w:val="20"/>
              </w:rPr>
              <w:t>Efektīvāka un vienota risku pārvaldība kredītiestāžu grupu ietvaros. Mazāks resursu patēriņš publiskajā un privātajā sektorā.</w:t>
            </w:r>
          </w:p>
        </w:tc>
        <w:tc>
          <w:tcPr>
            <w:tcW w:w="2694" w:type="dxa"/>
          </w:tcPr>
          <w:p w14:paraId="277C978E" w14:textId="1E1272B3" w:rsidR="00CF34C2" w:rsidRPr="001B1DB1" w:rsidRDefault="00CF34C2" w:rsidP="00002D3D">
            <w:pPr>
              <w:jc w:val="both"/>
              <w:rPr>
                <w:rFonts w:cs="Times New Roman"/>
                <w:sz w:val="20"/>
                <w:szCs w:val="20"/>
              </w:rPr>
            </w:pPr>
            <w:r w:rsidRPr="001B1DB1">
              <w:rPr>
                <w:rFonts w:cs="Times New Roman"/>
                <w:sz w:val="20"/>
                <w:szCs w:val="20"/>
              </w:rPr>
              <w:t>Izvērtēts</w:t>
            </w:r>
            <w:r w:rsidR="00FA207F">
              <w:rPr>
                <w:rFonts w:cs="Times New Roman"/>
                <w:sz w:val="20"/>
                <w:szCs w:val="20"/>
              </w:rPr>
              <w:t>,</w:t>
            </w:r>
            <w:r w:rsidRPr="001B1DB1">
              <w:rPr>
                <w:rFonts w:cs="Times New Roman"/>
                <w:sz w:val="20"/>
                <w:szCs w:val="20"/>
              </w:rPr>
              <w:t xml:space="preserve"> vai ir nepieciešami grozījumi, kā arī sagatavoti un M</w:t>
            </w:r>
            <w:r w:rsidR="00662C4F" w:rsidRPr="001B1DB1">
              <w:rPr>
                <w:rFonts w:cs="Times New Roman"/>
                <w:sz w:val="20"/>
                <w:szCs w:val="20"/>
              </w:rPr>
              <w:t>K</w:t>
            </w:r>
            <w:r w:rsidRPr="001B1DB1">
              <w:rPr>
                <w:rFonts w:cs="Times New Roman"/>
                <w:sz w:val="20"/>
                <w:szCs w:val="20"/>
              </w:rPr>
              <w:t xml:space="preserve"> iesniegti normatīvo aktu grozījumi, kas paredzētu kredītiestāžu meitas sabiedrības, kas sniedz līzinga pakalpojumu, uzraudzības maiņu no PTAC uz FKTK.</w:t>
            </w:r>
            <w:r w:rsidR="007C352A">
              <w:rPr>
                <w:rFonts w:cs="Times New Roman"/>
                <w:sz w:val="20"/>
                <w:szCs w:val="20"/>
              </w:rPr>
              <w:t xml:space="preserve"> Izvērtējums tiks veikts </w:t>
            </w:r>
            <w:r w:rsidR="007C352A">
              <w:rPr>
                <w:rFonts w:cs="Times New Roman"/>
                <w:sz w:val="20"/>
                <w:szCs w:val="20"/>
              </w:rPr>
              <w:lastRenderedPageBreak/>
              <w:t xml:space="preserve">vienlaicīgi ar </w:t>
            </w:r>
            <w:r w:rsidR="007C352A" w:rsidRPr="007A59A7">
              <w:rPr>
                <w:rFonts w:cs="Times New Roman"/>
                <w:sz w:val="20"/>
                <w:szCs w:val="20"/>
              </w:rPr>
              <w:t>NILLTPFN uzraudzības funkciju pārskatīšan</w:t>
            </w:r>
            <w:r w:rsidR="007C352A">
              <w:rPr>
                <w:rFonts w:cs="Times New Roman"/>
                <w:sz w:val="20"/>
                <w:szCs w:val="20"/>
              </w:rPr>
              <w:t>u (piem.</w:t>
            </w:r>
            <w:r w:rsidR="00004EF2">
              <w:rPr>
                <w:rFonts w:cs="Times New Roman"/>
                <w:sz w:val="20"/>
                <w:szCs w:val="20"/>
              </w:rPr>
              <w:t>,</w:t>
            </w:r>
            <w:r w:rsidR="007C352A">
              <w:rPr>
                <w:rFonts w:cs="Times New Roman"/>
                <w:sz w:val="20"/>
                <w:szCs w:val="20"/>
              </w:rPr>
              <w:t xml:space="preserve"> centralizāciju).</w:t>
            </w:r>
          </w:p>
        </w:tc>
        <w:tc>
          <w:tcPr>
            <w:tcW w:w="1134" w:type="dxa"/>
            <w:shd w:val="clear" w:color="auto" w:fill="auto"/>
          </w:tcPr>
          <w:p w14:paraId="71CEDBE7" w14:textId="77777777" w:rsidR="00CF34C2" w:rsidRPr="001B1DB1" w:rsidRDefault="00CF34C2" w:rsidP="00664B7B">
            <w:pPr>
              <w:jc w:val="center"/>
              <w:rPr>
                <w:sz w:val="20"/>
                <w:szCs w:val="20"/>
              </w:rPr>
            </w:pPr>
            <w:r w:rsidRPr="001B1DB1">
              <w:rPr>
                <w:sz w:val="20"/>
                <w:szCs w:val="20"/>
              </w:rPr>
              <w:lastRenderedPageBreak/>
              <w:t>EM</w:t>
            </w:r>
          </w:p>
        </w:tc>
        <w:tc>
          <w:tcPr>
            <w:tcW w:w="1275" w:type="dxa"/>
            <w:shd w:val="clear" w:color="auto" w:fill="auto"/>
          </w:tcPr>
          <w:p w14:paraId="27D72B66" w14:textId="77777777" w:rsidR="00CF34C2" w:rsidRPr="001B1DB1" w:rsidRDefault="00CF34C2" w:rsidP="00664B7B">
            <w:pPr>
              <w:jc w:val="center"/>
              <w:rPr>
                <w:sz w:val="20"/>
                <w:szCs w:val="20"/>
              </w:rPr>
            </w:pPr>
            <w:r w:rsidRPr="001B1DB1">
              <w:rPr>
                <w:sz w:val="20"/>
                <w:szCs w:val="20"/>
              </w:rPr>
              <w:t xml:space="preserve">PTAC, FKTK, </w:t>
            </w:r>
            <w:r w:rsidR="007325CA" w:rsidRPr="007325CA">
              <w:rPr>
                <w:sz w:val="20"/>
                <w:szCs w:val="20"/>
              </w:rPr>
              <w:t>LFNA</w:t>
            </w:r>
          </w:p>
        </w:tc>
        <w:tc>
          <w:tcPr>
            <w:tcW w:w="1418" w:type="dxa"/>
            <w:shd w:val="clear" w:color="auto" w:fill="auto"/>
          </w:tcPr>
          <w:p w14:paraId="04A8B2E9" w14:textId="77777777" w:rsidR="00CF34C2" w:rsidRPr="001B1DB1" w:rsidRDefault="002C73EE" w:rsidP="00664B7B">
            <w:pPr>
              <w:jc w:val="center"/>
              <w:rPr>
                <w:rFonts w:cs="Times New Roman"/>
                <w:bCs/>
                <w:sz w:val="20"/>
                <w:szCs w:val="20"/>
              </w:rPr>
            </w:pPr>
            <w:r w:rsidRPr="001B1DB1">
              <w:rPr>
                <w:rFonts w:cs="Times New Roman"/>
                <w:bCs/>
                <w:sz w:val="20"/>
                <w:szCs w:val="20"/>
              </w:rPr>
              <w:t>31.12.</w:t>
            </w:r>
            <w:r w:rsidR="00CF34C2" w:rsidRPr="001B1DB1">
              <w:rPr>
                <w:rFonts w:cs="Times New Roman"/>
                <w:bCs/>
                <w:sz w:val="20"/>
                <w:szCs w:val="20"/>
              </w:rPr>
              <w:t>2020.</w:t>
            </w:r>
          </w:p>
        </w:tc>
      </w:tr>
      <w:tr w:rsidR="00CF34C2" w:rsidRPr="001B1DB1" w14:paraId="5F40DDA9" w14:textId="77777777" w:rsidTr="00002D3D">
        <w:trPr>
          <w:trHeight w:val="543"/>
        </w:trPr>
        <w:tc>
          <w:tcPr>
            <w:tcW w:w="709" w:type="dxa"/>
          </w:tcPr>
          <w:p w14:paraId="1153208C" w14:textId="70057324"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7</w:t>
            </w:r>
            <w:r w:rsidRPr="001B1DB1">
              <w:rPr>
                <w:rFonts w:cs="Times New Roman"/>
                <w:bCs/>
                <w:sz w:val="20"/>
                <w:szCs w:val="20"/>
              </w:rPr>
              <w:t>.</w:t>
            </w:r>
          </w:p>
        </w:tc>
        <w:tc>
          <w:tcPr>
            <w:tcW w:w="3686" w:type="dxa"/>
            <w:shd w:val="clear" w:color="auto" w:fill="auto"/>
          </w:tcPr>
          <w:p w14:paraId="3D144485" w14:textId="44C70290" w:rsidR="00CF34C2" w:rsidRPr="001B1DB1" w:rsidRDefault="00CF34C2" w:rsidP="00B60885">
            <w:pPr>
              <w:jc w:val="both"/>
              <w:rPr>
                <w:sz w:val="20"/>
                <w:szCs w:val="20"/>
              </w:rPr>
            </w:pPr>
            <w:r w:rsidRPr="001B1DB1">
              <w:rPr>
                <w:sz w:val="20"/>
                <w:szCs w:val="20"/>
              </w:rPr>
              <w:t xml:space="preserve">Izstrādāt grozījumus </w:t>
            </w:r>
            <w:r w:rsidR="00DB2BCF" w:rsidRPr="00DB2BCF">
              <w:rPr>
                <w:sz w:val="20"/>
                <w:szCs w:val="20"/>
              </w:rPr>
              <w:t>NILLTPFNL</w:t>
            </w:r>
            <w:r w:rsidR="002C73EE" w:rsidRPr="001767CC">
              <w:rPr>
                <w:sz w:val="20"/>
                <w:szCs w:val="20"/>
              </w:rPr>
              <w:t>.</w:t>
            </w:r>
            <w:r w:rsidR="00C56032">
              <w:rPr>
                <w:sz w:val="20"/>
                <w:szCs w:val="20"/>
              </w:rPr>
              <w:t xml:space="preserve"> (Pasākums </w:t>
            </w:r>
            <w:r w:rsidR="00C56032" w:rsidRPr="00C56032">
              <w:rPr>
                <w:sz w:val="20"/>
                <w:szCs w:val="20"/>
              </w:rPr>
              <w:t>izpildāms atbilstoši M</w:t>
            </w:r>
            <w:r w:rsidR="007673C2">
              <w:rPr>
                <w:sz w:val="20"/>
                <w:szCs w:val="20"/>
              </w:rPr>
              <w:t>ONEYVAL</w:t>
            </w:r>
            <w:r w:rsidR="00C56032" w:rsidRPr="00C56032">
              <w:rPr>
                <w:sz w:val="20"/>
                <w:szCs w:val="20"/>
              </w:rPr>
              <w:t xml:space="preserve"> novērtējumam par Latvijas progresu tehnisko rekomendāciju izpildē</w:t>
            </w:r>
            <w:r w:rsidR="00C56032">
              <w:rPr>
                <w:sz w:val="20"/>
                <w:szCs w:val="20"/>
              </w:rPr>
              <w:t>).</w:t>
            </w:r>
          </w:p>
        </w:tc>
        <w:tc>
          <w:tcPr>
            <w:tcW w:w="1559" w:type="dxa"/>
          </w:tcPr>
          <w:p w14:paraId="4D957BDB" w14:textId="7293BC3E" w:rsidR="00CF34C2" w:rsidRPr="001B1DB1" w:rsidRDefault="00CF34C2" w:rsidP="00495378">
            <w:pPr>
              <w:jc w:val="both"/>
              <w:rPr>
                <w:rFonts w:cs="Times New Roman"/>
                <w:sz w:val="20"/>
                <w:szCs w:val="20"/>
              </w:rPr>
            </w:pPr>
            <w:r w:rsidRPr="001B1DB1">
              <w:rPr>
                <w:rFonts w:cs="Times New Roman"/>
                <w:sz w:val="20"/>
                <w:szCs w:val="20"/>
              </w:rPr>
              <w:t>FATF 10., 17., 26. un 28. rekomendācija</w:t>
            </w:r>
            <w:r w:rsidR="002C73EE" w:rsidRPr="001B1DB1">
              <w:rPr>
                <w:rFonts w:cs="Times New Roman"/>
                <w:sz w:val="20"/>
                <w:szCs w:val="20"/>
              </w:rPr>
              <w:t>.</w:t>
            </w:r>
          </w:p>
        </w:tc>
        <w:tc>
          <w:tcPr>
            <w:tcW w:w="2551" w:type="dxa"/>
            <w:shd w:val="clear" w:color="auto" w:fill="auto"/>
          </w:tcPr>
          <w:p w14:paraId="7ABD5CB8" w14:textId="77777777" w:rsidR="00CF34C2" w:rsidRPr="001B1DB1" w:rsidRDefault="00CF34C2" w:rsidP="00002D3D">
            <w:pPr>
              <w:jc w:val="both"/>
              <w:rPr>
                <w:rFonts w:cs="Times New Roman"/>
                <w:sz w:val="20"/>
                <w:szCs w:val="20"/>
              </w:rPr>
            </w:pPr>
            <w:r w:rsidRPr="001B1DB1">
              <w:rPr>
                <w:rFonts w:cs="Times New Roman"/>
                <w:sz w:val="20"/>
                <w:szCs w:val="20"/>
              </w:rPr>
              <w:t>Nodrošināta pilnīga atbilstība FATF rekomendācijām, tai skaitā:</w:t>
            </w:r>
          </w:p>
          <w:p w14:paraId="4D9AE8B8" w14:textId="3BDCD145" w:rsidR="00CF34C2" w:rsidRPr="001B1DB1" w:rsidRDefault="00CF34C2" w:rsidP="00D358EE">
            <w:pPr>
              <w:pStyle w:val="ListParagraph"/>
              <w:numPr>
                <w:ilvl w:val="0"/>
                <w:numId w:val="8"/>
              </w:numPr>
              <w:ind w:left="182" w:hanging="144"/>
              <w:jc w:val="both"/>
              <w:rPr>
                <w:rFonts w:cs="Times New Roman"/>
                <w:sz w:val="20"/>
                <w:szCs w:val="20"/>
              </w:rPr>
            </w:pPr>
            <w:r w:rsidRPr="001B1DB1">
              <w:rPr>
                <w:rFonts w:cs="Times New Roman"/>
                <w:sz w:val="20"/>
                <w:szCs w:val="20"/>
              </w:rPr>
              <w:t>noteikts pienākums identificēt juridisku veidojumu augstāk</w:t>
            </w:r>
            <w:r w:rsidR="008400F4">
              <w:rPr>
                <w:rFonts w:cs="Times New Roman"/>
                <w:sz w:val="20"/>
                <w:szCs w:val="20"/>
              </w:rPr>
              <w:t>o</w:t>
            </w:r>
            <w:r w:rsidRPr="001B1DB1">
              <w:rPr>
                <w:rFonts w:cs="Times New Roman"/>
                <w:sz w:val="20"/>
                <w:szCs w:val="20"/>
              </w:rPr>
              <w:t xml:space="preserve"> vadību;</w:t>
            </w:r>
          </w:p>
          <w:p w14:paraId="5AD245BF" w14:textId="28A992C2" w:rsidR="00CF34C2" w:rsidRPr="00C258C5" w:rsidRDefault="00CF34C2" w:rsidP="00D358EE">
            <w:pPr>
              <w:pStyle w:val="ListParagraph"/>
              <w:numPr>
                <w:ilvl w:val="0"/>
                <w:numId w:val="8"/>
              </w:numPr>
              <w:ind w:left="182" w:hanging="182"/>
              <w:jc w:val="both"/>
              <w:rPr>
                <w:rFonts w:cs="Times New Roman"/>
                <w:sz w:val="20"/>
                <w:szCs w:val="20"/>
              </w:rPr>
            </w:pPr>
            <w:r w:rsidRPr="00C258C5">
              <w:rPr>
                <w:rFonts w:cs="Times New Roman"/>
                <w:sz w:val="20"/>
                <w:szCs w:val="20"/>
              </w:rPr>
              <w:t>pilnveidot</w:t>
            </w:r>
            <w:r w:rsidR="00C6518C">
              <w:rPr>
                <w:rFonts w:cs="Times New Roman"/>
                <w:sz w:val="20"/>
                <w:szCs w:val="20"/>
              </w:rPr>
              <w:t>s</w:t>
            </w:r>
            <w:r w:rsidRPr="00C258C5">
              <w:rPr>
                <w:rFonts w:cs="Times New Roman"/>
                <w:sz w:val="20"/>
                <w:szCs w:val="20"/>
              </w:rPr>
              <w:t xml:space="preserve"> regulējum</w:t>
            </w:r>
            <w:r w:rsidR="00C6518C">
              <w:rPr>
                <w:rFonts w:cs="Times New Roman"/>
                <w:sz w:val="20"/>
                <w:szCs w:val="20"/>
              </w:rPr>
              <w:t>s</w:t>
            </w:r>
            <w:r w:rsidRPr="00C258C5">
              <w:rPr>
                <w:rFonts w:cs="Times New Roman"/>
                <w:sz w:val="20"/>
                <w:szCs w:val="20"/>
              </w:rPr>
              <w:t xml:space="preserve"> attiecībā uz klienta izpētei nepieciešamās informācijas atzīšanu un iegūšanu;</w:t>
            </w:r>
          </w:p>
          <w:p w14:paraId="69683D53" w14:textId="0C6FD640" w:rsidR="00CE4B9B" w:rsidRPr="001767CC" w:rsidRDefault="00CF34C2" w:rsidP="00FE0CC1">
            <w:pPr>
              <w:pStyle w:val="ListParagraph"/>
              <w:numPr>
                <w:ilvl w:val="0"/>
                <w:numId w:val="8"/>
              </w:numPr>
              <w:ind w:left="182" w:hanging="182"/>
              <w:jc w:val="both"/>
              <w:rPr>
                <w:rFonts w:cs="Times New Roman"/>
                <w:sz w:val="20"/>
                <w:szCs w:val="20"/>
              </w:rPr>
            </w:pPr>
            <w:r w:rsidRPr="001B1DB1">
              <w:rPr>
                <w:rFonts w:cs="Times New Roman"/>
                <w:sz w:val="20"/>
                <w:szCs w:val="20"/>
              </w:rPr>
              <w:t>izvērtēt</w:t>
            </w:r>
            <w:r w:rsidR="00C6518C">
              <w:rPr>
                <w:rFonts w:cs="Times New Roman"/>
                <w:sz w:val="20"/>
                <w:szCs w:val="20"/>
              </w:rPr>
              <w:t>as</w:t>
            </w:r>
            <w:r w:rsidRPr="001B1DB1">
              <w:rPr>
                <w:rFonts w:cs="Times New Roman"/>
                <w:sz w:val="20"/>
                <w:szCs w:val="20"/>
              </w:rPr>
              <w:t xml:space="preserve"> iespējas pilnveidot klienta izpētes regulējumu attiecībā uz gadījumiem, kad piemērojama klienta privilēģija;</w:t>
            </w:r>
          </w:p>
          <w:p w14:paraId="2C0DF7BD" w14:textId="778D4F04" w:rsidR="00CF34C2" w:rsidRPr="00D358EE" w:rsidRDefault="00CF34C2">
            <w:pPr>
              <w:pStyle w:val="ListParagraph"/>
              <w:numPr>
                <w:ilvl w:val="0"/>
                <w:numId w:val="8"/>
              </w:numPr>
              <w:ind w:left="182" w:hanging="182"/>
              <w:jc w:val="both"/>
            </w:pPr>
            <w:r w:rsidRPr="001B1DB1">
              <w:rPr>
                <w:rFonts w:cs="Times New Roman"/>
                <w:sz w:val="20"/>
                <w:szCs w:val="20"/>
              </w:rPr>
              <w:t>noteikt</w:t>
            </w:r>
            <w:r w:rsidR="00C6518C">
              <w:rPr>
                <w:rFonts w:cs="Times New Roman"/>
                <w:sz w:val="20"/>
                <w:szCs w:val="20"/>
              </w:rPr>
              <w:t>as</w:t>
            </w:r>
            <w:r w:rsidRPr="001B1DB1">
              <w:rPr>
                <w:rFonts w:cs="Times New Roman"/>
                <w:sz w:val="20"/>
                <w:szCs w:val="20"/>
              </w:rPr>
              <w:t xml:space="preserve"> galvenās prasības </w:t>
            </w:r>
            <w:r w:rsidR="00D06F5B" w:rsidRPr="001B1DB1">
              <w:rPr>
                <w:rFonts w:cs="Times New Roman"/>
                <w:sz w:val="20"/>
                <w:szCs w:val="20"/>
              </w:rPr>
              <w:t>ar risku pamatot</w:t>
            </w:r>
            <w:r w:rsidRPr="001B1DB1">
              <w:rPr>
                <w:rFonts w:cs="Times New Roman"/>
                <w:sz w:val="20"/>
                <w:szCs w:val="20"/>
              </w:rPr>
              <w:t>ai uzraudzībai</w:t>
            </w:r>
            <w:r w:rsidR="00D358EE">
              <w:rPr>
                <w:rFonts w:cs="Times New Roman"/>
                <w:sz w:val="20"/>
                <w:szCs w:val="20"/>
              </w:rPr>
              <w:t>.</w:t>
            </w:r>
          </w:p>
        </w:tc>
        <w:tc>
          <w:tcPr>
            <w:tcW w:w="2694" w:type="dxa"/>
          </w:tcPr>
          <w:p w14:paraId="2EE5D85D" w14:textId="4906770C" w:rsidR="00CF34C2" w:rsidRPr="00053D97" w:rsidRDefault="00CF34C2" w:rsidP="00002D3D">
            <w:pPr>
              <w:jc w:val="both"/>
              <w:rPr>
                <w:rFonts w:cs="Times New Roman"/>
                <w:sz w:val="20"/>
                <w:szCs w:val="20"/>
              </w:rPr>
            </w:pPr>
            <w:r w:rsidRPr="00053D97">
              <w:rPr>
                <w:rFonts w:cs="Times New Roman"/>
                <w:sz w:val="20"/>
                <w:szCs w:val="20"/>
              </w:rPr>
              <w:t>Izstrādāt</w:t>
            </w:r>
            <w:r w:rsidR="00CE4B9B" w:rsidRPr="001767CC">
              <w:rPr>
                <w:rFonts w:cs="Times New Roman"/>
                <w:sz w:val="20"/>
                <w:szCs w:val="20"/>
              </w:rPr>
              <w:t>i</w:t>
            </w:r>
            <w:r w:rsidRPr="00B94DA4">
              <w:rPr>
                <w:rFonts w:cs="Times New Roman"/>
                <w:sz w:val="20"/>
                <w:szCs w:val="20"/>
              </w:rPr>
              <w:t xml:space="preserve"> likumprojekt</w:t>
            </w:r>
            <w:r w:rsidR="00CE4B9B" w:rsidRPr="00B94DA4">
              <w:rPr>
                <w:rFonts w:cs="Times New Roman"/>
                <w:sz w:val="20"/>
                <w:szCs w:val="20"/>
              </w:rPr>
              <w:t>i</w:t>
            </w:r>
            <w:r w:rsidRPr="00053D97">
              <w:rPr>
                <w:rFonts w:cs="Times New Roman"/>
                <w:sz w:val="20"/>
                <w:szCs w:val="20"/>
              </w:rPr>
              <w:t xml:space="preserve"> un iesniegt</w:t>
            </w:r>
            <w:r w:rsidR="00CE4B9B" w:rsidRPr="001767CC">
              <w:rPr>
                <w:rFonts w:cs="Times New Roman"/>
                <w:sz w:val="20"/>
                <w:szCs w:val="20"/>
              </w:rPr>
              <w:t>i</w:t>
            </w:r>
            <w:r w:rsidRPr="00053D97">
              <w:rPr>
                <w:rFonts w:cs="Times New Roman"/>
                <w:sz w:val="20"/>
                <w:szCs w:val="20"/>
              </w:rPr>
              <w:t xml:space="preserve"> izskatīšanai MK</w:t>
            </w:r>
            <w:r w:rsidR="002C73EE" w:rsidRPr="00053D97">
              <w:rPr>
                <w:rFonts w:cs="Times New Roman"/>
                <w:sz w:val="20"/>
                <w:szCs w:val="20"/>
              </w:rPr>
              <w:t>.</w:t>
            </w:r>
          </w:p>
        </w:tc>
        <w:tc>
          <w:tcPr>
            <w:tcW w:w="1134" w:type="dxa"/>
            <w:shd w:val="clear" w:color="auto" w:fill="auto"/>
          </w:tcPr>
          <w:p w14:paraId="42AA454C" w14:textId="77777777" w:rsidR="00CF34C2" w:rsidRPr="00053D97" w:rsidRDefault="00CF34C2" w:rsidP="00664B7B">
            <w:pPr>
              <w:jc w:val="center"/>
              <w:rPr>
                <w:sz w:val="20"/>
                <w:szCs w:val="20"/>
              </w:rPr>
            </w:pPr>
            <w:r w:rsidRPr="00053D97">
              <w:rPr>
                <w:sz w:val="20"/>
                <w:szCs w:val="20"/>
              </w:rPr>
              <w:t>FM</w:t>
            </w:r>
          </w:p>
        </w:tc>
        <w:tc>
          <w:tcPr>
            <w:tcW w:w="1275" w:type="dxa"/>
            <w:shd w:val="clear" w:color="auto" w:fill="auto"/>
          </w:tcPr>
          <w:p w14:paraId="19314276" w14:textId="77777777" w:rsidR="00CF34C2" w:rsidRPr="00053D97" w:rsidRDefault="00CF34C2" w:rsidP="00664B7B">
            <w:pPr>
              <w:jc w:val="center"/>
              <w:rPr>
                <w:sz w:val="20"/>
                <w:szCs w:val="20"/>
              </w:rPr>
            </w:pPr>
          </w:p>
        </w:tc>
        <w:tc>
          <w:tcPr>
            <w:tcW w:w="1418" w:type="dxa"/>
            <w:shd w:val="clear" w:color="auto" w:fill="auto"/>
          </w:tcPr>
          <w:p w14:paraId="11CF7825" w14:textId="77777777" w:rsidR="00CF34C2" w:rsidRPr="00053D97" w:rsidRDefault="002C73EE" w:rsidP="00664B7B">
            <w:pPr>
              <w:jc w:val="center"/>
              <w:rPr>
                <w:rFonts w:cs="Times New Roman"/>
                <w:bCs/>
                <w:sz w:val="20"/>
                <w:szCs w:val="20"/>
              </w:rPr>
            </w:pPr>
            <w:r w:rsidRPr="00053D97">
              <w:rPr>
                <w:rFonts w:cs="Times New Roman"/>
                <w:bCs/>
                <w:sz w:val="20"/>
                <w:szCs w:val="20"/>
              </w:rPr>
              <w:t>30.06.</w:t>
            </w:r>
            <w:r w:rsidR="00CF34C2" w:rsidRPr="00053D97">
              <w:rPr>
                <w:rFonts w:cs="Times New Roman"/>
                <w:bCs/>
                <w:sz w:val="20"/>
                <w:szCs w:val="20"/>
              </w:rPr>
              <w:t>2020.</w:t>
            </w:r>
          </w:p>
        </w:tc>
      </w:tr>
      <w:tr w:rsidR="00CF34C2" w:rsidRPr="001B1DB1" w14:paraId="0B01B036" w14:textId="77777777" w:rsidTr="00002D3D">
        <w:trPr>
          <w:trHeight w:val="543"/>
        </w:trPr>
        <w:tc>
          <w:tcPr>
            <w:tcW w:w="709" w:type="dxa"/>
          </w:tcPr>
          <w:p w14:paraId="56847B67" w14:textId="1811D091"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8</w:t>
            </w:r>
            <w:r w:rsidRPr="001B1DB1">
              <w:rPr>
                <w:rFonts w:cs="Times New Roman"/>
                <w:bCs/>
                <w:sz w:val="20"/>
                <w:szCs w:val="20"/>
              </w:rPr>
              <w:t>.</w:t>
            </w:r>
          </w:p>
        </w:tc>
        <w:tc>
          <w:tcPr>
            <w:tcW w:w="3686" w:type="dxa"/>
            <w:shd w:val="clear" w:color="auto" w:fill="auto"/>
          </w:tcPr>
          <w:p w14:paraId="337F048C" w14:textId="624E5297" w:rsidR="00CF34C2" w:rsidRPr="001B1DB1" w:rsidRDefault="00CF34C2" w:rsidP="00002D3D">
            <w:pPr>
              <w:jc w:val="both"/>
              <w:rPr>
                <w:sz w:val="20"/>
                <w:szCs w:val="20"/>
              </w:rPr>
            </w:pPr>
            <w:r w:rsidRPr="001B1DB1">
              <w:rPr>
                <w:sz w:val="20"/>
                <w:szCs w:val="20"/>
              </w:rPr>
              <w:t xml:space="preserve">Izstrādāt grozījumus Alternatīvo ieguldījumu fondu </w:t>
            </w:r>
            <w:r w:rsidR="004E7E77">
              <w:rPr>
                <w:sz w:val="20"/>
                <w:szCs w:val="20"/>
              </w:rPr>
              <w:t xml:space="preserve">un to </w:t>
            </w:r>
            <w:r w:rsidRPr="001B1DB1">
              <w:rPr>
                <w:sz w:val="20"/>
                <w:szCs w:val="20"/>
              </w:rPr>
              <w:t>pārvaldnieku likumā</w:t>
            </w:r>
            <w:r w:rsidR="002C73EE" w:rsidRPr="001B1DB1">
              <w:rPr>
                <w:sz w:val="20"/>
                <w:szCs w:val="20"/>
              </w:rPr>
              <w:t>.</w:t>
            </w:r>
          </w:p>
        </w:tc>
        <w:tc>
          <w:tcPr>
            <w:tcW w:w="1559" w:type="dxa"/>
          </w:tcPr>
          <w:p w14:paraId="2ADE3871" w14:textId="77777777" w:rsidR="00CF34C2" w:rsidRPr="001B1DB1" w:rsidRDefault="00CF34C2" w:rsidP="00002D3D">
            <w:pPr>
              <w:jc w:val="both"/>
              <w:rPr>
                <w:rFonts w:cs="Times New Roman"/>
                <w:sz w:val="20"/>
                <w:szCs w:val="20"/>
              </w:rPr>
            </w:pPr>
            <w:r w:rsidRPr="001B1DB1">
              <w:rPr>
                <w:rFonts w:cs="Times New Roman"/>
                <w:sz w:val="20"/>
                <w:szCs w:val="20"/>
              </w:rPr>
              <w:t>FATF 26. rekomendācija</w:t>
            </w:r>
          </w:p>
        </w:tc>
        <w:tc>
          <w:tcPr>
            <w:tcW w:w="2551" w:type="dxa"/>
            <w:shd w:val="clear" w:color="auto" w:fill="auto"/>
          </w:tcPr>
          <w:p w14:paraId="2A2808C4" w14:textId="38547752" w:rsidR="00CF34C2" w:rsidRPr="001B1DB1" w:rsidRDefault="00CF34C2" w:rsidP="00002D3D">
            <w:pPr>
              <w:jc w:val="both"/>
              <w:rPr>
                <w:rFonts w:cs="Times New Roman"/>
                <w:sz w:val="20"/>
                <w:szCs w:val="20"/>
              </w:rPr>
            </w:pPr>
            <w:r w:rsidRPr="001B1DB1">
              <w:rPr>
                <w:rFonts w:cs="Times New Roman"/>
                <w:sz w:val="20"/>
                <w:szCs w:val="20"/>
              </w:rPr>
              <w:t>Noteikt</w:t>
            </w:r>
            <w:r w:rsidR="00C6518C">
              <w:rPr>
                <w:rFonts w:cs="Times New Roman"/>
                <w:sz w:val="20"/>
                <w:szCs w:val="20"/>
              </w:rPr>
              <w:t>as</w:t>
            </w:r>
            <w:r w:rsidRPr="001B1DB1">
              <w:rPr>
                <w:rFonts w:cs="Times New Roman"/>
                <w:sz w:val="20"/>
                <w:szCs w:val="20"/>
              </w:rPr>
              <w:t xml:space="preserve"> reputācijas prasības reģistrēto alternatīvo ieguldījumu fondu </w:t>
            </w:r>
            <w:r w:rsidRPr="00053D97">
              <w:rPr>
                <w:rFonts w:cs="Times New Roman"/>
                <w:sz w:val="20"/>
                <w:szCs w:val="20"/>
              </w:rPr>
              <w:t>pārv</w:t>
            </w:r>
            <w:r w:rsidR="002C73EE" w:rsidRPr="00053D97">
              <w:rPr>
                <w:rFonts w:cs="Times New Roman"/>
                <w:sz w:val="20"/>
                <w:szCs w:val="20"/>
              </w:rPr>
              <w:t>aldnieku akcionāriem un vadībai.</w:t>
            </w:r>
          </w:p>
        </w:tc>
        <w:tc>
          <w:tcPr>
            <w:tcW w:w="2694" w:type="dxa"/>
          </w:tcPr>
          <w:p w14:paraId="5CE50624" w14:textId="77777777" w:rsidR="00CF34C2" w:rsidRPr="001B1DB1" w:rsidRDefault="00CF34C2" w:rsidP="00002D3D">
            <w:pPr>
              <w:jc w:val="both"/>
              <w:rPr>
                <w:rFonts w:cs="Times New Roman"/>
                <w:sz w:val="20"/>
                <w:szCs w:val="20"/>
              </w:rPr>
            </w:pPr>
            <w:r w:rsidRPr="001B1DB1">
              <w:rPr>
                <w:rFonts w:cs="Times New Roman"/>
                <w:sz w:val="20"/>
                <w:szCs w:val="20"/>
              </w:rPr>
              <w:t>Izstrādāts likumprojekts un iesniegts izskatīšanai MK</w:t>
            </w:r>
            <w:r w:rsidR="002C73EE" w:rsidRPr="001B1DB1">
              <w:rPr>
                <w:rFonts w:cs="Times New Roman"/>
                <w:sz w:val="20"/>
                <w:szCs w:val="20"/>
              </w:rPr>
              <w:t>.</w:t>
            </w:r>
          </w:p>
        </w:tc>
        <w:tc>
          <w:tcPr>
            <w:tcW w:w="1134" w:type="dxa"/>
            <w:shd w:val="clear" w:color="auto" w:fill="auto"/>
          </w:tcPr>
          <w:p w14:paraId="59298318" w14:textId="77777777" w:rsidR="00CF34C2" w:rsidRPr="001B1DB1" w:rsidRDefault="00CF34C2" w:rsidP="00664B7B">
            <w:pPr>
              <w:jc w:val="center"/>
              <w:rPr>
                <w:sz w:val="20"/>
                <w:szCs w:val="20"/>
              </w:rPr>
            </w:pPr>
            <w:r w:rsidRPr="001B1DB1">
              <w:rPr>
                <w:sz w:val="20"/>
                <w:szCs w:val="20"/>
              </w:rPr>
              <w:t>FM</w:t>
            </w:r>
          </w:p>
        </w:tc>
        <w:tc>
          <w:tcPr>
            <w:tcW w:w="1275" w:type="dxa"/>
            <w:shd w:val="clear" w:color="auto" w:fill="auto"/>
          </w:tcPr>
          <w:p w14:paraId="28971EC4" w14:textId="77777777" w:rsidR="00CF34C2" w:rsidRPr="001B1DB1" w:rsidRDefault="00CF34C2" w:rsidP="00664B7B">
            <w:pPr>
              <w:jc w:val="center"/>
              <w:rPr>
                <w:sz w:val="20"/>
                <w:szCs w:val="20"/>
              </w:rPr>
            </w:pPr>
          </w:p>
        </w:tc>
        <w:tc>
          <w:tcPr>
            <w:tcW w:w="1418" w:type="dxa"/>
            <w:shd w:val="clear" w:color="auto" w:fill="auto"/>
          </w:tcPr>
          <w:p w14:paraId="48840006" w14:textId="6B51ECA8" w:rsidR="00CF34C2" w:rsidRPr="001B1DB1" w:rsidRDefault="009F3E08" w:rsidP="009F3E08">
            <w:pPr>
              <w:jc w:val="center"/>
              <w:rPr>
                <w:rFonts w:cs="Times New Roman"/>
                <w:bCs/>
                <w:sz w:val="20"/>
                <w:szCs w:val="20"/>
              </w:rPr>
            </w:pPr>
            <w:r>
              <w:rPr>
                <w:rFonts w:cs="Times New Roman"/>
                <w:bCs/>
                <w:sz w:val="20"/>
                <w:szCs w:val="20"/>
              </w:rPr>
              <w:t>30</w:t>
            </w:r>
            <w:r w:rsidR="002C73EE" w:rsidRPr="001B1DB1">
              <w:rPr>
                <w:rFonts w:cs="Times New Roman"/>
                <w:bCs/>
                <w:sz w:val="20"/>
                <w:szCs w:val="20"/>
              </w:rPr>
              <w:t>.</w:t>
            </w:r>
            <w:r>
              <w:rPr>
                <w:rFonts w:cs="Times New Roman"/>
                <w:bCs/>
                <w:sz w:val="20"/>
                <w:szCs w:val="20"/>
              </w:rPr>
              <w:t>06</w:t>
            </w:r>
            <w:r w:rsidR="002C73EE" w:rsidRPr="001B1DB1">
              <w:rPr>
                <w:rFonts w:cs="Times New Roman"/>
                <w:bCs/>
                <w:sz w:val="20"/>
                <w:szCs w:val="20"/>
              </w:rPr>
              <w:t>.2020.</w:t>
            </w:r>
          </w:p>
        </w:tc>
      </w:tr>
      <w:tr w:rsidR="00CF34C2" w:rsidRPr="001B1DB1" w14:paraId="47593A75" w14:textId="77777777" w:rsidTr="00002D3D">
        <w:trPr>
          <w:trHeight w:val="543"/>
        </w:trPr>
        <w:tc>
          <w:tcPr>
            <w:tcW w:w="709" w:type="dxa"/>
          </w:tcPr>
          <w:p w14:paraId="5AD1CCC6" w14:textId="40F0CA4A" w:rsidR="00CF34C2" w:rsidRPr="001B1DB1" w:rsidRDefault="00CF34C2" w:rsidP="00A50162">
            <w:pPr>
              <w:jc w:val="center"/>
              <w:rPr>
                <w:rFonts w:cs="Times New Roman"/>
                <w:bCs/>
                <w:sz w:val="20"/>
                <w:szCs w:val="20"/>
              </w:rPr>
            </w:pPr>
            <w:r w:rsidRPr="001B1DB1">
              <w:rPr>
                <w:rFonts w:cs="Times New Roman"/>
                <w:bCs/>
                <w:sz w:val="20"/>
                <w:szCs w:val="20"/>
              </w:rPr>
              <w:t>3.</w:t>
            </w:r>
            <w:r w:rsidR="00A50162">
              <w:rPr>
                <w:rFonts w:cs="Times New Roman"/>
                <w:bCs/>
                <w:sz w:val="20"/>
                <w:szCs w:val="20"/>
              </w:rPr>
              <w:t>9</w:t>
            </w:r>
            <w:r w:rsidRPr="001B1DB1">
              <w:rPr>
                <w:rFonts w:cs="Times New Roman"/>
                <w:bCs/>
                <w:sz w:val="20"/>
                <w:szCs w:val="20"/>
              </w:rPr>
              <w:t>.</w:t>
            </w:r>
          </w:p>
        </w:tc>
        <w:tc>
          <w:tcPr>
            <w:tcW w:w="3686" w:type="dxa"/>
            <w:shd w:val="clear" w:color="auto" w:fill="auto"/>
          </w:tcPr>
          <w:p w14:paraId="3DA9BADF" w14:textId="77777777" w:rsidR="00CF34C2" w:rsidRPr="001B1DB1" w:rsidRDefault="00CF34C2" w:rsidP="00002D3D">
            <w:pPr>
              <w:jc w:val="both"/>
              <w:rPr>
                <w:sz w:val="20"/>
                <w:szCs w:val="20"/>
              </w:rPr>
            </w:pPr>
            <w:r w:rsidRPr="001B1DB1">
              <w:rPr>
                <w:sz w:val="20"/>
                <w:szCs w:val="20"/>
              </w:rPr>
              <w:t>Sagatavot priekšlikumus vienotai pieejai reputācijas izvērtēšanai attiecībā uz saistītām personām un to sodāmību</w:t>
            </w:r>
            <w:r w:rsidR="002C73EE" w:rsidRPr="001B1DB1">
              <w:rPr>
                <w:sz w:val="20"/>
                <w:szCs w:val="20"/>
              </w:rPr>
              <w:t>.</w:t>
            </w:r>
          </w:p>
        </w:tc>
        <w:tc>
          <w:tcPr>
            <w:tcW w:w="1559" w:type="dxa"/>
          </w:tcPr>
          <w:p w14:paraId="3372C8EA" w14:textId="67FC19F5" w:rsidR="00CF34C2" w:rsidRPr="001B1DB1" w:rsidRDefault="00CF34C2" w:rsidP="00002D3D">
            <w:pPr>
              <w:jc w:val="both"/>
              <w:rPr>
                <w:rFonts w:cs="Times New Roman"/>
                <w:sz w:val="20"/>
                <w:szCs w:val="20"/>
              </w:rPr>
            </w:pPr>
            <w:r w:rsidRPr="001B1DB1">
              <w:rPr>
                <w:rFonts w:cs="Times New Roman"/>
                <w:sz w:val="20"/>
                <w:szCs w:val="20"/>
              </w:rPr>
              <w:t>FATF 26. un 28.</w:t>
            </w:r>
            <w:r w:rsidR="00B233F2">
              <w:rPr>
                <w:rFonts w:cs="Times New Roman"/>
                <w:sz w:val="20"/>
                <w:szCs w:val="20"/>
              </w:rPr>
              <w:t xml:space="preserve"> </w:t>
            </w:r>
            <w:r w:rsidRPr="001B1DB1">
              <w:rPr>
                <w:rFonts w:cs="Times New Roman"/>
                <w:sz w:val="20"/>
                <w:szCs w:val="20"/>
              </w:rPr>
              <w:t>rekomendācija</w:t>
            </w:r>
            <w:r w:rsidR="002C73EE" w:rsidRPr="001B1DB1">
              <w:rPr>
                <w:rFonts w:cs="Times New Roman"/>
                <w:sz w:val="20"/>
                <w:szCs w:val="20"/>
              </w:rPr>
              <w:t>.</w:t>
            </w:r>
          </w:p>
        </w:tc>
        <w:tc>
          <w:tcPr>
            <w:tcW w:w="2551" w:type="dxa"/>
            <w:shd w:val="clear" w:color="auto" w:fill="auto"/>
          </w:tcPr>
          <w:p w14:paraId="559292EC" w14:textId="708D4A07" w:rsidR="00CF34C2" w:rsidRPr="001B1DB1" w:rsidRDefault="00CF34C2" w:rsidP="00C55667">
            <w:pPr>
              <w:jc w:val="both"/>
              <w:rPr>
                <w:rFonts w:cs="Times New Roman"/>
                <w:sz w:val="20"/>
                <w:szCs w:val="20"/>
              </w:rPr>
            </w:pPr>
            <w:r w:rsidRPr="001B1DB1">
              <w:rPr>
                <w:rFonts w:cs="Times New Roman"/>
                <w:sz w:val="20"/>
                <w:szCs w:val="20"/>
              </w:rPr>
              <w:t>Nodrošināt</w:t>
            </w:r>
            <w:r w:rsidR="00C6518C">
              <w:rPr>
                <w:rFonts w:cs="Times New Roman"/>
                <w:sz w:val="20"/>
                <w:szCs w:val="20"/>
              </w:rPr>
              <w:t>a</w:t>
            </w:r>
            <w:r w:rsidRPr="001B1DB1">
              <w:rPr>
                <w:rFonts w:cs="Times New Roman"/>
                <w:sz w:val="20"/>
                <w:szCs w:val="20"/>
              </w:rPr>
              <w:t xml:space="preserve"> atbilstīb</w:t>
            </w:r>
            <w:r w:rsidR="00C6518C">
              <w:rPr>
                <w:rFonts w:cs="Times New Roman"/>
                <w:sz w:val="20"/>
                <w:szCs w:val="20"/>
              </w:rPr>
              <w:t>a</w:t>
            </w:r>
            <w:r w:rsidRPr="001B1DB1">
              <w:rPr>
                <w:rFonts w:cs="Times New Roman"/>
                <w:sz w:val="20"/>
                <w:szCs w:val="20"/>
              </w:rPr>
              <w:t xml:space="preserve"> FATF rekomendācijām</w:t>
            </w:r>
            <w:r w:rsidR="002C73EE" w:rsidRPr="001B1DB1">
              <w:rPr>
                <w:rFonts w:cs="Times New Roman"/>
                <w:sz w:val="20"/>
                <w:szCs w:val="20"/>
              </w:rPr>
              <w:t>.</w:t>
            </w:r>
          </w:p>
        </w:tc>
        <w:tc>
          <w:tcPr>
            <w:tcW w:w="2694" w:type="dxa"/>
          </w:tcPr>
          <w:p w14:paraId="731B405F" w14:textId="77777777" w:rsidR="00CF34C2" w:rsidRPr="001B1DB1" w:rsidRDefault="00CF34C2" w:rsidP="00002D3D">
            <w:pPr>
              <w:jc w:val="both"/>
              <w:rPr>
                <w:rFonts w:cs="Times New Roman"/>
                <w:sz w:val="20"/>
                <w:szCs w:val="20"/>
              </w:rPr>
            </w:pPr>
            <w:r w:rsidRPr="001B1DB1">
              <w:rPr>
                <w:rFonts w:cs="Times New Roman"/>
                <w:sz w:val="20"/>
                <w:szCs w:val="20"/>
              </w:rPr>
              <w:t>Sagatavoti priekšlikumi izskatīšanai FSAP</w:t>
            </w:r>
            <w:r w:rsidR="002C73EE" w:rsidRPr="001B1DB1">
              <w:rPr>
                <w:rFonts w:cs="Times New Roman"/>
                <w:sz w:val="20"/>
                <w:szCs w:val="20"/>
              </w:rPr>
              <w:t>.</w:t>
            </w:r>
          </w:p>
        </w:tc>
        <w:tc>
          <w:tcPr>
            <w:tcW w:w="1134" w:type="dxa"/>
            <w:shd w:val="clear" w:color="auto" w:fill="auto"/>
          </w:tcPr>
          <w:p w14:paraId="77817824" w14:textId="77777777" w:rsidR="00CF34C2" w:rsidRPr="001B1DB1" w:rsidRDefault="00CF34C2" w:rsidP="00664B7B">
            <w:pPr>
              <w:jc w:val="center"/>
              <w:rPr>
                <w:sz w:val="20"/>
                <w:szCs w:val="20"/>
              </w:rPr>
            </w:pPr>
            <w:r w:rsidRPr="001B1DB1">
              <w:rPr>
                <w:sz w:val="20"/>
                <w:szCs w:val="20"/>
              </w:rPr>
              <w:t>FM</w:t>
            </w:r>
          </w:p>
        </w:tc>
        <w:tc>
          <w:tcPr>
            <w:tcW w:w="1275" w:type="dxa"/>
            <w:shd w:val="clear" w:color="auto" w:fill="auto"/>
          </w:tcPr>
          <w:p w14:paraId="3CEAF231" w14:textId="77777777" w:rsidR="00CF34C2" w:rsidRPr="001B1DB1" w:rsidRDefault="00CF34C2" w:rsidP="00664B7B">
            <w:pPr>
              <w:jc w:val="center"/>
              <w:rPr>
                <w:sz w:val="20"/>
                <w:szCs w:val="20"/>
              </w:rPr>
            </w:pPr>
          </w:p>
        </w:tc>
        <w:tc>
          <w:tcPr>
            <w:tcW w:w="1418" w:type="dxa"/>
            <w:shd w:val="clear" w:color="auto" w:fill="auto"/>
          </w:tcPr>
          <w:p w14:paraId="1C5A180C" w14:textId="775DE3E1" w:rsidR="00CF34C2" w:rsidRPr="001B1DB1" w:rsidRDefault="009F3E08">
            <w:pPr>
              <w:jc w:val="center"/>
              <w:rPr>
                <w:rFonts w:cs="Times New Roman"/>
                <w:bCs/>
                <w:sz w:val="20"/>
                <w:szCs w:val="20"/>
              </w:rPr>
            </w:pPr>
            <w:r>
              <w:rPr>
                <w:rFonts w:cs="Times New Roman"/>
                <w:bCs/>
                <w:sz w:val="20"/>
                <w:szCs w:val="20"/>
              </w:rPr>
              <w:t>30.06</w:t>
            </w:r>
            <w:r w:rsidR="002C73EE" w:rsidRPr="001B1DB1">
              <w:rPr>
                <w:rFonts w:cs="Times New Roman"/>
                <w:bCs/>
                <w:sz w:val="20"/>
                <w:szCs w:val="20"/>
              </w:rPr>
              <w:t>.</w:t>
            </w:r>
            <w:r w:rsidR="00CF34C2" w:rsidRPr="001B1DB1">
              <w:rPr>
                <w:rFonts w:cs="Times New Roman"/>
                <w:bCs/>
                <w:sz w:val="20"/>
                <w:szCs w:val="20"/>
              </w:rPr>
              <w:t>2020.</w:t>
            </w:r>
          </w:p>
        </w:tc>
      </w:tr>
    </w:tbl>
    <w:p w14:paraId="7739B80D" w14:textId="77777777" w:rsidR="001E1CCE" w:rsidRDefault="001E1CCE" w:rsidP="00C842AB"/>
    <w:p w14:paraId="7C56D4E3" w14:textId="77777777" w:rsidR="001E1CCE" w:rsidRDefault="001E1CCE" w:rsidP="00C842AB"/>
    <w:p w14:paraId="2A320692" w14:textId="77777777" w:rsidR="001E1CCE" w:rsidRPr="00C842AB" w:rsidRDefault="001E1CCE" w:rsidP="00C842AB"/>
    <w:p w14:paraId="2364DC13"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lastRenderedPageBreak/>
        <w:t xml:space="preserve">rīcības virziens – </w:t>
      </w:r>
      <w:r w:rsidR="001628EF" w:rsidRPr="001B1DB1">
        <w:rPr>
          <w:rFonts w:ascii="Times New Roman" w:hAnsi="Times New Roman" w:cs="Times New Roman"/>
          <w:b/>
          <w:color w:val="auto"/>
          <w:sz w:val="28"/>
          <w:szCs w:val="28"/>
        </w:rPr>
        <w:t>p</w:t>
      </w:r>
      <w:r w:rsidR="0016364D" w:rsidRPr="001B1DB1">
        <w:rPr>
          <w:rFonts w:ascii="Times New Roman" w:hAnsi="Times New Roman" w:cs="Times New Roman"/>
          <w:b/>
          <w:color w:val="auto"/>
          <w:sz w:val="28"/>
          <w:szCs w:val="28"/>
        </w:rPr>
        <w:t>reventīvie pasākumi</w:t>
      </w:r>
    </w:p>
    <w:p w14:paraId="6F5B79E0" w14:textId="77777777" w:rsidR="00C703D7" w:rsidRPr="001B1DB1" w:rsidRDefault="00C703D7" w:rsidP="00C703D7">
      <w:pPr>
        <w:pStyle w:val="Heading2"/>
        <w:rPr>
          <w:rFonts w:ascii="Times New Roman" w:hAnsi="Times New Roman" w:cs="Times New Roman"/>
          <w:b/>
          <w:color w:val="auto"/>
          <w:sz w:val="28"/>
          <w:szCs w:val="28"/>
        </w:rPr>
      </w:pPr>
    </w:p>
    <w:p w14:paraId="235F7053" w14:textId="4C471262" w:rsidR="00C703D7" w:rsidRPr="00917CEE" w:rsidRDefault="00C703D7" w:rsidP="00210B8B">
      <w:pPr>
        <w:jc w:val="both"/>
        <w:rPr>
          <w:szCs w:val="24"/>
        </w:rPr>
      </w:pPr>
      <w:r w:rsidRPr="001B1DB1">
        <w:rPr>
          <w:szCs w:val="24"/>
        </w:rPr>
        <w:t xml:space="preserve">Par rīcības virzienu atbildīgā </w:t>
      </w:r>
      <w:r w:rsidR="000853A3" w:rsidRPr="000853A3">
        <w:rPr>
          <w:szCs w:val="24"/>
        </w:rPr>
        <w:t>institūcija</w:t>
      </w:r>
      <w:r w:rsidRPr="00917CEE">
        <w:rPr>
          <w:szCs w:val="24"/>
        </w:rPr>
        <w:t xml:space="preserve">: </w:t>
      </w:r>
      <w:r w:rsidR="00477386" w:rsidRPr="00917CEE">
        <w:rPr>
          <w:szCs w:val="24"/>
        </w:rPr>
        <w:t>F</w:t>
      </w:r>
      <w:r w:rsidR="00896F55" w:rsidRPr="00917CEE">
        <w:rPr>
          <w:szCs w:val="24"/>
        </w:rPr>
        <w:t>M</w:t>
      </w:r>
    </w:p>
    <w:p w14:paraId="1F64F400" w14:textId="0E025BF2" w:rsidR="00C703D7" w:rsidRPr="00917CEE" w:rsidRDefault="00C703D7" w:rsidP="00C703D7">
      <w:pPr>
        <w:jc w:val="both"/>
        <w:rPr>
          <w:szCs w:val="24"/>
        </w:rPr>
      </w:pPr>
      <w:r w:rsidRPr="00917CEE">
        <w:rPr>
          <w:szCs w:val="24"/>
        </w:rPr>
        <w:t xml:space="preserve">Līdzatbildīgās </w:t>
      </w:r>
      <w:r w:rsidR="00D00DDA">
        <w:rPr>
          <w:szCs w:val="24"/>
        </w:rPr>
        <w:t>institūcijas</w:t>
      </w:r>
      <w:r w:rsidRPr="00917CEE">
        <w:rPr>
          <w:szCs w:val="24"/>
        </w:rPr>
        <w:t>:</w:t>
      </w:r>
      <w:r w:rsidR="00745BB0" w:rsidRPr="00917CEE">
        <w:rPr>
          <w:szCs w:val="24"/>
        </w:rPr>
        <w:t xml:space="preserve"> </w:t>
      </w:r>
      <w:r w:rsidR="00917CEE" w:rsidRPr="00917CEE">
        <w:rPr>
          <w:szCs w:val="24"/>
        </w:rPr>
        <w:t xml:space="preserve">ĀM, </w:t>
      </w:r>
      <w:r w:rsidR="00BD3D49">
        <w:rPr>
          <w:szCs w:val="24"/>
        </w:rPr>
        <w:t xml:space="preserve">EM, </w:t>
      </w:r>
      <w:r w:rsidR="00917CEE" w:rsidRPr="00917CEE">
        <w:rPr>
          <w:szCs w:val="24"/>
        </w:rPr>
        <w:t xml:space="preserve">FID, </w:t>
      </w:r>
      <w:r w:rsidR="005C7364" w:rsidRPr="00917CEE">
        <w:rPr>
          <w:szCs w:val="24"/>
        </w:rPr>
        <w:t xml:space="preserve">FKTK, </w:t>
      </w:r>
      <w:r w:rsidR="00564D56">
        <w:rPr>
          <w:szCs w:val="24"/>
        </w:rPr>
        <w:t xml:space="preserve">FSAP, </w:t>
      </w:r>
      <w:r w:rsidR="00917CEE" w:rsidRPr="00917CEE">
        <w:rPr>
          <w:szCs w:val="24"/>
        </w:rPr>
        <w:t xml:space="preserve">IAUI, </w:t>
      </w:r>
      <w:r w:rsidR="00BD3D49">
        <w:rPr>
          <w:szCs w:val="24"/>
        </w:rPr>
        <w:t xml:space="preserve">IC, </w:t>
      </w:r>
      <w:r w:rsidR="00917CEE" w:rsidRPr="00917CEE">
        <w:rPr>
          <w:szCs w:val="24"/>
        </w:rPr>
        <w:t xml:space="preserve">IeM, KM, </w:t>
      </w:r>
      <w:r w:rsidR="005C7364" w:rsidRPr="00917CEE">
        <w:rPr>
          <w:szCs w:val="24"/>
        </w:rPr>
        <w:t xml:space="preserve">LB, </w:t>
      </w:r>
      <w:r w:rsidR="00917CEE" w:rsidRPr="00917CEE">
        <w:rPr>
          <w:szCs w:val="24"/>
        </w:rPr>
        <w:t>LDDK, LFNA,</w:t>
      </w:r>
      <w:r w:rsidR="00C05FC1">
        <w:rPr>
          <w:szCs w:val="24"/>
        </w:rPr>
        <w:t xml:space="preserve"> LSMPAA,</w:t>
      </w:r>
      <w:r w:rsidR="00917CEE" w:rsidRPr="00917CEE" w:rsidDel="007325CA">
        <w:rPr>
          <w:szCs w:val="24"/>
        </w:rPr>
        <w:t xml:space="preserve"> </w:t>
      </w:r>
      <w:r w:rsidR="005C7364" w:rsidRPr="00917CEE">
        <w:rPr>
          <w:szCs w:val="24"/>
        </w:rPr>
        <w:t xml:space="preserve">LZAP, LZNP, LZRA, </w:t>
      </w:r>
      <w:r w:rsidR="00171A05">
        <w:rPr>
          <w:szCs w:val="24"/>
        </w:rPr>
        <w:t xml:space="preserve">MKD, </w:t>
      </w:r>
      <w:r w:rsidR="005C7364" w:rsidRPr="00917CEE">
        <w:rPr>
          <w:szCs w:val="24"/>
        </w:rPr>
        <w:t xml:space="preserve">NKMP, PTAC, </w:t>
      </w:r>
      <w:r w:rsidR="00AC4145">
        <w:rPr>
          <w:szCs w:val="24"/>
        </w:rPr>
        <w:t xml:space="preserve">VDD, </w:t>
      </w:r>
      <w:r w:rsidR="00917CEE" w:rsidRPr="00917CEE">
        <w:rPr>
          <w:szCs w:val="24"/>
        </w:rPr>
        <w:t xml:space="preserve">VID, VARAM, </w:t>
      </w:r>
      <w:r w:rsidR="00DE4835" w:rsidRPr="00917CEE">
        <w:rPr>
          <w:szCs w:val="24"/>
        </w:rPr>
        <w:t>VP</w:t>
      </w:r>
    </w:p>
    <w:p w14:paraId="7EF1614A" w14:textId="77777777" w:rsidR="00C51C5B" w:rsidRPr="001B1DB1" w:rsidRDefault="00C51C5B" w:rsidP="00C703D7">
      <w:pPr>
        <w:jc w:val="both"/>
        <w:rPr>
          <w:sz w:val="28"/>
          <w:szCs w:val="28"/>
        </w:rPr>
      </w:pPr>
      <w:r w:rsidRPr="001B1DB1">
        <w:t xml:space="preserve"> </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16364D" w:rsidRPr="001B1DB1" w14:paraId="5ED92B6A" w14:textId="77777777" w:rsidTr="009744C5">
        <w:tc>
          <w:tcPr>
            <w:tcW w:w="4395" w:type="dxa"/>
            <w:gridSpan w:val="2"/>
          </w:tcPr>
          <w:p w14:paraId="0D2E440E" w14:textId="77777777" w:rsidR="0016364D" w:rsidRPr="001B1DB1" w:rsidRDefault="0016364D" w:rsidP="0016364D">
            <w:pPr>
              <w:rPr>
                <w:rFonts w:cs="Times New Roman"/>
                <w:b/>
                <w:bCs/>
                <w:sz w:val="20"/>
                <w:szCs w:val="20"/>
              </w:rPr>
            </w:pPr>
            <w:r w:rsidRPr="001B1DB1">
              <w:rPr>
                <w:rFonts w:cs="Times New Roman"/>
                <w:b/>
                <w:bCs/>
                <w:sz w:val="20"/>
                <w:szCs w:val="20"/>
              </w:rPr>
              <w:t>Rīcības virziens</w:t>
            </w:r>
          </w:p>
        </w:tc>
        <w:tc>
          <w:tcPr>
            <w:tcW w:w="10631" w:type="dxa"/>
            <w:gridSpan w:val="6"/>
          </w:tcPr>
          <w:p w14:paraId="42F57D6A" w14:textId="77777777" w:rsidR="0016364D" w:rsidRPr="001B1DB1" w:rsidRDefault="0016364D" w:rsidP="0016364D">
            <w:pPr>
              <w:jc w:val="both"/>
              <w:rPr>
                <w:rFonts w:cs="Times New Roman"/>
                <w:b/>
                <w:bCs/>
                <w:sz w:val="20"/>
                <w:szCs w:val="20"/>
              </w:rPr>
            </w:pPr>
            <w:r w:rsidRPr="001B1DB1">
              <w:rPr>
                <w:rFonts w:cs="Times New Roman"/>
                <w:b/>
                <w:bCs/>
                <w:sz w:val="20"/>
                <w:szCs w:val="20"/>
              </w:rPr>
              <w:t xml:space="preserve">PREVENTĪVIE PASĀKUMI </w:t>
            </w:r>
          </w:p>
        </w:tc>
      </w:tr>
      <w:tr w:rsidR="00653158" w:rsidRPr="001B1DB1" w14:paraId="5518DEC3" w14:textId="77777777" w:rsidTr="009744C5">
        <w:tc>
          <w:tcPr>
            <w:tcW w:w="4395" w:type="dxa"/>
            <w:gridSpan w:val="2"/>
          </w:tcPr>
          <w:p w14:paraId="4C636E87" w14:textId="43D74643"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Pr>
          <w:p w14:paraId="1D9415E6" w14:textId="77777777" w:rsidR="00653158" w:rsidRPr="001B1DB1" w:rsidRDefault="00653158" w:rsidP="00653158">
            <w:pPr>
              <w:jc w:val="both"/>
              <w:rPr>
                <w:rFonts w:cs="Times New Roman"/>
                <w:b/>
                <w:bCs/>
                <w:sz w:val="20"/>
                <w:szCs w:val="20"/>
              </w:rPr>
            </w:pPr>
            <w:r w:rsidRPr="001B1DB1">
              <w:rPr>
                <w:rFonts w:cs="Times New Roman"/>
                <w:b/>
                <w:bCs/>
                <w:sz w:val="20"/>
                <w:szCs w:val="20"/>
              </w:rPr>
              <w:t>Finanšu iestādes, NNDP un virtuālo aktīvu pakalpojumu sniedzēji piemēro NILLTPF preventīvos pasākumus, kas ir atbilstoši to riskiem, un ziņo par aizdomīgiem darījumiem.</w:t>
            </w:r>
          </w:p>
        </w:tc>
      </w:tr>
      <w:tr w:rsidR="00C703D7" w:rsidRPr="001B1DB1" w14:paraId="725F7DA7" w14:textId="77777777" w:rsidTr="009744C5">
        <w:trPr>
          <w:trHeight w:val="543"/>
        </w:trPr>
        <w:tc>
          <w:tcPr>
            <w:tcW w:w="709" w:type="dxa"/>
          </w:tcPr>
          <w:p w14:paraId="3626C03F"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7AA0FD3"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222DCA73"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51BC6B7A"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44740F05"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33711BA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153E40D7"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104A3EEA"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0B5C6370"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E26970" w:rsidRPr="001B1DB1" w14:paraId="67D8DD84" w14:textId="77777777" w:rsidTr="00B233F2">
        <w:trPr>
          <w:trHeight w:val="645"/>
        </w:trPr>
        <w:tc>
          <w:tcPr>
            <w:tcW w:w="709" w:type="dxa"/>
            <w:vMerge w:val="restart"/>
          </w:tcPr>
          <w:p w14:paraId="546451D3" w14:textId="77777777" w:rsidR="00E26970" w:rsidRPr="001B1DB1" w:rsidRDefault="00E26970" w:rsidP="00E26970">
            <w:pPr>
              <w:jc w:val="center"/>
              <w:rPr>
                <w:rFonts w:cs="Times New Roman"/>
                <w:bCs/>
                <w:sz w:val="20"/>
                <w:szCs w:val="20"/>
              </w:rPr>
            </w:pPr>
            <w:r w:rsidRPr="001B1DB1">
              <w:rPr>
                <w:rFonts w:cs="Times New Roman"/>
                <w:bCs/>
                <w:sz w:val="20"/>
                <w:szCs w:val="20"/>
              </w:rPr>
              <w:t>4.1.</w:t>
            </w:r>
          </w:p>
        </w:tc>
        <w:tc>
          <w:tcPr>
            <w:tcW w:w="3686" w:type="dxa"/>
            <w:vMerge w:val="restart"/>
            <w:shd w:val="clear" w:color="auto" w:fill="auto"/>
          </w:tcPr>
          <w:p w14:paraId="27A3E3B2" w14:textId="61FE562A" w:rsidR="00E26970" w:rsidRPr="001B1DB1" w:rsidRDefault="00E26970" w:rsidP="00E26970">
            <w:pPr>
              <w:jc w:val="both"/>
              <w:rPr>
                <w:sz w:val="20"/>
                <w:szCs w:val="20"/>
              </w:rPr>
            </w:pPr>
            <w:r w:rsidRPr="004C0FDC">
              <w:rPr>
                <w:sz w:val="20"/>
                <w:szCs w:val="20"/>
              </w:rPr>
              <w:t>Pārskatīt paralēlās aizdomīgu darījumu ziņošanas sistēmu, ieviešot tehnisko risinājumu informācijas par aizdomīgiem darījumiem paziņošanai FID u</w:t>
            </w:r>
            <w:r>
              <w:rPr>
                <w:sz w:val="20"/>
                <w:szCs w:val="20"/>
              </w:rPr>
              <w:t>n VID, izmantojot vienu kanālu.</w:t>
            </w:r>
          </w:p>
        </w:tc>
        <w:tc>
          <w:tcPr>
            <w:tcW w:w="1559" w:type="dxa"/>
            <w:vMerge w:val="restart"/>
          </w:tcPr>
          <w:p w14:paraId="5562E78C" w14:textId="4B9D4477" w:rsidR="00E26970" w:rsidRPr="001B1DB1" w:rsidRDefault="00E26970" w:rsidP="00E74CDF">
            <w:pPr>
              <w:rPr>
                <w:rFonts w:cs="Times New Roman"/>
                <w:sz w:val="20"/>
                <w:szCs w:val="20"/>
              </w:rPr>
            </w:pPr>
            <w:r w:rsidRPr="001B1DB1">
              <w:rPr>
                <w:sz w:val="20"/>
                <w:szCs w:val="20"/>
              </w:rPr>
              <w:t>MONEYVAL</w:t>
            </w:r>
            <w:r w:rsidRPr="001B1DB1">
              <w:rPr>
                <w:rFonts w:cs="Times New Roman"/>
                <w:sz w:val="20"/>
                <w:szCs w:val="20"/>
              </w:rPr>
              <w:t xml:space="preserve"> 4.15.</w:t>
            </w:r>
            <w:r w:rsidR="00E74CDF">
              <w:rPr>
                <w:rFonts w:cs="Times New Roman"/>
                <w:sz w:val="20"/>
                <w:szCs w:val="20"/>
              </w:rPr>
              <w:t xml:space="preserve"> r</w:t>
            </w:r>
            <w:r w:rsidR="00E74CDF" w:rsidRPr="001B1DB1">
              <w:rPr>
                <w:rFonts w:cs="Times New Roman"/>
                <w:sz w:val="20"/>
                <w:szCs w:val="20"/>
              </w:rPr>
              <w:t>ekomendācija</w:t>
            </w:r>
            <w:r w:rsidR="00E74CDF">
              <w:rPr>
                <w:rFonts w:cs="Times New Roman"/>
                <w:sz w:val="20"/>
                <w:szCs w:val="20"/>
              </w:rPr>
              <w:t>.</w:t>
            </w:r>
          </w:p>
        </w:tc>
        <w:tc>
          <w:tcPr>
            <w:tcW w:w="2551" w:type="dxa"/>
            <w:vMerge w:val="restart"/>
            <w:shd w:val="clear" w:color="auto" w:fill="auto"/>
          </w:tcPr>
          <w:p w14:paraId="4E59D56D" w14:textId="77777777" w:rsidR="00E26970" w:rsidRPr="001B1DB1" w:rsidRDefault="00E26970" w:rsidP="00E26970">
            <w:pPr>
              <w:jc w:val="both"/>
              <w:rPr>
                <w:rFonts w:cs="Times New Roman"/>
                <w:sz w:val="20"/>
                <w:szCs w:val="20"/>
              </w:rPr>
            </w:pPr>
            <w:r w:rsidRPr="001B1DB1">
              <w:rPr>
                <w:rFonts w:cs="Times New Roman"/>
                <w:sz w:val="20"/>
                <w:szCs w:val="20"/>
              </w:rPr>
              <w:t>Likuma subjektiem vienkāršota ziņošanas par aizdomīgiem darījumiem kārtība.</w:t>
            </w:r>
          </w:p>
        </w:tc>
        <w:tc>
          <w:tcPr>
            <w:tcW w:w="2694" w:type="dxa"/>
          </w:tcPr>
          <w:p w14:paraId="675DA231" w14:textId="128083E8" w:rsidR="00E26970" w:rsidRPr="00053D97" w:rsidRDefault="00E26970" w:rsidP="00B60885">
            <w:pPr>
              <w:jc w:val="both"/>
              <w:rPr>
                <w:rFonts w:cs="Times New Roman"/>
                <w:sz w:val="20"/>
                <w:szCs w:val="20"/>
              </w:rPr>
            </w:pPr>
            <w:r>
              <w:rPr>
                <w:rFonts w:cs="Times New Roman"/>
                <w:sz w:val="20"/>
                <w:szCs w:val="20"/>
              </w:rPr>
              <w:t>1. Risinājuma jeb koncepcijas izstrāde vienotam ziņošanas kanālam par aizdomīgiem darījumiem.</w:t>
            </w:r>
          </w:p>
        </w:tc>
        <w:tc>
          <w:tcPr>
            <w:tcW w:w="1134" w:type="dxa"/>
            <w:shd w:val="clear" w:color="auto" w:fill="auto"/>
          </w:tcPr>
          <w:p w14:paraId="0E242BB6" w14:textId="67511B6C" w:rsidR="00E26970" w:rsidRPr="001B1DB1" w:rsidRDefault="00E26970" w:rsidP="00E26970">
            <w:pPr>
              <w:jc w:val="center"/>
              <w:rPr>
                <w:sz w:val="20"/>
                <w:szCs w:val="20"/>
              </w:rPr>
            </w:pPr>
            <w:r>
              <w:rPr>
                <w:sz w:val="20"/>
                <w:szCs w:val="20"/>
              </w:rPr>
              <w:t>FID, VID</w:t>
            </w:r>
          </w:p>
        </w:tc>
        <w:tc>
          <w:tcPr>
            <w:tcW w:w="1275" w:type="dxa"/>
            <w:shd w:val="clear" w:color="auto" w:fill="auto"/>
          </w:tcPr>
          <w:p w14:paraId="1CADACE7" w14:textId="5463C4B0" w:rsidR="00E26970" w:rsidRPr="001B1DB1" w:rsidRDefault="00E26970" w:rsidP="00E26970">
            <w:pPr>
              <w:jc w:val="center"/>
              <w:rPr>
                <w:sz w:val="20"/>
                <w:szCs w:val="20"/>
              </w:rPr>
            </w:pPr>
            <w:r>
              <w:rPr>
                <w:sz w:val="20"/>
                <w:szCs w:val="20"/>
              </w:rPr>
              <w:t>IeM, FM, LFNA</w:t>
            </w:r>
          </w:p>
        </w:tc>
        <w:tc>
          <w:tcPr>
            <w:tcW w:w="1418" w:type="dxa"/>
            <w:shd w:val="clear" w:color="auto" w:fill="auto"/>
          </w:tcPr>
          <w:p w14:paraId="11BBAC97" w14:textId="715FD8BD" w:rsidR="00E26970" w:rsidRPr="001B1DB1" w:rsidRDefault="00E26970" w:rsidP="00E26970">
            <w:pPr>
              <w:jc w:val="center"/>
              <w:rPr>
                <w:rFonts w:cs="Times New Roman"/>
                <w:bCs/>
                <w:sz w:val="20"/>
                <w:szCs w:val="20"/>
              </w:rPr>
            </w:pPr>
            <w:r>
              <w:rPr>
                <w:rFonts w:cs="Times New Roman"/>
                <w:bCs/>
                <w:sz w:val="20"/>
                <w:szCs w:val="20"/>
              </w:rPr>
              <w:t>15.07.2020.</w:t>
            </w:r>
          </w:p>
        </w:tc>
      </w:tr>
      <w:tr w:rsidR="006A2FA0" w:rsidRPr="001B1DB1" w14:paraId="02F7B677" w14:textId="77777777" w:rsidTr="00D96978">
        <w:trPr>
          <w:trHeight w:val="1030"/>
        </w:trPr>
        <w:tc>
          <w:tcPr>
            <w:tcW w:w="709" w:type="dxa"/>
            <w:vMerge/>
          </w:tcPr>
          <w:p w14:paraId="6EBD47B4" w14:textId="77777777" w:rsidR="006A2FA0" w:rsidRPr="001B1DB1" w:rsidRDefault="006A2FA0" w:rsidP="006A2FA0">
            <w:pPr>
              <w:jc w:val="center"/>
              <w:rPr>
                <w:rFonts w:cs="Times New Roman"/>
                <w:bCs/>
                <w:sz w:val="20"/>
                <w:szCs w:val="20"/>
              </w:rPr>
            </w:pPr>
          </w:p>
        </w:tc>
        <w:tc>
          <w:tcPr>
            <w:tcW w:w="3686" w:type="dxa"/>
            <w:vMerge/>
            <w:shd w:val="clear" w:color="auto" w:fill="auto"/>
          </w:tcPr>
          <w:p w14:paraId="6E74A3EC" w14:textId="77777777" w:rsidR="006A2FA0" w:rsidRPr="004C0FDC" w:rsidRDefault="006A2FA0" w:rsidP="006A2FA0">
            <w:pPr>
              <w:jc w:val="both"/>
              <w:rPr>
                <w:sz w:val="20"/>
                <w:szCs w:val="20"/>
              </w:rPr>
            </w:pPr>
          </w:p>
        </w:tc>
        <w:tc>
          <w:tcPr>
            <w:tcW w:w="1559" w:type="dxa"/>
            <w:vMerge/>
          </w:tcPr>
          <w:p w14:paraId="0BC1855B" w14:textId="77777777" w:rsidR="006A2FA0" w:rsidRPr="001B1DB1" w:rsidRDefault="006A2FA0" w:rsidP="006A2FA0">
            <w:pPr>
              <w:rPr>
                <w:rFonts w:cs="Times New Roman"/>
                <w:sz w:val="20"/>
                <w:szCs w:val="20"/>
              </w:rPr>
            </w:pPr>
          </w:p>
        </w:tc>
        <w:tc>
          <w:tcPr>
            <w:tcW w:w="2551" w:type="dxa"/>
            <w:vMerge/>
            <w:shd w:val="clear" w:color="auto" w:fill="auto"/>
          </w:tcPr>
          <w:p w14:paraId="1A25A7D6" w14:textId="77777777" w:rsidR="006A2FA0" w:rsidRPr="001B1DB1" w:rsidRDefault="006A2FA0" w:rsidP="006A2FA0">
            <w:pPr>
              <w:jc w:val="both"/>
              <w:rPr>
                <w:rFonts w:cs="Times New Roman"/>
                <w:sz w:val="20"/>
                <w:szCs w:val="20"/>
              </w:rPr>
            </w:pPr>
          </w:p>
        </w:tc>
        <w:tc>
          <w:tcPr>
            <w:tcW w:w="2694" w:type="dxa"/>
          </w:tcPr>
          <w:p w14:paraId="31A483ED" w14:textId="10984387" w:rsidR="006A2FA0" w:rsidRDefault="006A2FA0" w:rsidP="00E152F3">
            <w:pPr>
              <w:jc w:val="both"/>
              <w:rPr>
                <w:rFonts w:cs="Times New Roman"/>
                <w:sz w:val="20"/>
                <w:szCs w:val="20"/>
              </w:rPr>
            </w:pPr>
            <w:r w:rsidRPr="00553BF4">
              <w:rPr>
                <w:rFonts w:cs="Times New Roman"/>
                <w:sz w:val="20"/>
                <w:szCs w:val="20"/>
              </w:rPr>
              <w:t>2.</w:t>
            </w:r>
            <w:r>
              <w:rPr>
                <w:rFonts w:cs="Times New Roman"/>
                <w:sz w:val="20"/>
                <w:szCs w:val="20"/>
              </w:rPr>
              <w:t xml:space="preserve"> 1)</w:t>
            </w:r>
            <w:r w:rsidRPr="00553BF4">
              <w:rPr>
                <w:rFonts w:cs="Times New Roman"/>
                <w:sz w:val="20"/>
                <w:szCs w:val="20"/>
              </w:rPr>
              <w:t xml:space="preserve"> Izstrādāti </w:t>
            </w:r>
            <w:r w:rsidR="00E152F3" w:rsidRPr="00E152F3">
              <w:rPr>
                <w:rFonts w:cs="Times New Roman"/>
                <w:sz w:val="20"/>
                <w:szCs w:val="20"/>
              </w:rPr>
              <w:t xml:space="preserve">priekšlikumi nepieciešamajiem </w:t>
            </w:r>
            <w:r w:rsidRPr="00553BF4">
              <w:rPr>
                <w:rFonts w:cs="Times New Roman"/>
                <w:sz w:val="20"/>
                <w:szCs w:val="20"/>
              </w:rPr>
              <w:t>grozījumi</w:t>
            </w:r>
            <w:r w:rsidR="00E152F3">
              <w:rPr>
                <w:rFonts w:cs="Times New Roman"/>
                <w:sz w:val="20"/>
                <w:szCs w:val="20"/>
              </w:rPr>
              <w:t>em</w:t>
            </w:r>
            <w:r w:rsidRPr="00553BF4">
              <w:rPr>
                <w:rFonts w:cs="Times New Roman"/>
                <w:sz w:val="20"/>
                <w:szCs w:val="20"/>
              </w:rPr>
              <w:t xml:space="preserve"> </w:t>
            </w:r>
            <w:r w:rsidR="00E152F3" w:rsidRPr="00E152F3">
              <w:rPr>
                <w:sz w:val="20"/>
                <w:szCs w:val="20"/>
              </w:rPr>
              <w:t>normatīvajos aktos/likumos</w:t>
            </w:r>
            <w:r w:rsidRPr="00553BF4">
              <w:rPr>
                <w:rFonts w:cs="Times New Roman"/>
                <w:sz w:val="20"/>
                <w:szCs w:val="20"/>
              </w:rPr>
              <w:t xml:space="preserve"> sistēmas ieviešanai</w:t>
            </w:r>
            <w:r w:rsidR="00E152F3">
              <w:t xml:space="preserve"> </w:t>
            </w:r>
            <w:r w:rsidR="00E152F3" w:rsidRPr="00E152F3">
              <w:rPr>
                <w:rFonts w:cs="Times New Roman"/>
                <w:sz w:val="20"/>
                <w:szCs w:val="20"/>
              </w:rPr>
              <w:t xml:space="preserve">un iesniegti </w:t>
            </w:r>
            <w:r w:rsidR="00E152F3">
              <w:rPr>
                <w:rFonts w:cs="Times New Roman"/>
                <w:sz w:val="20"/>
                <w:szCs w:val="20"/>
              </w:rPr>
              <w:t>FM</w:t>
            </w:r>
            <w:r w:rsidR="00656656">
              <w:rPr>
                <w:rFonts w:cs="Times New Roman"/>
                <w:sz w:val="20"/>
                <w:szCs w:val="20"/>
              </w:rPr>
              <w:t>.</w:t>
            </w:r>
          </w:p>
        </w:tc>
        <w:tc>
          <w:tcPr>
            <w:tcW w:w="1134" w:type="dxa"/>
            <w:shd w:val="clear" w:color="auto" w:fill="auto"/>
          </w:tcPr>
          <w:p w14:paraId="0F65E402" w14:textId="3E64E4F3" w:rsidR="006A2FA0" w:rsidRPr="00FA1602" w:rsidRDefault="006A2FA0" w:rsidP="006A2FA0">
            <w:pPr>
              <w:jc w:val="center"/>
              <w:rPr>
                <w:sz w:val="20"/>
                <w:szCs w:val="20"/>
              </w:rPr>
            </w:pPr>
            <w:r>
              <w:rPr>
                <w:sz w:val="20"/>
                <w:szCs w:val="20"/>
              </w:rPr>
              <w:t>FID, VID</w:t>
            </w:r>
          </w:p>
        </w:tc>
        <w:tc>
          <w:tcPr>
            <w:tcW w:w="1275" w:type="dxa"/>
            <w:shd w:val="clear" w:color="auto" w:fill="auto"/>
          </w:tcPr>
          <w:p w14:paraId="52E8CA16" w14:textId="3FB00888" w:rsidR="006A2FA0" w:rsidRDefault="006A2FA0" w:rsidP="00C842AB">
            <w:pPr>
              <w:jc w:val="center"/>
              <w:rPr>
                <w:sz w:val="20"/>
                <w:szCs w:val="20"/>
              </w:rPr>
            </w:pPr>
            <w:r>
              <w:rPr>
                <w:sz w:val="20"/>
                <w:szCs w:val="20"/>
              </w:rPr>
              <w:t xml:space="preserve">IeM, FM </w:t>
            </w:r>
            <w:r w:rsidRPr="007B3E84">
              <w:rPr>
                <w:sz w:val="20"/>
                <w:szCs w:val="20"/>
              </w:rPr>
              <w:t>LFNA</w:t>
            </w:r>
          </w:p>
        </w:tc>
        <w:tc>
          <w:tcPr>
            <w:tcW w:w="1418" w:type="dxa"/>
            <w:shd w:val="clear" w:color="auto" w:fill="auto"/>
          </w:tcPr>
          <w:p w14:paraId="479D9205" w14:textId="5411992B" w:rsidR="006A2FA0" w:rsidRPr="00AE5534" w:rsidRDefault="006A2FA0" w:rsidP="00656656">
            <w:pPr>
              <w:jc w:val="center"/>
              <w:rPr>
                <w:rFonts w:cs="Times New Roman"/>
                <w:bCs/>
                <w:sz w:val="20"/>
                <w:szCs w:val="20"/>
              </w:rPr>
            </w:pPr>
            <w:r>
              <w:rPr>
                <w:rFonts w:cs="Times New Roman"/>
                <w:bCs/>
                <w:sz w:val="20"/>
                <w:szCs w:val="20"/>
              </w:rPr>
              <w:t>30.09</w:t>
            </w:r>
            <w:r w:rsidRPr="00AE5534">
              <w:rPr>
                <w:rFonts w:cs="Times New Roman"/>
                <w:bCs/>
                <w:sz w:val="20"/>
                <w:szCs w:val="20"/>
              </w:rPr>
              <w:t>.2020.</w:t>
            </w:r>
          </w:p>
        </w:tc>
      </w:tr>
      <w:tr w:rsidR="00E26970" w:rsidRPr="001B1DB1" w14:paraId="195A1F10" w14:textId="77777777" w:rsidTr="00D96978">
        <w:trPr>
          <w:trHeight w:val="1030"/>
        </w:trPr>
        <w:tc>
          <w:tcPr>
            <w:tcW w:w="709" w:type="dxa"/>
            <w:vMerge/>
          </w:tcPr>
          <w:p w14:paraId="63EA6B93" w14:textId="77777777" w:rsidR="00E26970" w:rsidRPr="001B1DB1" w:rsidRDefault="00E26970" w:rsidP="00E26970">
            <w:pPr>
              <w:jc w:val="center"/>
              <w:rPr>
                <w:rFonts w:cs="Times New Roman"/>
                <w:bCs/>
                <w:sz w:val="20"/>
                <w:szCs w:val="20"/>
              </w:rPr>
            </w:pPr>
          </w:p>
        </w:tc>
        <w:tc>
          <w:tcPr>
            <w:tcW w:w="3686" w:type="dxa"/>
            <w:vMerge/>
            <w:shd w:val="clear" w:color="auto" w:fill="auto"/>
          </w:tcPr>
          <w:p w14:paraId="332DE110" w14:textId="77777777" w:rsidR="00E26970" w:rsidRPr="004C0FDC" w:rsidRDefault="00E26970" w:rsidP="00E26970">
            <w:pPr>
              <w:jc w:val="both"/>
              <w:rPr>
                <w:sz w:val="20"/>
                <w:szCs w:val="20"/>
              </w:rPr>
            </w:pPr>
          </w:p>
        </w:tc>
        <w:tc>
          <w:tcPr>
            <w:tcW w:w="1559" w:type="dxa"/>
            <w:vMerge/>
          </w:tcPr>
          <w:p w14:paraId="021FE38E" w14:textId="77777777" w:rsidR="00E26970" w:rsidRPr="001B1DB1" w:rsidRDefault="00E26970" w:rsidP="00E26970">
            <w:pPr>
              <w:rPr>
                <w:rFonts w:cs="Times New Roman"/>
                <w:sz w:val="20"/>
                <w:szCs w:val="20"/>
              </w:rPr>
            </w:pPr>
          </w:p>
        </w:tc>
        <w:tc>
          <w:tcPr>
            <w:tcW w:w="2551" w:type="dxa"/>
            <w:vMerge/>
            <w:shd w:val="clear" w:color="auto" w:fill="auto"/>
          </w:tcPr>
          <w:p w14:paraId="1C696FAB" w14:textId="77777777" w:rsidR="00E26970" w:rsidRPr="001B1DB1" w:rsidRDefault="00E26970" w:rsidP="00E26970">
            <w:pPr>
              <w:jc w:val="both"/>
              <w:rPr>
                <w:rFonts w:cs="Times New Roman"/>
                <w:sz w:val="20"/>
                <w:szCs w:val="20"/>
              </w:rPr>
            </w:pPr>
          </w:p>
        </w:tc>
        <w:tc>
          <w:tcPr>
            <w:tcW w:w="2694" w:type="dxa"/>
          </w:tcPr>
          <w:p w14:paraId="13EDA5A1" w14:textId="4CE41573" w:rsidR="00E26970" w:rsidRPr="002572A7" w:rsidRDefault="00656656" w:rsidP="00EF57C7">
            <w:pPr>
              <w:jc w:val="both"/>
              <w:rPr>
                <w:rFonts w:cs="Times New Roman"/>
                <w:sz w:val="20"/>
                <w:szCs w:val="20"/>
              </w:rPr>
            </w:pPr>
            <w:r>
              <w:rPr>
                <w:rFonts w:cs="Times New Roman"/>
                <w:sz w:val="20"/>
                <w:szCs w:val="20"/>
              </w:rPr>
              <w:t xml:space="preserve">2. </w:t>
            </w:r>
            <w:r w:rsidR="00E26970">
              <w:rPr>
                <w:rFonts w:cs="Times New Roman"/>
                <w:sz w:val="20"/>
                <w:szCs w:val="20"/>
              </w:rPr>
              <w:t>2</w:t>
            </w:r>
            <w:r>
              <w:rPr>
                <w:rFonts w:cs="Times New Roman"/>
                <w:sz w:val="20"/>
                <w:szCs w:val="20"/>
              </w:rPr>
              <w:t>)</w:t>
            </w:r>
            <w:r w:rsidR="00E26970">
              <w:rPr>
                <w:rFonts w:cs="Times New Roman"/>
                <w:sz w:val="20"/>
                <w:szCs w:val="20"/>
              </w:rPr>
              <w:t xml:space="preserve"> </w:t>
            </w:r>
            <w:r w:rsidR="00EF57C7" w:rsidRPr="00EF57C7">
              <w:rPr>
                <w:rFonts w:cs="Times New Roman"/>
                <w:sz w:val="20"/>
                <w:szCs w:val="20"/>
              </w:rPr>
              <w:t xml:space="preserve">Izstrādātie </w:t>
            </w:r>
            <w:r w:rsidR="00EF57C7">
              <w:rPr>
                <w:rFonts w:cs="Times New Roman"/>
                <w:sz w:val="20"/>
                <w:szCs w:val="20"/>
              </w:rPr>
              <w:t>g</w:t>
            </w:r>
            <w:r w:rsidR="00E26970" w:rsidRPr="00FE0CC1">
              <w:rPr>
                <w:rFonts w:cs="Times New Roman"/>
                <w:sz w:val="20"/>
                <w:szCs w:val="20"/>
              </w:rPr>
              <w:t xml:space="preserve">rozījumi </w:t>
            </w:r>
            <w:r w:rsidR="00EF57C7" w:rsidRPr="00EF57C7">
              <w:rPr>
                <w:sz w:val="20"/>
                <w:szCs w:val="20"/>
              </w:rPr>
              <w:t>normatīvajos aktos</w:t>
            </w:r>
            <w:r w:rsidR="00E26970" w:rsidRPr="00FE0CC1">
              <w:rPr>
                <w:rFonts w:cs="Times New Roman"/>
                <w:sz w:val="20"/>
                <w:szCs w:val="20"/>
              </w:rPr>
              <w:t xml:space="preserve"> iesniegti izskatīšanai MK.</w:t>
            </w:r>
          </w:p>
        </w:tc>
        <w:tc>
          <w:tcPr>
            <w:tcW w:w="1134" w:type="dxa"/>
            <w:shd w:val="clear" w:color="auto" w:fill="auto"/>
          </w:tcPr>
          <w:p w14:paraId="1EF7C5F1" w14:textId="07511E38" w:rsidR="00E26970" w:rsidRPr="00FA1602" w:rsidRDefault="00E26970" w:rsidP="00E26970">
            <w:pPr>
              <w:jc w:val="center"/>
              <w:rPr>
                <w:sz w:val="20"/>
                <w:szCs w:val="20"/>
              </w:rPr>
            </w:pPr>
            <w:r w:rsidRPr="00FA1602">
              <w:rPr>
                <w:sz w:val="20"/>
                <w:szCs w:val="20"/>
              </w:rPr>
              <w:t>FM</w:t>
            </w:r>
          </w:p>
        </w:tc>
        <w:tc>
          <w:tcPr>
            <w:tcW w:w="1275" w:type="dxa"/>
            <w:shd w:val="clear" w:color="auto" w:fill="auto"/>
          </w:tcPr>
          <w:p w14:paraId="227167B9" w14:textId="34A01EDC" w:rsidR="00E26970" w:rsidRPr="007B3E84" w:rsidRDefault="00E26970" w:rsidP="00E26970">
            <w:pPr>
              <w:rPr>
                <w:sz w:val="20"/>
                <w:szCs w:val="20"/>
              </w:rPr>
            </w:pPr>
            <w:r>
              <w:rPr>
                <w:sz w:val="20"/>
                <w:szCs w:val="20"/>
              </w:rPr>
              <w:t xml:space="preserve">IeM, LFNA, </w:t>
            </w:r>
            <w:r w:rsidRPr="00FA1602">
              <w:rPr>
                <w:sz w:val="20"/>
                <w:szCs w:val="20"/>
              </w:rPr>
              <w:t>FID, VID</w:t>
            </w:r>
          </w:p>
        </w:tc>
        <w:tc>
          <w:tcPr>
            <w:tcW w:w="1418" w:type="dxa"/>
            <w:shd w:val="clear" w:color="auto" w:fill="auto"/>
          </w:tcPr>
          <w:p w14:paraId="73A4EE62" w14:textId="5A9C07BA" w:rsidR="00E26970" w:rsidRPr="007B3E84" w:rsidRDefault="00E26970">
            <w:pPr>
              <w:jc w:val="center"/>
              <w:rPr>
                <w:rFonts w:cs="Times New Roman"/>
                <w:bCs/>
                <w:sz w:val="20"/>
                <w:szCs w:val="20"/>
              </w:rPr>
            </w:pPr>
            <w:r w:rsidRPr="00AE5534">
              <w:rPr>
                <w:rFonts w:cs="Times New Roman"/>
                <w:bCs/>
                <w:sz w:val="20"/>
                <w:szCs w:val="20"/>
              </w:rPr>
              <w:t>3</w:t>
            </w:r>
            <w:r>
              <w:rPr>
                <w:rFonts w:cs="Times New Roman"/>
                <w:bCs/>
                <w:sz w:val="20"/>
                <w:szCs w:val="20"/>
              </w:rPr>
              <w:t>1</w:t>
            </w:r>
            <w:r w:rsidRPr="00AE5534">
              <w:rPr>
                <w:rFonts w:cs="Times New Roman"/>
                <w:bCs/>
                <w:sz w:val="20"/>
                <w:szCs w:val="20"/>
              </w:rPr>
              <w:t>.</w:t>
            </w:r>
            <w:r>
              <w:rPr>
                <w:rFonts w:cs="Times New Roman"/>
                <w:bCs/>
                <w:sz w:val="20"/>
                <w:szCs w:val="20"/>
              </w:rPr>
              <w:t>10</w:t>
            </w:r>
            <w:r w:rsidRPr="00AE5534">
              <w:rPr>
                <w:rFonts w:cs="Times New Roman"/>
                <w:bCs/>
                <w:sz w:val="20"/>
                <w:szCs w:val="20"/>
              </w:rPr>
              <w:t>.2020.</w:t>
            </w:r>
          </w:p>
        </w:tc>
      </w:tr>
      <w:tr w:rsidR="00656656" w:rsidRPr="001B1DB1" w14:paraId="6E39094B" w14:textId="77777777" w:rsidTr="0057384E">
        <w:trPr>
          <w:trHeight w:val="1030"/>
        </w:trPr>
        <w:tc>
          <w:tcPr>
            <w:tcW w:w="709" w:type="dxa"/>
            <w:vMerge/>
          </w:tcPr>
          <w:p w14:paraId="4818E66E" w14:textId="77777777" w:rsidR="00656656" w:rsidRPr="001B1DB1" w:rsidRDefault="00656656" w:rsidP="00656656">
            <w:pPr>
              <w:jc w:val="center"/>
              <w:rPr>
                <w:rFonts w:cs="Times New Roman"/>
                <w:bCs/>
                <w:sz w:val="20"/>
                <w:szCs w:val="20"/>
              </w:rPr>
            </w:pPr>
          </w:p>
        </w:tc>
        <w:tc>
          <w:tcPr>
            <w:tcW w:w="3686" w:type="dxa"/>
            <w:vMerge/>
            <w:shd w:val="clear" w:color="auto" w:fill="auto"/>
          </w:tcPr>
          <w:p w14:paraId="7E4CF687" w14:textId="77777777" w:rsidR="00656656" w:rsidRPr="004C0FDC" w:rsidRDefault="00656656" w:rsidP="00656656">
            <w:pPr>
              <w:jc w:val="both"/>
              <w:rPr>
                <w:sz w:val="20"/>
                <w:szCs w:val="20"/>
              </w:rPr>
            </w:pPr>
          </w:p>
        </w:tc>
        <w:tc>
          <w:tcPr>
            <w:tcW w:w="1559" w:type="dxa"/>
            <w:vMerge/>
          </w:tcPr>
          <w:p w14:paraId="699AA0D0" w14:textId="77777777" w:rsidR="00656656" w:rsidRPr="001B1DB1" w:rsidRDefault="00656656" w:rsidP="00656656">
            <w:pPr>
              <w:rPr>
                <w:rFonts w:cs="Times New Roman"/>
                <w:sz w:val="20"/>
                <w:szCs w:val="20"/>
              </w:rPr>
            </w:pPr>
          </w:p>
        </w:tc>
        <w:tc>
          <w:tcPr>
            <w:tcW w:w="2551" w:type="dxa"/>
            <w:vMerge/>
            <w:shd w:val="clear" w:color="auto" w:fill="auto"/>
          </w:tcPr>
          <w:p w14:paraId="6C182A7F" w14:textId="77777777" w:rsidR="00656656" w:rsidRPr="001B1DB1" w:rsidRDefault="00656656" w:rsidP="00656656">
            <w:pPr>
              <w:jc w:val="both"/>
              <w:rPr>
                <w:rFonts w:cs="Times New Roman"/>
                <w:sz w:val="20"/>
                <w:szCs w:val="20"/>
              </w:rPr>
            </w:pPr>
          </w:p>
        </w:tc>
        <w:tc>
          <w:tcPr>
            <w:tcW w:w="2694" w:type="dxa"/>
          </w:tcPr>
          <w:p w14:paraId="7623294B" w14:textId="01089AA3" w:rsidR="00656656" w:rsidRDefault="00656656" w:rsidP="0050187A">
            <w:pPr>
              <w:jc w:val="both"/>
              <w:rPr>
                <w:rFonts w:cs="Times New Roman"/>
                <w:sz w:val="20"/>
                <w:szCs w:val="20"/>
              </w:rPr>
            </w:pPr>
            <w:r>
              <w:rPr>
                <w:rFonts w:cs="Times New Roman"/>
                <w:sz w:val="20"/>
                <w:szCs w:val="20"/>
              </w:rPr>
              <w:t xml:space="preserve">3. 1) </w:t>
            </w:r>
            <w:r w:rsidRPr="00FE0CC1">
              <w:rPr>
                <w:rFonts w:cs="Times New Roman"/>
                <w:sz w:val="20"/>
                <w:szCs w:val="20"/>
              </w:rPr>
              <w:t xml:space="preserve">Izstrādāti </w:t>
            </w:r>
            <w:r w:rsidR="007C6643" w:rsidRPr="007C6643">
              <w:rPr>
                <w:rFonts w:cs="Times New Roman"/>
                <w:sz w:val="20"/>
                <w:szCs w:val="20"/>
              </w:rPr>
              <w:t xml:space="preserve">priekšlikumi nepieciešamajiem </w:t>
            </w:r>
            <w:r w:rsidRPr="00FE0CC1">
              <w:rPr>
                <w:rFonts w:cs="Times New Roman"/>
                <w:sz w:val="20"/>
                <w:szCs w:val="20"/>
              </w:rPr>
              <w:t>grozījumi</w:t>
            </w:r>
            <w:r w:rsidR="007C6643">
              <w:rPr>
                <w:rFonts w:cs="Times New Roman"/>
                <w:sz w:val="20"/>
                <w:szCs w:val="20"/>
              </w:rPr>
              <w:t>em</w:t>
            </w:r>
            <w:r w:rsidRPr="00FE0CC1">
              <w:rPr>
                <w:rFonts w:cs="Times New Roman"/>
                <w:sz w:val="20"/>
                <w:szCs w:val="20"/>
              </w:rPr>
              <w:t xml:space="preserve"> </w:t>
            </w:r>
            <w:r>
              <w:rPr>
                <w:rFonts w:cs="Times New Roman"/>
                <w:sz w:val="20"/>
                <w:szCs w:val="20"/>
              </w:rPr>
              <w:t>MK</w:t>
            </w:r>
            <w:r w:rsidRPr="00FE0CC1">
              <w:rPr>
                <w:rFonts w:cs="Times New Roman"/>
                <w:sz w:val="20"/>
                <w:szCs w:val="20"/>
              </w:rPr>
              <w:t xml:space="preserve"> noteikumos</w:t>
            </w:r>
            <w:r w:rsidR="007C6643">
              <w:t xml:space="preserve"> </w:t>
            </w:r>
            <w:r w:rsidR="007C6643" w:rsidRPr="007C6643">
              <w:rPr>
                <w:rFonts w:cs="Times New Roman"/>
                <w:sz w:val="20"/>
                <w:szCs w:val="20"/>
              </w:rPr>
              <w:t xml:space="preserve">un iesniegti </w:t>
            </w:r>
            <w:r w:rsidR="007C6643">
              <w:rPr>
                <w:rFonts w:cs="Times New Roman"/>
                <w:sz w:val="20"/>
                <w:szCs w:val="20"/>
              </w:rPr>
              <w:t>FM</w:t>
            </w:r>
            <w:r w:rsidRPr="00FE0CC1">
              <w:rPr>
                <w:rFonts w:cs="Times New Roman"/>
                <w:sz w:val="20"/>
                <w:szCs w:val="20"/>
              </w:rPr>
              <w:t>.</w:t>
            </w:r>
          </w:p>
        </w:tc>
        <w:tc>
          <w:tcPr>
            <w:tcW w:w="1134" w:type="dxa"/>
            <w:shd w:val="clear" w:color="auto" w:fill="auto"/>
          </w:tcPr>
          <w:p w14:paraId="3DF41676" w14:textId="06AC8B5F" w:rsidR="00656656" w:rsidRPr="001B1DB1" w:rsidRDefault="007C6643">
            <w:pPr>
              <w:jc w:val="center"/>
              <w:rPr>
                <w:sz w:val="20"/>
                <w:szCs w:val="20"/>
              </w:rPr>
            </w:pPr>
            <w:r>
              <w:rPr>
                <w:sz w:val="20"/>
                <w:szCs w:val="20"/>
              </w:rPr>
              <w:t>VID, FID</w:t>
            </w:r>
          </w:p>
        </w:tc>
        <w:tc>
          <w:tcPr>
            <w:tcW w:w="1275" w:type="dxa"/>
            <w:shd w:val="clear" w:color="auto" w:fill="auto"/>
          </w:tcPr>
          <w:p w14:paraId="580E7C37" w14:textId="2BF32AF4" w:rsidR="00656656" w:rsidRPr="001B1DB1" w:rsidRDefault="00656656" w:rsidP="007A3A99">
            <w:pPr>
              <w:jc w:val="center"/>
              <w:rPr>
                <w:sz w:val="20"/>
                <w:szCs w:val="20"/>
              </w:rPr>
            </w:pPr>
            <w:r>
              <w:rPr>
                <w:sz w:val="20"/>
                <w:szCs w:val="20"/>
              </w:rPr>
              <w:t>IeM,</w:t>
            </w:r>
            <w:r w:rsidRPr="00FA1602">
              <w:rPr>
                <w:sz w:val="20"/>
                <w:szCs w:val="20"/>
              </w:rPr>
              <w:t xml:space="preserve"> </w:t>
            </w:r>
            <w:r>
              <w:rPr>
                <w:sz w:val="20"/>
                <w:szCs w:val="20"/>
              </w:rPr>
              <w:t xml:space="preserve">FM, </w:t>
            </w:r>
            <w:r w:rsidRPr="00FA1602">
              <w:rPr>
                <w:sz w:val="20"/>
                <w:szCs w:val="20"/>
              </w:rPr>
              <w:t>LFNA</w:t>
            </w:r>
          </w:p>
        </w:tc>
        <w:tc>
          <w:tcPr>
            <w:tcW w:w="1418" w:type="dxa"/>
            <w:shd w:val="clear" w:color="auto" w:fill="auto"/>
          </w:tcPr>
          <w:p w14:paraId="3EC03188" w14:textId="2FB13CE0" w:rsidR="00656656" w:rsidRPr="00FA1602" w:rsidRDefault="00656656" w:rsidP="00656656">
            <w:pPr>
              <w:jc w:val="center"/>
              <w:rPr>
                <w:rFonts w:cs="Times New Roman"/>
                <w:bCs/>
                <w:sz w:val="20"/>
                <w:szCs w:val="20"/>
              </w:rPr>
            </w:pPr>
            <w:r>
              <w:rPr>
                <w:color w:val="000000" w:themeColor="text1"/>
                <w:sz w:val="20"/>
                <w:szCs w:val="20"/>
              </w:rPr>
              <w:t>30.11</w:t>
            </w:r>
            <w:r w:rsidRPr="00FE0CC1">
              <w:rPr>
                <w:color w:val="000000" w:themeColor="text1"/>
                <w:sz w:val="20"/>
                <w:szCs w:val="20"/>
              </w:rPr>
              <w:t>.202</w:t>
            </w:r>
            <w:r>
              <w:rPr>
                <w:color w:val="000000" w:themeColor="text1"/>
                <w:sz w:val="20"/>
                <w:szCs w:val="20"/>
              </w:rPr>
              <w:t>0</w:t>
            </w:r>
            <w:r w:rsidR="00D4528F">
              <w:rPr>
                <w:color w:val="000000" w:themeColor="text1"/>
                <w:sz w:val="20"/>
                <w:szCs w:val="20"/>
              </w:rPr>
              <w:t>.</w:t>
            </w:r>
          </w:p>
        </w:tc>
      </w:tr>
      <w:tr w:rsidR="00656656" w:rsidRPr="001B1DB1" w14:paraId="4AC17347" w14:textId="77777777" w:rsidTr="0057384E">
        <w:trPr>
          <w:trHeight w:val="1030"/>
        </w:trPr>
        <w:tc>
          <w:tcPr>
            <w:tcW w:w="709" w:type="dxa"/>
            <w:vMerge/>
          </w:tcPr>
          <w:p w14:paraId="4BBAFF7E" w14:textId="77777777" w:rsidR="00656656" w:rsidRPr="001B1DB1" w:rsidRDefault="00656656" w:rsidP="00656656">
            <w:pPr>
              <w:jc w:val="center"/>
              <w:rPr>
                <w:rFonts w:cs="Times New Roman"/>
                <w:bCs/>
                <w:sz w:val="20"/>
                <w:szCs w:val="20"/>
              </w:rPr>
            </w:pPr>
          </w:p>
        </w:tc>
        <w:tc>
          <w:tcPr>
            <w:tcW w:w="3686" w:type="dxa"/>
            <w:vMerge/>
            <w:shd w:val="clear" w:color="auto" w:fill="auto"/>
          </w:tcPr>
          <w:p w14:paraId="5FE8717E" w14:textId="77777777" w:rsidR="00656656" w:rsidRPr="004C0FDC" w:rsidRDefault="00656656" w:rsidP="00656656">
            <w:pPr>
              <w:jc w:val="both"/>
              <w:rPr>
                <w:sz w:val="20"/>
                <w:szCs w:val="20"/>
              </w:rPr>
            </w:pPr>
          </w:p>
        </w:tc>
        <w:tc>
          <w:tcPr>
            <w:tcW w:w="1559" w:type="dxa"/>
            <w:vMerge/>
          </w:tcPr>
          <w:p w14:paraId="7356DE1D" w14:textId="77777777" w:rsidR="00656656" w:rsidRPr="001B1DB1" w:rsidRDefault="00656656" w:rsidP="00656656">
            <w:pPr>
              <w:rPr>
                <w:rFonts w:cs="Times New Roman"/>
                <w:sz w:val="20"/>
                <w:szCs w:val="20"/>
              </w:rPr>
            </w:pPr>
          </w:p>
        </w:tc>
        <w:tc>
          <w:tcPr>
            <w:tcW w:w="2551" w:type="dxa"/>
            <w:vMerge/>
            <w:shd w:val="clear" w:color="auto" w:fill="auto"/>
          </w:tcPr>
          <w:p w14:paraId="6693FB97" w14:textId="77777777" w:rsidR="00656656" w:rsidRPr="001B1DB1" w:rsidRDefault="00656656" w:rsidP="00656656">
            <w:pPr>
              <w:jc w:val="both"/>
              <w:rPr>
                <w:rFonts w:cs="Times New Roman"/>
                <w:sz w:val="20"/>
                <w:szCs w:val="20"/>
              </w:rPr>
            </w:pPr>
          </w:p>
        </w:tc>
        <w:tc>
          <w:tcPr>
            <w:tcW w:w="2694" w:type="dxa"/>
          </w:tcPr>
          <w:p w14:paraId="5627AFD6" w14:textId="36CAA7FA" w:rsidR="00656656" w:rsidRDefault="00656656" w:rsidP="00656656">
            <w:pPr>
              <w:jc w:val="both"/>
              <w:rPr>
                <w:rFonts w:cs="Times New Roman"/>
                <w:sz w:val="20"/>
                <w:szCs w:val="20"/>
              </w:rPr>
            </w:pPr>
            <w:r>
              <w:rPr>
                <w:rFonts w:cs="Times New Roman"/>
                <w:sz w:val="20"/>
                <w:szCs w:val="20"/>
              </w:rPr>
              <w:t>3. 2) G</w:t>
            </w:r>
            <w:r w:rsidRPr="00FE0CC1">
              <w:rPr>
                <w:rFonts w:cs="Times New Roman"/>
                <w:sz w:val="20"/>
                <w:szCs w:val="20"/>
              </w:rPr>
              <w:t xml:space="preserve">rozījumi </w:t>
            </w:r>
            <w:r>
              <w:rPr>
                <w:rFonts w:cs="Times New Roman"/>
                <w:sz w:val="20"/>
                <w:szCs w:val="20"/>
              </w:rPr>
              <w:t>MK</w:t>
            </w:r>
            <w:r w:rsidRPr="00FE0CC1">
              <w:rPr>
                <w:rFonts w:cs="Times New Roman"/>
                <w:sz w:val="20"/>
                <w:szCs w:val="20"/>
              </w:rPr>
              <w:t xml:space="preserve"> noteikumos iesniegti izskatīšanai MK.</w:t>
            </w:r>
          </w:p>
        </w:tc>
        <w:tc>
          <w:tcPr>
            <w:tcW w:w="1134" w:type="dxa"/>
            <w:shd w:val="clear" w:color="auto" w:fill="auto"/>
          </w:tcPr>
          <w:p w14:paraId="4B9198BB" w14:textId="005BE26A" w:rsidR="00656656" w:rsidRPr="001B1DB1" w:rsidRDefault="00656656" w:rsidP="00656656">
            <w:pPr>
              <w:jc w:val="center"/>
              <w:rPr>
                <w:sz w:val="20"/>
                <w:szCs w:val="20"/>
              </w:rPr>
            </w:pPr>
            <w:r w:rsidRPr="002572A7">
              <w:rPr>
                <w:sz w:val="20"/>
                <w:szCs w:val="20"/>
              </w:rPr>
              <w:t>FM</w:t>
            </w:r>
          </w:p>
        </w:tc>
        <w:tc>
          <w:tcPr>
            <w:tcW w:w="1275" w:type="dxa"/>
            <w:shd w:val="clear" w:color="auto" w:fill="auto"/>
          </w:tcPr>
          <w:p w14:paraId="2B9D1EAB" w14:textId="6009AEEF" w:rsidR="00656656" w:rsidRPr="001B1DB1" w:rsidRDefault="00656656" w:rsidP="00656656">
            <w:pPr>
              <w:jc w:val="center"/>
              <w:rPr>
                <w:sz w:val="20"/>
                <w:szCs w:val="20"/>
              </w:rPr>
            </w:pPr>
            <w:r>
              <w:rPr>
                <w:sz w:val="20"/>
                <w:szCs w:val="20"/>
              </w:rPr>
              <w:t xml:space="preserve">IeM, LFNA, </w:t>
            </w:r>
            <w:r w:rsidRPr="00FA1602">
              <w:rPr>
                <w:sz w:val="20"/>
                <w:szCs w:val="20"/>
              </w:rPr>
              <w:t>FID, VID</w:t>
            </w:r>
          </w:p>
        </w:tc>
        <w:tc>
          <w:tcPr>
            <w:tcW w:w="1418" w:type="dxa"/>
            <w:shd w:val="clear" w:color="auto" w:fill="auto"/>
          </w:tcPr>
          <w:p w14:paraId="45AE4CB4" w14:textId="34A3BCBE" w:rsidR="00656656" w:rsidRPr="00FA1602" w:rsidRDefault="000857BE" w:rsidP="007A3A99">
            <w:pPr>
              <w:jc w:val="center"/>
              <w:rPr>
                <w:rFonts w:cs="Times New Roman"/>
                <w:bCs/>
                <w:sz w:val="20"/>
                <w:szCs w:val="20"/>
              </w:rPr>
            </w:pPr>
            <w:r>
              <w:rPr>
                <w:color w:val="000000" w:themeColor="text1"/>
                <w:sz w:val="20"/>
                <w:szCs w:val="20"/>
              </w:rPr>
              <w:t>0</w:t>
            </w:r>
            <w:r w:rsidR="00656656">
              <w:rPr>
                <w:color w:val="000000" w:themeColor="text1"/>
                <w:sz w:val="20"/>
                <w:szCs w:val="20"/>
              </w:rPr>
              <w:t>1</w:t>
            </w:r>
            <w:r w:rsidR="00656656" w:rsidRPr="00FE0CC1">
              <w:rPr>
                <w:color w:val="000000" w:themeColor="text1"/>
                <w:sz w:val="20"/>
                <w:szCs w:val="20"/>
              </w:rPr>
              <w:t>.</w:t>
            </w:r>
            <w:r>
              <w:rPr>
                <w:color w:val="000000" w:themeColor="text1"/>
                <w:sz w:val="20"/>
                <w:szCs w:val="20"/>
              </w:rPr>
              <w:t>07</w:t>
            </w:r>
            <w:r w:rsidR="00656656" w:rsidRPr="00FE0CC1">
              <w:rPr>
                <w:color w:val="000000" w:themeColor="text1"/>
                <w:sz w:val="20"/>
                <w:szCs w:val="20"/>
              </w:rPr>
              <w:t>.2021.</w:t>
            </w:r>
          </w:p>
        </w:tc>
      </w:tr>
      <w:tr w:rsidR="00656656" w:rsidRPr="001B1DB1" w14:paraId="34FC27F2" w14:textId="77777777" w:rsidTr="00C842AB">
        <w:trPr>
          <w:trHeight w:val="699"/>
        </w:trPr>
        <w:tc>
          <w:tcPr>
            <w:tcW w:w="709" w:type="dxa"/>
            <w:vMerge/>
          </w:tcPr>
          <w:p w14:paraId="2AE1C411" w14:textId="77777777" w:rsidR="00656656" w:rsidRPr="001B1DB1" w:rsidRDefault="00656656" w:rsidP="00656656">
            <w:pPr>
              <w:jc w:val="center"/>
              <w:rPr>
                <w:rFonts w:cs="Times New Roman"/>
                <w:bCs/>
                <w:sz w:val="20"/>
                <w:szCs w:val="20"/>
              </w:rPr>
            </w:pPr>
          </w:p>
        </w:tc>
        <w:tc>
          <w:tcPr>
            <w:tcW w:w="3686" w:type="dxa"/>
            <w:vMerge/>
            <w:shd w:val="clear" w:color="auto" w:fill="auto"/>
          </w:tcPr>
          <w:p w14:paraId="322B942C" w14:textId="77777777" w:rsidR="00656656" w:rsidRPr="004C0FDC" w:rsidRDefault="00656656" w:rsidP="00656656">
            <w:pPr>
              <w:jc w:val="both"/>
              <w:rPr>
                <w:sz w:val="20"/>
                <w:szCs w:val="20"/>
              </w:rPr>
            </w:pPr>
          </w:p>
        </w:tc>
        <w:tc>
          <w:tcPr>
            <w:tcW w:w="1559" w:type="dxa"/>
            <w:vMerge/>
          </w:tcPr>
          <w:p w14:paraId="4CE02736" w14:textId="77777777" w:rsidR="00656656" w:rsidRPr="001B1DB1" w:rsidRDefault="00656656" w:rsidP="00656656">
            <w:pPr>
              <w:rPr>
                <w:rFonts w:cs="Times New Roman"/>
                <w:sz w:val="20"/>
                <w:szCs w:val="20"/>
              </w:rPr>
            </w:pPr>
          </w:p>
        </w:tc>
        <w:tc>
          <w:tcPr>
            <w:tcW w:w="2551" w:type="dxa"/>
            <w:vMerge/>
            <w:shd w:val="clear" w:color="auto" w:fill="auto"/>
          </w:tcPr>
          <w:p w14:paraId="4E4D2A8B" w14:textId="77777777" w:rsidR="00656656" w:rsidRPr="001B1DB1" w:rsidRDefault="00656656" w:rsidP="00656656">
            <w:pPr>
              <w:jc w:val="both"/>
              <w:rPr>
                <w:rFonts w:cs="Times New Roman"/>
                <w:sz w:val="20"/>
                <w:szCs w:val="20"/>
              </w:rPr>
            </w:pPr>
          </w:p>
        </w:tc>
        <w:tc>
          <w:tcPr>
            <w:tcW w:w="2694" w:type="dxa"/>
          </w:tcPr>
          <w:p w14:paraId="0165EDDE" w14:textId="6517C7A0" w:rsidR="00656656" w:rsidRPr="00FE0CC1" w:rsidRDefault="00656656" w:rsidP="007A3A99">
            <w:pPr>
              <w:jc w:val="both"/>
              <w:rPr>
                <w:rFonts w:cs="Times New Roman"/>
                <w:sz w:val="20"/>
                <w:szCs w:val="20"/>
              </w:rPr>
            </w:pPr>
            <w:r>
              <w:rPr>
                <w:rFonts w:cs="Times New Roman"/>
                <w:sz w:val="20"/>
                <w:szCs w:val="20"/>
              </w:rPr>
              <w:t xml:space="preserve">4. </w:t>
            </w:r>
            <w:r w:rsidRPr="00053D97">
              <w:rPr>
                <w:rFonts w:cs="Times New Roman"/>
                <w:sz w:val="20"/>
                <w:szCs w:val="20"/>
              </w:rPr>
              <w:t>Izstrādāts vienots ziņošanas kanāls par aizdomīgiem darījumiem.</w:t>
            </w:r>
          </w:p>
        </w:tc>
        <w:tc>
          <w:tcPr>
            <w:tcW w:w="1134" w:type="dxa"/>
            <w:shd w:val="clear" w:color="auto" w:fill="auto"/>
          </w:tcPr>
          <w:p w14:paraId="3E63092F" w14:textId="39378852" w:rsidR="00656656" w:rsidRPr="002572A7" w:rsidRDefault="00656656" w:rsidP="00656656">
            <w:pPr>
              <w:jc w:val="center"/>
              <w:rPr>
                <w:sz w:val="20"/>
                <w:szCs w:val="20"/>
              </w:rPr>
            </w:pPr>
            <w:r w:rsidRPr="001B1DB1">
              <w:rPr>
                <w:sz w:val="20"/>
                <w:szCs w:val="20"/>
              </w:rPr>
              <w:t>FID, VID</w:t>
            </w:r>
          </w:p>
        </w:tc>
        <w:tc>
          <w:tcPr>
            <w:tcW w:w="1275" w:type="dxa"/>
            <w:shd w:val="clear" w:color="auto" w:fill="auto"/>
          </w:tcPr>
          <w:p w14:paraId="78641801" w14:textId="121015F3" w:rsidR="00656656" w:rsidRPr="007B3E84" w:rsidRDefault="00656656" w:rsidP="00656656">
            <w:pPr>
              <w:jc w:val="center"/>
              <w:rPr>
                <w:sz w:val="20"/>
                <w:szCs w:val="20"/>
              </w:rPr>
            </w:pPr>
            <w:r w:rsidRPr="001B1DB1">
              <w:rPr>
                <w:sz w:val="20"/>
                <w:szCs w:val="20"/>
              </w:rPr>
              <w:t>FM</w:t>
            </w:r>
            <w:r w:rsidRPr="007B3E84">
              <w:rPr>
                <w:sz w:val="20"/>
                <w:szCs w:val="20"/>
              </w:rPr>
              <w:t>, LFNA</w:t>
            </w:r>
            <w:r>
              <w:rPr>
                <w:sz w:val="20"/>
                <w:szCs w:val="20"/>
              </w:rPr>
              <w:t>,</w:t>
            </w:r>
            <w:r w:rsidRPr="001B1DB1">
              <w:rPr>
                <w:sz w:val="20"/>
                <w:szCs w:val="20"/>
              </w:rPr>
              <w:t xml:space="preserve"> IeM</w:t>
            </w:r>
          </w:p>
        </w:tc>
        <w:tc>
          <w:tcPr>
            <w:tcW w:w="1418" w:type="dxa"/>
            <w:shd w:val="clear" w:color="auto" w:fill="auto"/>
          </w:tcPr>
          <w:p w14:paraId="32F9D20E" w14:textId="55977A1C" w:rsidR="00656656" w:rsidRPr="002572A7" w:rsidRDefault="000857BE" w:rsidP="007A3A99">
            <w:pPr>
              <w:jc w:val="center"/>
              <w:rPr>
                <w:rFonts w:cs="Times New Roman"/>
                <w:bCs/>
                <w:sz w:val="20"/>
                <w:szCs w:val="20"/>
              </w:rPr>
            </w:pPr>
            <w:r>
              <w:rPr>
                <w:rFonts w:cs="Times New Roman"/>
                <w:bCs/>
                <w:sz w:val="20"/>
                <w:szCs w:val="20"/>
              </w:rPr>
              <w:t>3</w:t>
            </w:r>
            <w:r w:rsidR="00656656" w:rsidRPr="00FA1602">
              <w:rPr>
                <w:rFonts w:cs="Times New Roman"/>
                <w:bCs/>
                <w:sz w:val="20"/>
                <w:szCs w:val="20"/>
              </w:rPr>
              <w:t>1.</w:t>
            </w:r>
            <w:r>
              <w:rPr>
                <w:rFonts w:cs="Times New Roman"/>
                <w:bCs/>
                <w:sz w:val="20"/>
                <w:szCs w:val="20"/>
              </w:rPr>
              <w:t>12</w:t>
            </w:r>
            <w:r w:rsidR="00656656" w:rsidRPr="00FA1602">
              <w:rPr>
                <w:rFonts w:cs="Times New Roman"/>
                <w:bCs/>
                <w:sz w:val="20"/>
                <w:szCs w:val="20"/>
              </w:rPr>
              <w:t>.202</w:t>
            </w:r>
            <w:r w:rsidR="00656656">
              <w:rPr>
                <w:rFonts w:cs="Times New Roman"/>
                <w:bCs/>
                <w:sz w:val="20"/>
                <w:szCs w:val="20"/>
              </w:rPr>
              <w:t>1</w:t>
            </w:r>
            <w:r w:rsidR="00656656" w:rsidRPr="00FA1602">
              <w:rPr>
                <w:rFonts w:cs="Times New Roman"/>
                <w:bCs/>
                <w:sz w:val="20"/>
                <w:szCs w:val="20"/>
              </w:rPr>
              <w:t>.</w:t>
            </w:r>
          </w:p>
        </w:tc>
      </w:tr>
      <w:tr w:rsidR="00656656" w:rsidRPr="001B1DB1" w14:paraId="7DC3D178" w14:textId="77777777" w:rsidTr="0057384E">
        <w:trPr>
          <w:trHeight w:val="543"/>
        </w:trPr>
        <w:tc>
          <w:tcPr>
            <w:tcW w:w="709" w:type="dxa"/>
          </w:tcPr>
          <w:p w14:paraId="05B707CB" w14:textId="77777777" w:rsidR="00656656" w:rsidRPr="001B1DB1" w:rsidRDefault="00656656" w:rsidP="00656656">
            <w:pPr>
              <w:jc w:val="center"/>
              <w:rPr>
                <w:rFonts w:cs="Times New Roman"/>
                <w:bCs/>
                <w:sz w:val="20"/>
                <w:szCs w:val="20"/>
              </w:rPr>
            </w:pPr>
            <w:r w:rsidRPr="001B1DB1">
              <w:rPr>
                <w:rFonts w:cs="Times New Roman"/>
                <w:bCs/>
                <w:sz w:val="20"/>
                <w:szCs w:val="20"/>
              </w:rPr>
              <w:t>4.2.</w:t>
            </w:r>
          </w:p>
        </w:tc>
        <w:tc>
          <w:tcPr>
            <w:tcW w:w="3686" w:type="dxa"/>
            <w:shd w:val="clear" w:color="auto" w:fill="auto"/>
          </w:tcPr>
          <w:p w14:paraId="59B2AD5E" w14:textId="0858F951" w:rsidR="00656656" w:rsidRPr="001B1DB1" w:rsidRDefault="00656656" w:rsidP="00656656">
            <w:pPr>
              <w:jc w:val="both"/>
              <w:rPr>
                <w:sz w:val="20"/>
                <w:szCs w:val="20"/>
              </w:rPr>
            </w:pPr>
            <w:r w:rsidRPr="001B1DB1">
              <w:rPr>
                <w:sz w:val="20"/>
                <w:szCs w:val="20"/>
              </w:rPr>
              <w:t>Izstrādāt vienotu tīmekļa vietni personu</w:t>
            </w:r>
            <w:r>
              <w:rPr>
                <w:sz w:val="20"/>
                <w:szCs w:val="20"/>
              </w:rPr>
              <w:t xml:space="preserve">, pret kurām noteiktas sankcijas, </w:t>
            </w:r>
            <w:r w:rsidRPr="001B1DB1">
              <w:rPr>
                <w:sz w:val="20"/>
                <w:szCs w:val="20"/>
              </w:rPr>
              <w:t xml:space="preserve"> kā arī noteikto ierobežojumu  skrīningam.</w:t>
            </w:r>
          </w:p>
        </w:tc>
        <w:tc>
          <w:tcPr>
            <w:tcW w:w="1559" w:type="dxa"/>
          </w:tcPr>
          <w:p w14:paraId="36B1D8F3" w14:textId="31B95645" w:rsidR="00656656" w:rsidRPr="001B1DB1" w:rsidRDefault="00656656" w:rsidP="00656656">
            <w:pPr>
              <w:rPr>
                <w:rFonts w:cs="Times New Roman"/>
                <w:sz w:val="20"/>
                <w:szCs w:val="20"/>
              </w:rPr>
            </w:pPr>
            <w:r w:rsidRPr="001B1DB1">
              <w:rPr>
                <w:sz w:val="20"/>
                <w:szCs w:val="20"/>
              </w:rPr>
              <w:t>MONEYVAL</w:t>
            </w:r>
            <w:r>
              <w:rPr>
                <w:sz w:val="20"/>
                <w:szCs w:val="20"/>
              </w:rPr>
              <w:t xml:space="preserve"> </w:t>
            </w:r>
            <w:r w:rsidRPr="001B1DB1">
              <w:rPr>
                <w:rFonts w:cs="Times New Roman"/>
                <w:sz w:val="20"/>
                <w:szCs w:val="20"/>
              </w:rPr>
              <w:t>1.3., 10.4.</w:t>
            </w:r>
            <w:r>
              <w:rPr>
                <w:rFonts w:cs="Times New Roman"/>
                <w:sz w:val="20"/>
                <w:szCs w:val="20"/>
              </w:rPr>
              <w:t xml:space="preserve"> r</w:t>
            </w:r>
            <w:r w:rsidRPr="001B1DB1">
              <w:rPr>
                <w:rFonts w:cs="Times New Roman"/>
                <w:sz w:val="20"/>
                <w:szCs w:val="20"/>
              </w:rPr>
              <w:t>ekomendācija</w:t>
            </w:r>
            <w:r>
              <w:rPr>
                <w:rFonts w:cs="Times New Roman"/>
                <w:sz w:val="20"/>
                <w:szCs w:val="20"/>
              </w:rPr>
              <w:t>.</w:t>
            </w:r>
          </w:p>
        </w:tc>
        <w:tc>
          <w:tcPr>
            <w:tcW w:w="2551" w:type="dxa"/>
            <w:shd w:val="clear" w:color="auto" w:fill="auto"/>
          </w:tcPr>
          <w:p w14:paraId="5FDCA809" w14:textId="527DBCE1" w:rsidR="00656656" w:rsidRPr="001B1DB1" w:rsidRDefault="00656656" w:rsidP="00656656">
            <w:pPr>
              <w:jc w:val="both"/>
              <w:rPr>
                <w:rFonts w:cs="Times New Roman"/>
                <w:sz w:val="20"/>
                <w:szCs w:val="20"/>
              </w:rPr>
            </w:pPr>
            <w:r w:rsidRPr="001B1DB1">
              <w:rPr>
                <w:rFonts w:cs="Times New Roman"/>
                <w:sz w:val="20"/>
                <w:szCs w:val="20"/>
              </w:rPr>
              <w:t>Vienkāršota informācijas pieejamība attiecībā uz sankciju jautājumiem.</w:t>
            </w:r>
          </w:p>
        </w:tc>
        <w:tc>
          <w:tcPr>
            <w:tcW w:w="2694" w:type="dxa"/>
          </w:tcPr>
          <w:p w14:paraId="2A21DF87" w14:textId="77777777" w:rsidR="00656656" w:rsidRPr="001B1DB1" w:rsidRDefault="00656656" w:rsidP="00656656">
            <w:pPr>
              <w:jc w:val="both"/>
              <w:rPr>
                <w:rFonts w:cs="Times New Roman"/>
                <w:sz w:val="20"/>
                <w:szCs w:val="20"/>
              </w:rPr>
            </w:pPr>
            <w:r w:rsidRPr="001B1DB1">
              <w:rPr>
                <w:rFonts w:cs="Times New Roman"/>
                <w:sz w:val="20"/>
                <w:szCs w:val="20"/>
              </w:rPr>
              <w:t xml:space="preserve">Izstrādāta funkcionējoša tīmekļa vietne www.sankcijas.gov.lv, kur publicēta: </w:t>
            </w:r>
          </w:p>
          <w:p w14:paraId="70891734" w14:textId="2F345AB7" w:rsidR="00656656" w:rsidRPr="001B1DB1" w:rsidRDefault="00F8080B" w:rsidP="00656656">
            <w:pPr>
              <w:jc w:val="both"/>
              <w:rPr>
                <w:rFonts w:cs="Times New Roman"/>
                <w:sz w:val="20"/>
                <w:szCs w:val="20"/>
              </w:rPr>
            </w:pPr>
            <w:r>
              <w:rPr>
                <w:rFonts w:cs="Times New Roman"/>
                <w:sz w:val="20"/>
                <w:szCs w:val="20"/>
              </w:rPr>
              <w:t>1)</w:t>
            </w:r>
            <w:r w:rsidR="00656656" w:rsidRPr="001B1DB1">
              <w:rPr>
                <w:rFonts w:cs="Times New Roman"/>
                <w:sz w:val="20"/>
                <w:szCs w:val="20"/>
              </w:rPr>
              <w:t xml:space="preserve"> informācija par personām saskaņā ar NILLTPFNL 4. panta 3. daļas prasībām; </w:t>
            </w:r>
          </w:p>
          <w:p w14:paraId="25987E4D" w14:textId="22233FEA" w:rsidR="00656656" w:rsidRPr="001B1DB1" w:rsidRDefault="00F8080B" w:rsidP="002F6F7F">
            <w:pPr>
              <w:jc w:val="both"/>
              <w:rPr>
                <w:rFonts w:cs="Times New Roman"/>
                <w:sz w:val="20"/>
                <w:szCs w:val="20"/>
              </w:rPr>
            </w:pPr>
            <w:r>
              <w:rPr>
                <w:rFonts w:cs="Times New Roman"/>
                <w:sz w:val="20"/>
                <w:szCs w:val="20"/>
              </w:rPr>
              <w:t>2)</w:t>
            </w:r>
            <w:r w:rsidR="00656656" w:rsidRPr="001B1DB1">
              <w:rPr>
                <w:rFonts w:cs="Times New Roman"/>
                <w:sz w:val="20"/>
                <w:szCs w:val="20"/>
              </w:rPr>
              <w:t xml:space="preserve"> informācija par </w:t>
            </w:r>
            <w:r w:rsidR="00656656">
              <w:rPr>
                <w:rFonts w:cs="Times New Roman"/>
                <w:sz w:val="20"/>
                <w:szCs w:val="20"/>
              </w:rPr>
              <w:t xml:space="preserve"> piemērojamajām sankcijām atbilstoši Starptautisko un Latvijas Republikas nacionālo</w:t>
            </w:r>
            <w:r w:rsidR="00EC304B">
              <w:rPr>
                <w:rFonts w:cs="Times New Roman"/>
                <w:sz w:val="20"/>
                <w:szCs w:val="20"/>
              </w:rPr>
              <w:t xml:space="preserve"> </w:t>
            </w:r>
            <w:r w:rsidR="00656656" w:rsidRPr="001B1DB1">
              <w:rPr>
                <w:rFonts w:cs="Times New Roman"/>
                <w:sz w:val="20"/>
                <w:szCs w:val="20"/>
              </w:rPr>
              <w:t xml:space="preserve">sankciju </w:t>
            </w:r>
            <w:r w:rsidR="00656656">
              <w:rPr>
                <w:rFonts w:cs="Times New Roman"/>
                <w:sz w:val="20"/>
                <w:szCs w:val="20"/>
              </w:rPr>
              <w:t>likuma tvērumam</w:t>
            </w:r>
            <w:r w:rsidR="00656656" w:rsidRPr="001B1DB1">
              <w:rPr>
                <w:rFonts w:cs="Times New Roman"/>
                <w:sz w:val="20"/>
                <w:szCs w:val="20"/>
              </w:rPr>
              <w:t>.</w:t>
            </w:r>
          </w:p>
        </w:tc>
        <w:tc>
          <w:tcPr>
            <w:tcW w:w="1134" w:type="dxa"/>
            <w:shd w:val="clear" w:color="auto" w:fill="auto"/>
          </w:tcPr>
          <w:p w14:paraId="663219DA" w14:textId="5F18A6D6" w:rsidR="00656656" w:rsidRPr="001B1DB1" w:rsidRDefault="00656656" w:rsidP="00656656">
            <w:pPr>
              <w:jc w:val="center"/>
              <w:rPr>
                <w:sz w:val="20"/>
                <w:szCs w:val="20"/>
              </w:rPr>
            </w:pPr>
            <w:r w:rsidRPr="001B1DB1">
              <w:rPr>
                <w:sz w:val="20"/>
                <w:szCs w:val="20"/>
              </w:rPr>
              <w:t>ĀM</w:t>
            </w:r>
            <w:r>
              <w:rPr>
                <w:sz w:val="20"/>
                <w:szCs w:val="20"/>
              </w:rPr>
              <w:t>, FID</w:t>
            </w:r>
            <w:r w:rsidRPr="001B1DB1">
              <w:rPr>
                <w:sz w:val="20"/>
                <w:szCs w:val="20"/>
              </w:rPr>
              <w:t xml:space="preserve"> </w:t>
            </w:r>
          </w:p>
        </w:tc>
        <w:tc>
          <w:tcPr>
            <w:tcW w:w="1275" w:type="dxa"/>
            <w:shd w:val="clear" w:color="auto" w:fill="auto"/>
          </w:tcPr>
          <w:p w14:paraId="2B169DC8" w14:textId="77D31D25" w:rsidR="00656656" w:rsidRPr="001B1DB1" w:rsidRDefault="00656656" w:rsidP="00656656">
            <w:pPr>
              <w:jc w:val="center"/>
              <w:rPr>
                <w:sz w:val="20"/>
                <w:szCs w:val="20"/>
              </w:rPr>
            </w:pPr>
          </w:p>
        </w:tc>
        <w:tc>
          <w:tcPr>
            <w:tcW w:w="1418" w:type="dxa"/>
            <w:shd w:val="clear" w:color="auto" w:fill="auto"/>
          </w:tcPr>
          <w:p w14:paraId="1DAFD67A" w14:textId="3D57B1E6" w:rsidR="00656656" w:rsidRPr="001B1DB1" w:rsidRDefault="005D0CD1" w:rsidP="00656656">
            <w:pPr>
              <w:jc w:val="center"/>
              <w:rPr>
                <w:rFonts w:cs="Times New Roman"/>
                <w:bCs/>
                <w:sz w:val="20"/>
                <w:szCs w:val="20"/>
              </w:rPr>
            </w:pPr>
            <w:r w:rsidRPr="005D0CD1">
              <w:rPr>
                <w:rFonts w:cs="Times New Roman"/>
                <w:bCs/>
                <w:sz w:val="20"/>
                <w:szCs w:val="20"/>
              </w:rPr>
              <w:t>Pastāvīgi</w:t>
            </w:r>
          </w:p>
        </w:tc>
      </w:tr>
      <w:tr w:rsidR="00656656" w:rsidRPr="001B1DB1" w14:paraId="1C2DC48C" w14:textId="77777777" w:rsidTr="00BC0AF7">
        <w:trPr>
          <w:trHeight w:val="543"/>
        </w:trPr>
        <w:tc>
          <w:tcPr>
            <w:tcW w:w="709" w:type="dxa"/>
            <w:vMerge w:val="restart"/>
          </w:tcPr>
          <w:p w14:paraId="0F08DFAC" w14:textId="77777777" w:rsidR="00656656" w:rsidRPr="001B1DB1" w:rsidRDefault="00656656" w:rsidP="00656656">
            <w:pPr>
              <w:jc w:val="center"/>
              <w:rPr>
                <w:rFonts w:cs="Times New Roman"/>
                <w:bCs/>
                <w:sz w:val="20"/>
                <w:szCs w:val="20"/>
              </w:rPr>
            </w:pPr>
            <w:r w:rsidRPr="001B1DB1">
              <w:rPr>
                <w:rFonts w:cs="Times New Roman"/>
                <w:bCs/>
                <w:sz w:val="20"/>
                <w:szCs w:val="20"/>
              </w:rPr>
              <w:t>4.3.</w:t>
            </w:r>
          </w:p>
        </w:tc>
        <w:tc>
          <w:tcPr>
            <w:tcW w:w="3686" w:type="dxa"/>
            <w:vMerge w:val="restart"/>
            <w:shd w:val="clear" w:color="auto" w:fill="auto"/>
          </w:tcPr>
          <w:p w14:paraId="6279746B" w14:textId="0DAB8BE6" w:rsidR="00656656" w:rsidRPr="001B1DB1" w:rsidRDefault="00656656" w:rsidP="00656656">
            <w:pPr>
              <w:jc w:val="both"/>
              <w:rPr>
                <w:sz w:val="20"/>
                <w:szCs w:val="20"/>
              </w:rPr>
            </w:pPr>
            <w:r w:rsidRPr="001B1DB1">
              <w:rPr>
                <w:sz w:val="20"/>
                <w:szCs w:val="20"/>
              </w:rPr>
              <w:t xml:space="preserve">Nodrošināt sistēmisku </w:t>
            </w:r>
            <w:r>
              <w:rPr>
                <w:sz w:val="20"/>
                <w:szCs w:val="20"/>
              </w:rPr>
              <w:t>likuma subjektu</w:t>
            </w:r>
            <w:r w:rsidRPr="001B1DB1">
              <w:rPr>
                <w:sz w:val="20"/>
                <w:szCs w:val="20"/>
              </w:rPr>
              <w:t xml:space="preserve"> informēšanu par NILLTPF riskiem un preventīvo pasākumu īstenošanu.</w:t>
            </w:r>
          </w:p>
          <w:p w14:paraId="687409C8" w14:textId="77777777" w:rsidR="00656656" w:rsidRPr="001B1DB1" w:rsidRDefault="00656656" w:rsidP="00656656">
            <w:pPr>
              <w:jc w:val="both"/>
              <w:rPr>
                <w:sz w:val="20"/>
                <w:szCs w:val="20"/>
              </w:rPr>
            </w:pPr>
          </w:p>
          <w:p w14:paraId="46A8207D" w14:textId="77777777" w:rsidR="00656656" w:rsidRPr="001B1DB1" w:rsidRDefault="00656656" w:rsidP="00656656">
            <w:pPr>
              <w:jc w:val="both"/>
              <w:rPr>
                <w:sz w:val="20"/>
                <w:szCs w:val="20"/>
              </w:rPr>
            </w:pPr>
            <w:r w:rsidRPr="001B1DB1">
              <w:rPr>
                <w:sz w:val="20"/>
                <w:szCs w:val="20"/>
              </w:rPr>
              <w:t>Attiecībā uz likuma subjektu risku un NILLTPF novēršanas prasību izpratni, nodrošināt, ka:</w:t>
            </w:r>
          </w:p>
          <w:p w14:paraId="3AF3254A" w14:textId="77777777" w:rsidR="00656656" w:rsidRPr="001B1DB1" w:rsidRDefault="00656656" w:rsidP="00656656">
            <w:pPr>
              <w:jc w:val="both"/>
              <w:rPr>
                <w:sz w:val="20"/>
                <w:szCs w:val="20"/>
              </w:rPr>
            </w:pPr>
            <w:r w:rsidRPr="001B1DB1">
              <w:rPr>
                <w:sz w:val="20"/>
                <w:szCs w:val="20"/>
              </w:rPr>
              <w:t>- likuma subjekti, veicot uzņēmuma risku novērtējumu, ir izveidojuši un piemēro pastāvīgas procedūras un atbilstošu dokumentāciju, kā arī regulāri pārskata šīs procedūras;</w:t>
            </w:r>
          </w:p>
          <w:p w14:paraId="1CEA6579" w14:textId="5F1D1B4C" w:rsidR="00656656" w:rsidRPr="001B1DB1" w:rsidRDefault="00656656" w:rsidP="00656656">
            <w:pPr>
              <w:jc w:val="both"/>
              <w:rPr>
                <w:sz w:val="20"/>
                <w:szCs w:val="20"/>
              </w:rPr>
            </w:pPr>
            <w:r w:rsidRPr="001B1DB1">
              <w:rPr>
                <w:sz w:val="20"/>
                <w:szCs w:val="20"/>
              </w:rPr>
              <w:t>- uzņēmumu veiktajos riska novērtējumos tiek specifiski analizēti arī TF</w:t>
            </w:r>
            <w:r>
              <w:rPr>
                <w:sz w:val="20"/>
                <w:szCs w:val="20"/>
              </w:rPr>
              <w:t xml:space="preserve"> un PF</w:t>
            </w:r>
            <w:r w:rsidRPr="001B1DB1">
              <w:rPr>
                <w:sz w:val="20"/>
                <w:szCs w:val="20"/>
              </w:rPr>
              <w:t xml:space="preserve"> draudi un ievainojamība, kā arī tie atspoguļo faktisko kopējo NILLTPF riska ekspozīciju.</w:t>
            </w:r>
          </w:p>
          <w:p w14:paraId="67438169" w14:textId="77777777" w:rsidR="00656656" w:rsidRPr="001B1DB1" w:rsidRDefault="00656656" w:rsidP="00656656">
            <w:pPr>
              <w:jc w:val="both"/>
              <w:rPr>
                <w:sz w:val="20"/>
                <w:szCs w:val="20"/>
              </w:rPr>
            </w:pPr>
          </w:p>
          <w:p w14:paraId="23C88AAA" w14:textId="326E6F6E" w:rsidR="00656656" w:rsidRPr="001B1DB1" w:rsidRDefault="00656656" w:rsidP="00656656">
            <w:pPr>
              <w:jc w:val="both"/>
              <w:rPr>
                <w:sz w:val="20"/>
                <w:szCs w:val="20"/>
              </w:rPr>
            </w:pPr>
            <w:r w:rsidRPr="001B1DB1">
              <w:rPr>
                <w:sz w:val="20"/>
                <w:szCs w:val="20"/>
              </w:rPr>
              <w:t xml:space="preserve">Nodrošināt, ka likuma subjektu izpratne par TF riskiem neaprobežojas ar </w:t>
            </w:r>
            <w:r>
              <w:rPr>
                <w:sz w:val="20"/>
                <w:szCs w:val="20"/>
              </w:rPr>
              <w:t xml:space="preserve">pārbaudēm </w:t>
            </w:r>
            <w:r w:rsidRPr="001B1DB1">
              <w:rPr>
                <w:sz w:val="20"/>
                <w:szCs w:val="20"/>
              </w:rPr>
              <w:t>teroristu sarakst</w:t>
            </w:r>
            <w:r>
              <w:rPr>
                <w:sz w:val="20"/>
                <w:szCs w:val="20"/>
              </w:rPr>
              <w:t>os</w:t>
            </w:r>
            <w:r w:rsidRPr="001B1DB1">
              <w:rPr>
                <w:sz w:val="20"/>
                <w:szCs w:val="20"/>
              </w:rPr>
              <w:t>;</w:t>
            </w:r>
          </w:p>
          <w:p w14:paraId="5F7C565A" w14:textId="02FC9911" w:rsidR="00656656" w:rsidRPr="001B1DB1" w:rsidRDefault="00656656" w:rsidP="00656656">
            <w:pPr>
              <w:jc w:val="both"/>
              <w:rPr>
                <w:sz w:val="20"/>
                <w:szCs w:val="20"/>
              </w:rPr>
            </w:pPr>
            <w:r w:rsidRPr="001B1DB1">
              <w:rPr>
                <w:sz w:val="20"/>
                <w:szCs w:val="20"/>
              </w:rPr>
              <w:lastRenderedPageBreak/>
              <w:t xml:space="preserve">- visi likuma subjekti ar augstu darījumu aktivitāti nodrošina automatizētus IT risinājumus TF </w:t>
            </w:r>
            <w:r>
              <w:rPr>
                <w:sz w:val="20"/>
                <w:szCs w:val="20"/>
              </w:rPr>
              <w:t xml:space="preserve">un PF </w:t>
            </w:r>
            <w:r w:rsidRPr="001B1DB1">
              <w:rPr>
                <w:sz w:val="20"/>
                <w:szCs w:val="20"/>
              </w:rPr>
              <w:t xml:space="preserve">kontroles nolūkos, savukārt likuma subjekti ar zemu darījumu aktivitāti pastāvīgi lieto manuālus instrumentus TF </w:t>
            </w:r>
            <w:r>
              <w:rPr>
                <w:sz w:val="20"/>
                <w:szCs w:val="20"/>
              </w:rPr>
              <w:t xml:space="preserve"> un PF </w:t>
            </w:r>
            <w:r w:rsidRPr="001B1DB1">
              <w:rPr>
                <w:sz w:val="20"/>
                <w:szCs w:val="20"/>
              </w:rPr>
              <w:t>kontrolei.</w:t>
            </w:r>
          </w:p>
          <w:p w14:paraId="4009962F" w14:textId="77777777" w:rsidR="00656656" w:rsidRPr="001B1DB1" w:rsidRDefault="00656656" w:rsidP="00656656">
            <w:pPr>
              <w:jc w:val="both"/>
              <w:rPr>
                <w:sz w:val="20"/>
                <w:szCs w:val="20"/>
              </w:rPr>
            </w:pPr>
          </w:p>
          <w:p w14:paraId="4AD35A99" w14:textId="77777777" w:rsidR="00656656" w:rsidRPr="001B1DB1" w:rsidRDefault="00656656" w:rsidP="00656656">
            <w:pPr>
              <w:jc w:val="both"/>
              <w:rPr>
                <w:sz w:val="20"/>
                <w:szCs w:val="20"/>
              </w:rPr>
            </w:pPr>
            <w:r w:rsidRPr="001B1DB1">
              <w:rPr>
                <w:sz w:val="20"/>
                <w:szCs w:val="20"/>
              </w:rPr>
              <w:t>Nodrošināt, ka visiem likuma subjektiem:</w:t>
            </w:r>
          </w:p>
          <w:p w14:paraId="29476B09" w14:textId="526B8CA9" w:rsidR="00656656" w:rsidRPr="001B1DB1" w:rsidRDefault="00656656" w:rsidP="00656656">
            <w:pPr>
              <w:jc w:val="both"/>
              <w:rPr>
                <w:sz w:val="20"/>
                <w:szCs w:val="20"/>
              </w:rPr>
            </w:pPr>
            <w:r w:rsidRPr="001B1DB1">
              <w:rPr>
                <w:sz w:val="20"/>
                <w:szCs w:val="20"/>
              </w:rPr>
              <w:t xml:space="preserve">- ir izveidoti galvenie NILLTPF novēršanas IKS </w:t>
            </w:r>
            <w:r>
              <w:rPr>
                <w:sz w:val="20"/>
                <w:szCs w:val="20"/>
              </w:rPr>
              <w:t xml:space="preserve"> (t.sk. ziņošanas par NILLTPF) </w:t>
            </w:r>
            <w:r w:rsidRPr="001B1DB1">
              <w:rPr>
                <w:sz w:val="20"/>
                <w:szCs w:val="20"/>
              </w:rPr>
              <w:t>elementi;</w:t>
            </w:r>
          </w:p>
          <w:p w14:paraId="33E20EBD" w14:textId="77777777" w:rsidR="00656656" w:rsidRPr="001B1DB1" w:rsidRDefault="00656656" w:rsidP="00656656">
            <w:pPr>
              <w:jc w:val="both"/>
              <w:rPr>
                <w:sz w:val="20"/>
                <w:szCs w:val="20"/>
              </w:rPr>
            </w:pPr>
            <w:r w:rsidRPr="001B1DB1">
              <w:rPr>
                <w:sz w:val="20"/>
                <w:szCs w:val="20"/>
              </w:rPr>
              <w:t>- ir ieviestas efektīvas iekšējās kontroles un procedūras;</w:t>
            </w:r>
          </w:p>
          <w:p w14:paraId="025C33AB" w14:textId="77777777" w:rsidR="00656656" w:rsidRPr="001B1DB1" w:rsidRDefault="00656656" w:rsidP="00656656">
            <w:pPr>
              <w:jc w:val="both"/>
              <w:rPr>
                <w:sz w:val="20"/>
                <w:szCs w:val="20"/>
              </w:rPr>
            </w:pPr>
            <w:r w:rsidRPr="001B1DB1">
              <w:rPr>
                <w:sz w:val="20"/>
                <w:szCs w:val="20"/>
              </w:rPr>
              <w:t>- to veikto risku mazinošo pasākumu piemērošanas efektivitāte ir pastiprināta atbilstoši riskam;</w:t>
            </w:r>
          </w:p>
          <w:p w14:paraId="2636D3C8" w14:textId="1F91C280" w:rsidR="00656656" w:rsidRPr="001B1DB1" w:rsidRDefault="00656656" w:rsidP="00656656">
            <w:pPr>
              <w:jc w:val="both"/>
              <w:rPr>
                <w:sz w:val="20"/>
                <w:szCs w:val="20"/>
              </w:rPr>
            </w:pPr>
            <w:r w:rsidRPr="001B1DB1">
              <w:rPr>
                <w:sz w:val="20"/>
                <w:szCs w:val="20"/>
              </w:rPr>
              <w:t xml:space="preserve">- ir ieviestas sistēmas, kas nodrošina </w:t>
            </w:r>
            <w:r>
              <w:rPr>
                <w:rFonts w:cs="Times New Roman"/>
                <w:sz w:val="20"/>
                <w:szCs w:val="20"/>
              </w:rPr>
              <w:t>uz</w:t>
            </w:r>
            <w:r w:rsidRPr="001B1DB1">
              <w:rPr>
                <w:rFonts w:cs="Times New Roman"/>
                <w:sz w:val="20"/>
                <w:szCs w:val="20"/>
              </w:rPr>
              <w:t xml:space="preserve"> risku </w:t>
            </w:r>
            <w:r>
              <w:rPr>
                <w:rFonts w:cs="Times New Roman"/>
                <w:sz w:val="20"/>
                <w:szCs w:val="20"/>
              </w:rPr>
              <w:t>novērtējumu balstītu</w:t>
            </w:r>
            <w:r w:rsidRPr="001B1DB1">
              <w:rPr>
                <w:sz w:val="20"/>
                <w:szCs w:val="20"/>
              </w:rPr>
              <w:t xml:space="preserve"> pieeju klienta izpētes pasākumu veikšanā.</w:t>
            </w:r>
          </w:p>
          <w:p w14:paraId="20675D07" w14:textId="77777777" w:rsidR="00656656" w:rsidRPr="001B1DB1" w:rsidRDefault="00656656" w:rsidP="00656656">
            <w:pPr>
              <w:jc w:val="both"/>
              <w:rPr>
                <w:sz w:val="20"/>
                <w:szCs w:val="20"/>
              </w:rPr>
            </w:pPr>
          </w:p>
          <w:p w14:paraId="386896F5" w14:textId="77777777" w:rsidR="00656656" w:rsidRPr="001B1DB1" w:rsidRDefault="00656656" w:rsidP="00656656">
            <w:pPr>
              <w:jc w:val="both"/>
              <w:rPr>
                <w:sz w:val="20"/>
                <w:szCs w:val="20"/>
              </w:rPr>
            </w:pPr>
            <w:r w:rsidRPr="001B1DB1">
              <w:rPr>
                <w:sz w:val="20"/>
                <w:szCs w:val="20"/>
              </w:rPr>
              <w:t>Uzraudzības procesā veikt regulāras amatpersonu kvalifikācijas un reputācijas, kā arī licencēto likuma subjektu akcionāru reputācijas atbilstības kontroles gan likuma subjekta darbības uzsākšanas brīdī, gan regulāri tā darbības laikā, kā papildus riska identifikatoru nosakot iepriekš konstatētus pārkāpumus NILLTPF novēršanas jomā.</w:t>
            </w:r>
          </w:p>
        </w:tc>
        <w:tc>
          <w:tcPr>
            <w:tcW w:w="1559" w:type="dxa"/>
            <w:vMerge w:val="restart"/>
          </w:tcPr>
          <w:p w14:paraId="3FF4C277" w14:textId="28F23180" w:rsidR="00656656" w:rsidRPr="001B1DB1" w:rsidRDefault="00656656" w:rsidP="00656656">
            <w:pPr>
              <w:jc w:val="both"/>
              <w:rPr>
                <w:sz w:val="20"/>
                <w:szCs w:val="20"/>
              </w:rPr>
            </w:pPr>
            <w:r w:rsidRPr="001B1DB1">
              <w:rPr>
                <w:rFonts w:cs="Times New Roman"/>
                <w:sz w:val="20"/>
                <w:szCs w:val="20"/>
              </w:rPr>
              <w:lastRenderedPageBreak/>
              <w:t xml:space="preserve">MONEYVAL </w:t>
            </w:r>
            <w:r w:rsidRPr="001B1DB1">
              <w:rPr>
                <w:sz w:val="20"/>
                <w:szCs w:val="20"/>
              </w:rPr>
              <w:t>3.4., 4.1, 4.2., 4.3., 4.4., 4.5., 4.7., 4.8., 4.16., 7.3.</w:t>
            </w:r>
            <w:r>
              <w:rPr>
                <w:rFonts w:cs="Times New Roman"/>
                <w:sz w:val="20"/>
                <w:szCs w:val="20"/>
              </w:rPr>
              <w:t xml:space="preserve"> r</w:t>
            </w:r>
            <w:r w:rsidRPr="001B1DB1">
              <w:rPr>
                <w:rFonts w:cs="Times New Roman"/>
                <w:sz w:val="20"/>
                <w:szCs w:val="20"/>
              </w:rPr>
              <w:t>ekomendācija</w:t>
            </w:r>
            <w:r>
              <w:rPr>
                <w:rFonts w:cs="Times New Roman"/>
                <w:sz w:val="20"/>
                <w:szCs w:val="20"/>
              </w:rPr>
              <w:t>;</w:t>
            </w:r>
          </w:p>
          <w:p w14:paraId="2BD5166A" w14:textId="4ED89AEC" w:rsidR="00656656" w:rsidRPr="001B1DB1" w:rsidRDefault="00656656" w:rsidP="00656656">
            <w:pPr>
              <w:jc w:val="both"/>
              <w:rPr>
                <w:rFonts w:cs="Times New Roman"/>
                <w:sz w:val="20"/>
                <w:szCs w:val="20"/>
              </w:rPr>
            </w:pPr>
            <w:r>
              <w:rPr>
                <w:rFonts w:cs="Times New Roman"/>
                <w:sz w:val="20"/>
                <w:szCs w:val="20"/>
              </w:rPr>
              <w:t>s</w:t>
            </w:r>
            <w:r w:rsidRPr="001B1DB1">
              <w:rPr>
                <w:rFonts w:cs="Times New Roman"/>
                <w:sz w:val="20"/>
                <w:szCs w:val="20"/>
              </w:rPr>
              <w:t>ektorālie risku novērtējumi.</w:t>
            </w:r>
          </w:p>
        </w:tc>
        <w:tc>
          <w:tcPr>
            <w:tcW w:w="2551" w:type="dxa"/>
            <w:vMerge w:val="restart"/>
            <w:shd w:val="clear" w:color="auto" w:fill="auto"/>
          </w:tcPr>
          <w:p w14:paraId="28C9A96A" w14:textId="77777777" w:rsidR="00656656" w:rsidRPr="001B1DB1" w:rsidRDefault="00656656" w:rsidP="00656656">
            <w:pPr>
              <w:jc w:val="both"/>
              <w:rPr>
                <w:rFonts w:cs="Times New Roman"/>
                <w:sz w:val="20"/>
                <w:szCs w:val="20"/>
              </w:rPr>
            </w:pPr>
            <w:r w:rsidRPr="001B1DB1">
              <w:rPr>
                <w:sz w:val="20"/>
                <w:szCs w:val="20"/>
              </w:rPr>
              <w:t xml:space="preserve">1. Atbilstoši sektoru risku novērtējumam, kā arī </w:t>
            </w:r>
            <w:r w:rsidRPr="001B1DB1">
              <w:rPr>
                <w:rFonts w:cs="Times New Roman"/>
                <w:sz w:val="20"/>
                <w:szCs w:val="20"/>
              </w:rPr>
              <w:t xml:space="preserve">MONEYVAL </w:t>
            </w:r>
            <w:r w:rsidRPr="001B1DB1">
              <w:rPr>
                <w:sz w:val="20"/>
                <w:szCs w:val="20"/>
              </w:rPr>
              <w:t>rekomendācijās identificētajām nepilnībām aktualizēti normatīvie noteikumi un vadlīnijas likuma subjektiem.</w:t>
            </w:r>
          </w:p>
        </w:tc>
        <w:tc>
          <w:tcPr>
            <w:tcW w:w="2694" w:type="dxa"/>
          </w:tcPr>
          <w:p w14:paraId="5B75173B" w14:textId="58EEB89A" w:rsidR="00656656" w:rsidRPr="001B1DB1" w:rsidRDefault="00656656" w:rsidP="00656656">
            <w:pPr>
              <w:jc w:val="both"/>
              <w:rPr>
                <w:rFonts w:cs="Times New Roman"/>
                <w:sz w:val="20"/>
                <w:szCs w:val="20"/>
              </w:rPr>
            </w:pPr>
            <w:r w:rsidRPr="001B1DB1">
              <w:rPr>
                <w:sz w:val="20"/>
                <w:szCs w:val="20"/>
              </w:rPr>
              <w:t>1. </w:t>
            </w:r>
            <w:r>
              <w:rPr>
                <w:sz w:val="20"/>
                <w:szCs w:val="20"/>
              </w:rPr>
              <w:t>Pēc nepieciešamības a</w:t>
            </w:r>
            <w:r w:rsidRPr="001B1DB1">
              <w:rPr>
                <w:sz w:val="20"/>
                <w:szCs w:val="20"/>
              </w:rPr>
              <w:t>ktualizētas vadlīnijas</w:t>
            </w:r>
            <w:r w:rsidRPr="001B1DB1">
              <w:t xml:space="preserve"> </w:t>
            </w:r>
            <w:r w:rsidRPr="001B1DB1">
              <w:rPr>
                <w:sz w:val="20"/>
                <w:szCs w:val="20"/>
              </w:rPr>
              <w:t>likuma subjektiem, pamatojoties uz klātienes un neklātienes pārbaudēs konstatētajiem faktiem un būtiskākajām neatbilstībām.</w:t>
            </w:r>
          </w:p>
        </w:tc>
        <w:tc>
          <w:tcPr>
            <w:tcW w:w="1134" w:type="dxa"/>
            <w:shd w:val="clear" w:color="auto" w:fill="auto"/>
          </w:tcPr>
          <w:p w14:paraId="36091677" w14:textId="298A3B44" w:rsidR="00656656" w:rsidRPr="001B1DB1" w:rsidRDefault="00656656" w:rsidP="00656656">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15AF9984" w14:textId="77777777" w:rsidR="00656656" w:rsidRPr="001B1DB1" w:rsidRDefault="00656656" w:rsidP="00656656">
            <w:pPr>
              <w:jc w:val="center"/>
              <w:rPr>
                <w:sz w:val="20"/>
                <w:szCs w:val="20"/>
              </w:rPr>
            </w:pPr>
          </w:p>
        </w:tc>
        <w:tc>
          <w:tcPr>
            <w:tcW w:w="1418" w:type="dxa"/>
            <w:shd w:val="clear" w:color="auto" w:fill="auto"/>
          </w:tcPr>
          <w:p w14:paraId="0CA11EF8" w14:textId="77777777" w:rsidR="00656656" w:rsidRPr="001B1DB1" w:rsidRDefault="00656656" w:rsidP="00656656">
            <w:pPr>
              <w:jc w:val="center"/>
              <w:rPr>
                <w:rFonts w:cs="Times New Roman"/>
                <w:bCs/>
                <w:sz w:val="20"/>
                <w:szCs w:val="20"/>
              </w:rPr>
            </w:pPr>
            <w:r w:rsidRPr="001B1DB1">
              <w:rPr>
                <w:sz w:val="20"/>
                <w:szCs w:val="20"/>
              </w:rPr>
              <w:t>31.01.2022.</w:t>
            </w:r>
          </w:p>
        </w:tc>
      </w:tr>
      <w:tr w:rsidR="00656656" w:rsidRPr="001B1DB1" w14:paraId="0584E526" w14:textId="77777777" w:rsidTr="00BC0AF7">
        <w:trPr>
          <w:trHeight w:val="543"/>
        </w:trPr>
        <w:tc>
          <w:tcPr>
            <w:tcW w:w="709" w:type="dxa"/>
            <w:vMerge/>
          </w:tcPr>
          <w:p w14:paraId="22D9E808" w14:textId="77777777" w:rsidR="00656656" w:rsidRPr="001B1DB1" w:rsidRDefault="00656656" w:rsidP="00656656">
            <w:pPr>
              <w:jc w:val="center"/>
              <w:rPr>
                <w:rFonts w:cs="Times New Roman"/>
                <w:bCs/>
                <w:sz w:val="20"/>
                <w:szCs w:val="20"/>
              </w:rPr>
            </w:pPr>
          </w:p>
        </w:tc>
        <w:tc>
          <w:tcPr>
            <w:tcW w:w="3686" w:type="dxa"/>
            <w:vMerge/>
            <w:shd w:val="clear" w:color="auto" w:fill="auto"/>
          </w:tcPr>
          <w:p w14:paraId="1CA74516" w14:textId="77777777" w:rsidR="00656656" w:rsidRPr="001B1DB1" w:rsidRDefault="00656656" w:rsidP="00656656">
            <w:pPr>
              <w:jc w:val="both"/>
              <w:rPr>
                <w:sz w:val="20"/>
                <w:szCs w:val="20"/>
              </w:rPr>
            </w:pPr>
          </w:p>
        </w:tc>
        <w:tc>
          <w:tcPr>
            <w:tcW w:w="1559" w:type="dxa"/>
            <w:vMerge/>
          </w:tcPr>
          <w:p w14:paraId="58123016" w14:textId="77777777" w:rsidR="00656656" w:rsidRPr="001B1DB1" w:rsidRDefault="00656656" w:rsidP="00656656">
            <w:pPr>
              <w:rPr>
                <w:rFonts w:cs="Times New Roman"/>
                <w:sz w:val="20"/>
                <w:szCs w:val="20"/>
              </w:rPr>
            </w:pPr>
          </w:p>
        </w:tc>
        <w:tc>
          <w:tcPr>
            <w:tcW w:w="2551" w:type="dxa"/>
            <w:vMerge/>
            <w:shd w:val="clear" w:color="auto" w:fill="auto"/>
          </w:tcPr>
          <w:p w14:paraId="4CCBA6B1" w14:textId="77777777" w:rsidR="00656656" w:rsidRPr="001B1DB1" w:rsidRDefault="00656656" w:rsidP="00656656">
            <w:pPr>
              <w:rPr>
                <w:rFonts w:cs="Times New Roman"/>
                <w:sz w:val="20"/>
                <w:szCs w:val="20"/>
              </w:rPr>
            </w:pPr>
          </w:p>
        </w:tc>
        <w:tc>
          <w:tcPr>
            <w:tcW w:w="2694" w:type="dxa"/>
          </w:tcPr>
          <w:p w14:paraId="3BC6A0F4" w14:textId="77777777" w:rsidR="00656656" w:rsidRPr="001B1DB1" w:rsidRDefault="00656656" w:rsidP="00656656">
            <w:pPr>
              <w:jc w:val="both"/>
              <w:rPr>
                <w:rFonts w:cs="Times New Roman"/>
                <w:sz w:val="20"/>
                <w:szCs w:val="20"/>
              </w:rPr>
            </w:pPr>
            <w:r w:rsidRPr="001B1DB1">
              <w:rPr>
                <w:sz w:val="20"/>
                <w:szCs w:val="20"/>
              </w:rPr>
              <w:t>2. Pilnveidots UKI normatīvais regulējums sankciju un korektīvo pasākumu noteikšanai par konstatētajiem trūkumiem NILLTPF novēršanas jomā, tostarp paredzot skaidrus nosacījumus ierobežojumu noteikšanai attiecībā uz tiem risku faktoriem, uz kuriem likuma subjekti nenodrošina pietiekamu pārvaldību.</w:t>
            </w:r>
          </w:p>
        </w:tc>
        <w:tc>
          <w:tcPr>
            <w:tcW w:w="1134" w:type="dxa"/>
            <w:shd w:val="clear" w:color="auto" w:fill="auto"/>
          </w:tcPr>
          <w:p w14:paraId="4E198383" w14:textId="0CC969F8" w:rsidR="00656656" w:rsidRPr="001B1DB1" w:rsidRDefault="00656656" w:rsidP="00656656">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43D70E62" w14:textId="77777777" w:rsidR="00656656" w:rsidRPr="001B1DB1" w:rsidRDefault="00656656" w:rsidP="00656656">
            <w:pPr>
              <w:jc w:val="center"/>
              <w:rPr>
                <w:sz w:val="20"/>
                <w:szCs w:val="20"/>
              </w:rPr>
            </w:pPr>
          </w:p>
        </w:tc>
        <w:tc>
          <w:tcPr>
            <w:tcW w:w="1418" w:type="dxa"/>
            <w:shd w:val="clear" w:color="auto" w:fill="auto"/>
          </w:tcPr>
          <w:p w14:paraId="2C4F9E9E" w14:textId="77777777" w:rsidR="00656656" w:rsidRPr="001B1DB1" w:rsidRDefault="00656656" w:rsidP="00656656">
            <w:pPr>
              <w:jc w:val="center"/>
              <w:rPr>
                <w:rFonts w:cs="Times New Roman"/>
                <w:bCs/>
                <w:sz w:val="20"/>
                <w:szCs w:val="20"/>
              </w:rPr>
            </w:pPr>
            <w:r>
              <w:rPr>
                <w:sz w:val="20"/>
                <w:szCs w:val="20"/>
              </w:rPr>
              <w:t>P</w:t>
            </w:r>
            <w:r w:rsidRPr="001B1DB1">
              <w:rPr>
                <w:sz w:val="20"/>
                <w:szCs w:val="20"/>
              </w:rPr>
              <w:t>astāvīgi</w:t>
            </w:r>
          </w:p>
        </w:tc>
      </w:tr>
      <w:tr w:rsidR="00656656" w:rsidRPr="001B1DB1" w14:paraId="3E42C65C" w14:textId="77777777" w:rsidTr="00BC0AF7">
        <w:trPr>
          <w:trHeight w:val="543"/>
        </w:trPr>
        <w:tc>
          <w:tcPr>
            <w:tcW w:w="709" w:type="dxa"/>
            <w:vMerge/>
          </w:tcPr>
          <w:p w14:paraId="56579CCC" w14:textId="77777777" w:rsidR="00656656" w:rsidRPr="001B1DB1" w:rsidRDefault="00656656" w:rsidP="00656656">
            <w:pPr>
              <w:jc w:val="center"/>
              <w:rPr>
                <w:rFonts w:cs="Times New Roman"/>
                <w:bCs/>
                <w:sz w:val="20"/>
                <w:szCs w:val="20"/>
              </w:rPr>
            </w:pPr>
          </w:p>
        </w:tc>
        <w:tc>
          <w:tcPr>
            <w:tcW w:w="3686" w:type="dxa"/>
            <w:vMerge/>
            <w:shd w:val="clear" w:color="auto" w:fill="auto"/>
          </w:tcPr>
          <w:p w14:paraId="7A272E93" w14:textId="77777777" w:rsidR="00656656" w:rsidRPr="001B1DB1" w:rsidRDefault="00656656" w:rsidP="00656656">
            <w:pPr>
              <w:jc w:val="both"/>
              <w:rPr>
                <w:sz w:val="20"/>
                <w:szCs w:val="20"/>
              </w:rPr>
            </w:pPr>
          </w:p>
        </w:tc>
        <w:tc>
          <w:tcPr>
            <w:tcW w:w="1559" w:type="dxa"/>
            <w:vMerge/>
          </w:tcPr>
          <w:p w14:paraId="4C32AFE4" w14:textId="77777777" w:rsidR="00656656" w:rsidRPr="001B1DB1" w:rsidRDefault="00656656" w:rsidP="00656656">
            <w:pPr>
              <w:rPr>
                <w:rFonts w:cs="Times New Roman"/>
                <w:sz w:val="20"/>
                <w:szCs w:val="20"/>
              </w:rPr>
            </w:pPr>
          </w:p>
        </w:tc>
        <w:tc>
          <w:tcPr>
            <w:tcW w:w="2551" w:type="dxa"/>
            <w:shd w:val="clear" w:color="auto" w:fill="auto"/>
          </w:tcPr>
          <w:p w14:paraId="4F92ACA5" w14:textId="7AAD2EC3" w:rsidR="00656656" w:rsidRPr="001B1DB1" w:rsidRDefault="00656656" w:rsidP="00656656">
            <w:pPr>
              <w:jc w:val="both"/>
              <w:rPr>
                <w:rFonts w:cs="Times New Roman"/>
                <w:sz w:val="20"/>
                <w:szCs w:val="20"/>
              </w:rPr>
            </w:pPr>
            <w:r w:rsidRPr="001B1DB1">
              <w:rPr>
                <w:sz w:val="20"/>
                <w:szCs w:val="20"/>
              </w:rPr>
              <w:t>2. UKI veikt</w:t>
            </w:r>
            <w:r>
              <w:rPr>
                <w:sz w:val="20"/>
                <w:szCs w:val="20"/>
              </w:rPr>
              <w:t>as</w:t>
            </w:r>
            <w:r w:rsidRPr="001B1DB1">
              <w:rPr>
                <w:sz w:val="20"/>
                <w:szCs w:val="20"/>
              </w:rPr>
              <w:t xml:space="preserve"> regulāras apmācības un sniegt</w:t>
            </w:r>
            <w:r>
              <w:rPr>
                <w:sz w:val="20"/>
                <w:szCs w:val="20"/>
              </w:rPr>
              <w:t>as</w:t>
            </w:r>
            <w:r w:rsidRPr="001B1DB1">
              <w:rPr>
                <w:sz w:val="20"/>
                <w:szCs w:val="20"/>
              </w:rPr>
              <w:t xml:space="preserve"> konsultācijas likuma subjektiem. Īstenot</w:t>
            </w:r>
            <w:r>
              <w:rPr>
                <w:sz w:val="20"/>
                <w:szCs w:val="20"/>
              </w:rPr>
              <w:t>as</w:t>
            </w:r>
            <w:r w:rsidRPr="001B1DB1">
              <w:rPr>
                <w:sz w:val="20"/>
                <w:szCs w:val="20"/>
              </w:rPr>
              <w:t xml:space="preserve"> informatīvas kampaņas, kas vērstas uz likuma subjektu izglītošanu. Organizēt</w:t>
            </w:r>
            <w:r>
              <w:rPr>
                <w:sz w:val="20"/>
                <w:szCs w:val="20"/>
              </w:rPr>
              <w:t>as</w:t>
            </w:r>
            <w:r w:rsidRPr="001B1DB1">
              <w:rPr>
                <w:sz w:val="20"/>
                <w:szCs w:val="20"/>
              </w:rPr>
              <w:t xml:space="preserve"> mācības vai seminār</w:t>
            </w:r>
            <w:r>
              <w:rPr>
                <w:sz w:val="20"/>
                <w:szCs w:val="20"/>
              </w:rPr>
              <w:t>i</w:t>
            </w:r>
            <w:r w:rsidRPr="001B1DB1">
              <w:rPr>
                <w:sz w:val="20"/>
                <w:szCs w:val="20"/>
              </w:rPr>
              <w:t xml:space="preserve"> par klātienes un neklātienes pārbaudēs konstatētajiem faktiem un būtiskākajām neatbilstībām, veicinot likuma subjektu izpratni.</w:t>
            </w:r>
            <w:r>
              <w:rPr>
                <w:sz w:val="20"/>
                <w:szCs w:val="20"/>
              </w:rPr>
              <w:t xml:space="preserve"> </w:t>
            </w:r>
          </w:p>
          <w:p w14:paraId="48F62895" w14:textId="77777777" w:rsidR="00656656" w:rsidRPr="001B1DB1" w:rsidRDefault="00656656" w:rsidP="00656656">
            <w:pPr>
              <w:rPr>
                <w:rFonts w:cs="Times New Roman"/>
                <w:sz w:val="20"/>
                <w:szCs w:val="20"/>
              </w:rPr>
            </w:pPr>
          </w:p>
        </w:tc>
        <w:tc>
          <w:tcPr>
            <w:tcW w:w="2694" w:type="dxa"/>
          </w:tcPr>
          <w:p w14:paraId="267FB286" w14:textId="4CDB9F31" w:rsidR="00656656" w:rsidRPr="001B1DB1" w:rsidRDefault="00656656" w:rsidP="00656656">
            <w:pPr>
              <w:jc w:val="both"/>
              <w:rPr>
                <w:sz w:val="20"/>
                <w:szCs w:val="20"/>
              </w:rPr>
            </w:pPr>
            <w:r w:rsidRPr="001B1DB1">
              <w:rPr>
                <w:sz w:val="20"/>
                <w:szCs w:val="20"/>
              </w:rPr>
              <w:t xml:space="preserve">2020.gadā organizētas </w:t>
            </w:r>
            <w:r>
              <w:rPr>
                <w:sz w:val="20"/>
                <w:szCs w:val="20"/>
              </w:rPr>
              <w:t>43</w:t>
            </w:r>
            <w:r w:rsidRPr="001B1DB1">
              <w:rPr>
                <w:sz w:val="20"/>
                <w:szCs w:val="20"/>
              </w:rPr>
              <w:t xml:space="preserve"> apmācības vai semināri, apmācītas </w:t>
            </w:r>
            <w:r>
              <w:rPr>
                <w:sz w:val="20"/>
                <w:szCs w:val="20"/>
              </w:rPr>
              <w:t>4505</w:t>
            </w:r>
            <w:r w:rsidRPr="001B1DB1">
              <w:rPr>
                <w:sz w:val="20"/>
                <w:szCs w:val="20"/>
              </w:rPr>
              <w:t xml:space="preserve"> personas;</w:t>
            </w:r>
          </w:p>
          <w:p w14:paraId="0BF082B8" w14:textId="77777777" w:rsidR="00656656" w:rsidRPr="001B1DB1" w:rsidRDefault="00656656" w:rsidP="00656656">
            <w:pPr>
              <w:jc w:val="both"/>
              <w:rPr>
                <w:sz w:val="20"/>
                <w:szCs w:val="20"/>
              </w:rPr>
            </w:pPr>
            <w:r w:rsidRPr="001B1DB1">
              <w:rPr>
                <w:sz w:val="20"/>
                <w:szCs w:val="20"/>
              </w:rPr>
              <w:t>2021.gadā organizētas 51 apmācības vai semināri, apmācītas 5205 personas;</w:t>
            </w:r>
          </w:p>
          <w:p w14:paraId="24D37DA0" w14:textId="77777777" w:rsidR="00656656" w:rsidRPr="001B1DB1" w:rsidRDefault="00656656" w:rsidP="00656656">
            <w:pPr>
              <w:jc w:val="both"/>
              <w:rPr>
                <w:rFonts w:cs="Times New Roman"/>
                <w:sz w:val="20"/>
                <w:szCs w:val="20"/>
              </w:rPr>
            </w:pPr>
            <w:r w:rsidRPr="001B1DB1">
              <w:rPr>
                <w:sz w:val="20"/>
                <w:szCs w:val="20"/>
              </w:rPr>
              <w:t>2022.gadā organizētas 51 apmācības vai semināri, apmācītas 5205 personas.</w:t>
            </w:r>
          </w:p>
        </w:tc>
        <w:tc>
          <w:tcPr>
            <w:tcW w:w="1134" w:type="dxa"/>
            <w:shd w:val="clear" w:color="auto" w:fill="auto"/>
          </w:tcPr>
          <w:p w14:paraId="6087201D" w14:textId="39EDFD45" w:rsidR="00656656" w:rsidRPr="001B1DB1" w:rsidRDefault="00656656" w:rsidP="00656656">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3AE7F332" w14:textId="77777777" w:rsidR="00656656" w:rsidRPr="001B1DB1" w:rsidRDefault="00656656" w:rsidP="00656656">
            <w:pPr>
              <w:jc w:val="center"/>
              <w:rPr>
                <w:sz w:val="20"/>
                <w:szCs w:val="20"/>
              </w:rPr>
            </w:pPr>
            <w:r w:rsidRPr="001B1DB1">
              <w:rPr>
                <w:sz w:val="20"/>
                <w:szCs w:val="20"/>
              </w:rPr>
              <w:t>FID,</w:t>
            </w:r>
            <w:r w:rsidRPr="001B1DB1">
              <w:t xml:space="preserve"> </w:t>
            </w:r>
            <w:r w:rsidRPr="001B1DB1">
              <w:rPr>
                <w:sz w:val="20"/>
                <w:szCs w:val="20"/>
              </w:rPr>
              <w:t>VP</w:t>
            </w:r>
            <w:r>
              <w:rPr>
                <w:sz w:val="20"/>
                <w:szCs w:val="20"/>
              </w:rPr>
              <w:t>, VDD</w:t>
            </w:r>
          </w:p>
        </w:tc>
        <w:tc>
          <w:tcPr>
            <w:tcW w:w="1418" w:type="dxa"/>
            <w:shd w:val="clear" w:color="auto" w:fill="auto"/>
          </w:tcPr>
          <w:p w14:paraId="6F6985E6"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395C8029" w14:textId="77777777" w:rsidTr="00C842AB">
        <w:trPr>
          <w:trHeight w:val="416"/>
        </w:trPr>
        <w:tc>
          <w:tcPr>
            <w:tcW w:w="709" w:type="dxa"/>
          </w:tcPr>
          <w:p w14:paraId="7B5E6698" w14:textId="77777777" w:rsidR="00656656" w:rsidRPr="001B1DB1" w:rsidRDefault="00656656" w:rsidP="00656656">
            <w:pPr>
              <w:jc w:val="center"/>
              <w:rPr>
                <w:rFonts w:cs="Times New Roman"/>
                <w:bCs/>
                <w:sz w:val="20"/>
                <w:szCs w:val="20"/>
              </w:rPr>
            </w:pPr>
            <w:r w:rsidRPr="001B1DB1">
              <w:rPr>
                <w:rFonts w:cs="Times New Roman"/>
                <w:bCs/>
                <w:sz w:val="20"/>
                <w:szCs w:val="20"/>
              </w:rPr>
              <w:t>4.4.</w:t>
            </w:r>
          </w:p>
        </w:tc>
        <w:tc>
          <w:tcPr>
            <w:tcW w:w="3686" w:type="dxa"/>
            <w:shd w:val="clear" w:color="auto" w:fill="auto"/>
          </w:tcPr>
          <w:p w14:paraId="6F92DAD0" w14:textId="77777777" w:rsidR="00656656" w:rsidRPr="001B1DB1" w:rsidRDefault="00656656" w:rsidP="00656656">
            <w:pPr>
              <w:jc w:val="both"/>
              <w:rPr>
                <w:sz w:val="20"/>
                <w:szCs w:val="20"/>
              </w:rPr>
            </w:pPr>
            <w:r w:rsidRPr="001B1DB1">
              <w:rPr>
                <w:sz w:val="20"/>
                <w:szCs w:val="20"/>
              </w:rPr>
              <w:t>Nodrošināt likuma subjektiem sistematizētu komunikāciju attiecībā uz valstīm, kurām, balstoties uz FATF, jāpiemēro klientu padziļinātā izpēte.</w:t>
            </w:r>
          </w:p>
        </w:tc>
        <w:tc>
          <w:tcPr>
            <w:tcW w:w="1559" w:type="dxa"/>
          </w:tcPr>
          <w:p w14:paraId="6FE158AB" w14:textId="2C42A3D7" w:rsidR="00656656" w:rsidRPr="001B1DB1" w:rsidRDefault="00656656" w:rsidP="00656656">
            <w:pPr>
              <w:rPr>
                <w:rFonts w:cs="Times New Roman"/>
                <w:sz w:val="20"/>
                <w:szCs w:val="20"/>
              </w:rPr>
            </w:pPr>
            <w:r w:rsidRPr="001B1DB1">
              <w:rPr>
                <w:rFonts w:cs="Times New Roman"/>
                <w:sz w:val="20"/>
                <w:szCs w:val="20"/>
              </w:rPr>
              <w:t xml:space="preserve">MONEYVAL </w:t>
            </w:r>
            <w:r w:rsidRPr="001B1DB1">
              <w:rPr>
                <w:sz w:val="20"/>
                <w:szCs w:val="20"/>
              </w:rPr>
              <w:t>4.9.</w:t>
            </w:r>
            <w:r>
              <w:rPr>
                <w:rFonts w:cs="Times New Roman"/>
                <w:sz w:val="20"/>
                <w:szCs w:val="20"/>
              </w:rPr>
              <w:t xml:space="preserve"> r</w:t>
            </w:r>
            <w:r w:rsidRPr="001B1DB1">
              <w:rPr>
                <w:rFonts w:cs="Times New Roman"/>
                <w:sz w:val="20"/>
                <w:szCs w:val="20"/>
              </w:rPr>
              <w:t>ekomendācija</w:t>
            </w:r>
            <w:r>
              <w:rPr>
                <w:rFonts w:cs="Times New Roman"/>
                <w:sz w:val="20"/>
                <w:szCs w:val="20"/>
              </w:rPr>
              <w:t>.</w:t>
            </w:r>
          </w:p>
        </w:tc>
        <w:tc>
          <w:tcPr>
            <w:tcW w:w="2551" w:type="dxa"/>
            <w:shd w:val="clear" w:color="auto" w:fill="auto"/>
          </w:tcPr>
          <w:p w14:paraId="331382BF" w14:textId="4AD476FC" w:rsidR="00656656" w:rsidRPr="001B1DB1" w:rsidRDefault="00656656" w:rsidP="00656656">
            <w:pPr>
              <w:jc w:val="both"/>
              <w:rPr>
                <w:rFonts w:cs="Times New Roman"/>
                <w:sz w:val="20"/>
                <w:szCs w:val="20"/>
              </w:rPr>
            </w:pPr>
            <w:r w:rsidRPr="001B1DB1">
              <w:rPr>
                <w:sz w:val="20"/>
                <w:szCs w:val="20"/>
              </w:rPr>
              <w:t>Sarakst</w:t>
            </w:r>
            <w:r>
              <w:rPr>
                <w:sz w:val="20"/>
                <w:szCs w:val="20"/>
              </w:rPr>
              <w:t>s</w:t>
            </w:r>
            <w:r w:rsidRPr="001B1DB1">
              <w:rPr>
                <w:sz w:val="20"/>
                <w:szCs w:val="20"/>
              </w:rPr>
              <w:t xml:space="preserve"> aktualizē</w:t>
            </w:r>
            <w:r>
              <w:rPr>
                <w:sz w:val="20"/>
                <w:szCs w:val="20"/>
              </w:rPr>
              <w:t>ts</w:t>
            </w:r>
            <w:r w:rsidRPr="001B1DB1">
              <w:rPr>
                <w:sz w:val="20"/>
                <w:szCs w:val="20"/>
              </w:rPr>
              <w:t xml:space="preserve"> un likuma subjekt</w:t>
            </w:r>
            <w:r>
              <w:rPr>
                <w:sz w:val="20"/>
                <w:szCs w:val="20"/>
              </w:rPr>
              <w:t>i</w:t>
            </w:r>
            <w:r w:rsidRPr="001B1DB1">
              <w:rPr>
                <w:sz w:val="20"/>
                <w:szCs w:val="20"/>
              </w:rPr>
              <w:t xml:space="preserve"> informē</w:t>
            </w:r>
            <w:r>
              <w:rPr>
                <w:sz w:val="20"/>
                <w:szCs w:val="20"/>
              </w:rPr>
              <w:t>ti</w:t>
            </w:r>
            <w:r w:rsidRPr="001B1DB1">
              <w:rPr>
                <w:sz w:val="20"/>
                <w:szCs w:val="20"/>
              </w:rPr>
              <w:t xml:space="preserve"> par veiktajām izmaiņām.</w:t>
            </w:r>
          </w:p>
        </w:tc>
        <w:tc>
          <w:tcPr>
            <w:tcW w:w="2694" w:type="dxa"/>
          </w:tcPr>
          <w:p w14:paraId="0E8B9F26" w14:textId="328FFBEB" w:rsidR="00656656" w:rsidRPr="001B1DB1" w:rsidRDefault="00656656" w:rsidP="00656656">
            <w:pPr>
              <w:jc w:val="both"/>
              <w:rPr>
                <w:rFonts w:cs="Times New Roman"/>
                <w:sz w:val="20"/>
                <w:szCs w:val="20"/>
              </w:rPr>
            </w:pPr>
            <w:r w:rsidRPr="001B1DB1">
              <w:rPr>
                <w:sz w:val="20"/>
                <w:szCs w:val="20"/>
              </w:rPr>
              <w:t>Augsta riska valstu saraksts tiek regulāri publicēts FID un UKI tīmekļa vietnēs un likuma subjekti informēti par tā piemērošanu.</w:t>
            </w:r>
          </w:p>
        </w:tc>
        <w:tc>
          <w:tcPr>
            <w:tcW w:w="1134" w:type="dxa"/>
            <w:shd w:val="clear" w:color="auto" w:fill="auto"/>
          </w:tcPr>
          <w:p w14:paraId="1D652C67" w14:textId="0EA4D3BF" w:rsidR="00656656" w:rsidRPr="001B1DB1" w:rsidRDefault="00656656" w:rsidP="00656656">
            <w:pPr>
              <w:jc w:val="center"/>
              <w:rPr>
                <w:sz w:val="20"/>
                <w:szCs w:val="20"/>
              </w:rPr>
            </w:pPr>
            <w:r w:rsidRPr="001B1DB1">
              <w:rPr>
                <w:sz w:val="20"/>
                <w:szCs w:val="20"/>
              </w:rPr>
              <w:t>FID</w:t>
            </w:r>
            <w:r>
              <w:rPr>
                <w:sz w:val="20"/>
                <w:szCs w:val="20"/>
              </w:rPr>
              <w:t xml:space="preserve">, </w:t>
            </w:r>
            <w:r w:rsidRPr="001B1DB1">
              <w:rPr>
                <w:sz w:val="20"/>
                <w:szCs w:val="20"/>
              </w:rPr>
              <w:t>FKTK, VID, LB, IAUI, LZAP, LZNP, LZRA, NKMP, PTAC</w:t>
            </w:r>
            <w:r>
              <w:rPr>
                <w:sz w:val="20"/>
                <w:szCs w:val="20"/>
              </w:rPr>
              <w:t xml:space="preserve">, </w:t>
            </w:r>
            <w:r>
              <w:rPr>
                <w:sz w:val="20"/>
                <w:szCs w:val="20"/>
              </w:rPr>
              <w:lastRenderedPageBreak/>
              <w:t>LSMPAA</w:t>
            </w:r>
            <w:r w:rsidR="00171A05">
              <w:rPr>
                <w:sz w:val="20"/>
                <w:szCs w:val="20"/>
              </w:rPr>
              <w:t xml:space="preserve">, </w:t>
            </w:r>
            <w:r w:rsidR="00171A05">
              <w:rPr>
                <w:rFonts w:cs="Times New Roman"/>
                <w:sz w:val="20"/>
                <w:szCs w:val="20"/>
              </w:rPr>
              <w:t>MKD</w:t>
            </w:r>
          </w:p>
        </w:tc>
        <w:tc>
          <w:tcPr>
            <w:tcW w:w="1275" w:type="dxa"/>
            <w:shd w:val="clear" w:color="auto" w:fill="auto"/>
          </w:tcPr>
          <w:p w14:paraId="4D653CB7" w14:textId="43A1E237" w:rsidR="00656656" w:rsidRPr="001B1DB1" w:rsidRDefault="00656656" w:rsidP="00656656">
            <w:pPr>
              <w:jc w:val="center"/>
              <w:rPr>
                <w:sz w:val="20"/>
                <w:szCs w:val="20"/>
              </w:rPr>
            </w:pPr>
          </w:p>
        </w:tc>
        <w:tc>
          <w:tcPr>
            <w:tcW w:w="1418" w:type="dxa"/>
            <w:shd w:val="clear" w:color="auto" w:fill="auto"/>
          </w:tcPr>
          <w:p w14:paraId="3FD71564" w14:textId="334B41B6" w:rsidR="00656656" w:rsidRPr="001B1DB1" w:rsidRDefault="00656656" w:rsidP="00656656">
            <w:pPr>
              <w:jc w:val="center"/>
              <w:rPr>
                <w:rFonts w:cs="Times New Roman"/>
                <w:bCs/>
                <w:sz w:val="20"/>
                <w:szCs w:val="20"/>
              </w:rPr>
            </w:pPr>
            <w:r>
              <w:rPr>
                <w:sz w:val="20"/>
                <w:szCs w:val="20"/>
              </w:rPr>
              <w:t>P</w:t>
            </w:r>
            <w:r w:rsidRPr="001B1DB1">
              <w:rPr>
                <w:sz w:val="20"/>
                <w:szCs w:val="20"/>
              </w:rPr>
              <w:t>astāvīgi</w:t>
            </w:r>
          </w:p>
        </w:tc>
      </w:tr>
      <w:tr w:rsidR="00656656" w:rsidRPr="001B1DB1" w14:paraId="56F865F7" w14:textId="77777777" w:rsidTr="0057384E">
        <w:trPr>
          <w:trHeight w:val="543"/>
        </w:trPr>
        <w:tc>
          <w:tcPr>
            <w:tcW w:w="709" w:type="dxa"/>
          </w:tcPr>
          <w:p w14:paraId="2CAD6EC6" w14:textId="77777777" w:rsidR="00656656" w:rsidRPr="001B1DB1" w:rsidRDefault="00656656" w:rsidP="00656656">
            <w:pPr>
              <w:jc w:val="center"/>
              <w:rPr>
                <w:rFonts w:cs="Times New Roman"/>
                <w:bCs/>
                <w:sz w:val="20"/>
                <w:szCs w:val="20"/>
              </w:rPr>
            </w:pPr>
            <w:r w:rsidRPr="001B1DB1">
              <w:rPr>
                <w:rFonts w:cs="Times New Roman"/>
                <w:bCs/>
                <w:sz w:val="20"/>
                <w:szCs w:val="20"/>
              </w:rPr>
              <w:t>4.5.</w:t>
            </w:r>
          </w:p>
        </w:tc>
        <w:tc>
          <w:tcPr>
            <w:tcW w:w="3686" w:type="dxa"/>
            <w:shd w:val="clear" w:color="auto" w:fill="auto"/>
          </w:tcPr>
          <w:p w14:paraId="147F7F85" w14:textId="77777777" w:rsidR="00656656" w:rsidRPr="001B1DB1" w:rsidRDefault="00656656" w:rsidP="00656656">
            <w:pPr>
              <w:jc w:val="both"/>
              <w:rPr>
                <w:sz w:val="20"/>
                <w:szCs w:val="20"/>
              </w:rPr>
            </w:pPr>
            <w:r w:rsidRPr="001B1DB1">
              <w:rPr>
                <w:sz w:val="20"/>
                <w:szCs w:val="20"/>
              </w:rPr>
              <w:t>Definēt indikatorus un “sarkanos karogus” aizdomīgiem darījumiem, gan vispārīgus, kas piemērojami visiem likuma subjektiem, gan nozarēm specifiskus.</w:t>
            </w:r>
          </w:p>
          <w:p w14:paraId="7A4BBFC5" w14:textId="5AA82CAE" w:rsidR="00656656" w:rsidRPr="001B1DB1" w:rsidRDefault="00656656" w:rsidP="00656656">
            <w:pPr>
              <w:jc w:val="both"/>
              <w:rPr>
                <w:sz w:val="20"/>
                <w:szCs w:val="20"/>
              </w:rPr>
            </w:pPr>
          </w:p>
        </w:tc>
        <w:tc>
          <w:tcPr>
            <w:tcW w:w="1559" w:type="dxa"/>
          </w:tcPr>
          <w:p w14:paraId="2D6BB199" w14:textId="143FAF35" w:rsidR="00656656" w:rsidRPr="001B1DB1" w:rsidRDefault="00656656" w:rsidP="00656656">
            <w:pPr>
              <w:rPr>
                <w:rFonts w:cs="Times New Roman"/>
                <w:sz w:val="20"/>
                <w:szCs w:val="20"/>
              </w:rPr>
            </w:pPr>
            <w:r w:rsidRPr="001B1DB1">
              <w:rPr>
                <w:rFonts w:cs="Times New Roman"/>
                <w:sz w:val="20"/>
                <w:szCs w:val="20"/>
              </w:rPr>
              <w:t xml:space="preserve">MONEYVAL </w:t>
            </w:r>
            <w:r w:rsidRPr="001B1DB1">
              <w:rPr>
                <w:sz w:val="20"/>
                <w:szCs w:val="20"/>
              </w:rPr>
              <w:t>4.13.</w:t>
            </w:r>
            <w:r>
              <w:rPr>
                <w:sz w:val="20"/>
                <w:szCs w:val="20"/>
              </w:rPr>
              <w:t xml:space="preserve">, </w:t>
            </w:r>
            <w:r w:rsidRPr="001B1DB1">
              <w:rPr>
                <w:rFonts w:cs="Times New Roman"/>
                <w:sz w:val="20"/>
                <w:szCs w:val="20"/>
              </w:rPr>
              <w:t>4.14.</w:t>
            </w:r>
            <w:r>
              <w:rPr>
                <w:rFonts w:cs="Times New Roman"/>
                <w:sz w:val="20"/>
                <w:szCs w:val="20"/>
              </w:rPr>
              <w:t xml:space="preserve"> r</w:t>
            </w:r>
            <w:r w:rsidRPr="001B1DB1">
              <w:rPr>
                <w:rFonts w:cs="Times New Roman"/>
                <w:sz w:val="20"/>
                <w:szCs w:val="20"/>
              </w:rPr>
              <w:t>ekomendācija</w:t>
            </w:r>
            <w:r>
              <w:rPr>
                <w:rFonts w:cs="Times New Roman"/>
                <w:sz w:val="20"/>
                <w:szCs w:val="20"/>
              </w:rPr>
              <w:t>; s</w:t>
            </w:r>
            <w:r w:rsidRPr="001B1DB1">
              <w:rPr>
                <w:rFonts w:cs="Times New Roman"/>
                <w:sz w:val="20"/>
                <w:szCs w:val="20"/>
              </w:rPr>
              <w:t>ektorālie risku novērtējumi.</w:t>
            </w:r>
          </w:p>
        </w:tc>
        <w:tc>
          <w:tcPr>
            <w:tcW w:w="2551" w:type="dxa"/>
            <w:shd w:val="clear" w:color="auto" w:fill="auto"/>
          </w:tcPr>
          <w:p w14:paraId="1789066A" w14:textId="77777777" w:rsidR="00656656" w:rsidRPr="001B1DB1" w:rsidRDefault="00656656" w:rsidP="00656656">
            <w:pPr>
              <w:jc w:val="both"/>
              <w:rPr>
                <w:sz w:val="20"/>
                <w:szCs w:val="20"/>
              </w:rPr>
            </w:pPr>
            <w:r w:rsidRPr="001B1DB1">
              <w:rPr>
                <w:sz w:val="20"/>
                <w:szCs w:val="20"/>
              </w:rPr>
              <w:t>Balstoties uz FID sniegto informāciju par tipoloģijām, gan ņemot vērā nozares specifiskos riskus, UKI definē indikatorus un "sarkanos karogus" aizdomīgiem darījumiem.</w:t>
            </w:r>
          </w:p>
          <w:p w14:paraId="7EC7BD16" w14:textId="77777777" w:rsidR="00656656" w:rsidRPr="001B1DB1" w:rsidRDefault="00656656" w:rsidP="00656656">
            <w:pPr>
              <w:jc w:val="both"/>
              <w:rPr>
                <w:sz w:val="20"/>
                <w:szCs w:val="20"/>
              </w:rPr>
            </w:pPr>
          </w:p>
          <w:p w14:paraId="60146BF1" w14:textId="5F74D4C2" w:rsidR="00656656" w:rsidRPr="001B1DB1" w:rsidRDefault="00656656" w:rsidP="00656656">
            <w:pPr>
              <w:jc w:val="both"/>
              <w:rPr>
                <w:rFonts w:cs="Times New Roman"/>
                <w:sz w:val="20"/>
                <w:szCs w:val="20"/>
              </w:rPr>
            </w:pPr>
          </w:p>
        </w:tc>
        <w:tc>
          <w:tcPr>
            <w:tcW w:w="2694" w:type="dxa"/>
          </w:tcPr>
          <w:p w14:paraId="0A7DDC9D" w14:textId="26019C7A" w:rsidR="00656656" w:rsidRPr="001B1DB1" w:rsidRDefault="00656656" w:rsidP="00656656">
            <w:pPr>
              <w:jc w:val="both"/>
              <w:rPr>
                <w:rFonts w:cs="Times New Roman"/>
                <w:sz w:val="20"/>
                <w:szCs w:val="20"/>
              </w:rPr>
            </w:pPr>
            <w:r w:rsidRPr="001B1DB1">
              <w:rPr>
                <w:sz w:val="20"/>
                <w:szCs w:val="20"/>
              </w:rPr>
              <w:t>Pilnveidotas vadlīnijas</w:t>
            </w:r>
            <w:r w:rsidRPr="00FA66F2">
              <w:rPr>
                <w:sz w:val="20"/>
                <w:szCs w:val="20"/>
              </w:rPr>
              <w:t>, definēti</w:t>
            </w:r>
            <w:r>
              <w:rPr>
                <w:sz w:val="20"/>
                <w:szCs w:val="20"/>
              </w:rPr>
              <w:t xml:space="preserve"> riska indikatori (“</w:t>
            </w:r>
            <w:r w:rsidRPr="00FA66F2">
              <w:rPr>
                <w:sz w:val="20"/>
                <w:szCs w:val="20"/>
              </w:rPr>
              <w:t>sarkanie karogi</w:t>
            </w:r>
            <w:r>
              <w:rPr>
                <w:sz w:val="20"/>
                <w:szCs w:val="20"/>
              </w:rPr>
              <w:t xml:space="preserve">”). </w:t>
            </w:r>
          </w:p>
        </w:tc>
        <w:tc>
          <w:tcPr>
            <w:tcW w:w="1134" w:type="dxa"/>
            <w:shd w:val="clear" w:color="auto" w:fill="auto"/>
          </w:tcPr>
          <w:p w14:paraId="19852145" w14:textId="3E6DFCD1" w:rsidR="00656656" w:rsidRPr="001B1DB1" w:rsidRDefault="00656656" w:rsidP="00656656">
            <w:pPr>
              <w:jc w:val="center"/>
              <w:rPr>
                <w:sz w:val="20"/>
                <w:szCs w:val="20"/>
              </w:rPr>
            </w:pPr>
            <w:r w:rsidRPr="001B1DB1">
              <w:rPr>
                <w:sz w:val="20"/>
                <w:szCs w:val="20"/>
              </w:rPr>
              <w:t>FKTK, VID, LB, IAUI, LZAP, LZNP, LZRA, NKMP,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235A0A51" w14:textId="089B0A07" w:rsidR="00656656" w:rsidRPr="001B1DB1" w:rsidRDefault="00656656" w:rsidP="00656656">
            <w:pPr>
              <w:jc w:val="center"/>
              <w:rPr>
                <w:sz w:val="20"/>
                <w:szCs w:val="20"/>
              </w:rPr>
            </w:pPr>
          </w:p>
        </w:tc>
        <w:tc>
          <w:tcPr>
            <w:tcW w:w="1418" w:type="dxa"/>
            <w:shd w:val="clear" w:color="auto" w:fill="auto"/>
          </w:tcPr>
          <w:p w14:paraId="504A8C62" w14:textId="03FFBCE1" w:rsidR="00656656" w:rsidRPr="001B1DB1" w:rsidRDefault="00656656" w:rsidP="00656656">
            <w:pPr>
              <w:jc w:val="center"/>
              <w:rPr>
                <w:rFonts w:cs="Times New Roman"/>
                <w:bCs/>
                <w:sz w:val="20"/>
                <w:szCs w:val="20"/>
              </w:rPr>
            </w:pPr>
            <w:r>
              <w:rPr>
                <w:sz w:val="20"/>
                <w:szCs w:val="20"/>
              </w:rPr>
              <w:t>P</w:t>
            </w:r>
            <w:r w:rsidRPr="001B1DB1">
              <w:rPr>
                <w:sz w:val="20"/>
                <w:szCs w:val="20"/>
              </w:rPr>
              <w:t>astāvīgi</w:t>
            </w:r>
          </w:p>
        </w:tc>
      </w:tr>
      <w:tr w:rsidR="00656656" w:rsidRPr="001B1DB1" w14:paraId="28869DA4" w14:textId="77777777" w:rsidTr="0057384E">
        <w:trPr>
          <w:trHeight w:val="543"/>
        </w:trPr>
        <w:tc>
          <w:tcPr>
            <w:tcW w:w="709" w:type="dxa"/>
          </w:tcPr>
          <w:p w14:paraId="654EAF3A" w14:textId="77777777" w:rsidR="00656656" w:rsidRPr="001B1DB1" w:rsidRDefault="00656656" w:rsidP="00656656">
            <w:pPr>
              <w:jc w:val="center"/>
              <w:rPr>
                <w:rFonts w:cs="Times New Roman"/>
                <w:bCs/>
                <w:sz w:val="20"/>
                <w:szCs w:val="20"/>
              </w:rPr>
            </w:pPr>
            <w:r w:rsidRPr="001B1DB1">
              <w:rPr>
                <w:rFonts w:cs="Times New Roman"/>
                <w:bCs/>
                <w:sz w:val="20"/>
                <w:szCs w:val="20"/>
              </w:rPr>
              <w:t>4.6.</w:t>
            </w:r>
          </w:p>
        </w:tc>
        <w:tc>
          <w:tcPr>
            <w:tcW w:w="3686" w:type="dxa"/>
            <w:shd w:val="clear" w:color="auto" w:fill="auto"/>
          </w:tcPr>
          <w:p w14:paraId="16A54134" w14:textId="2C89C14A" w:rsidR="00656656" w:rsidRPr="001B1DB1" w:rsidRDefault="00656656" w:rsidP="00656656">
            <w:pPr>
              <w:jc w:val="both"/>
              <w:rPr>
                <w:sz w:val="20"/>
                <w:szCs w:val="20"/>
              </w:rPr>
            </w:pPr>
            <w:r w:rsidRPr="001B1DB1">
              <w:rPr>
                <w:sz w:val="20"/>
                <w:szCs w:val="20"/>
              </w:rPr>
              <w:t>Apsvērt iespējas ieviest nelicencēt</w:t>
            </w:r>
            <w:r>
              <w:rPr>
                <w:sz w:val="20"/>
                <w:szCs w:val="20"/>
              </w:rPr>
              <w:t>o</w:t>
            </w:r>
            <w:r w:rsidRPr="001B1DB1">
              <w:rPr>
                <w:sz w:val="20"/>
                <w:szCs w:val="20"/>
              </w:rPr>
              <w:t xml:space="preserve"> likuma subjekt</w:t>
            </w:r>
            <w:r>
              <w:rPr>
                <w:sz w:val="20"/>
                <w:szCs w:val="20"/>
              </w:rPr>
              <w:t>u darbības uzsākšanas</w:t>
            </w:r>
            <w:r w:rsidRPr="001B1DB1">
              <w:rPr>
                <w:sz w:val="20"/>
                <w:szCs w:val="20"/>
              </w:rPr>
              <w:t xml:space="preserve"> kontroles mehānismus.</w:t>
            </w:r>
          </w:p>
        </w:tc>
        <w:tc>
          <w:tcPr>
            <w:tcW w:w="1559" w:type="dxa"/>
          </w:tcPr>
          <w:p w14:paraId="5CC32867" w14:textId="293D6291" w:rsidR="00656656" w:rsidRPr="001B1DB1" w:rsidRDefault="00656656" w:rsidP="00656656">
            <w:pPr>
              <w:jc w:val="both"/>
              <w:rPr>
                <w:sz w:val="20"/>
                <w:szCs w:val="20"/>
              </w:rPr>
            </w:pPr>
            <w:r w:rsidRPr="001B1DB1">
              <w:rPr>
                <w:rFonts w:cs="Times New Roman"/>
                <w:sz w:val="20"/>
                <w:szCs w:val="20"/>
              </w:rPr>
              <w:t xml:space="preserve">MONEYVAL </w:t>
            </w:r>
            <w:r w:rsidRPr="001B1DB1">
              <w:rPr>
                <w:sz w:val="20"/>
                <w:szCs w:val="20"/>
              </w:rPr>
              <w:t>4.17.</w:t>
            </w:r>
            <w:r>
              <w:rPr>
                <w:rFonts w:cs="Times New Roman"/>
                <w:sz w:val="20"/>
                <w:szCs w:val="20"/>
              </w:rPr>
              <w:t xml:space="preserve"> r</w:t>
            </w:r>
            <w:r w:rsidRPr="001B1DB1">
              <w:rPr>
                <w:rFonts w:cs="Times New Roman"/>
                <w:sz w:val="20"/>
                <w:szCs w:val="20"/>
              </w:rPr>
              <w:t>ekomendācija</w:t>
            </w:r>
            <w:r>
              <w:rPr>
                <w:rFonts w:cs="Times New Roman"/>
                <w:sz w:val="20"/>
                <w:szCs w:val="20"/>
              </w:rPr>
              <w:t>;</w:t>
            </w:r>
          </w:p>
          <w:p w14:paraId="47B6B7B8" w14:textId="2270A453" w:rsidR="00656656" w:rsidRPr="001B1DB1" w:rsidRDefault="00656656" w:rsidP="00656656">
            <w:pPr>
              <w:jc w:val="both"/>
              <w:rPr>
                <w:sz w:val="20"/>
                <w:szCs w:val="20"/>
              </w:rPr>
            </w:pPr>
            <w:r w:rsidRPr="001B1DB1">
              <w:rPr>
                <w:sz w:val="20"/>
                <w:szCs w:val="20"/>
              </w:rPr>
              <w:t>Sektoru noziedzīgi iegūtu līdzekļu legalizācijas un terorisma finansēšanas risku novērtējums (2017.-2018.) kopsavilkuma ziņojums – 9.lpp. un 10.lpp.</w:t>
            </w:r>
            <w:r>
              <w:rPr>
                <w:sz w:val="20"/>
                <w:szCs w:val="20"/>
              </w:rPr>
              <w:t>;</w:t>
            </w:r>
          </w:p>
          <w:p w14:paraId="47B2DACC" w14:textId="77777777" w:rsidR="00656656" w:rsidRPr="001B1DB1" w:rsidRDefault="00656656" w:rsidP="00656656">
            <w:pPr>
              <w:jc w:val="both"/>
              <w:rPr>
                <w:rFonts w:cs="Times New Roman"/>
                <w:sz w:val="20"/>
                <w:szCs w:val="20"/>
              </w:rPr>
            </w:pPr>
            <w:r w:rsidRPr="001B1DB1">
              <w:rPr>
                <w:rFonts w:cs="Times New Roman"/>
                <w:sz w:val="20"/>
                <w:szCs w:val="20"/>
              </w:rPr>
              <w:t>Virtuālo valūtu NILL un TF risku novērtējuma ziņojums 10.3. apakšpunkts (13.lpp.).</w:t>
            </w:r>
          </w:p>
        </w:tc>
        <w:tc>
          <w:tcPr>
            <w:tcW w:w="2551" w:type="dxa"/>
            <w:shd w:val="clear" w:color="auto" w:fill="auto"/>
          </w:tcPr>
          <w:p w14:paraId="33808C7E" w14:textId="7F64766A" w:rsidR="00656656" w:rsidRPr="001B1DB1" w:rsidRDefault="00656656" w:rsidP="00656656">
            <w:pPr>
              <w:jc w:val="both"/>
              <w:rPr>
                <w:rFonts w:cs="Times New Roman"/>
                <w:sz w:val="20"/>
                <w:szCs w:val="20"/>
              </w:rPr>
            </w:pPr>
            <w:r w:rsidRPr="001B1DB1">
              <w:rPr>
                <w:sz w:val="20"/>
                <w:szCs w:val="20"/>
              </w:rPr>
              <w:t>Sagatavot</w:t>
            </w:r>
            <w:r>
              <w:rPr>
                <w:sz w:val="20"/>
                <w:szCs w:val="20"/>
              </w:rPr>
              <w:t>s</w:t>
            </w:r>
            <w:r w:rsidRPr="001B1DB1">
              <w:rPr>
                <w:sz w:val="20"/>
                <w:szCs w:val="20"/>
              </w:rPr>
              <w:t xml:space="preserve"> izvērtējum</w:t>
            </w:r>
            <w:r>
              <w:rPr>
                <w:sz w:val="20"/>
                <w:szCs w:val="20"/>
              </w:rPr>
              <w:t>s</w:t>
            </w:r>
            <w:r w:rsidRPr="001B1DB1">
              <w:rPr>
                <w:sz w:val="20"/>
                <w:szCs w:val="20"/>
              </w:rPr>
              <w:t xml:space="preserve"> par nepieciešamību licencēt augsta riska likuma subjektus (neatkarīg</w:t>
            </w:r>
            <w:r>
              <w:rPr>
                <w:sz w:val="20"/>
                <w:szCs w:val="20"/>
              </w:rPr>
              <w:t>us</w:t>
            </w:r>
            <w:r w:rsidRPr="001B1DB1">
              <w:rPr>
                <w:sz w:val="20"/>
                <w:szCs w:val="20"/>
              </w:rPr>
              <w:t xml:space="preserve"> juridisko pakalpojumu sniedzēj</w:t>
            </w:r>
            <w:r>
              <w:rPr>
                <w:sz w:val="20"/>
                <w:szCs w:val="20"/>
              </w:rPr>
              <w:t>us</w:t>
            </w:r>
            <w:r w:rsidRPr="001B1DB1">
              <w:rPr>
                <w:sz w:val="20"/>
                <w:szCs w:val="20"/>
              </w:rPr>
              <w:t>, nodokļu konsultant</w:t>
            </w:r>
            <w:r>
              <w:rPr>
                <w:sz w:val="20"/>
                <w:szCs w:val="20"/>
              </w:rPr>
              <w:t>us</w:t>
            </w:r>
            <w:r w:rsidRPr="001B1DB1">
              <w:rPr>
                <w:sz w:val="20"/>
                <w:szCs w:val="20"/>
              </w:rPr>
              <w:t>, virtuālās valūtas pakalpojumu sniedzēj</w:t>
            </w:r>
            <w:r>
              <w:rPr>
                <w:sz w:val="20"/>
                <w:szCs w:val="20"/>
              </w:rPr>
              <w:t>us</w:t>
            </w:r>
            <w:r w:rsidRPr="001B1DB1">
              <w:rPr>
                <w:sz w:val="20"/>
                <w:szCs w:val="20"/>
              </w:rPr>
              <w:t>).</w:t>
            </w:r>
          </w:p>
        </w:tc>
        <w:tc>
          <w:tcPr>
            <w:tcW w:w="2694" w:type="dxa"/>
          </w:tcPr>
          <w:p w14:paraId="659A8315" w14:textId="77777777" w:rsidR="00656656" w:rsidRPr="001B1DB1" w:rsidRDefault="00656656" w:rsidP="00656656">
            <w:pPr>
              <w:jc w:val="both"/>
              <w:rPr>
                <w:sz w:val="20"/>
                <w:szCs w:val="20"/>
              </w:rPr>
            </w:pPr>
            <w:r w:rsidRPr="001B1DB1">
              <w:rPr>
                <w:sz w:val="20"/>
                <w:szCs w:val="20"/>
              </w:rPr>
              <w:t>Sagatavots izvērtējums.</w:t>
            </w:r>
          </w:p>
        </w:tc>
        <w:tc>
          <w:tcPr>
            <w:tcW w:w="1134" w:type="dxa"/>
            <w:shd w:val="clear" w:color="auto" w:fill="auto"/>
          </w:tcPr>
          <w:p w14:paraId="73A39724" w14:textId="77777777" w:rsidR="00656656" w:rsidRPr="001B1DB1" w:rsidRDefault="00656656" w:rsidP="00656656">
            <w:pPr>
              <w:jc w:val="center"/>
              <w:rPr>
                <w:sz w:val="20"/>
                <w:szCs w:val="20"/>
              </w:rPr>
            </w:pPr>
            <w:r w:rsidRPr="001B1DB1">
              <w:rPr>
                <w:sz w:val="20"/>
                <w:szCs w:val="20"/>
              </w:rPr>
              <w:t>VID</w:t>
            </w:r>
          </w:p>
        </w:tc>
        <w:tc>
          <w:tcPr>
            <w:tcW w:w="1275" w:type="dxa"/>
            <w:shd w:val="clear" w:color="auto" w:fill="auto"/>
          </w:tcPr>
          <w:p w14:paraId="65EA2A1A" w14:textId="77777777" w:rsidR="00656656" w:rsidRPr="001B1DB1" w:rsidRDefault="00656656" w:rsidP="00656656">
            <w:pPr>
              <w:jc w:val="center"/>
              <w:rPr>
                <w:sz w:val="20"/>
                <w:szCs w:val="20"/>
              </w:rPr>
            </w:pPr>
            <w:r w:rsidRPr="001B1DB1">
              <w:rPr>
                <w:sz w:val="20"/>
                <w:szCs w:val="20"/>
              </w:rPr>
              <w:t>FM</w:t>
            </w:r>
          </w:p>
        </w:tc>
        <w:tc>
          <w:tcPr>
            <w:tcW w:w="1418" w:type="dxa"/>
            <w:shd w:val="clear" w:color="auto" w:fill="auto"/>
          </w:tcPr>
          <w:p w14:paraId="635E022F"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222A48DB" w14:textId="77777777" w:rsidTr="0057384E">
        <w:trPr>
          <w:trHeight w:val="543"/>
        </w:trPr>
        <w:tc>
          <w:tcPr>
            <w:tcW w:w="709" w:type="dxa"/>
            <w:vMerge w:val="restart"/>
          </w:tcPr>
          <w:p w14:paraId="4F5A6AE1" w14:textId="77777777" w:rsidR="00656656" w:rsidRPr="001B1DB1" w:rsidRDefault="00656656" w:rsidP="00656656">
            <w:pPr>
              <w:jc w:val="center"/>
              <w:rPr>
                <w:rFonts w:cs="Times New Roman"/>
                <w:bCs/>
                <w:sz w:val="20"/>
                <w:szCs w:val="20"/>
              </w:rPr>
            </w:pPr>
            <w:r w:rsidRPr="001B1DB1">
              <w:rPr>
                <w:rFonts w:cs="Times New Roman"/>
                <w:bCs/>
                <w:sz w:val="20"/>
                <w:szCs w:val="20"/>
              </w:rPr>
              <w:t>4.7.</w:t>
            </w:r>
          </w:p>
        </w:tc>
        <w:tc>
          <w:tcPr>
            <w:tcW w:w="3686" w:type="dxa"/>
            <w:vMerge w:val="restart"/>
            <w:shd w:val="clear" w:color="auto" w:fill="auto"/>
          </w:tcPr>
          <w:p w14:paraId="5AC30C75" w14:textId="7944F708" w:rsidR="00656656" w:rsidRPr="001B1DB1" w:rsidRDefault="00656656" w:rsidP="00656656">
            <w:pPr>
              <w:jc w:val="both"/>
              <w:rPr>
                <w:sz w:val="20"/>
                <w:szCs w:val="20"/>
              </w:rPr>
            </w:pPr>
            <w:r w:rsidRPr="001B1DB1">
              <w:rPr>
                <w:sz w:val="20"/>
                <w:szCs w:val="20"/>
              </w:rPr>
              <w:t>Pilnveidot normatīv</w:t>
            </w:r>
            <w:r>
              <w:rPr>
                <w:sz w:val="20"/>
                <w:szCs w:val="20"/>
              </w:rPr>
              <w:t>ā</w:t>
            </w:r>
            <w:r w:rsidRPr="001B1DB1">
              <w:rPr>
                <w:sz w:val="20"/>
                <w:szCs w:val="20"/>
              </w:rPr>
              <w:t xml:space="preserve"> regulējum</w:t>
            </w:r>
            <w:r>
              <w:rPr>
                <w:sz w:val="20"/>
                <w:szCs w:val="20"/>
              </w:rPr>
              <w:t>a</w:t>
            </w:r>
            <w:r w:rsidRPr="001B1DB1">
              <w:rPr>
                <w:sz w:val="20"/>
                <w:szCs w:val="20"/>
              </w:rPr>
              <w:t xml:space="preserve"> atbilstību starptautiskām konvencijām. Normatīvā </w:t>
            </w:r>
            <w:r w:rsidRPr="001B1DB1">
              <w:rPr>
                <w:sz w:val="20"/>
                <w:szCs w:val="20"/>
              </w:rPr>
              <w:lastRenderedPageBreak/>
              <w:t>regulējuma izstrāde kultūras priekšmetu apritei un tajā iesaistītajiem likuma subjektiem.</w:t>
            </w:r>
          </w:p>
        </w:tc>
        <w:tc>
          <w:tcPr>
            <w:tcW w:w="1559" w:type="dxa"/>
            <w:vMerge w:val="restart"/>
          </w:tcPr>
          <w:p w14:paraId="07C1D2BA" w14:textId="77777777" w:rsidR="00656656" w:rsidRPr="001B1DB1" w:rsidRDefault="00656656" w:rsidP="00656656">
            <w:pPr>
              <w:rPr>
                <w:rFonts w:cs="Times New Roman"/>
                <w:sz w:val="20"/>
                <w:szCs w:val="20"/>
              </w:rPr>
            </w:pPr>
          </w:p>
        </w:tc>
        <w:tc>
          <w:tcPr>
            <w:tcW w:w="2551" w:type="dxa"/>
            <w:vMerge w:val="restart"/>
            <w:shd w:val="clear" w:color="auto" w:fill="auto"/>
          </w:tcPr>
          <w:p w14:paraId="31BDE477" w14:textId="77777777" w:rsidR="00656656" w:rsidRPr="001B1DB1" w:rsidRDefault="00656656" w:rsidP="00656656">
            <w:pPr>
              <w:jc w:val="both"/>
              <w:rPr>
                <w:rFonts w:cs="Times New Roman"/>
                <w:sz w:val="20"/>
                <w:szCs w:val="20"/>
              </w:rPr>
            </w:pPr>
            <w:r w:rsidRPr="001B1DB1">
              <w:rPr>
                <w:sz w:val="20"/>
                <w:szCs w:val="20"/>
              </w:rPr>
              <w:t>1. Starptautiski pieņemtiem principiem atbilstošs normatīvais regulējums.</w:t>
            </w:r>
          </w:p>
        </w:tc>
        <w:tc>
          <w:tcPr>
            <w:tcW w:w="2694" w:type="dxa"/>
          </w:tcPr>
          <w:p w14:paraId="5CF27A3A" w14:textId="438E2104" w:rsidR="00656656" w:rsidRPr="001B1DB1" w:rsidRDefault="00656656" w:rsidP="00656656">
            <w:pPr>
              <w:jc w:val="both"/>
              <w:rPr>
                <w:rFonts w:cs="Times New Roman"/>
                <w:sz w:val="20"/>
                <w:szCs w:val="20"/>
              </w:rPr>
            </w:pPr>
            <w:r w:rsidRPr="001B1DB1">
              <w:rPr>
                <w:sz w:val="20"/>
                <w:szCs w:val="20"/>
              </w:rPr>
              <w:t xml:space="preserve">1. </w:t>
            </w:r>
            <w:r>
              <w:rPr>
                <w:sz w:val="20"/>
                <w:szCs w:val="20"/>
              </w:rPr>
              <w:t>Izveidota d</w:t>
            </w:r>
            <w:r w:rsidRPr="001B1DB1">
              <w:rPr>
                <w:sz w:val="20"/>
                <w:szCs w:val="20"/>
              </w:rPr>
              <w:t>arba grupa normatīvo aktu izstrādei.</w:t>
            </w:r>
          </w:p>
        </w:tc>
        <w:tc>
          <w:tcPr>
            <w:tcW w:w="1134" w:type="dxa"/>
            <w:shd w:val="clear" w:color="auto" w:fill="auto"/>
          </w:tcPr>
          <w:p w14:paraId="5D47EA78"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2AFAF0E9"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77F8E306" w14:textId="77777777" w:rsidR="00656656" w:rsidRPr="001B1DB1" w:rsidRDefault="00656656" w:rsidP="00656656">
            <w:pPr>
              <w:jc w:val="center"/>
              <w:rPr>
                <w:rFonts w:cs="Times New Roman"/>
                <w:bCs/>
                <w:sz w:val="20"/>
                <w:szCs w:val="20"/>
              </w:rPr>
            </w:pPr>
            <w:r w:rsidRPr="001B1DB1">
              <w:rPr>
                <w:sz w:val="20"/>
                <w:szCs w:val="20"/>
              </w:rPr>
              <w:t>31.12.2021.</w:t>
            </w:r>
          </w:p>
        </w:tc>
      </w:tr>
      <w:tr w:rsidR="00656656" w:rsidRPr="001B1DB1" w14:paraId="7C94CCE1" w14:textId="77777777" w:rsidTr="0057384E">
        <w:trPr>
          <w:trHeight w:val="543"/>
        </w:trPr>
        <w:tc>
          <w:tcPr>
            <w:tcW w:w="709" w:type="dxa"/>
            <w:vMerge/>
          </w:tcPr>
          <w:p w14:paraId="4B39ADC9" w14:textId="77777777" w:rsidR="00656656" w:rsidRPr="001B1DB1" w:rsidRDefault="00656656" w:rsidP="00656656">
            <w:pPr>
              <w:jc w:val="center"/>
              <w:rPr>
                <w:rFonts w:cs="Times New Roman"/>
                <w:bCs/>
                <w:sz w:val="20"/>
                <w:szCs w:val="20"/>
              </w:rPr>
            </w:pPr>
          </w:p>
        </w:tc>
        <w:tc>
          <w:tcPr>
            <w:tcW w:w="3686" w:type="dxa"/>
            <w:vMerge/>
            <w:shd w:val="clear" w:color="auto" w:fill="auto"/>
          </w:tcPr>
          <w:p w14:paraId="7ECCC2A5" w14:textId="77777777" w:rsidR="00656656" w:rsidRPr="001B1DB1" w:rsidRDefault="00656656" w:rsidP="00656656">
            <w:pPr>
              <w:jc w:val="both"/>
              <w:rPr>
                <w:sz w:val="20"/>
                <w:szCs w:val="20"/>
              </w:rPr>
            </w:pPr>
          </w:p>
        </w:tc>
        <w:tc>
          <w:tcPr>
            <w:tcW w:w="1559" w:type="dxa"/>
            <w:vMerge/>
          </w:tcPr>
          <w:p w14:paraId="105430DA" w14:textId="77777777" w:rsidR="00656656" w:rsidRPr="001B1DB1" w:rsidRDefault="00656656" w:rsidP="00656656">
            <w:pPr>
              <w:rPr>
                <w:rFonts w:cs="Times New Roman"/>
                <w:sz w:val="20"/>
                <w:szCs w:val="20"/>
              </w:rPr>
            </w:pPr>
          </w:p>
        </w:tc>
        <w:tc>
          <w:tcPr>
            <w:tcW w:w="2551" w:type="dxa"/>
            <w:vMerge/>
            <w:shd w:val="clear" w:color="auto" w:fill="auto"/>
          </w:tcPr>
          <w:p w14:paraId="08E2C6E2" w14:textId="77777777" w:rsidR="00656656" w:rsidRPr="001B1DB1" w:rsidRDefault="00656656" w:rsidP="00656656">
            <w:pPr>
              <w:rPr>
                <w:rFonts w:cs="Times New Roman"/>
                <w:sz w:val="20"/>
                <w:szCs w:val="20"/>
              </w:rPr>
            </w:pPr>
          </w:p>
        </w:tc>
        <w:tc>
          <w:tcPr>
            <w:tcW w:w="2694" w:type="dxa"/>
          </w:tcPr>
          <w:p w14:paraId="7EF47B9A" w14:textId="39852684" w:rsidR="00656656" w:rsidRPr="001B1DB1" w:rsidRDefault="00656656" w:rsidP="00656656">
            <w:pPr>
              <w:jc w:val="both"/>
              <w:rPr>
                <w:sz w:val="20"/>
                <w:szCs w:val="20"/>
              </w:rPr>
            </w:pPr>
            <w:r w:rsidRPr="001B1DB1">
              <w:rPr>
                <w:sz w:val="20"/>
                <w:szCs w:val="20"/>
              </w:rPr>
              <w:t>2. Sagatavot</w:t>
            </w:r>
            <w:r>
              <w:rPr>
                <w:sz w:val="20"/>
                <w:szCs w:val="20"/>
              </w:rPr>
              <w:t>i</w:t>
            </w:r>
            <w:r w:rsidRPr="001B1DB1">
              <w:rPr>
                <w:sz w:val="20"/>
                <w:szCs w:val="20"/>
              </w:rPr>
              <w:t xml:space="preserve"> jaun</w:t>
            </w:r>
            <w:r>
              <w:rPr>
                <w:sz w:val="20"/>
                <w:szCs w:val="20"/>
              </w:rPr>
              <w:t>u</w:t>
            </w:r>
            <w:r w:rsidRPr="001B1DB1">
              <w:rPr>
                <w:sz w:val="20"/>
                <w:szCs w:val="20"/>
              </w:rPr>
              <w:t xml:space="preserve"> normatīv</w:t>
            </w:r>
            <w:r>
              <w:rPr>
                <w:sz w:val="20"/>
                <w:szCs w:val="20"/>
              </w:rPr>
              <w:t>o</w:t>
            </w:r>
            <w:r w:rsidRPr="001B1DB1">
              <w:rPr>
                <w:sz w:val="20"/>
                <w:szCs w:val="20"/>
              </w:rPr>
              <w:t xml:space="preserve"> akt</w:t>
            </w:r>
            <w:r>
              <w:rPr>
                <w:sz w:val="20"/>
                <w:szCs w:val="20"/>
              </w:rPr>
              <w:t>u</w:t>
            </w:r>
            <w:r w:rsidRPr="001B1DB1">
              <w:rPr>
                <w:sz w:val="20"/>
                <w:szCs w:val="20"/>
              </w:rPr>
              <w:t xml:space="preserve"> projekt</w:t>
            </w:r>
            <w:r>
              <w:rPr>
                <w:sz w:val="20"/>
                <w:szCs w:val="20"/>
              </w:rPr>
              <w:t>i</w:t>
            </w:r>
            <w:r w:rsidRPr="001B1DB1">
              <w:rPr>
                <w:sz w:val="20"/>
                <w:szCs w:val="20"/>
              </w:rPr>
              <w:t>:</w:t>
            </w:r>
          </w:p>
          <w:p w14:paraId="0436C94C" w14:textId="68509FBE" w:rsidR="00656656" w:rsidRPr="001B1DB1" w:rsidRDefault="00656656" w:rsidP="00656656">
            <w:pPr>
              <w:jc w:val="both"/>
              <w:rPr>
                <w:sz w:val="20"/>
                <w:szCs w:val="20"/>
              </w:rPr>
            </w:pPr>
            <w:r w:rsidRPr="001B1DB1">
              <w:rPr>
                <w:sz w:val="20"/>
                <w:szCs w:val="20"/>
              </w:rPr>
              <w:t xml:space="preserve">1) </w:t>
            </w:r>
            <w:r>
              <w:rPr>
                <w:sz w:val="20"/>
                <w:szCs w:val="20"/>
              </w:rPr>
              <w:t>s</w:t>
            </w:r>
            <w:r w:rsidRPr="001B1DB1">
              <w:rPr>
                <w:sz w:val="20"/>
                <w:szCs w:val="20"/>
              </w:rPr>
              <w:t>agatavoti priekšlikumi grozījumiem likumā “Par kultūras pieminekļu aizsardzību”;</w:t>
            </w:r>
          </w:p>
          <w:p w14:paraId="44D50FF2" w14:textId="780D1808" w:rsidR="00656656" w:rsidRPr="001B1DB1" w:rsidRDefault="00656656" w:rsidP="00656656">
            <w:pPr>
              <w:jc w:val="both"/>
              <w:rPr>
                <w:rFonts w:cs="Times New Roman"/>
                <w:sz w:val="20"/>
                <w:szCs w:val="20"/>
              </w:rPr>
            </w:pPr>
            <w:r w:rsidRPr="001B1DB1">
              <w:rPr>
                <w:sz w:val="20"/>
                <w:szCs w:val="20"/>
              </w:rPr>
              <w:t xml:space="preserve">2) </w:t>
            </w:r>
            <w:r>
              <w:rPr>
                <w:sz w:val="20"/>
                <w:szCs w:val="20"/>
              </w:rPr>
              <w:t>s</w:t>
            </w:r>
            <w:r w:rsidRPr="001B1DB1">
              <w:rPr>
                <w:sz w:val="20"/>
                <w:szCs w:val="20"/>
              </w:rPr>
              <w:t>agatavoti priekšlikumi grozījumiem MK 2016. gada 20. decembra noteikumos Nr. 846 „Noteikumi par kultūras pieminekļu, tajā skaitā valstij piederošo senlietu, mākslas un antikvāro priekšmetu izvešanu no Latvijas un ievešanu Latvijā”.</w:t>
            </w:r>
          </w:p>
        </w:tc>
        <w:tc>
          <w:tcPr>
            <w:tcW w:w="1134" w:type="dxa"/>
            <w:shd w:val="clear" w:color="auto" w:fill="auto"/>
          </w:tcPr>
          <w:p w14:paraId="3CD19E9E"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50BED5DC"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441F372F"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77535947" w14:textId="77777777" w:rsidTr="0057384E">
        <w:trPr>
          <w:trHeight w:val="543"/>
        </w:trPr>
        <w:tc>
          <w:tcPr>
            <w:tcW w:w="709" w:type="dxa"/>
            <w:vMerge/>
          </w:tcPr>
          <w:p w14:paraId="7384C687" w14:textId="77777777" w:rsidR="00656656" w:rsidRPr="001B1DB1" w:rsidRDefault="00656656" w:rsidP="00656656">
            <w:pPr>
              <w:jc w:val="center"/>
              <w:rPr>
                <w:rFonts w:cs="Times New Roman"/>
                <w:bCs/>
                <w:sz w:val="20"/>
                <w:szCs w:val="20"/>
              </w:rPr>
            </w:pPr>
          </w:p>
        </w:tc>
        <w:tc>
          <w:tcPr>
            <w:tcW w:w="3686" w:type="dxa"/>
            <w:vMerge/>
            <w:shd w:val="clear" w:color="auto" w:fill="auto"/>
          </w:tcPr>
          <w:p w14:paraId="47C10D5F" w14:textId="77777777" w:rsidR="00656656" w:rsidRPr="001B1DB1" w:rsidRDefault="00656656" w:rsidP="00656656">
            <w:pPr>
              <w:jc w:val="both"/>
              <w:rPr>
                <w:sz w:val="20"/>
                <w:szCs w:val="20"/>
              </w:rPr>
            </w:pPr>
          </w:p>
        </w:tc>
        <w:tc>
          <w:tcPr>
            <w:tcW w:w="1559" w:type="dxa"/>
            <w:vMerge/>
          </w:tcPr>
          <w:p w14:paraId="542AD7BE" w14:textId="77777777" w:rsidR="00656656" w:rsidRPr="001B1DB1" w:rsidRDefault="00656656" w:rsidP="00656656">
            <w:pPr>
              <w:rPr>
                <w:rFonts w:cs="Times New Roman"/>
                <w:sz w:val="20"/>
                <w:szCs w:val="20"/>
              </w:rPr>
            </w:pPr>
          </w:p>
        </w:tc>
        <w:tc>
          <w:tcPr>
            <w:tcW w:w="2551" w:type="dxa"/>
            <w:vMerge w:val="restart"/>
            <w:shd w:val="clear" w:color="auto" w:fill="auto"/>
          </w:tcPr>
          <w:p w14:paraId="0AA372E3" w14:textId="77777777" w:rsidR="00656656" w:rsidRPr="001B1DB1" w:rsidRDefault="00656656" w:rsidP="00656656">
            <w:pPr>
              <w:jc w:val="both"/>
              <w:rPr>
                <w:rFonts w:cs="Times New Roman"/>
                <w:sz w:val="20"/>
                <w:szCs w:val="20"/>
              </w:rPr>
            </w:pPr>
            <w:r w:rsidRPr="001B1DB1">
              <w:rPr>
                <w:sz w:val="20"/>
                <w:szCs w:val="20"/>
              </w:rPr>
              <w:t>2. Ar normatīvo aktu noteikta likuma subjektu licencēšana vai reģistrēšana, kas nodrošina efektīvu uzraudzību un sankciju piemērošanas iespējas.</w:t>
            </w:r>
          </w:p>
        </w:tc>
        <w:tc>
          <w:tcPr>
            <w:tcW w:w="2694" w:type="dxa"/>
          </w:tcPr>
          <w:p w14:paraId="3B7B204B" w14:textId="77777777" w:rsidR="00656656" w:rsidRPr="001B1DB1" w:rsidRDefault="00656656" w:rsidP="00656656">
            <w:pPr>
              <w:jc w:val="both"/>
              <w:rPr>
                <w:rFonts w:cs="Times New Roman"/>
                <w:sz w:val="20"/>
                <w:szCs w:val="20"/>
              </w:rPr>
            </w:pPr>
            <w:r w:rsidRPr="001B1DB1">
              <w:rPr>
                <w:sz w:val="20"/>
                <w:szCs w:val="20"/>
              </w:rPr>
              <w:t>1. Sagatavots jauna normatīvā akta projekts licencēšanai vai reģistrēšanai.</w:t>
            </w:r>
          </w:p>
        </w:tc>
        <w:tc>
          <w:tcPr>
            <w:tcW w:w="1134" w:type="dxa"/>
            <w:shd w:val="clear" w:color="auto" w:fill="auto"/>
          </w:tcPr>
          <w:p w14:paraId="7D92AF10"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7F530680"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2F2D48EC"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4924895D" w14:textId="77777777" w:rsidTr="0057384E">
        <w:trPr>
          <w:trHeight w:val="543"/>
        </w:trPr>
        <w:tc>
          <w:tcPr>
            <w:tcW w:w="709" w:type="dxa"/>
            <w:vMerge/>
          </w:tcPr>
          <w:p w14:paraId="5394E6F0" w14:textId="77777777" w:rsidR="00656656" w:rsidRPr="001B1DB1" w:rsidRDefault="00656656" w:rsidP="00656656">
            <w:pPr>
              <w:jc w:val="center"/>
              <w:rPr>
                <w:rFonts w:cs="Times New Roman"/>
                <w:bCs/>
                <w:sz w:val="20"/>
                <w:szCs w:val="20"/>
              </w:rPr>
            </w:pPr>
          </w:p>
        </w:tc>
        <w:tc>
          <w:tcPr>
            <w:tcW w:w="3686" w:type="dxa"/>
            <w:vMerge/>
            <w:shd w:val="clear" w:color="auto" w:fill="auto"/>
          </w:tcPr>
          <w:p w14:paraId="126C5FA1" w14:textId="77777777" w:rsidR="00656656" w:rsidRPr="001B1DB1" w:rsidRDefault="00656656" w:rsidP="00656656">
            <w:pPr>
              <w:jc w:val="both"/>
              <w:rPr>
                <w:sz w:val="20"/>
                <w:szCs w:val="20"/>
              </w:rPr>
            </w:pPr>
          </w:p>
        </w:tc>
        <w:tc>
          <w:tcPr>
            <w:tcW w:w="1559" w:type="dxa"/>
            <w:vMerge/>
          </w:tcPr>
          <w:p w14:paraId="629D602E" w14:textId="77777777" w:rsidR="00656656" w:rsidRPr="001B1DB1" w:rsidRDefault="00656656" w:rsidP="00656656">
            <w:pPr>
              <w:rPr>
                <w:rFonts w:cs="Times New Roman"/>
                <w:sz w:val="20"/>
                <w:szCs w:val="20"/>
              </w:rPr>
            </w:pPr>
          </w:p>
        </w:tc>
        <w:tc>
          <w:tcPr>
            <w:tcW w:w="2551" w:type="dxa"/>
            <w:vMerge/>
            <w:shd w:val="clear" w:color="auto" w:fill="auto"/>
          </w:tcPr>
          <w:p w14:paraId="4A7FA37F" w14:textId="77777777" w:rsidR="00656656" w:rsidRPr="001B1DB1" w:rsidRDefault="00656656" w:rsidP="00656656">
            <w:pPr>
              <w:rPr>
                <w:rFonts w:cs="Times New Roman"/>
                <w:sz w:val="20"/>
                <w:szCs w:val="20"/>
              </w:rPr>
            </w:pPr>
          </w:p>
        </w:tc>
        <w:tc>
          <w:tcPr>
            <w:tcW w:w="2694" w:type="dxa"/>
          </w:tcPr>
          <w:p w14:paraId="1DB0105D" w14:textId="2B4036E4" w:rsidR="00656656" w:rsidRPr="001B1DB1" w:rsidRDefault="00656656" w:rsidP="00656656">
            <w:pPr>
              <w:jc w:val="both"/>
              <w:rPr>
                <w:rFonts w:cs="Times New Roman"/>
                <w:sz w:val="20"/>
                <w:szCs w:val="20"/>
              </w:rPr>
            </w:pPr>
            <w:r w:rsidRPr="001B1DB1">
              <w:rPr>
                <w:sz w:val="20"/>
                <w:szCs w:val="20"/>
              </w:rPr>
              <w:t>2. </w:t>
            </w:r>
            <w:r>
              <w:rPr>
                <w:sz w:val="20"/>
                <w:szCs w:val="20"/>
              </w:rPr>
              <w:t>Izstrādāta p</w:t>
            </w:r>
            <w:r w:rsidRPr="001B1DB1">
              <w:rPr>
                <w:sz w:val="20"/>
                <w:szCs w:val="20"/>
              </w:rPr>
              <w:t>ersonu, kas darbojas mākslas un antikvāro priekšmetu apritē, licencēšanas vai reģistrēšanas sistēma</w:t>
            </w:r>
            <w:r>
              <w:rPr>
                <w:sz w:val="20"/>
                <w:szCs w:val="20"/>
              </w:rPr>
              <w:t xml:space="preserve"> </w:t>
            </w:r>
            <w:r w:rsidRPr="001B1DB1">
              <w:rPr>
                <w:sz w:val="20"/>
                <w:szCs w:val="20"/>
              </w:rPr>
              <w:t>– IT risinājumi</w:t>
            </w:r>
            <w:r w:rsidRPr="001B1DB1">
              <w:t xml:space="preserve"> </w:t>
            </w:r>
            <w:r w:rsidRPr="001B1DB1">
              <w:rPr>
                <w:sz w:val="20"/>
                <w:szCs w:val="20"/>
              </w:rPr>
              <w:t xml:space="preserve">un to uzturēšana, </w:t>
            </w:r>
            <w:r>
              <w:rPr>
                <w:sz w:val="20"/>
                <w:szCs w:val="20"/>
              </w:rPr>
              <w:t xml:space="preserve">izstrādāts </w:t>
            </w:r>
            <w:r w:rsidRPr="001B1DB1">
              <w:rPr>
                <w:sz w:val="20"/>
                <w:szCs w:val="20"/>
              </w:rPr>
              <w:t>e-pakalpojum</w:t>
            </w:r>
            <w:r>
              <w:rPr>
                <w:sz w:val="20"/>
                <w:szCs w:val="20"/>
              </w:rPr>
              <w:t>s</w:t>
            </w:r>
            <w:r w:rsidRPr="001B1DB1">
              <w:rPr>
                <w:sz w:val="20"/>
                <w:szCs w:val="20"/>
              </w:rPr>
              <w:t>.</w:t>
            </w:r>
          </w:p>
        </w:tc>
        <w:tc>
          <w:tcPr>
            <w:tcW w:w="1134" w:type="dxa"/>
            <w:shd w:val="clear" w:color="auto" w:fill="auto"/>
          </w:tcPr>
          <w:p w14:paraId="06706F5E"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226D29BD"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50E7012A"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634C2CFF" w14:textId="77777777" w:rsidTr="0057384E">
        <w:trPr>
          <w:trHeight w:val="543"/>
        </w:trPr>
        <w:tc>
          <w:tcPr>
            <w:tcW w:w="709" w:type="dxa"/>
          </w:tcPr>
          <w:p w14:paraId="19B69E36" w14:textId="77777777" w:rsidR="00656656" w:rsidRPr="001B1DB1" w:rsidRDefault="00656656" w:rsidP="00656656">
            <w:pPr>
              <w:jc w:val="center"/>
              <w:rPr>
                <w:rFonts w:cs="Times New Roman"/>
                <w:bCs/>
                <w:sz w:val="20"/>
                <w:szCs w:val="20"/>
              </w:rPr>
            </w:pPr>
            <w:r w:rsidRPr="001B1DB1">
              <w:rPr>
                <w:rFonts w:cs="Times New Roman"/>
                <w:bCs/>
                <w:sz w:val="20"/>
                <w:szCs w:val="20"/>
              </w:rPr>
              <w:t>4.8.</w:t>
            </w:r>
          </w:p>
        </w:tc>
        <w:tc>
          <w:tcPr>
            <w:tcW w:w="3686" w:type="dxa"/>
            <w:shd w:val="clear" w:color="auto" w:fill="auto"/>
          </w:tcPr>
          <w:p w14:paraId="0DE046E7" w14:textId="77777777" w:rsidR="00656656" w:rsidRPr="001B1DB1" w:rsidRDefault="00656656" w:rsidP="00656656">
            <w:pPr>
              <w:jc w:val="both"/>
              <w:rPr>
                <w:sz w:val="20"/>
                <w:szCs w:val="20"/>
              </w:rPr>
            </w:pPr>
            <w:r w:rsidRPr="001B1DB1">
              <w:rPr>
                <w:sz w:val="20"/>
                <w:szCs w:val="20"/>
              </w:rPr>
              <w:t>Zagto/zudušo kultūras priekšmetu datu bāzes digitalizācija un datu apmaiņa ar tiesībaizsardzības iestādēm.</w:t>
            </w:r>
          </w:p>
        </w:tc>
        <w:tc>
          <w:tcPr>
            <w:tcW w:w="1559" w:type="dxa"/>
          </w:tcPr>
          <w:p w14:paraId="700CB1C1" w14:textId="77777777" w:rsidR="00656656" w:rsidRPr="001B1DB1" w:rsidRDefault="00656656" w:rsidP="00656656">
            <w:pPr>
              <w:rPr>
                <w:rFonts w:cs="Times New Roman"/>
                <w:sz w:val="20"/>
                <w:szCs w:val="20"/>
              </w:rPr>
            </w:pPr>
          </w:p>
        </w:tc>
        <w:tc>
          <w:tcPr>
            <w:tcW w:w="2551" w:type="dxa"/>
            <w:shd w:val="clear" w:color="auto" w:fill="auto"/>
          </w:tcPr>
          <w:p w14:paraId="320C2EE7" w14:textId="77777777" w:rsidR="00656656" w:rsidRPr="001B1DB1" w:rsidRDefault="00656656" w:rsidP="00656656">
            <w:pPr>
              <w:jc w:val="both"/>
              <w:rPr>
                <w:rFonts w:cs="Times New Roman"/>
                <w:sz w:val="20"/>
                <w:szCs w:val="20"/>
              </w:rPr>
            </w:pPr>
            <w:r w:rsidRPr="001B1DB1">
              <w:rPr>
                <w:sz w:val="20"/>
                <w:szCs w:val="20"/>
              </w:rPr>
              <w:t xml:space="preserve">Digitalizēts Latvijas zagto/zudušo kultūras priekšmetu reģistrs nodots tiesībaizsardzības iestāžu, tai skaitā </w:t>
            </w:r>
            <w:r>
              <w:rPr>
                <w:sz w:val="20"/>
                <w:szCs w:val="20"/>
              </w:rPr>
              <w:t>IC</w:t>
            </w:r>
            <w:r w:rsidRPr="001B1DB1">
              <w:rPr>
                <w:sz w:val="20"/>
                <w:szCs w:val="20"/>
              </w:rPr>
              <w:t xml:space="preserve"> e-pakalpojuma „Kultūras objekta statusa noteikšana” un Interpol rīcībā.</w:t>
            </w:r>
          </w:p>
        </w:tc>
        <w:tc>
          <w:tcPr>
            <w:tcW w:w="2694" w:type="dxa"/>
          </w:tcPr>
          <w:p w14:paraId="18701C14" w14:textId="68C8B635" w:rsidR="00656656" w:rsidRPr="001B1DB1" w:rsidRDefault="00656656" w:rsidP="00656656">
            <w:pPr>
              <w:jc w:val="both"/>
              <w:rPr>
                <w:rFonts w:cs="Times New Roman"/>
                <w:sz w:val="20"/>
                <w:szCs w:val="20"/>
              </w:rPr>
            </w:pPr>
            <w:r w:rsidRPr="001B1DB1">
              <w:rPr>
                <w:sz w:val="20"/>
                <w:szCs w:val="20"/>
              </w:rPr>
              <w:t>Veikt</w:t>
            </w:r>
            <w:r>
              <w:rPr>
                <w:sz w:val="20"/>
                <w:szCs w:val="20"/>
              </w:rPr>
              <w:t>a</w:t>
            </w:r>
            <w:r w:rsidRPr="001B1DB1">
              <w:rPr>
                <w:sz w:val="20"/>
                <w:szCs w:val="20"/>
              </w:rPr>
              <w:t xml:space="preserve"> datu apstrād</w:t>
            </w:r>
            <w:r>
              <w:rPr>
                <w:sz w:val="20"/>
                <w:szCs w:val="20"/>
              </w:rPr>
              <w:t>e</w:t>
            </w:r>
            <w:r w:rsidRPr="001B1DB1">
              <w:rPr>
                <w:sz w:val="20"/>
                <w:szCs w:val="20"/>
              </w:rPr>
              <w:t xml:space="preserve"> un ievadīšan</w:t>
            </w:r>
            <w:r>
              <w:rPr>
                <w:sz w:val="20"/>
                <w:szCs w:val="20"/>
              </w:rPr>
              <w:t>a</w:t>
            </w:r>
            <w:r w:rsidRPr="001B1DB1">
              <w:rPr>
                <w:sz w:val="20"/>
                <w:szCs w:val="20"/>
              </w:rPr>
              <w:t xml:space="preserve"> jaunizveidotā IT rīkā. Veikt</w:t>
            </w:r>
            <w:r>
              <w:rPr>
                <w:sz w:val="20"/>
                <w:szCs w:val="20"/>
              </w:rPr>
              <w:t>a</w:t>
            </w:r>
            <w:r w:rsidRPr="001B1DB1">
              <w:rPr>
                <w:sz w:val="20"/>
                <w:szCs w:val="20"/>
              </w:rPr>
              <w:t xml:space="preserve"> datu apmaiņ</w:t>
            </w:r>
            <w:r>
              <w:rPr>
                <w:sz w:val="20"/>
                <w:szCs w:val="20"/>
              </w:rPr>
              <w:t>a</w:t>
            </w:r>
            <w:r w:rsidRPr="001B1DB1">
              <w:rPr>
                <w:sz w:val="20"/>
                <w:szCs w:val="20"/>
              </w:rPr>
              <w:t xml:space="preserve"> ar tiesībaizsardzības </w:t>
            </w:r>
            <w:r>
              <w:rPr>
                <w:sz w:val="20"/>
                <w:szCs w:val="20"/>
              </w:rPr>
              <w:t>iestādēm</w:t>
            </w:r>
            <w:r w:rsidRPr="001B1DB1">
              <w:rPr>
                <w:sz w:val="20"/>
                <w:szCs w:val="20"/>
              </w:rPr>
              <w:t>, tai skaitā</w:t>
            </w:r>
            <w:r w:rsidRPr="001B1DB1">
              <w:t xml:space="preserve"> </w:t>
            </w:r>
            <w:r>
              <w:rPr>
                <w:sz w:val="20"/>
                <w:szCs w:val="20"/>
              </w:rPr>
              <w:t>IC</w:t>
            </w:r>
            <w:r w:rsidRPr="001B1DB1">
              <w:rPr>
                <w:sz w:val="20"/>
                <w:szCs w:val="20"/>
              </w:rPr>
              <w:t xml:space="preserve"> e-pakalpojuma „Kultūras objekta statusa noteikšana” pilnveidošanai, VID Muitas pārvaldi.</w:t>
            </w:r>
          </w:p>
        </w:tc>
        <w:tc>
          <w:tcPr>
            <w:tcW w:w="1134" w:type="dxa"/>
            <w:shd w:val="clear" w:color="auto" w:fill="auto"/>
          </w:tcPr>
          <w:p w14:paraId="1FF1DBAC"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1C851600" w14:textId="447AE5EB" w:rsidR="00656656" w:rsidRPr="001B1DB1" w:rsidRDefault="00656656" w:rsidP="00656656">
            <w:pPr>
              <w:jc w:val="center"/>
              <w:rPr>
                <w:sz w:val="20"/>
                <w:szCs w:val="20"/>
              </w:rPr>
            </w:pPr>
            <w:r w:rsidRPr="001B1DB1">
              <w:rPr>
                <w:sz w:val="20"/>
                <w:szCs w:val="20"/>
              </w:rPr>
              <w:t>NKMP</w:t>
            </w:r>
            <w:r>
              <w:rPr>
                <w:sz w:val="20"/>
                <w:szCs w:val="20"/>
              </w:rPr>
              <w:t>, IeM, IC</w:t>
            </w:r>
          </w:p>
        </w:tc>
        <w:tc>
          <w:tcPr>
            <w:tcW w:w="1418" w:type="dxa"/>
            <w:shd w:val="clear" w:color="auto" w:fill="auto"/>
          </w:tcPr>
          <w:p w14:paraId="38A9C089" w14:textId="77777777" w:rsidR="00656656" w:rsidRPr="001B1DB1" w:rsidRDefault="00656656" w:rsidP="00656656">
            <w:pPr>
              <w:jc w:val="center"/>
              <w:rPr>
                <w:rFonts w:cs="Times New Roman"/>
                <w:bCs/>
                <w:sz w:val="20"/>
                <w:szCs w:val="20"/>
              </w:rPr>
            </w:pPr>
            <w:r w:rsidRPr="001B1DB1">
              <w:rPr>
                <w:sz w:val="20"/>
                <w:szCs w:val="20"/>
              </w:rPr>
              <w:t>31.12.2021.</w:t>
            </w:r>
          </w:p>
        </w:tc>
      </w:tr>
      <w:tr w:rsidR="00656656" w:rsidRPr="001B1DB1" w14:paraId="64F0ADC0" w14:textId="77777777" w:rsidTr="0057384E">
        <w:trPr>
          <w:trHeight w:val="543"/>
        </w:trPr>
        <w:tc>
          <w:tcPr>
            <w:tcW w:w="709" w:type="dxa"/>
          </w:tcPr>
          <w:p w14:paraId="7C671BAF" w14:textId="77777777" w:rsidR="00656656" w:rsidRPr="001B1DB1" w:rsidRDefault="00656656" w:rsidP="00656656">
            <w:pPr>
              <w:jc w:val="center"/>
              <w:rPr>
                <w:rFonts w:cs="Times New Roman"/>
                <w:bCs/>
                <w:sz w:val="20"/>
                <w:szCs w:val="20"/>
              </w:rPr>
            </w:pPr>
            <w:r w:rsidRPr="001B1DB1">
              <w:rPr>
                <w:rFonts w:cs="Times New Roman"/>
                <w:bCs/>
                <w:sz w:val="20"/>
                <w:szCs w:val="20"/>
              </w:rPr>
              <w:t>4.9.</w:t>
            </w:r>
          </w:p>
        </w:tc>
        <w:tc>
          <w:tcPr>
            <w:tcW w:w="3686" w:type="dxa"/>
            <w:shd w:val="clear" w:color="auto" w:fill="auto"/>
          </w:tcPr>
          <w:p w14:paraId="1A9DFBBE" w14:textId="47363E10" w:rsidR="00656656" w:rsidRPr="001B1DB1" w:rsidRDefault="00656656" w:rsidP="00656656">
            <w:pPr>
              <w:jc w:val="both"/>
              <w:rPr>
                <w:sz w:val="20"/>
                <w:szCs w:val="20"/>
              </w:rPr>
            </w:pPr>
            <w:r w:rsidRPr="001B1DB1">
              <w:rPr>
                <w:sz w:val="20"/>
                <w:szCs w:val="20"/>
              </w:rPr>
              <w:t>Kultūras pieminekļu īpašumtiesību izmaiņu kontroles modu</w:t>
            </w:r>
            <w:r>
              <w:rPr>
                <w:sz w:val="20"/>
                <w:szCs w:val="20"/>
              </w:rPr>
              <w:t>ļa</w:t>
            </w:r>
            <w:r w:rsidRPr="001B1DB1">
              <w:rPr>
                <w:sz w:val="20"/>
                <w:szCs w:val="20"/>
              </w:rPr>
              <w:t xml:space="preserve"> ar integrētu datu analīzes rīku</w:t>
            </w:r>
            <w:r>
              <w:rPr>
                <w:sz w:val="20"/>
                <w:szCs w:val="20"/>
              </w:rPr>
              <w:t xml:space="preserve"> izstrādāšana</w:t>
            </w:r>
            <w:r w:rsidRPr="001B1DB1">
              <w:rPr>
                <w:sz w:val="20"/>
                <w:szCs w:val="20"/>
              </w:rPr>
              <w:t xml:space="preserve"> un uzturēšana.</w:t>
            </w:r>
          </w:p>
          <w:p w14:paraId="39CF628B" w14:textId="77777777" w:rsidR="00656656" w:rsidRPr="001B1DB1" w:rsidRDefault="00656656" w:rsidP="00656656">
            <w:pPr>
              <w:jc w:val="both"/>
              <w:rPr>
                <w:sz w:val="20"/>
                <w:szCs w:val="20"/>
              </w:rPr>
            </w:pPr>
            <w:r w:rsidRPr="001B1DB1">
              <w:rPr>
                <w:sz w:val="20"/>
                <w:szCs w:val="20"/>
              </w:rPr>
              <w:t>Modulim veidojama saskarne ar  IS Mantojums un Valsts aizsargājamo kultūras pieminekļu reģistru.</w:t>
            </w:r>
          </w:p>
        </w:tc>
        <w:tc>
          <w:tcPr>
            <w:tcW w:w="1559" w:type="dxa"/>
          </w:tcPr>
          <w:p w14:paraId="64044303" w14:textId="77777777" w:rsidR="00656656" w:rsidRPr="001B1DB1" w:rsidRDefault="00656656" w:rsidP="00656656">
            <w:pPr>
              <w:rPr>
                <w:rFonts w:cs="Times New Roman"/>
                <w:sz w:val="20"/>
                <w:szCs w:val="20"/>
              </w:rPr>
            </w:pPr>
          </w:p>
        </w:tc>
        <w:tc>
          <w:tcPr>
            <w:tcW w:w="2551" w:type="dxa"/>
            <w:shd w:val="clear" w:color="auto" w:fill="auto"/>
          </w:tcPr>
          <w:p w14:paraId="128BC619" w14:textId="77777777" w:rsidR="00656656" w:rsidRPr="001B1DB1" w:rsidRDefault="00656656" w:rsidP="00656656">
            <w:pPr>
              <w:jc w:val="both"/>
              <w:rPr>
                <w:rFonts w:cs="Times New Roman"/>
                <w:sz w:val="20"/>
                <w:szCs w:val="20"/>
              </w:rPr>
            </w:pPr>
            <w:r w:rsidRPr="001B1DB1">
              <w:rPr>
                <w:sz w:val="20"/>
                <w:szCs w:val="20"/>
              </w:rPr>
              <w:t xml:space="preserve">Nodrošināta aktuāla informācija un kontrole par  darījumiem ar kultūras pieminekļiem, automatizēta iespēja analizēt datus atbilstoši definētiem riskiem, </w:t>
            </w:r>
            <w:r w:rsidRPr="001B1DB1">
              <w:rPr>
                <w:sz w:val="20"/>
                <w:szCs w:val="20"/>
              </w:rPr>
              <w:lastRenderedPageBreak/>
              <w:t>iespējama automatizēta norādījumu nosūtīšana kultūras pieminekļu īpašniekiem.</w:t>
            </w:r>
          </w:p>
        </w:tc>
        <w:tc>
          <w:tcPr>
            <w:tcW w:w="2694" w:type="dxa"/>
          </w:tcPr>
          <w:p w14:paraId="173B782A" w14:textId="77777777" w:rsidR="00656656" w:rsidRPr="001B1DB1" w:rsidRDefault="00656656" w:rsidP="00656656">
            <w:pPr>
              <w:jc w:val="both"/>
              <w:rPr>
                <w:rFonts w:cs="Times New Roman"/>
                <w:sz w:val="20"/>
                <w:szCs w:val="20"/>
              </w:rPr>
            </w:pPr>
            <w:r w:rsidRPr="001B1DB1">
              <w:rPr>
                <w:sz w:val="20"/>
                <w:szCs w:val="20"/>
              </w:rPr>
              <w:lastRenderedPageBreak/>
              <w:t>Izstrādāts kultūras pieminekļu īpašumtiesību izmaiņu kontroles IT risinājums.</w:t>
            </w:r>
          </w:p>
        </w:tc>
        <w:tc>
          <w:tcPr>
            <w:tcW w:w="1134" w:type="dxa"/>
            <w:shd w:val="clear" w:color="auto" w:fill="auto"/>
          </w:tcPr>
          <w:p w14:paraId="5F7D96E2" w14:textId="77777777" w:rsidR="00656656" w:rsidRPr="001B1DB1" w:rsidRDefault="00656656" w:rsidP="00656656">
            <w:pPr>
              <w:jc w:val="center"/>
              <w:rPr>
                <w:sz w:val="20"/>
                <w:szCs w:val="20"/>
              </w:rPr>
            </w:pPr>
            <w:r w:rsidRPr="001B1DB1">
              <w:rPr>
                <w:sz w:val="20"/>
                <w:szCs w:val="20"/>
              </w:rPr>
              <w:t>KM</w:t>
            </w:r>
          </w:p>
        </w:tc>
        <w:tc>
          <w:tcPr>
            <w:tcW w:w="1275" w:type="dxa"/>
            <w:shd w:val="clear" w:color="auto" w:fill="auto"/>
          </w:tcPr>
          <w:p w14:paraId="70123BB5" w14:textId="77777777" w:rsidR="00656656" w:rsidRPr="001B1DB1" w:rsidRDefault="00656656" w:rsidP="00656656">
            <w:pPr>
              <w:jc w:val="center"/>
              <w:rPr>
                <w:sz w:val="20"/>
                <w:szCs w:val="20"/>
              </w:rPr>
            </w:pPr>
            <w:r w:rsidRPr="001B1DB1">
              <w:rPr>
                <w:sz w:val="20"/>
                <w:szCs w:val="20"/>
              </w:rPr>
              <w:t>NKMP</w:t>
            </w:r>
          </w:p>
        </w:tc>
        <w:tc>
          <w:tcPr>
            <w:tcW w:w="1418" w:type="dxa"/>
            <w:shd w:val="clear" w:color="auto" w:fill="auto"/>
          </w:tcPr>
          <w:p w14:paraId="06898645" w14:textId="77777777" w:rsidR="00656656" w:rsidRPr="001B1DB1" w:rsidRDefault="00656656" w:rsidP="00656656">
            <w:pPr>
              <w:jc w:val="center"/>
              <w:rPr>
                <w:rFonts w:cs="Times New Roman"/>
                <w:bCs/>
                <w:sz w:val="20"/>
                <w:szCs w:val="20"/>
              </w:rPr>
            </w:pPr>
            <w:r w:rsidRPr="001B1DB1">
              <w:rPr>
                <w:sz w:val="20"/>
                <w:szCs w:val="20"/>
              </w:rPr>
              <w:t>31.12.2022.</w:t>
            </w:r>
          </w:p>
        </w:tc>
      </w:tr>
      <w:tr w:rsidR="00656656" w:rsidRPr="001B1DB1" w14:paraId="74C0F99E" w14:textId="77777777" w:rsidTr="004D2452">
        <w:trPr>
          <w:trHeight w:val="546"/>
        </w:trPr>
        <w:tc>
          <w:tcPr>
            <w:tcW w:w="709" w:type="dxa"/>
            <w:vMerge w:val="restart"/>
          </w:tcPr>
          <w:p w14:paraId="004690CC" w14:textId="77777777" w:rsidR="00656656" w:rsidRPr="001B1DB1" w:rsidRDefault="00656656" w:rsidP="00656656">
            <w:pPr>
              <w:jc w:val="center"/>
              <w:rPr>
                <w:rFonts w:cs="Times New Roman"/>
                <w:bCs/>
                <w:sz w:val="20"/>
                <w:szCs w:val="20"/>
              </w:rPr>
            </w:pPr>
            <w:r w:rsidRPr="001B1DB1">
              <w:rPr>
                <w:rFonts w:cs="Times New Roman"/>
                <w:bCs/>
                <w:sz w:val="20"/>
                <w:szCs w:val="20"/>
              </w:rPr>
              <w:t>4.10.</w:t>
            </w:r>
          </w:p>
        </w:tc>
        <w:tc>
          <w:tcPr>
            <w:tcW w:w="3686" w:type="dxa"/>
            <w:vMerge w:val="restart"/>
            <w:shd w:val="clear" w:color="auto" w:fill="auto"/>
          </w:tcPr>
          <w:p w14:paraId="2E2D80C2" w14:textId="77777777" w:rsidR="00656656" w:rsidRPr="001B1DB1" w:rsidRDefault="00656656" w:rsidP="00656656">
            <w:pPr>
              <w:jc w:val="both"/>
              <w:rPr>
                <w:sz w:val="20"/>
                <w:szCs w:val="20"/>
              </w:rPr>
            </w:pPr>
            <w:r w:rsidRPr="001B1DB1">
              <w:rPr>
                <w:sz w:val="20"/>
                <w:szCs w:val="20"/>
              </w:rPr>
              <w:t>Uzlabot informācijas pieejamību klienta izpētes veikšanai.</w:t>
            </w:r>
          </w:p>
        </w:tc>
        <w:tc>
          <w:tcPr>
            <w:tcW w:w="1559" w:type="dxa"/>
            <w:vMerge w:val="restart"/>
          </w:tcPr>
          <w:p w14:paraId="22B1511F" w14:textId="270441E4" w:rsidR="00656656" w:rsidRPr="001B1DB1" w:rsidRDefault="00656656" w:rsidP="00656656">
            <w:pPr>
              <w:rPr>
                <w:rFonts w:cs="Times New Roman"/>
                <w:sz w:val="20"/>
                <w:szCs w:val="20"/>
              </w:rPr>
            </w:pPr>
            <w:r w:rsidRPr="001B1DB1">
              <w:rPr>
                <w:rFonts w:cs="Times New Roman"/>
                <w:sz w:val="20"/>
                <w:szCs w:val="20"/>
              </w:rPr>
              <w:t xml:space="preserve">MONEYVAL </w:t>
            </w:r>
            <w:r w:rsidRPr="001B1DB1">
              <w:rPr>
                <w:sz w:val="20"/>
                <w:szCs w:val="20"/>
              </w:rPr>
              <w:t>4.6.</w:t>
            </w:r>
            <w:r>
              <w:rPr>
                <w:rFonts w:cs="Times New Roman"/>
                <w:sz w:val="20"/>
                <w:szCs w:val="20"/>
              </w:rPr>
              <w:t xml:space="preserve"> r</w:t>
            </w:r>
            <w:r w:rsidRPr="001B1DB1">
              <w:rPr>
                <w:rFonts w:cs="Times New Roman"/>
                <w:sz w:val="20"/>
                <w:szCs w:val="20"/>
              </w:rPr>
              <w:t>ekomendācija</w:t>
            </w:r>
            <w:r>
              <w:rPr>
                <w:rFonts w:cs="Times New Roman"/>
                <w:sz w:val="20"/>
                <w:szCs w:val="20"/>
              </w:rPr>
              <w:t>.</w:t>
            </w:r>
          </w:p>
        </w:tc>
        <w:tc>
          <w:tcPr>
            <w:tcW w:w="2551" w:type="dxa"/>
            <w:vMerge w:val="restart"/>
            <w:shd w:val="clear" w:color="auto" w:fill="auto"/>
          </w:tcPr>
          <w:p w14:paraId="0781CE6F" w14:textId="5CADFEBC" w:rsidR="00656656" w:rsidRPr="001B1DB1" w:rsidRDefault="00656656" w:rsidP="00656656">
            <w:pPr>
              <w:jc w:val="both"/>
              <w:rPr>
                <w:rFonts w:cs="Times New Roman"/>
                <w:sz w:val="20"/>
                <w:szCs w:val="20"/>
              </w:rPr>
            </w:pPr>
            <w:r w:rsidRPr="001B1DB1">
              <w:rPr>
                <w:sz w:val="20"/>
                <w:szCs w:val="20"/>
              </w:rPr>
              <w:t>Sagatavot</w:t>
            </w:r>
            <w:r>
              <w:rPr>
                <w:sz w:val="20"/>
                <w:szCs w:val="20"/>
              </w:rPr>
              <w:t>i</w:t>
            </w:r>
            <w:r w:rsidRPr="001B1DB1">
              <w:rPr>
                <w:sz w:val="20"/>
                <w:szCs w:val="20"/>
              </w:rPr>
              <w:t xml:space="preserve"> priekšlikum</w:t>
            </w:r>
            <w:r>
              <w:rPr>
                <w:sz w:val="20"/>
                <w:szCs w:val="20"/>
              </w:rPr>
              <w:t>i</w:t>
            </w:r>
            <w:r w:rsidRPr="001B1DB1">
              <w:rPr>
                <w:sz w:val="20"/>
                <w:szCs w:val="20"/>
              </w:rPr>
              <w:t>, nepieciešam</w:t>
            </w:r>
            <w:r>
              <w:rPr>
                <w:sz w:val="20"/>
                <w:szCs w:val="20"/>
              </w:rPr>
              <w:t>ie</w:t>
            </w:r>
            <w:r w:rsidRPr="001B1DB1">
              <w:rPr>
                <w:sz w:val="20"/>
                <w:szCs w:val="20"/>
              </w:rPr>
              <w:t xml:space="preserve"> normatīvo aktu grozījum</w:t>
            </w:r>
            <w:r>
              <w:rPr>
                <w:sz w:val="20"/>
                <w:szCs w:val="20"/>
              </w:rPr>
              <w:t>i</w:t>
            </w:r>
            <w:r w:rsidRPr="001B1DB1">
              <w:rPr>
                <w:sz w:val="20"/>
                <w:szCs w:val="20"/>
              </w:rPr>
              <w:t xml:space="preserve"> klienta izpētes rīka (</w:t>
            </w:r>
            <w:r w:rsidRPr="001B1DB1">
              <w:rPr>
                <w:i/>
                <w:sz w:val="20"/>
                <w:szCs w:val="20"/>
              </w:rPr>
              <w:t>shared</w:t>
            </w:r>
            <w:r w:rsidRPr="001B1DB1">
              <w:rPr>
                <w:sz w:val="20"/>
                <w:szCs w:val="20"/>
              </w:rPr>
              <w:t xml:space="preserve"> </w:t>
            </w:r>
            <w:r w:rsidRPr="001B1DB1">
              <w:rPr>
                <w:i/>
                <w:sz w:val="20"/>
                <w:szCs w:val="20"/>
              </w:rPr>
              <w:t>KYC utility</w:t>
            </w:r>
            <w:r w:rsidRPr="001B1DB1">
              <w:rPr>
                <w:sz w:val="20"/>
                <w:szCs w:val="20"/>
              </w:rPr>
              <w:t>) izveidei, kas ļautu likuma subjektiem izmantot klientu izpētes informāciju, ko ieguvuši citi likuma subjekti.</w:t>
            </w:r>
          </w:p>
        </w:tc>
        <w:tc>
          <w:tcPr>
            <w:tcW w:w="2694" w:type="dxa"/>
          </w:tcPr>
          <w:p w14:paraId="19D92655" w14:textId="3776939A" w:rsidR="00656656" w:rsidRPr="001B1DB1" w:rsidRDefault="00656656" w:rsidP="00656656">
            <w:pPr>
              <w:jc w:val="both"/>
              <w:rPr>
                <w:rFonts w:cs="Times New Roman"/>
                <w:sz w:val="20"/>
                <w:szCs w:val="20"/>
              </w:rPr>
            </w:pPr>
            <w:r>
              <w:rPr>
                <w:sz w:val="20"/>
                <w:szCs w:val="20"/>
              </w:rPr>
              <w:t xml:space="preserve">1. Izstrādāts plāns </w:t>
            </w:r>
            <w:r w:rsidRPr="001B1DB1">
              <w:rPr>
                <w:sz w:val="20"/>
                <w:szCs w:val="20"/>
              </w:rPr>
              <w:t>klienta izpētes rīka (</w:t>
            </w:r>
            <w:r w:rsidRPr="001B1DB1">
              <w:rPr>
                <w:i/>
                <w:sz w:val="20"/>
                <w:szCs w:val="20"/>
              </w:rPr>
              <w:t>shared</w:t>
            </w:r>
            <w:r w:rsidRPr="001B1DB1">
              <w:rPr>
                <w:sz w:val="20"/>
                <w:szCs w:val="20"/>
              </w:rPr>
              <w:t xml:space="preserve"> </w:t>
            </w:r>
            <w:r w:rsidRPr="001B1DB1">
              <w:rPr>
                <w:i/>
                <w:sz w:val="20"/>
                <w:szCs w:val="20"/>
              </w:rPr>
              <w:t>KYC utility</w:t>
            </w:r>
            <w:r w:rsidRPr="001B1DB1">
              <w:rPr>
                <w:sz w:val="20"/>
                <w:szCs w:val="20"/>
              </w:rPr>
              <w:t xml:space="preserve">) </w:t>
            </w:r>
            <w:r>
              <w:rPr>
                <w:sz w:val="20"/>
                <w:szCs w:val="20"/>
              </w:rPr>
              <w:t xml:space="preserve">izveidei. </w:t>
            </w:r>
          </w:p>
        </w:tc>
        <w:tc>
          <w:tcPr>
            <w:tcW w:w="1134" w:type="dxa"/>
            <w:shd w:val="clear" w:color="auto" w:fill="auto"/>
          </w:tcPr>
          <w:p w14:paraId="3AA05296" w14:textId="3A483A59" w:rsidR="00656656" w:rsidRPr="001B1DB1" w:rsidRDefault="00656656" w:rsidP="00656656">
            <w:pPr>
              <w:jc w:val="center"/>
              <w:rPr>
                <w:sz w:val="20"/>
                <w:szCs w:val="20"/>
              </w:rPr>
            </w:pPr>
          </w:p>
          <w:p w14:paraId="338D17D0" w14:textId="04E56F01" w:rsidR="00656656" w:rsidRPr="001B1DB1" w:rsidRDefault="00656656" w:rsidP="00656656">
            <w:pPr>
              <w:jc w:val="center"/>
              <w:rPr>
                <w:sz w:val="20"/>
                <w:szCs w:val="20"/>
              </w:rPr>
            </w:pPr>
            <w:r w:rsidRPr="001B1DB1">
              <w:rPr>
                <w:sz w:val="20"/>
                <w:szCs w:val="20"/>
              </w:rPr>
              <w:t>VARAM</w:t>
            </w:r>
            <w:r>
              <w:rPr>
                <w:sz w:val="20"/>
                <w:szCs w:val="20"/>
              </w:rPr>
              <w:t xml:space="preserve"> </w:t>
            </w:r>
          </w:p>
        </w:tc>
        <w:tc>
          <w:tcPr>
            <w:tcW w:w="1275" w:type="dxa"/>
            <w:vMerge w:val="restart"/>
            <w:shd w:val="clear" w:color="auto" w:fill="auto"/>
          </w:tcPr>
          <w:p w14:paraId="46D75FCD" w14:textId="77777777" w:rsidR="00656656" w:rsidRPr="001B1DB1" w:rsidRDefault="00656656" w:rsidP="00656656">
            <w:pPr>
              <w:jc w:val="center"/>
              <w:rPr>
                <w:sz w:val="20"/>
                <w:szCs w:val="20"/>
              </w:rPr>
            </w:pPr>
            <w:r w:rsidRPr="001B1DB1">
              <w:rPr>
                <w:sz w:val="20"/>
                <w:szCs w:val="20"/>
              </w:rPr>
              <w:t xml:space="preserve">LDDK, </w:t>
            </w:r>
            <w:r w:rsidRPr="007325CA">
              <w:rPr>
                <w:sz w:val="20"/>
                <w:szCs w:val="20"/>
              </w:rPr>
              <w:t>LFNA</w:t>
            </w:r>
          </w:p>
        </w:tc>
        <w:tc>
          <w:tcPr>
            <w:tcW w:w="1418" w:type="dxa"/>
            <w:vMerge w:val="restart"/>
            <w:shd w:val="clear" w:color="auto" w:fill="auto"/>
          </w:tcPr>
          <w:p w14:paraId="4F832220" w14:textId="77777777" w:rsidR="00656656" w:rsidRPr="001B1DB1" w:rsidRDefault="00656656" w:rsidP="00656656">
            <w:pPr>
              <w:jc w:val="center"/>
              <w:rPr>
                <w:rFonts w:cs="Times New Roman"/>
                <w:bCs/>
                <w:sz w:val="20"/>
                <w:szCs w:val="20"/>
              </w:rPr>
            </w:pPr>
            <w:r w:rsidRPr="001B1DB1">
              <w:rPr>
                <w:sz w:val="20"/>
                <w:szCs w:val="20"/>
              </w:rPr>
              <w:t>31.12.2021.</w:t>
            </w:r>
          </w:p>
        </w:tc>
      </w:tr>
      <w:tr w:rsidR="00656656" w:rsidRPr="001B1DB1" w14:paraId="07D1D679" w14:textId="77777777" w:rsidTr="0057384E">
        <w:trPr>
          <w:trHeight w:val="546"/>
        </w:trPr>
        <w:tc>
          <w:tcPr>
            <w:tcW w:w="709" w:type="dxa"/>
            <w:vMerge/>
          </w:tcPr>
          <w:p w14:paraId="79C8E4A1" w14:textId="77777777" w:rsidR="00656656" w:rsidRPr="001B1DB1" w:rsidRDefault="00656656" w:rsidP="00656656">
            <w:pPr>
              <w:jc w:val="center"/>
              <w:rPr>
                <w:rFonts w:cs="Times New Roman"/>
                <w:bCs/>
                <w:sz w:val="20"/>
                <w:szCs w:val="20"/>
              </w:rPr>
            </w:pPr>
          </w:p>
        </w:tc>
        <w:tc>
          <w:tcPr>
            <w:tcW w:w="3686" w:type="dxa"/>
            <w:vMerge/>
            <w:shd w:val="clear" w:color="auto" w:fill="auto"/>
          </w:tcPr>
          <w:p w14:paraId="2AF7FF08" w14:textId="77777777" w:rsidR="00656656" w:rsidRPr="001B1DB1" w:rsidRDefault="00656656" w:rsidP="00656656">
            <w:pPr>
              <w:jc w:val="both"/>
              <w:rPr>
                <w:sz w:val="20"/>
                <w:szCs w:val="20"/>
              </w:rPr>
            </w:pPr>
          </w:p>
        </w:tc>
        <w:tc>
          <w:tcPr>
            <w:tcW w:w="1559" w:type="dxa"/>
            <w:vMerge/>
          </w:tcPr>
          <w:p w14:paraId="06FFAA34" w14:textId="77777777" w:rsidR="00656656" w:rsidRPr="001B1DB1" w:rsidRDefault="00656656" w:rsidP="00656656">
            <w:pPr>
              <w:rPr>
                <w:rFonts w:cs="Times New Roman"/>
                <w:sz w:val="20"/>
                <w:szCs w:val="20"/>
              </w:rPr>
            </w:pPr>
          </w:p>
        </w:tc>
        <w:tc>
          <w:tcPr>
            <w:tcW w:w="2551" w:type="dxa"/>
            <w:vMerge/>
            <w:shd w:val="clear" w:color="auto" w:fill="auto"/>
          </w:tcPr>
          <w:p w14:paraId="19314DA2" w14:textId="77777777" w:rsidR="00656656" w:rsidRPr="001B1DB1" w:rsidRDefault="00656656" w:rsidP="00656656">
            <w:pPr>
              <w:rPr>
                <w:sz w:val="20"/>
                <w:szCs w:val="20"/>
              </w:rPr>
            </w:pPr>
          </w:p>
        </w:tc>
        <w:tc>
          <w:tcPr>
            <w:tcW w:w="2694" w:type="dxa"/>
          </w:tcPr>
          <w:p w14:paraId="137BF0EF" w14:textId="6E499440" w:rsidR="00656656" w:rsidRPr="001B1DB1" w:rsidRDefault="00656656" w:rsidP="00656656">
            <w:pPr>
              <w:jc w:val="both"/>
              <w:rPr>
                <w:sz w:val="20"/>
                <w:szCs w:val="20"/>
              </w:rPr>
            </w:pPr>
            <w:r>
              <w:rPr>
                <w:sz w:val="20"/>
                <w:szCs w:val="20"/>
              </w:rPr>
              <w:t xml:space="preserve">2. </w:t>
            </w:r>
            <w:r w:rsidRPr="001B1DB1">
              <w:rPr>
                <w:sz w:val="20"/>
                <w:szCs w:val="20"/>
              </w:rPr>
              <w:t>Sagatavoti priekšlikumi,  nepieciešamie normatīvo aktu grozījumi klienta izpētes rīka (</w:t>
            </w:r>
            <w:r w:rsidRPr="001B1DB1">
              <w:rPr>
                <w:i/>
                <w:sz w:val="20"/>
                <w:szCs w:val="20"/>
              </w:rPr>
              <w:t>shared</w:t>
            </w:r>
            <w:r w:rsidRPr="001B1DB1">
              <w:rPr>
                <w:sz w:val="20"/>
                <w:szCs w:val="20"/>
              </w:rPr>
              <w:t xml:space="preserve"> </w:t>
            </w:r>
            <w:r w:rsidRPr="001B1DB1">
              <w:rPr>
                <w:i/>
                <w:sz w:val="20"/>
                <w:szCs w:val="20"/>
              </w:rPr>
              <w:t>KYC utility</w:t>
            </w:r>
            <w:r w:rsidRPr="001B1DB1">
              <w:rPr>
                <w:sz w:val="20"/>
                <w:szCs w:val="20"/>
              </w:rPr>
              <w:t>) izveidei, iesniegti izskatīšanai MK.</w:t>
            </w:r>
          </w:p>
        </w:tc>
        <w:tc>
          <w:tcPr>
            <w:tcW w:w="1134" w:type="dxa"/>
            <w:shd w:val="clear" w:color="auto" w:fill="auto"/>
          </w:tcPr>
          <w:p w14:paraId="14D6B354" w14:textId="310866D5" w:rsidR="00656656" w:rsidRPr="001B1DB1" w:rsidRDefault="00656656" w:rsidP="00656656">
            <w:pPr>
              <w:jc w:val="center"/>
              <w:rPr>
                <w:sz w:val="20"/>
                <w:szCs w:val="20"/>
              </w:rPr>
            </w:pPr>
            <w:r>
              <w:rPr>
                <w:sz w:val="20"/>
                <w:szCs w:val="20"/>
              </w:rPr>
              <w:t>FM</w:t>
            </w:r>
          </w:p>
        </w:tc>
        <w:tc>
          <w:tcPr>
            <w:tcW w:w="1275" w:type="dxa"/>
            <w:vMerge/>
            <w:shd w:val="clear" w:color="auto" w:fill="auto"/>
          </w:tcPr>
          <w:p w14:paraId="0BAA6154" w14:textId="77777777" w:rsidR="00656656" w:rsidRPr="001B1DB1" w:rsidRDefault="00656656" w:rsidP="00656656">
            <w:pPr>
              <w:jc w:val="center"/>
              <w:rPr>
                <w:sz w:val="20"/>
                <w:szCs w:val="20"/>
              </w:rPr>
            </w:pPr>
          </w:p>
        </w:tc>
        <w:tc>
          <w:tcPr>
            <w:tcW w:w="1418" w:type="dxa"/>
            <w:vMerge/>
            <w:shd w:val="clear" w:color="auto" w:fill="auto"/>
          </w:tcPr>
          <w:p w14:paraId="226495C1" w14:textId="77777777" w:rsidR="00656656" w:rsidRPr="001B1DB1" w:rsidRDefault="00656656" w:rsidP="00656656">
            <w:pPr>
              <w:jc w:val="center"/>
              <w:rPr>
                <w:sz w:val="20"/>
                <w:szCs w:val="20"/>
              </w:rPr>
            </w:pPr>
          </w:p>
        </w:tc>
      </w:tr>
      <w:tr w:rsidR="00656656" w:rsidRPr="001B1DB1" w14:paraId="5BB7B676" w14:textId="77777777" w:rsidTr="00302772">
        <w:trPr>
          <w:trHeight w:val="424"/>
        </w:trPr>
        <w:tc>
          <w:tcPr>
            <w:tcW w:w="709" w:type="dxa"/>
            <w:vMerge w:val="restart"/>
          </w:tcPr>
          <w:p w14:paraId="2A3513FE" w14:textId="77777777" w:rsidR="00656656" w:rsidRPr="001B1DB1" w:rsidRDefault="00656656" w:rsidP="00656656">
            <w:pPr>
              <w:jc w:val="center"/>
              <w:rPr>
                <w:rFonts w:cs="Times New Roman"/>
                <w:bCs/>
                <w:sz w:val="20"/>
                <w:szCs w:val="20"/>
              </w:rPr>
            </w:pPr>
            <w:bookmarkStart w:id="3" w:name="_Hlk37853505"/>
            <w:r w:rsidRPr="001B1DB1">
              <w:rPr>
                <w:rFonts w:cs="Times New Roman"/>
                <w:bCs/>
                <w:sz w:val="20"/>
                <w:szCs w:val="20"/>
              </w:rPr>
              <w:t>4.11.</w:t>
            </w:r>
          </w:p>
        </w:tc>
        <w:tc>
          <w:tcPr>
            <w:tcW w:w="3686" w:type="dxa"/>
            <w:vMerge w:val="restart"/>
            <w:shd w:val="clear" w:color="auto" w:fill="auto"/>
          </w:tcPr>
          <w:p w14:paraId="514CB8D6" w14:textId="77777777" w:rsidR="00656656" w:rsidRPr="001B1DB1" w:rsidRDefault="00656656" w:rsidP="00656656">
            <w:pPr>
              <w:jc w:val="both"/>
              <w:rPr>
                <w:sz w:val="20"/>
                <w:szCs w:val="20"/>
              </w:rPr>
            </w:pPr>
            <w:r w:rsidRPr="001B1DB1">
              <w:rPr>
                <w:sz w:val="20"/>
                <w:szCs w:val="20"/>
              </w:rPr>
              <w:t>Radīt iespēju VID, FID piekļūt kredītiestāžu sniegtajai statistiskajai informācijai FKTK par NILLTPF risku, piemēram, klientu sadalījumu pēc PLG valsts (Kredītiestāžu likuma 110.</w:t>
            </w:r>
            <w:r w:rsidRPr="001B1DB1">
              <w:rPr>
                <w:sz w:val="20"/>
                <w:szCs w:val="20"/>
                <w:vertAlign w:val="superscript"/>
              </w:rPr>
              <w:t>1</w:t>
            </w:r>
            <w:r w:rsidRPr="001B1DB1">
              <w:rPr>
                <w:sz w:val="20"/>
                <w:szCs w:val="20"/>
              </w:rPr>
              <w:t xml:space="preserve"> pants).</w:t>
            </w:r>
          </w:p>
        </w:tc>
        <w:tc>
          <w:tcPr>
            <w:tcW w:w="1559" w:type="dxa"/>
            <w:vMerge w:val="restart"/>
          </w:tcPr>
          <w:p w14:paraId="075BC11D" w14:textId="77777777" w:rsidR="00656656" w:rsidRPr="001B1DB1" w:rsidRDefault="00656656" w:rsidP="00656656">
            <w:pPr>
              <w:jc w:val="both"/>
              <w:rPr>
                <w:rFonts w:cs="Times New Roman"/>
                <w:sz w:val="20"/>
                <w:szCs w:val="20"/>
              </w:rPr>
            </w:pPr>
          </w:p>
        </w:tc>
        <w:tc>
          <w:tcPr>
            <w:tcW w:w="2551" w:type="dxa"/>
            <w:vMerge w:val="restart"/>
            <w:shd w:val="clear" w:color="auto" w:fill="auto"/>
          </w:tcPr>
          <w:p w14:paraId="660C2111" w14:textId="1A1265B0" w:rsidR="00656656" w:rsidRPr="001B1DB1" w:rsidRDefault="00656656" w:rsidP="00656656">
            <w:pPr>
              <w:jc w:val="both"/>
              <w:rPr>
                <w:rFonts w:cs="Times New Roman"/>
                <w:sz w:val="20"/>
                <w:szCs w:val="20"/>
              </w:rPr>
            </w:pPr>
            <w:r w:rsidRPr="008B395B">
              <w:rPr>
                <w:rFonts w:cs="Times New Roman"/>
                <w:sz w:val="20"/>
                <w:szCs w:val="20"/>
              </w:rPr>
              <w:t xml:space="preserve">Uzlabota valsts iestāžu savstarpējās informācijas apmaiņa, kas palīdzētu labāk identificēt potenciālos riskus, darbības virzienus, veikt kvalitatīvāku uzraudzību, it īpaši </w:t>
            </w:r>
            <w:r w:rsidRPr="00C55667">
              <w:rPr>
                <w:rFonts w:cs="Times New Roman"/>
                <w:sz w:val="20"/>
                <w:szCs w:val="20"/>
              </w:rPr>
              <w:t>Globāl</w:t>
            </w:r>
            <w:r>
              <w:rPr>
                <w:rFonts w:cs="Times New Roman"/>
                <w:sz w:val="20"/>
                <w:szCs w:val="20"/>
              </w:rPr>
              <w:t>ā</w:t>
            </w:r>
            <w:r w:rsidRPr="00C55667">
              <w:rPr>
                <w:rFonts w:cs="Times New Roman"/>
                <w:sz w:val="20"/>
                <w:szCs w:val="20"/>
              </w:rPr>
              <w:t xml:space="preserve"> standart</w:t>
            </w:r>
            <w:r>
              <w:rPr>
                <w:rFonts w:cs="Times New Roman"/>
                <w:sz w:val="20"/>
                <w:szCs w:val="20"/>
              </w:rPr>
              <w:t xml:space="preserve">a </w:t>
            </w:r>
            <w:r w:rsidRPr="00C55667">
              <w:rPr>
                <w:rFonts w:cs="Times New Roman"/>
                <w:sz w:val="20"/>
                <w:szCs w:val="20"/>
              </w:rPr>
              <w:t>par automātisko</w:t>
            </w:r>
            <w:r>
              <w:rPr>
                <w:rFonts w:cs="Times New Roman"/>
                <w:sz w:val="20"/>
                <w:szCs w:val="20"/>
              </w:rPr>
              <w:t xml:space="preserve"> </w:t>
            </w:r>
            <w:r w:rsidRPr="00C55667">
              <w:rPr>
                <w:rFonts w:cs="Times New Roman"/>
                <w:sz w:val="20"/>
                <w:szCs w:val="20"/>
              </w:rPr>
              <w:t xml:space="preserve">informācijas apmaiņu par finanšu kontiem </w:t>
            </w:r>
            <w:r>
              <w:rPr>
                <w:rFonts w:cs="Times New Roman"/>
                <w:sz w:val="20"/>
                <w:szCs w:val="20"/>
              </w:rPr>
              <w:t xml:space="preserve">(OECD </w:t>
            </w:r>
            <w:r w:rsidRPr="008B395B">
              <w:rPr>
                <w:rFonts w:cs="Times New Roman"/>
                <w:sz w:val="20"/>
                <w:szCs w:val="20"/>
              </w:rPr>
              <w:t>CRS</w:t>
            </w:r>
            <w:r>
              <w:rPr>
                <w:rFonts w:cs="Times New Roman"/>
                <w:sz w:val="20"/>
                <w:szCs w:val="20"/>
              </w:rPr>
              <w:t>)</w:t>
            </w:r>
            <w:r w:rsidRPr="008B395B">
              <w:rPr>
                <w:rFonts w:cs="Times New Roman"/>
                <w:sz w:val="20"/>
                <w:szCs w:val="20"/>
              </w:rPr>
              <w:t xml:space="preserve"> jomā.</w:t>
            </w:r>
          </w:p>
        </w:tc>
        <w:tc>
          <w:tcPr>
            <w:tcW w:w="2694" w:type="dxa"/>
          </w:tcPr>
          <w:p w14:paraId="7A5D7778" w14:textId="1ED2706A" w:rsidR="00656656" w:rsidRPr="001B1DB1" w:rsidRDefault="00656656" w:rsidP="00656656">
            <w:pPr>
              <w:jc w:val="both"/>
              <w:rPr>
                <w:rFonts w:cs="Times New Roman"/>
                <w:sz w:val="20"/>
                <w:szCs w:val="20"/>
              </w:rPr>
            </w:pPr>
            <w:r>
              <w:rPr>
                <w:rFonts w:cs="Times New Roman"/>
                <w:sz w:val="20"/>
                <w:szCs w:val="20"/>
              </w:rPr>
              <w:t xml:space="preserve">1. Sagatavots vērtējums par apmainīšanos ar statistisko informāciju, kas palīdzētu labāk identificēt potenciālos riskus, darbības virzienus un veikt kvalitatīvāku uzraudzību. </w:t>
            </w:r>
          </w:p>
        </w:tc>
        <w:tc>
          <w:tcPr>
            <w:tcW w:w="1134" w:type="dxa"/>
            <w:shd w:val="clear" w:color="auto" w:fill="auto"/>
          </w:tcPr>
          <w:p w14:paraId="10A7733C" w14:textId="6D63CDF2" w:rsidR="00656656" w:rsidRDefault="00656656" w:rsidP="00656656">
            <w:pPr>
              <w:jc w:val="center"/>
              <w:rPr>
                <w:sz w:val="20"/>
                <w:szCs w:val="20"/>
              </w:rPr>
            </w:pPr>
            <w:r w:rsidRPr="001B1DB1">
              <w:rPr>
                <w:sz w:val="20"/>
                <w:szCs w:val="20"/>
              </w:rPr>
              <w:t xml:space="preserve">FID, FKTK, </w:t>
            </w:r>
            <w:r w:rsidRPr="007325CA">
              <w:rPr>
                <w:sz w:val="20"/>
                <w:szCs w:val="20"/>
              </w:rPr>
              <w:t>LFNA</w:t>
            </w:r>
            <w:r>
              <w:rPr>
                <w:sz w:val="20"/>
                <w:szCs w:val="20"/>
              </w:rPr>
              <w:t>, VID</w:t>
            </w:r>
            <w:r w:rsidRPr="001B1DB1" w:rsidDel="00302772">
              <w:rPr>
                <w:sz w:val="20"/>
                <w:szCs w:val="20"/>
              </w:rPr>
              <w:t xml:space="preserve"> </w:t>
            </w:r>
          </w:p>
          <w:p w14:paraId="02FC7C2C" w14:textId="77777777" w:rsidR="00656656" w:rsidRDefault="00656656" w:rsidP="00656656">
            <w:pPr>
              <w:jc w:val="center"/>
              <w:rPr>
                <w:sz w:val="20"/>
                <w:szCs w:val="20"/>
              </w:rPr>
            </w:pPr>
          </w:p>
          <w:p w14:paraId="2B346061" w14:textId="77777777" w:rsidR="00656656" w:rsidRDefault="00656656" w:rsidP="00656656">
            <w:pPr>
              <w:jc w:val="center"/>
              <w:rPr>
                <w:sz w:val="20"/>
                <w:szCs w:val="20"/>
              </w:rPr>
            </w:pPr>
          </w:p>
          <w:p w14:paraId="13622C28" w14:textId="77777777" w:rsidR="00656656" w:rsidRDefault="00656656" w:rsidP="00656656">
            <w:pPr>
              <w:jc w:val="center"/>
              <w:rPr>
                <w:sz w:val="20"/>
                <w:szCs w:val="20"/>
              </w:rPr>
            </w:pPr>
          </w:p>
          <w:p w14:paraId="3844A684" w14:textId="77777777" w:rsidR="00656656" w:rsidRDefault="00656656" w:rsidP="00656656">
            <w:pPr>
              <w:jc w:val="center"/>
              <w:rPr>
                <w:sz w:val="20"/>
                <w:szCs w:val="20"/>
              </w:rPr>
            </w:pPr>
          </w:p>
          <w:p w14:paraId="6EBD1ED1" w14:textId="28E0B6D3" w:rsidR="00656656" w:rsidRPr="001B1DB1" w:rsidRDefault="00656656" w:rsidP="00656656">
            <w:pPr>
              <w:jc w:val="center"/>
              <w:rPr>
                <w:sz w:val="20"/>
                <w:szCs w:val="20"/>
              </w:rPr>
            </w:pPr>
          </w:p>
        </w:tc>
        <w:tc>
          <w:tcPr>
            <w:tcW w:w="1275" w:type="dxa"/>
            <w:shd w:val="clear" w:color="auto" w:fill="auto"/>
          </w:tcPr>
          <w:p w14:paraId="64247937" w14:textId="6538AFA9" w:rsidR="00656656" w:rsidRDefault="00656656" w:rsidP="00656656">
            <w:pPr>
              <w:jc w:val="center"/>
              <w:rPr>
                <w:sz w:val="20"/>
                <w:szCs w:val="20"/>
              </w:rPr>
            </w:pPr>
            <w:r>
              <w:rPr>
                <w:sz w:val="20"/>
                <w:szCs w:val="20"/>
              </w:rPr>
              <w:t xml:space="preserve">FM </w:t>
            </w:r>
          </w:p>
          <w:p w14:paraId="68542B3D" w14:textId="452B6B66" w:rsidR="00656656" w:rsidRPr="001B1DB1" w:rsidRDefault="00656656" w:rsidP="00656656">
            <w:pPr>
              <w:jc w:val="center"/>
              <w:rPr>
                <w:sz w:val="20"/>
                <w:szCs w:val="20"/>
              </w:rPr>
            </w:pPr>
          </w:p>
        </w:tc>
        <w:tc>
          <w:tcPr>
            <w:tcW w:w="1418" w:type="dxa"/>
            <w:shd w:val="clear" w:color="auto" w:fill="auto"/>
          </w:tcPr>
          <w:p w14:paraId="70FA4E25" w14:textId="295FED35" w:rsidR="00656656" w:rsidRDefault="00656656" w:rsidP="00656656">
            <w:pPr>
              <w:jc w:val="center"/>
              <w:rPr>
                <w:rFonts w:cs="Times New Roman"/>
                <w:bCs/>
                <w:sz w:val="20"/>
                <w:szCs w:val="20"/>
              </w:rPr>
            </w:pPr>
            <w:r>
              <w:rPr>
                <w:rFonts w:cs="Times New Roman"/>
                <w:bCs/>
                <w:sz w:val="20"/>
                <w:szCs w:val="20"/>
              </w:rPr>
              <w:t>0</w:t>
            </w:r>
            <w:r w:rsidRPr="001B1DB1">
              <w:rPr>
                <w:rFonts w:cs="Times New Roman"/>
                <w:bCs/>
                <w:sz w:val="20"/>
                <w:szCs w:val="20"/>
              </w:rPr>
              <w:t>1.</w:t>
            </w:r>
            <w:r w:rsidR="004E6BD5">
              <w:rPr>
                <w:rFonts w:cs="Times New Roman"/>
                <w:bCs/>
                <w:sz w:val="20"/>
                <w:szCs w:val="20"/>
              </w:rPr>
              <w:t>12</w:t>
            </w:r>
            <w:r w:rsidRPr="001B1DB1">
              <w:rPr>
                <w:rFonts w:cs="Times New Roman"/>
                <w:bCs/>
                <w:sz w:val="20"/>
                <w:szCs w:val="20"/>
              </w:rPr>
              <w:t>.2020.</w:t>
            </w:r>
          </w:p>
          <w:p w14:paraId="4D94E264" w14:textId="77777777" w:rsidR="00656656" w:rsidRDefault="00656656" w:rsidP="00656656">
            <w:pPr>
              <w:jc w:val="center"/>
              <w:rPr>
                <w:rFonts w:cs="Times New Roman"/>
                <w:bCs/>
                <w:sz w:val="20"/>
                <w:szCs w:val="20"/>
              </w:rPr>
            </w:pPr>
          </w:p>
          <w:p w14:paraId="000BB1FC" w14:textId="70F54A32" w:rsidR="00656656" w:rsidRPr="001B1DB1" w:rsidRDefault="00656656" w:rsidP="00656656">
            <w:pPr>
              <w:jc w:val="center"/>
              <w:rPr>
                <w:rFonts w:cs="Times New Roman"/>
                <w:bCs/>
                <w:sz w:val="20"/>
                <w:szCs w:val="20"/>
              </w:rPr>
            </w:pPr>
            <w:r>
              <w:rPr>
                <w:rFonts w:cs="Times New Roman"/>
                <w:bCs/>
                <w:sz w:val="20"/>
                <w:szCs w:val="20"/>
              </w:rPr>
              <w:t xml:space="preserve"> </w:t>
            </w:r>
          </w:p>
        </w:tc>
      </w:tr>
      <w:tr w:rsidR="00656656" w:rsidRPr="001B1DB1" w14:paraId="764FA1B1" w14:textId="77777777" w:rsidTr="00C842AB">
        <w:trPr>
          <w:trHeight w:val="1359"/>
        </w:trPr>
        <w:tc>
          <w:tcPr>
            <w:tcW w:w="709" w:type="dxa"/>
            <w:vMerge/>
          </w:tcPr>
          <w:p w14:paraId="073CF7ED" w14:textId="77777777" w:rsidR="00656656" w:rsidRPr="001B1DB1" w:rsidRDefault="00656656" w:rsidP="00656656">
            <w:pPr>
              <w:jc w:val="center"/>
              <w:rPr>
                <w:rFonts w:cs="Times New Roman"/>
                <w:bCs/>
                <w:sz w:val="20"/>
                <w:szCs w:val="20"/>
              </w:rPr>
            </w:pPr>
          </w:p>
        </w:tc>
        <w:tc>
          <w:tcPr>
            <w:tcW w:w="3686" w:type="dxa"/>
            <w:vMerge/>
            <w:shd w:val="clear" w:color="auto" w:fill="auto"/>
          </w:tcPr>
          <w:p w14:paraId="48FFF160" w14:textId="77777777" w:rsidR="00656656" w:rsidRPr="001B1DB1" w:rsidRDefault="00656656" w:rsidP="00656656">
            <w:pPr>
              <w:jc w:val="both"/>
              <w:rPr>
                <w:sz w:val="20"/>
                <w:szCs w:val="20"/>
              </w:rPr>
            </w:pPr>
          </w:p>
        </w:tc>
        <w:tc>
          <w:tcPr>
            <w:tcW w:w="1559" w:type="dxa"/>
            <w:vMerge/>
          </w:tcPr>
          <w:p w14:paraId="1DDBC525" w14:textId="77777777" w:rsidR="00656656" w:rsidRPr="001B1DB1" w:rsidRDefault="00656656" w:rsidP="00656656">
            <w:pPr>
              <w:jc w:val="both"/>
              <w:rPr>
                <w:rFonts w:cs="Times New Roman"/>
                <w:sz w:val="20"/>
                <w:szCs w:val="20"/>
              </w:rPr>
            </w:pPr>
          </w:p>
        </w:tc>
        <w:tc>
          <w:tcPr>
            <w:tcW w:w="2551" w:type="dxa"/>
            <w:vMerge/>
            <w:shd w:val="clear" w:color="auto" w:fill="auto"/>
          </w:tcPr>
          <w:p w14:paraId="1326EB0B" w14:textId="77777777" w:rsidR="00656656" w:rsidRPr="001B1DB1" w:rsidRDefault="00656656" w:rsidP="00656656">
            <w:pPr>
              <w:jc w:val="both"/>
              <w:rPr>
                <w:rFonts w:cs="Times New Roman"/>
                <w:sz w:val="20"/>
                <w:szCs w:val="20"/>
              </w:rPr>
            </w:pPr>
          </w:p>
        </w:tc>
        <w:tc>
          <w:tcPr>
            <w:tcW w:w="2694" w:type="dxa"/>
          </w:tcPr>
          <w:p w14:paraId="5713CD3A" w14:textId="601BDF4C" w:rsidR="00656656" w:rsidRPr="001B1DB1" w:rsidRDefault="00656656" w:rsidP="00656656">
            <w:pPr>
              <w:jc w:val="both"/>
              <w:rPr>
                <w:rFonts w:cs="Times New Roman"/>
                <w:sz w:val="20"/>
                <w:szCs w:val="20"/>
              </w:rPr>
            </w:pPr>
            <w:r>
              <w:rPr>
                <w:rFonts w:cs="Times New Roman"/>
                <w:sz w:val="20"/>
                <w:szCs w:val="20"/>
              </w:rPr>
              <w:t>2. Nepieciešamības gadījumā s</w:t>
            </w:r>
            <w:r w:rsidRPr="001B1DB1">
              <w:rPr>
                <w:rFonts w:cs="Times New Roman"/>
                <w:sz w:val="20"/>
                <w:szCs w:val="20"/>
              </w:rPr>
              <w:t>agatavoti un MK iesniegti normatīvo aktu grozījumi, kas pieļautu apmainīšanos ar statistik</w:t>
            </w:r>
            <w:r>
              <w:rPr>
                <w:rFonts w:cs="Times New Roman"/>
                <w:sz w:val="20"/>
                <w:szCs w:val="20"/>
              </w:rPr>
              <w:t>as datiem</w:t>
            </w:r>
            <w:r w:rsidRPr="001B1DB1">
              <w:rPr>
                <w:rFonts w:cs="Times New Roman"/>
                <w:sz w:val="20"/>
                <w:szCs w:val="20"/>
              </w:rPr>
              <w:t xml:space="preserve"> konkrētu kredītiestāžu griezumā.</w:t>
            </w:r>
          </w:p>
        </w:tc>
        <w:tc>
          <w:tcPr>
            <w:tcW w:w="1134" w:type="dxa"/>
            <w:shd w:val="clear" w:color="auto" w:fill="auto"/>
          </w:tcPr>
          <w:p w14:paraId="2DB507CF" w14:textId="7FC25464" w:rsidR="00656656" w:rsidRPr="001B1DB1" w:rsidDel="00302772" w:rsidRDefault="00656656" w:rsidP="00656656">
            <w:pPr>
              <w:jc w:val="center"/>
              <w:rPr>
                <w:sz w:val="20"/>
                <w:szCs w:val="20"/>
              </w:rPr>
            </w:pPr>
            <w:r>
              <w:rPr>
                <w:sz w:val="20"/>
                <w:szCs w:val="20"/>
              </w:rPr>
              <w:t>FM</w:t>
            </w:r>
          </w:p>
        </w:tc>
        <w:tc>
          <w:tcPr>
            <w:tcW w:w="1275" w:type="dxa"/>
            <w:shd w:val="clear" w:color="auto" w:fill="auto"/>
          </w:tcPr>
          <w:p w14:paraId="14F94C98" w14:textId="5D450627" w:rsidR="00656656" w:rsidRPr="001B1DB1" w:rsidRDefault="00656656" w:rsidP="00656656">
            <w:pPr>
              <w:jc w:val="center"/>
              <w:rPr>
                <w:sz w:val="20"/>
                <w:szCs w:val="20"/>
              </w:rPr>
            </w:pPr>
            <w:r w:rsidRPr="001B1DB1">
              <w:rPr>
                <w:sz w:val="20"/>
                <w:szCs w:val="20"/>
              </w:rPr>
              <w:t xml:space="preserve">FID, FKTK, </w:t>
            </w:r>
            <w:r w:rsidRPr="007325CA">
              <w:rPr>
                <w:sz w:val="20"/>
                <w:szCs w:val="20"/>
              </w:rPr>
              <w:t>LFNA</w:t>
            </w:r>
            <w:r>
              <w:rPr>
                <w:sz w:val="20"/>
                <w:szCs w:val="20"/>
              </w:rPr>
              <w:t>, VID</w:t>
            </w:r>
          </w:p>
        </w:tc>
        <w:tc>
          <w:tcPr>
            <w:tcW w:w="1418" w:type="dxa"/>
            <w:shd w:val="clear" w:color="auto" w:fill="auto"/>
          </w:tcPr>
          <w:p w14:paraId="3AFC2621" w14:textId="4D9F6317" w:rsidR="00656656" w:rsidRPr="001B1DB1" w:rsidRDefault="004E6BD5" w:rsidP="004E6BD5">
            <w:pPr>
              <w:jc w:val="center"/>
              <w:rPr>
                <w:rFonts w:cs="Times New Roman"/>
                <w:bCs/>
                <w:sz w:val="20"/>
                <w:szCs w:val="20"/>
              </w:rPr>
            </w:pPr>
            <w:r>
              <w:rPr>
                <w:rFonts w:cs="Times New Roman"/>
                <w:bCs/>
                <w:sz w:val="20"/>
                <w:szCs w:val="20"/>
              </w:rPr>
              <w:t>0</w:t>
            </w:r>
            <w:r w:rsidR="00656656">
              <w:rPr>
                <w:rFonts w:cs="Times New Roman"/>
                <w:bCs/>
                <w:sz w:val="20"/>
                <w:szCs w:val="20"/>
              </w:rPr>
              <w:t>1.</w:t>
            </w:r>
            <w:r>
              <w:rPr>
                <w:rFonts w:cs="Times New Roman"/>
                <w:bCs/>
                <w:sz w:val="20"/>
                <w:szCs w:val="20"/>
              </w:rPr>
              <w:t>04</w:t>
            </w:r>
            <w:r w:rsidR="00656656">
              <w:rPr>
                <w:rFonts w:cs="Times New Roman"/>
                <w:bCs/>
                <w:sz w:val="20"/>
                <w:szCs w:val="20"/>
              </w:rPr>
              <w:t>.202</w:t>
            </w:r>
            <w:r>
              <w:rPr>
                <w:rFonts w:cs="Times New Roman"/>
                <w:bCs/>
                <w:sz w:val="20"/>
                <w:szCs w:val="20"/>
              </w:rPr>
              <w:t>1</w:t>
            </w:r>
            <w:r w:rsidR="00656656">
              <w:rPr>
                <w:rFonts w:cs="Times New Roman"/>
                <w:bCs/>
                <w:sz w:val="20"/>
                <w:szCs w:val="20"/>
              </w:rPr>
              <w:t>.</w:t>
            </w:r>
          </w:p>
        </w:tc>
      </w:tr>
      <w:bookmarkEnd w:id="3"/>
      <w:tr w:rsidR="00656656" w:rsidRPr="001B1DB1" w14:paraId="25223C8B" w14:textId="77777777" w:rsidTr="0057384E">
        <w:trPr>
          <w:trHeight w:val="543"/>
        </w:trPr>
        <w:tc>
          <w:tcPr>
            <w:tcW w:w="709" w:type="dxa"/>
          </w:tcPr>
          <w:p w14:paraId="31DFA343" w14:textId="77777777" w:rsidR="00656656" w:rsidRPr="001B1DB1" w:rsidRDefault="00656656" w:rsidP="00656656">
            <w:pPr>
              <w:jc w:val="center"/>
              <w:rPr>
                <w:rFonts w:cs="Times New Roman"/>
                <w:bCs/>
                <w:sz w:val="20"/>
                <w:szCs w:val="20"/>
              </w:rPr>
            </w:pPr>
            <w:r w:rsidRPr="001B1DB1">
              <w:rPr>
                <w:rFonts w:cs="Times New Roman"/>
                <w:bCs/>
                <w:sz w:val="20"/>
                <w:szCs w:val="20"/>
              </w:rPr>
              <w:t>4.12.</w:t>
            </w:r>
          </w:p>
        </w:tc>
        <w:tc>
          <w:tcPr>
            <w:tcW w:w="3686" w:type="dxa"/>
            <w:shd w:val="clear" w:color="auto" w:fill="auto"/>
          </w:tcPr>
          <w:p w14:paraId="6B871302" w14:textId="77777777" w:rsidR="00656656" w:rsidRPr="001B1DB1" w:rsidRDefault="00656656" w:rsidP="00656656">
            <w:pPr>
              <w:jc w:val="both"/>
              <w:rPr>
                <w:sz w:val="20"/>
                <w:szCs w:val="20"/>
              </w:rPr>
            </w:pPr>
            <w:r w:rsidRPr="001B1DB1">
              <w:rPr>
                <w:sz w:val="20"/>
                <w:szCs w:val="20"/>
              </w:rPr>
              <w:t xml:space="preserve">Pārskatīt gadījumus un kārtību, kādā kredītiestādes sniedz neizpaužamās ziņas tiesībaizsardzības iestādēm (Kredītiestāžu likuma 63.pants), tostarp, paredzot kredītiestādes tiesības pašai izpaust šīs ziņas samērīgā apjomā finanšu stabilitātes nodrošināšanai, atbildot uz publiskā telpā esošiem pārmetumiem, kā arī precizēt kredītiestāžu darbinieku kriminālatbildības tvērumu par informācijas sniegšanu valstij </w:t>
            </w:r>
            <w:r w:rsidRPr="001B1DB1">
              <w:rPr>
                <w:sz w:val="20"/>
                <w:szCs w:val="20"/>
              </w:rPr>
              <w:lastRenderedPageBreak/>
              <w:t>(piemēram, ja informācija sniegta plašāk nekā formāli pieprasīts).</w:t>
            </w:r>
          </w:p>
        </w:tc>
        <w:tc>
          <w:tcPr>
            <w:tcW w:w="1559" w:type="dxa"/>
          </w:tcPr>
          <w:p w14:paraId="37F1337B" w14:textId="77777777" w:rsidR="00656656" w:rsidRPr="001B1DB1" w:rsidRDefault="00656656" w:rsidP="00656656">
            <w:pPr>
              <w:jc w:val="both"/>
              <w:rPr>
                <w:rFonts w:cs="Times New Roman"/>
                <w:sz w:val="20"/>
                <w:szCs w:val="20"/>
              </w:rPr>
            </w:pPr>
          </w:p>
        </w:tc>
        <w:tc>
          <w:tcPr>
            <w:tcW w:w="2551" w:type="dxa"/>
            <w:shd w:val="clear" w:color="auto" w:fill="auto"/>
          </w:tcPr>
          <w:p w14:paraId="3B50C3FC" w14:textId="121C0030" w:rsidR="00656656" w:rsidRPr="001B1DB1" w:rsidRDefault="00656656" w:rsidP="00656656">
            <w:pPr>
              <w:jc w:val="both"/>
              <w:rPr>
                <w:rFonts w:cs="Times New Roman"/>
                <w:sz w:val="20"/>
                <w:szCs w:val="20"/>
              </w:rPr>
            </w:pPr>
            <w:r w:rsidRPr="001B1DB1">
              <w:rPr>
                <w:rFonts w:cs="Times New Roman"/>
                <w:sz w:val="20"/>
                <w:szCs w:val="20"/>
              </w:rPr>
              <w:t>Kredītiestād</w:t>
            </w:r>
            <w:r>
              <w:rPr>
                <w:rFonts w:cs="Times New Roman"/>
                <w:sz w:val="20"/>
                <w:szCs w:val="20"/>
              </w:rPr>
              <w:t>ēm</w:t>
            </w:r>
            <w:r w:rsidRPr="001B1DB1">
              <w:rPr>
                <w:rFonts w:cs="Times New Roman"/>
                <w:sz w:val="20"/>
                <w:szCs w:val="20"/>
              </w:rPr>
              <w:t xml:space="preserve"> paš</w:t>
            </w:r>
            <w:r>
              <w:rPr>
                <w:rFonts w:cs="Times New Roman"/>
                <w:sz w:val="20"/>
                <w:szCs w:val="20"/>
              </w:rPr>
              <w:t>ām</w:t>
            </w:r>
            <w:r w:rsidRPr="001B1DB1">
              <w:rPr>
                <w:rFonts w:cs="Times New Roman"/>
                <w:sz w:val="20"/>
                <w:szCs w:val="20"/>
              </w:rPr>
              <w:t xml:space="preserve"> </w:t>
            </w:r>
            <w:r>
              <w:rPr>
                <w:rFonts w:cs="Times New Roman"/>
                <w:sz w:val="20"/>
                <w:szCs w:val="20"/>
              </w:rPr>
              <w:t xml:space="preserve">dota </w:t>
            </w:r>
            <w:r w:rsidRPr="001B1DB1">
              <w:rPr>
                <w:rFonts w:cs="Times New Roman"/>
                <w:sz w:val="20"/>
                <w:szCs w:val="20"/>
              </w:rPr>
              <w:t>iespēja atbildēt uz nepatiesām ziņām, līdz ar to stiprināt finanšu stabilitāti. Kriminālatbildības tvēruma kredītiestāžu darbiniekiem pārskatīšanas rezultātā valsts iegū</w:t>
            </w:r>
            <w:r>
              <w:rPr>
                <w:rFonts w:cs="Times New Roman"/>
                <w:sz w:val="20"/>
                <w:szCs w:val="20"/>
              </w:rPr>
              <w:t>st</w:t>
            </w:r>
            <w:r w:rsidRPr="001B1DB1">
              <w:rPr>
                <w:rFonts w:cs="Times New Roman"/>
                <w:sz w:val="20"/>
                <w:szCs w:val="20"/>
              </w:rPr>
              <w:t xml:space="preserve"> pilnīgāku informāciju, kā arī informācijas apmaiņa noti</w:t>
            </w:r>
            <w:r>
              <w:rPr>
                <w:rFonts w:cs="Times New Roman"/>
                <w:sz w:val="20"/>
                <w:szCs w:val="20"/>
              </w:rPr>
              <w:t>e</w:t>
            </w:r>
            <w:r w:rsidRPr="001B1DB1">
              <w:rPr>
                <w:rFonts w:cs="Times New Roman"/>
                <w:sz w:val="20"/>
                <w:szCs w:val="20"/>
              </w:rPr>
              <w:t xml:space="preserve">k raitāk. Kopumā uzlabota informācijas </w:t>
            </w:r>
            <w:r w:rsidRPr="001B1DB1">
              <w:rPr>
                <w:rFonts w:cs="Times New Roman"/>
                <w:sz w:val="20"/>
                <w:szCs w:val="20"/>
              </w:rPr>
              <w:lastRenderedPageBreak/>
              <w:t xml:space="preserve">apmaiņa gan </w:t>
            </w:r>
            <w:r>
              <w:rPr>
                <w:rFonts w:cs="Times New Roman"/>
                <w:sz w:val="20"/>
                <w:szCs w:val="20"/>
              </w:rPr>
              <w:t xml:space="preserve">starp </w:t>
            </w:r>
            <w:r w:rsidRPr="001B1DB1">
              <w:rPr>
                <w:rFonts w:cs="Times New Roman"/>
                <w:sz w:val="20"/>
                <w:szCs w:val="20"/>
              </w:rPr>
              <w:t>kredītiestād</w:t>
            </w:r>
            <w:r>
              <w:rPr>
                <w:rFonts w:cs="Times New Roman"/>
                <w:sz w:val="20"/>
                <w:szCs w:val="20"/>
              </w:rPr>
              <w:t>ēm un</w:t>
            </w:r>
            <w:r w:rsidRPr="001B1DB1">
              <w:rPr>
                <w:rFonts w:cs="Times New Roman"/>
                <w:sz w:val="20"/>
                <w:szCs w:val="20"/>
              </w:rPr>
              <w:t xml:space="preserve"> valst</w:t>
            </w:r>
            <w:r>
              <w:rPr>
                <w:rFonts w:cs="Times New Roman"/>
                <w:sz w:val="20"/>
                <w:szCs w:val="20"/>
              </w:rPr>
              <w:t>i</w:t>
            </w:r>
            <w:r w:rsidRPr="001B1DB1">
              <w:rPr>
                <w:rFonts w:cs="Times New Roman"/>
                <w:sz w:val="20"/>
                <w:szCs w:val="20"/>
              </w:rPr>
              <w:t xml:space="preserve">, gan </w:t>
            </w:r>
            <w:r>
              <w:rPr>
                <w:rFonts w:cs="Times New Roman"/>
                <w:sz w:val="20"/>
                <w:szCs w:val="20"/>
              </w:rPr>
              <w:t xml:space="preserve">starp </w:t>
            </w:r>
            <w:r w:rsidRPr="001B1DB1">
              <w:rPr>
                <w:rFonts w:cs="Times New Roman"/>
                <w:sz w:val="20"/>
                <w:szCs w:val="20"/>
              </w:rPr>
              <w:t>kredītiestād</w:t>
            </w:r>
            <w:r>
              <w:rPr>
                <w:rFonts w:cs="Times New Roman"/>
                <w:sz w:val="20"/>
                <w:szCs w:val="20"/>
              </w:rPr>
              <w:t>ēm un</w:t>
            </w:r>
            <w:r w:rsidRPr="001B1DB1">
              <w:rPr>
                <w:rFonts w:cs="Times New Roman"/>
                <w:sz w:val="20"/>
                <w:szCs w:val="20"/>
              </w:rPr>
              <w:t xml:space="preserve"> sabiedrīb</w:t>
            </w:r>
            <w:r>
              <w:rPr>
                <w:rFonts w:cs="Times New Roman"/>
                <w:sz w:val="20"/>
                <w:szCs w:val="20"/>
              </w:rPr>
              <w:t>u</w:t>
            </w:r>
            <w:r w:rsidRPr="001B1DB1">
              <w:rPr>
                <w:rFonts w:cs="Times New Roman"/>
                <w:sz w:val="20"/>
                <w:szCs w:val="20"/>
              </w:rPr>
              <w:t>.</w:t>
            </w:r>
          </w:p>
        </w:tc>
        <w:tc>
          <w:tcPr>
            <w:tcW w:w="2694" w:type="dxa"/>
          </w:tcPr>
          <w:p w14:paraId="247B6D45" w14:textId="77777777" w:rsidR="00656656" w:rsidRPr="001B1DB1" w:rsidRDefault="00656656" w:rsidP="00656656">
            <w:pPr>
              <w:jc w:val="both"/>
              <w:rPr>
                <w:rFonts w:cs="Times New Roman"/>
                <w:sz w:val="20"/>
                <w:szCs w:val="20"/>
              </w:rPr>
            </w:pPr>
            <w:r w:rsidRPr="001B1DB1">
              <w:rPr>
                <w:rFonts w:cs="Times New Roman"/>
                <w:sz w:val="20"/>
                <w:szCs w:val="20"/>
              </w:rPr>
              <w:lastRenderedPageBreak/>
              <w:t>Sagatavoti un MK iesniegti normatīvo aktu grozījumi.</w:t>
            </w:r>
          </w:p>
        </w:tc>
        <w:tc>
          <w:tcPr>
            <w:tcW w:w="1134" w:type="dxa"/>
            <w:shd w:val="clear" w:color="auto" w:fill="auto"/>
          </w:tcPr>
          <w:p w14:paraId="25F701EC" w14:textId="77777777" w:rsidR="00656656" w:rsidRDefault="00656656" w:rsidP="00656656">
            <w:pPr>
              <w:jc w:val="center"/>
              <w:rPr>
                <w:sz w:val="20"/>
                <w:szCs w:val="20"/>
              </w:rPr>
            </w:pPr>
            <w:r>
              <w:rPr>
                <w:sz w:val="20"/>
                <w:szCs w:val="20"/>
              </w:rPr>
              <w:t xml:space="preserve">FM </w:t>
            </w:r>
          </w:p>
          <w:p w14:paraId="2E1BB7ED" w14:textId="7726EE2C" w:rsidR="00656656" w:rsidRPr="001B1DB1" w:rsidRDefault="00656656" w:rsidP="00656656">
            <w:pPr>
              <w:jc w:val="center"/>
              <w:rPr>
                <w:sz w:val="20"/>
                <w:szCs w:val="20"/>
              </w:rPr>
            </w:pPr>
          </w:p>
        </w:tc>
        <w:tc>
          <w:tcPr>
            <w:tcW w:w="1275" w:type="dxa"/>
            <w:shd w:val="clear" w:color="auto" w:fill="auto"/>
          </w:tcPr>
          <w:p w14:paraId="786BB9FD" w14:textId="1D717DE2" w:rsidR="00656656" w:rsidRPr="001B1DB1" w:rsidRDefault="00656656" w:rsidP="00656656">
            <w:pPr>
              <w:jc w:val="center"/>
              <w:rPr>
                <w:sz w:val="20"/>
                <w:szCs w:val="20"/>
              </w:rPr>
            </w:pPr>
            <w:r w:rsidRPr="001B1DB1">
              <w:rPr>
                <w:sz w:val="20"/>
                <w:szCs w:val="20"/>
              </w:rPr>
              <w:t xml:space="preserve">FKTK, </w:t>
            </w:r>
            <w:r w:rsidRPr="007325CA">
              <w:rPr>
                <w:sz w:val="20"/>
                <w:szCs w:val="20"/>
              </w:rPr>
              <w:t>LFNA</w:t>
            </w:r>
          </w:p>
        </w:tc>
        <w:tc>
          <w:tcPr>
            <w:tcW w:w="1418" w:type="dxa"/>
            <w:shd w:val="clear" w:color="auto" w:fill="auto"/>
          </w:tcPr>
          <w:p w14:paraId="57CB1645" w14:textId="77777777" w:rsidR="00656656" w:rsidRPr="001B1DB1" w:rsidRDefault="00656656" w:rsidP="00656656">
            <w:pPr>
              <w:jc w:val="center"/>
              <w:rPr>
                <w:rFonts w:cs="Times New Roman"/>
                <w:bCs/>
                <w:sz w:val="20"/>
                <w:szCs w:val="20"/>
              </w:rPr>
            </w:pPr>
            <w:r w:rsidRPr="001B1DB1">
              <w:rPr>
                <w:rFonts w:cs="Times New Roman"/>
                <w:bCs/>
                <w:sz w:val="20"/>
                <w:szCs w:val="20"/>
              </w:rPr>
              <w:t>31.12.2020.</w:t>
            </w:r>
          </w:p>
        </w:tc>
      </w:tr>
      <w:tr w:rsidR="00656656" w:rsidRPr="001B1DB1" w14:paraId="69687514" w14:textId="77777777" w:rsidTr="0057384E">
        <w:trPr>
          <w:trHeight w:val="543"/>
        </w:trPr>
        <w:tc>
          <w:tcPr>
            <w:tcW w:w="709" w:type="dxa"/>
            <w:vMerge w:val="restart"/>
          </w:tcPr>
          <w:p w14:paraId="33883610" w14:textId="69D4C91F" w:rsidR="00656656" w:rsidRPr="001B1DB1" w:rsidRDefault="00656656" w:rsidP="00656656">
            <w:pPr>
              <w:jc w:val="center"/>
              <w:rPr>
                <w:rFonts w:cs="Times New Roman"/>
                <w:bCs/>
                <w:sz w:val="20"/>
                <w:szCs w:val="20"/>
              </w:rPr>
            </w:pPr>
            <w:r w:rsidRPr="00B27926">
              <w:rPr>
                <w:rFonts w:cs="Times New Roman"/>
                <w:bCs/>
                <w:sz w:val="20"/>
                <w:szCs w:val="20"/>
              </w:rPr>
              <w:t>4.13</w:t>
            </w:r>
          </w:p>
        </w:tc>
        <w:tc>
          <w:tcPr>
            <w:tcW w:w="3686" w:type="dxa"/>
            <w:vMerge w:val="restart"/>
            <w:shd w:val="clear" w:color="auto" w:fill="auto"/>
          </w:tcPr>
          <w:p w14:paraId="0B8EC1C8" w14:textId="76582D27" w:rsidR="00656656" w:rsidRPr="001B1DB1" w:rsidRDefault="00656656" w:rsidP="00656656">
            <w:pPr>
              <w:jc w:val="both"/>
              <w:rPr>
                <w:sz w:val="20"/>
                <w:szCs w:val="20"/>
              </w:rPr>
            </w:pPr>
            <w:r w:rsidRPr="00B27926">
              <w:rPr>
                <w:sz w:val="20"/>
                <w:szCs w:val="20"/>
              </w:rPr>
              <w:t>Optimizēt NILLTPFN prasību īstenošanas uzraudzības institucionālo sistēmu.</w:t>
            </w:r>
          </w:p>
        </w:tc>
        <w:tc>
          <w:tcPr>
            <w:tcW w:w="1559" w:type="dxa"/>
            <w:vMerge w:val="restart"/>
          </w:tcPr>
          <w:p w14:paraId="7EACD172" w14:textId="77777777" w:rsidR="00656656" w:rsidRPr="001B1DB1" w:rsidRDefault="00656656" w:rsidP="00656656">
            <w:pPr>
              <w:jc w:val="both"/>
              <w:rPr>
                <w:rFonts w:cs="Times New Roman"/>
                <w:sz w:val="20"/>
                <w:szCs w:val="20"/>
              </w:rPr>
            </w:pPr>
          </w:p>
        </w:tc>
        <w:tc>
          <w:tcPr>
            <w:tcW w:w="2551" w:type="dxa"/>
            <w:vMerge w:val="restart"/>
            <w:shd w:val="clear" w:color="auto" w:fill="auto"/>
          </w:tcPr>
          <w:p w14:paraId="46EC00AB" w14:textId="497B70BB" w:rsidR="00656656" w:rsidRPr="001B1DB1" w:rsidRDefault="00656656" w:rsidP="00656656">
            <w:pPr>
              <w:jc w:val="both"/>
              <w:rPr>
                <w:rFonts w:cs="Times New Roman"/>
                <w:sz w:val="20"/>
                <w:szCs w:val="20"/>
              </w:rPr>
            </w:pPr>
            <w:r w:rsidRPr="00B27926">
              <w:rPr>
                <w:rFonts w:cs="Times New Roman"/>
                <w:sz w:val="20"/>
                <w:szCs w:val="20"/>
              </w:rPr>
              <w:t>Radīti sistēmiski apstākļi saskaņotai un harmonizētai NILLTPFN režīma prasību īstenošanai.</w:t>
            </w:r>
          </w:p>
        </w:tc>
        <w:tc>
          <w:tcPr>
            <w:tcW w:w="2694" w:type="dxa"/>
          </w:tcPr>
          <w:p w14:paraId="66E27C81" w14:textId="22551D28" w:rsidR="00656656" w:rsidRPr="00950353" w:rsidRDefault="00656656" w:rsidP="00656656">
            <w:pPr>
              <w:jc w:val="both"/>
              <w:rPr>
                <w:rFonts w:cs="Times New Roman"/>
                <w:sz w:val="20"/>
                <w:szCs w:val="20"/>
              </w:rPr>
            </w:pPr>
            <w:r>
              <w:rPr>
                <w:rFonts w:cs="Times New Roman"/>
                <w:sz w:val="20"/>
                <w:szCs w:val="20"/>
              </w:rPr>
              <w:t xml:space="preserve">1. </w:t>
            </w:r>
            <w:r w:rsidRPr="00950353">
              <w:rPr>
                <w:rFonts w:cs="Times New Roman"/>
                <w:sz w:val="20"/>
                <w:szCs w:val="20"/>
              </w:rPr>
              <w:t>Sagatavots izvērtējums un priekšlikumi par nepieciešamajiem tiesību aktu grozījumiem NILLTPFN uzraudzības funkciju pārskatīšanai (piemēram, centralizācijai).</w:t>
            </w:r>
          </w:p>
        </w:tc>
        <w:tc>
          <w:tcPr>
            <w:tcW w:w="1134" w:type="dxa"/>
            <w:shd w:val="clear" w:color="auto" w:fill="auto"/>
          </w:tcPr>
          <w:p w14:paraId="19CF5FA5" w14:textId="05AF6851" w:rsidR="00656656" w:rsidRDefault="00656656" w:rsidP="00656656">
            <w:pPr>
              <w:jc w:val="center"/>
              <w:rPr>
                <w:sz w:val="20"/>
                <w:szCs w:val="20"/>
              </w:rPr>
            </w:pPr>
            <w:r w:rsidRPr="009613E3">
              <w:rPr>
                <w:sz w:val="20"/>
                <w:szCs w:val="20"/>
              </w:rPr>
              <w:t>FM</w:t>
            </w:r>
          </w:p>
        </w:tc>
        <w:tc>
          <w:tcPr>
            <w:tcW w:w="1275" w:type="dxa"/>
            <w:shd w:val="clear" w:color="auto" w:fill="auto"/>
          </w:tcPr>
          <w:p w14:paraId="4394FD4E" w14:textId="1C88BF43" w:rsidR="00656656" w:rsidRPr="001B1DB1" w:rsidRDefault="00656656" w:rsidP="00656656">
            <w:pPr>
              <w:jc w:val="center"/>
              <w:rPr>
                <w:sz w:val="20"/>
                <w:szCs w:val="20"/>
              </w:rPr>
            </w:pPr>
            <w:r w:rsidRPr="009613E3">
              <w:rPr>
                <w:sz w:val="20"/>
                <w:szCs w:val="20"/>
              </w:rPr>
              <w:t>FKTK, VID, LB, IAUI, LZAP, LZNP, LZRA, NKMP, PTAC, LSMPAA</w:t>
            </w:r>
            <w:r>
              <w:rPr>
                <w:sz w:val="20"/>
                <w:szCs w:val="20"/>
              </w:rPr>
              <w:t xml:space="preserve">, </w:t>
            </w:r>
            <w:r w:rsidR="00171A05">
              <w:rPr>
                <w:rFonts w:cs="Times New Roman"/>
                <w:sz w:val="20"/>
                <w:szCs w:val="20"/>
              </w:rPr>
              <w:t xml:space="preserve">MKD, </w:t>
            </w:r>
            <w:r>
              <w:rPr>
                <w:sz w:val="20"/>
                <w:szCs w:val="20"/>
              </w:rPr>
              <w:t>EM, LFNA</w:t>
            </w:r>
          </w:p>
        </w:tc>
        <w:tc>
          <w:tcPr>
            <w:tcW w:w="1418" w:type="dxa"/>
            <w:shd w:val="clear" w:color="auto" w:fill="auto"/>
          </w:tcPr>
          <w:p w14:paraId="45C6744D" w14:textId="27E94B09" w:rsidR="00656656" w:rsidRPr="001B1DB1" w:rsidRDefault="00656656" w:rsidP="00656656">
            <w:pPr>
              <w:jc w:val="center"/>
              <w:rPr>
                <w:rFonts w:cs="Times New Roman"/>
                <w:bCs/>
                <w:sz w:val="20"/>
                <w:szCs w:val="20"/>
              </w:rPr>
            </w:pPr>
            <w:r>
              <w:rPr>
                <w:rFonts w:cs="Times New Roman"/>
                <w:bCs/>
                <w:sz w:val="20"/>
                <w:szCs w:val="20"/>
              </w:rPr>
              <w:t>30.06</w:t>
            </w:r>
            <w:r w:rsidRPr="009613E3">
              <w:rPr>
                <w:rFonts w:cs="Times New Roman"/>
                <w:bCs/>
                <w:sz w:val="20"/>
                <w:szCs w:val="20"/>
              </w:rPr>
              <w:t>.2020.</w:t>
            </w:r>
          </w:p>
        </w:tc>
      </w:tr>
      <w:tr w:rsidR="00656656" w:rsidRPr="001B1DB1" w14:paraId="17E91D76" w14:textId="77777777" w:rsidTr="0057384E">
        <w:trPr>
          <w:trHeight w:val="543"/>
        </w:trPr>
        <w:tc>
          <w:tcPr>
            <w:tcW w:w="709" w:type="dxa"/>
            <w:vMerge/>
          </w:tcPr>
          <w:p w14:paraId="74216946" w14:textId="77777777" w:rsidR="00656656" w:rsidRPr="00B27926" w:rsidRDefault="00656656" w:rsidP="00656656">
            <w:pPr>
              <w:jc w:val="center"/>
              <w:rPr>
                <w:rFonts w:cs="Times New Roman"/>
                <w:bCs/>
                <w:sz w:val="20"/>
                <w:szCs w:val="20"/>
              </w:rPr>
            </w:pPr>
          </w:p>
        </w:tc>
        <w:tc>
          <w:tcPr>
            <w:tcW w:w="3686" w:type="dxa"/>
            <w:vMerge/>
            <w:shd w:val="clear" w:color="auto" w:fill="auto"/>
          </w:tcPr>
          <w:p w14:paraId="40D08FAD" w14:textId="77777777" w:rsidR="00656656" w:rsidRPr="00B27926" w:rsidRDefault="00656656" w:rsidP="00656656">
            <w:pPr>
              <w:jc w:val="both"/>
              <w:rPr>
                <w:sz w:val="20"/>
                <w:szCs w:val="20"/>
              </w:rPr>
            </w:pPr>
          </w:p>
        </w:tc>
        <w:tc>
          <w:tcPr>
            <w:tcW w:w="1559" w:type="dxa"/>
            <w:vMerge/>
          </w:tcPr>
          <w:p w14:paraId="1C24B365" w14:textId="77777777" w:rsidR="00656656" w:rsidRPr="001B1DB1" w:rsidRDefault="00656656" w:rsidP="00656656">
            <w:pPr>
              <w:jc w:val="both"/>
              <w:rPr>
                <w:rFonts w:cs="Times New Roman"/>
                <w:sz w:val="20"/>
                <w:szCs w:val="20"/>
              </w:rPr>
            </w:pPr>
          </w:p>
        </w:tc>
        <w:tc>
          <w:tcPr>
            <w:tcW w:w="2551" w:type="dxa"/>
            <w:vMerge/>
            <w:shd w:val="clear" w:color="auto" w:fill="auto"/>
          </w:tcPr>
          <w:p w14:paraId="4702F179" w14:textId="77777777" w:rsidR="00656656" w:rsidRPr="00B27926" w:rsidRDefault="00656656" w:rsidP="00656656">
            <w:pPr>
              <w:jc w:val="both"/>
              <w:rPr>
                <w:rFonts w:cs="Times New Roman"/>
                <w:sz w:val="20"/>
                <w:szCs w:val="20"/>
              </w:rPr>
            </w:pPr>
          </w:p>
        </w:tc>
        <w:tc>
          <w:tcPr>
            <w:tcW w:w="2694" w:type="dxa"/>
          </w:tcPr>
          <w:p w14:paraId="56F6893F" w14:textId="3BF050FE" w:rsidR="00656656" w:rsidRPr="00950353" w:rsidRDefault="00656656" w:rsidP="00656656">
            <w:pPr>
              <w:jc w:val="both"/>
              <w:rPr>
                <w:rFonts w:cs="Times New Roman"/>
                <w:sz w:val="20"/>
                <w:szCs w:val="20"/>
              </w:rPr>
            </w:pPr>
            <w:r>
              <w:rPr>
                <w:rFonts w:cs="Times New Roman"/>
                <w:sz w:val="20"/>
                <w:szCs w:val="20"/>
              </w:rPr>
              <w:t xml:space="preserve">2. </w:t>
            </w:r>
            <w:r w:rsidRPr="00950353">
              <w:rPr>
                <w:rFonts w:cs="Times New Roman"/>
                <w:sz w:val="20"/>
                <w:szCs w:val="20"/>
              </w:rPr>
              <w:t xml:space="preserve">Pēc izvērtējuma rezultātiem pieņemts lēmums par atbildību </w:t>
            </w:r>
            <w:r>
              <w:rPr>
                <w:rFonts w:cs="Times New Roman"/>
                <w:sz w:val="20"/>
                <w:szCs w:val="20"/>
              </w:rPr>
              <w:t xml:space="preserve">par </w:t>
            </w:r>
            <w:r w:rsidRPr="00950353">
              <w:rPr>
                <w:rFonts w:cs="Times New Roman"/>
                <w:sz w:val="20"/>
                <w:szCs w:val="20"/>
              </w:rPr>
              <w:t>plāna 3. un 4. rīcības virziena koordināciju.</w:t>
            </w:r>
          </w:p>
        </w:tc>
        <w:tc>
          <w:tcPr>
            <w:tcW w:w="1134" w:type="dxa"/>
            <w:shd w:val="clear" w:color="auto" w:fill="auto"/>
          </w:tcPr>
          <w:p w14:paraId="4AFC0B01" w14:textId="152087A7" w:rsidR="00656656" w:rsidRDefault="00656656" w:rsidP="00656656">
            <w:pPr>
              <w:jc w:val="center"/>
              <w:rPr>
                <w:sz w:val="20"/>
                <w:szCs w:val="20"/>
              </w:rPr>
            </w:pPr>
            <w:r w:rsidRPr="009613E3">
              <w:rPr>
                <w:sz w:val="20"/>
                <w:szCs w:val="20"/>
              </w:rPr>
              <w:t>FSAP</w:t>
            </w:r>
          </w:p>
        </w:tc>
        <w:tc>
          <w:tcPr>
            <w:tcW w:w="1275" w:type="dxa"/>
            <w:shd w:val="clear" w:color="auto" w:fill="auto"/>
          </w:tcPr>
          <w:p w14:paraId="423F0C64" w14:textId="77777777" w:rsidR="00656656" w:rsidRPr="001B1DB1" w:rsidRDefault="00656656" w:rsidP="00656656">
            <w:pPr>
              <w:jc w:val="center"/>
              <w:rPr>
                <w:sz w:val="20"/>
                <w:szCs w:val="20"/>
              </w:rPr>
            </w:pPr>
          </w:p>
        </w:tc>
        <w:tc>
          <w:tcPr>
            <w:tcW w:w="1418" w:type="dxa"/>
            <w:shd w:val="clear" w:color="auto" w:fill="auto"/>
          </w:tcPr>
          <w:p w14:paraId="07CB28CE" w14:textId="68CA4328" w:rsidR="00656656" w:rsidRPr="001B1DB1" w:rsidRDefault="00656656" w:rsidP="00656656">
            <w:pPr>
              <w:jc w:val="center"/>
              <w:rPr>
                <w:rFonts w:cs="Times New Roman"/>
                <w:bCs/>
                <w:sz w:val="20"/>
                <w:szCs w:val="20"/>
              </w:rPr>
            </w:pPr>
            <w:r w:rsidRPr="009613E3">
              <w:rPr>
                <w:rFonts w:cs="Times New Roman"/>
                <w:bCs/>
                <w:sz w:val="20"/>
                <w:szCs w:val="20"/>
              </w:rPr>
              <w:t>30.06.2020.</w:t>
            </w:r>
          </w:p>
        </w:tc>
      </w:tr>
    </w:tbl>
    <w:p w14:paraId="2D79746B" w14:textId="777BA29C" w:rsidR="009754EF" w:rsidRPr="001B1DB1" w:rsidRDefault="009754EF" w:rsidP="009754EF">
      <w:pPr>
        <w:pStyle w:val="Heading2"/>
        <w:ind w:left="720"/>
        <w:rPr>
          <w:rFonts w:ascii="Times New Roman" w:hAnsi="Times New Roman" w:cs="Times New Roman"/>
          <w:b/>
          <w:color w:val="auto"/>
          <w:sz w:val="28"/>
          <w:szCs w:val="28"/>
        </w:rPr>
      </w:pPr>
    </w:p>
    <w:p w14:paraId="2773F122"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j</w:t>
      </w:r>
      <w:r w:rsidR="0048446B" w:rsidRPr="001B1DB1">
        <w:rPr>
          <w:rFonts w:ascii="Times New Roman" w:hAnsi="Times New Roman" w:cs="Times New Roman"/>
          <w:b/>
          <w:color w:val="auto"/>
          <w:sz w:val="28"/>
          <w:szCs w:val="28"/>
        </w:rPr>
        <w:t>uridiskās personas un veidojumi</w:t>
      </w:r>
    </w:p>
    <w:p w14:paraId="25F66B09" w14:textId="77777777" w:rsidR="00C703D7" w:rsidRPr="001B1DB1" w:rsidRDefault="00C703D7" w:rsidP="00C703D7">
      <w:pPr>
        <w:pStyle w:val="Heading2"/>
        <w:rPr>
          <w:rFonts w:ascii="Times New Roman" w:hAnsi="Times New Roman" w:cs="Times New Roman"/>
          <w:b/>
          <w:color w:val="auto"/>
          <w:sz w:val="28"/>
          <w:szCs w:val="28"/>
        </w:rPr>
      </w:pPr>
    </w:p>
    <w:p w14:paraId="79750F42" w14:textId="2A1B1F50" w:rsidR="00C703D7" w:rsidRPr="009D4F1A" w:rsidRDefault="00C703D7" w:rsidP="00210B8B">
      <w:pPr>
        <w:jc w:val="both"/>
        <w:rPr>
          <w:szCs w:val="24"/>
        </w:rPr>
      </w:pPr>
      <w:r w:rsidRPr="001B1DB1">
        <w:rPr>
          <w:szCs w:val="24"/>
        </w:rPr>
        <w:t xml:space="preserve">Par rīcības virzienu atbildīgā </w:t>
      </w:r>
      <w:r w:rsidR="000853A3" w:rsidRPr="000853A3">
        <w:rPr>
          <w:szCs w:val="24"/>
        </w:rPr>
        <w:t>institūcija</w:t>
      </w:r>
      <w:r w:rsidRPr="009D4F1A">
        <w:rPr>
          <w:szCs w:val="24"/>
        </w:rPr>
        <w:t xml:space="preserve">: </w:t>
      </w:r>
      <w:r w:rsidR="0048446B" w:rsidRPr="009D4F1A">
        <w:rPr>
          <w:szCs w:val="24"/>
        </w:rPr>
        <w:t>TM</w:t>
      </w:r>
    </w:p>
    <w:p w14:paraId="1AD752C3" w14:textId="220C281B" w:rsidR="00C703D7" w:rsidRPr="009D4F1A" w:rsidRDefault="00C703D7" w:rsidP="00C703D7">
      <w:pPr>
        <w:jc w:val="both"/>
        <w:rPr>
          <w:szCs w:val="24"/>
        </w:rPr>
      </w:pPr>
      <w:r w:rsidRPr="009D4F1A">
        <w:rPr>
          <w:szCs w:val="24"/>
        </w:rPr>
        <w:t xml:space="preserve">Līdzatbildīgās </w:t>
      </w:r>
      <w:r w:rsidR="00D00DDA">
        <w:rPr>
          <w:szCs w:val="24"/>
        </w:rPr>
        <w:t>institūcijas</w:t>
      </w:r>
      <w:r w:rsidRPr="009D4F1A">
        <w:rPr>
          <w:szCs w:val="24"/>
        </w:rPr>
        <w:t>:</w:t>
      </w:r>
      <w:r w:rsidR="004E2CFF" w:rsidRPr="009D4F1A">
        <w:rPr>
          <w:szCs w:val="24"/>
        </w:rPr>
        <w:t xml:space="preserve"> </w:t>
      </w:r>
      <w:r w:rsidR="009D4F1A" w:rsidRPr="009D4F1A">
        <w:rPr>
          <w:szCs w:val="24"/>
        </w:rPr>
        <w:t xml:space="preserve">FID, FKTK, </w:t>
      </w:r>
      <w:r w:rsidR="004E2CFF" w:rsidRPr="009D4F1A">
        <w:rPr>
          <w:szCs w:val="24"/>
        </w:rPr>
        <w:t xml:space="preserve">FM, </w:t>
      </w:r>
      <w:r w:rsidR="009D4F1A" w:rsidRPr="009D4F1A">
        <w:rPr>
          <w:szCs w:val="24"/>
        </w:rPr>
        <w:t xml:space="preserve">IeM, </w:t>
      </w:r>
      <w:r w:rsidR="004E2CFF" w:rsidRPr="009D4F1A">
        <w:rPr>
          <w:szCs w:val="24"/>
        </w:rPr>
        <w:t xml:space="preserve">KM, </w:t>
      </w:r>
      <w:r w:rsidR="009D4F1A" w:rsidRPr="009D4F1A">
        <w:rPr>
          <w:szCs w:val="24"/>
        </w:rPr>
        <w:t>LB,</w:t>
      </w:r>
      <w:r w:rsidR="001E38F1">
        <w:rPr>
          <w:szCs w:val="24"/>
        </w:rPr>
        <w:t xml:space="preserve"> LSMPAA,</w:t>
      </w:r>
      <w:r w:rsidR="009D4F1A" w:rsidRPr="009D4F1A">
        <w:rPr>
          <w:szCs w:val="24"/>
        </w:rPr>
        <w:t xml:space="preserve"> </w:t>
      </w:r>
      <w:r w:rsidR="004E2CFF" w:rsidRPr="009D4F1A">
        <w:rPr>
          <w:szCs w:val="24"/>
        </w:rPr>
        <w:t xml:space="preserve">LZAP, </w:t>
      </w:r>
      <w:r w:rsidR="009D4F1A" w:rsidRPr="009D4F1A">
        <w:rPr>
          <w:szCs w:val="24"/>
        </w:rPr>
        <w:t xml:space="preserve">LZNP, </w:t>
      </w:r>
      <w:r w:rsidR="004E2CFF" w:rsidRPr="009D4F1A">
        <w:rPr>
          <w:szCs w:val="24"/>
        </w:rPr>
        <w:t xml:space="preserve">LZRA, </w:t>
      </w:r>
      <w:r w:rsidR="00171A05">
        <w:rPr>
          <w:szCs w:val="24"/>
        </w:rPr>
        <w:t xml:space="preserve">MKD, </w:t>
      </w:r>
      <w:r w:rsidR="004E2CFF" w:rsidRPr="009D4F1A">
        <w:rPr>
          <w:szCs w:val="24"/>
        </w:rPr>
        <w:t xml:space="preserve">PTAC, </w:t>
      </w:r>
      <w:r w:rsidR="009D4F1A" w:rsidRPr="009D4F1A">
        <w:rPr>
          <w:szCs w:val="24"/>
        </w:rPr>
        <w:t>UR, VID</w:t>
      </w:r>
    </w:p>
    <w:p w14:paraId="518EB903"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48446B" w:rsidRPr="001B1DB1" w14:paraId="73E45A8E" w14:textId="77777777" w:rsidTr="009744C5">
        <w:tc>
          <w:tcPr>
            <w:tcW w:w="4395" w:type="dxa"/>
            <w:gridSpan w:val="2"/>
          </w:tcPr>
          <w:p w14:paraId="6B5C8E71" w14:textId="77777777" w:rsidR="0048446B" w:rsidRPr="001B1DB1" w:rsidRDefault="0048446B" w:rsidP="0048446B">
            <w:pPr>
              <w:rPr>
                <w:rFonts w:cs="Times New Roman"/>
                <w:b/>
                <w:bCs/>
                <w:sz w:val="20"/>
                <w:szCs w:val="20"/>
              </w:rPr>
            </w:pPr>
            <w:r w:rsidRPr="001B1DB1">
              <w:rPr>
                <w:rFonts w:cs="Times New Roman"/>
                <w:b/>
                <w:bCs/>
                <w:sz w:val="20"/>
                <w:szCs w:val="20"/>
              </w:rPr>
              <w:t>Rīcības virziens</w:t>
            </w:r>
          </w:p>
        </w:tc>
        <w:tc>
          <w:tcPr>
            <w:tcW w:w="10631" w:type="dxa"/>
            <w:gridSpan w:val="6"/>
          </w:tcPr>
          <w:p w14:paraId="58D16389" w14:textId="77777777" w:rsidR="0048446B" w:rsidRPr="001B1DB1" w:rsidRDefault="0048446B" w:rsidP="0048446B">
            <w:pPr>
              <w:jc w:val="both"/>
              <w:rPr>
                <w:rFonts w:cs="Times New Roman"/>
                <w:b/>
                <w:bCs/>
                <w:sz w:val="20"/>
                <w:szCs w:val="20"/>
              </w:rPr>
            </w:pPr>
            <w:r w:rsidRPr="001B1DB1">
              <w:rPr>
                <w:rFonts w:cs="Times New Roman"/>
                <w:b/>
                <w:sz w:val="20"/>
                <w:szCs w:val="20"/>
              </w:rPr>
              <w:t>JURIDISKĀS PERSONAS UN VEIDOJUMI</w:t>
            </w:r>
          </w:p>
        </w:tc>
      </w:tr>
      <w:tr w:rsidR="00653158" w:rsidRPr="001B1DB1" w14:paraId="2D30FBEC" w14:textId="77777777" w:rsidTr="00172808">
        <w:tc>
          <w:tcPr>
            <w:tcW w:w="4395" w:type="dxa"/>
            <w:gridSpan w:val="2"/>
          </w:tcPr>
          <w:p w14:paraId="1A72E6FC" w14:textId="34AF4BD0" w:rsidR="00653158" w:rsidRPr="001B1DB1" w:rsidRDefault="00653158" w:rsidP="00653158">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45140C84" w14:textId="77777777" w:rsidR="00653158" w:rsidRPr="001B1DB1" w:rsidRDefault="00653158" w:rsidP="00653158">
            <w:pPr>
              <w:jc w:val="both"/>
              <w:rPr>
                <w:rFonts w:cs="Times New Roman"/>
                <w:b/>
                <w:bCs/>
                <w:sz w:val="20"/>
                <w:szCs w:val="20"/>
              </w:rPr>
            </w:pPr>
            <w:r w:rsidRPr="001B1DB1">
              <w:rPr>
                <w:b/>
                <w:bCs/>
                <w:sz w:val="20"/>
                <w:szCs w:val="20"/>
              </w:rPr>
              <w:t>Novērsta iespēja juridiskām personām un veidojumiem ļaunprātīgi izmantot NILLTPF, un informācija par to PLG bez šķēršļiem ir pieejama kompetentajām iestādēm.</w:t>
            </w:r>
          </w:p>
        </w:tc>
      </w:tr>
      <w:tr w:rsidR="00C703D7" w:rsidRPr="001B1DB1" w14:paraId="4E6DCCD6" w14:textId="77777777" w:rsidTr="009744C5">
        <w:trPr>
          <w:trHeight w:val="543"/>
        </w:trPr>
        <w:tc>
          <w:tcPr>
            <w:tcW w:w="709" w:type="dxa"/>
          </w:tcPr>
          <w:p w14:paraId="4B3D49A7"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093F58FF"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5E45F37F"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3C9B2634"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27157547"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7D40FD3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413EC0FB"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1F7E3839"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483FB0C8"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CA4C02" w:rsidRPr="001B1DB1" w14:paraId="1A7D1C57" w14:textId="77777777" w:rsidTr="00C842AB">
        <w:trPr>
          <w:trHeight w:val="2684"/>
        </w:trPr>
        <w:tc>
          <w:tcPr>
            <w:tcW w:w="709" w:type="dxa"/>
          </w:tcPr>
          <w:p w14:paraId="655801F6" w14:textId="77777777" w:rsidR="00CA4C02" w:rsidRPr="001B1DB1" w:rsidRDefault="00CA4C02" w:rsidP="00CA4C02">
            <w:pPr>
              <w:jc w:val="center"/>
              <w:rPr>
                <w:rFonts w:cs="Times New Roman"/>
                <w:bCs/>
                <w:sz w:val="20"/>
                <w:szCs w:val="20"/>
              </w:rPr>
            </w:pPr>
            <w:r w:rsidRPr="001B1DB1">
              <w:rPr>
                <w:sz w:val="20"/>
                <w:szCs w:val="20"/>
              </w:rPr>
              <w:lastRenderedPageBreak/>
              <w:t>5.1.</w:t>
            </w:r>
          </w:p>
        </w:tc>
        <w:tc>
          <w:tcPr>
            <w:tcW w:w="3686" w:type="dxa"/>
            <w:shd w:val="clear" w:color="auto" w:fill="auto"/>
          </w:tcPr>
          <w:p w14:paraId="7C501A7F" w14:textId="77777777" w:rsidR="00CA4C02" w:rsidRPr="001B1DB1" w:rsidRDefault="00CA4C02" w:rsidP="00172808">
            <w:pPr>
              <w:jc w:val="both"/>
              <w:rPr>
                <w:rFonts w:cs="Times New Roman"/>
                <w:b/>
                <w:bCs/>
                <w:sz w:val="20"/>
                <w:szCs w:val="20"/>
              </w:rPr>
            </w:pPr>
            <w:r w:rsidRPr="001B1DB1">
              <w:rPr>
                <w:sz w:val="20"/>
                <w:szCs w:val="20"/>
              </w:rPr>
              <w:t>Nodrošināt bezmaksas piekļuvi Latvijas Republikas UR vesto reģistru informācijai</w:t>
            </w:r>
            <w:r w:rsidR="001607E4" w:rsidRPr="001B1DB1">
              <w:rPr>
                <w:sz w:val="20"/>
                <w:szCs w:val="20"/>
              </w:rPr>
              <w:t>.</w:t>
            </w:r>
          </w:p>
        </w:tc>
        <w:tc>
          <w:tcPr>
            <w:tcW w:w="1559" w:type="dxa"/>
          </w:tcPr>
          <w:p w14:paraId="28157C10" w14:textId="5AC0D32E" w:rsidR="00CA4C02" w:rsidRPr="001B1DB1" w:rsidRDefault="00CA4C02" w:rsidP="006F528F">
            <w:pPr>
              <w:pStyle w:val="Body"/>
              <w:spacing w:before="100" w:after="100"/>
              <w:jc w:val="both"/>
              <w:rPr>
                <w:sz w:val="20"/>
                <w:szCs w:val="20"/>
              </w:rPr>
            </w:pPr>
            <w:r w:rsidRPr="001B1DB1">
              <w:rPr>
                <w:sz w:val="20"/>
                <w:szCs w:val="20"/>
              </w:rPr>
              <w:t>MONEYVAL 5.3.</w:t>
            </w:r>
            <w:r w:rsidR="00AB7B27">
              <w:rPr>
                <w:rFonts w:cs="Times New Roman"/>
                <w:sz w:val="20"/>
                <w:szCs w:val="20"/>
              </w:rPr>
              <w:t xml:space="preserve"> r</w:t>
            </w:r>
            <w:r w:rsidR="00AB7B27" w:rsidRPr="001B1DB1">
              <w:rPr>
                <w:rFonts w:cs="Times New Roman"/>
                <w:sz w:val="20"/>
                <w:szCs w:val="20"/>
              </w:rPr>
              <w:t>ekomendācija</w:t>
            </w:r>
            <w:r w:rsidR="00AB7B27">
              <w:rPr>
                <w:rFonts w:cs="Times New Roman"/>
                <w:sz w:val="20"/>
                <w:szCs w:val="20"/>
              </w:rPr>
              <w:t>;</w:t>
            </w:r>
          </w:p>
          <w:p w14:paraId="0C46196A" w14:textId="2B8C0CEA" w:rsidR="00CA4C02" w:rsidRPr="001B1DB1" w:rsidRDefault="00CA4C02" w:rsidP="007540BD">
            <w:pPr>
              <w:pStyle w:val="Body"/>
              <w:spacing w:before="100" w:after="100"/>
              <w:jc w:val="both"/>
              <w:rPr>
                <w:rFonts w:cs="Times New Roman"/>
                <w:b/>
              </w:rPr>
            </w:pPr>
            <w:r w:rsidRPr="001B1DB1">
              <w:rPr>
                <w:sz w:val="20"/>
                <w:szCs w:val="20"/>
              </w:rPr>
              <w:t>Pasākumu plāna līdz 2019. gada 31. decembrim 4.10. un 5.9. pasākumu ietvaros veikto izvērtējumu rezultāts</w:t>
            </w:r>
            <w:r w:rsidR="007673C2">
              <w:rPr>
                <w:sz w:val="20"/>
                <w:szCs w:val="20"/>
              </w:rPr>
              <w:t>.</w:t>
            </w:r>
          </w:p>
        </w:tc>
        <w:tc>
          <w:tcPr>
            <w:tcW w:w="2551" w:type="dxa"/>
            <w:shd w:val="clear" w:color="auto" w:fill="auto"/>
          </w:tcPr>
          <w:p w14:paraId="78499FBE" w14:textId="77777777" w:rsidR="00CA4C02" w:rsidRPr="001B1DB1" w:rsidRDefault="00CA4C02" w:rsidP="00172808">
            <w:pPr>
              <w:jc w:val="both"/>
              <w:rPr>
                <w:rFonts w:cs="Times New Roman"/>
                <w:b/>
                <w:sz w:val="20"/>
                <w:szCs w:val="20"/>
              </w:rPr>
            </w:pPr>
            <w:r w:rsidRPr="001B1DB1">
              <w:rPr>
                <w:sz w:val="20"/>
                <w:szCs w:val="20"/>
              </w:rPr>
              <w:t>Nodrošināta bezmaksas piekļuve Latvijas Republikas UR vesto reģistru  informācijai</w:t>
            </w:r>
            <w:r w:rsidR="001607E4" w:rsidRPr="001B1DB1">
              <w:rPr>
                <w:sz w:val="20"/>
                <w:szCs w:val="20"/>
              </w:rPr>
              <w:t>.</w:t>
            </w:r>
          </w:p>
        </w:tc>
        <w:tc>
          <w:tcPr>
            <w:tcW w:w="2694" w:type="dxa"/>
          </w:tcPr>
          <w:p w14:paraId="3B822A9E" w14:textId="77777777" w:rsidR="00CA4C02" w:rsidRPr="001B1DB1" w:rsidRDefault="00CA4C02" w:rsidP="00172808">
            <w:pPr>
              <w:jc w:val="both"/>
              <w:rPr>
                <w:rFonts w:cs="Times New Roman"/>
                <w:b/>
                <w:sz w:val="20"/>
                <w:szCs w:val="20"/>
              </w:rPr>
            </w:pPr>
            <w:r w:rsidRPr="008B395B">
              <w:rPr>
                <w:sz w:val="20"/>
                <w:szCs w:val="20"/>
              </w:rPr>
              <w:t>Latvijas Republikas UR bez maksas ikvienam nodrošina piekļuvi reģistru informācijai tiešsaistē.</w:t>
            </w:r>
          </w:p>
        </w:tc>
        <w:tc>
          <w:tcPr>
            <w:tcW w:w="1134" w:type="dxa"/>
            <w:shd w:val="clear" w:color="auto" w:fill="auto"/>
          </w:tcPr>
          <w:p w14:paraId="0BA9CD23" w14:textId="36D83B75" w:rsidR="00CA4C02" w:rsidRPr="001B1DB1" w:rsidRDefault="00CA4C02" w:rsidP="00D52A84">
            <w:pPr>
              <w:jc w:val="center"/>
              <w:rPr>
                <w:rFonts w:cs="Times New Roman"/>
                <w:b/>
                <w:bCs/>
                <w:sz w:val="20"/>
                <w:szCs w:val="20"/>
              </w:rPr>
            </w:pPr>
            <w:r w:rsidRPr="001B1DB1">
              <w:rPr>
                <w:sz w:val="20"/>
                <w:szCs w:val="20"/>
              </w:rPr>
              <w:t xml:space="preserve">TM  (UR) </w:t>
            </w:r>
          </w:p>
        </w:tc>
        <w:tc>
          <w:tcPr>
            <w:tcW w:w="1275" w:type="dxa"/>
            <w:shd w:val="clear" w:color="auto" w:fill="auto"/>
          </w:tcPr>
          <w:p w14:paraId="0C2F741C" w14:textId="5B84B04C" w:rsidR="00CA4C02" w:rsidRPr="001B1DB1" w:rsidRDefault="00CA4C02" w:rsidP="00D11C53">
            <w:pPr>
              <w:jc w:val="center"/>
              <w:rPr>
                <w:rFonts w:cs="Times New Roman"/>
                <w:b/>
                <w:bCs/>
                <w:sz w:val="20"/>
                <w:szCs w:val="20"/>
              </w:rPr>
            </w:pPr>
          </w:p>
        </w:tc>
        <w:tc>
          <w:tcPr>
            <w:tcW w:w="1418" w:type="dxa"/>
            <w:shd w:val="clear" w:color="auto" w:fill="auto"/>
          </w:tcPr>
          <w:p w14:paraId="13861916" w14:textId="0452CF32" w:rsidR="00CA4C02" w:rsidRPr="001B1DB1" w:rsidRDefault="00677254" w:rsidP="00D11C53">
            <w:pPr>
              <w:jc w:val="center"/>
              <w:rPr>
                <w:rFonts w:cs="Times New Roman"/>
                <w:b/>
                <w:bCs/>
                <w:sz w:val="20"/>
                <w:szCs w:val="20"/>
              </w:rPr>
            </w:pPr>
            <w:r>
              <w:rPr>
                <w:sz w:val="20"/>
                <w:szCs w:val="20"/>
              </w:rPr>
              <w:t>Pastāvīgi</w:t>
            </w:r>
          </w:p>
        </w:tc>
      </w:tr>
      <w:tr w:rsidR="00537444" w:rsidRPr="001B1DB1" w14:paraId="09A77131" w14:textId="77777777" w:rsidTr="009744C5">
        <w:trPr>
          <w:trHeight w:val="543"/>
        </w:trPr>
        <w:tc>
          <w:tcPr>
            <w:tcW w:w="709" w:type="dxa"/>
          </w:tcPr>
          <w:p w14:paraId="4CB4E3B0" w14:textId="77777777" w:rsidR="00537444" w:rsidRPr="001B1DB1" w:rsidRDefault="00537444" w:rsidP="00537444">
            <w:pPr>
              <w:jc w:val="center"/>
              <w:rPr>
                <w:rFonts w:cs="Times New Roman"/>
                <w:bCs/>
                <w:sz w:val="20"/>
                <w:szCs w:val="20"/>
              </w:rPr>
            </w:pPr>
            <w:r w:rsidRPr="001B1DB1">
              <w:rPr>
                <w:sz w:val="20"/>
                <w:szCs w:val="20"/>
              </w:rPr>
              <w:t>5.2.</w:t>
            </w:r>
          </w:p>
        </w:tc>
        <w:tc>
          <w:tcPr>
            <w:tcW w:w="3686" w:type="dxa"/>
            <w:shd w:val="clear" w:color="auto" w:fill="auto"/>
          </w:tcPr>
          <w:p w14:paraId="528FA59D" w14:textId="5F122E18" w:rsidR="00537444" w:rsidRPr="001B1DB1" w:rsidRDefault="00537444" w:rsidP="00537444">
            <w:pPr>
              <w:jc w:val="both"/>
              <w:rPr>
                <w:rFonts w:cs="Times New Roman"/>
                <w:b/>
                <w:bCs/>
                <w:sz w:val="20"/>
                <w:szCs w:val="20"/>
              </w:rPr>
            </w:pPr>
            <w:r w:rsidRPr="001B1DB1">
              <w:rPr>
                <w:sz w:val="20"/>
                <w:szCs w:val="20"/>
              </w:rPr>
              <w:t>Nodrošināt vienotu pieeju rīcībai gadījumos, kuros UR vestajos reģistros</w:t>
            </w:r>
            <w:r>
              <w:rPr>
                <w:sz w:val="20"/>
                <w:szCs w:val="20"/>
              </w:rPr>
              <w:t>,</w:t>
            </w:r>
            <w:r w:rsidRPr="001B1DB1">
              <w:rPr>
                <w:sz w:val="20"/>
                <w:szCs w:val="20"/>
              </w:rPr>
              <w:t xml:space="preserve"> iespējams</w:t>
            </w:r>
            <w:r>
              <w:rPr>
                <w:sz w:val="20"/>
                <w:szCs w:val="20"/>
              </w:rPr>
              <w:t>,</w:t>
            </w:r>
            <w:r w:rsidRPr="001B1DB1">
              <w:rPr>
                <w:sz w:val="20"/>
                <w:szCs w:val="20"/>
              </w:rPr>
              <w:t xml:space="preserve"> iesniegta nepatiesa informācija par PLG.</w:t>
            </w:r>
          </w:p>
        </w:tc>
        <w:tc>
          <w:tcPr>
            <w:tcW w:w="1559" w:type="dxa"/>
          </w:tcPr>
          <w:p w14:paraId="6BD1473B" w14:textId="77777777" w:rsidR="00537444" w:rsidRPr="001B1DB1" w:rsidRDefault="00537444" w:rsidP="00537444">
            <w:pPr>
              <w:jc w:val="both"/>
              <w:rPr>
                <w:rFonts w:cs="Times New Roman"/>
                <w:b/>
                <w:sz w:val="20"/>
                <w:szCs w:val="20"/>
              </w:rPr>
            </w:pPr>
          </w:p>
        </w:tc>
        <w:tc>
          <w:tcPr>
            <w:tcW w:w="2551" w:type="dxa"/>
            <w:shd w:val="clear" w:color="auto" w:fill="auto"/>
          </w:tcPr>
          <w:p w14:paraId="56A6A269" w14:textId="43B9CDD4" w:rsidR="00537444" w:rsidRPr="001B1DB1" w:rsidRDefault="00537444" w:rsidP="00537444">
            <w:pPr>
              <w:jc w:val="both"/>
              <w:rPr>
                <w:rFonts w:cs="Times New Roman"/>
                <w:b/>
                <w:sz w:val="20"/>
                <w:szCs w:val="20"/>
              </w:rPr>
            </w:pPr>
            <w:r w:rsidRPr="001B1DB1">
              <w:rPr>
                <w:sz w:val="20"/>
                <w:szCs w:val="20"/>
              </w:rPr>
              <w:t>Izveidota vienota pieeja visos sektoros rīcībai gadījumos, ja konstatēts, ka UR iesniegtā informācija par PLG</w:t>
            </w:r>
            <w:r>
              <w:rPr>
                <w:sz w:val="20"/>
                <w:szCs w:val="20"/>
              </w:rPr>
              <w:t>,</w:t>
            </w:r>
            <w:r w:rsidRPr="001B1DB1">
              <w:rPr>
                <w:sz w:val="20"/>
                <w:szCs w:val="20"/>
              </w:rPr>
              <w:t xml:space="preserve"> iespējams</w:t>
            </w:r>
            <w:r>
              <w:rPr>
                <w:sz w:val="20"/>
                <w:szCs w:val="20"/>
              </w:rPr>
              <w:t>,</w:t>
            </w:r>
            <w:r w:rsidRPr="001B1DB1">
              <w:rPr>
                <w:sz w:val="20"/>
                <w:szCs w:val="20"/>
              </w:rPr>
              <w:t xml:space="preserve"> ir nepatiesa.</w:t>
            </w:r>
          </w:p>
        </w:tc>
        <w:tc>
          <w:tcPr>
            <w:tcW w:w="2694" w:type="dxa"/>
          </w:tcPr>
          <w:p w14:paraId="51B17946" w14:textId="5B6C89BE" w:rsidR="00537444" w:rsidRPr="001B1DB1" w:rsidRDefault="00537444" w:rsidP="00537444">
            <w:pPr>
              <w:jc w:val="both"/>
              <w:rPr>
                <w:rFonts w:cs="Times New Roman"/>
                <w:b/>
                <w:sz w:val="20"/>
                <w:szCs w:val="20"/>
              </w:rPr>
            </w:pPr>
            <w:r w:rsidRPr="001B1DB1">
              <w:rPr>
                <w:sz w:val="20"/>
                <w:szCs w:val="20"/>
              </w:rPr>
              <w:t>Ievērojot izstrādāto metodiku</w:t>
            </w:r>
            <w:r>
              <w:rPr>
                <w:sz w:val="20"/>
                <w:szCs w:val="20"/>
              </w:rPr>
              <w:t xml:space="preserve"> ziņošanai UR par gadījumiem, kad likuma subjekti, UKI konstatējušas, ka noskaidrotā informācija par PLG neatbilst UR vestajos reģistros reģistrētajai informācijai</w:t>
            </w:r>
            <w:r w:rsidRPr="001B1DB1">
              <w:rPr>
                <w:sz w:val="20"/>
                <w:szCs w:val="20"/>
              </w:rPr>
              <w:t>, izstrādāt</w:t>
            </w:r>
            <w:r>
              <w:rPr>
                <w:sz w:val="20"/>
                <w:szCs w:val="20"/>
              </w:rPr>
              <w:t>as</w:t>
            </w:r>
            <w:r w:rsidRPr="001B1DB1">
              <w:rPr>
                <w:sz w:val="20"/>
                <w:szCs w:val="20"/>
              </w:rPr>
              <w:t xml:space="preserve"> vai papildināt</w:t>
            </w:r>
            <w:r>
              <w:rPr>
                <w:sz w:val="20"/>
                <w:szCs w:val="20"/>
              </w:rPr>
              <w:t>as</w:t>
            </w:r>
            <w:r w:rsidRPr="001B1DB1">
              <w:rPr>
                <w:sz w:val="20"/>
                <w:szCs w:val="20"/>
              </w:rPr>
              <w:t xml:space="preserve"> jau esošās vadlīnijas rīcībai gadījumos, kuros konstatēts, ka noskaidrotā informācija par PLG neatbilst UR vestajos reģistros reģistrētajai informācijai.</w:t>
            </w:r>
          </w:p>
        </w:tc>
        <w:tc>
          <w:tcPr>
            <w:tcW w:w="1134" w:type="dxa"/>
            <w:shd w:val="clear" w:color="auto" w:fill="auto"/>
          </w:tcPr>
          <w:p w14:paraId="2086582F" w14:textId="24C546B5" w:rsidR="00537444" w:rsidRPr="001B1DB1" w:rsidRDefault="00537444" w:rsidP="00537444">
            <w:pPr>
              <w:jc w:val="center"/>
              <w:rPr>
                <w:rFonts w:cs="Times New Roman"/>
                <w:b/>
                <w:bCs/>
                <w:sz w:val="20"/>
                <w:szCs w:val="20"/>
              </w:rPr>
            </w:pPr>
            <w:r w:rsidRPr="001B1DB1">
              <w:rPr>
                <w:sz w:val="20"/>
                <w:szCs w:val="20"/>
              </w:rPr>
              <w:t>FKTK, VID, LZNP, LZAP, LZRA, PTAC, LB</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5CF1D02D" w14:textId="0571FBAF" w:rsidR="00537444" w:rsidRPr="001B1DB1" w:rsidRDefault="00537444" w:rsidP="00537444">
            <w:pPr>
              <w:jc w:val="center"/>
              <w:rPr>
                <w:rFonts w:cs="Times New Roman"/>
                <w:b/>
                <w:bCs/>
                <w:sz w:val="20"/>
                <w:szCs w:val="20"/>
              </w:rPr>
            </w:pPr>
            <w:r w:rsidRPr="001B1DB1">
              <w:rPr>
                <w:sz w:val="20"/>
                <w:szCs w:val="20"/>
              </w:rPr>
              <w:t>TM (UR)</w:t>
            </w:r>
          </w:p>
        </w:tc>
        <w:tc>
          <w:tcPr>
            <w:tcW w:w="1418" w:type="dxa"/>
            <w:shd w:val="clear" w:color="auto" w:fill="auto"/>
          </w:tcPr>
          <w:p w14:paraId="43CC24AA" w14:textId="1DF40922" w:rsidR="00537444" w:rsidRPr="001B1DB1" w:rsidRDefault="00537444" w:rsidP="00537444">
            <w:pPr>
              <w:jc w:val="center"/>
              <w:rPr>
                <w:rFonts w:cs="Times New Roman"/>
                <w:b/>
                <w:bCs/>
                <w:sz w:val="20"/>
                <w:szCs w:val="20"/>
              </w:rPr>
            </w:pPr>
            <w:r w:rsidRPr="001B1DB1">
              <w:rPr>
                <w:sz w:val="20"/>
                <w:szCs w:val="20"/>
              </w:rPr>
              <w:t>01.0</w:t>
            </w:r>
            <w:r>
              <w:rPr>
                <w:sz w:val="20"/>
                <w:szCs w:val="20"/>
              </w:rPr>
              <w:t>8</w:t>
            </w:r>
            <w:r w:rsidRPr="001B1DB1">
              <w:rPr>
                <w:sz w:val="20"/>
                <w:szCs w:val="20"/>
              </w:rPr>
              <w:t>.2020.</w:t>
            </w:r>
          </w:p>
        </w:tc>
      </w:tr>
      <w:tr w:rsidR="008B395B" w:rsidRPr="001B1DB1" w14:paraId="1E44C7FD" w14:textId="77777777" w:rsidTr="009744C5">
        <w:trPr>
          <w:trHeight w:val="543"/>
        </w:trPr>
        <w:tc>
          <w:tcPr>
            <w:tcW w:w="709" w:type="dxa"/>
            <w:vMerge w:val="restart"/>
          </w:tcPr>
          <w:p w14:paraId="57CC1F8A" w14:textId="068A2AA0" w:rsidR="008B395B" w:rsidRPr="001B1DB1" w:rsidRDefault="008B395B" w:rsidP="00537444">
            <w:pPr>
              <w:jc w:val="center"/>
              <w:rPr>
                <w:rFonts w:cs="Times New Roman"/>
                <w:bCs/>
                <w:sz w:val="20"/>
                <w:szCs w:val="20"/>
              </w:rPr>
            </w:pPr>
            <w:r w:rsidRPr="001B1DB1">
              <w:rPr>
                <w:sz w:val="20"/>
                <w:szCs w:val="20"/>
              </w:rPr>
              <w:t>5.</w:t>
            </w:r>
            <w:r w:rsidR="00537444">
              <w:rPr>
                <w:sz w:val="20"/>
                <w:szCs w:val="20"/>
              </w:rPr>
              <w:t>3</w:t>
            </w:r>
            <w:r w:rsidRPr="001B1DB1">
              <w:rPr>
                <w:sz w:val="20"/>
                <w:szCs w:val="20"/>
              </w:rPr>
              <w:t>.</w:t>
            </w:r>
          </w:p>
        </w:tc>
        <w:tc>
          <w:tcPr>
            <w:tcW w:w="3686" w:type="dxa"/>
            <w:vMerge w:val="restart"/>
            <w:shd w:val="clear" w:color="auto" w:fill="auto"/>
          </w:tcPr>
          <w:p w14:paraId="4CE2DF34" w14:textId="7E48782C" w:rsidR="008B395B" w:rsidRPr="008B395B" w:rsidRDefault="008B395B" w:rsidP="004F249C">
            <w:pPr>
              <w:jc w:val="both"/>
              <w:rPr>
                <w:rFonts w:cs="Times New Roman"/>
                <w:b/>
                <w:bCs/>
                <w:sz w:val="20"/>
                <w:szCs w:val="20"/>
              </w:rPr>
            </w:pPr>
            <w:r w:rsidRPr="008B395B">
              <w:rPr>
                <w:sz w:val="20"/>
                <w:szCs w:val="20"/>
              </w:rPr>
              <w:t>Nodrošināt NVO sektora lielāku caurskatāmību, vienlaikus radot iespēju korekti monitorēt sektora NILLTPF riskus.</w:t>
            </w:r>
          </w:p>
        </w:tc>
        <w:tc>
          <w:tcPr>
            <w:tcW w:w="1559" w:type="dxa"/>
            <w:vMerge w:val="restart"/>
          </w:tcPr>
          <w:p w14:paraId="3ECA6DDB" w14:textId="53C4BD30" w:rsidR="008B395B" w:rsidRPr="001B1DB1" w:rsidRDefault="008B395B" w:rsidP="006111F7">
            <w:pPr>
              <w:pStyle w:val="Body"/>
              <w:jc w:val="both"/>
              <w:rPr>
                <w:sz w:val="20"/>
                <w:szCs w:val="20"/>
              </w:rPr>
            </w:pPr>
            <w:r w:rsidRPr="001B1DB1">
              <w:rPr>
                <w:sz w:val="20"/>
                <w:szCs w:val="20"/>
              </w:rPr>
              <w:t>Juridisko personu un NVO risku novērtējums</w:t>
            </w:r>
            <w:r w:rsidR="009D2941">
              <w:rPr>
                <w:sz w:val="20"/>
                <w:szCs w:val="20"/>
              </w:rPr>
              <w:t>;</w:t>
            </w:r>
          </w:p>
          <w:p w14:paraId="76E55135" w14:textId="3D1BB012" w:rsidR="008B395B" w:rsidRPr="001B1DB1" w:rsidRDefault="008B395B" w:rsidP="009D2941">
            <w:pPr>
              <w:jc w:val="both"/>
              <w:rPr>
                <w:rFonts w:cs="Times New Roman"/>
                <w:b/>
                <w:sz w:val="20"/>
                <w:szCs w:val="20"/>
              </w:rPr>
            </w:pPr>
            <w:r w:rsidRPr="001B1DB1">
              <w:rPr>
                <w:sz w:val="20"/>
                <w:szCs w:val="20"/>
              </w:rPr>
              <w:t>MONEYVAL 8</w:t>
            </w:r>
            <w:r w:rsidR="009D2941">
              <w:rPr>
                <w:sz w:val="20"/>
                <w:szCs w:val="20"/>
              </w:rPr>
              <w:t>.</w:t>
            </w:r>
            <w:r w:rsidRPr="001B1DB1">
              <w:rPr>
                <w:sz w:val="20"/>
                <w:szCs w:val="20"/>
              </w:rPr>
              <w:t xml:space="preserve"> rekomendācija.</w:t>
            </w:r>
          </w:p>
        </w:tc>
        <w:tc>
          <w:tcPr>
            <w:tcW w:w="2551" w:type="dxa"/>
            <w:vMerge w:val="restart"/>
            <w:shd w:val="clear" w:color="auto" w:fill="auto"/>
          </w:tcPr>
          <w:p w14:paraId="5669589C" w14:textId="2202B1CA" w:rsidR="008B395B" w:rsidRPr="001B1DB1" w:rsidRDefault="008B395B" w:rsidP="004F249C">
            <w:pPr>
              <w:jc w:val="both"/>
              <w:rPr>
                <w:rFonts w:cs="Times New Roman"/>
                <w:b/>
                <w:sz w:val="20"/>
                <w:szCs w:val="20"/>
              </w:rPr>
            </w:pPr>
            <w:r w:rsidRPr="001B1DB1">
              <w:rPr>
                <w:sz w:val="20"/>
                <w:szCs w:val="20"/>
              </w:rPr>
              <w:t>Pilnveidots normatīvais regulējums</w:t>
            </w:r>
            <w:r>
              <w:rPr>
                <w:sz w:val="20"/>
                <w:szCs w:val="20"/>
              </w:rPr>
              <w:t xml:space="preserve">, </w:t>
            </w:r>
            <w:r w:rsidRPr="001B1DB1">
              <w:rPr>
                <w:sz w:val="20"/>
                <w:szCs w:val="20"/>
              </w:rPr>
              <w:t xml:space="preserve">mazinot juridisko personu/NVO risku novērtējumā  identificētos NILLTPF </w:t>
            </w:r>
            <w:r w:rsidRPr="00213467">
              <w:rPr>
                <w:sz w:val="20"/>
                <w:szCs w:val="20"/>
              </w:rPr>
              <w:t xml:space="preserve">un sankciju neizpildes </w:t>
            </w:r>
            <w:r w:rsidRPr="001B1DB1">
              <w:rPr>
                <w:sz w:val="20"/>
                <w:szCs w:val="20"/>
              </w:rPr>
              <w:t>riskus</w:t>
            </w:r>
            <w:bookmarkStart w:id="4" w:name="_Hlk26797870"/>
            <w:r>
              <w:rPr>
                <w:sz w:val="20"/>
                <w:szCs w:val="20"/>
              </w:rPr>
              <w:t>, nolūkā n</w:t>
            </w:r>
            <w:r w:rsidRPr="00BD5ABA">
              <w:rPr>
                <w:sz w:val="20"/>
                <w:szCs w:val="20"/>
              </w:rPr>
              <w:t xml:space="preserve">odrošināt NVO sektora efektīvu uzraudzību, sekmējot to lielāku caurskatāmību, vienlaikus </w:t>
            </w:r>
            <w:r w:rsidRPr="00BD5ABA">
              <w:rPr>
                <w:sz w:val="20"/>
                <w:szCs w:val="20"/>
              </w:rPr>
              <w:lastRenderedPageBreak/>
              <w:t>radot iespēju korekti monitorēt sektora NILLTPF riskus</w:t>
            </w:r>
            <w:r>
              <w:rPr>
                <w:sz w:val="20"/>
                <w:szCs w:val="20"/>
              </w:rPr>
              <w:t>. Tai skaitā p</w:t>
            </w:r>
            <w:r w:rsidRPr="001B1DB1">
              <w:rPr>
                <w:sz w:val="20"/>
                <w:szCs w:val="20"/>
              </w:rPr>
              <w:t xml:space="preserve">apildināts gada pārskatu saturs, </w:t>
            </w:r>
            <w:r w:rsidRPr="00213467">
              <w:rPr>
                <w:sz w:val="20"/>
                <w:szCs w:val="20"/>
              </w:rPr>
              <w:t>nodrošinot ziedojumu un dāvinājumu skaidras un bezskaidras naudas nodalīšanu</w:t>
            </w:r>
            <w:bookmarkEnd w:id="4"/>
            <w:r>
              <w:rPr>
                <w:sz w:val="20"/>
                <w:szCs w:val="20"/>
              </w:rPr>
              <w:t xml:space="preserve"> un uzlabotas NVO</w:t>
            </w:r>
            <w:r w:rsidRPr="00213467">
              <w:rPr>
                <w:sz w:val="20"/>
                <w:szCs w:val="20"/>
              </w:rPr>
              <w:t xml:space="preserve"> darbības jom</w:t>
            </w:r>
            <w:r>
              <w:rPr>
                <w:sz w:val="20"/>
                <w:szCs w:val="20"/>
              </w:rPr>
              <w:t>u atklāšanas prasības</w:t>
            </w:r>
            <w:r w:rsidRPr="001B1DB1">
              <w:rPr>
                <w:sz w:val="20"/>
                <w:szCs w:val="20"/>
              </w:rPr>
              <w:t>.</w:t>
            </w:r>
          </w:p>
        </w:tc>
        <w:tc>
          <w:tcPr>
            <w:tcW w:w="2694" w:type="dxa"/>
          </w:tcPr>
          <w:p w14:paraId="22794A57" w14:textId="05FA13A6" w:rsidR="008B395B" w:rsidRPr="001B1DB1" w:rsidRDefault="008B395B" w:rsidP="00ED7379">
            <w:pPr>
              <w:jc w:val="both"/>
              <w:rPr>
                <w:rFonts w:cs="Times New Roman"/>
                <w:b/>
                <w:sz w:val="20"/>
                <w:szCs w:val="20"/>
              </w:rPr>
            </w:pPr>
            <w:r w:rsidRPr="001B1DB1">
              <w:rPr>
                <w:sz w:val="20"/>
                <w:szCs w:val="20"/>
              </w:rPr>
              <w:lastRenderedPageBreak/>
              <w:t xml:space="preserve">1. Sagatavots un noteiktajā kārtībā </w:t>
            </w:r>
            <w:r>
              <w:rPr>
                <w:sz w:val="20"/>
                <w:szCs w:val="20"/>
              </w:rPr>
              <w:t>FSAP</w:t>
            </w:r>
            <w:r w:rsidRPr="001B1DB1">
              <w:rPr>
                <w:sz w:val="20"/>
                <w:szCs w:val="20"/>
              </w:rPr>
              <w:t xml:space="preserve"> iesniegts ziņojums, ietverot </w:t>
            </w:r>
            <w:r>
              <w:rPr>
                <w:sz w:val="20"/>
                <w:szCs w:val="20"/>
              </w:rPr>
              <w:t>priekšlikumus pasākumiem</w:t>
            </w:r>
            <w:r w:rsidRPr="001B1DB1">
              <w:rPr>
                <w:sz w:val="20"/>
                <w:szCs w:val="20"/>
              </w:rPr>
              <w:t xml:space="preserve"> attiecībā uz </w:t>
            </w:r>
            <w:r w:rsidRPr="00037D57">
              <w:rPr>
                <w:sz w:val="20"/>
                <w:szCs w:val="20"/>
              </w:rPr>
              <w:t>juridisko personu/NVO risku novērtējumā  identificēto NILLTPF un sankciju neizpildes risku</w:t>
            </w:r>
            <w:r>
              <w:rPr>
                <w:sz w:val="20"/>
                <w:szCs w:val="20"/>
              </w:rPr>
              <w:t xml:space="preserve"> mazināšanu NVO sektorā</w:t>
            </w:r>
            <w:r w:rsidRPr="001B1DB1">
              <w:rPr>
                <w:sz w:val="20"/>
                <w:szCs w:val="20"/>
              </w:rPr>
              <w:t>.</w:t>
            </w:r>
          </w:p>
        </w:tc>
        <w:tc>
          <w:tcPr>
            <w:tcW w:w="1134" w:type="dxa"/>
            <w:shd w:val="clear" w:color="auto" w:fill="auto"/>
          </w:tcPr>
          <w:p w14:paraId="4E125CC4" w14:textId="65D071DD" w:rsidR="008B395B" w:rsidRDefault="008B395B" w:rsidP="00D11C53">
            <w:pPr>
              <w:jc w:val="center"/>
              <w:rPr>
                <w:sz w:val="20"/>
                <w:szCs w:val="20"/>
              </w:rPr>
            </w:pPr>
            <w:r>
              <w:rPr>
                <w:sz w:val="20"/>
                <w:szCs w:val="20"/>
              </w:rPr>
              <w:t>TM</w:t>
            </w:r>
          </w:p>
          <w:p w14:paraId="2225B423" w14:textId="77777777" w:rsidR="008B395B" w:rsidRPr="001B1DB1" w:rsidRDefault="008B395B" w:rsidP="00D11C53">
            <w:pPr>
              <w:jc w:val="center"/>
              <w:rPr>
                <w:rFonts w:cs="Times New Roman"/>
                <w:b/>
                <w:bCs/>
                <w:sz w:val="20"/>
                <w:szCs w:val="20"/>
              </w:rPr>
            </w:pPr>
          </w:p>
        </w:tc>
        <w:tc>
          <w:tcPr>
            <w:tcW w:w="1275" w:type="dxa"/>
            <w:shd w:val="clear" w:color="auto" w:fill="auto"/>
          </w:tcPr>
          <w:p w14:paraId="1B7C75F6" w14:textId="08AD0BB9" w:rsidR="008B395B" w:rsidRPr="001B1DB1" w:rsidRDefault="008B395B" w:rsidP="00D11C53">
            <w:pPr>
              <w:jc w:val="center"/>
              <w:rPr>
                <w:rFonts w:cs="Times New Roman"/>
                <w:b/>
                <w:bCs/>
                <w:sz w:val="20"/>
                <w:szCs w:val="20"/>
              </w:rPr>
            </w:pPr>
            <w:r>
              <w:rPr>
                <w:sz w:val="20"/>
                <w:szCs w:val="20"/>
              </w:rPr>
              <w:t>FM, KM, VID, FID</w:t>
            </w:r>
          </w:p>
        </w:tc>
        <w:tc>
          <w:tcPr>
            <w:tcW w:w="1418" w:type="dxa"/>
            <w:shd w:val="clear" w:color="auto" w:fill="auto"/>
          </w:tcPr>
          <w:p w14:paraId="10C630A4" w14:textId="1C891993" w:rsidR="008B395B" w:rsidRPr="001B1DB1" w:rsidRDefault="008B395B" w:rsidP="00537444">
            <w:pPr>
              <w:jc w:val="center"/>
              <w:rPr>
                <w:rFonts w:cs="Times New Roman"/>
                <w:b/>
                <w:bCs/>
                <w:sz w:val="20"/>
                <w:szCs w:val="20"/>
              </w:rPr>
            </w:pPr>
            <w:r w:rsidRPr="001B1DB1">
              <w:rPr>
                <w:sz w:val="20"/>
                <w:szCs w:val="20"/>
              </w:rPr>
              <w:t>01.0</w:t>
            </w:r>
            <w:r w:rsidR="00537444">
              <w:rPr>
                <w:sz w:val="20"/>
                <w:szCs w:val="20"/>
              </w:rPr>
              <w:t>8</w:t>
            </w:r>
            <w:r w:rsidRPr="001B1DB1">
              <w:rPr>
                <w:sz w:val="20"/>
                <w:szCs w:val="20"/>
              </w:rPr>
              <w:t>.2020.</w:t>
            </w:r>
          </w:p>
        </w:tc>
      </w:tr>
      <w:tr w:rsidR="008B395B" w:rsidRPr="001B1DB1" w14:paraId="308089F5" w14:textId="77777777" w:rsidTr="009744C5">
        <w:trPr>
          <w:trHeight w:val="543"/>
        </w:trPr>
        <w:tc>
          <w:tcPr>
            <w:tcW w:w="709" w:type="dxa"/>
            <w:vMerge/>
          </w:tcPr>
          <w:p w14:paraId="4FB90888" w14:textId="77777777" w:rsidR="008B395B" w:rsidRPr="001B1DB1" w:rsidRDefault="008B395B" w:rsidP="00CA4C02">
            <w:pPr>
              <w:jc w:val="center"/>
              <w:rPr>
                <w:rFonts w:cs="Times New Roman"/>
                <w:bCs/>
                <w:sz w:val="20"/>
                <w:szCs w:val="20"/>
              </w:rPr>
            </w:pPr>
          </w:p>
        </w:tc>
        <w:tc>
          <w:tcPr>
            <w:tcW w:w="3686" w:type="dxa"/>
            <w:vMerge/>
            <w:shd w:val="clear" w:color="auto" w:fill="auto"/>
          </w:tcPr>
          <w:p w14:paraId="08891829" w14:textId="77777777" w:rsidR="008B395B" w:rsidRPr="001B1DB1" w:rsidRDefault="008B395B" w:rsidP="00172808">
            <w:pPr>
              <w:jc w:val="both"/>
              <w:rPr>
                <w:rFonts w:cs="Times New Roman"/>
                <w:b/>
                <w:bCs/>
                <w:sz w:val="20"/>
                <w:szCs w:val="20"/>
              </w:rPr>
            </w:pPr>
          </w:p>
        </w:tc>
        <w:tc>
          <w:tcPr>
            <w:tcW w:w="1559" w:type="dxa"/>
            <w:vMerge/>
          </w:tcPr>
          <w:p w14:paraId="0E708CB4" w14:textId="77777777" w:rsidR="008B395B" w:rsidRPr="001B1DB1" w:rsidRDefault="008B395B" w:rsidP="00172808">
            <w:pPr>
              <w:jc w:val="both"/>
              <w:rPr>
                <w:rFonts w:cs="Times New Roman"/>
                <w:b/>
                <w:sz w:val="20"/>
                <w:szCs w:val="20"/>
              </w:rPr>
            </w:pPr>
          </w:p>
        </w:tc>
        <w:tc>
          <w:tcPr>
            <w:tcW w:w="2551" w:type="dxa"/>
            <w:vMerge/>
            <w:shd w:val="clear" w:color="auto" w:fill="auto"/>
          </w:tcPr>
          <w:p w14:paraId="0ED28486" w14:textId="77777777" w:rsidR="008B395B" w:rsidRPr="001B1DB1" w:rsidRDefault="008B395B" w:rsidP="00172808">
            <w:pPr>
              <w:jc w:val="both"/>
              <w:rPr>
                <w:rFonts w:cs="Times New Roman"/>
                <w:b/>
                <w:sz w:val="20"/>
                <w:szCs w:val="20"/>
              </w:rPr>
            </w:pPr>
          </w:p>
        </w:tc>
        <w:tc>
          <w:tcPr>
            <w:tcW w:w="2694" w:type="dxa"/>
          </w:tcPr>
          <w:p w14:paraId="3D32C5D2" w14:textId="2FA33EAA" w:rsidR="008B395B" w:rsidRPr="001B1DB1" w:rsidRDefault="008B395B" w:rsidP="00172808">
            <w:pPr>
              <w:jc w:val="both"/>
              <w:rPr>
                <w:rFonts w:cs="Times New Roman"/>
                <w:b/>
                <w:sz w:val="20"/>
                <w:szCs w:val="20"/>
              </w:rPr>
            </w:pPr>
            <w:r w:rsidRPr="001B1DB1">
              <w:rPr>
                <w:sz w:val="20"/>
                <w:szCs w:val="20"/>
              </w:rPr>
              <w:t xml:space="preserve">2. Ievērojot 1. rezultatīvā rādītāja ietvaros </w:t>
            </w:r>
            <w:r w:rsidRPr="001F0C22">
              <w:rPr>
                <w:sz w:val="20"/>
                <w:szCs w:val="20"/>
              </w:rPr>
              <w:t>izstrādātajā ziņojumā secināto</w:t>
            </w:r>
            <w:r>
              <w:rPr>
                <w:sz w:val="20"/>
                <w:szCs w:val="20"/>
              </w:rPr>
              <w:t>, s</w:t>
            </w:r>
            <w:r w:rsidRPr="001B1DB1">
              <w:rPr>
                <w:sz w:val="20"/>
                <w:szCs w:val="20"/>
              </w:rPr>
              <w:t xml:space="preserve">agatavots un noteiktajā kārtībā </w:t>
            </w:r>
            <w:r>
              <w:rPr>
                <w:sz w:val="20"/>
                <w:szCs w:val="20"/>
              </w:rPr>
              <w:t>FSAP</w:t>
            </w:r>
            <w:r w:rsidRPr="001B1DB1">
              <w:rPr>
                <w:sz w:val="20"/>
                <w:szCs w:val="20"/>
              </w:rPr>
              <w:t xml:space="preserve"> iesniegts ziņojums</w:t>
            </w:r>
            <w:r>
              <w:rPr>
                <w:sz w:val="20"/>
                <w:szCs w:val="20"/>
              </w:rPr>
              <w:t xml:space="preserve">, </w:t>
            </w:r>
            <w:r w:rsidRPr="001B1DB1">
              <w:rPr>
                <w:sz w:val="20"/>
                <w:szCs w:val="20"/>
              </w:rPr>
              <w:t xml:space="preserve">ietverot </w:t>
            </w:r>
            <w:r>
              <w:rPr>
                <w:sz w:val="20"/>
                <w:szCs w:val="20"/>
              </w:rPr>
              <w:t>priekšlikumus pasākumiem</w:t>
            </w:r>
            <w:r w:rsidRPr="001B1DB1">
              <w:rPr>
                <w:sz w:val="20"/>
                <w:szCs w:val="20"/>
              </w:rPr>
              <w:t xml:space="preserve"> attiecībā uz </w:t>
            </w:r>
            <w:r w:rsidRPr="00037D57">
              <w:rPr>
                <w:sz w:val="20"/>
                <w:szCs w:val="20"/>
              </w:rPr>
              <w:t>NILLTPF un sankciju neizpildes risku</w:t>
            </w:r>
            <w:r>
              <w:rPr>
                <w:sz w:val="20"/>
                <w:szCs w:val="20"/>
              </w:rPr>
              <w:t xml:space="preserve"> mazināšanu sabiedrisko labuma organizāciju sektorā</w:t>
            </w:r>
            <w:r w:rsidRPr="001B1DB1">
              <w:rPr>
                <w:sz w:val="20"/>
                <w:szCs w:val="20"/>
              </w:rPr>
              <w:t>.</w:t>
            </w:r>
          </w:p>
        </w:tc>
        <w:tc>
          <w:tcPr>
            <w:tcW w:w="1134" w:type="dxa"/>
            <w:shd w:val="clear" w:color="auto" w:fill="auto"/>
          </w:tcPr>
          <w:p w14:paraId="5FDBEB85" w14:textId="77777777" w:rsidR="008B395B" w:rsidRPr="001B1DB1" w:rsidRDefault="008B395B" w:rsidP="00D11C53">
            <w:pPr>
              <w:jc w:val="center"/>
              <w:rPr>
                <w:rFonts w:cs="Times New Roman"/>
                <w:b/>
                <w:bCs/>
                <w:sz w:val="20"/>
                <w:szCs w:val="20"/>
              </w:rPr>
            </w:pPr>
            <w:r w:rsidRPr="001B1DB1">
              <w:rPr>
                <w:sz w:val="20"/>
                <w:szCs w:val="20"/>
              </w:rPr>
              <w:t>FM</w:t>
            </w:r>
          </w:p>
        </w:tc>
        <w:tc>
          <w:tcPr>
            <w:tcW w:w="1275" w:type="dxa"/>
            <w:shd w:val="clear" w:color="auto" w:fill="auto"/>
          </w:tcPr>
          <w:p w14:paraId="12E72C2E" w14:textId="020194A1" w:rsidR="008B395B" w:rsidRPr="001B1DB1" w:rsidRDefault="008B395B" w:rsidP="00D11C53">
            <w:pPr>
              <w:jc w:val="center"/>
              <w:rPr>
                <w:rFonts w:cs="Times New Roman"/>
                <w:b/>
                <w:bCs/>
                <w:sz w:val="20"/>
                <w:szCs w:val="20"/>
              </w:rPr>
            </w:pPr>
            <w:r w:rsidRPr="001B1DB1">
              <w:rPr>
                <w:sz w:val="20"/>
                <w:szCs w:val="20"/>
              </w:rPr>
              <w:t>TM</w:t>
            </w:r>
            <w:r>
              <w:rPr>
                <w:sz w:val="20"/>
                <w:szCs w:val="20"/>
              </w:rPr>
              <w:t>, VID, FID</w:t>
            </w:r>
          </w:p>
        </w:tc>
        <w:tc>
          <w:tcPr>
            <w:tcW w:w="1418" w:type="dxa"/>
            <w:shd w:val="clear" w:color="auto" w:fill="auto"/>
          </w:tcPr>
          <w:p w14:paraId="4996928A" w14:textId="572E0A6D" w:rsidR="008B395B" w:rsidRPr="001B1DB1" w:rsidRDefault="008B395B" w:rsidP="00ED7379">
            <w:pPr>
              <w:jc w:val="center"/>
              <w:rPr>
                <w:rFonts w:cs="Times New Roman"/>
                <w:b/>
                <w:bCs/>
                <w:sz w:val="20"/>
                <w:szCs w:val="20"/>
              </w:rPr>
            </w:pPr>
            <w:r>
              <w:rPr>
                <w:sz w:val="20"/>
                <w:szCs w:val="20"/>
              </w:rPr>
              <w:t>01</w:t>
            </w:r>
            <w:r w:rsidRPr="001B1DB1">
              <w:rPr>
                <w:sz w:val="20"/>
                <w:szCs w:val="20"/>
              </w:rPr>
              <w:t>.1</w:t>
            </w:r>
            <w:r>
              <w:rPr>
                <w:sz w:val="20"/>
                <w:szCs w:val="20"/>
              </w:rPr>
              <w:t>0</w:t>
            </w:r>
            <w:r w:rsidRPr="001B1DB1">
              <w:rPr>
                <w:sz w:val="20"/>
                <w:szCs w:val="20"/>
              </w:rPr>
              <w:t>.2020.</w:t>
            </w:r>
          </w:p>
        </w:tc>
      </w:tr>
      <w:tr w:rsidR="008B395B" w:rsidRPr="001B1DB1" w14:paraId="6825FC63" w14:textId="77777777" w:rsidTr="009744C5">
        <w:trPr>
          <w:trHeight w:val="543"/>
        </w:trPr>
        <w:tc>
          <w:tcPr>
            <w:tcW w:w="709" w:type="dxa"/>
            <w:vMerge/>
          </w:tcPr>
          <w:p w14:paraId="4E393CF7" w14:textId="77777777" w:rsidR="008B395B" w:rsidRPr="001B1DB1" w:rsidRDefault="008B395B" w:rsidP="00CA4C02">
            <w:pPr>
              <w:jc w:val="center"/>
              <w:rPr>
                <w:rFonts w:cs="Times New Roman"/>
                <w:bCs/>
                <w:sz w:val="20"/>
                <w:szCs w:val="20"/>
              </w:rPr>
            </w:pPr>
          </w:p>
        </w:tc>
        <w:tc>
          <w:tcPr>
            <w:tcW w:w="3686" w:type="dxa"/>
            <w:vMerge/>
            <w:shd w:val="clear" w:color="auto" w:fill="auto"/>
          </w:tcPr>
          <w:p w14:paraId="04E4BC15" w14:textId="77777777" w:rsidR="008B395B" w:rsidRPr="001B1DB1" w:rsidRDefault="008B395B" w:rsidP="00172808">
            <w:pPr>
              <w:jc w:val="both"/>
              <w:rPr>
                <w:rFonts w:cs="Times New Roman"/>
                <w:b/>
                <w:bCs/>
                <w:sz w:val="20"/>
                <w:szCs w:val="20"/>
              </w:rPr>
            </w:pPr>
          </w:p>
        </w:tc>
        <w:tc>
          <w:tcPr>
            <w:tcW w:w="1559" w:type="dxa"/>
            <w:vMerge/>
          </w:tcPr>
          <w:p w14:paraId="561017C4" w14:textId="77777777" w:rsidR="008B395B" w:rsidRPr="001B1DB1" w:rsidRDefault="008B395B" w:rsidP="00172808">
            <w:pPr>
              <w:jc w:val="both"/>
              <w:rPr>
                <w:rFonts w:cs="Times New Roman"/>
                <w:b/>
                <w:sz w:val="20"/>
                <w:szCs w:val="20"/>
              </w:rPr>
            </w:pPr>
          </w:p>
        </w:tc>
        <w:tc>
          <w:tcPr>
            <w:tcW w:w="2551" w:type="dxa"/>
            <w:vMerge/>
            <w:shd w:val="clear" w:color="auto" w:fill="auto"/>
          </w:tcPr>
          <w:p w14:paraId="426CA580" w14:textId="77777777" w:rsidR="008B395B" w:rsidRPr="001B1DB1" w:rsidRDefault="008B395B" w:rsidP="00172808">
            <w:pPr>
              <w:jc w:val="both"/>
              <w:rPr>
                <w:rFonts w:cs="Times New Roman"/>
                <w:b/>
                <w:sz w:val="20"/>
                <w:szCs w:val="20"/>
              </w:rPr>
            </w:pPr>
          </w:p>
        </w:tc>
        <w:tc>
          <w:tcPr>
            <w:tcW w:w="2694" w:type="dxa"/>
          </w:tcPr>
          <w:p w14:paraId="5D15FD89" w14:textId="2F36D300" w:rsidR="008B395B" w:rsidRPr="001B1DB1" w:rsidRDefault="008B395B" w:rsidP="00172808">
            <w:pPr>
              <w:jc w:val="both"/>
              <w:rPr>
                <w:rFonts w:cs="Times New Roman"/>
                <w:b/>
                <w:sz w:val="20"/>
                <w:szCs w:val="20"/>
              </w:rPr>
            </w:pPr>
            <w:r w:rsidRPr="001B1DB1">
              <w:rPr>
                <w:sz w:val="20"/>
                <w:szCs w:val="20"/>
              </w:rPr>
              <w:t>3. </w:t>
            </w:r>
            <w:r w:rsidRPr="001F0C22">
              <w:rPr>
                <w:sz w:val="20"/>
                <w:szCs w:val="20"/>
              </w:rPr>
              <w:t>Ievērojot arī 1. rezultatīvā rādītāja ietvaros izstrādātajā ziņojumā secināto, izstrādāti atbilstoši normatīvo aktu grozījumi, tai skaitā, paredzot papildināt gada pārskatu saturu, nodrošinot ziedojumu un dāvinājumu skaidras un bezskaidras naudas nodalīšanu</w:t>
            </w:r>
            <w:r w:rsidRPr="001B1DB1">
              <w:rPr>
                <w:sz w:val="20"/>
                <w:szCs w:val="20"/>
              </w:rPr>
              <w:t>.</w:t>
            </w:r>
          </w:p>
        </w:tc>
        <w:tc>
          <w:tcPr>
            <w:tcW w:w="1134" w:type="dxa"/>
            <w:shd w:val="clear" w:color="auto" w:fill="auto"/>
          </w:tcPr>
          <w:p w14:paraId="2FAC4909" w14:textId="654973A6" w:rsidR="008B395B" w:rsidRPr="001B1DB1" w:rsidRDefault="008B395B" w:rsidP="00D11C53">
            <w:pPr>
              <w:jc w:val="center"/>
              <w:rPr>
                <w:rFonts w:cs="Times New Roman"/>
                <w:b/>
                <w:bCs/>
                <w:sz w:val="20"/>
                <w:szCs w:val="20"/>
              </w:rPr>
            </w:pPr>
            <w:r>
              <w:rPr>
                <w:sz w:val="20"/>
                <w:szCs w:val="20"/>
              </w:rPr>
              <w:t>FM</w:t>
            </w:r>
          </w:p>
        </w:tc>
        <w:tc>
          <w:tcPr>
            <w:tcW w:w="1275" w:type="dxa"/>
            <w:shd w:val="clear" w:color="auto" w:fill="auto"/>
          </w:tcPr>
          <w:p w14:paraId="7F7AB70E" w14:textId="4DE6A08A" w:rsidR="008B395B" w:rsidRPr="001B1DB1" w:rsidRDefault="008B395B" w:rsidP="00D11C53">
            <w:pPr>
              <w:jc w:val="center"/>
              <w:rPr>
                <w:rFonts w:cs="Times New Roman"/>
                <w:b/>
                <w:bCs/>
                <w:sz w:val="20"/>
                <w:szCs w:val="20"/>
              </w:rPr>
            </w:pPr>
            <w:r>
              <w:rPr>
                <w:sz w:val="20"/>
                <w:szCs w:val="20"/>
              </w:rPr>
              <w:t>TM</w:t>
            </w:r>
          </w:p>
        </w:tc>
        <w:tc>
          <w:tcPr>
            <w:tcW w:w="1418" w:type="dxa"/>
            <w:shd w:val="clear" w:color="auto" w:fill="auto"/>
          </w:tcPr>
          <w:p w14:paraId="21CD9DA8" w14:textId="3E02941D" w:rsidR="008B395B" w:rsidRPr="001B1DB1" w:rsidRDefault="008B395B" w:rsidP="00ED7379">
            <w:pPr>
              <w:jc w:val="center"/>
              <w:rPr>
                <w:rFonts w:cs="Times New Roman"/>
                <w:b/>
                <w:bCs/>
                <w:sz w:val="20"/>
                <w:szCs w:val="20"/>
              </w:rPr>
            </w:pPr>
            <w:r>
              <w:rPr>
                <w:sz w:val="20"/>
                <w:szCs w:val="20"/>
              </w:rPr>
              <w:t>3</w:t>
            </w:r>
            <w:r w:rsidRPr="001B1DB1">
              <w:rPr>
                <w:sz w:val="20"/>
                <w:szCs w:val="20"/>
              </w:rPr>
              <w:t>1.</w:t>
            </w:r>
            <w:r>
              <w:rPr>
                <w:sz w:val="20"/>
                <w:szCs w:val="20"/>
              </w:rPr>
              <w:t>12</w:t>
            </w:r>
            <w:r w:rsidRPr="001B1DB1">
              <w:rPr>
                <w:sz w:val="20"/>
                <w:szCs w:val="20"/>
              </w:rPr>
              <w:t>.2020.</w:t>
            </w:r>
          </w:p>
        </w:tc>
      </w:tr>
      <w:tr w:rsidR="008B395B" w:rsidRPr="001B1DB1" w14:paraId="73B9D0F4" w14:textId="77777777" w:rsidTr="009744C5">
        <w:trPr>
          <w:trHeight w:val="543"/>
        </w:trPr>
        <w:tc>
          <w:tcPr>
            <w:tcW w:w="709" w:type="dxa"/>
            <w:vMerge/>
          </w:tcPr>
          <w:p w14:paraId="14505150" w14:textId="77777777" w:rsidR="008B395B" w:rsidRPr="001B1DB1" w:rsidRDefault="008B395B" w:rsidP="00CA4C02">
            <w:pPr>
              <w:jc w:val="center"/>
              <w:rPr>
                <w:rFonts w:cs="Times New Roman"/>
                <w:bCs/>
                <w:sz w:val="20"/>
                <w:szCs w:val="20"/>
              </w:rPr>
            </w:pPr>
          </w:p>
        </w:tc>
        <w:tc>
          <w:tcPr>
            <w:tcW w:w="3686" w:type="dxa"/>
            <w:vMerge/>
            <w:shd w:val="clear" w:color="auto" w:fill="auto"/>
          </w:tcPr>
          <w:p w14:paraId="684C1A64" w14:textId="77777777" w:rsidR="008B395B" w:rsidRPr="001B1DB1" w:rsidRDefault="008B395B" w:rsidP="00172808">
            <w:pPr>
              <w:jc w:val="both"/>
              <w:rPr>
                <w:rFonts w:cs="Times New Roman"/>
                <w:b/>
                <w:bCs/>
                <w:sz w:val="20"/>
                <w:szCs w:val="20"/>
              </w:rPr>
            </w:pPr>
          </w:p>
        </w:tc>
        <w:tc>
          <w:tcPr>
            <w:tcW w:w="1559" w:type="dxa"/>
            <w:vMerge/>
          </w:tcPr>
          <w:p w14:paraId="4A9D4E3C" w14:textId="77777777" w:rsidR="008B395B" w:rsidRPr="001B1DB1" w:rsidRDefault="008B395B" w:rsidP="00172808">
            <w:pPr>
              <w:jc w:val="both"/>
              <w:rPr>
                <w:rFonts w:cs="Times New Roman"/>
                <w:b/>
                <w:sz w:val="20"/>
                <w:szCs w:val="20"/>
              </w:rPr>
            </w:pPr>
          </w:p>
        </w:tc>
        <w:tc>
          <w:tcPr>
            <w:tcW w:w="2551" w:type="dxa"/>
            <w:vMerge/>
            <w:shd w:val="clear" w:color="auto" w:fill="auto"/>
          </w:tcPr>
          <w:p w14:paraId="0FCF40D2" w14:textId="77777777" w:rsidR="008B395B" w:rsidRPr="001B1DB1" w:rsidRDefault="008B395B" w:rsidP="00172808">
            <w:pPr>
              <w:jc w:val="both"/>
              <w:rPr>
                <w:rFonts w:cs="Times New Roman"/>
                <w:b/>
                <w:sz w:val="20"/>
                <w:szCs w:val="20"/>
              </w:rPr>
            </w:pPr>
          </w:p>
        </w:tc>
        <w:tc>
          <w:tcPr>
            <w:tcW w:w="2694" w:type="dxa"/>
          </w:tcPr>
          <w:p w14:paraId="1CF676C8" w14:textId="4CB4DEE9" w:rsidR="008B395B" w:rsidRPr="001B1DB1" w:rsidRDefault="008B395B" w:rsidP="00CD56F1">
            <w:pPr>
              <w:jc w:val="both"/>
              <w:rPr>
                <w:rFonts w:cs="Times New Roman"/>
                <w:b/>
                <w:sz w:val="20"/>
                <w:szCs w:val="20"/>
              </w:rPr>
            </w:pPr>
            <w:r w:rsidRPr="001B1DB1">
              <w:rPr>
                <w:sz w:val="20"/>
                <w:szCs w:val="20"/>
              </w:rPr>
              <w:t xml:space="preserve">4. Ievērojot </w:t>
            </w:r>
            <w:r>
              <w:rPr>
                <w:sz w:val="20"/>
                <w:szCs w:val="20"/>
              </w:rPr>
              <w:t xml:space="preserve">arī </w:t>
            </w:r>
            <w:r w:rsidRPr="001B1DB1">
              <w:rPr>
                <w:sz w:val="20"/>
                <w:szCs w:val="20"/>
              </w:rPr>
              <w:t>1. rezultatīvā rādītāja ietvaros izstrādāt</w:t>
            </w:r>
            <w:r>
              <w:rPr>
                <w:sz w:val="20"/>
                <w:szCs w:val="20"/>
              </w:rPr>
              <w:t>ajā</w:t>
            </w:r>
            <w:r w:rsidRPr="001B1DB1">
              <w:rPr>
                <w:sz w:val="20"/>
                <w:szCs w:val="20"/>
              </w:rPr>
              <w:t xml:space="preserve"> ziņojumā secināto, izstrādāt</w:t>
            </w:r>
            <w:r>
              <w:rPr>
                <w:sz w:val="20"/>
                <w:szCs w:val="20"/>
              </w:rPr>
              <w:t>i</w:t>
            </w:r>
            <w:r w:rsidRPr="001B1DB1">
              <w:rPr>
                <w:sz w:val="20"/>
                <w:szCs w:val="20"/>
              </w:rPr>
              <w:t xml:space="preserve"> normatīvo aktu grozījum</w:t>
            </w:r>
            <w:r>
              <w:rPr>
                <w:sz w:val="20"/>
                <w:szCs w:val="20"/>
              </w:rPr>
              <w:t>i</w:t>
            </w:r>
            <w:r w:rsidRPr="001B1DB1">
              <w:rPr>
                <w:sz w:val="20"/>
                <w:szCs w:val="20"/>
              </w:rPr>
              <w:t xml:space="preserve">, </w:t>
            </w:r>
            <w:r>
              <w:rPr>
                <w:sz w:val="20"/>
                <w:szCs w:val="20"/>
              </w:rPr>
              <w:t>uzlabojot NVO darbības jomu atklāšanas prasības</w:t>
            </w:r>
            <w:r w:rsidRPr="001B1DB1" w:rsidDel="00B116FE">
              <w:rPr>
                <w:sz w:val="20"/>
                <w:szCs w:val="20"/>
              </w:rPr>
              <w:t xml:space="preserve"> </w:t>
            </w:r>
            <w:r w:rsidRPr="001B1DB1">
              <w:rPr>
                <w:sz w:val="20"/>
                <w:szCs w:val="20"/>
              </w:rPr>
              <w:t>.</w:t>
            </w:r>
          </w:p>
        </w:tc>
        <w:tc>
          <w:tcPr>
            <w:tcW w:w="1134" w:type="dxa"/>
            <w:shd w:val="clear" w:color="auto" w:fill="auto"/>
          </w:tcPr>
          <w:p w14:paraId="36379CDD" w14:textId="77777777" w:rsidR="008B395B" w:rsidRPr="001B1DB1" w:rsidRDefault="008B395B" w:rsidP="00D11C53">
            <w:pPr>
              <w:jc w:val="center"/>
              <w:rPr>
                <w:rFonts w:cs="Times New Roman"/>
                <w:b/>
                <w:bCs/>
                <w:sz w:val="20"/>
                <w:szCs w:val="20"/>
              </w:rPr>
            </w:pPr>
            <w:r w:rsidRPr="001B1DB1">
              <w:rPr>
                <w:sz w:val="20"/>
                <w:szCs w:val="20"/>
              </w:rPr>
              <w:t>TM</w:t>
            </w:r>
          </w:p>
        </w:tc>
        <w:tc>
          <w:tcPr>
            <w:tcW w:w="1275" w:type="dxa"/>
            <w:shd w:val="clear" w:color="auto" w:fill="auto"/>
          </w:tcPr>
          <w:p w14:paraId="0E89ABB2" w14:textId="77777777" w:rsidR="008B395B" w:rsidRPr="001B1DB1" w:rsidRDefault="008B395B" w:rsidP="00D11C53">
            <w:pPr>
              <w:jc w:val="center"/>
              <w:rPr>
                <w:rFonts w:cs="Times New Roman"/>
                <w:b/>
                <w:bCs/>
                <w:sz w:val="20"/>
                <w:szCs w:val="20"/>
              </w:rPr>
            </w:pPr>
            <w:r w:rsidRPr="001B1DB1">
              <w:rPr>
                <w:sz w:val="20"/>
                <w:szCs w:val="20"/>
              </w:rPr>
              <w:t>KM, FM</w:t>
            </w:r>
          </w:p>
        </w:tc>
        <w:tc>
          <w:tcPr>
            <w:tcW w:w="1418" w:type="dxa"/>
            <w:shd w:val="clear" w:color="auto" w:fill="auto"/>
          </w:tcPr>
          <w:p w14:paraId="528C843C" w14:textId="77777777" w:rsidR="008B395B" w:rsidRPr="001B1DB1" w:rsidRDefault="008B395B" w:rsidP="00D11C53">
            <w:pPr>
              <w:jc w:val="center"/>
              <w:rPr>
                <w:rFonts w:cs="Times New Roman"/>
                <w:b/>
                <w:bCs/>
                <w:sz w:val="20"/>
                <w:szCs w:val="20"/>
              </w:rPr>
            </w:pPr>
            <w:r w:rsidRPr="001B1DB1">
              <w:rPr>
                <w:sz w:val="20"/>
                <w:szCs w:val="20"/>
              </w:rPr>
              <w:t>31.12.2020.</w:t>
            </w:r>
          </w:p>
        </w:tc>
      </w:tr>
      <w:tr w:rsidR="008B395B" w:rsidRPr="001B1DB1" w14:paraId="24421155" w14:textId="77777777" w:rsidTr="009744C5">
        <w:trPr>
          <w:trHeight w:val="543"/>
        </w:trPr>
        <w:tc>
          <w:tcPr>
            <w:tcW w:w="709" w:type="dxa"/>
            <w:vMerge/>
          </w:tcPr>
          <w:p w14:paraId="3CD1CAA6" w14:textId="77777777" w:rsidR="008B395B" w:rsidRPr="001B1DB1" w:rsidRDefault="008B395B" w:rsidP="008B395B">
            <w:pPr>
              <w:jc w:val="center"/>
              <w:rPr>
                <w:sz w:val="20"/>
                <w:szCs w:val="20"/>
              </w:rPr>
            </w:pPr>
          </w:p>
        </w:tc>
        <w:tc>
          <w:tcPr>
            <w:tcW w:w="3686" w:type="dxa"/>
            <w:vMerge/>
            <w:shd w:val="clear" w:color="auto" w:fill="auto"/>
          </w:tcPr>
          <w:p w14:paraId="5758145A" w14:textId="77777777" w:rsidR="008B395B" w:rsidRPr="001B1DB1" w:rsidRDefault="008B395B" w:rsidP="008B395B">
            <w:pPr>
              <w:jc w:val="both"/>
              <w:rPr>
                <w:sz w:val="20"/>
                <w:szCs w:val="20"/>
              </w:rPr>
            </w:pPr>
          </w:p>
        </w:tc>
        <w:tc>
          <w:tcPr>
            <w:tcW w:w="1559" w:type="dxa"/>
            <w:vMerge/>
          </w:tcPr>
          <w:p w14:paraId="69119690" w14:textId="77777777" w:rsidR="008B395B" w:rsidRPr="001B1DB1" w:rsidRDefault="008B395B" w:rsidP="008B395B">
            <w:pPr>
              <w:jc w:val="both"/>
              <w:rPr>
                <w:sz w:val="20"/>
                <w:szCs w:val="20"/>
              </w:rPr>
            </w:pPr>
          </w:p>
        </w:tc>
        <w:tc>
          <w:tcPr>
            <w:tcW w:w="2551" w:type="dxa"/>
            <w:vMerge/>
            <w:shd w:val="clear" w:color="auto" w:fill="auto"/>
          </w:tcPr>
          <w:p w14:paraId="62C9F24B" w14:textId="77777777" w:rsidR="008B395B" w:rsidRPr="001B1DB1" w:rsidRDefault="008B395B" w:rsidP="008B395B">
            <w:pPr>
              <w:jc w:val="both"/>
              <w:rPr>
                <w:sz w:val="20"/>
                <w:szCs w:val="20"/>
              </w:rPr>
            </w:pPr>
          </w:p>
        </w:tc>
        <w:tc>
          <w:tcPr>
            <w:tcW w:w="2694" w:type="dxa"/>
          </w:tcPr>
          <w:p w14:paraId="78611B3B" w14:textId="40582455" w:rsidR="008B395B" w:rsidRPr="008B395B" w:rsidRDefault="008B395B" w:rsidP="008B395B">
            <w:pPr>
              <w:jc w:val="both"/>
              <w:rPr>
                <w:sz w:val="20"/>
                <w:szCs w:val="20"/>
              </w:rPr>
            </w:pPr>
            <w:r w:rsidRPr="008B395B">
              <w:rPr>
                <w:sz w:val="20"/>
                <w:szCs w:val="20"/>
              </w:rPr>
              <w:t>5. Ievērojot 1. un 2. rezultatīvā rādītāja ietvaros izstrādātajos ziņojumos secināto, izstrādāti normatīvo aktu grozījumi sabiedriskā labuma organizāciju regulējumā.</w:t>
            </w:r>
          </w:p>
        </w:tc>
        <w:tc>
          <w:tcPr>
            <w:tcW w:w="1134" w:type="dxa"/>
            <w:shd w:val="clear" w:color="auto" w:fill="auto"/>
          </w:tcPr>
          <w:p w14:paraId="405EAD88" w14:textId="1076960A" w:rsidR="008B395B" w:rsidRPr="008B395B" w:rsidRDefault="008B395B" w:rsidP="008B395B">
            <w:pPr>
              <w:jc w:val="center"/>
              <w:rPr>
                <w:sz w:val="20"/>
                <w:szCs w:val="20"/>
              </w:rPr>
            </w:pPr>
            <w:r w:rsidRPr="008B395B">
              <w:rPr>
                <w:sz w:val="20"/>
                <w:szCs w:val="20"/>
              </w:rPr>
              <w:t>FM</w:t>
            </w:r>
          </w:p>
        </w:tc>
        <w:tc>
          <w:tcPr>
            <w:tcW w:w="1275" w:type="dxa"/>
            <w:shd w:val="clear" w:color="auto" w:fill="auto"/>
          </w:tcPr>
          <w:p w14:paraId="0B340111" w14:textId="3066CA36" w:rsidR="008B395B" w:rsidRPr="008B395B" w:rsidRDefault="008B395B" w:rsidP="008B395B">
            <w:pPr>
              <w:jc w:val="center"/>
              <w:rPr>
                <w:rFonts w:cs="Times New Roman"/>
                <w:sz w:val="20"/>
                <w:szCs w:val="20"/>
              </w:rPr>
            </w:pPr>
            <w:r w:rsidRPr="008B395B">
              <w:rPr>
                <w:sz w:val="20"/>
                <w:szCs w:val="20"/>
              </w:rPr>
              <w:t>TM</w:t>
            </w:r>
          </w:p>
        </w:tc>
        <w:tc>
          <w:tcPr>
            <w:tcW w:w="1418" w:type="dxa"/>
            <w:shd w:val="clear" w:color="auto" w:fill="auto"/>
          </w:tcPr>
          <w:p w14:paraId="6519A7AA" w14:textId="72684584" w:rsidR="008B395B" w:rsidRPr="008B395B" w:rsidRDefault="008B395B" w:rsidP="008B395B">
            <w:pPr>
              <w:jc w:val="center"/>
              <w:rPr>
                <w:sz w:val="20"/>
                <w:szCs w:val="20"/>
              </w:rPr>
            </w:pPr>
            <w:r w:rsidRPr="008B395B">
              <w:rPr>
                <w:sz w:val="20"/>
                <w:szCs w:val="20"/>
              </w:rPr>
              <w:t xml:space="preserve">01.03.2021.   </w:t>
            </w:r>
          </w:p>
        </w:tc>
      </w:tr>
      <w:tr w:rsidR="00377745" w:rsidRPr="001B1DB1" w14:paraId="0305EDF2" w14:textId="77777777" w:rsidTr="009744C5">
        <w:trPr>
          <w:trHeight w:val="543"/>
        </w:trPr>
        <w:tc>
          <w:tcPr>
            <w:tcW w:w="709" w:type="dxa"/>
            <w:vMerge w:val="restart"/>
          </w:tcPr>
          <w:p w14:paraId="3A9214B5" w14:textId="2A84537F" w:rsidR="00377745" w:rsidRPr="001B1DB1" w:rsidRDefault="00377745" w:rsidP="00537444">
            <w:pPr>
              <w:jc w:val="center"/>
              <w:rPr>
                <w:rFonts w:cs="Times New Roman"/>
                <w:bCs/>
                <w:sz w:val="20"/>
                <w:szCs w:val="20"/>
              </w:rPr>
            </w:pPr>
            <w:r w:rsidRPr="001B1DB1">
              <w:rPr>
                <w:sz w:val="20"/>
                <w:szCs w:val="20"/>
              </w:rPr>
              <w:t>5.</w:t>
            </w:r>
            <w:r w:rsidR="00537444">
              <w:rPr>
                <w:sz w:val="20"/>
                <w:szCs w:val="20"/>
              </w:rPr>
              <w:t>4</w:t>
            </w:r>
            <w:r w:rsidRPr="001B1DB1">
              <w:rPr>
                <w:sz w:val="20"/>
                <w:szCs w:val="20"/>
              </w:rPr>
              <w:t>.</w:t>
            </w:r>
          </w:p>
        </w:tc>
        <w:tc>
          <w:tcPr>
            <w:tcW w:w="3686" w:type="dxa"/>
            <w:vMerge w:val="restart"/>
            <w:shd w:val="clear" w:color="auto" w:fill="auto"/>
          </w:tcPr>
          <w:p w14:paraId="1131252B" w14:textId="77777777" w:rsidR="00377745" w:rsidRPr="001B1DB1" w:rsidRDefault="00377745" w:rsidP="00377745">
            <w:pPr>
              <w:jc w:val="both"/>
              <w:rPr>
                <w:rFonts w:cs="Times New Roman"/>
                <w:b/>
                <w:bCs/>
                <w:sz w:val="20"/>
                <w:szCs w:val="20"/>
              </w:rPr>
            </w:pPr>
            <w:r w:rsidRPr="001B1DB1">
              <w:rPr>
                <w:sz w:val="20"/>
                <w:szCs w:val="20"/>
              </w:rPr>
              <w:t>Uzlabota izpratne un mehānismi zvērinātu notāru veiktajos klientu izpētes pasākumos, noskaidrojot PLG.</w:t>
            </w:r>
          </w:p>
        </w:tc>
        <w:tc>
          <w:tcPr>
            <w:tcW w:w="1559" w:type="dxa"/>
            <w:vMerge w:val="restart"/>
          </w:tcPr>
          <w:p w14:paraId="256BAC0E" w14:textId="23F9696C" w:rsidR="00377745" w:rsidRPr="001B1DB1" w:rsidRDefault="00377745" w:rsidP="009D2941">
            <w:pPr>
              <w:jc w:val="both"/>
              <w:rPr>
                <w:rFonts w:cs="Times New Roman"/>
                <w:b/>
                <w:sz w:val="20"/>
                <w:szCs w:val="20"/>
              </w:rPr>
            </w:pPr>
            <w:r w:rsidRPr="001B1DB1">
              <w:rPr>
                <w:sz w:val="20"/>
                <w:szCs w:val="20"/>
              </w:rPr>
              <w:t>MONEYVAL 3.1. un 5.4.</w:t>
            </w:r>
            <w:r w:rsidR="009D2941" w:rsidRPr="001B1DB1">
              <w:rPr>
                <w:sz w:val="20"/>
                <w:szCs w:val="20"/>
              </w:rPr>
              <w:t xml:space="preserve"> rekomendācija</w:t>
            </w:r>
            <w:r w:rsidR="009D2941">
              <w:rPr>
                <w:sz w:val="20"/>
                <w:szCs w:val="20"/>
              </w:rPr>
              <w:t>.</w:t>
            </w:r>
          </w:p>
        </w:tc>
        <w:tc>
          <w:tcPr>
            <w:tcW w:w="2551" w:type="dxa"/>
            <w:vMerge w:val="restart"/>
            <w:shd w:val="clear" w:color="auto" w:fill="auto"/>
          </w:tcPr>
          <w:p w14:paraId="2EB448DD" w14:textId="77777777" w:rsidR="00377745" w:rsidRPr="001B1DB1" w:rsidRDefault="00377745" w:rsidP="00377745">
            <w:pPr>
              <w:jc w:val="both"/>
              <w:rPr>
                <w:rFonts w:cs="Times New Roman"/>
                <w:b/>
                <w:sz w:val="20"/>
                <w:szCs w:val="20"/>
              </w:rPr>
            </w:pPr>
            <w:r w:rsidRPr="001B1DB1">
              <w:rPr>
                <w:sz w:val="20"/>
                <w:szCs w:val="20"/>
              </w:rPr>
              <w:t xml:space="preserve">Stiprināts likuma subjektu (notāru) uzraudzības mehānisms, veidojot vienotu izpratni un uzlabojot </w:t>
            </w:r>
            <w:r w:rsidRPr="001B1DB1">
              <w:rPr>
                <w:sz w:val="20"/>
                <w:szCs w:val="20"/>
              </w:rPr>
              <w:lastRenderedPageBreak/>
              <w:t>mehānismus PLG noskaidrošanā.</w:t>
            </w:r>
          </w:p>
        </w:tc>
        <w:tc>
          <w:tcPr>
            <w:tcW w:w="2694" w:type="dxa"/>
          </w:tcPr>
          <w:p w14:paraId="555C0D77" w14:textId="77777777" w:rsidR="00377745" w:rsidRPr="001B1DB1" w:rsidRDefault="00377745" w:rsidP="00377745">
            <w:pPr>
              <w:jc w:val="both"/>
              <w:rPr>
                <w:rFonts w:cs="Times New Roman"/>
                <w:b/>
                <w:sz w:val="20"/>
                <w:szCs w:val="20"/>
              </w:rPr>
            </w:pPr>
            <w:r w:rsidRPr="001B1DB1">
              <w:rPr>
                <w:sz w:val="20"/>
                <w:szCs w:val="20"/>
              </w:rPr>
              <w:lastRenderedPageBreak/>
              <w:t>1. Izveidots ar zvērinātu notāru starpniecību veikto darījumu reģistrs un tajā iekļauta pazīme "patiesais labuma guvējs".</w:t>
            </w:r>
          </w:p>
        </w:tc>
        <w:tc>
          <w:tcPr>
            <w:tcW w:w="1134" w:type="dxa"/>
            <w:shd w:val="clear" w:color="auto" w:fill="auto"/>
          </w:tcPr>
          <w:p w14:paraId="477D7D80" w14:textId="77777777" w:rsidR="00377745" w:rsidRPr="001B1DB1" w:rsidRDefault="00377745" w:rsidP="00377745">
            <w:pPr>
              <w:jc w:val="center"/>
              <w:rPr>
                <w:rFonts w:cs="Times New Roman"/>
                <w:b/>
                <w:bCs/>
                <w:sz w:val="20"/>
                <w:szCs w:val="20"/>
              </w:rPr>
            </w:pPr>
            <w:r w:rsidRPr="001B1DB1">
              <w:rPr>
                <w:sz w:val="20"/>
                <w:szCs w:val="20"/>
              </w:rPr>
              <w:t>LZNP</w:t>
            </w:r>
          </w:p>
        </w:tc>
        <w:tc>
          <w:tcPr>
            <w:tcW w:w="1275" w:type="dxa"/>
            <w:shd w:val="clear" w:color="auto" w:fill="auto"/>
          </w:tcPr>
          <w:p w14:paraId="3444673A" w14:textId="77777777" w:rsidR="00377745" w:rsidRPr="001B1DB1" w:rsidRDefault="00377745" w:rsidP="00377745">
            <w:pPr>
              <w:jc w:val="center"/>
              <w:rPr>
                <w:rFonts w:cs="Times New Roman"/>
                <w:b/>
                <w:bCs/>
                <w:sz w:val="20"/>
                <w:szCs w:val="20"/>
              </w:rPr>
            </w:pPr>
          </w:p>
        </w:tc>
        <w:tc>
          <w:tcPr>
            <w:tcW w:w="1418" w:type="dxa"/>
            <w:shd w:val="clear" w:color="auto" w:fill="auto"/>
          </w:tcPr>
          <w:p w14:paraId="3F38D9BD" w14:textId="1B306270" w:rsidR="00377745" w:rsidRPr="001B1DB1" w:rsidRDefault="00B74BE7" w:rsidP="00377745">
            <w:pPr>
              <w:jc w:val="center"/>
              <w:rPr>
                <w:rFonts w:cs="Times New Roman"/>
                <w:b/>
                <w:bCs/>
                <w:sz w:val="20"/>
                <w:szCs w:val="20"/>
              </w:rPr>
            </w:pPr>
            <w:r w:rsidRPr="00B74BE7">
              <w:rPr>
                <w:sz w:val="20"/>
                <w:szCs w:val="20"/>
              </w:rPr>
              <w:t>01.07.2022</w:t>
            </w:r>
            <w:r w:rsidR="00377745" w:rsidRPr="001B1DB1">
              <w:rPr>
                <w:sz w:val="20"/>
                <w:szCs w:val="20"/>
              </w:rPr>
              <w:t>.</w:t>
            </w:r>
          </w:p>
        </w:tc>
      </w:tr>
      <w:tr w:rsidR="00377745" w:rsidRPr="001B1DB1" w14:paraId="7ADCDEE1" w14:textId="77777777" w:rsidTr="009744C5">
        <w:trPr>
          <w:trHeight w:val="543"/>
        </w:trPr>
        <w:tc>
          <w:tcPr>
            <w:tcW w:w="709" w:type="dxa"/>
            <w:vMerge/>
          </w:tcPr>
          <w:p w14:paraId="15861EEE" w14:textId="77777777" w:rsidR="00377745" w:rsidRPr="001B1DB1" w:rsidRDefault="00377745" w:rsidP="00377745">
            <w:pPr>
              <w:jc w:val="center"/>
              <w:rPr>
                <w:rFonts w:cs="Times New Roman"/>
                <w:bCs/>
                <w:sz w:val="20"/>
                <w:szCs w:val="20"/>
              </w:rPr>
            </w:pPr>
          </w:p>
        </w:tc>
        <w:tc>
          <w:tcPr>
            <w:tcW w:w="3686" w:type="dxa"/>
            <w:vMerge/>
            <w:shd w:val="clear" w:color="auto" w:fill="auto"/>
          </w:tcPr>
          <w:p w14:paraId="555D44EA" w14:textId="77777777" w:rsidR="00377745" w:rsidRPr="001B1DB1" w:rsidRDefault="00377745" w:rsidP="00377745">
            <w:pPr>
              <w:jc w:val="both"/>
              <w:rPr>
                <w:rFonts w:cs="Times New Roman"/>
                <w:b/>
                <w:bCs/>
                <w:sz w:val="20"/>
                <w:szCs w:val="20"/>
              </w:rPr>
            </w:pPr>
          </w:p>
        </w:tc>
        <w:tc>
          <w:tcPr>
            <w:tcW w:w="1559" w:type="dxa"/>
            <w:vMerge/>
          </w:tcPr>
          <w:p w14:paraId="7629952E" w14:textId="77777777" w:rsidR="00377745" w:rsidRPr="001B1DB1" w:rsidRDefault="00377745" w:rsidP="00377745">
            <w:pPr>
              <w:jc w:val="both"/>
              <w:rPr>
                <w:rFonts w:cs="Times New Roman"/>
                <w:b/>
                <w:sz w:val="20"/>
                <w:szCs w:val="20"/>
              </w:rPr>
            </w:pPr>
          </w:p>
        </w:tc>
        <w:tc>
          <w:tcPr>
            <w:tcW w:w="2551" w:type="dxa"/>
            <w:vMerge/>
            <w:shd w:val="clear" w:color="auto" w:fill="auto"/>
          </w:tcPr>
          <w:p w14:paraId="344CED30" w14:textId="77777777" w:rsidR="00377745" w:rsidRPr="001B1DB1" w:rsidRDefault="00377745" w:rsidP="00377745">
            <w:pPr>
              <w:jc w:val="both"/>
              <w:rPr>
                <w:rFonts w:cs="Times New Roman"/>
                <w:b/>
                <w:sz w:val="20"/>
                <w:szCs w:val="20"/>
              </w:rPr>
            </w:pPr>
          </w:p>
        </w:tc>
        <w:tc>
          <w:tcPr>
            <w:tcW w:w="2694" w:type="dxa"/>
          </w:tcPr>
          <w:p w14:paraId="06341E70" w14:textId="77777777" w:rsidR="00377745" w:rsidRPr="001B1DB1" w:rsidRDefault="00377745" w:rsidP="00377745">
            <w:pPr>
              <w:jc w:val="both"/>
              <w:rPr>
                <w:rFonts w:cs="Times New Roman"/>
                <w:b/>
                <w:sz w:val="20"/>
                <w:szCs w:val="20"/>
              </w:rPr>
            </w:pPr>
            <w:r w:rsidRPr="001B1DB1">
              <w:rPr>
                <w:sz w:val="20"/>
                <w:szCs w:val="20"/>
              </w:rPr>
              <w:t>2. Izveidots vizualizēts attēls un metodoloģija PLG noskaidrošanai.</w:t>
            </w:r>
          </w:p>
        </w:tc>
        <w:tc>
          <w:tcPr>
            <w:tcW w:w="1134" w:type="dxa"/>
            <w:shd w:val="clear" w:color="auto" w:fill="auto"/>
          </w:tcPr>
          <w:p w14:paraId="1880538E" w14:textId="77777777" w:rsidR="00377745" w:rsidRPr="001B1DB1" w:rsidRDefault="00377745" w:rsidP="00377745">
            <w:pPr>
              <w:jc w:val="center"/>
              <w:rPr>
                <w:rFonts w:cs="Times New Roman"/>
                <w:b/>
                <w:bCs/>
                <w:sz w:val="20"/>
                <w:szCs w:val="20"/>
              </w:rPr>
            </w:pPr>
            <w:r w:rsidRPr="001B1DB1">
              <w:rPr>
                <w:sz w:val="20"/>
                <w:szCs w:val="20"/>
              </w:rPr>
              <w:t>LZNP</w:t>
            </w:r>
          </w:p>
        </w:tc>
        <w:tc>
          <w:tcPr>
            <w:tcW w:w="1275" w:type="dxa"/>
            <w:shd w:val="clear" w:color="auto" w:fill="auto"/>
          </w:tcPr>
          <w:p w14:paraId="0E123027" w14:textId="77777777" w:rsidR="00377745" w:rsidRPr="001B1DB1" w:rsidRDefault="00377745" w:rsidP="00377745">
            <w:pPr>
              <w:jc w:val="center"/>
              <w:rPr>
                <w:rFonts w:cs="Times New Roman"/>
                <w:b/>
                <w:bCs/>
                <w:sz w:val="20"/>
                <w:szCs w:val="20"/>
              </w:rPr>
            </w:pPr>
          </w:p>
        </w:tc>
        <w:tc>
          <w:tcPr>
            <w:tcW w:w="1418" w:type="dxa"/>
            <w:shd w:val="clear" w:color="auto" w:fill="auto"/>
          </w:tcPr>
          <w:p w14:paraId="6ACDF92B" w14:textId="2A3D2C45" w:rsidR="00377745" w:rsidRPr="001B1DB1" w:rsidRDefault="00B74BE7" w:rsidP="00377745">
            <w:pPr>
              <w:jc w:val="center"/>
              <w:rPr>
                <w:rFonts w:cs="Times New Roman"/>
                <w:b/>
                <w:bCs/>
                <w:sz w:val="20"/>
                <w:szCs w:val="20"/>
              </w:rPr>
            </w:pPr>
            <w:r w:rsidRPr="00B74BE7">
              <w:rPr>
                <w:sz w:val="20"/>
                <w:szCs w:val="20"/>
              </w:rPr>
              <w:t>01.07.2022</w:t>
            </w:r>
            <w:r w:rsidR="00377745" w:rsidRPr="001B1DB1">
              <w:rPr>
                <w:sz w:val="20"/>
                <w:szCs w:val="20"/>
              </w:rPr>
              <w:t>.</w:t>
            </w:r>
          </w:p>
        </w:tc>
      </w:tr>
      <w:tr w:rsidR="00377745" w:rsidRPr="001B1DB1" w14:paraId="69DDEA67" w14:textId="77777777" w:rsidTr="009744C5">
        <w:trPr>
          <w:trHeight w:val="543"/>
        </w:trPr>
        <w:tc>
          <w:tcPr>
            <w:tcW w:w="709" w:type="dxa"/>
          </w:tcPr>
          <w:p w14:paraId="065F4C1D" w14:textId="3183F379" w:rsidR="00377745" w:rsidRPr="001B1DB1" w:rsidRDefault="00377745" w:rsidP="00537444">
            <w:pPr>
              <w:jc w:val="center"/>
              <w:rPr>
                <w:rFonts w:cs="Times New Roman"/>
                <w:bCs/>
                <w:sz w:val="20"/>
                <w:szCs w:val="20"/>
              </w:rPr>
            </w:pPr>
            <w:r w:rsidRPr="001B1DB1">
              <w:rPr>
                <w:sz w:val="20"/>
                <w:szCs w:val="20"/>
              </w:rPr>
              <w:t>5.</w:t>
            </w:r>
            <w:r w:rsidR="00537444">
              <w:rPr>
                <w:sz w:val="20"/>
                <w:szCs w:val="20"/>
              </w:rPr>
              <w:t>5</w:t>
            </w:r>
            <w:r w:rsidRPr="001B1DB1">
              <w:rPr>
                <w:sz w:val="20"/>
                <w:szCs w:val="20"/>
              </w:rPr>
              <w:t>.</w:t>
            </w:r>
          </w:p>
        </w:tc>
        <w:tc>
          <w:tcPr>
            <w:tcW w:w="3686" w:type="dxa"/>
            <w:shd w:val="clear" w:color="auto" w:fill="auto"/>
          </w:tcPr>
          <w:p w14:paraId="10F79715" w14:textId="5EDAD9F1" w:rsidR="00377745" w:rsidRPr="001B1DB1" w:rsidRDefault="00377745" w:rsidP="00375AB6">
            <w:pPr>
              <w:jc w:val="both"/>
              <w:rPr>
                <w:rFonts w:cs="Times New Roman"/>
                <w:b/>
                <w:bCs/>
                <w:sz w:val="20"/>
                <w:szCs w:val="20"/>
              </w:rPr>
            </w:pPr>
            <w:r w:rsidRPr="001B1DB1">
              <w:rPr>
                <w:sz w:val="20"/>
                <w:szCs w:val="20"/>
              </w:rPr>
              <w:t xml:space="preserve">Nodrošināt UR reģistru modernizāciju, pilnveidojot </w:t>
            </w:r>
            <w:r w:rsidR="007F1A2C">
              <w:rPr>
                <w:rFonts w:cs="Times New Roman"/>
                <w:sz w:val="20"/>
                <w:szCs w:val="20"/>
              </w:rPr>
              <w:t>uz</w:t>
            </w:r>
            <w:r w:rsidR="007F1A2C" w:rsidRPr="001B1DB1">
              <w:rPr>
                <w:rFonts w:cs="Times New Roman"/>
                <w:sz w:val="20"/>
                <w:szCs w:val="20"/>
              </w:rPr>
              <w:t xml:space="preserve"> </w:t>
            </w:r>
            <w:r w:rsidRPr="001B1DB1">
              <w:rPr>
                <w:rFonts w:cs="Times New Roman"/>
                <w:sz w:val="20"/>
                <w:szCs w:val="20"/>
              </w:rPr>
              <w:t xml:space="preserve">risku </w:t>
            </w:r>
            <w:r w:rsidR="007F1A2C">
              <w:rPr>
                <w:rFonts w:cs="Times New Roman"/>
                <w:sz w:val="20"/>
                <w:szCs w:val="20"/>
              </w:rPr>
              <w:t>novērtējumu balstīto</w:t>
            </w:r>
            <w:r w:rsidR="007F1A2C" w:rsidRPr="001B1DB1">
              <w:rPr>
                <w:sz w:val="20"/>
                <w:szCs w:val="20"/>
              </w:rPr>
              <w:t xml:space="preserve"> </w:t>
            </w:r>
            <w:r w:rsidRPr="001B1DB1">
              <w:rPr>
                <w:sz w:val="20"/>
                <w:szCs w:val="20"/>
              </w:rPr>
              <w:t>pieeju attiecībā uz PLG informācijas pārbaudi reģistrācijas procesā.</w:t>
            </w:r>
          </w:p>
        </w:tc>
        <w:tc>
          <w:tcPr>
            <w:tcW w:w="1559" w:type="dxa"/>
          </w:tcPr>
          <w:p w14:paraId="056BA9FE" w14:textId="24DA4600" w:rsidR="00377745" w:rsidRPr="001B1DB1" w:rsidRDefault="00377745" w:rsidP="009D2941">
            <w:pPr>
              <w:pStyle w:val="Body"/>
              <w:jc w:val="both"/>
              <w:rPr>
                <w:sz w:val="20"/>
                <w:szCs w:val="20"/>
              </w:rPr>
            </w:pPr>
            <w:r w:rsidRPr="001B1DB1">
              <w:rPr>
                <w:sz w:val="20"/>
                <w:szCs w:val="20"/>
              </w:rPr>
              <w:t>MONEYVAL 5.1.</w:t>
            </w:r>
            <w:r w:rsidR="009D2941" w:rsidRPr="001B1DB1">
              <w:rPr>
                <w:sz w:val="20"/>
                <w:szCs w:val="20"/>
              </w:rPr>
              <w:t xml:space="preserve"> rekomendācija</w:t>
            </w:r>
            <w:r w:rsidR="009D2941">
              <w:rPr>
                <w:sz w:val="20"/>
                <w:szCs w:val="20"/>
              </w:rPr>
              <w:t>.</w:t>
            </w:r>
          </w:p>
        </w:tc>
        <w:tc>
          <w:tcPr>
            <w:tcW w:w="2551" w:type="dxa"/>
            <w:shd w:val="clear" w:color="auto" w:fill="auto"/>
          </w:tcPr>
          <w:p w14:paraId="0E6532F1" w14:textId="2A2B6917" w:rsidR="00377745" w:rsidRPr="001B1DB1" w:rsidRDefault="00872E78" w:rsidP="00375AB6">
            <w:pPr>
              <w:jc w:val="both"/>
              <w:rPr>
                <w:rFonts w:cs="Times New Roman"/>
                <w:b/>
                <w:sz w:val="20"/>
                <w:szCs w:val="20"/>
              </w:rPr>
            </w:pPr>
            <w:r>
              <w:rPr>
                <w:sz w:val="20"/>
                <w:szCs w:val="20"/>
              </w:rPr>
              <w:t xml:space="preserve">Modernizēti </w:t>
            </w:r>
            <w:r w:rsidR="00377745" w:rsidRPr="001B1DB1">
              <w:rPr>
                <w:sz w:val="20"/>
                <w:szCs w:val="20"/>
              </w:rPr>
              <w:t>UR vest</w:t>
            </w:r>
            <w:r>
              <w:rPr>
                <w:sz w:val="20"/>
                <w:szCs w:val="20"/>
              </w:rPr>
              <w:t>ie</w:t>
            </w:r>
            <w:r w:rsidR="00377745" w:rsidRPr="001B1DB1">
              <w:rPr>
                <w:sz w:val="20"/>
                <w:szCs w:val="20"/>
              </w:rPr>
              <w:t xml:space="preserve"> reģistr</w:t>
            </w:r>
            <w:r>
              <w:rPr>
                <w:sz w:val="20"/>
                <w:szCs w:val="20"/>
              </w:rPr>
              <w:t>i</w:t>
            </w:r>
            <w:r w:rsidR="00377745" w:rsidRPr="001B1DB1">
              <w:rPr>
                <w:sz w:val="20"/>
                <w:szCs w:val="20"/>
              </w:rPr>
              <w:t xml:space="preserve">, ieviešot iespējami automatizētāku reģistrācijas procesu un iekļaujot tajā </w:t>
            </w:r>
            <w:r w:rsidR="007F1A2C">
              <w:rPr>
                <w:rFonts w:cs="Times New Roman"/>
                <w:sz w:val="20"/>
                <w:szCs w:val="20"/>
              </w:rPr>
              <w:t>uz</w:t>
            </w:r>
            <w:r w:rsidR="007F1A2C" w:rsidRPr="001B1DB1">
              <w:rPr>
                <w:rFonts w:cs="Times New Roman"/>
                <w:sz w:val="20"/>
                <w:szCs w:val="20"/>
              </w:rPr>
              <w:t xml:space="preserve"> </w:t>
            </w:r>
            <w:r w:rsidR="00377745" w:rsidRPr="001B1DB1">
              <w:rPr>
                <w:rFonts w:cs="Times New Roman"/>
                <w:sz w:val="20"/>
                <w:szCs w:val="20"/>
              </w:rPr>
              <w:t xml:space="preserve">risku </w:t>
            </w:r>
            <w:r w:rsidR="007F1A2C">
              <w:rPr>
                <w:rFonts w:cs="Times New Roman"/>
                <w:sz w:val="20"/>
                <w:szCs w:val="20"/>
              </w:rPr>
              <w:t>novērtējumu balstītās</w:t>
            </w:r>
            <w:r w:rsidR="007F1A2C" w:rsidRPr="001B1DB1">
              <w:rPr>
                <w:sz w:val="20"/>
                <w:szCs w:val="20"/>
              </w:rPr>
              <w:t xml:space="preserve"> </w:t>
            </w:r>
            <w:r w:rsidR="00377745" w:rsidRPr="001B1DB1">
              <w:rPr>
                <w:sz w:val="20"/>
                <w:szCs w:val="20"/>
              </w:rPr>
              <w:t>pieejas automatizāciju UR reģistrācijai iesniegtās PLG informācijas pārbaudei.</w:t>
            </w:r>
          </w:p>
        </w:tc>
        <w:tc>
          <w:tcPr>
            <w:tcW w:w="2694" w:type="dxa"/>
          </w:tcPr>
          <w:p w14:paraId="5B600DD5" w14:textId="073C78A0" w:rsidR="00377745" w:rsidRPr="001B1DB1" w:rsidRDefault="00872E78" w:rsidP="00377745">
            <w:pPr>
              <w:pStyle w:val="Body"/>
              <w:jc w:val="both"/>
              <w:rPr>
                <w:sz w:val="20"/>
                <w:szCs w:val="20"/>
              </w:rPr>
            </w:pPr>
            <w:r>
              <w:rPr>
                <w:sz w:val="20"/>
                <w:szCs w:val="20"/>
              </w:rPr>
              <w:t>Modernizēti v</w:t>
            </w:r>
            <w:r w:rsidR="00377745" w:rsidRPr="001B1DB1">
              <w:rPr>
                <w:sz w:val="20"/>
                <w:szCs w:val="20"/>
              </w:rPr>
              <w:t>is</w:t>
            </w:r>
            <w:r>
              <w:rPr>
                <w:sz w:val="20"/>
                <w:szCs w:val="20"/>
              </w:rPr>
              <w:t>i</w:t>
            </w:r>
            <w:r w:rsidR="00377745" w:rsidRPr="001B1DB1">
              <w:rPr>
                <w:sz w:val="20"/>
                <w:szCs w:val="20"/>
              </w:rPr>
              <w:t xml:space="preserve"> UR vest</w:t>
            </w:r>
            <w:r>
              <w:rPr>
                <w:sz w:val="20"/>
                <w:szCs w:val="20"/>
              </w:rPr>
              <w:t>ie</w:t>
            </w:r>
            <w:r w:rsidR="00377745" w:rsidRPr="001B1DB1">
              <w:rPr>
                <w:sz w:val="20"/>
                <w:szCs w:val="20"/>
              </w:rPr>
              <w:t xml:space="preserve"> reģistr</w:t>
            </w:r>
            <w:r>
              <w:rPr>
                <w:sz w:val="20"/>
                <w:szCs w:val="20"/>
              </w:rPr>
              <w:t>i</w:t>
            </w:r>
            <w:r w:rsidR="00377745" w:rsidRPr="001B1DB1">
              <w:rPr>
                <w:sz w:val="20"/>
                <w:szCs w:val="20"/>
              </w:rPr>
              <w:t>, kas:</w:t>
            </w:r>
          </w:p>
          <w:p w14:paraId="0EFF8CC2" w14:textId="77777777" w:rsidR="00377745" w:rsidRPr="001B1DB1" w:rsidRDefault="00377745" w:rsidP="00377745">
            <w:pPr>
              <w:pStyle w:val="Body"/>
              <w:jc w:val="both"/>
              <w:rPr>
                <w:sz w:val="20"/>
                <w:szCs w:val="20"/>
              </w:rPr>
            </w:pPr>
            <w:r w:rsidRPr="001B1DB1">
              <w:rPr>
                <w:sz w:val="20"/>
                <w:szCs w:val="20"/>
              </w:rPr>
              <w:t>1. Visos UR reģistros nodrošina:</w:t>
            </w:r>
          </w:p>
          <w:p w14:paraId="7CC7A2EC" w14:textId="77777777" w:rsidR="00377745" w:rsidRPr="001B1DB1" w:rsidRDefault="00377745" w:rsidP="00377745">
            <w:pPr>
              <w:pStyle w:val="ListParagraph"/>
              <w:numPr>
                <w:ilvl w:val="1"/>
                <w:numId w:val="5"/>
              </w:numPr>
              <w:pBdr>
                <w:top w:val="nil"/>
                <w:left w:val="nil"/>
                <w:bottom w:val="nil"/>
                <w:right w:val="nil"/>
                <w:between w:val="nil"/>
                <w:bar w:val="nil"/>
              </w:pBdr>
              <w:contextualSpacing w:val="0"/>
              <w:jc w:val="both"/>
              <w:rPr>
                <w:sz w:val="20"/>
                <w:szCs w:val="20"/>
              </w:rPr>
            </w:pPr>
            <w:r w:rsidRPr="001B1DB1">
              <w:rPr>
                <w:sz w:val="20"/>
                <w:szCs w:val="20"/>
              </w:rPr>
              <w:t>mūsdienīgu un ērtu datu ievadi gan klientiem, gan UR darbiniekiem, datu pārbaudi, uzglabāšanu,</w:t>
            </w:r>
          </w:p>
          <w:p w14:paraId="11C23DA2" w14:textId="4AEE202E" w:rsidR="00377745" w:rsidRPr="001B1DB1" w:rsidRDefault="007F1A2C" w:rsidP="00377745">
            <w:pPr>
              <w:pStyle w:val="ListParagraph"/>
              <w:numPr>
                <w:ilvl w:val="1"/>
                <w:numId w:val="5"/>
              </w:numPr>
              <w:pBdr>
                <w:top w:val="nil"/>
                <w:left w:val="nil"/>
                <w:bottom w:val="nil"/>
                <w:right w:val="nil"/>
                <w:between w:val="nil"/>
                <w:bar w:val="nil"/>
              </w:pBdr>
              <w:contextualSpacing w:val="0"/>
              <w:jc w:val="both"/>
              <w:rPr>
                <w:sz w:val="20"/>
                <w:szCs w:val="20"/>
              </w:rPr>
            </w:pPr>
            <w:r>
              <w:rPr>
                <w:rFonts w:cs="Times New Roman"/>
                <w:sz w:val="20"/>
                <w:szCs w:val="20"/>
              </w:rPr>
              <w:t>uz</w:t>
            </w:r>
            <w:r w:rsidRPr="001B1DB1">
              <w:rPr>
                <w:rFonts w:cs="Times New Roman"/>
                <w:sz w:val="20"/>
                <w:szCs w:val="20"/>
              </w:rPr>
              <w:t xml:space="preserve"> </w:t>
            </w:r>
            <w:r w:rsidR="00377745" w:rsidRPr="001B1DB1">
              <w:rPr>
                <w:rFonts w:cs="Times New Roman"/>
                <w:sz w:val="20"/>
                <w:szCs w:val="20"/>
              </w:rPr>
              <w:t xml:space="preserve">risku </w:t>
            </w:r>
            <w:r>
              <w:rPr>
                <w:rFonts w:cs="Times New Roman"/>
                <w:sz w:val="20"/>
                <w:szCs w:val="20"/>
              </w:rPr>
              <w:t>novērtējumu balstītu</w:t>
            </w:r>
            <w:r w:rsidRPr="001B1DB1">
              <w:rPr>
                <w:sz w:val="20"/>
                <w:szCs w:val="20"/>
              </w:rPr>
              <w:t xml:space="preserve"> </w:t>
            </w:r>
            <w:r w:rsidR="00377745" w:rsidRPr="001B1DB1">
              <w:rPr>
                <w:sz w:val="20"/>
                <w:szCs w:val="20"/>
              </w:rPr>
              <w:t>pieeju, pārbaudot reģistrācijai iesniegto informāciju par PLG, maksimālu automatizāciju – risku izvērtējum</w:t>
            </w:r>
            <w:r w:rsidR="00872E78">
              <w:rPr>
                <w:sz w:val="20"/>
                <w:szCs w:val="20"/>
              </w:rPr>
              <w:t>u</w:t>
            </w:r>
            <w:r w:rsidR="00377745" w:rsidRPr="001B1DB1">
              <w:rPr>
                <w:sz w:val="20"/>
                <w:szCs w:val="20"/>
              </w:rPr>
              <w:t>, kuriem iestājoties tiek ziņots kompetentajām iestādēm;</w:t>
            </w:r>
          </w:p>
          <w:p w14:paraId="63C33A1B" w14:textId="637371C4" w:rsidR="00377745" w:rsidRPr="001B1DB1" w:rsidRDefault="00377745" w:rsidP="00377745">
            <w:pPr>
              <w:pStyle w:val="ListParagraph"/>
              <w:numPr>
                <w:ilvl w:val="1"/>
                <w:numId w:val="5"/>
              </w:numPr>
              <w:pBdr>
                <w:top w:val="nil"/>
                <w:left w:val="nil"/>
                <w:bottom w:val="nil"/>
                <w:right w:val="nil"/>
                <w:between w:val="nil"/>
                <w:bar w:val="nil"/>
              </w:pBdr>
              <w:contextualSpacing w:val="0"/>
              <w:jc w:val="both"/>
              <w:rPr>
                <w:sz w:val="20"/>
                <w:szCs w:val="20"/>
              </w:rPr>
            </w:pPr>
            <w:r w:rsidRPr="001B1DB1">
              <w:rPr>
                <w:sz w:val="20"/>
                <w:szCs w:val="20"/>
              </w:rPr>
              <w:t>sadarbspēju ar UR informācijas izplatīšanas vidi;</w:t>
            </w:r>
          </w:p>
          <w:p w14:paraId="5398F7DF" w14:textId="457BC801" w:rsidR="00377745" w:rsidRPr="001B1DB1" w:rsidRDefault="00377745" w:rsidP="00377745">
            <w:pPr>
              <w:pStyle w:val="ListParagraph"/>
              <w:numPr>
                <w:ilvl w:val="1"/>
                <w:numId w:val="5"/>
              </w:numPr>
              <w:pBdr>
                <w:top w:val="nil"/>
                <w:left w:val="nil"/>
                <w:bottom w:val="nil"/>
                <w:right w:val="nil"/>
                <w:between w:val="nil"/>
                <w:bar w:val="nil"/>
              </w:pBdr>
              <w:contextualSpacing w:val="0"/>
              <w:jc w:val="both"/>
              <w:rPr>
                <w:sz w:val="20"/>
                <w:szCs w:val="20"/>
              </w:rPr>
            </w:pPr>
            <w:r w:rsidRPr="001B1DB1">
              <w:rPr>
                <w:sz w:val="20"/>
                <w:szCs w:val="20"/>
              </w:rPr>
              <w:t xml:space="preserve">datu apmaiņu ar citām </w:t>
            </w:r>
            <w:r w:rsidR="00872E78">
              <w:rPr>
                <w:sz w:val="20"/>
                <w:szCs w:val="20"/>
              </w:rPr>
              <w:t>v</w:t>
            </w:r>
            <w:r w:rsidRPr="001B1DB1">
              <w:rPr>
                <w:sz w:val="20"/>
                <w:szCs w:val="20"/>
              </w:rPr>
              <w:t>alsts un pašvaldību iestādēm.</w:t>
            </w:r>
          </w:p>
          <w:p w14:paraId="2E6A0C97" w14:textId="38B4A26F" w:rsidR="00377745" w:rsidRPr="001B1DB1" w:rsidRDefault="00377745">
            <w:pPr>
              <w:jc w:val="both"/>
              <w:rPr>
                <w:rFonts w:cs="Times New Roman"/>
                <w:b/>
                <w:sz w:val="20"/>
                <w:szCs w:val="20"/>
              </w:rPr>
            </w:pPr>
            <w:r w:rsidRPr="001B1DB1">
              <w:rPr>
                <w:sz w:val="20"/>
                <w:szCs w:val="20"/>
              </w:rPr>
              <w:t xml:space="preserve">2. Atbrīvo cilvēkresursus UR, radot iespēju veikt kvalitatīvāku funkciju izpildi, tai skaitā PLG reģistrācijai </w:t>
            </w:r>
            <w:r w:rsidRPr="008B395B">
              <w:rPr>
                <w:sz w:val="20"/>
                <w:szCs w:val="20"/>
              </w:rPr>
              <w:t>iesniegtās informācijas pārbaudi.</w:t>
            </w:r>
          </w:p>
        </w:tc>
        <w:tc>
          <w:tcPr>
            <w:tcW w:w="1134" w:type="dxa"/>
            <w:shd w:val="clear" w:color="auto" w:fill="auto"/>
          </w:tcPr>
          <w:p w14:paraId="3571C9E2" w14:textId="77777777" w:rsidR="00377745" w:rsidRPr="001B1DB1" w:rsidRDefault="00377745" w:rsidP="00377745">
            <w:pPr>
              <w:jc w:val="center"/>
              <w:rPr>
                <w:rFonts w:cs="Times New Roman"/>
                <w:b/>
                <w:bCs/>
                <w:sz w:val="20"/>
                <w:szCs w:val="20"/>
              </w:rPr>
            </w:pPr>
            <w:r w:rsidRPr="001B1DB1">
              <w:rPr>
                <w:sz w:val="20"/>
                <w:szCs w:val="20"/>
              </w:rPr>
              <w:t>TM (UR)</w:t>
            </w:r>
          </w:p>
        </w:tc>
        <w:tc>
          <w:tcPr>
            <w:tcW w:w="1275" w:type="dxa"/>
            <w:shd w:val="clear" w:color="auto" w:fill="auto"/>
          </w:tcPr>
          <w:p w14:paraId="695AB273" w14:textId="77777777" w:rsidR="00377745" w:rsidRPr="001B1DB1" w:rsidRDefault="00377745" w:rsidP="00377745">
            <w:pPr>
              <w:jc w:val="center"/>
              <w:rPr>
                <w:rFonts w:cs="Times New Roman"/>
                <w:b/>
                <w:bCs/>
                <w:sz w:val="20"/>
                <w:szCs w:val="20"/>
              </w:rPr>
            </w:pPr>
          </w:p>
        </w:tc>
        <w:tc>
          <w:tcPr>
            <w:tcW w:w="1418" w:type="dxa"/>
            <w:shd w:val="clear" w:color="auto" w:fill="auto"/>
          </w:tcPr>
          <w:p w14:paraId="577CCD54" w14:textId="2DD61DEA" w:rsidR="00377745" w:rsidRPr="001B1DB1" w:rsidRDefault="00377745" w:rsidP="00377745">
            <w:pPr>
              <w:jc w:val="center"/>
              <w:rPr>
                <w:rFonts w:cs="Times New Roman"/>
                <w:b/>
                <w:bCs/>
                <w:sz w:val="20"/>
                <w:szCs w:val="20"/>
              </w:rPr>
            </w:pPr>
            <w:r>
              <w:rPr>
                <w:sz w:val="20"/>
                <w:szCs w:val="20"/>
              </w:rPr>
              <w:t>P</w:t>
            </w:r>
            <w:r w:rsidRPr="001B1DB1">
              <w:rPr>
                <w:sz w:val="20"/>
                <w:szCs w:val="20"/>
              </w:rPr>
              <w:t>akāpeniski līdz 31.12.2022.</w:t>
            </w:r>
            <w:r w:rsidRPr="001B1DB1">
              <w:rPr>
                <w:rFonts w:eastAsia="Times New Roman" w:cs="Times New Roman"/>
                <w:sz w:val="20"/>
                <w:szCs w:val="20"/>
                <w:lang w:eastAsia="lv-LV"/>
              </w:rPr>
              <w:t>, nodrošinot uzturēšanu arī turpmāk</w:t>
            </w:r>
          </w:p>
        </w:tc>
      </w:tr>
      <w:tr w:rsidR="001B44CC" w:rsidRPr="001B1DB1" w14:paraId="3D31E95C" w14:textId="77777777" w:rsidTr="009744C5">
        <w:trPr>
          <w:trHeight w:val="543"/>
        </w:trPr>
        <w:tc>
          <w:tcPr>
            <w:tcW w:w="709" w:type="dxa"/>
            <w:vMerge w:val="restart"/>
          </w:tcPr>
          <w:p w14:paraId="3155BEE1" w14:textId="2E20359C" w:rsidR="001B44CC" w:rsidRPr="001B1DB1" w:rsidRDefault="001B44CC" w:rsidP="00537444">
            <w:pPr>
              <w:jc w:val="center"/>
              <w:rPr>
                <w:sz w:val="20"/>
                <w:szCs w:val="20"/>
              </w:rPr>
            </w:pPr>
            <w:r w:rsidRPr="001B1DB1">
              <w:rPr>
                <w:sz w:val="20"/>
                <w:szCs w:val="20"/>
              </w:rPr>
              <w:t>5.</w:t>
            </w:r>
            <w:r w:rsidR="00537444">
              <w:rPr>
                <w:sz w:val="20"/>
                <w:szCs w:val="20"/>
              </w:rPr>
              <w:t>6</w:t>
            </w:r>
            <w:r w:rsidRPr="001B1DB1">
              <w:rPr>
                <w:sz w:val="20"/>
                <w:szCs w:val="20"/>
              </w:rPr>
              <w:t>.</w:t>
            </w:r>
          </w:p>
        </w:tc>
        <w:tc>
          <w:tcPr>
            <w:tcW w:w="3686" w:type="dxa"/>
            <w:vMerge w:val="restart"/>
            <w:shd w:val="clear" w:color="auto" w:fill="auto"/>
          </w:tcPr>
          <w:p w14:paraId="4188866B" w14:textId="24B5748B" w:rsidR="001B44CC" w:rsidRPr="001B1DB1" w:rsidRDefault="001B44CC" w:rsidP="00872E78">
            <w:pPr>
              <w:jc w:val="both"/>
              <w:rPr>
                <w:sz w:val="20"/>
                <w:szCs w:val="20"/>
              </w:rPr>
            </w:pPr>
            <w:r w:rsidRPr="001B1DB1">
              <w:rPr>
                <w:sz w:val="20"/>
                <w:szCs w:val="20"/>
              </w:rPr>
              <w:t xml:space="preserve">Nodrošināt, ka likuma subjekti veic pasākumus klientu, kas ir juridiskas personas, </w:t>
            </w:r>
            <w:r>
              <w:rPr>
                <w:sz w:val="20"/>
                <w:szCs w:val="20"/>
              </w:rPr>
              <w:t xml:space="preserve">kā arī darījumu </w:t>
            </w:r>
            <w:r w:rsidRPr="001B1DB1">
              <w:rPr>
                <w:sz w:val="20"/>
                <w:szCs w:val="20"/>
              </w:rPr>
              <w:t xml:space="preserve">PLG </w:t>
            </w:r>
            <w:r w:rsidRPr="001B1DB1">
              <w:rPr>
                <w:sz w:val="20"/>
                <w:szCs w:val="20"/>
              </w:rPr>
              <w:lastRenderedPageBreak/>
              <w:t xml:space="preserve">noskaidrošanai un atbilstoši veic aktīvu šādas informācijas pārbaudi. </w:t>
            </w:r>
          </w:p>
        </w:tc>
        <w:tc>
          <w:tcPr>
            <w:tcW w:w="1559" w:type="dxa"/>
            <w:vMerge w:val="restart"/>
          </w:tcPr>
          <w:p w14:paraId="6E883782" w14:textId="2AE10737" w:rsidR="001B44CC" w:rsidRPr="001B1DB1" w:rsidRDefault="001B44CC" w:rsidP="00377745">
            <w:pPr>
              <w:pStyle w:val="Body"/>
              <w:jc w:val="both"/>
              <w:rPr>
                <w:sz w:val="20"/>
                <w:szCs w:val="20"/>
              </w:rPr>
            </w:pPr>
            <w:r w:rsidRPr="001B1DB1">
              <w:rPr>
                <w:sz w:val="20"/>
                <w:szCs w:val="20"/>
              </w:rPr>
              <w:lastRenderedPageBreak/>
              <w:t>NILLTPF risku novērtējums</w:t>
            </w:r>
            <w:r w:rsidR="009D2941">
              <w:rPr>
                <w:sz w:val="20"/>
                <w:szCs w:val="20"/>
              </w:rPr>
              <w:t>;</w:t>
            </w:r>
          </w:p>
          <w:p w14:paraId="2A35F1A9" w14:textId="7D5AF14D" w:rsidR="001B44CC" w:rsidRPr="001B1DB1" w:rsidRDefault="009D2941" w:rsidP="00377745">
            <w:pPr>
              <w:pStyle w:val="Body"/>
              <w:jc w:val="both"/>
              <w:rPr>
                <w:sz w:val="20"/>
                <w:szCs w:val="20"/>
              </w:rPr>
            </w:pPr>
            <w:r>
              <w:rPr>
                <w:sz w:val="20"/>
                <w:szCs w:val="20"/>
              </w:rPr>
              <w:lastRenderedPageBreak/>
              <w:t>s</w:t>
            </w:r>
            <w:r w:rsidR="001B44CC" w:rsidRPr="001B1DB1">
              <w:rPr>
                <w:sz w:val="20"/>
                <w:szCs w:val="20"/>
              </w:rPr>
              <w:t>ektorālie NILLTPF risku novērtējumi</w:t>
            </w:r>
            <w:r>
              <w:rPr>
                <w:sz w:val="20"/>
                <w:szCs w:val="20"/>
              </w:rPr>
              <w:t>;</w:t>
            </w:r>
          </w:p>
          <w:p w14:paraId="63D05C2E" w14:textId="74CE421D" w:rsidR="001B44CC" w:rsidRPr="001B1DB1" w:rsidRDefault="001B44CC" w:rsidP="00377745">
            <w:pPr>
              <w:pStyle w:val="Body"/>
              <w:jc w:val="both"/>
              <w:rPr>
                <w:sz w:val="20"/>
                <w:szCs w:val="20"/>
              </w:rPr>
            </w:pPr>
            <w:r w:rsidRPr="001B1DB1">
              <w:rPr>
                <w:sz w:val="20"/>
                <w:szCs w:val="20"/>
              </w:rPr>
              <w:t>Juridisko personu un NVO risku novērtējums</w:t>
            </w:r>
            <w:r w:rsidR="009D2941">
              <w:rPr>
                <w:sz w:val="20"/>
                <w:szCs w:val="20"/>
              </w:rPr>
              <w:t>;</w:t>
            </w:r>
          </w:p>
          <w:p w14:paraId="3A6182B7" w14:textId="3A1E7D47" w:rsidR="001B44CC" w:rsidRDefault="001B44CC" w:rsidP="00BF7F41">
            <w:pPr>
              <w:pStyle w:val="Body"/>
              <w:jc w:val="both"/>
              <w:rPr>
                <w:sz w:val="20"/>
                <w:szCs w:val="20"/>
              </w:rPr>
            </w:pPr>
            <w:r>
              <w:rPr>
                <w:sz w:val="20"/>
                <w:szCs w:val="20"/>
              </w:rPr>
              <w:t>TF/PF risku ziņojums</w:t>
            </w:r>
            <w:r w:rsidR="009D2941">
              <w:rPr>
                <w:sz w:val="20"/>
                <w:szCs w:val="20"/>
              </w:rPr>
              <w:t>;</w:t>
            </w:r>
          </w:p>
          <w:p w14:paraId="2D99980E" w14:textId="3EB8E5F5" w:rsidR="001B44CC" w:rsidRPr="001B1DB1" w:rsidRDefault="001B44CC" w:rsidP="009D2941">
            <w:pPr>
              <w:jc w:val="both"/>
              <w:rPr>
                <w:sz w:val="20"/>
                <w:szCs w:val="20"/>
              </w:rPr>
            </w:pPr>
            <w:r w:rsidRPr="001B1DB1">
              <w:rPr>
                <w:sz w:val="20"/>
                <w:szCs w:val="20"/>
              </w:rPr>
              <w:t>MONEYVAL 5.4. </w:t>
            </w:r>
            <w:r w:rsidR="009D2941" w:rsidRPr="001B1DB1">
              <w:rPr>
                <w:sz w:val="20"/>
                <w:szCs w:val="20"/>
              </w:rPr>
              <w:t>rekomendācija</w:t>
            </w:r>
            <w:r w:rsidR="009D2941">
              <w:rPr>
                <w:sz w:val="20"/>
                <w:szCs w:val="20"/>
              </w:rPr>
              <w:t>.</w:t>
            </w:r>
          </w:p>
        </w:tc>
        <w:tc>
          <w:tcPr>
            <w:tcW w:w="2551" w:type="dxa"/>
            <w:vMerge w:val="restart"/>
            <w:shd w:val="clear" w:color="auto" w:fill="auto"/>
          </w:tcPr>
          <w:p w14:paraId="786B1B1D" w14:textId="6C70F6FE" w:rsidR="001B44CC" w:rsidRPr="001B1DB1" w:rsidRDefault="00ED4EEF" w:rsidP="00656CA3">
            <w:pPr>
              <w:jc w:val="both"/>
              <w:rPr>
                <w:sz w:val="20"/>
                <w:szCs w:val="20"/>
              </w:rPr>
            </w:pPr>
            <w:r>
              <w:rPr>
                <w:sz w:val="20"/>
                <w:szCs w:val="20"/>
              </w:rPr>
              <w:lastRenderedPageBreak/>
              <w:t>Veiktas p</w:t>
            </w:r>
            <w:r w:rsidR="001B44CC" w:rsidRPr="001B1DB1">
              <w:rPr>
                <w:sz w:val="20"/>
                <w:szCs w:val="20"/>
              </w:rPr>
              <w:t xml:space="preserve">ārbaudes, lielāku prioritāti piešķirot tiem gadījumiem, kuros augsti riski saskatīti juridisko </w:t>
            </w:r>
            <w:r w:rsidR="001B44CC" w:rsidRPr="001B1DB1">
              <w:rPr>
                <w:sz w:val="20"/>
                <w:szCs w:val="20"/>
              </w:rPr>
              <w:lastRenderedPageBreak/>
              <w:t>personu un NVO NILLTPF risku novērtējumā, sektorālajos NILLTPF risku novērtējumos</w:t>
            </w:r>
            <w:r w:rsidR="001B44CC">
              <w:rPr>
                <w:sz w:val="20"/>
                <w:szCs w:val="20"/>
              </w:rPr>
              <w:t>, kā arī TF/PF risku ziņojumā</w:t>
            </w:r>
            <w:r>
              <w:rPr>
                <w:sz w:val="20"/>
                <w:szCs w:val="20"/>
              </w:rPr>
              <w:t>,</w:t>
            </w:r>
            <w:r w:rsidR="001B44CC" w:rsidRPr="001B1DB1">
              <w:rPr>
                <w:sz w:val="20"/>
                <w:szCs w:val="20"/>
              </w:rPr>
              <w:t xml:space="preserve"> un nepieciešam</w:t>
            </w:r>
            <w:r>
              <w:rPr>
                <w:sz w:val="20"/>
                <w:szCs w:val="20"/>
              </w:rPr>
              <w:t>o</w:t>
            </w:r>
            <w:r w:rsidR="001B44CC" w:rsidRPr="001B1DB1">
              <w:rPr>
                <w:sz w:val="20"/>
                <w:szCs w:val="20"/>
              </w:rPr>
              <w:t xml:space="preserve"> statistikas </w:t>
            </w:r>
            <w:r>
              <w:rPr>
                <w:sz w:val="20"/>
                <w:szCs w:val="20"/>
              </w:rPr>
              <w:t xml:space="preserve">datu </w:t>
            </w:r>
            <w:r w:rsidR="001B44CC" w:rsidRPr="001B1DB1">
              <w:rPr>
                <w:sz w:val="20"/>
                <w:szCs w:val="20"/>
              </w:rPr>
              <w:t>monitorings.</w:t>
            </w:r>
          </w:p>
        </w:tc>
        <w:tc>
          <w:tcPr>
            <w:tcW w:w="2694" w:type="dxa"/>
          </w:tcPr>
          <w:p w14:paraId="3FFC130F" w14:textId="62EB3E27" w:rsidR="001B44CC" w:rsidRPr="001B1DB1" w:rsidRDefault="001B44CC" w:rsidP="00D205EC">
            <w:pPr>
              <w:jc w:val="both"/>
              <w:rPr>
                <w:sz w:val="20"/>
                <w:szCs w:val="20"/>
              </w:rPr>
            </w:pPr>
            <w:r>
              <w:rPr>
                <w:sz w:val="20"/>
                <w:szCs w:val="20"/>
              </w:rPr>
              <w:lastRenderedPageBreak/>
              <w:t>1. Atbilstoši TF/PF risku ziņojumam p</w:t>
            </w:r>
            <w:r w:rsidRPr="0021605B">
              <w:rPr>
                <w:sz w:val="20"/>
                <w:szCs w:val="20"/>
              </w:rPr>
              <w:t xml:space="preserve">ilnveidotas </w:t>
            </w:r>
            <w:r>
              <w:rPr>
                <w:sz w:val="20"/>
                <w:szCs w:val="20"/>
              </w:rPr>
              <w:t xml:space="preserve">UKI vadlīnijas attiecībā uz </w:t>
            </w:r>
            <w:r>
              <w:rPr>
                <w:sz w:val="20"/>
                <w:szCs w:val="20"/>
              </w:rPr>
              <w:lastRenderedPageBreak/>
              <w:t>juridiskas personas, kā arī darījuma PLG noskaidrošanu.</w:t>
            </w:r>
          </w:p>
        </w:tc>
        <w:tc>
          <w:tcPr>
            <w:tcW w:w="1134" w:type="dxa"/>
            <w:shd w:val="clear" w:color="auto" w:fill="auto"/>
          </w:tcPr>
          <w:p w14:paraId="4473F31A" w14:textId="5E817A79" w:rsidR="001B44CC" w:rsidRPr="001B1DB1" w:rsidRDefault="001B44CC" w:rsidP="00D205EC">
            <w:pPr>
              <w:jc w:val="center"/>
              <w:rPr>
                <w:sz w:val="20"/>
                <w:szCs w:val="20"/>
              </w:rPr>
            </w:pPr>
            <w:r w:rsidRPr="001B1DB1">
              <w:rPr>
                <w:sz w:val="20"/>
                <w:szCs w:val="20"/>
              </w:rPr>
              <w:lastRenderedPageBreak/>
              <w:t xml:space="preserve">FKTK, VID, LZNP, LZAP, </w:t>
            </w:r>
            <w:r w:rsidRPr="001B1DB1">
              <w:rPr>
                <w:sz w:val="20"/>
                <w:szCs w:val="20"/>
              </w:rPr>
              <w:lastRenderedPageBreak/>
              <w:t>LZRA,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2F41FF51" w14:textId="77777777" w:rsidR="001B44CC" w:rsidRPr="001B1DB1" w:rsidRDefault="001B44CC" w:rsidP="00D205EC">
            <w:pPr>
              <w:jc w:val="center"/>
              <w:rPr>
                <w:rFonts w:cs="Times New Roman"/>
                <w:b/>
                <w:bCs/>
                <w:sz w:val="20"/>
                <w:szCs w:val="20"/>
              </w:rPr>
            </w:pPr>
          </w:p>
        </w:tc>
        <w:tc>
          <w:tcPr>
            <w:tcW w:w="1418" w:type="dxa"/>
            <w:shd w:val="clear" w:color="auto" w:fill="auto"/>
          </w:tcPr>
          <w:p w14:paraId="6C561632" w14:textId="77777777" w:rsidR="001B44CC" w:rsidRPr="001B1DB1" w:rsidRDefault="001B44CC" w:rsidP="00D205EC">
            <w:pPr>
              <w:pStyle w:val="Body"/>
              <w:jc w:val="center"/>
              <w:rPr>
                <w:sz w:val="20"/>
                <w:szCs w:val="20"/>
              </w:rPr>
            </w:pPr>
            <w:r w:rsidRPr="001B1DB1">
              <w:rPr>
                <w:sz w:val="20"/>
                <w:szCs w:val="20"/>
              </w:rPr>
              <w:t>Regulāri (atskaites reizi ceturksnī) un līdz</w:t>
            </w:r>
          </w:p>
          <w:p w14:paraId="11EC9C39" w14:textId="3D9E5E05" w:rsidR="001B44CC" w:rsidRPr="001B1DB1" w:rsidRDefault="001B44CC" w:rsidP="00D205EC">
            <w:pPr>
              <w:pStyle w:val="Body"/>
              <w:jc w:val="center"/>
              <w:rPr>
                <w:sz w:val="20"/>
                <w:szCs w:val="20"/>
              </w:rPr>
            </w:pPr>
            <w:r w:rsidRPr="001B1DB1">
              <w:rPr>
                <w:sz w:val="20"/>
                <w:szCs w:val="20"/>
              </w:rPr>
              <w:lastRenderedPageBreak/>
              <w:t>31.12.2022.</w:t>
            </w:r>
          </w:p>
        </w:tc>
      </w:tr>
      <w:tr w:rsidR="001B44CC" w:rsidRPr="001B1DB1" w14:paraId="5A6466F7" w14:textId="77777777" w:rsidTr="009744C5">
        <w:trPr>
          <w:trHeight w:val="543"/>
        </w:trPr>
        <w:tc>
          <w:tcPr>
            <w:tcW w:w="709" w:type="dxa"/>
            <w:vMerge/>
          </w:tcPr>
          <w:p w14:paraId="017657ED" w14:textId="1957BB15" w:rsidR="001B44CC" w:rsidRPr="001B1DB1" w:rsidRDefault="001B44CC" w:rsidP="00377745">
            <w:pPr>
              <w:jc w:val="center"/>
              <w:rPr>
                <w:rFonts w:cs="Times New Roman"/>
                <w:bCs/>
                <w:sz w:val="20"/>
                <w:szCs w:val="20"/>
              </w:rPr>
            </w:pPr>
          </w:p>
        </w:tc>
        <w:tc>
          <w:tcPr>
            <w:tcW w:w="3686" w:type="dxa"/>
            <w:vMerge/>
            <w:shd w:val="clear" w:color="auto" w:fill="auto"/>
          </w:tcPr>
          <w:p w14:paraId="3417BECB" w14:textId="719A2AC9" w:rsidR="001B44CC" w:rsidRPr="001B1DB1" w:rsidRDefault="001B44CC" w:rsidP="00377745">
            <w:pPr>
              <w:jc w:val="both"/>
              <w:rPr>
                <w:rFonts w:cs="Times New Roman"/>
                <w:b/>
                <w:bCs/>
                <w:sz w:val="20"/>
                <w:szCs w:val="20"/>
              </w:rPr>
            </w:pPr>
          </w:p>
        </w:tc>
        <w:tc>
          <w:tcPr>
            <w:tcW w:w="1559" w:type="dxa"/>
            <w:vMerge/>
          </w:tcPr>
          <w:p w14:paraId="4F852AF8" w14:textId="3A2B2663" w:rsidR="001B44CC" w:rsidRPr="001B1DB1" w:rsidRDefault="001B44CC" w:rsidP="00377745">
            <w:pPr>
              <w:jc w:val="both"/>
              <w:rPr>
                <w:rFonts w:cs="Times New Roman"/>
                <w:b/>
                <w:sz w:val="20"/>
                <w:szCs w:val="20"/>
              </w:rPr>
            </w:pPr>
          </w:p>
        </w:tc>
        <w:tc>
          <w:tcPr>
            <w:tcW w:w="2551" w:type="dxa"/>
            <w:vMerge/>
            <w:shd w:val="clear" w:color="auto" w:fill="auto"/>
          </w:tcPr>
          <w:p w14:paraId="42CE4303" w14:textId="314F6F2A" w:rsidR="001B44CC" w:rsidRPr="001B1DB1" w:rsidRDefault="001B44CC">
            <w:pPr>
              <w:jc w:val="both"/>
              <w:rPr>
                <w:rFonts w:cs="Times New Roman"/>
                <w:b/>
                <w:sz w:val="20"/>
                <w:szCs w:val="20"/>
              </w:rPr>
            </w:pPr>
          </w:p>
        </w:tc>
        <w:tc>
          <w:tcPr>
            <w:tcW w:w="2694" w:type="dxa"/>
          </w:tcPr>
          <w:p w14:paraId="7DED9889" w14:textId="751B387E" w:rsidR="001B44CC" w:rsidRPr="001B1DB1" w:rsidRDefault="001B44CC">
            <w:pPr>
              <w:jc w:val="both"/>
              <w:rPr>
                <w:rFonts w:cs="Times New Roman"/>
                <w:b/>
                <w:sz w:val="20"/>
                <w:szCs w:val="20"/>
              </w:rPr>
            </w:pPr>
            <w:r>
              <w:rPr>
                <w:sz w:val="20"/>
                <w:szCs w:val="20"/>
              </w:rPr>
              <w:t>2</w:t>
            </w:r>
            <w:r w:rsidRPr="001B1DB1">
              <w:rPr>
                <w:sz w:val="20"/>
                <w:szCs w:val="20"/>
              </w:rPr>
              <w:t>. Pārbaužu skaits, piemēroto soda sankciju/brīdinājumu skaits par PLG izpētes neveikšanu vai neatbilstošu veikšanu</w:t>
            </w:r>
            <w:r>
              <w:t xml:space="preserve"> </w:t>
            </w:r>
            <w:r w:rsidRPr="00ED217C">
              <w:rPr>
                <w:sz w:val="20"/>
                <w:szCs w:val="20"/>
              </w:rPr>
              <w:t xml:space="preserve">no </w:t>
            </w:r>
            <w:r>
              <w:rPr>
                <w:sz w:val="20"/>
                <w:szCs w:val="20"/>
              </w:rPr>
              <w:t>UKI</w:t>
            </w:r>
            <w:r w:rsidRPr="00ED217C">
              <w:rPr>
                <w:sz w:val="20"/>
                <w:szCs w:val="20"/>
              </w:rPr>
              <w:t xml:space="preserve"> puses, tai skaitā, ja pārbaudes veiktas 3.1. pasākuma darbības rezultāta ietvaros</w:t>
            </w:r>
            <w:r w:rsidRPr="001B1DB1">
              <w:rPr>
                <w:sz w:val="20"/>
                <w:szCs w:val="20"/>
              </w:rPr>
              <w:t>.</w:t>
            </w:r>
          </w:p>
        </w:tc>
        <w:tc>
          <w:tcPr>
            <w:tcW w:w="1134" w:type="dxa"/>
            <w:shd w:val="clear" w:color="auto" w:fill="auto"/>
          </w:tcPr>
          <w:p w14:paraId="1F01C6CB" w14:textId="4C7FDC4C" w:rsidR="001B44CC" w:rsidRPr="001B1DB1" w:rsidRDefault="001B44CC" w:rsidP="00377745">
            <w:pPr>
              <w:jc w:val="center"/>
              <w:rPr>
                <w:rFonts w:cs="Times New Roman"/>
                <w:b/>
                <w:bCs/>
                <w:sz w:val="20"/>
                <w:szCs w:val="20"/>
              </w:rPr>
            </w:pPr>
            <w:r w:rsidRPr="001B1DB1">
              <w:rPr>
                <w:sz w:val="20"/>
                <w:szCs w:val="20"/>
              </w:rPr>
              <w:t>FKTK, VID, LZNP, LZAP, LZRA, PTAC</w:t>
            </w:r>
            <w:r>
              <w:rPr>
                <w:sz w:val="20"/>
                <w:szCs w:val="20"/>
              </w:rPr>
              <w:t>, LSMPAA</w:t>
            </w:r>
            <w:r w:rsidR="00171A05">
              <w:rPr>
                <w:sz w:val="20"/>
                <w:szCs w:val="20"/>
              </w:rPr>
              <w:t xml:space="preserve">, </w:t>
            </w:r>
            <w:r w:rsidR="00171A05">
              <w:rPr>
                <w:rFonts w:cs="Times New Roman"/>
                <w:sz w:val="20"/>
                <w:szCs w:val="20"/>
              </w:rPr>
              <w:t>MKD</w:t>
            </w:r>
          </w:p>
        </w:tc>
        <w:tc>
          <w:tcPr>
            <w:tcW w:w="1275" w:type="dxa"/>
            <w:shd w:val="clear" w:color="auto" w:fill="auto"/>
          </w:tcPr>
          <w:p w14:paraId="22341983" w14:textId="77777777" w:rsidR="001B44CC" w:rsidRPr="001B1DB1" w:rsidRDefault="001B44CC" w:rsidP="00377745">
            <w:pPr>
              <w:jc w:val="center"/>
              <w:rPr>
                <w:rFonts w:cs="Times New Roman"/>
                <w:b/>
                <w:bCs/>
                <w:sz w:val="20"/>
                <w:szCs w:val="20"/>
              </w:rPr>
            </w:pPr>
          </w:p>
        </w:tc>
        <w:tc>
          <w:tcPr>
            <w:tcW w:w="1418" w:type="dxa"/>
            <w:shd w:val="clear" w:color="auto" w:fill="auto"/>
          </w:tcPr>
          <w:p w14:paraId="43C3802B" w14:textId="77777777" w:rsidR="001B44CC" w:rsidRPr="001B1DB1" w:rsidRDefault="001B44CC" w:rsidP="00377745">
            <w:pPr>
              <w:pStyle w:val="Body"/>
              <w:jc w:val="center"/>
              <w:rPr>
                <w:sz w:val="20"/>
                <w:szCs w:val="20"/>
              </w:rPr>
            </w:pPr>
            <w:r w:rsidRPr="001B1DB1">
              <w:rPr>
                <w:sz w:val="20"/>
                <w:szCs w:val="20"/>
              </w:rPr>
              <w:t>Regulāri (atskaites reizi ceturksnī) un līdz</w:t>
            </w:r>
          </w:p>
          <w:p w14:paraId="3E18D9B2" w14:textId="77777777" w:rsidR="001B44CC" w:rsidRPr="001B1DB1" w:rsidRDefault="001B44CC" w:rsidP="00377745">
            <w:pPr>
              <w:jc w:val="center"/>
              <w:rPr>
                <w:rFonts w:cs="Times New Roman"/>
                <w:b/>
                <w:bCs/>
                <w:sz w:val="20"/>
                <w:szCs w:val="20"/>
              </w:rPr>
            </w:pPr>
            <w:r w:rsidRPr="001B1DB1">
              <w:rPr>
                <w:sz w:val="20"/>
                <w:szCs w:val="20"/>
              </w:rPr>
              <w:t>31.12.2022.</w:t>
            </w:r>
          </w:p>
        </w:tc>
      </w:tr>
      <w:tr w:rsidR="0007551F" w:rsidRPr="001B1DB1" w14:paraId="78F997A1" w14:textId="77777777" w:rsidTr="009744C5">
        <w:trPr>
          <w:trHeight w:val="543"/>
        </w:trPr>
        <w:tc>
          <w:tcPr>
            <w:tcW w:w="709" w:type="dxa"/>
            <w:vMerge/>
          </w:tcPr>
          <w:p w14:paraId="3DDF8E61" w14:textId="77777777" w:rsidR="0007551F" w:rsidRPr="001B1DB1" w:rsidRDefault="0007551F" w:rsidP="00377745">
            <w:pPr>
              <w:jc w:val="center"/>
              <w:rPr>
                <w:rFonts w:cs="Times New Roman"/>
                <w:bCs/>
                <w:sz w:val="20"/>
                <w:szCs w:val="20"/>
              </w:rPr>
            </w:pPr>
          </w:p>
        </w:tc>
        <w:tc>
          <w:tcPr>
            <w:tcW w:w="3686" w:type="dxa"/>
            <w:vMerge/>
            <w:shd w:val="clear" w:color="auto" w:fill="auto"/>
          </w:tcPr>
          <w:p w14:paraId="4465F4CE" w14:textId="77777777" w:rsidR="0007551F" w:rsidRPr="001B1DB1" w:rsidRDefault="0007551F" w:rsidP="00377745">
            <w:pPr>
              <w:jc w:val="both"/>
              <w:rPr>
                <w:rFonts w:cs="Times New Roman"/>
                <w:b/>
                <w:bCs/>
                <w:sz w:val="20"/>
                <w:szCs w:val="20"/>
              </w:rPr>
            </w:pPr>
          </w:p>
        </w:tc>
        <w:tc>
          <w:tcPr>
            <w:tcW w:w="1559" w:type="dxa"/>
            <w:vMerge/>
          </w:tcPr>
          <w:p w14:paraId="166D6D50" w14:textId="77777777" w:rsidR="0007551F" w:rsidRPr="001B1DB1" w:rsidRDefault="0007551F" w:rsidP="00377745">
            <w:pPr>
              <w:jc w:val="both"/>
              <w:rPr>
                <w:rFonts w:cs="Times New Roman"/>
                <w:b/>
                <w:sz w:val="20"/>
                <w:szCs w:val="20"/>
              </w:rPr>
            </w:pPr>
          </w:p>
        </w:tc>
        <w:tc>
          <w:tcPr>
            <w:tcW w:w="2551" w:type="dxa"/>
            <w:vMerge/>
            <w:shd w:val="clear" w:color="auto" w:fill="auto"/>
          </w:tcPr>
          <w:p w14:paraId="7F074DCE" w14:textId="77777777" w:rsidR="0007551F" w:rsidRPr="001B1DB1" w:rsidRDefault="0007551F">
            <w:pPr>
              <w:jc w:val="both"/>
              <w:rPr>
                <w:rFonts w:cs="Times New Roman"/>
                <w:b/>
                <w:sz w:val="20"/>
                <w:szCs w:val="20"/>
              </w:rPr>
            </w:pPr>
          </w:p>
        </w:tc>
        <w:tc>
          <w:tcPr>
            <w:tcW w:w="2694" w:type="dxa"/>
          </w:tcPr>
          <w:p w14:paraId="5640DD6F" w14:textId="55723466" w:rsidR="0007551F" w:rsidRDefault="0007551F">
            <w:pPr>
              <w:jc w:val="both"/>
              <w:rPr>
                <w:sz w:val="20"/>
                <w:szCs w:val="20"/>
              </w:rPr>
            </w:pPr>
            <w:r w:rsidRPr="0007551F">
              <w:rPr>
                <w:sz w:val="20"/>
                <w:szCs w:val="20"/>
              </w:rPr>
              <w:t>3. Regulāri no likuma subjektiem iegūta informācija par gadījumu skaitu, kuros</w:t>
            </w:r>
            <w:r w:rsidR="007F5DC7">
              <w:rPr>
                <w:sz w:val="20"/>
                <w:szCs w:val="20"/>
              </w:rPr>
              <w:t>,</w:t>
            </w:r>
            <w:r w:rsidRPr="0007551F">
              <w:rPr>
                <w:sz w:val="20"/>
                <w:szCs w:val="20"/>
              </w:rPr>
              <w:t xml:space="preserve"> nespējot veikt NILLTPFNL noteiktos klienta izpētes pasākumus</w:t>
            </w:r>
            <w:r w:rsidR="007F5DC7">
              <w:rPr>
                <w:sz w:val="20"/>
                <w:szCs w:val="20"/>
              </w:rPr>
              <w:t>,</w:t>
            </w:r>
            <w:r w:rsidRPr="0007551F">
              <w:rPr>
                <w:sz w:val="20"/>
                <w:szCs w:val="20"/>
              </w:rPr>
              <w:t xml:space="preserve"> likuma subjekts ar klientu nav uzsācis darījuma attiecības vai nekavējoties tās izbeidzis (neatkarīgi no tā, vai ziņots FID).</w:t>
            </w:r>
          </w:p>
        </w:tc>
        <w:tc>
          <w:tcPr>
            <w:tcW w:w="1134" w:type="dxa"/>
            <w:shd w:val="clear" w:color="auto" w:fill="auto"/>
          </w:tcPr>
          <w:p w14:paraId="117BC012" w14:textId="00C5F95F" w:rsidR="0007551F" w:rsidRPr="001B1DB1" w:rsidRDefault="0007551F" w:rsidP="00377745">
            <w:pPr>
              <w:jc w:val="center"/>
              <w:rPr>
                <w:sz w:val="20"/>
                <w:szCs w:val="20"/>
              </w:rPr>
            </w:pPr>
            <w:r w:rsidRPr="0007551F">
              <w:rPr>
                <w:sz w:val="20"/>
                <w:szCs w:val="20"/>
              </w:rPr>
              <w:t>FKTK, VID, LZNP, LZAP, LZRA, PTAC, LSMPAA</w:t>
            </w:r>
            <w:r w:rsidR="00171A05">
              <w:rPr>
                <w:sz w:val="20"/>
                <w:szCs w:val="20"/>
              </w:rPr>
              <w:t xml:space="preserve">, </w:t>
            </w:r>
            <w:r w:rsidR="00171A05">
              <w:rPr>
                <w:rFonts w:cs="Times New Roman"/>
                <w:sz w:val="20"/>
                <w:szCs w:val="20"/>
              </w:rPr>
              <w:t>MKD</w:t>
            </w:r>
          </w:p>
        </w:tc>
        <w:tc>
          <w:tcPr>
            <w:tcW w:w="1275" w:type="dxa"/>
            <w:shd w:val="clear" w:color="auto" w:fill="auto"/>
          </w:tcPr>
          <w:p w14:paraId="538436B9" w14:textId="77777777" w:rsidR="0007551F" w:rsidRPr="001B1DB1" w:rsidRDefault="0007551F" w:rsidP="00377745">
            <w:pPr>
              <w:jc w:val="center"/>
              <w:rPr>
                <w:rFonts w:cs="Times New Roman"/>
                <w:b/>
                <w:bCs/>
                <w:sz w:val="20"/>
                <w:szCs w:val="20"/>
              </w:rPr>
            </w:pPr>
          </w:p>
        </w:tc>
        <w:tc>
          <w:tcPr>
            <w:tcW w:w="1418" w:type="dxa"/>
            <w:shd w:val="clear" w:color="auto" w:fill="auto"/>
          </w:tcPr>
          <w:p w14:paraId="13C6232A" w14:textId="77777777" w:rsidR="0007551F" w:rsidRPr="0007551F" w:rsidRDefault="0007551F" w:rsidP="0007551F">
            <w:pPr>
              <w:pStyle w:val="Body"/>
              <w:jc w:val="center"/>
              <w:rPr>
                <w:sz w:val="20"/>
                <w:szCs w:val="20"/>
              </w:rPr>
            </w:pPr>
            <w:r w:rsidRPr="0007551F">
              <w:rPr>
                <w:sz w:val="20"/>
                <w:szCs w:val="20"/>
              </w:rPr>
              <w:t>Regulāri (atskaites reizi ceturksnī) un līdz</w:t>
            </w:r>
          </w:p>
          <w:p w14:paraId="12343C4A" w14:textId="333FB49C" w:rsidR="0007551F" w:rsidRPr="001B1DB1" w:rsidRDefault="0007551F" w:rsidP="0007551F">
            <w:pPr>
              <w:pStyle w:val="Body"/>
              <w:jc w:val="center"/>
              <w:rPr>
                <w:sz w:val="20"/>
                <w:szCs w:val="20"/>
              </w:rPr>
            </w:pPr>
            <w:r w:rsidRPr="0007551F">
              <w:rPr>
                <w:sz w:val="20"/>
                <w:szCs w:val="20"/>
              </w:rPr>
              <w:t>31.12.2022.</w:t>
            </w:r>
          </w:p>
        </w:tc>
      </w:tr>
      <w:tr w:rsidR="00377745" w:rsidRPr="001B1DB1" w14:paraId="4E02A9E7" w14:textId="77777777" w:rsidTr="009744C5">
        <w:trPr>
          <w:trHeight w:val="543"/>
        </w:trPr>
        <w:tc>
          <w:tcPr>
            <w:tcW w:w="709" w:type="dxa"/>
          </w:tcPr>
          <w:p w14:paraId="572FC0B8" w14:textId="44C06BC7" w:rsidR="00377745" w:rsidRPr="001B1DB1" w:rsidRDefault="00377745" w:rsidP="00537444">
            <w:pPr>
              <w:jc w:val="center"/>
              <w:rPr>
                <w:rFonts w:cs="Times New Roman"/>
                <w:bCs/>
                <w:sz w:val="20"/>
                <w:szCs w:val="20"/>
              </w:rPr>
            </w:pPr>
            <w:r w:rsidRPr="001B1DB1">
              <w:rPr>
                <w:sz w:val="20"/>
                <w:szCs w:val="20"/>
              </w:rPr>
              <w:t>5.</w:t>
            </w:r>
            <w:r w:rsidR="00537444">
              <w:rPr>
                <w:sz w:val="20"/>
                <w:szCs w:val="20"/>
              </w:rPr>
              <w:t>7</w:t>
            </w:r>
            <w:r w:rsidRPr="001B1DB1">
              <w:rPr>
                <w:sz w:val="20"/>
                <w:szCs w:val="20"/>
              </w:rPr>
              <w:t>.</w:t>
            </w:r>
          </w:p>
        </w:tc>
        <w:tc>
          <w:tcPr>
            <w:tcW w:w="3686" w:type="dxa"/>
            <w:shd w:val="clear" w:color="auto" w:fill="auto"/>
          </w:tcPr>
          <w:p w14:paraId="5E013EBD" w14:textId="77777777" w:rsidR="00377745" w:rsidRPr="001B1DB1" w:rsidRDefault="00377745" w:rsidP="00377745">
            <w:pPr>
              <w:jc w:val="both"/>
              <w:rPr>
                <w:rFonts w:cs="Times New Roman"/>
                <w:b/>
                <w:bCs/>
                <w:sz w:val="20"/>
                <w:szCs w:val="20"/>
              </w:rPr>
            </w:pPr>
            <w:r w:rsidRPr="001B1DB1">
              <w:rPr>
                <w:sz w:val="20"/>
                <w:szCs w:val="20"/>
              </w:rPr>
              <w:t xml:space="preserve">Nodrošināt sadarbību un regulāru iesaistīto institūciju informēšanu par 5. rīcības virziena aktualitātēm. </w:t>
            </w:r>
          </w:p>
        </w:tc>
        <w:tc>
          <w:tcPr>
            <w:tcW w:w="1559" w:type="dxa"/>
          </w:tcPr>
          <w:p w14:paraId="149884EE" w14:textId="56CBC591" w:rsidR="00377745" w:rsidRPr="001B1DB1" w:rsidRDefault="00377745" w:rsidP="00377745">
            <w:pPr>
              <w:pStyle w:val="Body"/>
              <w:jc w:val="both"/>
              <w:rPr>
                <w:sz w:val="20"/>
                <w:szCs w:val="20"/>
              </w:rPr>
            </w:pPr>
            <w:r w:rsidRPr="001B1DB1">
              <w:rPr>
                <w:sz w:val="20"/>
                <w:szCs w:val="20"/>
              </w:rPr>
              <w:t>NILLTPF risku novērtējums</w:t>
            </w:r>
            <w:r w:rsidR="009D2941">
              <w:rPr>
                <w:sz w:val="20"/>
                <w:szCs w:val="20"/>
              </w:rPr>
              <w:t>;</w:t>
            </w:r>
          </w:p>
          <w:p w14:paraId="6B14B23C" w14:textId="5AE1A7E8" w:rsidR="00377745" w:rsidRPr="001B1DB1" w:rsidRDefault="00377745" w:rsidP="00EB6AAE">
            <w:pPr>
              <w:pStyle w:val="Body"/>
              <w:jc w:val="both"/>
            </w:pPr>
            <w:r w:rsidRPr="001B1DB1">
              <w:rPr>
                <w:sz w:val="20"/>
                <w:szCs w:val="20"/>
              </w:rPr>
              <w:t>Juridisko personu un NVO risku novērtējums.</w:t>
            </w:r>
          </w:p>
        </w:tc>
        <w:tc>
          <w:tcPr>
            <w:tcW w:w="2551" w:type="dxa"/>
            <w:shd w:val="clear" w:color="auto" w:fill="auto"/>
          </w:tcPr>
          <w:p w14:paraId="1406A741" w14:textId="046DF75D" w:rsidR="00377745" w:rsidRPr="002074EF" w:rsidRDefault="00377745" w:rsidP="00377745">
            <w:pPr>
              <w:jc w:val="both"/>
              <w:rPr>
                <w:rFonts w:cs="Times New Roman"/>
                <w:sz w:val="20"/>
                <w:szCs w:val="20"/>
              </w:rPr>
            </w:pPr>
            <w:r w:rsidRPr="002074EF">
              <w:rPr>
                <w:rFonts w:cs="Times New Roman"/>
                <w:sz w:val="20"/>
                <w:szCs w:val="20"/>
              </w:rPr>
              <w:t>Stiprināta kompetento institūciju izpratne par juridisko personu radītajiem draudiem.</w:t>
            </w:r>
          </w:p>
        </w:tc>
        <w:tc>
          <w:tcPr>
            <w:tcW w:w="2694" w:type="dxa"/>
          </w:tcPr>
          <w:p w14:paraId="661B8078" w14:textId="24F394BA" w:rsidR="00377745" w:rsidRDefault="00377745" w:rsidP="00377745">
            <w:pPr>
              <w:jc w:val="both"/>
              <w:rPr>
                <w:sz w:val="20"/>
                <w:szCs w:val="20"/>
              </w:rPr>
            </w:pPr>
            <w:r>
              <w:t xml:space="preserve"> </w:t>
            </w:r>
            <w:r w:rsidRPr="002B2D68">
              <w:rPr>
                <w:sz w:val="20"/>
                <w:szCs w:val="20"/>
              </w:rPr>
              <w:t>Sniegt</w:t>
            </w:r>
            <w:r w:rsidR="007F5DC7">
              <w:rPr>
                <w:sz w:val="20"/>
                <w:szCs w:val="20"/>
              </w:rPr>
              <w:t>a</w:t>
            </w:r>
            <w:r w:rsidRPr="002B2D68">
              <w:rPr>
                <w:sz w:val="20"/>
                <w:szCs w:val="20"/>
              </w:rPr>
              <w:t xml:space="preserve"> informācij</w:t>
            </w:r>
            <w:r w:rsidR="007F5DC7">
              <w:rPr>
                <w:sz w:val="20"/>
                <w:szCs w:val="20"/>
              </w:rPr>
              <w:t>a</w:t>
            </w:r>
            <w:r w:rsidRPr="002B2D68">
              <w:rPr>
                <w:sz w:val="20"/>
                <w:szCs w:val="20"/>
              </w:rPr>
              <w:t xml:space="preserve"> par 5. rīcības virziena atskaišu analīzi un aktualitātēm FID  sadarbības koordinācijas grupā.</w:t>
            </w:r>
          </w:p>
          <w:p w14:paraId="5E4B1B0A" w14:textId="769C52A5" w:rsidR="00377745" w:rsidRPr="001B1DB1" w:rsidRDefault="00377745" w:rsidP="00377745">
            <w:pPr>
              <w:jc w:val="both"/>
              <w:rPr>
                <w:rFonts w:cs="Times New Roman"/>
                <w:b/>
                <w:sz w:val="20"/>
                <w:szCs w:val="20"/>
              </w:rPr>
            </w:pPr>
          </w:p>
        </w:tc>
        <w:tc>
          <w:tcPr>
            <w:tcW w:w="1134" w:type="dxa"/>
            <w:shd w:val="clear" w:color="auto" w:fill="auto"/>
          </w:tcPr>
          <w:p w14:paraId="025931D8" w14:textId="77777777" w:rsidR="00377745" w:rsidRPr="001B1DB1" w:rsidRDefault="00377745" w:rsidP="00377745">
            <w:pPr>
              <w:jc w:val="center"/>
              <w:rPr>
                <w:rFonts w:cs="Times New Roman"/>
                <w:b/>
                <w:bCs/>
                <w:sz w:val="20"/>
                <w:szCs w:val="20"/>
              </w:rPr>
            </w:pPr>
            <w:r w:rsidRPr="001B1DB1">
              <w:rPr>
                <w:sz w:val="20"/>
                <w:szCs w:val="20"/>
              </w:rPr>
              <w:t>TM</w:t>
            </w:r>
          </w:p>
        </w:tc>
        <w:tc>
          <w:tcPr>
            <w:tcW w:w="1275" w:type="dxa"/>
            <w:shd w:val="clear" w:color="auto" w:fill="auto"/>
          </w:tcPr>
          <w:p w14:paraId="32D9CB77" w14:textId="77777777" w:rsidR="00377745" w:rsidRPr="001B1DB1" w:rsidRDefault="00377745" w:rsidP="00377745">
            <w:pPr>
              <w:jc w:val="center"/>
              <w:rPr>
                <w:rFonts w:cs="Times New Roman"/>
                <w:b/>
                <w:bCs/>
                <w:sz w:val="20"/>
                <w:szCs w:val="20"/>
              </w:rPr>
            </w:pPr>
          </w:p>
        </w:tc>
        <w:tc>
          <w:tcPr>
            <w:tcW w:w="1418" w:type="dxa"/>
            <w:shd w:val="clear" w:color="auto" w:fill="auto"/>
          </w:tcPr>
          <w:p w14:paraId="685F5D36" w14:textId="77777777" w:rsidR="00377745" w:rsidRPr="008B395B" w:rsidRDefault="00377745" w:rsidP="00377745">
            <w:pPr>
              <w:pStyle w:val="Body"/>
              <w:jc w:val="center"/>
              <w:rPr>
                <w:sz w:val="20"/>
                <w:szCs w:val="20"/>
              </w:rPr>
            </w:pPr>
            <w:r w:rsidRPr="008B395B">
              <w:rPr>
                <w:sz w:val="20"/>
                <w:szCs w:val="20"/>
              </w:rPr>
              <w:t>Reizi  ceturksnī līdz</w:t>
            </w:r>
          </w:p>
          <w:p w14:paraId="2D87CE50" w14:textId="77777777" w:rsidR="00377745" w:rsidRPr="001B1DB1" w:rsidRDefault="00377745" w:rsidP="00377745">
            <w:pPr>
              <w:jc w:val="center"/>
              <w:rPr>
                <w:rFonts w:cs="Times New Roman"/>
                <w:b/>
                <w:bCs/>
                <w:sz w:val="20"/>
                <w:szCs w:val="20"/>
              </w:rPr>
            </w:pPr>
            <w:r w:rsidRPr="008B395B">
              <w:rPr>
                <w:sz w:val="20"/>
                <w:szCs w:val="20"/>
              </w:rPr>
              <w:t>31.12.2022.</w:t>
            </w:r>
          </w:p>
        </w:tc>
      </w:tr>
      <w:tr w:rsidR="00377745" w:rsidRPr="001B1DB1" w14:paraId="0FFD9257" w14:textId="77777777" w:rsidTr="009744C5">
        <w:trPr>
          <w:trHeight w:val="543"/>
        </w:trPr>
        <w:tc>
          <w:tcPr>
            <w:tcW w:w="709" w:type="dxa"/>
          </w:tcPr>
          <w:p w14:paraId="573CF0C3" w14:textId="2F9D5879" w:rsidR="00377745" w:rsidRPr="001B1DB1" w:rsidRDefault="00377745" w:rsidP="00537444">
            <w:pPr>
              <w:jc w:val="center"/>
              <w:rPr>
                <w:rFonts w:cs="Times New Roman"/>
                <w:bCs/>
                <w:sz w:val="20"/>
                <w:szCs w:val="20"/>
              </w:rPr>
            </w:pPr>
            <w:r w:rsidRPr="001B1DB1">
              <w:rPr>
                <w:sz w:val="20"/>
                <w:szCs w:val="20"/>
              </w:rPr>
              <w:t>5.</w:t>
            </w:r>
            <w:r w:rsidR="00537444">
              <w:rPr>
                <w:sz w:val="20"/>
                <w:szCs w:val="20"/>
              </w:rPr>
              <w:t>8</w:t>
            </w:r>
            <w:r w:rsidRPr="001B1DB1">
              <w:rPr>
                <w:sz w:val="20"/>
                <w:szCs w:val="20"/>
              </w:rPr>
              <w:t>.</w:t>
            </w:r>
          </w:p>
        </w:tc>
        <w:tc>
          <w:tcPr>
            <w:tcW w:w="3686" w:type="dxa"/>
            <w:shd w:val="clear" w:color="auto" w:fill="auto"/>
          </w:tcPr>
          <w:p w14:paraId="57ED4D9E" w14:textId="4257D693" w:rsidR="00377745" w:rsidRPr="001B1DB1" w:rsidRDefault="00377745" w:rsidP="00377745">
            <w:pPr>
              <w:jc w:val="both"/>
              <w:rPr>
                <w:rFonts w:cs="Times New Roman"/>
                <w:b/>
                <w:bCs/>
                <w:sz w:val="20"/>
                <w:szCs w:val="20"/>
              </w:rPr>
            </w:pPr>
            <w:r w:rsidRPr="001B1DB1">
              <w:rPr>
                <w:sz w:val="20"/>
                <w:szCs w:val="20"/>
              </w:rPr>
              <w:t>Ieviest sadarbības mehānismu starp UR un UKI, lai nodrošinātu atbilstošu un efektīvu pašu NILLTPFN likuma subjektu PLG noskaidrošanu un atklāšanu UR vestajos reģistros.</w:t>
            </w:r>
          </w:p>
        </w:tc>
        <w:tc>
          <w:tcPr>
            <w:tcW w:w="1559" w:type="dxa"/>
          </w:tcPr>
          <w:p w14:paraId="45C78C00" w14:textId="25C66025" w:rsidR="00377745" w:rsidRPr="001B1DB1" w:rsidRDefault="00377745" w:rsidP="00377745">
            <w:pPr>
              <w:pStyle w:val="Body"/>
              <w:jc w:val="both"/>
            </w:pPr>
            <w:r w:rsidRPr="001B1DB1">
              <w:rPr>
                <w:sz w:val="20"/>
                <w:szCs w:val="20"/>
              </w:rPr>
              <w:t>Juridisko personu un NVO risku novērtējums</w:t>
            </w:r>
            <w:r w:rsidR="009D2941">
              <w:rPr>
                <w:sz w:val="20"/>
                <w:szCs w:val="20"/>
              </w:rPr>
              <w:t>;</w:t>
            </w:r>
          </w:p>
          <w:p w14:paraId="1352C188" w14:textId="77777777" w:rsidR="00377745" w:rsidRPr="001B1DB1" w:rsidRDefault="00377745" w:rsidP="00377745">
            <w:pPr>
              <w:jc w:val="both"/>
              <w:rPr>
                <w:rFonts w:cs="Times New Roman"/>
                <w:b/>
                <w:sz w:val="20"/>
                <w:szCs w:val="20"/>
              </w:rPr>
            </w:pPr>
            <w:r w:rsidRPr="001B1DB1">
              <w:rPr>
                <w:sz w:val="20"/>
                <w:szCs w:val="20"/>
              </w:rPr>
              <w:t>FATF labās prakses vadlīnijas juridisko personu PLG atklāšanā.</w:t>
            </w:r>
          </w:p>
        </w:tc>
        <w:tc>
          <w:tcPr>
            <w:tcW w:w="2551" w:type="dxa"/>
            <w:shd w:val="clear" w:color="auto" w:fill="auto"/>
          </w:tcPr>
          <w:p w14:paraId="68D7369A" w14:textId="77777777" w:rsidR="00377745" w:rsidRPr="001B1DB1" w:rsidRDefault="00377745" w:rsidP="00377745">
            <w:pPr>
              <w:jc w:val="both"/>
              <w:rPr>
                <w:rFonts w:cs="Times New Roman"/>
                <w:b/>
                <w:sz w:val="20"/>
                <w:szCs w:val="20"/>
              </w:rPr>
            </w:pPr>
            <w:r w:rsidRPr="001B1DB1">
              <w:rPr>
                <w:sz w:val="20"/>
                <w:szCs w:val="20"/>
              </w:rPr>
              <w:t>Nodrošināta atbilstoša un efektīva  NILLTPFN likuma subjektu PLG noskaidrošana un atklāšana.</w:t>
            </w:r>
          </w:p>
        </w:tc>
        <w:tc>
          <w:tcPr>
            <w:tcW w:w="2694" w:type="dxa"/>
          </w:tcPr>
          <w:p w14:paraId="235694A1" w14:textId="7F393EA1" w:rsidR="00377745" w:rsidRPr="001B1DB1" w:rsidRDefault="00377745" w:rsidP="00375AB6">
            <w:pPr>
              <w:jc w:val="both"/>
              <w:rPr>
                <w:rFonts w:cs="Times New Roman"/>
                <w:b/>
                <w:sz w:val="20"/>
                <w:szCs w:val="20"/>
              </w:rPr>
            </w:pPr>
            <w:r w:rsidRPr="001B1DB1">
              <w:rPr>
                <w:sz w:val="20"/>
                <w:szCs w:val="20"/>
              </w:rPr>
              <w:t>1. Izstrādāta kārtība kādā UR un UKI rīkojas, lai</w:t>
            </w:r>
            <w:r w:rsidR="007F5DC7">
              <w:rPr>
                <w:sz w:val="20"/>
                <w:szCs w:val="20"/>
              </w:rPr>
              <w:t>,</w:t>
            </w:r>
            <w:r w:rsidRPr="001B1DB1">
              <w:rPr>
                <w:sz w:val="20"/>
                <w:szCs w:val="20"/>
              </w:rPr>
              <w:t xml:space="preserve"> savstarpēji apmainoties ar informāciju, nodrošinātu, ka UR tiek atbilstoši reģistrēta informācija par NILLTPFN likuma subjektu PLG. Gadījumi, kuros informācijas apmaiņa nepieciešama, nosakāmi ievērojot </w:t>
            </w:r>
            <w:r w:rsidR="007F1A2C">
              <w:rPr>
                <w:rFonts w:cs="Times New Roman"/>
                <w:sz w:val="20"/>
                <w:szCs w:val="20"/>
              </w:rPr>
              <w:t>uz</w:t>
            </w:r>
            <w:r w:rsidR="007F1A2C" w:rsidRPr="001B1DB1">
              <w:rPr>
                <w:rFonts w:cs="Times New Roman"/>
                <w:sz w:val="20"/>
                <w:szCs w:val="20"/>
              </w:rPr>
              <w:t xml:space="preserve"> </w:t>
            </w:r>
            <w:r w:rsidRPr="001B1DB1">
              <w:rPr>
                <w:rFonts w:cs="Times New Roman"/>
                <w:sz w:val="20"/>
                <w:szCs w:val="20"/>
              </w:rPr>
              <w:t xml:space="preserve">risku </w:t>
            </w:r>
            <w:r w:rsidR="007F1A2C">
              <w:rPr>
                <w:rFonts w:cs="Times New Roman"/>
                <w:sz w:val="20"/>
                <w:szCs w:val="20"/>
              </w:rPr>
              <w:t xml:space="preserve">novērtējumu </w:t>
            </w:r>
            <w:r w:rsidR="007F1A2C">
              <w:rPr>
                <w:rFonts w:cs="Times New Roman"/>
                <w:sz w:val="20"/>
                <w:szCs w:val="20"/>
              </w:rPr>
              <w:lastRenderedPageBreak/>
              <w:t>balstītu</w:t>
            </w:r>
            <w:r w:rsidR="007F1A2C" w:rsidRPr="001B1DB1">
              <w:rPr>
                <w:sz w:val="20"/>
                <w:szCs w:val="20"/>
              </w:rPr>
              <w:t xml:space="preserve"> </w:t>
            </w:r>
            <w:r w:rsidRPr="001B1DB1">
              <w:rPr>
                <w:sz w:val="20"/>
                <w:szCs w:val="20"/>
              </w:rPr>
              <w:t xml:space="preserve">pieeju, un mehānisms ieviešams UR informācijas sistēmā vienlaikus ar 5.6. pasākuma izpildi. Ja nepieciešams, sagatavojami priekšlikumi grozījumiem normatīvajos aktos. </w:t>
            </w:r>
          </w:p>
        </w:tc>
        <w:tc>
          <w:tcPr>
            <w:tcW w:w="1134" w:type="dxa"/>
            <w:shd w:val="clear" w:color="auto" w:fill="auto"/>
          </w:tcPr>
          <w:p w14:paraId="4B90A06E" w14:textId="77777777" w:rsidR="00377745" w:rsidRPr="001B1DB1" w:rsidRDefault="00377745" w:rsidP="00377745">
            <w:pPr>
              <w:jc w:val="center"/>
              <w:rPr>
                <w:rFonts w:cs="Times New Roman"/>
                <w:b/>
                <w:bCs/>
                <w:sz w:val="20"/>
                <w:szCs w:val="20"/>
              </w:rPr>
            </w:pPr>
            <w:r w:rsidRPr="001B1DB1">
              <w:rPr>
                <w:sz w:val="20"/>
                <w:szCs w:val="20"/>
              </w:rPr>
              <w:lastRenderedPageBreak/>
              <w:t>TM (UR)</w:t>
            </w:r>
          </w:p>
        </w:tc>
        <w:tc>
          <w:tcPr>
            <w:tcW w:w="1275" w:type="dxa"/>
            <w:shd w:val="clear" w:color="auto" w:fill="auto"/>
          </w:tcPr>
          <w:p w14:paraId="066781CB" w14:textId="285E39F4" w:rsidR="00377745" w:rsidRPr="001B1DB1" w:rsidRDefault="00377745" w:rsidP="00377745">
            <w:pPr>
              <w:jc w:val="center"/>
              <w:rPr>
                <w:rFonts w:cs="Times New Roman"/>
                <w:b/>
                <w:bCs/>
                <w:sz w:val="20"/>
                <w:szCs w:val="20"/>
              </w:rPr>
            </w:pPr>
            <w:r w:rsidRPr="001B1DB1">
              <w:rPr>
                <w:sz w:val="20"/>
                <w:szCs w:val="20"/>
              </w:rPr>
              <w:t>FKTK, VID, LZNP, LZAP, LZRA, PTAC, LB</w:t>
            </w:r>
            <w:r>
              <w:rPr>
                <w:sz w:val="20"/>
                <w:szCs w:val="20"/>
              </w:rPr>
              <w:t>, LSMPAA</w:t>
            </w:r>
            <w:r w:rsidR="00171A05">
              <w:rPr>
                <w:sz w:val="20"/>
                <w:szCs w:val="20"/>
              </w:rPr>
              <w:t xml:space="preserve">, </w:t>
            </w:r>
            <w:r w:rsidR="00171A05">
              <w:rPr>
                <w:rFonts w:cs="Times New Roman"/>
                <w:sz w:val="20"/>
                <w:szCs w:val="20"/>
              </w:rPr>
              <w:t>MKD</w:t>
            </w:r>
          </w:p>
        </w:tc>
        <w:tc>
          <w:tcPr>
            <w:tcW w:w="1418" w:type="dxa"/>
            <w:shd w:val="clear" w:color="auto" w:fill="auto"/>
          </w:tcPr>
          <w:p w14:paraId="4BEAF674" w14:textId="77777777" w:rsidR="00377745" w:rsidRPr="001B1DB1" w:rsidRDefault="00377745" w:rsidP="00377745">
            <w:pPr>
              <w:jc w:val="center"/>
              <w:rPr>
                <w:rFonts w:cs="Times New Roman"/>
                <w:b/>
                <w:bCs/>
                <w:sz w:val="20"/>
                <w:szCs w:val="20"/>
              </w:rPr>
            </w:pPr>
            <w:r w:rsidRPr="001B1DB1">
              <w:rPr>
                <w:sz w:val="20"/>
                <w:szCs w:val="20"/>
              </w:rPr>
              <w:t>31.12.2020. un UR 5.6. pasākuma ietvaros</w:t>
            </w:r>
          </w:p>
        </w:tc>
      </w:tr>
      <w:tr w:rsidR="00377745" w:rsidRPr="001B1DB1" w14:paraId="76EE507B" w14:textId="77777777" w:rsidTr="009744C5">
        <w:trPr>
          <w:trHeight w:val="543"/>
        </w:trPr>
        <w:tc>
          <w:tcPr>
            <w:tcW w:w="709" w:type="dxa"/>
            <w:vMerge w:val="restart"/>
          </w:tcPr>
          <w:p w14:paraId="0DE3D10D" w14:textId="3319DEF6" w:rsidR="00377745" w:rsidRPr="001B1DB1" w:rsidRDefault="00377745" w:rsidP="00537444">
            <w:pPr>
              <w:jc w:val="center"/>
              <w:rPr>
                <w:rFonts w:cs="Times New Roman"/>
                <w:bCs/>
                <w:sz w:val="20"/>
                <w:szCs w:val="20"/>
              </w:rPr>
            </w:pPr>
            <w:r w:rsidRPr="001B1DB1">
              <w:rPr>
                <w:sz w:val="20"/>
                <w:szCs w:val="20"/>
              </w:rPr>
              <w:t>5.</w:t>
            </w:r>
            <w:r w:rsidR="00537444">
              <w:rPr>
                <w:sz w:val="20"/>
                <w:szCs w:val="20"/>
              </w:rPr>
              <w:t>9</w:t>
            </w:r>
            <w:r w:rsidRPr="001B1DB1">
              <w:rPr>
                <w:sz w:val="20"/>
                <w:szCs w:val="20"/>
              </w:rPr>
              <w:t>.</w:t>
            </w:r>
          </w:p>
        </w:tc>
        <w:tc>
          <w:tcPr>
            <w:tcW w:w="3686" w:type="dxa"/>
            <w:vMerge w:val="restart"/>
            <w:shd w:val="clear" w:color="auto" w:fill="auto"/>
          </w:tcPr>
          <w:p w14:paraId="77D79119" w14:textId="77777777" w:rsidR="00377745" w:rsidRPr="001B1DB1" w:rsidRDefault="00377745" w:rsidP="00377745">
            <w:pPr>
              <w:jc w:val="both"/>
              <w:rPr>
                <w:rFonts w:cs="Times New Roman"/>
                <w:b/>
                <w:bCs/>
                <w:sz w:val="20"/>
                <w:szCs w:val="20"/>
              </w:rPr>
            </w:pPr>
            <w:r w:rsidRPr="001B1DB1">
              <w:rPr>
                <w:sz w:val="20"/>
                <w:szCs w:val="20"/>
              </w:rPr>
              <w:t>Izveidot procesu un noteikt procedūras metodoloģijā, lai izmeklēšanas iestādes efektīvi un atbilstoši normatīvajos aktos noteiktajām iespējām iegūtu informāciju par juridiskajām personām un to patiesajiem labuma guvējiem.</w:t>
            </w:r>
          </w:p>
        </w:tc>
        <w:tc>
          <w:tcPr>
            <w:tcW w:w="1559" w:type="dxa"/>
            <w:vMerge w:val="restart"/>
          </w:tcPr>
          <w:p w14:paraId="581D3220" w14:textId="0E73DD0C" w:rsidR="00377745" w:rsidRPr="001B1DB1" w:rsidRDefault="00377745" w:rsidP="00377745">
            <w:pPr>
              <w:pStyle w:val="Body"/>
              <w:jc w:val="both"/>
              <w:rPr>
                <w:sz w:val="20"/>
                <w:szCs w:val="20"/>
              </w:rPr>
            </w:pPr>
            <w:r w:rsidRPr="001B1DB1">
              <w:rPr>
                <w:sz w:val="20"/>
                <w:szCs w:val="20"/>
              </w:rPr>
              <w:t>Juridisko personu un NVO risku novērtējums</w:t>
            </w:r>
            <w:r w:rsidR="009D2941">
              <w:rPr>
                <w:sz w:val="20"/>
                <w:szCs w:val="20"/>
              </w:rPr>
              <w:t>;</w:t>
            </w:r>
          </w:p>
          <w:p w14:paraId="7318EDA8" w14:textId="251B278B" w:rsidR="00377745" w:rsidRPr="001B1DB1" w:rsidRDefault="00377745" w:rsidP="00377745">
            <w:pPr>
              <w:jc w:val="both"/>
              <w:rPr>
                <w:rFonts w:cs="Times New Roman"/>
                <w:b/>
                <w:sz w:val="20"/>
                <w:szCs w:val="20"/>
              </w:rPr>
            </w:pPr>
            <w:r w:rsidRPr="001B1DB1">
              <w:rPr>
                <w:sz w:val="20"/>
                <w:szCs w:val="20"/>
              </w:rPr>
              <w:t>FATF labās prakses vadlīnijas juridisko personu patieso labuma guvēju atklāšanā</w:t>
            </w:r>
            <w:r w:rsidR="007673C2">
              <w:rPr>
                <w:sz w:val="20"/>
                <w:szCs w:val="20"/>
              </w:rPr>
              <w:t>.</w:t>
            </w:r>
          </w:p>
        </w:tc>
        <w:tc>
          <w:tcPr>
            <w:tcW w:w="2551" w:type="dxa"/>
            <w:vMerge w:val="restart"/>
            <w:shd w:val="clear" w:color="auto" w:fill="auto"/>
          </w:tcPr>
          <w:p w14:paraId="1E6245C9" w14:textId="77777777" w:rsidR="00377745" w:rsidRPr="001B1DB1" w:rsidRDefault="00377745" w:rsidP="00377745">
            <w:pPr>
              <w:jc w:val="both"/>
              <w:rPr>
                <w:rFonts w:cs="Times New Roman"/>
                <w:b/>
                <w:sz w:val="20"/>
                <w:szCs w:val="20"/>
              </w:rPr>
            </w:pPr>
            <w:r w:rsidRPr="001B1DB1">
              <w:rPr>
                <w:sz w:val="20"/>
                <w:szCs w:val="20"/>
              </w:rPr>
              <w:t>Nodrošināts, ka izmeklēšanas iestādes ir pietiekami informētas un efektīvi iegūst juridisko personu pamatinformāciju un informāciju par to PLG.</w:t>
            </w:r>
          </w:p>
        </w:tc>
        <w:tc>
          <w:tcPr>
            <w:tcW w:w="2694" w:type="dxa"/>
          </w:tcPr>
          <w:p w14:paraId="3B1BFE52" w14:textId="1960235B" w:rsidR="00377745" w:rsidRPr="001B1DB1" w:rsidRDefault="00377745" w:rsidP="00377745">
            <w:pPr>
              <w:jc w:val="both"/>
              <w:rPr>
                <w:rFonts w:cs="Times New Roman"/>
                <w:b/>
                <w:sz w:val="20"/>
                <w:szCs w:val="20"/>
              </w:rPr>
            </w:pPr>
            <w:r w:rsidRPr="001B1DB1">
              <w:rPr>
                <w:sz w:val="20"/>
                <w:szCs w:val="20"/>
              </w:rPr>
              <w:t>1. Izstrādāta metodoloģija, kurā izskaidrots process un procedūras</w:t>
            </w:r>
            <w:r w:rsidR="007F5DC7">
              <w:rPr>
                <w:sz w:val="20"/>
                <w:szCs w:val="20"/>
              </w:rPr>
              <w:t>,</w:t>
            </w:r>
            <w:r w:rsidRPr="001B1DB1">
              <w:rPr>
                <w:sz w:val="20"/>
                <w:szCs w:val="20"/>
              </w:rPr>
              <w:t xml:space="preserve"> kā izmeklēšanas iestādēm efektīvi un atbilstoši normatīvajos aktos noteiktajām iespējām iegūt informāciju par juridiskajām personām un to PLG.</w:t>
            </w:r>
          </w:p>
        </w:tc>
        <w:tc>
          <w:tcPr>
            <w:tcW w:w="1134" w:type="dxa"/>
            <w:shd w:val="clear" w:color="auto" w:fill="auto"/>
          </w:tcPr>
          <w:p w14:paraId="3BF86283" w14:textId="77777777" w:rsidR="00377745" w:rsidRPr="001B1DB1" w:rsidRDefault="00377745" w:rsidP="00377745">
            <w:pPr>
              <w:jc w:val="center"/>
              <w:rPr>
                <w:rFonts w:cs="Times New Roman"/>
                <w:b/>
                <w:bCs/>
                <w:sz w:val="20"/>
                <w:szCs w:val="20"/>
              </w:rPr>
            </w:pPr>
            <w:r w:rsidRPr="001B1DB1">
              <w:rPr>
                <w:sz w:val="20"/>
                <w:szCs w:val="20"/>
              </w:rPr>
              <w:t>IeM</w:t>
            </w:r>
          </w:p>
        </w:tc>
        <w:tc>
          <w:tcPr>
            <w:tcW w:w="1275" w:type="dxa"/>
            <w:shd w:val="clear" w:color="auto" w:fill="auto"/>
          </w:tcPr>
          <w:p w14:paraId="42E80372" w14:textId="77777777" w:rsidR="00377745" w:rsidRPr="001B1DB1" w:rsidRDefault="00377745" w:rsidP="00377745">
            <w:pPr>
              <w:jc w:val="center"/>
              <w:rPr>
                <w:rFonts w:cs="Times New Roman"/>
                <w:b/>
                <w:bCs/>
                <w:sz w:val="20"/>
                <w:szCs w:val="20"/>
              </w:rPr>
            </w:pPr>
            <w:r w:rsidRPr="001B1DB1">
              <w:rPr>
                <w:sz w:val="20"/>
                <w:szCs w:val="20"/>
              </w:rPr>
              <w:t>TM</w:t>
            </w:r>
          </w:p>
        </w:tc>
        <w:tc>
          <w:tcPr>
            <w:tcW w:w="1418" w:type="dxa"/>
            <w:shd w:val="clear" w:color="auto" w:fill="auto"/>
          </w:tcPr>
          <w:p w14:paraId="59D90DAB" w14:textId="77777777" w:rsidR="00377745" w:rsidRPr="001B1DB1" w:rsidRDefault="00377745" w:rsidP="00377745">
            <w:pPr>
              <w:jc w:val="center"/>
              <w:rPr>
                <w:rFonts w:cs="Times New Roman"/>
                <w:b/>
                <w:bCs/>
                <w:sz w:val="20"/>
                <w:szCs w:val="20"/>
              </w:rPr>
            </w:pPr>
            <w:r w:rsidRPr="001B1DB1">
              <w:rPr>
                <w:sz w:val="20"/>
                <w:szCs w:val="20"/>
              </w:rPr>
              <w:t>31.12.2020.</w:t>
            </w:r>
          </w:p>
        </w:tc>
      </w:tr>
      <w:tr w:rsidR="00377745" w:rsidRPr="001B1DB1" w14:paraId="7C5063FE" w14:textId="77777777" w:rsidTr="009744C5">
        <w:trPr>
          <w:trHeight w:val="543"/>
        </w:trPr>
        <w:tc>
          <w:tcPr>
            <w:tcW w:w="709" w:type="dxa"/>
            <w:vMerge/>
          </w:tcPr>
          <w:p w14:paraId="2F926616" w14:textId="77777777" w:rsidR="00377745" w:rsidRPr="001B1DB1" w:rsidRDefault="00377745" w:rsidP="00377745">
            <w:pPr>
              <w:jc w:val="center"/>
              <w:rPr>
                <w:rFonts w:cs="Times New Roman"/>
                <w:bCs/>
                <w:sz w:val="20"/>
                <w:szCs w:val="20"/>
              </w:rPr>
            </w:pPr>
          </w:p>
        </w:tc>
        <w:tc>
          <w:tcPr>
            <w:tcW w:w="3686" w:type="dxa"/>
            <w:vMerge/>
            <w:shd w:val="clear" w:color="auto" w:fill="auto"/>
          </w:tcPr>
          <w:p w14:paraId="1E6326F2" w14:textId="77777777" w:rsidR="00377745" w:rsidRPr="001B1DB1" w:rsidRDefault="00377745" w:rsidP="00377745">
            <w:pPr>
              <w:jc w:val="both"/>
              <w:rPr>
                <w:rFonts w:cs="Times New Roman"/>
                <w:b/>
                <w:bCs/>
                <w:sz w:val="20"/>
                <w:szCs w:val="20"/>
              </w:rPr>
            </w:pPr>
          </w:p>
        </w:tc>
        <w:tc>
          <w:tcPr>
            <w:tcW w:w="1559" w:type="dxa"/>
            <w:vMerge/>
          </w:tcPr>
          <w:p w14:paraId="5CD9DA4B" w14:textId="77777777" w:rsidR="00377745" w:rsidRPr="001B1DB1" w:rsidRDefault="00377745" w:rsidP="00377745">
            <w:pPr>
              <w:jc w:val="both"/>
              <w:rPr>
                <w:rFonts w:cs="Times New Roman"/>
                <w:b/>
                <w:sz w:val="20"/>
                <w:szCs w:val="20"/>
              </w:rPr>
            </w:pPr>
          </w:p>
        </w:tc>
        <w:tc>
          <w:tcPr>
            <w:tcW w:w="2551" w:type="dxa"/>
            <w:vMerge/>
            <w:shd w:val="clear" w:color="auto" w:fill="auto"/>
          </w:tcPr>
          <w:p w14:paraId="2C985AEB" w14:textId="77777777" w:rsidR="00377745" w:rsidRPr="001B1DB1" w:rsidRDefault="00377745" w:rsidP="00377745">
            <w:pPr>
              <w:jc w:val="both"/>
              <w:rPr>
                <w:rFonts w:cs="Times New Roman"/>
                <w:b/>
                <w:sz w:val="20"/>
                <w:szCs w:val="20"/>
              </w:rPr>
            </w:pPr>
          </w:p>
        </w:tc>
        <w:tc>
          <w:tcPr>
            <w:tcW w:w="2694" w:type="dxa"/>
          </w:tcPr>
          <w:p w14:paraId="6BE4C3E2" w14:textId="77E37259" w:rsidR="00377745" w:rsidRPr="001B1DB1" w:rsidRDefault="00377745" w:rsidP="00377745">
            <w:pPr>
              <w:jc w:val="both"/>
              <w:rPr>
                <w:rFonts w:cs="Times New Roman"/>
                <w:b/>
                <w:sz w:val="20"/>
                <w:szCs w:val="20"/>
              </w:rPr>
            </w:pPr>
            <w:r w:rsidRPr="001B1DB1">
              <w:rPr>
                <w:sz w:val="20"/>
                <w:szCs w:val="20"/>
              </w:rPr>
              <w:t xml:space="preserve">2. Izmeklēšanas iestāžu apmācībās ietvertas apmācības par </w:t>
            </w:r>
            <w:r>
              <w:rPr>
                <w:sz w:val="20"/>
                <w:szCs w:val="20"/>
              </w:rPr>
              <w:t xml:space="preserve">iespējām iegūt informāciju par </w:t>
            </w:r>
            <w:r w:rsidRPr="001B1DB1">
              <w:rPr>
                <w:sz w:val="20"/>
                <w:szCs w:val="20"/>
              </w:rPr>
              <w:t>juridiskajām personām</w:t>
            </w:r>
            <w:r>
              <w:rPr>
                <w:sz w:val="20"/>
                <w:szCs w:val="20"/>
              </w:rPr>
              <w:t xml:space="preserve"> un to PLG.</w:t>
            </w:r>
          </w:p>
        </w:tc>
        <w:tc>
          <w:tcPr>
            <w:tcW w:w="1134" w:type="dxa"/>
            <w:shd w:val="clear" w:color="auto" w:fill="auto"/>
          </w:tcPr>
          <w:p w14:paraId="423B9F20" w14:textId="77777777" w:rsidR="00377745" w:rsidRPr="001B1DB1" w:rsidRDefault="00377745" w:rsidP="00377745">
            <w:pPr>
              <w:jc w:val="center"/>
              <w:rPr>
                <w:rFonts w:cs="Times New Roman"/>
                <w:b/>
                <w:bCs/>
                <w:sz w:val="20"/>
                <w:szCs w:val="20"/>
              </w:rPr>
            </w:pPr>
            <w:r w:rsidRPr="001B1DB1">
              <w:rPr>
                <w:sz w:val="20"/>
                <w:szCs w:val="20"/>
              </w:rPr>
              <w:t>IeM</w:t>
            </w:r>
          </w:p>
        </w:tc>
        <w:tc>
          <w:tcPr>
            <w:tcW w:w="1275" w:type="dxa"/>
            <w:shd w:val="clear" w:color="auto" w:fill="auto"/>
          </w:tcPr>
          <w:p w14:paraId="0454695E" w14:textId="77777777" w:rsidR="00377745" w:rsidRPr="001B1DB1" w:rsidRDefault="00377745" w:rsidP="00377745">
            <w:pPr>
              <w:jc w:val="center"/>
              <w:rPr>
                <w:rFonts w:cs="Times New Roman"/>
                <w:b/>
                <w:bCs/>
                <w:sz w:val="20"/>
                <w:szCs w:val="20"/>
              </w:rPr>
            </w:pPr>
            <w:r w:rsidRPr="001B1DB1">
              <w:rPr>
                <w:sz w:val="20"/>
                <w:szCs w:val="20"/>
              </w:rPr>
              <w:t>TM</w:t>
            </w:r>
          </w:p>
        </w:tc>
        <w:tc>
          <w:tcPr>
            <w:tcW w:w="1418" w:type="dxa"/>
            <w:shd w:val="clear" w:color="auto" w:fill="auto"/>
          </w:tcPr>
          <w:p w14:paraId="355AED5A" w14:textId="3547F1FC" w:rsidR="00377745" w:rsidRPr="001B1DB1" w:rsidRDefault="00377745" w:rsidP="00507ED9">
            <w:pPr>
              <w:jc w:val="center"/>
              <w:rPr>
                <w:rFonts w:cs="Times New Roman"/>
                <w:b/>
                <w:bCs/>
                <w:sz w:val="20"/>
                <w:szCs w:val="20"/>
              </w:rPr>
            </w:pPr>
            <w:r w:rsidRPr="001B1DB1">
              <w:rPr>
                <w:sz w:val="20"/>
                <w:szCs w:val="20"/>
              </w:rPr>
              <w:t>31.</w:t>
            </w:r>
            <w:r w:rsidR="00507ED9">
              <w:rPr>
                <w:sz w:val="20"/>
                <w:szCs w:val="20"/>
              </w:rPr>
              <w:t>03</w:t>
            </w:r>
            <w:r w:rsidRPr="001B1DB1">
              <w:rPr>
                <w:sz w:val="20"/>
                <w:szCs w:val="20"/>
              </w:rPr>
              <w:t>.202</w:t>
            </w:r>
            <w:r w:rsidR="00507ED9">
              <w:rPr>
                <w:sz w:val="20"/>
                <w:szCs w:val="20"/>
              </w:rPr>
              <w:t>1</w:t>
            </w:r>
            <w:r w:rsidRPr="001B1DB1">
              <w:rPr>
                <w:sz w:val="20"/>
                <w:szCs w:val="20"/>
              </w:rPr>
              <w:t>.</w:t>
            </w:r>
          </w:p>
        </w:tc>
      </w:tr>
    </w:tbl>
    <w:p w14:paraId="3319005C" w14:textId="77777777" w:rsidR="009754EF" w:rsidRPr="001B1DB1" w:rsidRDefault="009754EF" w:rsidP="009754EF">
      <w:pPr>
        <w:pStyle w:val="Heading2"/>
        <w:ind w:left="720"/>
        <w:rPr>
          <w:rFonts w:ascii="Times New Roman" w:hAnsi="Times New Roman" w:cs="Times New Roman"/>
          <w:b/>
          <w:color w:val="auto"/>
          <w:sz w:val="28"/>
          <w:szCs w:val="28"/>
        </w:rPr>
      </w:pPr>
    </w:p>
    <w:p w14:paraId="612F9147"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f</w:t>
      </w:r>
      <w:r w:rsidR="001A67A5" w:rsidRPr="001B1DB1">
        <w:rPr>
          <w:rFonts w:ascii="Times New Roman" w:hAnsi="Times New Roman" w:cs="Times New Roman"/>
          <w:b/>
          <w:color w:val="auto"/>
          <w:sz w:val="28"/>
          <w:szCs w:val="28"/>
        </w:rPr>
        <w:t>inanšu izlūkošana</w:t>
      </w:r>
      <w:r w:rsidRPr="001B1DB1">
        <w:rPr>
          <w:rFonts w:ascii="Times New Roman" w:hAnsi="Times New Roman" w:cs="Times New Roman"/>
          <w:b/>
          <w:color w:val="auto"/>
          <w:sz w:val="28"/>
          <w:szCs w:val="28"/>
        </w:rPr>
        <w:t xml:space="preserve">  </w:t>
      </w:r>
    </w:p>
    <w:p w14:paraId="78E5320C" w14:textId="77777777" w:rsidR="00C703D7" w:rsidRPr="001B1DB1" w:rsidRDefault="00C703D7" w:rsidP="00C703D7">
      <w:pPr>
        <w:pStyle w:val="Heading2"/>
        <w:rPr>
          <w:rFonts w:ascii="Times New Roman" w:hAnsi="Times New Roman" w:cs="Times New Roman"/>
          <w:b/>
          <w:color w:val="auto"/>
          <w:sz w:val="28"/>
          <w:szCs w:val="28"/>
        </w:rPr>
      </w:pPr>
    </w:p>
    <w:p w14:paraId="0BBDEDB9" w14:textId="3D43887D" w:rsidR="00C703D7" w:rsidRPr="00436856" w:rsidRDefault="00C703D7" w:rsidP="00210B8B">
      <w:pPr>
        <w:jc w:val="both"/>
        <w:rPr>
          <w:szCs w:val="24"/>
        </w:rPr>
      </w:pPr>
      <w:r w:rsidRPr="001B1DB1">
        <w:rPr>
          <w:szCs w:val="24"/>
        </w:rPr>
        <w:t xml:space="preserve">Par rīcības virzienu atbildīgā </w:t>
      </w:r>
      <w:r w:rsidR="000853A3" w:rsidRPr="000853A3">
        <w:rPr>
          <w:szCs w:val="24"/>
        </w:rPr>
        <w:t>institūcija</w:t>
      </w:r>
      <w:r w:rsidRPr="00436856">
        <w:rPr>
          <w:szCs w:val="24"/>
        </w:rPr>
        <w:t xml:space="preserve">: </w:t>
      </w:r>
      <w:r w:rsidR="001A67A5" w:rsidRPr="00436856">
        <w:rPr>
          <w:szCs w:val="24"/>
        </w:rPr>
        <w:t>FID</w:t>
      </w:r>
    </w:p>
    <w:p w14:paraId="10559353" w14:textId="45A0CA1C" w:rsidR="00C703D7" w:rsidRPr="00436856" w:rsidRDefault="00C703D7" w:rsidP="00C703D7">
      <w:pPr>
        <w:jc w:val="both"/>
        <w:rPr>
          <w:szCs w:val="24"/>
        </w:rPr>
      </w:pPr>
      <w:r w:rsidRPr="008B395B">
        <w:rPr>
          <w:szCs w:val="24"/>
        </w:rPr>
        <w:t xml:space="preserve">Līdzatbildīgās </w:t>
      </w:r>
      <w:r w:rsidR="00D00DDA">
        <w:rPr>
          <w:szCs w:val="24"/>
        </w:rPr>
        <w:t>institūcijas</w:t>
      </w:r>
      <w:r w:rsidRPr="008B395B">
        <w:rPr>
          <w:szCs w:val="24"/>
        </w:rPr>
        <w:t>:</w:t>
      </w:r>
      <w:r w:rsidR="00D41CC5" w:rsidRPr="00436856">
        <w:rPr>
          <w:szCs w:val="24"/>
        </w:rPr>
        <w:t xml:space="preserve"> </w:t>
      </w:r>
      <w:r w:rsidR="004A7D57" w:rsidRPr="004A7D57">
        <w:rPr>
          <w:szCs w:val="24"/>
        </w:rPr>
        <w:t>FKTK</w:t>
      </w:r>
      <w:r w:rsidR="004A7D57">
        <w:rPr>
          <w:szCs w:val="24"/>
        </w:rPr>
        <w:t xml:space="preserve">, </w:t>
      </w:r>
      <w:r w:rsidR="000D0811" w:rsidRPr="00436856">
        <w:rPr>
          <w:szCs w:val="24"/>
        </w:rPr>
        <w:t xml:space="preserve">ĢP, </w:t>
      </w:r>
      <w:r w:rsidR="004A7D57" w:rsidRPr="004A7D57">
        <w:rPr>
          <w:szCs w:val="24"/>
        </w:rPr>
        <w:t>IAUI</w:t>
      </w:r>
      <w:r w:rsidR="004A7D57">
        <w:rPr>
          <w:szCs w:val="24"/>
        </w:rPr>
        <w:t>,</w:t>
      </w:r>
      <w:r w:rsidR="004A7D57" w:rsidRPr="004A7D57">
        <w:rPr>
          <w:szCs w:val="24"/>
        </w:rPr>
        <w:t xml:space="preserve"> </w:t>
      </w:r>
      <w:r w:rsidR="00436856" w:rsidRPr="00436856">
        <w:rPr>
          <w:szCs w:val="24"/>
        </w:rPr>
        <w:t xml:space="preserve">IDB, IeVP, KNAB, </w:t>
      </w:r>
      <w:r w:rsidR="004A7D57">
        <w:rPr>
          <w:szCs w:val="24"/>
        </w:rPr>
        <w:t xml:space="preserve">LB, </w:t>
      </w:r>
      <w:r w:rsidR="004A7D57" w:rsidRPr="004A7D57">
        <w:rPr>
          <w:szCs w:val="24"/>
        </w:rPr>
        <w:t>LSMPAA</w:t>
      </w:r>
      <w:r w:rsidR="004A7D57">
        <w:rPr>
          <w:szCs w:val="24"/>
        </w:rPr>
        <w:t>,</w:t>
      </w:r>
      <w:r w:rsidR="004A7D57" w:rsidRPr="00436856">
        <w:rPr>
          <w:szCs w:val="24"/>
        </w:rPr>
        <w:t xml:space="preserve"> </w:t>
      </w:r>
      <w:r w:rsidR="004A7D57" w:rsidRPr="004A7D57">
        <w:rPr>
          <w:szCs w:val="24"/>
        </w:rPr>
        <w:t>LZNP, LZAP, LZRA</w:t>
      </w:r>
      <w:r w:rsidR="004A7D57">
        <w:rPr>
          <w:szCs w:val="24"/>
        </w:rPr>
        <w:t>,</w:t>
      </w:r>
      <w:r w:rsidR="004A7D57" w:rsidRPr="004A7D57">
        <w:rPr>
          <w:szCs w:val="24"/>
        </w:rPr>
        <w:t xml:space="preserve"> </w:t>
      </w:r>
      <w:r w:rsidR="009E6D33">
        <w:rPr>
          <w:szCs w:val="24"/>
        </w:rPr>
        <w:t xml:space="preserve">MKD, </w:t>
      </w:r>
      <w:r w:rsidR="00436856" w:rsidRPr="00436856">
        <w:rPr>
          <w:szCs w:val="24"/>
        </w:rPr>
        <w:t xml:space="preserve">MP, </w:t>
      </w:r>
      <w:r w:rsidR="004A7D57" w:rsidRPr="004A7D57">
        <w:rPr>
          <w:szCs w:val="24"/>
        </w:rPr>
        <w:t>NKMP</w:t>
      </w:r>
      <w:r w:rsidR="004A7D57">
        <w:rPr>
          <w:szCs w:val="24"/>
        </w:rPr>
        <w:t>,</w:t>
      </w:r>
      <w:r w:rsidR="004A7D57" w:rsidRPr="004A7D57">
        <w:rPr>
          <w:szCs w:val="24"/>
        </w:rPr>
        <w:t xml:space="preserve"> PTAC</w:t>
      </w:r>
      <w:r w:rsidR="004A7D57">
        <w:rPr>
          <w:szCs w:val="24"/>
        </w:rPr>
        <w:t>,</w:t>
      </w:r>
      <w:r w:rsidR="004A7D57" w:rsidRPr="004A7D57">
        <w:rPr>
          <w:szCs w:val="24"/>
        </w:rPr>
        <w:t xml:space="preserve"> </w:t>
      </w:r>
      <w:r w:rsidR="00F13F2B" w:rsidRPr="00436856">
        <w:rPr>
          <w:szCs w:val="24"/>
        </w:rPr>
        <w:t>VDD</w:t>
      </w:r>
      <w:r w:rsidR="00D41CC5" w:rsidRPr="00436856">
        <w:rPr>
          <w:szCs w:val="24"/>
        </w:rPr>
        <w:t xml:space="preserve">, </w:t>
      </w:r>
      <w:r w:rsidR="00436856" w:rsidRPr="00436856">
        <w:rPr>
          <w:szCs w:val="24"/>
        </w:rPr>
        <w:t xml:space="preserve">VID, VP, </w:t>
      </w:r>
      <w:r w:rsidR="00C7053F" w:rsidRPr="00436856">
        <w:rPr>
          <w:szCs w:val="24"/>
        </w:rPr>
        <w:t>VRS</w:t>
      </w:r>
    </w:p>
    <w:p w14:paraId="3E0184B6"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1A67A5" w:rsidRPr="001B1DB1" w14:paraId="0AA8F8BB" w14:textId="77777777" w:rsidTr="009744C5">
        <w:tc>
          <w:tcPr>
            <w:tcW w:w="4395" w:type="dxa"/>
            <w:gridSpan w:val="2"/>
          </w:tcPr>
          <w:p w14:paraId="5B4CFE60" w14:textId="77777777" w:rsidR="001A67A5" w:rsidRPr="001B1DB1" w:rsidRDefault="001A67A5" w:rsidP="001A67A5">
            <w:pPr>
              <w:rPr>
                <w:rFonts w:cs="Times New Roman"/>
                <w:b/>
                <w:bCs/>
                <w:sz w:val="20"/>
                <w:szCs w:val="20"/>
              </w:rPr>
            </w:pPr>
            <w:r w:rsidRPr="001B1DB1">
              <w:rPr>
                <w:rFonts w:cs="Times New Roman"/>
                <w:b/>
                <w:bCs/>
                <w:sz w:val="20"/>
                <w:szCs w:val="20"/>
              </w:rPr>
              <w:t>Rīcības virziens</w:t>
            </w:r>
          </w:p>
        </w:tc>
        <w:tc>
          <w:tcPr>
            <w:tcW w:w="10631" w:type="dxa"/>
            <w:gridSpan w:val="6"/>
          </w:tcPr>
          <w:p w14:paraId="33C794EC" w14:textId="77777777" w:rsidR="001A67A5" w:rsidRPr="001B1DB1" w:rsidRDefault="001A67A5" w:rsidP="001A67A5">
            <w:pPr>
              <w:jc w:val="both"/>
              <w:rPr>
                <w:rFonts w:cs="Times New Roman"/>
                <w:b/>
                <w:bCs/>
                <w:sz w:val="20"/>
                <w:szCs w:val="20"/>
              </w:rPr>
            </w:pPr>
            <w:r w:rsidRPr="001B1DB1">
              <w:rPr>
                <w:rFonts w:cs="Times New Roman"/>
                <w:b/>
                <w:sz w:val="20"/>
                <w:szCs w:val="20"/>
              </w:rPr>
              <w:t>FINANŠU IZLŪKOŠANA</w:t>
            </w:r>
          </w:p>
        </w:tc>
      </w:tr>
      <w:tr w:rsidR="00AF2096" w:rsidRPr="001B1DB1" w14:paraId="50DA15C4" w14:textId="77777777" w:rsidTr="009744C5">
        <w:tc>
          <w:tcPr>
            <w:tcW w:w="4395" w:type="dxa"/>
            <w:gridSpan w:val="2"/>
          </w:tcPr>
          <w:p w14:paraId="0F5ACCFE" w14:textId="43FC2B60" w:rsidR="00AF2096" w:rsidRPr="001B1DB1" w:rsidRDefault="00AF2096" w:rsidP="00AF2096">
            <w:pPr>
              <w:rPr>
                <w:rFonts w:cs="Times New Roman"/>
                <w:b/>
                <w:bCs/>
                <w:sz w:val="20"/>
                <w:szCs w:val="20"/>
              </w:rPr>
            </w:pPr>
            <w:r w:rsidRPr="001B1DB1">
              <w:rPr>
                <w:rFonts w:cs="Times New Roman"/>
                <w:b/>
                <w:bCs/>
                <w:sz w:val="20"/>
                <w:szCs w:val="20"/>
              </w:rPr>
              <w:t>Sasniedzamais mērķis</w:t>
            </w:r>
          </w:p>
        </w:tc>
        <w:tc>
          <w:tcPr>
            <w:tcW w:w="10631" w:type="dxa"/>
            <w:gridSpan w:val="6"/>
          </w:tcPr>
          <w:p w14:paraId="2976E273" w14:textId="77777777" w:rsidR="00AF2096" w:rsidRPr="001B1DB1" w:rsidRDefault="00AF2096" w:rsidP="00AF2096">
            <w:pPr>
              <w:jc w:val="both"/>
              <w:rPr>
                <w:rFonts w:cs="Times New Roman"/>
                <w:b/>
                <w:bCs/>
                <w:sz w:val="20"/>
                <w:szCs w:val="20"/>
              </w:rPr>
            </w:pPr>
            <w:r w:rsidRPr="001B1DB1">
              <w:rPr>
                <w:rFonts w:cs="Times New Roman"/>
                <w:b/>
                <w:bCs/>
                <w:sz w:val="20"/>
                <w:szCs w:val="20"/>
              </w:rPr>
              <w:t>Kompetentās iestādes NILLTPF izmeklēšanā pienācīgi izmanto finanšu izlūkošanā iegūto un citu būtisku informāciju.</w:t>
            </w:r>
          </w:p>
        </w:tc>
      </w:tr>
      <w:tr w:rsidR="00C703D7" w:rsidRPr="001B1DB1" w14:paraId="04F0D987" w14:textId="77777777" w:rsidTr="009744C5">
        <w:trPr>
          <w:trHeight w:val="543"/>
        </w:trPr>
        <w:tc>
          <w:tcPr>
            <w:tcW w:w="709" w:type="dxa"/>
          </w:tcPr>
          <w:p w14:paraId="5981DEB0"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6648E1A6"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150583BC"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0F9B8264"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5BE5E78E"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1DF1196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4567CCE5"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3A2C568B"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5200D4CF"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1D2598" w:rsidRPr="001B1DB1" w14:paraId="5FD4F329" w14:textId="77777777" w:rsidTr="00FF556E">
        <w:trPr>
          <w:trHeight w:val="543"/>
        </w:trPr>
        <w:tc>
          <w:tcPr>
            <w:tcW w:w="709" w:type="dxa"/>
          </w:tcPr>
          <w:p w14:paraId="26D5B8BB" w14:textId="735A3CEE" w:rsidR="001D2598" w:rsidRPr="001B1DB1" w:rsidRDefault="001D2598" w:rsidP="00FF556E">
            <w:pPr>
              <w:jc w:val="center"/>
              <w:rPr>
                <w:rFonts w:cs="Times New Roman"/>
                <w:bCs/>
                <w:sz w:val="20"/>
                <w:szCs w:val="20"/>
              </w:rPr>
            </w:pPr>
            <w:r w:rsidRPr="001B1DB1">
              <w:rPr>
                <w:rFonts w:cs="Times New Roman"/>
                <w:bCs/>
                <w:sz w:val="20"/>
                <w:szCs w:val="20"/>
              </w:rPr>
              <w:t>6.1.</w:t>
            </w:r>
          </w:p>
        </w:tc>
        <w:tc>
          <w:tcPr>
            <w:tcW w:w="3686" w:type="dxa"/>
            <w:shd w:val="clear" w:color="auto" w:fill="auto"/>
          </w:tcPr>
          <w:p w14:paraId="701CA99C" w14:textId="4A7FF53C" w:rsidR="001D2598" w:rsidRPr="001B1DB1" w:rsidRDefault="001D2598" w:rsidP="00FF556E">
            <w:pPr>
              <w:jc w:val="both"/>
              <w:rPr>
                <w:sz w:val="20"/>
                <w:szCs w:val="20"/>
              </w:rPr>
            </w:pPr>
            <w:r w:rsidRPr="001B1DB1">
              <w:rPr>
                <w:sz w:val="20"/>
                <w:szCs w:val="20"/>
              </w:rPr>
              <w:t>Stiprināt tiesībaizsardzības iestāžu kapacitāti paralēlās</w:t>
            </w:r>
            <w:r w:rsidR="0052651C">
              <w:rPr>
                <w:sz w:val="20"/>
                <w:szCs w:val="20"/>
              </w:rPr>
              <w:t xml:space="preserve"> finanšu</w:t>
            </w:r>
            <w:r w:rsidRPr="001B1DB1">
              <w:rPr>
                <w:sz w:val="20"/>
                <w:szCs w:val="20"/>
              </w:rPr>
              <w:t xml:space="preserve"> izmeklēšanas jomā</w:t>
            </w:r>
            <w:r w:rsidR="001607E4" w:rsidRPr="001B1DB1">
              <w:rPr>
                <w:sz w:val="20"/>
                <w:szCs w:val="20"/>
              </w:rPr>
              <w:t>.</w:t>
            </w:r>
          </w:p>
        </w:tc>
        <w:tc>
          <w:tcPr>
            <w:tcW w:w="1559" w:type="dxa"/>
          </w:tcPr>
          <w:p w14:paraId="16A3B10C" w14:textId="4E11DCA2" w:rsidR="001D2598" w:rsidRPr="001B1DB1" w:rsidRDefault="001D2598" w:rsidP="009D2941">
            <w:pPr>
              <w:rPr>
                <w:rFonts w:cs="Times New Roman"/>
                <w:sz w:val="20"/>
                <w:szCs w:val="20"/>
              </w:rPr>
            </w:pPr>
            <w:r w:rsidRPr="001B1DB1">
              <w:rPr>
                <w:sz w:val="20"/>
                <w:szCs w:val="20"/>
              </w:rPr>
              <w:t>MONEYVAL</w:t>
            </w:r>
            <w:r w:rsidRPr="001B1DB1">
              <w:rPr>
                <w:rFonts w:cs="Times New Roman"/>
                <w:sz w:val="20"/>
                <w:szCs w:val="20"/>
              </w:rPr>
              <w:t xml:space="preserve"> 6.2.</w:t>
            </w:r>
            <w:r w:rsidR="009D2941" w:rsidRPr="001B1DB1">
              <w:rPr>
                <w:sz w:val="20"/>
                <w:szCs w:val="20"/>
              </w:rPr>
              <w:t xml:space="preserve"> rekomendācija</w:t>
            </w:r>
            <w:r w:rsidR="009D2941">
              <w:rPr>
                <w:sz w:val="20"/>
                <w:szCs w:val="20"/>
              </w:rPr>
              <w:t>.</w:t>
            </w:r>
          </w:p>
        </w:tc>
        <w:tc>
          <w:tcPr>
            <w:tcW w:w="2551" w:type="dxa"/>
            <w:shd w:val="clear" w:color="auto" w:fill="auto"/>
          </w:tcPr>
          <w:p w14:paraId="20CBD814" w14:textId="04BEA667" w:rsidR="001D2598" w:rsidRPr="001B1DB1" w:rsidRDefault="001D2598" w:rsidP="00D16025">
            <w:pPr>
              <w:jc w:val="both"/>
              <w:rPr>
                <w:rFonts w:cs="Times New Roman"/>
                <w:sz w:val="20"/>
                <w:szCs w:val="20"/>
              </w:rPr>
            </w:pPr>
            <w:r w:rsidRPr="001B1DB1">
              <w:rPr>
                <w:rFonts w:cs="Times New Roman"/>
                <w:sz w:val="20"/>
                <w:szCs w:val="20"/>
              </w:rPr>
              <w:t xml:space="preserve">Organizētas regulāras tiesībaizsardzības iestāžu darbinieku apmācības un </w:t>
            </w:r>
            <w:r w:rsidRPr="001B1DB1">
              <w:rPr>
                <w:rFonts w:cs="Times New Roman"/>
                <w:sz w:val="20"/>
                <w:szCs w:val="20"/>
              </w:rPr>
              <w:lastRenderedPageBreak/>
              <w:t>diskusijas</w:t>
            </w:r>
            <w:r w:rsidR="002A31B4">
              <w:rPr>
                <w:rFonts w:cs="Times New Roman"/>
                <w:sz w:val="20"/>
                <w:szCs w:val="20"/>
              </w:rPr>
              <w:t xml:space="preserve"> </w:t>
            </w:r>
            <w:r w:rsidR="002A31B4" w:rsidRPr="002A31B4">
              <w:rPr>
                <w:rFonts w:cs="Times New Roman"/>
                <w:sz w:val="20"/>
                <w:szCs w:val="20"/>
              </w:rPr>
              <w:t>par finanšu izlūkošanas informācijas (</w:t>
            </w:r>
            <w:r w:rsidR="002A31B4" w:rsidRPr="00C842AB">
              <w:rPr>
                <w:rFonts w:cs="Times New Roman"/>
                <w:i/>
                <w:sz w:val="20"/>
                <w:szCs w:val="20"/>
              </w:rPr>
              <w:t>financial intelligence</w:t>
            </w:r>
            <w:r w:rsidR="002A31B4" w:rsidRPr="002A31B4">
              <w:rPr>
                <w:rFonts w:cs="Times New Roman"/>
                <w:sz w:val="20"/>
                <w:szCs w:val="20"/>
              </w:rPr>
              <w:t>) izmantošanu</w:t>
            </w:r>
            <w:r w:rsidRPr="001B1DB1">
              <w:rPr>
                <w:rFonts w:cs="Times New Roman"/>
                <w:sz w:val="20"/>
                <w:szCs w:val="20"/>
              </w:rPr>
              <w:t>.</w:t>
            </w:r>
          </w:p>
        </w:tc>
        <w:tc>
          <w:tcPr>
            <w:tcW w:w="2694" w:type="dxa"/>
          </w:tcPr>
          <w:p w14:paraId="472D2C04" w14:textId="1A17393A" w:rsidR="001D2598" w:rsidRPr="001B1DB1" w:rsidRDefault="001D2598" w:rsidP="004C2348">
            <w:pPr>
              <w:jc w:val="both"/>
              <w:rPr>
                <w:rFonts w:cs="Times New Roman"/>
                <w:sz w:val="20"/>
                <w:szCs w:val="20"/>
              </w:rPr>
            </w:pPr>
            <w:r w:rsidRPr="001B1DB1">
              <w:rPr>
                <w:rFonts w:cs="Times New Roman"/>
                <w:sz w:val="20"/>
                <w:szCs w:val="20"/>
              </w:rPr>
              <w:lastRenderedPageBreak/>
              <w:t>Uzlabota paralēlās</w:t>
            </w:r>
            <w:r w:rsidR="0052651C">
              <w:rPr>
                <w:rFonts w:cs="Times New Roman"/>
                <w:sz w:val="20"/>
                <w:szCs w:val="20"/>
              </w:rPr>
              <w:t xml:space="preserve"> finanšu</w:t>
            </w:r>
            <w:r w:rsidRPr="001B1DB1">
              <w:rPr>
                <w:rFonts w:cs="Times New Roman"/>
                <w:sz w:val="20"/>
                <w:szCs w:val="20"/>
              </w:rPr>
              <w:t xml:space="preserve"> izmeklēšanas laikā sagatavoto materiālu kvalitāte.</w:t>
            </w:r>
            <w:r w:rsidR="00AE5534">
              <w:rPr>
                <w:rFonts w:cs="Times New Roman"/>
                <w:sz w:val="20"/>
                <w:szCs w:val="20"/>
              </w:rPr>
              <w:t xml:space="preserve"> </w:t>
            </w:r>
            <w:r w:rsidR="00513178">
              <w:rPr>
                <w:rFonts w:cs="Times New Roman"/>
                <w:sz w:val="20"/>
                <w:szCs w:val="20"/>
              </w:rPr>
              <w:t xml:space="preserve">Apmācīti </w:t>
            </w:r>
            <w:r w:rsidR="00513178">
              <w:rPr>
                <w:rFonts w:cs="Times New Roman"/>
                <w:sz w:val="20"/>
                <w:szCs w:val="20"/>
              </w:rPr>
              <w:lastRenderedPageBreak/>
              <w:t xml:space="preserve">vismaz 40 </w:t>
            </w:r>
            <w:r w:rsidR="004C2348">
              <w:rPr>
                <w:rFonts w:cs="Times New Roman"/>
                <w:sz w:val="20"/>
                <w:szCs w:val="20"/>
              </w:rPr>
              <w:t>tiesībaizsardzības iestāžu</w:t>
            </w:r>
            <w:r w:rsidR="00513178">
              <w:rPr>
                <w:rFonts w:cs="Times New Roman"/>
                <w:sz w:val="20"/>
                <w:szCs w:val="20"/>
              </w:rPr>
              <w:t xml:space="preserve"> darbinieki</w:t>
            </w:r>
            <w:r w:rsidRPr="001B1DB1">
              <w:rPr>
                <w:rFonts w:cs="Times New Roman"/>
                <w:sz w:val="20"/>
                <w:szCs w:val="20"/>
              </w:rPr>
              <w:t>.</w:t>
            </w:r>
          </w:p>
        </w:tc>
        <w:tc>
          <w:tcPr>
            <w:tcW w:w="1134" w:type="dxa"/>
            <w:shd w:val="clear" w:color="auto" w:fill="auto"/>
          </w:tcPr>
          <w:p w14:paraId="2AFE6A80" w14:textId="4B41A43A" w:rsidR="001D2598" w:rsidRPr="001B1DB1" w:rsidRDefault="0052651C" w:rsidP="00D11C53">
            <w:pPr>
              <w:jc w:val="center"/>
              <w:rPr>
                <w:sz w:val="20"/>
                <w:szCs w:val="20"/>
              </w:rPr>
            </w:pPr>
            <w:r w:rsidRPr="001B1DB1">
              <w:rPr>
                <w:sz w:val="20"/>
                <w:szCs w:val="20"/>
              </w:rPr>
              <w:lastRenderedPageBreak/>
              <w:t>FID</w:t>
            </w:r>
          </w:p>
        </w:tc>
        <w:tc>
          <w:tcPr>
            <w:tcW w:w="1275" w:type="dxa"/>
            <w:shd w:val="clear" w:color="auto" w:fill="auto"/>
          </w:tcPr>
          <w:p w14:paraId="7D486A31" w14:textId="26162F3F" w:rsidR="001D2598" w:rsidRPr="001B1DB1" w:rsidRDefault="0052651C" w:rsidP="002C5D04">
            <w:pPr>
              <w:jc w:val="center"/>
              <w:rPr>
                <w:sz w:val="20"/>
                <w:szCs w:val="20"/>
              </w:rPr>
            </w:pPr>
            <w:r w:rsidRPr="001B1DB1">
              <w:rPr>
                <w:sz w:val="20"/>
                <w:szCs w:val="20"/>
              </w:rPr>
              <w:t xml:space="preserve">VP, VID,  KNAB, VDD, ĢP, </w:t>
            </w:r>
            <w:r w:rsidRPr="001B1DB1">
              <w:rPr>
                <w:sz w:val="20"/>
                <w:szCs w:val="20"/>
              </w:rPr>
              <w:lastRenderedPageBreak/>
              <w:t>IDB, IeVP, VRS</w:t>
            </w:r>
            <w:r>
              <w:rPr>
                <w:sz w:val="20"/>
                <w:szCs w:val="20"/>
              </w:rPr>
              <w:t>, MP</w:t>
            </w:r>
          </w:p>
        </w:tc>
        <w:tc>
          <w:tcPr>
            <w:tcW w:w="1418" w:type="dxa"/>
            <w:shd w:val="clear" w:color="auto" w:fill="auto"/>
          </w:tcPr>
          <w:p w14:paraId="5E1ED4C2" w14:textId="1DC4AFFB" w:rsidR="001D2598" w:rsidRPr="001B1DB1" w:rsidRDefault="001D2598" w:rsidP="00D11C53">
            <w:pPr>
              <w:jc w:val="center"/>
              <w:rPr>
                <w:rFonts w:cs="Times New Roman"/>
                <w:bCs/>
                <w:sz w:val="20"/>
                <w:szCs w:val="20"/>
              </w:rPr>
            </w:pPr>
            <w:r w:rsidRPr="001B1DB1">
              <w:rPr>
                <w:rFonts w:cs="Times New Roman"/>
                <w:bCs/>
                <w:sz w:val="20"/>
                <w:szCs w:val="20"/>
              </w:rPr>
              <w:lastRenderedPageBreak/>
              <w:t>Pastāvīgi</w:t>
            </w:r>
          </w:p>
        </w:tc>
      </w:tr>
      <w:tr w:rsidR="001D2598" w:rsidRPr="001B1DB1" w14:paraId="5A43F5A9" w14:textId="77777777" w:rsidTr="00FF556E">
        <w:trPr>
          <w:trHeight w:val="543"/>
        </w:trPr>
        <w:tc>
          <w:tcPr>
            <w:tcW w:w="709" w:type="dxa"/>
            <w:vMerge w:val="restart"/>
          </w:tcPr>
          <w:p w14:paraId="07816030" w14:textId="77777777" w:rsidR="001D2598" w:rsidRPr="001B1DB1" w:rsidRDefault="001D2598" w:rsidP="00FF556E">
            <w:pPr>
              <w:jc w:val="center"/>
              <w:rPr>
                <w:rFonts w:cs="Times New Roman"/>
                <w:bCs/>
                <w:sz w:val="20"/>
                <w:szCs w:val="20"/>
              </w:rPr>
            </w:pPr>
            <w:r w:rsidRPr="001B1DB1">
              <w:rPr>
                <w:rFonts w:cs="Times New Roman"/>
                <w:bCs/>
                <w:sz w:val="20"/>
                <w:szCs w:val="20"/>
              </w:rPr>
              <w:t>6.2.</w:t>
            </w:r>
          </w:p>
        </w:tc>
        <w:tc>
          <w:tcPr>
            <w:tcW w:w="3686" w:type="dxa"/>
            <w:vMerge w:val="restart"/>
            <w:shd w:val="clear" w:color="auto" w:fill="auto"/>
          </w:tcPr>
          <w:p w14:paraId="0953C152" w14:textId="77777777" w:rsidR="001D2598" w:rsidRPr="001B1DB1" w:rsidRDefault="001D2598" w:rsidP="00FF556E">
            <w:pPr>
              <w:jc w:val="both"/>
              <w:rPr>
                <w:sz w:val="20"/>
                <w:szCs w:val="20"/>
              </w:rPr>
            </w:pPr>
            <w:r w:rsidRPr="008B395B">
              <w:rPr>
                <w:sz w:val="20"/>
                <w:szCs w:val="20"/>
              </w:rPr>
              <w:t>Stiprināt FID kapacitāti gan stratēģiskās analīzes, gan operacionālās analīzes jomā</w:t>
            </w:r>
            <w:r w:rsidR="001607E4" w:rsidRPr="008B395B">
              <w:rPr>
                <w:sz w:val="20"/>
                <w:szCs w:val="20"/>
              </w:rPr>
              <w:t>.</w:t>
            </w:r>
          </w:p>
        </w:tc>
        <w:tc>
          <w:tcPr>
            <w:tcW w:w="1559" w:type="dxa"/>
            <w:vMerge w:val="restart"/>
          </w:tcPr>
          <w:p w14:paraId="6D2C1CE3" w14:textId="41CCFF50" w:rsidR="001D2598" w:rsidRPr="001B1DB1" w:rsidRDefault="001D2598" w:rsidP="009D2941">
            <w:pPr>
              <w:rPr>
                <w:rFonts w:cs="Times New Roman"/>
                <w:sz w:val="20"/>
                <w:szCs w:val="20"/>
              </w:rPr>
            </w:pPr>
            <w:r w:rsidRPr="001B1DB1">
              <w:rPr>
                <w:sz w:val="20"/>
                <w:szCs w:val="20"/>
              </w:rPr>
              <w:t>MONEYVAL</w:t>
            </w:r>
            <w:r w:rsidR="009D2941">
              <w:rPr>
                <w:sz w:val="20"/>
                <w:szCs w:val="20"/>
              </w:rPr>
              <w:t xml:space="preserve"> </w:t>
            </w:r>
            <w:r w:rsidRPr="001B1DB1">
              <w:rPr>
                <w:rFonts w:cs="Times New Roman"/>
                <w:sz w:val="20"/>
                <w:szCs w:val="20"/>
              </w:rPr>
              <w:t>6.3.</w:t>
            </w:r>
            <w:r w:rsidR="009D2941" w:rsidRPr="001B1DB1">
              <w:rPr>
                <w:sz w:val="20"/>
                <w:szCs w:val="20"/>
              </w:rPr>
              <w:t xml:space="preserve"> rekomendācija</w:t>
            </w:r>
            <w:r w:rsidR="009D2941">
              <w:rPr>
                <w:sz w:val="20"/>
                <w:szCs w:val="20"/>
              </w:rPr>
              <w:t>.</w:t>
            </w:r>
          </w:p>
        </w:tc>
        <w:tc>
          <w:tcPr>
            <w:tcW w:w="2551" w:type="dxa"/>
            <w:vMerge w:val="restart"/>
            <w:shd w:val="clear" w:color="auto" w:fill="auto"/>
          </w:tcPr>
          <w:p w14:paraId="505D0FD9" w14:textId="14B02140" w:rsidR="001D2598" w:rsidRPr="001B1DB1" w:rsidRDefault="001D2598" w:rsidP="00D16025">
            <w:pPr>
              <w:jc w:val="both"/>
              <w:rPr>
                <w:rFonts w:cs="Times New Roman"/>
                <w:sz w:val="20"/>
                <w:szCs w:val="20"/>
              </w:rPr>
            </w:pPr>
            <w:r w:rsidRPr="001B1DB1">
              <w:rPr>
                <w:rFonts w:cs="Times New Roman"/>
                <w:sz w:val="20"/>
                <w:szCs w:val="20"/>
              </w:rPr>
              <w:t xml:space="preserve">Nodrošināta iespēja FID pilnvērtīgi strādāt gan stratēģiskās analīzes, gan operacionālās analīzes jomā. Nodrošināta jauno darbinieku apmācība un esošo darbinieku zināšanu pilnveidošana atbilstoši jaunākajiem riskiem un tendencēm </w:t>
            </w:r>
            <w:r w:rsidRPr="001B1DB1">
              <w:rPr>
                <w:sz w:val="20"/>
                <w:szCs w:val="20"/>
              </w:rPr>
              <w:t xml:space="preserve">NILLTPF </w:t>
            </w:r>
            <w:r w:rsidRPr="001B1DB1">
              <w:rPr>
                <w:rFonts w:cs="Times New Roman"/>
                <w:sz w:val="20"/>
                <w:szCs w:val="20"/>
              </w:rPr>
              <w:t xml:space="preserve">novēršanas jomā. Piesaistīts ārpakalpojuma sniedzējs </w:t>
            </w:r>
            <w:r w:rsidR="00D123E2" w:rsidRPr="00D123E2">
              <w:rPr>
                <w:rFonts w:cs="Times New Roman"/>
                <w:sz w:val="20"/>
                <w:szCs w:val="20"/>
              </w:rPr>
              <w:t>LAS ABLV</w:t>
            </w:r>
            <w:r w:rsidR="00D123E2" w:rsidRPr="00D123E2" w:rsidDel="00D123E2">
              <w:rPr>
                <w:rFonts w:cs="Times New Roman"/>
                <w:sz w:val="20"/>
                <w:szCs w:val="20"/>
              </w:rPr>
              <w:t xml:space="preserve"> </w:t>
            </w:r>
            <w:r w:rsidRPr="001B1DB1">
              <w:rPr>
                <w:rFonts w:cs="Times New Roman"/>
                <w:sz w:val="20"/>
                <w:szCs w:val="20"/>
              </w:rPr>
              <w:t>pašlikvidācijas procesa gaitā nodrošina atbalstu veicamajai operacionālai un stratēģiskai analīzei u.c.</w:t>
            </w:r>
          </w:p>
        </w:tc>
        <w:tc>
          <w:tcPr>
            <w:tcW w:w="2694" w:type="dxa"/>
          </w:tcPr>
          <w:p w14:paraId="1D35DA84" w14:textId="77777777" w:rsidR="001D2598" w:rsidRPr="001B1DB1" w:rsidRDefault="001D2598" w:rsidP="00FF556E">
            <w:pPr>
              <w:jc w:val="both"/>
              <w:rPr>
                <w:rFonts w:cs="Times New Roman"/>
                <w:sz w:val="20"/>
                <w:szCs w:val="20"/>
              </w:rPr>
            </w:pPr>
            <w:r w:rsidRPr="001B1DB1">
              <w:rPr>
                <w:rFonts w:cs="Times New Roman"/>
                <w:sz w:val="20"/>
                <w:szCs w:val="20"/>
              </w:rPr>
              <w:t>1. Līdz 2022. gadam nodrošinātas papildus 8 amata vietas FID funkciju efektīvai izpildei, stratēģiskās un operacionālās analīzes stiprināšanai – 2020. gadā izveidotas 2 jaunas štata vietas, 2021.gadā –  vēl 2 jaunas štata vietas, 2022. gadā – vēl 4 jaunas štata vietas</w:t>
            </w:r>
            <w:r w:rsidR="001607E4" w:rsidRPr="001B1DB1">
              <w:rPr>
                <w:rFonts w:cs="Times New Roman"/>
                <w:sz w:val="20"/>
                <w:szCs w:val="20"/>
              </w:rPr>
              <w:t>.</w:t>
            </w:r>
          </w:p>
        </w:tc>
        <w:tc>
          <w:tcPr>
            <w:tcW w:w="1134" w:type="dxa"/>
            <w:shd w:val="clear" w:color="auto" w:fill="auto"/>
          </w:tcPr>
          <w:p w14:paraId="360CB5E6" w14:textId="77777777" w:rsidR="001D2598" w:rsidRPr="001B1DB1" w:rsidRDefault="001D2598" w:rsidP="00D11C53">
            <w:pPr>
              <w:jc w:val="center"/>
              <w:rPr>
                <w:sz w:val="20"/>
                <w:szCs w:val="20"/>
              </w:rPr>
            </w:pPr>
            <w:r w:rsidRPr="001B1DB1">
              <w:rPr>
                <w:sz w:val="20"/>
                <w:szCs w:val="20"/>
              </w:rPr>
              <w:t>FID</w:t>
            </w:r>
          </w:p>
        </w:tc>
        <w:tc>
          <w:tcPr>
            <w:tcW w:w="1275" w:type="dxa"/>
            <w:shd w:val="clear" w:color="auto" w:fill="auto"/>
          </w:tcPr>
          <w:p w14:paraId="20AAF805" w14:textId="77777777" w:rsidR="001D2598" w:rsidRPr="001B1DB1" w:rsidRDefault="001D2598" w:rsidP="00D11C53">
            <w:pPr>
              <w:jc w:val="center"/>
              <w:rPr>
                <w:sz w:val="20"/>
                <w:szCs w:val="20"/>
              </w:rPr>
            </w:pPr>
          </w:p>
        </w:tc>
        <w:tc>
          <w:tcPr>
            <w:tcW w:w="1418" w:type="dxa"/>
            <w:shd w:val="clear" w:color="auto" w:fill="auto"/>
          </w:tcPr>
          <w:p w14:paraId="59F9ABE2" w14:textId="77777777" w:rsidR="001D2598" w:rsidRPr="001B1DB1" w:rsidRDefault="001D2598" w:rsidP="00D11C53">
            <w:pPr>
              <w:jc w:val="center"/>
              <w:rPr>
                <w:rFonts w:cs="Times New Roman"/>
                <w:bCs/>
                <w:sz w:val="20"/>
                <w:szCs w:val="20"/>
              </w:rPr>
            </w:pPr>
            <w:r w:rsidRPr="001B1DB1">
              <w:rPr>
                <w:rFonts w:cs="Times New Roman"/>
                <w:bCs/>
                <w:sz w:val="20"/>
                <w:szCs w:val="20"/>
              </w:rPr>
              <w:t>Pastāvīgi</w:t>
            </w:r>
          </w:p>
        </w:tc>
      </w:tr>
      <w:tr w:rsidR="001D2598" w:rsidRPr="001B1DB1" w14:paraId="42BF4839" w14:textId="77777777" w:rsidTr="00FF556E">
        <w:trPr>
          <w:trHeight w:val="543"/>
        </w:trPr>
        <w:tc>
          <w:tcPr>
            <w:tcW w:w="709" w:type="dxa"/>
            <w:vMerge/>
          </w:tcPr>
          <w:p w14:paraId="7C343832" w14:textId="77777777" w:rsidR="001D2598" w:rsidRPr="001B1DB1" w:rsidRDefault="001D2598" w:rsidP="00FF556E">
            <w:pPr>
              <w:jc w:val="center"/>
              <w:rPr>
                <w:rFonts w:cs="Times New Roman"/>
                <w:bCs/>
                <w:sz w:val="20"/>
                <w:szCs w:val="20"/>
              </w:rPr>
            </w:pPr>
          </w:p>
        </w:tc>
        <w:tc>
          <w:tcPr>
            <w:tcW w:w="3686" w:type="dxa"/>
            <w:vMerge/>
            <w:shd w:val="clear" w:color="auto" w:fill="auto"/>
          </w:tcPr>
          <w:p w14:paraId="7A5CD444" w14:textId="77777777" w:rsidR="001D2598" w:rsidRPr="001B1DB1" w:rsidRDefault="001D2598" w:rsidP="00FF556E">
            <w:pPr>
              <w:jc w:val="both"/>
              <w:rPr>
                <w:sz w:val="20"/>
                <w:szCs w:val="20"/>
              </w:rPr>
            </w:pPr>
          </w:p>
        </w:tc>
        <w:tc>
          <w:tcPr>
            <w:tcW w:w="1559" w:type="dxa"/>
            <w:vMerge/>
          </w:tcPr>
          <w:p w14:paraId="56482984" w14:textId="77777777" w:rsidR="001D2598" w:rsidRPr="001B1DB1" w:rsidRDefault="001D2598" w:rsidP="00FF556E">
            <w:pPr>
              <w:rPr>
                <w:rFonts w:cs="Times New Roman"/>
                <w:sz w:val="20"/>
                <w:szCs w:val="20"/>
              </w:rPr>
            </w:pPr>
          </w:p>
        </w:tc>
        <w:tc>
          <w:tcPr>
            <w:tcW w:w="2551" w:type="dxa"/>
            <w:vMerge/>
            <w:shd w:val="clear" w:color="auto" w:fill="auto"/>
          </w:tcPr>
          <w:p w14:paraId="296D8DB0" w14:textId="77777777" w:rsidR="001D2598" w:rsidRPr="001B1DB1" w:rsidRDefault="001D2598" w:rsidP="00FF556E">
            <w:pPr>
              <w:rPr>
                <w:rFonts w:cs="Times New Roman"/>
                <w:sz w:val="20"/>
                <w:szCs w:val="20"/>
              </w:rPr>
            </w:pPr>
          </w:p>
        </w:tc>
        <w:tc>
          <w:tcPr>
            <w:tcW w:w="2694" w:type="dxa"/>
          </w:tcPr>
          <w:p w14:paraId="6AE15F85" w14:textId="77777777" w:rsidR="001D2598" w:rsidRPr="001B1DB1" w:rsidRDefault="001D2598" w:rsidP="00FF556E">
            <w:pPr>
              <w:jc w:val="both"/>
              <w:rPr>
                <w:rFonts w:cs="Times New Roman"/>
                <w:sz w:val="20"/>
                <w:szCs w:val="20"/>
              </w:rPr>
            </w:pPr>
            <w:r w:rsidRPr="001B1DB1">
              <w:rPr>
                <w:rFonts w:cs="Times New Roman"/>
                <w:sz w:val="20"/>
                <w:szCs w:val="20"/>
              </w:rPr>
              <w:t>2. Nodrošināta pastāvīga FID darbinieku apmācība un kvalifikācijas celšana.</w:t>
            </w:r>
          </w:p>
        </w:tc>
        <w:tc>
          <w:tcPr>
            <w:tcW w:w="1134" w:type="dxa"/>
            <w:shd w:val="clear" w:color="auto" w:fill="auto"/>
          </w:tcPr>
          <w:p w14:paraId="631A4F33" w14:textId="77777777" w:rsidR="001D2598" w:rsidRPr="001B1DB1" w:rsidRDefault="001D2598" w:rsidP="00D11C53">
            <w:pPr>
              <w:jc w:val="center"/>
              <w:rPr>
                <w:sz w:val="20"/>
                <w:szCs w:val="20"/>
              </w:rPr>
            </w:pPr>
            <w:r w:rsidRPr="001B1DB1">
              <w:rPr>
                <w:sz w:val="20"/>
                <w:szCs w:val="20"/>
              </w:rPr>
              <w:t>FID</w:t>
            </w:r>
          </w:p>
        </w:tc>
        <w:tc>
          <w:tcPr>
            <w:tcW w:w="1275" w:type="dxa"/>
            <w:shd w:val="clear" w:color="auto" w:fill="auto"/>
          </w:tcPr>
          <w:p w14:paraId="035D484C" w14:textId="77777777" w:rsidR="001D2598" w:rsidRPr="001B1DB1" w:rsidRDefault="001D2598" w:rsidP="00D11C53">
            <w:pPr>
              <w:jc w:val="center"/>
              <w:rPr>
                <w:sz w:val="20"/>
                <w:szCs w:val="20"/>
              </w:rPr>
            </w:pPr>
          </w:p>
        </w:tc>
        <w:tc>
          <w:tcPr>
            <w:tcW w:w="1418" w:type="dxa"/>
            <w:shd w:val="clear" w:color="auto" w:fill="auto"/>
          </w:tcPr>
          <w:p w14:paraId="2CAB4D40" w14:textId="77777777" w:rsidR="001D2598" w:rsidRPr="001B1DB1" w:rsidRDefault="001D2598" w:rsidP="00D11C53">
            <w:pPr>
              <w:jc w:val="center"/>
              <w:rPr>
                <w:rFonts w:cs="Times New Roman"/>
                <w:bCs/>
                <w:sz w:val="20"/>
                <w:szCs w:val="20"/>
              </w:rPr>
            </w:pPr>
            <w:r w:rsidRPr="001B1DB1">
              <w:rPr>
                <w:rFonts w:cs="Times New Roman"/>
                <w:bCs/>
                <w:sz w:val="20"/>
                <w:szCs w:val="20"/>
              </w:rPr>
              <w:t>Pastāvīgi</w:t>
            </w:r>
          </w:p>
        </w:tc>
      </w:tr>
      <w:tr w:rsidR="001D2598" w:rsidRPr="001B1DB1" w14:paraId="5BBAC305" w14:textId="77777777" w:rsidTr="00FF556E">
        <w:trPr>
          <w:trHeight w:val="543"/>
        </w:trPr>
        <w:tc>
          <w:tcPr>
            <w:tcW w:w="709" w:type="dxa"/>
            <w:vMerge/>
          </w:tcPr>
          <w:p w14:paraId="3F42807C" w14:textId="77777777" w:rsidR="001D2598" w:rsidRPr="001B1DB1" w:rsidRDefault="001D2598" w:rsidP="00FF556E">
            <w:pPr>
              <w:jc w:val="center"/>
              <w:rPr>
                <w:rFonts w:cs="Times New Roman"/>
                <w:bCs/>
                <w:sz w:val="20"/>
                <w:szCs w:val="20"/>
              </w:rPr>
            </w:pPr>
          </w:p>
        </w:tc>
        <w:tc>
          <w:tcPr>
            <w:tcW w:w="3686" w:type="dxa"/>
            <w:vMerge/>
            <w:shd w:val="clear" w:color="auto" w:fill="auto"/>
          </w:tcPr>
          <w:p w14:paraId="7547DD5A" w14:textId="77777777" w:rsidR="001D2598" w:rsidRPr="001B1DB1" w:rsidRDefault="001D2598" w:rsidP="00FF556E">
            <w:pPr>
              <w:jc w:val="both"/>
              <w:rPr>
                <w:sz w:val="20"/>
                <w:szCs w:val="20"/>
              </w:rPr>
            </w:pPr>
          </w:p>
        </w:tc>
        <w:tc>
          <w:tcPr>
            <w:tcW w:w="1559" w:type="dxa"/>
            <w:vMerge/>
          </w:tcPr>
          <w:p w14:paraId="6103AA66" w14:textId="77777777" w:rsidR="001D2598" w:rsidRPr="001B1DB1" w:rsidRDefault="001D2598" w:rsidP="00FF556E">
            <w:pPr>
              <w:rPr>
                <w:rFonts w:cs="Times New Roman"/>
                <w:sz w:val="20"/>
                <w:szCs w:val="20"/>
              </w:rPr>
            </w:pPr>
          </w:p>
        </w:tc>
        <w:tc>
          <w:tcPr>
            <w:tcW w:w="2551" w:type="dxa"/>
            <w:vMerge/>
            <w:shd w:val="clear" w:color="auto" w:fill="auto"/>
          </w:tcPr>
          <w:p w14:paraId="64ACE9B0" w14:textId="77777777" w:rsidR="001D2598" w:rsidRPr="001B1DB1" w:rsidRDefault="001D2598" w:rsidP="00FF556E">
            <w:pPr>
              <w:rPr>
                <w:rFonts w:cs="Times New Roman"/>
                <w:sz w:val="20"/>
                <w:szCs w:val="20"/>
              </w:rPr>
            </w:pPr>
          </w:p>
        </w:tc>
        <w:tc>
          <w:tcPr>
            <w:tcW w:w="2694" w:type="dxa"/>
          </w:tcPr>
          <w:p w14:paraId="588DEE96" w14:textId="77777777" w:rsidR="001D2598" w:rsidRPr="001B1DB1" w:rsidRDefault="001D2598" w:rsidP="00FF556E">
            <w:pPr>
              <w:jc w:val="both"/>
              <w:rPr>
                <w:rFonts w:cs="Times New Roman"/>
                <w:sz w:val="20"/>
                <w:szCs w:val="20"/>
              </w:rPr>
            </w:pPr>
            <w:r w:rsidRPr="001B1DB1">
              <w:rPr>
                <w:rFonts w:cs="Times New Roman"/>
                <w:sz w:val="20"/>
                <w:szCs w:val="20"/>
              </w:rPr>
              <w:t>3. Stiprināta FID programmnodrošinājuma efektivitāte, regulāri veikti nepieciešamie uzlabojumi datu apstrādē un analīzē</w:t>
            </w:r>
            <w:r w:rsidRPr="001B1DB1">
              <w:rPr>
                <w:rFonts w:cs="Times New Roman"/>
                <w:bCs/>
                <w:sz w:val="20"/>
                <w:szCs w:val="20"/>
              </w:rPr>
              <w:t>, pilnveidoti un papildināti FID digitālie informācijas resursi un datu apmaiņas kanāli</w:t>
            </w:r>
            <w:r w:rsidR="001607E4" w:rsidRPr="001B1DB1">
              <w:rPr>
                <w:rFonts w:cs="Times New Roman"/>
                <w:bCs/>
                <w:sz w:val="20"/>
                <w:szCs w:val="20"/>
              </w:rPr>
              <w:t>.</w:t>
            </w:r>
          </w:p>
        </w:tc>
        <w:tc>
          <w:tcPr>
            <w:tcW w:w="1134" w:type="dxa"/>
            <w:shd w:val="clear" w:color="auto" w:fill="auto"/>
          </w:tcPr>
          <w:p w14:paraId="5806CEAD" w14:textId="77777777" w:rsidR="001D2598" w:rsidRPr="001B1DB1" w:rsidRDefault="001D2598" w:rsidP="00D11C53">
            <w:pPr>
              <w:jc w:val="center"/>
              <w:rPr>
                <w:sz w:val="20"/>
                <w:szCs w:val="20"/>
              </w:rPr>
            </w:pPr>
            <w:r w:rsidRPr="001B1DB1">
              <w:rPr>
                <w:sz w:val="20"/>
                <w:szCs w:val="20"/>
              </w:rPr>
              <w:t>FID</w:t>
            </w:r>
          </w:p>
        </w:tc>
        <w:tc>
          <w:tcPr>
            <w:tcW w:w="1275" w:type="dxa"/>
            <w:shd w:val="clear" w:color="auto" w:fill="auto"/>
          </w:tcPr>
          <w:p w14:paraId="16B5D734" w14:textId="77777777" w:rsidR="001D2598" w:rsidRDefault="00AF6224" w:rsidP="00D11C53">
            <w:pPr>
              <w:jc w:val="center"/>
              <w:rPr>
                <w:sz w:val="20"/>
                <w:szCs w:val="20"/>
              </w:rPr>
            </w:pPr>
            <w:r w:rsidRPr="00AF6224">
              <w:rPr>
                <w:sz w:val="20"/>
                <w:szCs w:val="20"/>
              </w:rPr>
              <w:t>FKTK, VID, LZNP, LZAP, LZRA, PTAC, LSMPAA</w:t>
            </w:r>
            <w:r>
              <w:rPr>
                <w:sz w:val="20"/>
                <w:szCs w:val="20"/>
              </w:rPr>
              <w:t>,</w:t>
            </w:r>
          </w:p>
          <w:p w14:paraId="1833A90D" w14:textId="06DDA19D" w:rsidR="001D2598" w:rsidRPr="001B1DB1" w:rsidRDefault="00AF6224" w:rsidP="00D11C53">
            <w:pPr>
              <w:jc w:val="center"/>
              <w:rPr>
                <w:sz w:val="20"/>
                <w:szCs w:val="20"/>
              </w:rPr>
            </w:pPr>
            <w:r>
              <w:rPr>
                <w:sz w:val="20"/>
                <w:szCs w:val="20"/>
              </w:rPr>
              <w:t>IAUI, LB, NKMP</w:t>
            </w:r>
            <w:r w:rsidR="009E6D33">
              <w:rPr>
                <w:sz w:val="20"/>
                <w:szCs w:val="20"/>
              </w:rPr>
              <w:t xml:space="preserve">, </w:t>
            </w:r>
            <w:r w:rsidR="009E6D33">
              <w:rPr>
                <w:rFonts w:cs="Times New Roman"/>
                <w:sz w:val="20"/>
                <w:szCs w:val="20"/>
              </w:rPr>
              <w:t>MKD</w:t>
            </w:r>
          </w:p>
        </w:tc>
        <w:tc>
          <w:tcPr>
            <w:tcW w:w="1418" w:type="dxa"/>
            <w:shd w:val="clear" w:color="auto" w:fill="auto"/>
          </w:tcPr>
          <w:p w14:paraId="10E92846" w14:textId="77777777" w:rsidR="001D2598" w:rsidRPr="001B1DB1" w:rsidRDefault="001D2598" w:rsidP="00D11C53">
            <w:pPr>
              <w:jc w:val="center"/>
              <w:rPr>
                <w:rFonts w:cs="Times New Roman"/>
                <w:bCs/>
                <w:sz w:val="20"/>
                <w:szCs w:val="20"/>
              </w:rPr>
            </w:pPr>
            <w:r w:rsidRPr="001B1DB1">
              <w:rPr>
                <w:rFonts w:cs="Times New Roman"/>
                <w:bCs/>
                <w:sz w:val="20"/>
                <w:szCs w:val="20"/>
              </w:rPr>
              <w:t>Pastāvīgi</w:t>
            </w:r>
          </w:p>
        </w:tc>
      </w:tr>
      <w:tr w:rsidR="001D2598" w:rsidRPr="001B1DB1" w14:paraId="0A418258" w14:textId="77777777" w:rsidTr="00FF556E">
        <w:trPr>
          <w:trHeight w:val="543"/>
        </w:trPr>
        <w:tc>
          <w:tcPr>
            <w:tcW w:w="709" w:type="dxa"/>
            <w:vMerge/>
          </w:tcPr>
          <w:p w14:paraId="26D87C7F" w14:textId="77777777" w:rsidR="001D2598" w:rsidRPr="001B1DB1" w:rsidRDefault="001D2598" w:rsidP="00FF556E">
            <w:pPr>
              <w:jc w:val="center"/>
              <w:rPr>
                <w:rFonts w:cs="Times New Roman"/>
                <w:bCs/>
                <w:sz w:val="20"/>
                <w:szCs w:val="20"/>
              </w:rPr>
            </w:pPr>
          </w:p>
        </w:tc>
        <w:tc>
          <w:tcPr>
            <w:tcW w:w="3686" w:type="dxa"/>
            <w:vMerge/>
            <w:shd w:val="clear" w:color="auto" w:fill="auto"/>
          </w:tcPr>
          <w:p w14:paraId="5A2CDA45" w14:textId="77777777" w:rsidR="001D2598" w:rsidRPr="001B1DB1" w:rsidRDefault="001D2598" w:rsidP="00FF556E">
            <w:pPr>
              <w:jc w:val="both"/>
              <w:rPr>
                <w:sz w:val="20"/>
                <w:szCs w:val="20"/>
              </w:rPr>
            </w:pPr>
          </w:p>
        </w:tc>
        <w:tc>
          <w:tcPr>
            <w:tcW w:w="1559" w:type="dxa"/>
            <w:vMerge/>
          </w:tcPr>
          <w:p w14:paraId="05BE6382" w14:textId="77777777" w:rsidR="001D2598" w:rsidRPr="001B1DB1" w:rsidRDefault="001D2598" w:rsidP="00FF556E">
            <w:pPr>
              <w:rPr>
                <w:rFonts w:cs="Times New Roman"/>
                <w:sz w:val="20"/>
                <w:szCs w:val="20"/>
              </w:rPr>
            </w:pPr>
          </w:p>
        </w:tc>
        <w:tc>
          <w:tcPr>
            <w:tcW w:w="2551" w:type="dxa"/>
            <w:vMerge/>
            <w:shd w:val="clear" w:color="auto" w:fill="auto"/>
          </w:tcPr>
          <w:p w14:paraId="73FC2EEA" w14:textId="77777777" w:rsidR="001D2598" w:rsidRPr="001B1DB1" w:rsidRDefault="001D2598" w:rsidP="00FF556E">
            <w:pPr>
              <w:rPr>
                <w:rFonts w:cs="Times New Roman"/>
                <w:sz w:val="20"/>
                <w:szCs w:val="20"/>
              </w:rPr>
            </w:pPr>
          </w:p>
        </w:tc>
        <w:tc>
          <w:tcPr>
            <w:tcW w:w="2694" w:type="dxa"/>
          </w:tcPr>
          <w:p w14:paraId="2CA0CC28" w14:textId="77777777" w:rsidR="001D2598" w:rsidRPr="001B1DB1" w:rsidRDefault="001D2598" w:rsidP="00F36165">
            <w:pPr>
              <w:jc w:val="both"/>
              <w:rPr>
                <w:rFonts w:cs="Times New Roman"/>
                <w:sz w:val="20"/>
                <w:szCs w:val="20"/>
              </w:rPr>
            </w:pPr>
            <w:r w:rsidRPr="001B1DB1">
              <w:rPr>
                <w:rFonts w:cs="Times New Roman"/>
                <w:sz w:val="20"/>
                <w:szCs w:val="20"/>
              </w:rPr>
              <w:t xml:space="preserve">4. FID darbinieki uzsākuši darbu telpās, kas atbilst </w:t>
            </w:r>
            <w:r w:rsidRPr="001B1DB1">
              <w:rPr>
                <w:rFonts w:cstheme="minorHAnsi"/>
                <w:color w:val="000000" w:themeColor="text1"/>
                <w:sz w:val="20"/>
                <w:szCs w:val="20"/>
              </w:rPr>
              <w:t>M</w:t>
            </w:r>
            <w:r w:rsidR="00F36165" w:rsidRPr="001B1DB1">
              <w:rPr>
                <w:rFonts w:cstheme="minorHAnsi"/>
                <w:color w:val="000000" w:themeColor="text1"/>
                <w:sz w:val="20"/>
                <w:szCs w:val="20"/>
              </w:rPr>
              <w:t>K</w:t>
            </w:r>
            <w:r w:rsidRPr="001B1DB1">
              <w:rPr>
                <w:rFonts w:cstheme="minorHAnsi"/>
                <w:color w:val="000000" w:themeColor="text1"/>
                <w:sz w:val="20"/>
                <w:szCs w:val="20"/>
              </w:rPr>
              <w:t xml:space="preserve"> 2004. gada 6. janvāra noteikumos Nr. 21 “Valsts noslēpuma, Ziemeļatlantijas līguma organizācijas, Eiropas Savienības un ārvalstu institūciju klasificētās informācijas aizsardzības noteikumi” un </w:t>
            </w:r>
            <w:r w:rsidR="00F36165" w:rsidRPr="001B1DB1">
              <w:rPr>
                <w:rFonts w:cstheme="minorHAnsi"/>
                <w:color w:val="000000" w:themeColor="text1"/>
                <w:sz w:val="20"/>
                <w:szCs w:val="20"/>
              </w:rPr>
              <w:t xml:space="preserve">MK </w:t>
            </w:r>
            <w:r w:rsidRPr="001B1DB1">
              <w:rPr>
                <w:rFonts w:cs="Times New Roman"/>
                <w:sz w:val="20"/>
                <w:szCs w:val="20"/>
              </w:rPr>
              <w:t xml:space="preserve">2016. gada 12. jūlija ieteikumos Nr. 2 “Vienotās prasības valsts </w:t>
            </w:r>
            <w:r w:rsidRPr="001B1DB1">
              <w:rPr>
                <w:rFonts w:cs="Times New Roman"/>
                <w:sz w:val="20"/>
                <w:szCs w:val="20"/>
              </w:rPr>
              <w:lastRenderedPageBreak/>
              <w:t>pārvaldes iestāžu biroju ēkām un biroja telpu grupām” noteiktajām prasībām</w:t>
            </w:r>
            <w:r w:rsidR="001607E4" w:rsidRPr="001B1DB1">
              <w:rPr>
                <w:rFonts w:cs="Times New Roman"/>
                <w:sz w:val="20"/>
                <w:szCs w:val="20"/>
              </w:rPr>
              <w:t>.</w:t>
            </w:r>
          </w:p>
        </w:tc>
        <w:tc>
          <w:tcPr>
            <w:tcW w:w="1134" w:type="dxa"/>
            <w:shd w:val="clear" w:color="auto" w:fill="auto"/>
          </w:tcPr>
          <w:p w14:paraId="2FC4EBD4" w14:textId="77777777" w:rsidR="001D2598" w:rsidRPr="001B1DB1" w:rsidRDefault="001D2598" w:rsidP="00D11C53">
            <w:pPr>
              <w:jc w:val="center"/>
              <w:rPr>
                <w:sz w:val="20"/>
                <w:szCs w:val="20"/>
              </w:rPr>
            </w:pPr>
            <w:r w:rsidRPr="001B1DB1">
              <w:rPr>
                <w:sz w:val="20"/>
                <w:szCs w:val="20"/>
              </w:rPr>
              <w:lastRenderedPageBreak/>
              <w:t>FID</w:t>
            </w:r>
          </w:p>
        </w:tc>
        <w:tc>
          <w:tcPr>
            <w:tcW w:w="1275" w:type="dxa"/>
            <w:shd w:val="clear" w:color="auto" w:fill="auto"/>
          </w:tcPr>
          <w:p w14:paraId="309800EE" w14:textId="77777777" w:rsidR="001D2598" w:rsidRPr="001B1DB1" w:rsidRDefault="001D2598" w:rsidP="00D11C53">
            <w:pPr>
              <w:jc w:val="center"/>
              <w:rPr>
                <w:sz w:val="20"/>
                <w:szCs w:val="20"/>
              </w:rPr>
            </w:pPr>
          </w:p>
        </w:tc>
        <w:tc>
          <w:tcPr>
            <w:tcW w:w="1418" w:type="dxa"/>
            <w:shd w:val="clear" w:color="auto" w:fill="auto"/>
          </w:tcPr>
          <w:p w14:paraId="526866ED" w14:textId="70465A59" w:rsidR="001D2598" w:rsidRPr="001B1DB1" w:rsidRDefault="001D2598" w:rsidP="00586E75">
            <w:pPr>
              <w:jc w:val="center"/>
              <w:rPr>
                <w:rFonts w:cs="Times New Roman"/>
                <w:bCs/>
                <w:sz w:val="20"/>
                <w:szCs w:val="20"/>
              </w:rPr>
            </w:pPr>
            <w:r w:rsidRPr="001B1DB1">
              <w:rPr>
                <w:rFonts w:cs="Times New Roman"/>
                <w:bCs/>
                <w:sz w:val="20"/>
                <w:szCs w:val="20"/>
              </w:rPr>
              <w:t>3</w:t>
            </w:r>
            <w:r w:rsidR="00586E75">
              <w:rPr>
                <w:rFonts w:cs="Times New Roman"/>
                <w:bCs/>
                <w:sz w:val="20"/>
                <w:szCs w:val="20"/>
              </w:rPr>
              <w:t>0</w:t>
            </w:r>
            <w:r w:rsidRPr="001B1DB1">
              <w:rPr>
                <w:rFonts w:cs="Times New Roman"/>
                <w:bCs/>
                <w:sz w:val="20"/>
                <w:szCs w:val="20"/>
              </w:rPr>
              <w:t>.</w:t>
            </w:r>
            <w:r w:rsidR="00586E75">
              <w:rPr>
                <w:rFonts w:cs="Times New Roman"/>
                <w:bCs/>
                <w:sz w:val="20"/>
                <w:szCs w:val="20"/>
              </w:rPr>
              <w:t>06</w:t>
            </w:r>
            <w:r w:rsidRPr="001B1DB1">
              <w:rPr>
                <w:rFonts w:cs="Times New Roman"/>
                <w:bCs/>
                <w:sz w:val="20"/>
                <w:szCs w:val="20"/>
              </w:rPr>
              <w:t>.202</w:t>
            </w:r>
            <w:r w:rsidR="00586E75">
              <w:rPr>
                <w:rFonts w:cs="Times New Roman"/>
                <w:bCs/>
                <w:sz w:val="20"/>
                <w:szCs w:val="20"/>
              </w:rPr>
              <w:t>1</w:t>
            </w:r>
            <w:r w:rsidRPr="001B1DB1">
              <w:rPr>
                <w:rFonts w:cs="Times New Roman"/>
                <w:bCs/>
                <w:sz w:val="20"/>
                <w:szCs w:val="20"/>
              </w:rPr>
              <w:t>.</w:t>
            </w:r>
          </w:p>
        </w:tc>
      </w:tr>
      <w:tr w:rsidR="001D2598" w:rsidRPr="001B1DB1" w14:paraId="712E5B29" w14:textId="77777777" w:rsidTr="00FF556E">
        <w:trPr>
          <w:trHeight w:val="543"/>
        </w:trPr>
        <w:tc>
          <w:tcPr>
            <w:tcW w:w="709" w:type="dxa"/>
            <w:vMerge/>
          </w:tcPr>
          <w:p w14:paraId="0E322132" w14:textId="77777777" w:rsidR="001D2598" w:rsidRPr="001B1DB1" w:rsidRDefault="001D2598" w:rsidP="00FF556E">
            <w:pPr>
              <w:jc w:val="center"/>
              <w:rPr>
                <w:rFonts w:cs="Times New Roman"/>
                <w:bCs/>
                <w:sz w:val="20"/>
                <w:szCs w:val="20"/>
              </w:rPr>
            </w:pPr>
          </w:p>
        </w:tc>
        <w:tc>
          <w:tcPr>
            <w:tcW w:w="3686" w:type="dxa"/>
            <w:vMerge/>
            <w:shd w:val="clear" w:color="auto" w:fill="auto"/>
          </w:tcPr>
          <w:p w14:paraId="3430299F" w14:textId="77777777" w:rsidR="001D2598" w:rsidRPr="001B1DB1" w:rsidRDefault="001D2598" w:rsidP="00FF556E">
            <w:pPr>
              <w:jc w:val="both"/>
              <w:rPr>
                <w:sz w:val="20"/>
                <w:szCs w:val="20"/>
              </w:rPr>
            </w:pPr>
          </w:p>
        </w:tc>
        <w:tc>
          <w:tcPr>
            <w:tcW w:w="1559" w:type="dxa"/>
            <w:vMerge/>
          </w:tcPr>
          <w:p w14:paraId="36B983EA" w14:textId="77777777" w:rsidR="001D2598" w:rsidRPr="001B1DB1" w:rsidRDefault="001D2598" w:rsidP="00FF556E">
            <w:pPr>
              <w:rPr>
                <w:rFonts w:cs="Times New Roman"/>
                <w:sz w:val="20"/>
                <w:szCs w:val="20"/>
              </w:rPr>
            </w:pPr>
          </w:p>
        </w:tc>
        <w:tc>
          <w:tcPr>
            <w:tcW w:w="2551" w:type="dxa"/>
            <w:vMerge/>
            <w:shd w:val="clear" w:color="auto" w:fill="auto"/>
          </w:tcPr>
          <w:p w14:paraId="060688F8" w14:textId="77777777" w:rsidR="001D2598" w:rsidRPr="001B1DB1" w:rsidRDefault="001D2598" w:rsidP="00FF556E">
            <w:pPr>
              <w:rPr>
                <w:rFonts w:cs="Times New Roman"/>
                <w:sz w:val="20"/>
                <w:szCs w:val="20"/>
              </w:rPr>
            </w:pPr>
          </w:p>
        </w:tc>
        <w:tc>
          <w:tcPr>
            <w:tcW w:w="2694" w:type="dxa"/>
          </w:tcPr>
          <w:p w14:paraId="43C14738" w14:textId="53C308EC" w:rsidR="001D2598" w:rsidRPr="001B1DB1" w:rsidRDefault="001D2598" w:rsidP="00F00FC9">
            <w:pPr>
              <w:jc w:val="both"/>
              <w:rPr>
                <w:rFonts w:cs="Times New Roman"/>
                <w:sz w:val="20"/>
                <w:szCs w:val="20"/>
              </w:rPr>
            </w:pPr>
            <w:r w:rsidRPr="001B1DB1">
              <w:rPr>
                <w:rFonts w:cs="Times New Roman"/>
                <w:sz w:val="20"/>
                <w:szCs w:val="20"/>
              </w:rPr>
              <w:t xml:space="preserve">5. </w:t>
            </w:r>
            <w:r w:rsidR="004F2DD6" w:rsidRPr="004F2DD6">
              <w:rPr>
                <w:rFonts w:cs="Times New Roman"/>
                <w:sz w:val="20"/>
                <w:szCs w:val="20"/>
              </w:rPr>
              <w:t>Nodrošināts NILLTPFN likuma prasībām atbilstošs</w:t>
            </w:r>
            <w:r w:rsidR="00844552">
              <w:rPr>
                <w:rFonts w:cs="Times New Roman"/>
                <w:sz w:val="20"/>
                <w:szCs w:val="20"/>
              </w:rPr>
              <w:t xml:space="preserve"> </w:t>
            </w:r>
            <w:r w:rsidR="004F2DD6" w:rsidRPr="004F2DD6">
              <w:rPr>
                <w:rFonts w:cs="Times New Roman"/>
                <w:sz w:val="20"/>
                <w:szCs w:val="20"/>
              </w:rPr>
              <w:t>kreditoru prasījumu izmaksas process</w:t>
            </w:r>
            <w:r w:rsidR="00381927">
              <w:rPr>
                <w:rFonts w:cs="Times New Roman"/>
                <w:sz w:val="20"/>
                <w:szCs w:val="20"/>
              </w:rPr>
              <w:t xml:space="preserve"> LAS ABL</w:t>
            </w:r>
            <w:r w:rsidR="00727569">
              <w:rPr>
                <w:rFonts w:cs="Times New Roman"/>
                <w:sz w:val="20"/>
                <w:szCs w:val="20"/>
              </w:rPr>
              <w:t>V</w:t>
            </w:r>
            <w:r w:rsidR="00F00FC9">
              <w:rPr>
                <w:rFonts w:cs="Times New Roman"/>
                <w:sz w:val="20"/>
                <w:szCs w:val="20"/>
              </w:rPr>
              <w:t>,</w:t>
            </w:r>
            <w:r w:rsidR="00381927">
              <w:rPr>
                <w:rFonts w:cs="Times New Roman"/>
                <w:sz w:val="20"/>
                <w:szCs w:val="20"/>
              </w:rPr>
              <w:t xml:space="preserve"> vienlaikus veicot stratēģisko analīzi (piem. definējot tipoloģijas, indikatorus, u.c.).</w:t>
            </w:r>
            <w:r w:rsidRPr="001B1DB1">
              <w:rPr>
                <w:rFonts w:cs="Times New Roman"/>
                <w:sz w:val="20"/>
                <w:szCs w:val="20"/>
              </w:rPr>
              <w:t xml:space="preserve"> </w:t>
            </w:r>
          </w:p>
        </w:tc>
        <w:tc>
          <w:tcPr>
            <w:tcW w:w="1134" w:type="dxa"/>
            <w:shd w:val="clear" w:color="auto" w:fill="auto"/>
          </w:tcPr>
          <w:p w14:paraId="68D600DD" w14:textId="77777777" w:rsidR="001D2598" w:rsidRPr="001B1DB1" w:rsidRDefault="001D2598" w:rsidP="00D11C53">
            <w:pPr>
              <w:jc w:val="center"/>
              <w:rPr>
                <w:sz w:val="20"/>
                <w:szCs w:val="20"/>
              </w:rPr>
            </w:pPr>
            <w:r w:rsidRPr="001B1DB1">
              <w:rPr>
                <w:sz w:val="20"/>
                <w:szCs w:val="20"/>
              </w:rPr>
              <w:t>FID</w:t>
            </w:r>
          </w:p>
        </w:tc>
        <w:tc>
          <w:tcPr>
            <w:tcW w:w="1275" w:type="dxa"/>
            <w:shd w:val="clear" w:color="auto" w:fill="auto"/>
          </w:tcPr>
          <w:p w14:paraId="74EC1019" w14:textId="77777777" w:rsidR="001D2598" w:rsidRPr="001B1DB1" w:rsidRDefault="001D2598" w:rsidP="00D11C53">
            <w:pPr>
              <w:jc w:val="center"/>
              <w:rPr>
                <w:sz w:val="20"/>
                <w:szCs w:val="20"/>
              </w:rPr>
            </w:pPr>
          </w:p>
        </w:tc>
        <w:tc>
          <w:tcPr>
            <w:tcW w:w="1418" w:type="dxa"/>
            <w:shd w:val="clear" w:color="auto" w:fill="auto"/>
          </w:tcPr>
          <w:p w14:paraId="1F328BEA" w14:textId="1F658214" w:rsidR="001D2598" w:rsidRPr="001B1DB1" w:rsidRDefault="001D2598" w:rsidP="003C6C91">
            <w:pPr>
              <w:jc w:val="center"/>
              <w:rPr>
                <w:rFonts w:cs="Times New Roman"/>
                <w:bCs/>
                <w:sz w:val="20"/>
                <w:szCs w:val="20"/>
              </w:rPr>
            </w:pPr>
            <w:r w:rsidRPr="001B1DB1">
              <w:rPr>
                <w:rFonts w:cs="Times New Roman"/>
                <w:bCs/>
                <w:sz w:val="20"/>
                <w:szCs w:val="20"/>
              </w:rPr>
              <w:t>3</w:t>
            </w:r>
            <w:r w:rsidR="008445D0">
              <w:rPr>
                <w:rFonts w:cs="Times New Roman"/>
                <w:bCs/>
                <w:sz w:val="20"/>
                <w:szCs w:val="20"/>
              </w:rPr>
              <w:t>1</w:t>
            </w:r>
            <w:r w:rsidRPr="001B1DB1">
              <w:rPr>
                <w:rFonts w:cs="Times New Roman"/>
                <w:bCs/>
                <w:sz w:val="20"/>
                <w:szCs w:val="20"/>
              </w:rPr>
              <w:t>.12.2022.</w:t>
            </w:r>
          </w:p>
        </w:tc>
      </w:tr>
      <w:tr w:rsidR="00FD479A" w:rsidRPr="001B1DB1" w14:paraId="6D2221FE" w14:textId="77777777" w:rsidTr="00FF556E">
        <w:trPr>
          <w:trHeight w:val="543"/>
        </w:trPr>
        <w:tc>
          <w:tcPr>
            <w:tcW w:w="709" w:type="dxa"/>
          </w:tcPr>
          <w:p w14:paraId="0D7C391B" w14:textId="38D67B91" w:rsidR="00FD479A" w:rsidRDefault="00FD479A" w:rsidP="00FD479A">
            <w:pPr>
              <w:jc w:val="center"/>
              <w:rPr>
                <w:rFonts w:cs="Times New Roman"/>
                <w:bCs/>
                <w:sz w:val="20"/>
                <w:szCs w:val="20"/>
              </w:rPr>
            </w:pPr>
            <w:r>
              <w:rPr>
                <w:rFonts w:cs="Times New Roman"/>
                <w:bCs/>
                <w:sz w:val="20"/>
                <w:szCs w:val="20"/>
              </w:rPr>
              <w:t>6.3.</w:t>
            </w:r>
          </w:p>
        </w:tc>
        <w:tc>
          <w:tcPr>
            <w:tcW w:w="3686" w:type="dxa"/>
            <w:shd w:val="clear" w:color="auto" w:fill="auto"/>
          </w:tcPr>
          <w:p w14:paraId="21A6E340" w14:textId="161A25BE" w:rsidR="00FD479A" w:rsidRPr="001B1DB1" w:rsidRDefault="00FD479A" w:rsidP="00FD479A">
            <w:pPr>
              <w:jc w:val="both"/>
              <w:rPr>
                <w:sz w:val="20"/>
                <w:szCs w:val="20"/>
              </w:rPr>
            </w:pPr>
            <w:r w:rsidRPr="001B1DB1">
              <w:rPr>
                <w:sz w:val="20"/>
                <w:szCs w:val="20"/>
              </w:rPr>
              <w:t xml:space="preserve">Nodrošināt sistēmisku </w:t>
            </w:r>
            <w:r w:rsidR="00987808">
              <w:rPr>
                <w:sz w:val="20"/>
                <w:szCs w:val="20"/>
              </w:rPr>
              <w:t>l</w:t>
            </w:r>
            <w:r>
              <w:rPr>
                <w:sz w:val="20"/>
                <w:szCs w:val="20"/>
              </w:rPr>
              <w:t>ikuma subjektu</w:t>
            </w:r>
            <w:r w:rsidRPr="001B1DB1">
              <w:rPr>
                <w:sz w:val="20"/>
                <w:szCs w:val="20"/>
              </w:rPr>
              <w:t xml:space="preserve"> informēšanu par </w:t>
            </w:r>
            <w:r w:rsidR="00457619">
              <w:rPr>
                <w:sz w:val="20"/>
                <w:szCs w:val="20"/>
              </w:rPr>
              <w:t>jautājumiem un aktualitātēm, kas saistītas ar aizdomīgu darījumu ziņošanu, gan attiecībā uz aizdomām par NILL, gan TF, gan PF.</w:t>
            </w:r>
          </w:p>
          <w:p w14:paraId="71A77C73" w14:textId="19FD985C" w:rsidR="00FD479A" w:rsidRDefault="00FD479A" w:rsidP="00457619">
            <w:pPr>
              <w:jc w:val="both"/>
              <w:rPr>
                <w:sz w:val="20"/>
                <w:szCs w:val="20"/>
              </w:rPr>
            </w:pPr>
          </w:p>
        </w:tc>
        <w:tc>
          <w:tcPr>
            <w:tcW w:w="1559" w:type="dxa"/>
          </w:tcPr>
          <w:p w14:paraId="646D769B" w14:textId="77777777" w:rsidR="002F48D2" w:rsidRDefault="002F48D2" w:rsidP="002F48D2">
            <w:pPr>
              <w:rPr>
                <w:rFonts w:cs="Times New Roman"/>
                <w:sz w:val="20"/>
                <w:szCs w:val="20"/>
              </w:rPr>
            </w:pPr>
            <w:r>
              <w:rPr>
                <w:rFonts w:cs="Times New Roman"/>
                <w:sz w:val="20"/>
                <w:szCs w:val="20"/>
              </w:rPr>
              <w:t>FATF 6.2. pamatjautājums;</w:t>
            </w:r>
          </w:p>
          <w:p w14:paraId="415E3818" w14:textId="0426AED0" w:rsidR="00921224" w:rsidRDefault="002F48D2" w:rsidP="002F48D2">
            <w:pPr>
              <w:rPr>
                <w:rFonts w:cs="Times New Roman"/>
                <w:sz w:val="20"/>
                <w:szCs w:val="20"/>
              </w:rPr>
            </w:pPr>
            <w:r>
              <w:rPr>
                <w:rFonts w:cs="Times New Roman"/>
                <w:sz w:val="20"/>
                <w:szCs w:val="20"/>
              </w:rPr>
              <w:t>FATF 34. rekomendācija</w:t>
            </w:r>
            <w:r w:rsidR="00987808">
              <w:rPr>
                <w:rFonts w:cs="Times New Roman"/>
                <w:sz w:val="20"/>
                <w:szCs w:val="20"/>
              </w:rPr>
              <w:t>.</w:t>
            </w:r>
          </w:p>
        </w:tc>
        <w:tc>
          <w:tcPr>
            <w:tcW w:w="2551" w:type="dxa"/>
            <w:shd w:val="clear" w:color="auto" w:fill="auto"/>
          </w:tcPr>
          <w:p w14:paraId="569AD559" w14:textId="6056ADF0" w:rsidR="00FD479A" w:rsidRPr="001B1DB1" w:rsidRDefault="00FD479A" w:rsidP="00987808">
            <w:pPr>
              <w:jc w:val="both"/>
              <w:rPr>
                <w:rFonts w:cs="Times New Roman"/>
                <w:sz w:val="20"/>
                <w:szCs w:val="20"/>
              </w:rPr>
            </w:pPr>
            <w:r>
              <w:rPr>
                <w:sz w:val="20"/>
                <w:szCs w:val="20"/>
              </w:rPr>
              <w:t>Sniegta atgriezeniskā saite likuma subjektiem par ziņošanas kvalitāti</w:t>
            </w:r>
            <w:r w:rsidR="00921224">
              <w:rPr>
                <w:sz w:val="20"/>
                <w:szCs w:val="20"/>
              </w:rPr>
              <w:t>; skaidrota ziņošanas par aizdomīgiem darījumiem nepieciešamība; skaidrota e-ziņošanas sistēmas izmantošana.</w:t>
            </w:r>
          </w:p>
        </w:tc>
        <w:tc>
          <w:tcPr>
            <w:tcW w:w="2694" w:type="dxa"/>
          </w:tcPr>
          <w:p w14:paraId="0CF78F00" w14:textId="35154949" w:rsidR="00FD479A" w:rsidRPr="001B1DB1" w:rsidRDefault="00FD479A" w:rsidP="00FD479A">
            <w:pPr>
              <w:jc w:val="both"/>
              <w:rPr>
                <w:rFonts w:cs="Times New Roman"/>
                <w:sz w:val="20"/>
                <w:szCs w:val="20"/>
              </w:rPr>
            </w:pPr>
            <w:r w:rsidRPr="001819E1">
              <w:rPr>
                <w:sz w:val="20"/>
                <w:szCs w:val="20"/>
              </w:rPr>
              <w:t>Nodrošinātas likuma subjektu</w:t>
            </w:r>
            <w:r>
              <w:rPr>
                <w:sz w:val="20"/>
                <w:szCs w:val="20"/>
              </w:rPr>
              <w:t xml:space="preserve"> (un citu ziņotāju)</w:t>
            </w:r>
            <w:r w:rsidRPr="001819E1">
              <w:rPr>
                <w:sz w:val="20"/>
                <w:szCs w:val="20"/>
              </w:rPr>
              <w:t xml:space="preserve"> apmācības NILLTPF</w:t>
            </w:r>
            <w:r>
              <w:rPr>
                <w:sz w:val="20"/>
                <w:szCs w:val="20"/>
              </w:rPr>
              <w:t xml:space="preserve"> jomā, t.sk. likuma subjektu ziņošanas kvalitātes uzlabošanai) </w:t>
            </w:r>
            <w:r w:rsidRPr="001819E1">
              <w:rPr>
                <w:sz w:val="20"/>
                <w:szCs w:val="20"/>
              </w:rPr>
              <w:t xml:space="preserve"> (e-kurss FID interneta vietnē).</w:t>
            </w:r>
          </w:p>
        </w:tc>
        <w:tc>
          <w:tcPr>
            <w:tcW w:w="1134" w:type="dxa"/>
            <w:shd w:val="clear" w:color="auto" w:fill="auto"/>
          </w:tcPr>
          <w:p w14:paraId="1035BA69" w14:textId="6DFCE2D2" w:rsidR="00FD479A" w:rsidRPr="001B1DB1" w:rsidRDefault="00FD479A" w:rsidP="00FD479A">
            <w:pPr>
              <w:jc w:val="center"/>
              <w:rPr>
                <w:sz w:val="20"/>
                <w:szCs w:val="20"/>
              </w:rPr>
            </w:pPr>
            <w:r>
              <w:rPr>
                <w:sz w:val="20"/>
                <w:szCs w:val="20"/>
              </w:rPr>
              <w:t>FID</w:t>
            </w:r>
          </w:p>
        </w:tc>
        <w:tc>
          <w:tcPr>
            <w:tcW w:w="1275" w:type="dxa"/>
            <w:shd w:val="clear" w:color="auto" w:fill="auto"/>
          </w:tcPr>
          <w:p w14:paraId="783D0597" w14:textId="77777777" w:rsidR="00FD479A" w:rsidRPr="001B1DB1" w:rsidRDefault="00FD479A" w:rsidP="00FD479A">
            <w:pPr>
              <w:jc w:val="center"/>
              <w:rPr>
                <w:sz w:val="20"/>
                <w:szCs w:val="20"/>
              </w:rPr>
            </w:pPr>
          </w:p>
        </w:tc>
        <w:tc>
          <w:tcPr>
            <w:tcW w:w="1418" w:type="dxa"/>
            <w:shd w:val="clear" w:color="auto" w:fill="auto"/>
          </w:tcPr>
          <w:p w14:paraId="580C5B94" w14:textId="785BBA6F" w:rsidR="00FD479A" w:rsidRDefault="00FD479A" w:rsidP="00987808">
            <w:pPr>
              <w:jc w:val="center"/>
              <w:rPr>
                <w:rFonts w:cs="Times New Roman"/>
                <w:bCs/>
                <w:sz w:val="20"/>
                <w:szCs w:val="20"/>
              </w:rPr>
            </w:pPr>
            <w:r>
              <w:rPr>
                <w:sz w:val="20"/>
                <w:szCs w:val="20"/>
              </w:rPr>
              <w:t>I</w:t>
            </w:r>
            <w:r w:rsidRPr="001819E1">
              <w:rPr>
                <w:sz w:val="20"/>
                <w:szCs w:val="20"/>
              </w:rPr>
              <w:t>eviešana - 3</w:t>
            </w:r>
            <w:r>
              <w:rPr>
                <w:sz w:val="20"/>
                <w:szCs w:val="20"/>
              </w:rPr>
              <w:t>1</w:t>
            </w:r>
            <w:r w:rsidRPr="001819E1">
              <w:rPr>
                <w:sz w:val="20"/>
                <w:szCs w:val="20"/>
              </w:rPr>
              <w:t xml:space="preserve">.12.2020. </w:t>
            </w:r>
            <w:r>
              <w:rPr>
                <w:sz w:val="20"/>
                <w:szCs w:val="20"/>
              </w:rPr>
              <w:t xml:space="preserve">Kursa </w:t>
            </w:r>
            <w:r w:rsidR="00727569">
              <w:rPr>
                <w:sz w:val="20"/>
                <w:szCs w:val="20"/>
              </w:rPr>
              <w:t>darbības nodrošināšana</w:t>
            </w:r>
            <w:r w:rsidRPr="001819E1">
              <w:rPr>
                <w:sz w:val="20"/>
                <w:szCs w:val="20"/>
              </w:rPr>
              <w:t xml:space="preserve"> - pastāvīgi</w:t>
            </w:r>
          </w:p>
        </w:tc>
      </w:tr>
      <w:tr w:rsidR="00FD479A" w:rsidRPr="001B1DB1" w14:paraId="6936A94F" w14:textId="77777777" w:rsidTr="00FF556E">
        <w:trPr>
          <w:trHeight w:val="543"/>
        </w:trPr>
        <w:tc>
          <w:tcPr>
            <w:tcW w:w="709" w:type="dxa"/>
          </w:tcPr>
          <w:p w14:paraId="38630350" w14:textId="6B95A10E" w:rsidR="00FD479A" w:rsidRDefault="00FD479A" w:rsidP="00FD479A">
            <w:pPr>
              <w:jc w:val="center"/>
              <w:rPr>
                <w:rFonts w:cs="Times New Roman"/>
                <w:bCs/>
                <w:sz w:val="20"/>
                <w:szCs w:val="20"/>
              </w:rPr>
            </w:pPr>
            <w:r>
              <w:rPr>
                <w:rFonts w:cs="Times New Roman"/>
                <w:bCs/>
                <w:sz w:val="20"/>
                <w:szCs w:val="20"/>
              </w:rPr>
              <w:t>6.4.</w:t>
            </w:r>
          </w:p>
        </w:tc>
        <w:tc>
          <w:tcPr>
            <w:tcW w:w="3686" w:type="dxa"/>
            <w:shd w:val="clear" w:color="auto" w:fill="auto"/>
          </w:tcPr>
          <w:p w14:paraId="4982D985" w14:textId="40BA3B32" w:rsidR="00FD479A" w:rsidRDefault="00FD479A" w:rsidP="00FD479A">
            <w:pPr>
              <w:jc w:val="both"/>
              <w:rPr>
                <w:sz w:val="20"/>
                <w:szCs w:val="20"/>
              </w:rPr>
            </w:pPr>
            <w:r w:rsidRPr="001B1DB1">
              <w:rPr>
                <w:sz w:val="20"/>
                <w:szCs w:val="20"/>
              </w:rPr>
              <w:t>Pilnveidot tipoloģijas un definēt indikatorus aizdomīgiem darījumiem, kas piemērojami gan visiem likuma subjektiem, gan nozarēm specifiskus.</w:t>
            </w:r>
          </w:p>
        </w:tc>
        <w:tc>
          <w:tcPr>
            <w:tcW w:w="1559" w:type="dxa"/>
          </w:tcPr>
          <w:p w14:paraId="3BDFABC4" w14:textId="5B0D0B4C" w:rsidR="00FD479A" w:rsidRDefault="002F48D2" w:rsidP="002F48D2">
            <w:pPr>
              <w:rPr>
                <w:rFonts w:cs="Times New Roman"/>
                <w:sz w:val="20"/>
                <w:szCs w:val="20"/>
              </w:rPr>
            </w:pPr>
            <w:r>
              <w:rPr>
                <w:rFonts w:cs="Times New Roman"/>
                <w:sz w:val="20"/>
                <w:szCs w:val="20"/>
              </w:rPr>
              <w:t>FATF 34. rekomendācija</w:t>
            </w:r>
            <w:r w:rsidR="00987808">
              <w:rPr>
                <w:rFonts w:cs="Times New Roman"/>
                <w:sz w:val="20"/>
                <w:szCs w:val="20"/>
              </w:rPr>
              <w:t>.</w:t>
            </w:r>
          </w:p>
        </w:tc>
        <w:tc>
          <w:tcPr>
            <w:tcW w:w="2551" w:type="dxa"/>
            <w:shd w:val="clear" w:color="auto" w:fill="auto"/>
          </w:tcPr>
          <w:p w14:paraId="06443432" w14:textId="77777777" w:rsidR="00FD479A" w:rsidRPr="001B1DB1" w:rsidRDefault="00FD479A" w:rsidP="000D0E68">
            <w:pPr>
              <w:jc w:val="both"/>
              <w:rPr>
                <w:sz w:val="20"/>
                <w:szCs w:val="20"/>
              </w:rPr>
            </w:pPr>
            <w:r w:rsidRPr="001B1DB1">
              <w:rPr>
                <w:sz w:val="20"/>
                <w:szCs w:val="20"/>
              </w:rPr>
              <w:t>FID apkopojis stratēģiskās analīzes rezultātus</w:t>
            </w:r>
            <w:r>
              <w:rPr>
                <w:sz w:val="20"/>
                <w:szCs w:val="20"/>
              </w:rPr>
              <w:t xml:space="preserve"> (tajā skaitā Nacionālo NILLTPFN risku novērtējumu)</w:t>
            </w:r>
            <w:r w:rsidRPr="001B1DB1">
              <w:rPr>
                <w:sz w:val="20"/>
                <w:szCs w:val="20"/>
              </w:rPr>
              <w:t xml:space="preserve"> un informējis likuma subjektus un UKI, palielinot to informētību.</w:t>
            </w:r>
          </w:p>
          <w:p w14:paraId="0ECD5FFD" w14:textId="01930D07" w:rsidR="00FD479A" w:rsidRPr="001B1DB1" w:rsidRDefault="00FD479A" w:rsidP="00F66DC3">
            <w:pPr>
              <w:jc w:val="both"/>
              <w:rPr>
                <w:rFonts w:cs="Times New Roman"/>
                <w:sz w:val="20"/>
                <w:szCs w:val="20"/>
              </w:rPr>
            </w:pPr>
            <w:r w:rsidRPr="001B1DB1">
              <w:rPr>
                <w:rFonts w:cs="Times New Roman"/>
                <w:sz w:val="20"/>
                <w:szCs w:val="20"/>
              </w:rPr>
              <w:t xml:space="preserve">Balstoties uz izstrādātajiem </w:t>
            </w:r>
            <w:r w:rsidRPr="001B1DB1">
              <w:rPr>
                <w:sz w:val="20"/>
                <w:szCs w:val="20"/>
              </w:rPr>
              <w:t xml:space="preserve">NILLTPF </w:t>
            </w:r>
            <w:r w:rsidRPr="001B1DB1">
              <w:rPr>
                <w:rFonts w:cs="Times New Roman"/>
                <w:sz w:val="20"/>
                <w:szCs w:val="20"/>
              </w:rPr>
              <w:t xml:space="preserve">risku novērtējuma ziņojumiem, aktualizētas </w:t>
            </w:r>
            <w:r w:rsidRPr="008B395B">
              <w:rPr>
                <w:rFonts w:cs="Times New Roman"/>
                <w:sz w:val="20"/>
                <w:szCs w:val="20"/>
              </w:rPr>
              <w:t>tipoloģijas un definēti indikatori aizdomīgiem darījumiem.</w:t>
            </w:r>
          </w:p>
        </w:tc>
        <w:tc>
          <w:tcPr>
            <w:tcW w:w="2694" w:type="dxa"/>
          </w:tcPr>
          <w:p w14:paraId="77E821F5" w14:textId="46A5C4FB" w:rsidR="00FD479A" w:rsidRPr="001B1DB1" w:rsidRDefault="00FD479A" w:rsidP="00FD479A">
            <w:pPr>
              <w:jc w:val="both"/>
              <w:rPr>
                <w:rFonts w:cs="Times New Roman"/>
                <w:sz w:val="20"/>
                <w:szCs w:val="20"/>
              </w:rPr>
            </w:pPr>
            <w:r w:rsidRPr="001B1DB1">
              <w:rPr>
                <w:sz w:val="20"/>
                <w:szCs w:val="20"/>
              </w:rPr>
              <w:t>Aktualizētas tipoloģijas. Papildināta un regulāri aktualizēta FID tīmekļa</w:t>
            </w:r>
            <w:r>
              <w:rPr>
                <w:sz w:val="20"/>
                <w:szCs w:val="20"/>
              </w:rPr>
              <w:t xml:space="preserve"> (t.sk. slēgtā daļa)</w:t>
            </w:r>
            <w:r w:rsidRPr="001B1DB1">
              <w:rPr>
                <w:sz w:val="20"/>
                <w:szCs w:val="20"/>
              </w:rPr>
              <w:t xml:space="preserve"> vietne ar informāciju par aizdomīgiem darījumiem, ievērojot katra sektora specifiku.</w:t>
            </w:r>
          </w:p>
        </w:tc>
        <w:tc>
          <w:tcPr>
            <w:tcW w:w="1134" w:type="dxa"/>
            <w:shd w:val="clear" w:color="auto" w:fill="auto"/>
          </w:tcPr>
          <w:p w14:paraId="1F6BA4EC" w14:textId="05165B57" w:rsidR="00FD479A" w:rsidRPr="001B1DB1" w:rsidRDefault="00FD479A" w:rsidP="00FD479A">
            <w:pPr>
              <w:jc w:val="center"/>
              <w:rPr>
                <w:sz w:val="20"/>
                <w:szCs w:val="20"/>
              </w:rPr>
            </w:pPr>
            <w:r w:rsidRPr="001B1DB1">
              <w:rPr>
                <w:sz w:val="20"/>
                <w:szCs w:val="20"/>
              </w:rPr>
              <w:t>FID</w:t>
            </w:r>
          </w:p>
        </w:tc>
        <w:tc>
          <w:tcPr>
            <w:tcW w:w="1275" w:type="dxa"/>
            <w:shd w:val="clear" w:color="auto" w:fill="auto"/>
          </w:tcPr>
          <w:p w14:paraId="7FA2C161" w14:textId="3004D791" w:rsidR="00FD479A" w:rsidRPr="001B1DB1" w:rsidRDefault="00FD479A" w:rsidP="00FD479A">
            <w:pPr>
              <w:jc w:val="center"/>
              <w:rPr>
                <w:sz w:val="20"/>
                <w:szCs w:val="20"/>
              </w:rPr>
            </w:pPr>
            <w:r w:rsidRPr="001B1DB1">
              <w:rPr>
                <w:sz w:val="20"/>
                <w:szCs w:val="20"/>
              </w:rPr>
              <w:t>FKTK, VID, LB, IAUI, LZAP, LZNP, LZRA, NKMP, PTAC</w:t>
            </w:r>
            <w:r>
              <w:rPr>
                <w:sz w:val="20"/>
                <w:szCs w:val="20"/>
              </w:rPr>
              <w:t>, LSMPAA</w:t>
            </w:r>
            <w:r w:rsidR="009E6D33">
              <w:rPr>
                <w:sz w:val="20"/>
                <w:szCs w:val="20"/>
              </w:rPr>
              <w:t xml:space="preserve">, </w:t>
            </w:r>
            <w:r w:rsidR="009E6D33">
              <w:rPr>
                <w:rFonts w:cs="Times New Roman"/>
                <w:sz w:val="20"/>
                <w:szCs w:val="20"/>
              </w:rPr>
              <w:t>MKD</w:t>
            </w:r>
          </w:p>
        </w:tc>
        <w:tc>
          <w:tcPr>
            <w:tcW w:w="1418" w:type="dxa"/>
            <w:shd w:val="clear" w:color="auto" w:fill="auto"/>
          </w:tcPr>
          <w:p w14:paraId="21E1A9AA" w14:textId="2B9B6323" w:rsidR="00FD479A" w:rsidRDefault="00FD479A" w:rsidP="00FD479A">
            <w:pPr>
              <w:jc w:val="center"/>
              <w:rPr>
                <w:rFonts w:cs="Times New Roman"/>
                <w:bCs/>
                <w:sz w:val="20"/>
                <w:szCs w:val="20"/>
              </w:rPr>
            </w:pPr>
            <w:r>
              <w:rPr>
                <w:sz w:val="20"/>
                <w:szCs w:val="20"/>
              </w:rPr>
              <w:t>P</w:t>
            </w:r>
            <w:r w:rsidRPr="001B1DB1">
              <w:rPr>
                <w:sz w:val="20"/>
                <w:szCs w:val="20"/>
              </w:rPr>
              <w:t>astāvīgi</w:t>
            </w:r>
          </w:p>
        </w:tc>
      </w:tr>
    </w:tbl>
    <w:p w14:paraId="1A6C14DB" w14:textId="77777777" w:rsidR="009754EF" w:rsidRPr="001B1DB1" w:rsidRDefault="009754EF" w:rsidP="009754EF">
      <w:pPr>
        <w:pStyle w:val="Heading2"/>
        <w:rPr>
          <w:rFonts w:ascii="Times New Roman" w:hAnsi="Times New Roman" w:cs="Times New Roman"/>
          <w:b/>
          <w:color w:val="auto"/>
          <w:sz w:val="28"/>
          <w:szCs w:val="28"/>
        </w:rPr>
      </w:pPr>
    </w:p>
    <w:p w14:paraId="3F68CAD5"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n</w:t>
      </w:r>
      <w:r w:rsidR="00B842DA" w:rsidRPr="001B1DB1">
        <w:rPr>
          <w:rFonts w:ascii="Times New Roman" w:hAnsi="Times New Roman" w:cs="Times New Roman"/>
          <w:b/>
          <w:color w:val="auto"/>
          <w:sz w:val="28"/>
          <w:szCs w:val="28"/>
        </w:rPr>
        <w:t>oziedzīgi iegūtu līdzekļu legalizācijas izmeklēšana un kriminālvajāšana</w:t>
      </w:r>
    </w:p>
    <w:p w14:paraId="323A2CD7" w14:textId="77777777" w:rsidR="00C703D7" w:rsidRPr="001B1DB1" w:rsidRDefault="00C703D7" w:rsidP="00C703D7">
      <w:pPr>
        <w:pStyle w:val="Heading2"/>
        <w:rPr>
          <w:rFonts w:ascii="Times New Roman" w:hAnsi="Times New Roman" w:cs="Times New Roman"/>
          <w:b/>
          <w:color w:val="auto"/>
          <w:sz w:val="28"/>
          <w:szCs w:val="28"/>
        </w:rPr>
      </w:pPr>
    </w:p>
    <w:p w14:paraId="7CD6F750" w14:textId="0203BAA1" w:rsidR="00C703D7" w:rsidRPr="005D2471" w:rsidRDefault="00C703D7" w:rsidP="00210B8B">
      <w:pPr>
        <w:jc w:val="both"/>
        <w:rPr>
          <w:szCs w:val="24"/>
        </w:rPr>
      </w:pPr>
      <w:r w:rsidRPr="001B1DB1">
        <w:rPr>
          <w:szCs w:val="24"/>
        </w:rPr>
        <w:t xml:space="preserve">Par rīcības virzienu atbildīgā </w:t>
      </w:r>
      <w:r w:rsidR="000853A3" w:rsidRPr="000853A3">
        <w:rPr>
          <w:szCs w:val="24"/>
        </w:rPr>
        <w:t>institūcija</w:t>
      </w:r>
      <w:r w:rsidRPr="005D2471">
        <w:rPr>
          <w:szCs w:val="24"/>
        </w:rPr>
        <w:t xml:space="preserve">: </w:t>
      </w:r>
      <w:r w:rsidR="00B842DA" w:rsidRPr="005D2471">
        <w:rPr>
          <w:szCs w:val="24"/>
        </w:rPr>
        <w:t>TM</w:t>
      </w:r>
    </w:p>
    <w:p w14:paraId="5DDAB5A4" w14:textId="76C9CD33" w:rsidR="00C703D7" w:rsidRPr="005D2471" w:rsidRDefault="00C703D7" w:rsidP="00C703D7">
      <w:pPr>
        <w:jc w:val="both"/>
        <w:rPr>
          <w:szCs w:val="24"/>
        </w:rPr>
      </w:pPr>
      <w:r w:rsidRPr="005D2471">
        <w:rPr>
          <w:szCs w:val="24"/>
        </w:rPr>
        <w:lastRenderedPageBreak/>
        <w:t xml:space="preserve">Līdzatbildīgās </w:t>
      </w:r>
      <w:r w:rsidR="00D00DDA">
        <w:rPr>
          <w:szCs w:val="24"/>
        </w:rPr>
        <w:t>institūcijas</w:t>
      </w:r>
      <w:r w:rsidRPr="005D2471">
        <w:rPr>
          <w:szCs w:val="24"/>
        </w:rPr>
        <w:t>:</w:t>
      </w:r>
      <w:r w:rsidR="005D2471" w:rsidRPr="005D2471">
        <w:rPr>
          <w:szCs w:val="24"/>
        </w:rPr>
        <w:t xml:space="preserve"> </w:t>
      </w:r>
      <w:r w:rsidR="0075793E">
        <w:rPr>
          <w:szCs w:val="24"/>
        </w:rPr>
        <w:t xml:space="preserve">AM, </w:t>
      </w:r>
      <w:r w:rsidR="00491424" w:rsidRPr="005D2471">
        <w:rPr>
          <w:szCs w:val="24"/>
        </w:rPr>
        <w:t xml:space="preserve">FID, </w:t>
      </w:r>
      <w:r w:rsidR="005D2471" w:rsidRPr="005D2471">
        <w:rPr>
          <w:szCs w:val="24"/>
        </w:rPr>
        <w:t xml:space="preserve">FKTK, FM, ĢP, </w:t>
      </w:r>
      <w:r w:rsidR="00491424" w:rsidRPr="005D2471">
        <w:rPr>
          <w:szCs w:val="24"/>
        </w:rPr>
        <w:t xml:space="preserve">IDB, </w:t>
      </w:r>
      <w:r w:rsidR="005D2471" w:rsidRPr="005D2471">
        <w:rPr>
          <w:szCs w:val="24"/>
        </w:rPr>
        <w:t xml:space="preserve">IeM, IeVP, </w:t>
      </w:r>
      <w:r w:rsidR="00491424" w:rsidRPr="005D2471">
        <w:rPr>
          <w:szCs w:val="24"/>
        </w:rPr>
        <w:t xml:space="preserve">KNAB, </w:t>
      </w:r>
      <w:r w:rsidR="00943D8E" w:rsidRPr="00943D8E">
        <w:rPr>
          <w:szCs w:val="24"/>
        </w:rPr>
        <w:t>Latvijas Tiesnešu mācību centrs</w:t>
      </w:r>
      <w:r w:rsidR="00943D8E">
        <w:rPr>
          <w:szCs w:val="24"/>
        </w:rPr>
        <w:t>,</w:t>
      </w:r>
      <w:r w:rsidR="00943D8E" w:rsidRPr="00943D8E">
        <w:rPr>
          <w:szCs w:val="24"/>
        </w:rPr>
        <w:t xml:space="preserve"> </w:t>
      </w:r>
      <w:r w:rsidR="00833304" w:rsidRPr="005D2471">
        <w:rPr>
          <w:szCs w:val="24"/>
        </w:rPr>
        <w:t>MP</w:t>
      </w:r>
      <w:r w:rsidR="005D2471" w:rsidRPr="005D2471">
        <w:rPr>
          <w:szCs w:val="24"/>
        </w:rPr>
        <w:t xml:space="preserve">, </w:t>
      </w:r>
      <w:r w:rsidR="00943D8E" w:rsidRPr="00943D8E">
        <w:rPr>
          <w:szCs w:val="24"/>
        </w:rPr>
        <w:t>PSDG</w:t>
      </w:r>
      <w:r w:rsidR="00943D8E">
        <w:rPr>
          <w:szCs w:val="24"/>
        </w:rPr>
        <w:t>,</w:t>
      </w:r>
      <w:r w:rsidR="00943D8E" w:rsidRPr="00943D8E" w:rsidDel="002C5D04">
        <w:rPr>
          <w:szCs w:val="24"/>
        </w:rPr>
        <w:t xml:space="preserve"> </w:t>
      </w:r>
      <w:r w:rsidR="005D2471" w:rsidRPr="005D2471">
        <w:rPr>
          <w:szCs w:val="24"/>
        </w:rPr>
        <w:t>SAB, TA, Valsts policijas koledža, VAS, VDD, VID, VP, VRS</w:t>
      </w:r>
    </w:p>
    <w:p w14:paraId="2A773EE7"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B842DA" w:rsidRPr="001B1DB1" w14:paraId="628AA84C" w14:textId="77777777" w:rsidTr="009744C5">
        <w:tc>
          <w:tcPr>
            <w:tcW w:w="4395" w:type="dxa"/>
            <w:gridSpan w:val="2"/>
          </w:tcPr>
          <w:p w14:paraId="3BB4F418" w14:textId="77777777" w:rsidR="00B842DA" w:rsidRPr="001B1DB1" w:rsidRDefault="00B842DA" w:rsidP="00B842DA">
            <w:pPr>
              <w:rPr>
                <w:rFonts w:cs="Times New Roman"/>
                <w:b/>
                <w:bCs/>
                <w:sz w:val="20"/>
                <w:szCs w:val="20"/>
              </w:rPr>
            </w:pPr>
            <w:r w:rsidRPr="001B1DB1">
              <w:rPr>
                <w:rFonts w:cs="Times New Roman"/>
                <w:b/>
                <w:bCs/>
                <w:sz w:val="20"/>
                <w:szCs w:val="20"/>
              </w:rPr>
              <w:t>Rīcības virziens</w:t>
            </w:r>
          </w:p>
        </w:tc>
        <w:tc>
          <w:tcPr>
            <w:tcW w:w="10631" w:type="dxa"/>
            <w:gridSpan w:val="6"/>
          </w:tcPr>
          <w:p w14:paraId="2804FDD5" w14:textId="77777777" w:rsidR="00B842DA" w:rsidRPr="001B1DB1" w:rsidRDefault="00B842DA" w:rsidP="00B842DA">
            <w:pPr>
              <w:jc w:val="both"/>
              <w:rPr>
                <w:rFonts w:cs="Times New Roman"/>
                <w:b/>
                <w:bCs/>
                <w:sz w:val="20"/>
                <w:szCs w:val="20"/>
              </w:rPr>
            </w:pPr>
            <w:r w:rsidRPr="001B1DB1">
              <w:rPr>
                <w:rFonts w:cs="Times New Roman"/>
                <w:b/>
                <w:bCs/>
                <w:sz w:val="20"/>
                <w:szCs w:val="20"/>
              </w:rPr>
              <w:t>NOZIEDZĪGI IEGŪTU LIDZEKĻU LEGALIZĀCIJAS IZMEKLĒŠANA UN KRIMINĀLVAJĀŠANA</w:t>
            </w:r>
          </w:p>
        </w:tc>
      </w:tr>
      <w:tr w:rsidR="007D49B9" w:rsidRPr="001B1DB1" w14:paraId="4E99A2D3" w14:textId="77777777" w:rsidTr="00172808">
        <w:tc>
          <w:tcPr>
            <w:tcW w:w="4395" w:type="dxa"/>
            <w:gridSpan w:val="2"/>
          </w:tcPr>
          <w:p w14:paraId="7C67563B" w14:textId="3C18E049"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2364017B" w14:textId="77777777" w:rsidR="007D49B9" w:rsidRPr="001B1DB1" w:rsidRDefault="007D49B9" w:rsidP="007D49B9">
            <w:pPr>
              <w:jc w:val="both"/>
              <w:rPr>
                <w:rFonts w:cs="Times New Roman"/>
                <w:b/>
                <w:bCs/>
                <w:sz w:val="20"/>
                <w:szCs w:val="20"/>
              </w:rPr>
            </w:pPr>
            <w:r w:rsidRPr="001B1DB1">
              <w:rPr>
                <w:b/>
                <w:bCs/>
                <w:sz w:val="20"/>
                <w:szCs w:val="20"/>
              </w:rPr>
              <w:t>NILL noziedzīgie nodarījumi un darbības tiek izmeklēti, vainīgie tiek saukti pie atbildības, un tiem piemēro efektīvas, samērīgas un atturošas sankcijas.</w:t>
            </w:r>
          </w:p>
        </w:tc>
      </w:tr>
      <w:tr w:rsidR="00C703D7" w:rsidRPr="001B1DB1" w14:paraId="4B2D8980" w14:textId="77777777" w:rsidTr="009744C5">
        <w:trPr>
          <w:trHeight w:val="543"/>
        </w:trPr>
        <w:tc>
          <w:tcPr>
            <w:tcW w:w="709" w:type="dxa"/>
          </w:tcPr>
          <w:p w14:paraId="77085C01" w14:textId="77777777" w:rsidR="00C703D7" w:rsidRPr="001B1DB1" w:rsidRDefault="00C703D7" w:rsidP="006F528F">
            <w:pPr>
              <w:jc w:val="center"/>
              <w:rPr>
                <w:rFonts w:cs="Times New Roman"/>
                <w:b/>
                <w:bCs/>
                <w:sz w:val="20"/>
                <w:szCs w:val="20"/>
              </w:rPr>
            </w:pPr>
            <w:r w:rsidRPr="001B1DB1">
              <w:rPr>
                <w:rFonts w:cs="Times New Roman"/>
                <w:b/>
                <w:bCs/>
                <w:sz w:val="20"/>
                <w:szCs w:val="20"/>
              </w:rPr>
              <w:t>Nr. P.k.</w:t>
            </w:r>
          </w:p>
        </w:tc>
        <w:tc>
          <w:tcPr>
            <w:tcW w:w="3686" w:type="dxa"/>
            <w:shd w:val="clear" w:color="auto" w:fill="auto"/>
          </w:tcPr>
          <w:p w14:paraId="16BE8D06" w14:textId="77777777" w:rsidR="00C703D7" w:rsidRPr="001B1DB1" w:rsidRDefault="00C703D7" w:rsidP="006111F7">
            <w:pPr>
              <w:jc w:val="center"/>
              <w:rPr>
                <w:rFonts w:cs="Times New Roman"/>
                <w:b/>
                <w:bCs/>
                <w:i/>
                <w:sz w:val="20"/>
                <w:szCs w:val="20"/>
              </w:rPr>
            </w:pPr>
            <w:r w:rsidRPr="001B1DB1">
              <w:rPr>
                <w:rFonts w:cs="Times New Roman"/>
                <w:b/>
                <w:bCs/>
                <w:sz w:val="20"/>
                <w:szCs w:val="20"/>
              </w:rPr>
              <w:t>Pasākums</w:t>
            </w:r>
          </w:p>
        </w:tc>
        <w:tc>
          <w:tcPr>
            <w:tcW w:w="1559" w:type="dxa"/>
          </w:tcPr>
          <w:p w14:paraId="2734DFFF" w14:textId="77777777" w:rsidR="00C703D7" w:rsidRPr="001B1DB1" w:rsidRDefault="00C703D7" w:rsidP="00CC405B">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3281F1AF" w14:textId="77777777" w:rsidR="00C703D7" w:rsidRPr="001B1DB1" w:rsidRDefault="00C703D7" w:rsidP="00172808">
            <w:pPr>
              <w:jc w:val="center"/>
              <w:rPr>
                <w:rFonts w:cs="Times New Roman"/>
                <w:b/>
                <w:bCs/>
                <w:i/>
                <w:sz w:val="20"/>
                <w:szCs w:val="20"/>
              </w:rPr>
            </w:pPr>
            <w:r w:rsidRPr="001B1DB1">
              <w:rPr>
                <w:rFonts w:cs="Times New Roman"/>
                <w:b/>
                <w:sz w:val="20"/>
                <w:szCs w:val="20"/>
              </w:rPr>
              <w:t>Darbības rezultāts</w:t>
            </w:r>
          </w:p>
        </w:tc>
        <w:tc>
          <w:tcPr>
            <w:tcW w:w="2694" w:type="dxa"/>
          </w:tcPr>
          <w:p w14:paraId="3E219B52" w14:textId="77777777" w:rsidR="00C703D7" w:rsidRPr="001B1DB1" w:rsidRDefault="00C703D7" w:rsidP="00172808">
            <w:pPr>
              <w:jc w:val="center"/>
              <w:rPr>
                <w:rFonts w:cs="Times New Roman"/>
                <w:b/>
                <w:bCs/>
                <w:i/>
                <w:sz w:val="20"/>
                <w:szCs w:val="20"/>
              </w:rPr>
            </w:pPr>
            <w:r w:rsidRPr="001B1DB1">
              <w:rPr>
                <w:rFonts w:cs="Times New Roman"/>
                <w:b/>
                <w:sz w:val="20"/>
                <w:szCs w:val="20"/>
              </w:rPr>
              <w:t>Rezultatīvais rādītājs</w:t>
            </w:r>
          </w:p>
        </w:tc>
        <w:tc>
          <w:tcPr>
            <w:tcW w:w="1134" w:type="dxa"/>
            <w:shd w:val="clear" w:color="auto" w:fill="auto"/>
          </w:tcPr>
          <w:p w14:paraId="2A505CFA"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680BA188"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2140DFE2"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50D9B625"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730EB8" w:rsidRPr="001B1DB1" w14:paraId="202F6849" w14:textId="77777777" w:rsidTr="00FF556E">
        <w:trPr>
          <w:trHeight w:val="543"/>
        </w:trPr>
        <w:tc>
          <w:tcPr>
            <w:tcW w:w="709" w:type="dxa"/>
            <w:vMerge w:val="restart"/>
            <w:tcBorders>
              <w:top w:val="single" w:sz="4" w:space="0" w:color="auto"/>
              <w:left w:val="single" w:sz="4" w:space="0" w:color="auto"/>
              <w:right w:val="single" w:sz="4" w:space="0" w:color="auto"/>
            </w:tcBorders>
          </w:tcPr>
          <w:p w14:paraId="2D00C818" w14:textId="77777777" w:rsidR="00730EB8" w:rsidRPr="001B1DB1" w:rsidRDefault="00730EB8" w:rsidP="00F6007F">
            <w:pPr>
              <w:jc w:val="center"/>
              <w:rPr>
                <w:rFonts w:cs="Times New Roman"/>
                <w:bCs/>
                <w:sz w:val="20"/>
                <w:szCs w:val="20"/>
              </w:rPr>
            </w:pPr>
            <w:r w:rsidRPr="001B1DB1">
              <w:rPr>
                <w:rFonts w:cs="Times New Roman"/>
                <w:bCs/>
                <w:sz w:val="20"/>
                <w:szCs w:val="20"/>
              </w:rPr>
              <w:t>7.1.</w:t>
            </w:r>
          </w:p>
        </w:tc>
        <w:tc>
          <w:tcPr>
            <w:tcW w:w="3686" w:type="dxa"/>
            <w:vMerge w:val="restart"/>
            <w:tcBorders>
              <w:top w:val="single" w:sz="4" w:space="0" w:color="auto"/>
              <w:left w:val="single" w:sz="4" w:space="0" w:color="auto"/>
              <w:right w:val="single" w:sz="4" w:space="0" w:color="auto"/>
            </w:tcBorders>
          </w:tcPr>
          <w:p w14:paraId="12091D55" w14:textId="6B9E046B" w:rsidR="00730EB8" w:rsidRPr="001B1DB1" w:rsidRDefault="00730EB8" w:rsidP="00656CA3">
            <w:pPr>
              <w:jc w:val="both"/>
              <w:rPr>
                <w:rFonts w:cs="Times New Roman"/>
                <w:bCs/>
                <w:sz w:val="20"/>
                <w:szCs w:val="20"/>
              </w:rPr>
            </w:pPr>
            <w:r w:rsidRPr="001B1DB1">
              <w:rPr>
                <w:rFonts w:cs="Times New Roman"/>
                <w:bCs/>
                <w:sz w:val="20"/>
                <w:szCs w:val="20"/>
              </w:rPr>
              <w:t>Ieviest vienot</w:t>
            </w:r>
            <w:r w:rsidR="00ED4EEF">
              <w:rPr>
                <w:rFonts w:cs="Times New Roman"/>
                <w:bCs/>
                <w:sz w:val="20"/>
                <w:szCs w:val="20"/>
              </w:rPr>
              <w:t>u</w:t>
            </w:r>
            <w:r w:rsidRPr="001B1DB1">
              <w:rPr>
                <w:rFonts w:cs="Times New Roman"/>
                <w:bCs/>
                <w:sz w:val="20"/>
                <w:szCs w:val="20"/>
              </w:rPr>
              <w:t xml:space="preserve"> pieej</w:t>
            </w:r>
            <w:r w:rsidR="00ED4EEF">
              <w:rPr>
                <w:rFonts w:cs="Times New Roman"/>
                <w:bCs/>
                <w:sz w:val="20"/>
                <w:szCs w:val="20"/>
              </w:rPr>
              <w:t>u</w:t>
            </w:r>
            <w:r w:rsidRPr="001B1DB1">
              <w:rPr>
                <w:rFonts w:cs="Times New Roman"/>
                <w:bCs/>
                <w:sz w:val="20"/>
                <w:szCs w:val="20"/>
              </w:rPr>
              <w:t xml:space="preserve"> paralēlajām finanšu izmeklēšanām, veicot predikatīvā noziedzīgā nodarījuma izmeklēšanu.</w:t>
            </w:r>
          </w:p>
        </w:tc>
        <w:tc>
          <w:tcPr>
            <w:tcW w:w="1559" w:type="dxa"/>
            <w:vMerge w:val="restart"/>
            <w:tcBorders>
              <w:top w:val="single" w:sz="4" w:space="0" w:color="auto"/>
              <w:left w:val="single" w:sz="4" w:space="0" w:color="auto"/>
              <w:right w:val="single" w:sz="4" w:space="0" w:color="auto"/>
            </w:tcBorders>
          </w:tcPr>
          <w:p w14:paraId="02B70CD7" w14:textId="475064B9" w:rsidR="00730EB8" w:rsidRPr="001B1DB1" w:rsidRDefault="00730EB8" w:rsidP="00DF6514">
            <w:pPr>
              <w:jc w:val="both"/>
              <w:rPr>
                <w:rFonts w:cs="Times New Roman"/>
                <w:sz w:val="20"/>
                <w:szCs w:val="20"/>
              </w:rPr>
            </w:pPr>
            <w:r w:rsidRPr="001B1DB1">
              <w:rPr>
                <w:rFonts w:cs="Times New Roman"/>
                <w:sz w:val="20"/>
                <w:szCs w:val="20"/>
              </w:rPr>
              <w:t>MONEYVAL 7.1.</w:t>
            </w:r>
            <w:r w:rsidR="00DF6514" w:rsidRPr="001B1DB1">
              <w:rPr>
                <w:sz w:val="20"/>
                <w:szCs w:val="20"/>
              </w:rPr>
              <w:t xml:space="preserve"> rekomendācija</w:t>
            </w:r>
            <w:r w:rsidR="00DF6514">
              <w:rPr>
                <w:sz w:val="20"/>
                <w:szCs w:val="20"/>
              </w:rPr>
              <w:t>.</w:t>
            </w:r>
          </w:p>
        </w:tc>
        <w:tc>
          <w:tcPr>
            <w:tcW w:w="2551" w:type="dxa"/>
            <w:vMerge w:val="restart"/>
            <w:tcBorders>
              <w:top w:val="single" w:sz="4" w:space="0" w:color="auto"/>
              <w:left w:val="single" w:sz="4" w:space="0" w:color="auto"/>
              <w:right w:val="single" w:sz="4" w:space="0" w:color="auto"/>
            </w:tcBorders>
          </w:tcPr>
          <w:p w14:paraId="4374481B" w14:textId="56CD21F7" w:rsidR="00730EB8" w:rsidRPr="001B1DB1" w:rsidRDefault="00977ADA" w:rsidP="00977ADA">
            <w:pPr>
              <w:jc w:val="both"/>
              <w:rPr>
                <w:rFonts w:cs="Times New Roman"/>
                <w:sz w:val="20"/>
                <w:szCs w:val="20"/>
              </w:rPr>
            </w:pPr>
            <w:r>
              <w:rPr>
                <w:rFonts w:cs="Times New Roman"/>
                <w:sz w:val="20"/>
                <w:szCs w:val="20"/>
              </w:rPr>
              <w:t>Veiktas s</w:t>
            </w:r>
            <w:r w:rsidRPr="001B1DB1">
              <w:rPr>
                <w:rFonts w:cs="Times New Roman"/>
                <w:sz w:val="20"/>
                <w:szCs w:val="20"/>
              </w:rPr>
              <w:t xml:space="preserve">istemātiskas </w:t>
            </w:r>
            <w:r w:rsidR="00730EB8" w:rsidRPr="001B1DB1">
              <w:rPr>
                <w:rFonts w:cs="Times New Roman"/>
                <w:sz w:val="20"/>
                <w:szCs w:val="20"/>
              </w:rPr>
              <w:t>paralēlās finanšu izmeklēšanas.</w:t>
            </w:r>
          </w:p>
        </w:tc>
        <w:tc>
          <w:tcPr>
            <w:tcW w:w="2694" w:type="dxa"/>
            <w:tcBorders>
              <w:top w:val="single" w:sz="4" w:space="0" w:color="auto"/>
              <w:left w:val="single" w:sz="4" w:space="0" w:color="auto"/>
              <w:bottom w:val="single" w:sz="4" w:space="0" w:color="auto"/>
              <w:right w:val="single" w:sz="4" w:space="0" w:color="auto"/>
            </w:tcBorders>
          </w:tcPr>
          <w:p w14:paraId="5EFF0FE5" w14:textId="281C5FDA" w:rsidR="00730EB8" w:rsidRPr="001B1DB1" w:rsidRDefault="00730EB8" w:rsidP="00172808">
            <w:pPr>
              <w:jc w:val="both"/>
              <w:rPr>
                <w:rFonts w:cs="Times New Roman"/>
                <w:sz w:val="20"/>
                <w:szCs w:val="20"/>
              </w:rPr>
            </w:pPr>
            <w:r w:rsidRPr="001B1DB1">
              <w:rPr>
                <w:rFonts w:cs="Times New Roman"/>
                <w:sz w:val="20"/>
                <w:szCs w:val="20"/>
              </w:rPr>
              <w:t xml:space="preserve">1. </w:t>
            </w:r>
            <w:r w:rsidR="00F30B6C" w:rsidRPr="001B1DB1">
              <w:rPr>
                <w:rFonts w:cs="Times New Roman"/>
                <w:sz w:val="20"/>
                <w:szCs w:val="20"/>
              </w:rPr>
              <w:t>Visās izmeklēšanas iestādēs ieviesta paralēlās finanšu izmeklēšanas veikšanas sistēma.</w:t>
            </w:r>
          </w:p>
        </w:tc>
        <w:tc>
          <w:tcPr>
            <w:tcW w:w="1134" w:type="dxa"/>
            <w:tcBorders>
              <w:top w:val="single" w:sz="4" w:space="0" w:color="auto"/>
              <w:left w:val="single" w:sz="4" w:space="0" w:color="auto"/>
              <w:bottom w:val="single" w:sz="4" w:space="0" w:color="auto"/>
              <w:right w:val="single" w:sz="4" w:space="0" w:color="auto"/>
            </w:tcBorders>
          </w:tcPr>
          <w:p w14:paraId="7A11BE19" w14:textId="431FBFC8" w:rsidR="00730EB8" w:rsidRPr="001B1DB1" w:rsidRDefault="0086527B" w:rsidP="00D11C53">
            <w:pPr>
              <w:jc w:val="center"/>
              <w:rPr>
                <w:rFonts w:cs="Times New Roman"/>
                <w:bCs/>
                <w:sz w:val="20"/>
                <w:szCs w:val="20"/>
              </w:rPr>
            </w:pPr>
            <w:r w:rsidRPr="001B1DB1">
              <w:rPr>
                <w:rFonts w:cs="Times New Roman"/>
                <w:bCs/>
                <w:sz w:val="20"/>
                <w:szCs w:val="20"/>
              </w:rPr>
              <w:t xml:space="preserve">VP, IDB, VID, KNAB, VRS, </w:t>
            </w:r>
            <w:r w:rsidRPr="00833304">
              <w:rPr>
                <w:rFonts w:cs="Times New Roman"/>
                <w:bCs/>
                <w:sz w:val="20"/>
                <w:szCs w:val="20"/>
              </w:rPr>
              <w:t>MP</w:t>
            </w:r>
            <w:r w:rsidRPr="001B1DB1">
              <w:rPr>
                <w:rFonts w:cs="Times New Roman"/>
                <w:bCs/>
                <w:sz w:val="20"/>
                <w:szCs w:val="20"/>
              </w:rPr>
              <w:t>, VDD, IeVP</w:t>
            </w:r>
            <w:r w:rsidRPr="001B1DB1" w:rsidDel="0086527B">
              <w:rPr>
                <w:rFonts w:cs="Times New Roman"/>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5B6B33B" w14:textId="21E335C5" w:rsidR="00730EB8" w:rsidRPr="001B1DB1" w:rsidRDefault="00730EB8" w:rsidP="00D11C53">
            <w:pPr>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069283" w14:textId="4F7039C4" w:rsidR="00730EB8" w:rsidRPr="001B1DB1" w:rsidRDefault="0086527B" w:rsidP="001576C7">
            <w:pPr>
              <w:jc w:val="center"/>
              <w:rPr>
                <w:rFonts w:cs="Times New Roman"/>
                <w:bCs/>
                <w:sz w:val="20"/>
                <w:szCs w:val="20"/>
              </w:rPr>
            </w:pPr>
            <w:r w:rsidRPr="001B1DB1">
              <w:rPr>
                <w:rFonts w:cs="Times New Roman"/>
                <w:bCs/>
                <w:sz w:val="20"/>
                <w:szCs w:val="20"/>
              </w:rPr>
              <w:t>01.0</w:t>
            </w:r>
            <w:r w:rsidR="001576C7">
              <w:rPr>
                <w:rFonts w:cs="Times New Roman"/>
                <w:bCs/>
                <w:sz w:val="20"/>
                <w:szCs w:val="20"/>
              </w:rPr>
              <w:t>8</w:t>
            </w:r>
            <w:r w:rsidRPr="001B1DB1">
              <w:rPr>
                <w:rFonts w:cs="Times New Roman"/>
                <w:bCs/>
                <w:sz w:val="20"/>
                <w:szCs w:val="20"/>
              </w:rPr>
              <w:t>.2020</w:t>
            </w:r>
            <w:r w:rsidR="00730EB8" w:rsidRPr="001B1DB1">
              <w:rPr>
                <w:rFonts w:cs="Times New Roman"/>
                <w:bCs/>
                <w:sz w:val="20"/>
                <w:szCs w:val="20"/>
              </w:rPr>
              <w:t>.</w:t>
            </w:r>
          </w:p>
        </w:tc>
      </w:tr>
      <w:tr w:rsidR="00730EB8" w:rsidRPr="001B1DB1" w14:paraId="7617EF61" w14:textId="77777777" w:rsidTr="00FF556E">
        <w:trPr>
          <w:trHeight w:val="543"/>
        </w:trPr>
        <w:tc>
          <w:tcPr>
            <w:tcW w:w="709" w:type="dxa"/>
            <w:vMerge/>
            <w:tcBorders>
              <w:left w:val="single" w:sz="4" w:space="0" w:color="auto"/>
              <w:right w:val="single" w:sz="4" w:space="0" w:color="auto"/>
            </w:tcBorders>
          </w:tcPr>
          <w:p w14:paraId="55C070F1" w14:textId="77777777" w:rsidR="00730EB8" w:rsidRPr="001B1DB1" w:rsidRDefault="00730EB8" w:rsidP="00D137E5">
            <w:pPr>
              <w:jc w:val="center"/>
              <w:rPr>
                <w:rFonts w:cs="Times New Roman"/>
                <w:bCs/>
                <w:sz w:val="20"/>
                <w:szCs w:val="20"/>
              </w:rPr>
            </w:pPr>
          </w:p>
        </w:tc>
        <w:tc>
          <w:tcPr>
            <w:tcW w:w="3686" w:type="dxa"/>
            <w:vMerge/>
            <w:tcBorders>
              <w:left w:val="single" w:sz="4" w:space="0" w:color="auto"/>
              <w:right w:val="single" w:sz="4" w:space="0" w:color="auto"/>
            </w:tcBorders>
          </w:tcPr>
          <w:p w14:paraId="52B99EC6" w14:textId="77777777" w:rsidR="00730EB8" w:rsidRPr="001B1DB1" w:rsidRDefault="00730EB8" w:rsidP="00172808">
            <w:pPr>
              <w:jc w:val="both"/>
              <w:rPr>
                <w:rFonts w:cs="Times New Roman"/>
                <w:bCs/>
                <w:sz w:val="20"/>
                <w:szCs w:val="20"/>
              </w:rPr>
            </w:pPr>
          </w:p>
        </w:tc>
        <w:tc>
          <w:tcPr>
            <w:tcW w:w="1559" w:type="dxa"/>
            <w:vMerge/>
            <w:tcBorders>
              <w:left w:val="single" w:sz="4" w:space="0" w:color="auto"/>
              <w:right w:val="single" w:sz="4" w:space="0" w:color="auto"/>
            </w:tcBorders>
          </w:tcPr>
          <w:p w14:paraId="360CE7E0" w14:textId="77777777" w:rsidR="00730EB8" w:rsidRPr="001B1DB1" w:rsidRDefault="00730EB8" w:rsidP="00172808">
            <w:pPr>
              <w:jc w:val="both"/>
              <w:rPr>
                <w:rFonts w:cs="Times New Roman"/>
                <w:sz w:val="20"/>
                <w:szCs w:val="20"/>
              </w:rPr>
            </w:pPr>
          </w:p>
        </w:tc>
        <w:tc>
          <w:tcPr>
            <w:tcW w:w="2551" w:type="dxa"/>
            <w:vMerge/>
            <w:tcBorders>
              <w:left w:val="single" w:sz="4" w:space="0" w:color="auto"/>
              <w:right w:val="single" w:sz="4" w:space="0" w:color="auto"/>
            </w:tcBorders>
          </w:tcPr>
          <w:p w14:paraId="28283CF7" w14:textId="77777777" w:rsidR="00730EB8" w:rsidRPr="001B1DB1" w:rsidRDefault="00730EB8" w:rsidP="00172808">
            <w:pPr>
              <w:jc w:val="both"/>
              <w:rPr>
                <w:rFonts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07E73E7" w14:textId="10E73A4A" w:rsidR="00730EB8" w:rsidRPr="001B1DB1" w:rsidRDefault="00E2359B" w:rsidP="00E2359B">
            <w:pPr>
              <w:jc w:val="both"/>
              <w:rPr>
                <w:rFonts w:cs="Times New Roman"/>
                <w:sz w:val="20"/>
                <w:szCs w:val="20"/>
              </w:rPr>
            </w:pPr>
            <w:r>
              <w:rPr>
                <w:rFonts w:cs="Times New Roman"/>
                <w:sz w:val="20"/>
                <w:szCs w:val="20"/>
              </w:rPr>
              <w:t>2. I</w:t>
            </w:r>
            <w:r w:rsidR="00F30B6C" w:rsidRPr="001B1DB1">
              <w:rPr>
                <w:rFonts w:cs="Times New Roman"/>
                <w:sz w:val="20"/>
                <w:szCs w:val="20"/>
              </w:rPr>
              <w:t>zstrādāts metodiskais materiāls</w:t>
            </w:r>
            <w:r w:rsidR="00592B3C">
              <w:rPr>
                <w:rFonts w:cs="Times New Roman"/>
                <w:sz w:val="20"/>
                <w:szCs w:val="20"/>
              </w:rPr>
              <w:t xml:space="preserve"> par paralēlo finanšu izmeklēšanu veikšanu izmeklēšanas iestādē</w:t>
            </w:r>
            <w:r w:rsidR="00F30B6C"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E314E57" w14:textId="77777777" w:rsidR="00730EB8" w:rsidRPr="001B1DB1" w:rsidRDefault="00730EB8" w:rsidP="00D11C53">
            <w:pPr>
              <w:jc w:val="center"/>
              <w:rPr>
                <w:rFonts w:cs="Times New Roman"/>
                <w:bCs/>
                <w:sz w:val="20"/>
                <w:szCs w:val="20"/>
              </w:rPr>
            </w:pPr>
            <w:r w:rsidRPr="001B1DB1">
              <w:rPr>
                <w:rFonts w:cs="Times New Roman"/>
                <w:bCs/>
                <w:sz w:val="20"/>
                <w:szCs w:val="20"/>
              </w:rPr>
              <w:t>ĢP</w:t>
            </w:r>
          </w:p>
        </w:tc>
        <w:tc>
          <w:tcPr>
            <w:tcW w:w="1275" w:type="dxa"/>
            <w:tcBorders>
              <w:top w:val="single" w:sz="4" w:space="0" w:color="auto"/>
              <w:left w:val="single" w:sz="4" w:space="0" w:color="auto"/>
              <w:bottom w:val="single" w:sz="4" w:space="0" w:color="auto"/>
              <w:right w:val="single" w:sz="4" w:space="0" w:color="auto"/>
            </w:tcBorders>
          </w:tcPr>
          <w:p w14:paraId="74974F3F" w14:textId="37F3F29B" w:rsidR="00730EB8" w:rsidRPr="001B1DB1" w:rsidRDefault="00730EB8" w:rsidP="00D11C53">
            <w:pPr>
              <w:jc w:val="center"/>
              <w:rPr>
                <w:rFonts w:cs="Times New Roman"/>
                <w:bCs/>
                <w:sz w:val="20"/>
                <w:szCs w:val="20"/>
              </w:rPr>
            </w:pPr>
            <w:r w:rsidRPr="001B1DB1">
              <w:rPr>
                <w:rFonts w:cs="Times New Roman"/>
                <w:bCs/>
                <w:sz w:val="20"/>
                <w:szCs w:val="20"/>
              </w:rPr>
              <w:t xml:space="preserve">VP, IDB, VID, KNAB, VRS, </w:t>
            </w:r>
            <w:r w:rsidR="00833304" w:rsidRPr="00833304">
              <w:rPr>
                <w:rFonts w:cs="Times New Roman"/>
                <w:bCs/>
                <w:sz w:val="20"/>
                <w:szCs w:val="20"/>
              </w:rPr>
              <w:t>MP</w:t>
            </w:r>
            <w:r w:rsidRPr="001B1DB1">
              <w:rPr>
                <w:rFonts w:cs="Times New Roman"/>
                <w:bCs/>
                <w:sz w:val="20"/>
                <w:szCs w:val="20"/>
              </w:rPr>
              <w:t>, VDD, IeVP</w:t>
            </w:r>
          </w:p>
        </w:tc>
        <w:tc>
          <w:tcPr>
            <w:tcW w:w="1418" w:type="dxa"/>
            <w:tcBorders>
              <w:top w:val="single" w:sz="4" w:space="0" w:color="auto"/>
              <w:left w:val="single" w:sz="4" w:space="0" w:color="auto"/>
              <w:bottom w:val="single" w:sz="4" w:space="0" w:color="auto"/>
              <w:right w:val="single" w:sz="4" w:space="0" w:color="auto"/>
            </w:tcBorders>
          </w:tcPr>
          <w:p w14:paraId="6BC81699" w14:textId="745B2526" w:rsidR="00730EB8" w:rsidRPr="001B1DB1" w:rsidRDefault="0086527B" w:rsidP="00D11C53">
            <w:pPr>
              <w:jc w:val="center"/>
              <w:rPr>
                <w:rFonts w:cs="Times New Roman"/>
                <w:bCs/>
                <w:sz w:val="20"/>
                <w:szCs w:val="20"/>
              </w:rPr>
            </w:pPr>
            <w:r w:rsidRPr="001B1DB1">
              <w:rPr>
                <w:rFonts w:cs="Times New Roman"/>
                <w:bCs/>
                <w:sz w:val="20"/>
                <w:szCs w:val="20"/>
              </w:rPr>
              <w:t>31.</w:t>
            </w:r>
            <w:r>
              <w:rPr>
                <w:rFonts w:cs="Times New Roman"/>
                <w:bCs/>
                <w:sz w:val="20"/>
                <w:szCs w:val="20"/>
              </w:rPr>
              <w:t>03</w:t>
            </w:r>
            <w:r w:rsidRPr="001B1DB1">
              <w:rPr>
                <w:rFonts w:cs="Times New Roman"/>
                <w:bCs/>
                <w:sz w:val="20"/>
                <w:szCs w:val="20"/>
              </w:rPr>
              <w:t>.202</w:t>
            </w:r>
            <w:r>
              <w:rPr>
                <w:rFonts w:cs="Times New Roman"/>
                <w:bCs/>
                <w:sz w:val="20"/>
                <w:szCs w:val="20"/>
              </w:rPr>
              <w:t>1</w:t>
            </w:r>
            <w:r w:rsidR="0078491B">
              <w:rPr>
                <w:rFonts w:cs="Times New Roman"/>
                <w:bCs/>
                <w:sz w:val="20"/>
                <w:szCs w:val="20"/>
              </w:rPr>
              <w:t>.</w:t>
            </w:r>
          </w:p>
        </w:tc>
      </w:tr>
      <w:tr w:rsidR="00730EB8" w:rsidRPr="001B1DB1" w14:paraId="61D1B75C" w14:textId="77777777" w:rsidTr="00FF556E">
        <w:trPr>
          <w:trHeight w:val="543"/>
        </w:trPr>
        <w:tc>
          <w:tcPr>
            <w:tcW w:w="709" w:type="dxa"/>
            <w:vMerge/>
            <w:tcBorders>
              <w:left w:val="single" w:sz="4" w:space="0" w:color="auto"/>
              <w:right w:val="single" w:sz="4" w:space="0" w:color="auto"/>
            </w:tcBorders>
          </w:tcPr>
          <w:p w14:paraId="0F474990" w14:textId="77777777" w:rsidR="00730EB8" w:rsidRPr="001B1DB1" w:rsidRDefault="00730EB8" w:rsidP="00D137E5">
            <w:pPr>
              <w:jc w:val="center"/>
              <w:rPr>
                <w:rFonts w:cs="Times New Roman"/>
                <w:bCs/>
                <w:sz w:val="20"/>
                <w:szCs w:val="20"/>
              </w:rPr>
            </w:pPr>
          </w:p>
        </w:tc>
        <w:tc>
          <w:tcPr>
            <w:tcW w:w="3686" w:type="dxa"/>
            <w:vMerge/>
            <w:tcBorders>
              <w:left w:val="single" w:sz="4" w:space="0" w:color="auto"/>
              <w:bottom w:val="single" w:sz="4" w:space="0" w:color="auto"/>
              <w:right w:val="single" w:sz="4" w:space="0" w:color="auto"/>
            </w:tcBorders>
          </w:tcPr>
          <w:p w14:paraId="3CDDCD63" w14:textId="77777777" w:rsidR="00730EB8" w:rsidRPr="001B1DB1" w:rsidRDefault="00730EB8" w:rsidP="00172808">
            <w:pPr>
              <w:jc w:val="both"/>
              <w:rPr>
                <w:rFonts w:cs="Times New Roman"/>
                <w:bCs/>
                <w:sz w:val="20"/>
                <w:szCs w:val="20"/>
              </w:rPr>
            </w:pPr>
          </w:p>
        </w:tc>
        <w:tc>
          <w:tcPr>
            <w:tcW w:w="1559" w:type="dxa"/>
            <w:vMerge/>
            <w:tcBorders>
              <w:left w:val="single" w:sz="4" w:space="0" w:color="auto"/>
              <w:bottom w:val="single" w:sz="4" w:space="0" w:color="auto"/>
              <w:right w:val="single" w:sz="4" w:space="0" w:color="auto"/>
            </w:tcBorders>
          </w:tcPr>
          <w:p w14:paraId="241D3206" w14:textId="77777777" w:rsidR="00730EB8" w:rsidRPr="001B1DB1" w:rsidRDefault="00730EB8" w:rsidP="00172808">
            <w:pPr>
              <w:jc w:val="both"/>
              <w:rPr>
                <w:rFonts w:cs="Times New Roman"/>
                <w:sz w:val="20"/>
                <w:szCs w:val="20"/>
              </w:rPr>
            </w:pPr>
          </w:p>
        </w:tc>
        <w:tc>
          <w:tcPr>
            <w:tcW w:w="2551" w:type="dxa"/>
            <w:vMerge/>
            <w:tcBorders>
              <w:left w:val="single" w:sz="4" w:space="0" w:color="auto"/>
              <w:bottom w:val="single" w:sz="4" w:space="0" w:color="auto"/>
              <w:right w:val="single" w:sz="4" w:space="0" w:color="auto"/>
            </w:tcBorders>
          </w:tcPr>
          <w:p w14:paraId="0F14C89B" w14:textId="77777777" w:rsidR="00730EB8" w:rsidRPr="001B1DB1" w:rsidRDefault="00730EB8" w:rsidP="00172808">
            <w:pPr>
              <w:jc w:val="both"/>
              <w:rPr>
                <w:rFonts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B608D2B" w14:textId="54C34E0E" w:rsidR="00730EB8" w:rsidRPr="001B1DB1" w:rsidRDefault="00F30B6C" w:rsidP="00172808">
            <w:pPr>
              <w:jc w:val="both"/>
              <w:rPr>
                <w:rFonts w:cs="Times New Roman"/>
                <w:sz w:val="20"/>
                <w:szCs w:val="20"/>
              </w:rPr>
            </w:pPr>
            <w:r>
              <w:rPr>
                <w:rFonts w:cs="Times New Roman"/>
                <w:sz w:val="20"/>
                <w:szCs w:val="20"/>
              </w:rPr>
              <w:t>3. Izmeklēšanas iestādēs ieviesta vienota pieeja paralēlo finanšu izmeklēšanu veikšanai</w:t>
            </w:r>
            <w:r w:rsidR="007F1A2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2148091" w14:textId="03DF8C35" w:rsidR="00730EB8" w:rsidRPr="001B1DB1" w:rsidRDefault="00730EB8" w:rsidP="00D11C53">
            <w:pPr>
              <w:jc w:val="center"/>
              <w:rPr>
                <w:rFonts w:cs="Times New Roman"/>
                <w:bCs/>
                <w:sz w:val="20"/>
                <w:szCs w:val="20"/>
              </w:rPr>
            </w:pPr>
            <w:r w:rsidRPr="001B1DB1">
              <w:rPr>
                <w:rFonts w:cs="Times New Roman"/>
                <w:bCs/>
                <w:sz w:val="20"/>
                <w:szCs w:val="20"/>
              </w:rPr>
              <w:t xml:space="preserve">VP, VID, KNAB, VDD, VRS, IDB, </w:t>
            </w:r>
            <w:r w:rsidR="00833304" w:rsidRPr="00833304">
              <w:rPr>
                <w:rFonts w:cs="Times New Roman"/>
                <w:bCs/>
                <w:sz w:val="20"/>
                <w:szCs w:val="20"/>
              </w:rPr>
              <w:t>MP</w:t>
            </w:r>
            <w:r w:rsidRPr="001B1DB1">
              <w:rPr>
                <w:rFonts w:cs="Times New Roman"/>
                <w:bCs/>
                <w:sz w:val="20"/>
                <w:szCs w:val="20"/>
              </w:rPr>
              <w:t>, IeVP</w:t>
            </w:r>
          </w:p>
        </w:tc>
        <w:tc>
          <w:tcPr>
            <w:tcW w:w="1275" w:type="dxa"/>
            <w:tcBorders>
              <w:top w:val="single" w:sz="4" w:space="0" w:color="auto"/>
              <w:left w:val="single" w:sz="4" w:space="0" w:color="auto"/>
              <w:bottom w:val="single" w:sz="4" w:space="0" w:color="auto"/>
              <w:right w:val="single" w:sz="4" w:space="0" w:color="auto"/>
            </w:tcBorders>
          </w:tcPr>
          <w:p w14:paraId="5794FB43" w14:textId="77777777" w:rsidR="00730EB8" w:rsidRPr="001B1DB1" w:rsidRDefault="00730EB8" w:rsidP="00D11C53">
            <w:pPr>
              <w:jc w:val="center"/>
              <w:rPr>
                <w:rFonts w:cs="Times New Roman"/>
                <w:bCs/>
                <w:sz w:val="20"/>
                <w:szCs w:val="20"/>
              </w:rPr>
            </w:pPr>
            <w:r w:rsidRPr="001B1DB1">
              <w:rPr>
                <w:rFonts w:cs="Times New Roman"/>
                <w:bCs/>
                <w:sz w:val="20"/>
                <w:szCs w:val="20"/>
              </w:rPr>
              <w:t>ĢP</w:t>
            </w:r>
          </w:p>
        </w:tc>
        <w:tc>
          <w:tcPr>
            <w:tcW w:w="1418" w:type="dxa"/>
            <w:tcBorders>
              <w:top w:val="single" w:sz="4" w:space="0" w:color="auto"/>
              <w:left w:val="single" w:sz="4" w:space="0" w:color="auto"/>
              <w:bottom w:val="single" w:sz="4" w:space="0" w:color="auto"/>
              <w:right w:val="single" w:sz="4" w:space="0" w:color="auto"/>
            </w:tcBorders>
          </w:tcPr>
          <w:p w14:paraId="7F63728B" w14:textId="33980EE7" w:rsidR="00592B3C" w:rsidRDefault="00592B3C" w:rsidP="00D11C53">
            <w:pPr>
              <w:jc w:val="center"/>
              <w:rPr>
                <w:rFonts w:cs="Times New Roman"/>
                <w:bCs/>
                <w:sz w:val="20"/>
                <w:szCs w:val="20"/>
              </w:rPr>
            </w:pPr>
            <w:r>
              <w:rPr>
                <w:rFonts w:cs="Times New Roman"/>
                <w:bCs/>
                <w:sz w:val="20"/>
                <w:szCs w:val="20"/>
              </w:rPr>
              <w:t>31.12.2021.</w:t>
            </w:r>
          </w:p>
          <w:p w14:paraId="09782936" w14:textId="0AC82B71" w:rsidR="00730EB8" w:rsidRPr="001B1DB1" w:rsidRDefault="001607E4" w:rsidP="00D11C53">
            <w:pPr>
              <w:jc w:val="center"/>
              <w:rPr>
                <w:rFonts w:cs="Times New Roman"/>
                <w:bCs/>
                <w:sz w:val="20"/>
                <w:szCs w:val="20"/>
              </w:rPr>
            </w:pPr>
            <w:r w:rsidRPr="001B1DB1">
              <w:rPr>
                <w:rFonts w:cs="Times New Roman"/>
                <w:bCs/>
                <w:sz w:val="20"/>
                <w:szCs w:val="20"/>
              </w:rPr>
              <w:t>.</w:t>
            </w:r>
          </w:p>
        </w:tc>
      </w:tr>
      <w:tr w:rsidR="0010082C" w:rsidRPr="001B1DB1" w14:paraId="528EB713" w14:textId="77777777" w:rsidTr="004E6C3D">
        <w:trPr>
          <w:trHeight w:val="1659"/>
        </w:trPr>
        <w:tc>
          <w:tcPr>
            <w:tcW w:w="709" w:type="dxa"/>
            <w:vMerge w:val="restart"/>
            <w:tcBorders>
              <w:top w:val="single" w:sz="4" w:space="0" w:color="auto"/>
              <w:left w:val="single" w:sz="4" w:space="0" w:color="auto"/>
              <w:right w:val="single" w:sz="4" w:space="0" w:color="auto"/>
            </w:tcBorders>
          </w:tcPr>
          <w:p w14:paraId="16800647" w14:textId="77777777" w:rsidR="0010082C" w:rsidRPr="001B1DB1" w:rsidRDefault="0010082C" w:rsidP="00F6007F">
            <w:pPr>
              <w:jc w:val="center"/>
              <w:rPr>
                <w:rFonts w:cs="Times New Roman"/>
                <w:bCs/>
                <w:sz w:val="20"/>
                <w:szCs w:val="20"/>
              </w:rPr>
            </w:pPr>
            <w:r w:rsidRPr="001B1DB1">
              <w:rPr>
                <w:rFonts w:cs="Times New Roman"/>
                <w:bCs/>
                <w:sz w:val="20"/>
                <w:szCs w:val="20"/>
              </w:rPr>
              <w:t>7.2.</w:t>
            </w:r>
          </w:p>
        </w:tc>
        <w:tc>
          <w:tcPr>
            <w:tcW w:w="3686" w:type="dxa"/>
            <w:vMerge w:val="restart"/>
            <w:tcBorders>
              <w:top w:val="single" w:sz="4" w:space="0" w:color="auto"/>
              <w:left w:val="single" w:sz="4" w:space="0" w:color="auto"/>
              <w:right w:val="single" w:sz="4" w:space="0" w:color="auto"/>
            </w:tcBorders>
          </w:tcPr>
          <w:p w14:paraId="487D9E98" w14:textId="02BA6A05" w:rsidR="0010082C" w:rsidRPr="001B1DB1" w:rsidRDefault="0010082C" w:rsidP="00977ADA">
            <w:pPr>
              <w:jc w:val="both"/>
              <w:rPr>
                <w:rFonts w:cs="Times New Roman"/>
                <w:bCs/>
                <w:sz w:val="20"/>
                <w:szCs w:val="20"/>
              </w:rPr>
            </w:pPr>
            <w:r w:rsidRPr="001B1DB1">
              <w:rPr>
                <w:rFonts w:cs="Times New Roman"/>
                <w:bCs/>
                <w:sz w:val="20"/>
                <w:szCs w:val="20"/>
              </w:rPr>
              <w:t xml:space="preserve">Nosakot NILL apkarošanu kā prioritāti, </w:t>
            </w:r>
            <w:r>
              <w:rPr>
                <w:rFonts w:cs="Times New Roman"/>
                <w:bCs/>
                <w:sz w:val="20"/>
                <w:szCs w:val="20"/>
              </w:rPr>
              <w:t>stiprināt</w:t>
            </w:r>
            <w:r w:rsidRPr="001B1DB1">
              <w:rPr>
                <w:rFonts w:cs="Times New Roman"/>
                <w:bCs/>
                <w:sz w:val="20"/>
                <w:szCs w:val="20"/>
              </w:rPr>
              <w:t xml:space="preserve"> </w:t>
            </w:r>
            <w:r>
              <w:rPr>
                <w:rFonts w:cs="Times New Roman"/>
                <w:bCs/>
                <w:sz w:val="20"/>
                <w:szCs w:val="20"/>
              </w:rPr>
              <w:t>izmeklēšana</w:t>
            </w:r>
            <w:r w:rsidRPr="001B1DB1">
              <w:rPr>
                <w:rFonts w:cs="Times New Roman"/>
                <w:bCs/>
                <w:sz w:val="20"/>
                <w:szCs w:val="20"/>
              </w:rPr>
              <w:t>s iestāžu</w:t>
            </w:r>
            <w:r>
              <w:rPr>
                <w:rFonts w:cs="Times New Roman"/>
                <w:bCs/>
                <w:sz w:val="20"/>
                <w:szCs w:val="20"/>
              </w:rPr>
              <w:t xml:space="preserve"> un prokuratūras</w:t>
            </w:r>
            <w:r w:rsidRPr="001B1DB1">
              <w:rPr>
                <w:rFonts w:cs="Times New Roman"/>
                <w:bCs/>
                <w:sz w:val="20"/>
                <w:szCs w:val="20"/>
              </w:rPr>
              <w:t xml:space="preserve"> rīcībā esošo darba resursu kapacitāti un spēju pilnvērtīgi apstrādāt</w:t>
            </w:r>
            <w:r>
              <w:rPr>
                <w:rFonts w:cs="Times New Roman"/>
                <w:bCs/>
                <w:sz w:val="20"/>
                <w:szCs w:val="20"/>
              </w:rPr>
              <w:t xml:space="preserve"> un </w:t>
            </w:r>
            <w:r w:rsidRPr="001B1DB1">
              <w:rPr>
                <w:rFonts w:cs="Times New Roman"/>
                <w:bCs/>
                <w:sz w:val="20"/>
                <w:szCs w:val="20"/>
              </w:rPr>
              <w:t xml:space="preserve">izmeklēt potenciāli pieaugušo pārbaudāmās informācijas apjomu un  kriminālprocesu skaitu </w:t>
            </w:r>
            <w:r>
              <w:rPr>
                <w:rFonts w:cs="Times New Roman"/>
                <w:bCs/>
                <w:sz w:val="20"/>
                <w:szCs w:val="20"/>
              </w:rPr>
              <w:t>NILL</w:t>
            </w:r>
            <w:r w:rsidRPr="001B1DB1">
              <w:rPr>
                <w:rFonts w:cs="Times New Roman"/>
                <w:bCs/>
                <w:sz w:val="20"/>
                <w:szCs w:val="20"/>
              </w:rPr>
              <w:t xml:space="preserve"> jomā.</w:t>
            </w:r>
          </w:p>
        </w:tc>
        <w:tc>
          <w:tcPr>
            <w:tcW w:w="1559" w:type="dxa"/>
            <w:vMerge w:val="restart"/>
            <w:tcBorders>
              <w:top w:val="single" w:sz="4" w:space="0" w:color="auto"/>
              <w:left w:val="single" w:sz="4" w:space="0" w:color="auto"/>
              <w:right w:val="single" w:sz="4" w:space="0" w:color="auto"/>
            </w:tcBorders>
          </w:tcPr>
          <w:p w14:paraId="163A0E07" w14:textId="4B40D2ED" w:rsidR="0010082C" w:rsidRPr="001B1DB1" w:rsidRDefault="0010082C" w:rsidP="00DF6514">
            <w:pPr>
              <w:jc w:val="both"/>
              <w:rPr>
                <w:rFonts w:cs="Times New Roman"/>
                <w:sz w:val="20"/>
                <w:szCs w:val="20"/>
              </w:rPr>
            </w:pPr>
            <w:r w:rsidRPr="001B1DB1">
              <w:rPr>
                <w:rFonts w:cs="Times New Roman"/>
                <w:sz w:val="20"/>
                <w:szCs w:val="20"/>
              </w:rPr>
              <w:t>MONEYVAL 7.1. un 7.2.</w:t>
            </w:r>
            <w:r w:rsidRPr="001B1DB1">
              <w:rPr>
                <w:sz w:val="20"/>
                <w:szCs w:val="20"/>
              </w:rPr>
              <w:t xml:space="preserve"> rekomendācija</w:t>
            </w:r>
            <w:r>
              <w:rPr>
                <w:sz w:val="20"/>
                <w:szCs w:val="20"/>
              </w:rPr>
              <w:t>.</w:t>
            </w:r>
          </w:p>
        </w:tc>
        <w:tc>
          <w:tcPr>
            <w:tcW w:w="2551" w:type="dxa"/>
            <w:vMerge w:val="restart"/>
            <w:tcBorders>
              <w:top w:val="single" w:sz="4" w:space="0" w:color="auto"/>
              <w:left w:val="single" w:sz="4" w:space="0" w:color="auto"/>
              <w:right w:val="single" w:sz="4" w:space="0" w:color="auto"/>
            </w:tcBorders>
          </w:tcPr>
          <w:p w14:paraId="4C38F018" w14:textId="77777777" w:rsidR="0010082C" w:rsidRPr="001B1DB1" w:rsidRDefault="0010082C" w:rsidP="00172808">
            <w:pPr>
              <w:jc w:val="both"/>
              <w:rPr>
                <w:rFonts w:cs="Times New Roman"/>
                <w:sz w:val="20"/>
                <w:szCs w:val="20"/>
              </w:rPr>
            </w:pPr>
            <w:r w:rsidRPr="001B1DB1">
              <w:rPr>
                <w:rFonts w:cs="Times New Roman"/>
                <w:sz w:val="20"/>
                <w:szCs w:val="20"/>
              </w:rPr>
              <w:t xml:space="preserve">Stiprināta izmeklēšanas </w:t>
            </w:r>
            <w:r>
              <w:rPr>
                <w:rFonts w:cs="Times New Roman"/>
                <w:sz w:val="20"/>
                <w:szCs w:val="20"/>
              </w:rPr>
              <w:t xml:space="preserve">un kriminālvajāšanas </w:t>
            </w:r>
            <w:r w:rsidRPr="001B1DB1">
              <w:rPr>
                <w:rFonts w:cs="Times New Roman"/>
                <w:sz w:val="20"/>
                <w:szCs w:val="20"/>
              </w:rPr>
              <w:t>kapacitāte</w:t>
            </w:r>
            <w:r>
              <w:rPr>
                <w:rStyle w:val="CommentReference"/>
              </w:rPr>
              <w:t xml:space="preserve"> </w:t>
            </w:r>
            <w:r w:rsidRPr="001B1DB1">
              <w:rPr>
                <w:rFonts w:cs="Times New Roman"/>
                <w:sz w:val="20"/>
                <w:szCs w:val="20"/>
              </w:rPr>
              <w:t xml:space="preserve"> NILL </w:t>
            </w:r>
            <w:r>
              <w:rPr>
                <w:rFonts w:cs="Times New Roman"/>
                <w:sz w:val="20"/>
                <w:szCs w:val="20"/>
              </w:rPr>
              <w:t>lietās.</w:t>
            </w:r>
          </w:p>
        </w:tc>
        <w:tc>
          <w:tcPr>
            <w:tcW w:w="2694" w:type="dxa"/>
            <w:tcBorders>
              <w:top w:val="single" w:sz="4" w:space="0" w:color="auto"/>
              <w:left w:val="single" w:sz="4" w:space="0" w:color="auto"/>
              <w:right w:val="single" w:sz="4" w:space="0" w:color="auto"/>
            </w:tcBorders>
          </w:tcPr>
          <w:p w14:paraId="3F5FA27C" w14:textId="193DF69D" w:rsidR="0010082C" w:rsidRPr="0010082C" w:rsidRDefault="0010082C" w:rsidP="00977ADA">
            <w:pPr>
              <w:jc w:val="both"/>
              <w:rPr>
                <w:rFonts w:cs="Times New Roman"/>
                <w:sz w:val="20"/>
                <w:szCs w:val="20"/>
              </w:rPr>
            </w:pPr>
            <w:r>
              <w:rPr>
                <w:rFonts w:cs="Times New Roman"/>
                <w:sz w:val="20"/>
                <w:szCs w:val="20"/>
              </w:rPr>
              <w:t xml:space="preserve">1. </w:t>
            </w:r>
            <w:r w:rsidRPr="001B1DB1">
              <w:rPr>
                <w:rFonts w:cs="Times New Roman"/>
                <w:sz w:val="20"/>
                <w:szCs w:val="20"/>
              </w:rPr>
              <w:t xml:space="preserve">Sagatavots izvērtējums par </w:t>
            </w:r>
            <w:r>
              <w:rPr>
                <w:rFonts w:cs="Times New Roman"/>
                <w:sz w:val="20"/>
                <w:szCs w:val="20"/>
              </w:rPr>
              <w:t>izmeklēšanas iestāžu un prokuratūras spēju</w:t>
            </w:r>
            <w:r w:rsidRPr="00142047">
              <w:rPr>
                <w:rFonts w:cs="Times New Roman"/>
                <w:sz w:val="20"/>
                <w:szCs w:val="20"/>
              </w:rPr>
              <w:t xml:space="preserve"> pilnvērtīg</w:t>
            </w:r>
            <w:r>
              <w:rPr>
                <w:rFonts w:cs="Times New Roman"/>
                <w:sz w:val="20"/>
                <w:szCs w:val="20"/>
              </w:rPr>
              <w:t>i apkarot</w:t>
            </w:r>
            <w:r w:rsidRPr="00142047">
              <w:rPr>
                <w:rFonts w:cs="Times New Roman"/>
                <w:sz w:val="20"/>
                <w:szCs w:val="20"/>
              </w:rPr>
              <w:t xml:space="preserve"> NILL </w:t>
            </w:r>
            <w:r>
              <w:rPr>
                <w:rFonts w:cs="Times New Roman"/>
                <w:sz w:val="20"/>
                <w:szCs w:val="20"/>
              </w:rPr>
              <w:t>un nepieciešamajiem uzlabojumiem</w:t>
            </w:r>
            <w:r w:rsidRPr="00142047">
              <w:rPr>
                <w:rFonts w:cs="Times New Roman"/>
                <w:sz w:val="20"/>
                <w:szCs w:val="20"/>
              </w:rPr>
              <w:t>.</w:t>
            </w:r>
          </w:p>
        </w:tc>
        <w:tc>
          <w:tcPr>
            <w:tcW w:w="1134" w:type="dxa"/>
            <w:tcBorders>
              <w:top w:val="single" w:sz="4" w:space="0" w:color="auto"/>
              <w:left w:val="single" w:sz="4" w:space="0" w:color="auto"/>
              <w:right w:val="single" w:sz="4" w:space="0" w:color="auto"/>
            </w:tcBorders>
          </w:tcPr>
          <w:p w14:paraId="0729DC19" w14:textId="77777777" w:rsidR="0010082C" w:rsidRDefault="0010082C" w:rsidP="00D11C53">
            <w:pPr>
              <w:jc w:val="center"/>
              <w:rPr>
                <w:rFonts w:cs="Times New Roman"/>
                <w:bCs/>
                <w:sz w:val="20"/>
                <w:szCs w:val="20"/>
              </w:rPr>
            </w:pPr>
            <w:r w:rsidRPr="001B1DB1">
              <w:rPr>
                <w:rFonts w:cs="Times New Roman"/>
                <w:bCs/>
                <w:sz w:val="20"/>
                <w:szCs w:val="20"/>
              </w:rPr>
              <w:t>IeM</w:t>
            </w:r>
            <w:r>
              <w:rPr>
                <w:rFonts w:cs="Times New Roman"/>
                <w:bCs/>
                <w:sz w:val="20"/>
                <w:szCs w:val="20"/>
              </w:rPr>
              <w:t>, TM, FM, AM, KNAB, ĢP</w:t>
            </w:r>
          </w:p>
          <w:p w14:paraId="52E939C0" w14:textId="3E7F8EFF" w:rsidR="0010082C" w:rsidRPr="001B1DB1" w:rsidRDefault="0010082C" w:rsidP="00D11C53">
            <w:pPr>
              <w:jc w:val="center"/>
              <w:rPr>
                <w:rFonts w:cs="Times New Roman"/>
                <w:bCs/>
                <w:sz w:val="20"/>
                <w:szCs w:val="20"/>
              </w:rPr>
            </w:pPr>
          </w:p>
        </w:tc>
        <w:tc>
          <w:tcPr>
            <w:tcW w:w="1275" w:type="dxa"/>
            <w:tcBorders>
              <w:top w:val="single" w:sz="4" w:space="0" w:color="auto"/>
              <w:left w:val="single" w:sz="4" w:space="0" w:color="auto"/>
              <w:right w:val="single" w:sz="4" w:space="0" w:color="auto"/>
            </w:tcBorders>
          </w:tcPr>
          <w:p w14:paraId="58595842" w14:textId="3772F113" w:rsidR="0010082C" w:rsidRPr="001B1DB1" w:rsidRDefault="0010082C" w:rsidP="00D11C53">
            <w:pPr>
              <w:jc w:val="center"/>
              <w:rPr>
                <w:rFonts w:cs="Times New Roman"/>
                <w:bCs/>
                <w:sz w:val="20"/>
                <w:szCs w:val="20"/>
              </w:rPr>
            </w:pPr>
            <w:r w:rsidRPr="001B1DB1">
              <w:rPr>
                <w:rFonts w:cs="Times New Roman"/>
                <w:bCs/>
                <w:sz w:val="20"/>
                <w:szCs w:val="20"/>
              </w:rPr>
              <w:t xml:space="preserve">VP, VID, VDD, VRS, IDB, </w:t>
            </w:r>
            <w:r w:rsidRPr="00833304">
              <w:rPr>
                <w:rFonts w:cs="Times New Roman"/>
                <w:bCs/>
                <w:sz w:val="20"/>
                <w:szCs w:val="20"/>
              </w:rPr>
              <w:t>MP</w:t>
            </w:r>
            <w:r w:rsidRPr="001B1DB1">
              <w:rPr>
                <w:rFonts w:cs="Times New Roman"/>
                <w:bCs/>
                <w:sz w:val="20"/>
                <w:szCs w:val="20"/>
              </w:rPr>
              <w:t>, IeVP</w:t>
            </w:r>
          </w:p>
        </w:tc>
        <w:tc>
          <w:tcPr>
            <w:tcW w:w="1418" w:type="dxa"/>
            <w:tcBorders>
              <w:top w:val="single" w:sz="4" w:space="0" w:color="auto"/>
              <w:left w:val="single" w:sz="4" w:space="0" w:color="auto"/>
              <w:right w:val="single" w:sz="4" w:space="0" w:color="auto"/>
            </w:tcBorders>
          </w:tcPr>
          <w:p w14:paraId="49FE89B7" w14:textId="77A09B6B" w:rsidR="0010082C" w:rsidRDefault="0010082C" w:rsidP="0078491B">
            <w:pPr>
              <w:jc w:val="center"/>
              <w:rPr>
                <w:rFonts w:cs="Times New Roman"/>
                <w:bCs/>
                <w:sz w:val="20"/>
                <w:szCs w:val="20"/>
              </w:rPr>
            </w:pPr>
            <w:r>
              <w:rPr>
                <w:rFonts w:cs="Times New Roman"/>
                <w:bCs/>
                <w:sz w:val="20"/>
                <w:szCs w:val="20"/>
              </w:rPr>
              <w:t>Reizi gadā līdz</w:t>
            </w:r>
          </w:p>
          <w:p w14:paraId="42B2DAD1" w14:textId="67AD1F8F" w:rsidR="0010082C" w:rsidRPr="0077253B" w:rsidRDefault="0010082C" w:rsidP="0078491B">
            <w:pPr>
              <w:jc w:val="center"/>
              <w:rPr>
                <w:rFonts w:cs="Times New Roman"/>
                <w:bCs/>
                <w:sz w:val="20"/>
                <w:szCs w:val="20"/>
              </w:rPr>
            </w:pPr>
            <w:r>
              <w:rPr>
                <w:rFonts w:cs="Times New Roman"/>
                <w:bCs/>
                <w:sz w:val="20"/>
                <w:szCs w:val="20"/>
              </w:rPr>
              <w:t>katra gada 1.septembrim</w:t>
            </w:r>
          </w:p>
          <w:p w14:paraId="0E8F3601" w14:textId="77777777" w:rsidR="0010082C" w:rsidRDefault="0010082C" w:rsidP="0078491B">
            <w:pPr>
              <w:jc w:val="center"/>
              <w:rPr>
                <w:rFonts w:cs="Times New Roman"/>
                <w:bCs/>
                <w:sz w:val="20"/>
                <w:szCs w:val="20"/>
              </w:rPr>
            </w:pPr>
          </w:p>
          <w:p w14:paraId="769BD030" w14:textId="3E9DB3D0" w:rsidR="0010082C" w:rsidRPr="0077253B" w:rsidRDefault="0010082C" w:rsidP="0078491B">
            <w:pPr>
              <w:jc w:val="center"/>
              <w:rPr>
                <w:sz w:val="20"/>
                <w:highlight w:val="yellow"/>
              </w:rPr>
            </w:pPr>
          </w:p>
        </w:tc>
      </w:tr>
      <w:tr w:rsidR="0010082C" w:rsidRPr="001B1DB1" w14:paraId="0AE8B13A" w14:textId="77777777" w:rsidTr="00C842AB">
        <w:trPr>
          <w:trHeight w:val="1408"/>
        </w:trPr>
        <w:tc>
          <w:tcPr>
            <w:tcW w:w="709" w:type="dxa"/>
            <w:vMerge/>
            <w:tcBorders>
              <w:left w:val="single" w:sz="4" w:space="0" w:color="auto"/>
              <w:right w:val="single" w:sz="4" w:space="0" w:color="auto"/>
            </w:tcBorders>
          </w:tcPr>
          <w:p w14:paraId="481234A2" w14:textId="77777777" w:rsidR="0010082C" w:rsidRPr="001B1DB1" w:rsidRDefault="0010082C" w:rsidP="0077253B">
            <w:pPr>
              <w:rPr>
                <w:rFonts w:cs="Times New Roman"/>
                <w:bCs/>
                <w:sz w:val="20"/>
                <w:szCs w:val="20"/>
              </w:rPr>
            </w:pPr>
          </w:p>
        </w:tc>
        <w:tc>
          <w:tcPr>
            <w:tcW w:w="3686" w:type="dxa"/>
            <w:vMerge/>
            <w:tcBorders>
              <w:left w:val="single" w:sz="4" w:space="0" w:color="auto"/>
              <w:right w:val="single" w:sz="4" w:space="0" w:color="auto"/>
            </w:tcBorders>
          </w:tcPr>
          <w:p w14:paraId="7D7A17CB" w14:textId="77777777" w:rsidR="0010082C" w:rsidRPr="001B1DB1" w:rsidRDefault="0010082C" w:rsidP="00172808">
            <w:pPr>
              <w:jc w:val="both"/>
              <w:rPr>
                <w:rFonts w:cs="Times New Roman"/>
                <w:bCs/>
                <w:sz w:val="20"/>
                <w:szCs w:val="20"/>
              </w:rPr>
            </w:pPr>
          </w:p>
        </w:tc>
        <w:tc>
          <w:tcPr>
            <w:tcW w:w="1559" w:type="dxa"/>
            <w:vMerge/>
            <w:tcBorders>
              <w:left w:val="single" w:sz="4" w:space="0" w:color="auto"/>
              <w:right w:val="single" w:sz="4" w:space="0" w:color="auto"/>
            </w:tcBorders>
          </w:tcPr>
          <w:p w14:paraId="4FEFCAFE" w14:textId="77777777" w:rsidR="0010082C" w:rsidRPr="001B1DB1" w:rsidRDefault="0010082C" w:rsidP="00172808">
            <w:pPr>
              <w:jc w:val="both"/>
              <w:rPr>
                <w:rFonts w:cs="Times New Roman"/>
                <w:sz w:val="20"/>
                <w:szCs w:val="20"/>
              </w:rPr>
            </w:pPr>
          </w:p>
        </w:tc>
        <w:tc>
          <w:tcPr>
            <w:tcW w:w="2551" w:type="dxa"/>
            <w:vMerge/>
            <w:tcBorders>
              <w:left w:val="single" w:sz="4" w:space="0" w:color="auto"/>
              <w:right w:val="single" w:sz="4" w:space="0" w:color="auto"/>
            </w:tcBorders>
          </w:tcPr>
          <w:p w14:paraId="3D4B630A" w14:textId="4481EC00" w:rsidR="0010082C" w:rsidRPr="001B1DB1" w:rsidRDefault="0010082C" w:rsidP="009A23B9">
            <w:pPr>
              <w:jc w:val="both"/>
              <w:rPr>
                <w:rFonts w:cs="Times New Roman"/>
                <w:sz w:val="20"/>
                <w:szCs w:val="20"/>
              </w:rPr>
            </w:pPr>
          </w:p>
        </w:tc>
        <w:tc>
          <w:tcPr>
            <w:tcW w:w="2694" w:type="dxa"/>
            <w:tcBorders>
              <w:top w:val="single" w:sz="4" w:space="0" w:color="auto"/>
              <w:left w:val="single" w:sz="4" w:space="0" w:color="auto"/>
              <w:right w:val="single" w:sz="4" w:space="0" w:color="auto"/>
            </w:tcBorders>
          </w:tcPr>
          <w:p w14:paraId="10235EA3" w14:textId="2301035E" w:rsidR="0010082C" w:rsidRPr="001B1DB1" w:rsidRDefault="0010082C" w:rsidP="00172808">
            <w:pPr>
              <w:jc w:val="both"/>
              <w:rPr>
                <w:rFonts w:cs="Times New Roman"/>
                <w:sz w:val="20"/>
                <w:szCs w:val="20"/>
              </w:rPr>
            </w:pPr>
            <w:r>
              <w:rPr>
                <w:rFonts w:cs="Times New Roman"/>
                <w:sz w:val="20"/>
                <w:szCs w:val="20"/>
              </w:rPr>
              <w:t xml:space="preserve">2. Sastādīts plāns </w:t>
            </w:r>
            <w:r w:rsidRPr="0077253B">
              <w:rPr>
                <w:rFonts w:cs="Times New Roman"/>
                <w:sz w:val="20"/>
                <w:szCs w:val="20"/>
              </w:rPr>
              <w:t>izmeklēšanas iestāžu un prokuratūras kapacitātes stiprināšanai, novirzot nepieciešamos resursus pilnvērtīgai NILL apkarošanai.</w:t>
            </w:r>
          </w:p>
        </w:tc>
        <w:tc>
          <w:tcPr>
            <w:tcW w:w="1134" w:type="dxa"/>
            <w:tcBorders>
              <w:top w:val="single" w:sz="4" w:space="0" w:color="auto"/>
              <w:left w:val="single" w:sz="4" w:space="0" w:color="auto"/>
              <w:right w:val="single" w:sz="4" w:space="0" w:color="auto"/>
            </w:tcBorders>
          </w:tcPr>
          <w:p w14:paraId="37F24B30" w14:textId="0D2C6F5B" w:rsidR="0010082C" w:rsidRPr="001B1DB1" w:rsidRDefault="0010082C" w:rsidP="0077253B">
            <w:pPr>
              <w:jc w:val="center"/>
              <w:rPr>
                <w:rFonts w:cs="Times New Roman"/>
                <w:bCs/>
                <w:sz w:val="20"/>
                <w:szCs w:val="20"/>
              </w:rPr>
            </w:pPr>
            <w:r w:rsidRPr="001B1DB1">
              <w:rPr>
                <w:rFonts w:cs="Times New Roman"/>
                <w:bCs/>
                <w:sz w:val="20"/>
                <w:szCs w:val="20"/>
              </w:rPr>
              <w:t>IeM</w:t>
            </w:r>
            <w:r>
              <w:rPr>
                <w:rFonts w:cs="Times New Roman"/>
                <w:bCs/>
                <w:sz w:val="20"/>
                <w:szCs w:val="20"/>
              </w:rPr>
              <w:t>, TM, FM, AM, KNAB, ĢP</w:t>
            </w:r>
          </w:p>
        </w:tc>
        <w:tc>
          <w:tcPr>
            <w:tcW w:w="1275" w:type="dxa"/>
            <w:tcBorders>
              <w:top w:val="single" w:sz="4" w:space="0" w:color="auto"/>
              <w:left w:val="single" w:sz="4" w:space="0" w:color="auto"/>
              <w:right w:val="single" w:sz="4" w:space="0" w:color="auto"/>
            </w:tcBorders>
          </w:tcPr>
          <w:p w14:paraId="653B3E36" w14:textId="77777777" w:rsidR="0010082C" w:rsidRPr="001B1DB1" w:rsidRDefault="0010082C" w:rsidP="00D11C53">
            <w:pPr>
              <w:jc w:val="center"/>
              <w:rPr>
                <w:rFonts w:cs="Times New Roman"/>
                <w:bCs/>
                <w:sz w:val="20"/>
                <w:szCs w:val="20"/>
              </w:rPr>
            </w:pPr>
            <w:r w:rsidRPr="001B1DB1">
              <w:rPr>
                <w:rFonts w:cs="Times New Roman"/>
                <w:bCs/>
                <w:sz w:val="20"/>
                <w:szCs w:val="20"/>
              </w:rPr>
              <w:t xml:space="preserve">VP, VID, VDD, VRS, IDB, </w:t>
            </w:r>
            <w:r w:rsidRPr="00833304">
              <w:rPr>
                <w:rFonts w:cs="Times New Roman"/>
                <w:bCs/>
                <w:sz w:val="20"/>
                <w:szCs w:val="20"/>
              </w:rPr>
              <w:t>MP</w:t>
            </w:r>
            <w:r w:rsidRPr="001B1DB1">
              <w:rPr>
                <w:rFonts w:cs="Times New Roman"/>
                <w:bCs/>
                <w:sz w:val="20"/>
                <w:szCs w:val="20"/>
              </w:rPr>
              <w:t>, IeVP</w:t>
            </w:r>
          </w:p>
        </w:tc>
        <w:tc>
          <w:tcPr>
            <w:tcW w:w="1418" w:type="dxa"/>
            <w:tcBorders>
              <w:top w:val="single" w:sz="4" w:space="0" w:color="auto"/>
              <w:left w:val="single" w:sz="4" w:space="0" w:color="auto"/>
              <w:right w:val="single" w:sz="4" w:space="0" w:color="auto"/>
            </w:tcBorders>
          </w:tcPr>
          <w:p w14:paraId="2CCE8C4A" w14:textId="3CE00740" w:rsidR="0010082C" w:rsidRPr="001B1DB1" w:rsidRDefault="0010082C" w:rsidP="0078491B">
            <w:pPr>
              <w:jc w:val="center"/>
              <w:rPr>
                <w:rFonts w:cs="Times New Roman"/>
                <w:bCs/>
                <w:sz w:val="20"/>
                <w:szCs w:val="20"/>
              </w:rPr>
            </w:pPr>
            <w:r>
              <w:rPr>
                <w:rFonts w:cs="Times New Roman"/>
                <w:bCs/>
                <w:sz w:val="20"/>
                <w:szCs w:val="20"/>
              </w:rPr>
              <w:t>Reizi gadā līdz katra gada 1.martam</w:t>
            </w:r>
          </w:p>
        </w:tc>
      </w:tr>
      <w:tr w:rsidR="0010082C" w:rsidRPr="001B1DB1" w14:paraId="44686605" w14:textId="77777777" w:rsidTr="00C842AB">
        <w:trPr>
          <w:trHeight w:val="1835"/>
        </w:trPr>
        <w:tc>
          <w:tcPr>
            <w:tcW w:w="709" w:type="dxa"/>
            <w:vMerge/>
            <w:tcBorders>
              <w:left w:val="single" w:sz="4" w:space="0" w:color="auto"/>
              <w:right w:val="single" w:sz="4" w:space="0" w:color="auto"/>
            </w:tcBorders>
          </w:tcPr>
          <w:p w14:paraId="538D0959" w14:textId="77777777" w:rsidR="0010082C" w:rsidRPr="001B1DB1" w:rsidRDefault="0010082C" w:rsidP="0077253B">
            <w:pPr>
              <w:rPr>
                <w:rFonts w:cs="Times New Roman"/>
                <w:bCs/>
                <w:sz w:val="20"/>
                <w:szCs w:val="20"/>
              </w:rPr>
            </w:pPr>
          </w:p>
        </w:tc>
        <w:tc>
          <w:tcPr>
            <w:tcW w:w="3686" w:type="dxa"/>
            <w:vMerge/>
            <w:tcBorders>
              <w:left w:val="single" w:sz="4" w:space="0" w:color="auto"/>
              <w:right w:val="single" w:sz="4" w:space="0" w:color="auto"/>
            </w:tcBorders>
          </w:tcPr>
          <w:p w14:paraId="64AC7DF0" w14:textId="77777777" w:rsidR="0010082C" w:rsidRPr="001B1DB1" w:rsidRDefault="0010082C" w:rsidP="00172808">
            <w:pPr>
              <w:jc w:val="both"/>
              <w:rPr>
                <w:rFonts w:cs="Times New Roman"/>
                <w:bCs/>
                <w:sz w:val="20"/>
                <w:szCs w:val="20"/>
              </w:rPr>
            </w:pPr>
          </w:p>
        </w:tc>
        <w:tc>
          <w:tcPr>
            <w:tcW w:w="1559" w:type="dxa"/>
            <w:vMerge/>
            <w:tcBorders>
              <w:left w:val="single" w:sz="4" w:space="0" w:color="auto"/>
              <w:right w:val="single" w:sz="4" w:space="0" w:color="auto"/>
            </w:tcBorders>
          </w:tcPr>
          <w:p w14:paraId="48683B86" w14:textId="77777777" w:rsidR="0010082C" w:rsidRPr="001B1DB1" w:rsidRDefault="0010082C" w:rsidP="00172808">
            <w:pPr>
              <w:jc w:val="both"/>
              <w:rPr>
                <w:rFonts w:cs="Times New Roman"/>
                <w:sz w:val="20"/>
                <w:szCs w:val="20"/>
              </w:rPr>
            </w:pPr>
          </w:p>
        </w:tc>
        <w:tc>
          <w:tcPr>
            <w:tcW w:w="2551" w:type="dxa"/>
            <w:vMerge/>
            <w:tcBorders>
              <w:left w:val="single" w:sz="4" w:space="0" w:color="auto"/>
              <w:right w:val="single" w:sz="4" w:space="0" w:color="auto"/>
            </w:tcBorders>
          </w:tcPr>
          <w:p w14:paraId="61C06DA0" w14:textId="77777777" w:rsidR="0010082C" w:rsidRPr="001B1DB1" w:rsidRDefault="0010082C" w:rsidP="009A23B9">
            <w:pPr>
              <w:jc w:val="both"/>
              <w:rPr>
                <w:rFonts w:cs="Times New Roman"/>
                <w:sz w:val="20"/>
                <w:szCs w:val="20"/>
              </w:rPr>
            </w:pPr>
          </w:p>
        </w:tc>
        <w:tc>
          <w:tcPr>
            <w:tcW w:w="2694" w:type="dxa"/>
            <w:tcBorders>
              <w:top w:val="single" w:sz="4" w:space="0" w:color="auto"/>
              <w:left w:val="single" w:sz="4" w:space="0" w:color="auto"/>
              <w:right w:val="single" w:sz="4" w:space="0" w:color="auto"/>
            </w:tcBorders>
          </w:tcPr>
          <w:p w14:paraId="2E3A8D2F" w14:textId="6C3137ED" w:rsidR="00384138" w:rsidRPr="00224F33" w:rsidRDefault="0010082C" w:rsidP="00CD34DD">
            <w:pPr>
              <w:jc w:val="both"/>
              <w:rPr>
                <w:rFonts w:cs="Times New Roman"/>
                <w:sz w:val="20"/>
                <w:szCs w:val="20"/>
              </w:rPr>
            </w:pPr>
            <w:r>
              <w:rPr>
                <w:rFonts w:cs="Times New Roman"/>
                <w:sz w:val="20"/>
                <w:szCs w:val="20"/>
              </w:rPr>
              <w:t>3.</w:t>
            </w:r>
            <w:r w:rsidR="00CD34DD">
              <w:rPr>
                <w:rFonts w:cs="Times New Roman"/>
                <w:sz w:val="20"/>
                <w:szCs w:val="20"/>
              </w:rPr>
              <w:t xml:space="preserve"> </w:t>
            </w:r>
            <w:r w:rsidR="00384138">
              <w:rPr>
                <w:rFonts w:cs="Times New Roman"/>
                <w:sz w:val="20"/>
                <w:szCs w:val="20"/>
              </w:rPr>
              <w:t>Piešķirts finansējums jaunu amata vietu izveidei VP</w:t>
            </w:r>
            <w:r w:rsidR="00CD34DD">
              <w:t xml:space="preserve"> </w:t>
            </w:r>
            <w:r w:rsidR="00CD34DD" w:rsidRPr="00CD34DD">
              <w:rPr>
                <w:rFonts w:cs="Times New Roman"/>
                <w:sz w:val="20"/>
                <w:szCs w:val="20"/>
              </w:rPr>
              <w:t>Galve</w:t>
            </w:r>
            <w:r w:rsidR="00CD34DD">
              <w:rPr>
                <w:rFonts w:cs="Times New Roman"/>
                <w:sz w:val="20"/>
                <w:szCs w:val="20"/>
              </w:rPr>
              <w:t>nās kriminālpolicijas pārvaldes</w:t>
            </w:r>
            <w:r w:rsidR="00CD34DD" w:rsidRPr="00CD34DD">
              <w:rPr>
                <w:rFonts w:cs="Times New Roman"/>
                <w:sz w:val="20"/>
                <w:szCs w:val="20"/>
              </w:rPr>
              <w:t xml:space="preserve"> Ekonomisko noziegumu apkarošanas pārvald</w:t>
            </w:r>
            <w:r w:rsidR="00CD34DD">
              <w:rPr>
                <w:rFonts w:cs="Times New Roman"/>
                <w:sz w:val="20"/>
                <w:szCs w:val="20"/>
              </w:rPr>
              <w:t xml:space="preserve">ē un </w:t>
            </w:r>
            <w:r w:rsidR="00CD34DD" w:rsidRPr="00CD34DD">
              <w:rPr>
                <w:rFonts w:cs="Times New Roman"/>
                <w:sz w:val="20"/>
                <w:szCs w:val="20"/>
              </w:rPr>
              <w:t>Krimi</w:t>
            </w:r>
            <w:r w:rsidR="00CD34DD">
              <w:rPr>
                <w:rFonts w:cs="Times New Roman"/>
                <w:sz w:val="20"/>
                <w:szCs w:val="20"/>
              </w:rPr>
              <w:t>nālizlūkošanas vadības pārvaldē.</w:t>
            </w:r>
          </w:p>
        </w:tc>
        <w:tc>
          <w:tcPr>
            <w:tcW w:w="1134" w:type="dxa"/>
            <w:tcBorders>
              <w:top w:val="single" w:sz="4" w:space="0" w:color="auto"/>
              <w:left w:val="single" w:sz="4" w:space="0" w:color="auto"/>
              <w:right w:val="single" w:sz="4" w:space="0" w:color="auto"/>
            </w:tcBorders>
          </w:tcPr>
          <w:p w14:paraId="174719CC" w14:textId="48FBE381" w:rsidR="0010082C" w:rsidRPr="001B1DB1" w:rsidRDefault="0010082C" w:rsidP="0077253B">
            <w:pPr>
              <w:jc w:val="center"/>
              <w:rPr>
                <w:rFonts w:cs="Times New Roman"/>
                <w:bCs/>
                <w:sz w:val="20"/>
                <w:szCs w:val="20"/>
              </w:rPr>
            </w:pPr>
            <w:r>
              <w:rPr>
                <w:rFonts w:cs="Times New Roman"/>
                <w:bCs/>
                <w:sz w:val="20"/>
                <w:szCs w:val="20"/>
              </w:rPr>
              <w:t>VP</w:t>
            </w:r>
          </w:p>
        </w:tc>
        <w:tc>
          <w:tcPr>
            <w:tcW w:w="1275" w:type="dxa"/>
            <w:tcBorders>
              <w:top w:val="single" w:sz="4" w:space="0" w:color="auto"/>
              <w:left w:val="single" w:sz="4" w:space="0" w:color="auto"/>
              <w:right w:val="single" w:sz="4" w:space="0" w:color="auto"/>
            </w:tcBorders>
          </w:tcPr>
          <w:p w14:paraId="1DB552CC" w14:textId="77777777" w:rsidR="0010082C" w:rsidRPr="001B1DB1" w:rsidRDefault="0010082C" w:rsidP="00D11C53">
            <w:pPr>
              <w:jc w:val="center"/>
              <w:rPr>
                <w:rFonts w:cs="Times New Roman"/>
                <w:bCs/>
                <w:sz w:val="20"/>
                <w:szCs w:val="20"/>
              </w:rPr>
            </w:pPr>
          </w:p>
        </w:tc>
        <w:tc>
          <w:tcPr>
            <w:tcW w:w="1418" w:type="dxa"/>
            <w:tcBorders>
              <w:top w:val="single" w:sz="4" w:space="0" w:color="auto"/>
              <w:left w:val="single" w:sz="4" w:space="0" w:color="auto"/>
              <w:right w:val="single" w:sz="4" w:space="0" w:color="auto"/>
            </w:tcBorders>
          </w:tcPr>
          <w:p w14:paraId="50360B9D" w14:textId="317D8512" w:rsidR="0010082C" w:rsidRDefault="0010082C" w:rsidP="0078491B">
            <w:pPr>
              <w:jc w:val="center"/>
              <w:rPr>
                <w:rFonts w:cs="Times New Roman"/>
                <w:bCs/>
                <w:sz w:val="20"/>
                <w:szCs w:val="20"/>
              </w:rPr>
            </w:pPr>
            <w:r w:rsidRPr="00561835">
              <w:rPr>
                <w:rFonts w:cs="Times New Roman"/>
                <w:bCs/>
                <w:sz w:val="20"/>
                <w:szCs w:val="20"/>
              </w:rPr>
              <w:t>31.12.2021.</w:t>
            </w:r>
          </w:p>
        </w:tc>
      </w:tr>
      <w:tr w:rsidR="003B3C3C" w:rsidRPr="001B1DB1" w14:paraId="7151FBB3" w14:textId="77777777" w:rsidTr="00FF556E">
        <w:trPr>
          <w:trHeight w:val="543"/>
        </w:trPr>
        <w:tc>
          <w:tcPr>
            <w:tcW w:w="709" w:type="dxa"/>
            <w:tcBorders>
              <w:top w:val="single" w:sz="4" w:space="0" w:color="auto"/>
              <w:left w:val="single" w:sz="4" w:space="0" w:color="auto"/>
              <w:right w:val="single" w:sz="4" w:space="0" w:color="auto"/>
            </w:tcBorders>
          </w:tcPr>
          <w:p w14:paraId="1BE3B658" w14:textId="77777777" w:rsidR="003B3C3C" w:rsidRPr="001B1DB1" w:rsidRDefault="003B3C3C" w:rsidP="00F6007F">
            <w:pPr>
              <w:jc w:val="center"/>
              <w:rPr>
                <w:rFonts w:cs="Times New Roman"/>
                <w:bCs/>
                <w:sz w:val="20"/>
                <w:szCs w:val="20"/>
              </w:rPr>
            </w:pPr>
            <w:r w:rsidRPr="001B1DB1">
              <w:rPr>
                <w:rFonts w:cs="Times New Roman"/>
                <w:bCs/>
                <w:sz w:val="20"/>
                <w:szCs w:val="20"/>
              </w:rPr>
              <w:t>7.3.</w:t>
            </w:r>
          </w:p>
        </w:tc>
        <w:tc>
          <w:tcPr>
            <w:tcW w:w="3686" w:type="dxa"/>
            <w:tcBorders>
              <w:top w:val="single" w:sz="4" w:space="0" w:color="auto"/>
              <w:left w:val="single" w:sz="4" w:space="0" w:color="auto"/>
              <w:right w:val="single" w:sz="4" w:space="0" w:color="auto"/>
            </w:tcBorders>
          </w:tcPr>
          <w:p w14:paraId="09D71142" w14:textId="77777777" w:rsidR="003B3C3C" w:rsidRPr="001B1DB1" w:rsidRDefault="003B3C3C" w:rsidP="00172808">
            <w:pPr>
              <w:jc w:val="both"/>
              <w:rPr>
                <w:rFonts w:cs="Times New Roman"/>
                <w:bCs/>
                <w:sz w:val="20"/>
                <w:szCs w:val="20"/>
              </w:rPr>
            </w:pPr>
            <w:r w:rsidRPr="001B1DB1">
              <w:rPr>
                <w:rFonts w:cs="Times New Roman"/>
                <w:bCs/>
                <w:sz w:val="20"/>
                <w:szCs w:val="20"/>
              </w:rPr>
              <w:t>Prakses vadlīniju vienotas pieejas nodrošināšanai NILL izmeklēšanā, pierādījumu minimālā apjoma nodrošināšanai regulāra pilnveidošana.</w:t>
            </w:r>
          </w:p>
        </w:tc>
        <w:tc>
          <w:tcPr>
            <w:tcW w:w="1559" w:type="dxa"/>
            <w:tcBorders>
              <w:top w:val="single" w:sz="4" w:space="0" w:color="auto"/>
              <w:left w:val="single" w:sz="4" w:space="0" w:color="auto"/>
              <w:right w:val="single" w:sz="4" w:space="0" w:color="auto"/>
            </w:tcBorders>
          </w:tcPr>
          <w:p w14:paraId="1ABDC8CD" w14:textId="3F2B6F9B" w:rsidR="003B3C3C" w:rsidRPr="001B1DB1" w:rsidRDefault="003B3C3C" w:rsidP="00DF6514">
            <w:pPr>
              <w:jc w:val="both"/>
              <w:rPr>
                <w:rFonts w:cs="Times New Roman"/>
                <w:sz w:val="20"/>
                <w:szCs w:val="20"/>
              </w:rPr>
            </w:pPr>
            <w:r w:rsidRPr="001B1DB1">
              <w:rPr>
                <w:rFonts w:cs="Times New Roman"/>
                <w:sz w:val="20"/>
                <w:szCs w:val="20"/>
              </w:rPr>
              <w:t>MONEYVAL 7.1.</w:t>
            </w:r>
            <w:r w:rsidR="00DF6514">
              <w:rPr>
                <w:rFonts w:cs="Times New Roman"/>
                <w:sz w:val="20"/>
                <w:szCs w:val="20"/>
              </w:rPr>
              <w:t xml:space="preserve"> un</w:t>
            </w:r>
            <w:r w:rsidRPr="001B1DB1">
              <w:rPr>
                <w:rFonts w:cs="Times New Roman"/>
                <w:sz w:val="20"/>
                <w:szCs w:val="20"/>
              </w:rPr>
              <w:t xml:space="preserve"> 7.3.</w:t>
            </w:r>
            <w:r w:rsidR="00DF6514" w:rsidRPr="001B1DB1">
              <w:rPr>
                <w:sz w:val="20"/>
                <w:szCs w:val="20"/>
              </w:rPr>
              <w:t xml:space="preserve"> rekomendācija</w:t>
            </w:r>
            <w:r w:rsidR="00DF6514">
              <w:rPr>
                <w:sz w:val="20"/>
                <w:szCs w:val="20"/>
              </w:rPr>
              <w:t>;</w:t>
            </w:r>
            <w:r w:rsidRPr="001B1DB1">
              <w:rPr>
                <w:rFonts w:cs="Times New Roman"/>
                <w:sz w:val="20"/>
                <w:szCs w:val="20"/>
              </w:rPr>
              <w:t xml:space="preserve"> Papildināts Latvijas Nacionālais NILLTF risku novērtēšanas ziņojums, 1.3.7.</w:t>
            </w:r>
            <w:r w:rsidR="003724F4">
              <w:rPr>
                <w:rFonts w:cs="Times New Roman"/>
                <w:sz w:val="20"/>
                <w:szCs w:val="20"/>
              </w:rPr>
              <w:t xml:space="preserve"> </w:t>
            </w:r>
            <w:r w:rsidRPr="001B1DB1">
              <w:rPr>
                <w:rFonts w:cs="Times New Roman"/>
                <w:sz w:val="20"/>
                <w:szCs w:val="20"/>
              </w:rPr>
              <w:t>apakšpunkts, 8.</w:t>
            </w:r>
            <w:r w:rsidR="003724F4">
              <w:rPr>
                <w:rFonts w:cs="Times New Roman"/>
                <w:sz w:val="20"/>
                <w:szCs w:val="20"/>
              </w:rPr>
              <w:t xml:space="preserve"> </w:t>
            </w:r>
            <w:r w:rsidRPr="001B1DB1">
              <w:rPr>
                <w:rFonts w:cs="Times New Roman"/>
                <w:sz w:val="20"/>
                <w:szCs w:val="20"/>
              </w:rPr>
              <w:t>lpp.</w:t>
            </w:r>
          </w:p>
        </w:tc>
        <w:tc>
          <w:tcPr>
            <w:tcW w:w="2551" w:type="dxa"/>
            <w:tcBorders>
              <w:top w:val="single" w:sz="4" w:space="0" w:color="auto"/>
              <w:left w:val="single" w:sz="4" w:space="0" w:color="auto"/>
              <w:right w:val="single" w:sz="4" w:space="0" w:color="auto"/>
            </w:tcBorders>
          </w:tcPr>
          <w:p w14:paraId="7DCD204F" w14:textId="77777777" w:rsidR="003B3C3C" w:rsidRPr="001B1DB1" w:rsidRDefault="003B3C3C" w:rsidP="00172808">
            <w:pPr>
              <w:jc w:val="both"/>
              <w:rPr>
                <w:rFonts w:cs="Times New Roman"/>
                <w:sz w:val="20"/>
                <w:szCs w:val="20"/>
              </w:rPr>
            </w:pPr>
            <w:r w:rsidRPr="001B1DB1">
              <w:rPr>
                <w:rFonts w:cs="Times New Roman"/>
                <w:sz w:val="20"/>
                <w:szCs w:val="20"/>
              </w:rPr>
              <w:t>Regulāri izvērtētas un aktualizētas vadlīnijas.</w:t>
            </w:r>
          </w:p>
        </w:tc>
        <w:tc>
          <w:tcPr>
            <w:tcW w:w="2694" w:type="dxa"/>
            <w:tcBorders>
              <w:top w:val="single" w:sz="4" w:space="0" w:color="auto"/>
              <w:left w:val="single" w:sz="4" w:space="0" w:color="auto"/>
              <w:bottom w:val="single" w:sz="4" w:space="0" w:color="auto"/>
              <w:right w:val="single" w:sz="4" w:space="0" w:color="auto"/>
            </w:tcBorders>
          </w:tcPr>
          <w:p w14:paraId="415D6D9C" w14:textId="6A50BBAD" w:rsidR="003B3C3C" w:rsidRPr="001B1DB1" w:rsidRDefault="00F76E33" w:rsidP="00A818F5">
            <w:pPr>
              <w:jc w:val="both"/>
              <w:rPr>
                <w:rFonts w:cs="Times New Roman"/>
                <w:sz w:val="20"/>
                <w:szCs w:val="20"/>
              </w:rPr>
            </w:pPr>
            <w:r w:rsidRPr="00110AFF">
              <w:rPr>
                <w:sz w:val="20"/>
                <w:szCs w:val="20"/>
              </w:rPr>
              <w:t>Aktualizētas un pilnveidotas vadlīnijas, ietverot tajās praksē identificēto problēmjautājumu risinājumus, tostarp attiecībā par paralēlo finanšu izmeklēšanu veikšanu un NILL izmeklēšanas institucionālo piekritību</w:t>
            </w:r>
            <w:r w:rsidR="009323BD" w:rsidRPr="001B1DB1">
              <w:rPr>
                <w:rFonts w:cs="Times New Roman"/>
                <w:sz w:val="20"/>
                <w:szCs w:val="20"/>
              </w:rPr>
              <w:t>.</w:t>
            </w:r>
            <w:r w:rsidR="003B3C3C" w:rsidRPr="001B1DB1">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842DDB4" w14:textId="5DB855FC" w:rsidR="003B3C3C" w:rsidRPr="001B1DB1" w:rsidRDefault="003B3C3C" w:rsidP="00C1551E">
            <w:pPr>
              <w:jc w:val="center"/>
              <w:rPr>
                <w:rFonts w:cs="Times New Roman"/>
                <w:bCs/>
                <w:sz w:val="20"/>
                <w:szCs w:val="20"/>
              </w:rPr>
            </w:pPr>
            <w:r w:rsidRPr="001B1DB1">
              <w:rPr>
                <w:rFonts w:cs="Times New Roman"/>
                <w:bCs/>
                <w:sz w:val="20"/>
                <w:szCs w:val="20"/>
              </w:rPr>
              <w:t>P</w:t>
            </w:r>
            <w:r w:rsidR="00F16707">
              <w:rPr>
                <w:rFonts w:cs="Times New Roman"/>
                <w:bCs/>
                <w:sz w:val="20"/>
                <w:szCs w:val="20"/>
              </w:rPr>
              <w:t>SDG</w:t>
            </w:r>
          </w:p>
          <w:p w14:paraId="784008AC" w14:textId="192B664D" w:rsidR="003B3C3C" w:rsidRPr="001B1DB1" w:rsidRDefault="003B3C3C" w:rsidP="00D16025">
            <w:pPr>
              <w:jc w:val="center"/>
              <w:rPr>
                <w:rFonts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9996DC" w14:textId="31004468" w:rsidR="003B3C3C" w:rsidRPr="001B1DB1" w:rsidRDefault="003B3C3C" w:rsidP="00110AFF">
            <w:pP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3D50CF" w14:textId="67775C58" w:rsidR="003B3C3C" w:rsidRPr="001B1DB1" w:rsidRDefault="00676893" w:rsidP="0078491B">
            <w:pPr>
              <w:jc w:val="center"/>
              <w:rPr>
                <w:rFonts w:cs="Times New Roman"/>
                <w:bCs/>
                <w:sz w:val="20"/>
                <w:szCs w:val="20"/>
              </w:rPr>
            </w:pPr>
            <w:r>
              <w:rPr>
                <w:rFonts w:cs="Times New Roman"/>
                <w:bCs/>
                <w:sz w:val="20"/>
                <w:szCs w:val="20"/>
              </w:rPr>
              <w:t>Reizi gadā līdz katra gada 31.decembri</w:t>
            </w:r>
            <w:r w:rsidR="004E6C3D">
              <w:rPr>
                <w:rFonts w:cs="Times New Roman"/>
                <w:bCs/>
                <w:sz w:val="20"/>
                <w:szCs w:val="20"/>
              </w:rPr>
              <w:t>m</w:t>
            </w:r>
          </w:p>
        </w:tc>
      </w:tr>
      <w:tr w:rsidR="00D137E5" w:rsidRPr="001B1DB1" w14:paraId="69F5920E" w14:textId="77777777" w:rsidTr="00D137E5">
        <w:trPr>
          <w:trHeight w:val="543"/>
        </w:trPr>
        <w:tc>
          <w:tcPr>
            <w:tcW w:w="709" w:type="dxa"/>
            <w:tcBorders>
              <w:top w:val="single" w:sz="4" w:space="0" w:color="auto"/>
              <w:left w:val="single" w:sz="4" w:space="0" w:color="auto"/>
              <w:bottom w:val="single" w:sz="4" w:space="0" w:color="auto"/>
              <w:right w:val="single" w:sz="4" w:space="0" w:color="auto"/>
            </w:tcBorders>
          </w:tcPr>
          <w:p w14:paraId="61283256" w14:textId="77777777" w:rsidR="00D137E5" w:rsidRPr="001B1DB1" w:rsidRDefault="00D137E5" w:rsidP="00F6007F">
            <w:pPr>
              <w:jc w:val="center"/>
              <w:rPr>
                <w:rFonts w:cs="Times New Roman"/>
                <w:bCs/>
                <w:sz w:val="20"/>
                <w:szCs w:val="20"/>
              </w:rPr>
            </w:pPr>
            <w:r w:rsidRPr="001B1DB1">
              <w:rPr>
                <w:rFonts w:cs="Times New Roman"/>
                <w:bCs/>
                <w:sz w:val="20"/>
                <w:szCs w:val="20"/>
              </w:rPr>
              <w:t>7.4.</w:t>
            </w:r>
          </w:p>
        </w:tc>
        <w:tc>
          <w:tcPr>
            <w:tcW w:w="3686" w:type="dxa"/>
            <w:tcBorders>
              <w:top w:val="single" w:sz="4" w:space="0" w:color="auto"/>
              <w:left w:val="single" w:sz="4" w:space="0" w:color="auto"/>
              <w:bottom w:val="single" w:sz="4" w:space="0" w:color="auto"/>
              <w:right w:val="single" w:sz="4" w:space="0" w:color="auto"/>
            </w:tcBorders>
          </w:tcPr>
          <w:p w14:paraId="5E1FF7B7" w14:textId="77777777" w:rsidR="00D137E5" w:rsidRPr="001B1DB1" w:rsidRDefault="00D137E5" w:rsidP="00172808">
            <w:pPr>
              <w:jc w:val="both"/>
              <w:rPr>
                <w:rFonts w:cs="Times New Roman"/>
                <w:bCs/>
                <w:sz w:val="20"/>
                <w:szCs w:val="20"/>
              </w:rPr>
            </w:pPr>
            <w:r w:rsidRPr="001B1DB1">
              <w:rPr>
                <w:rFonts w:cs="Times New Roman"/>
                <w:bCs/>
                <w:sz w:val="20"/>
                <w:szCs w:val="20"/>
              </w:rPr>
              <w:t>Kontroles pastiprināšana pār prokuroru rīcību saistībā ar viedokļa izteikšanu tiesā par nosakāmo soda veidu un mēru krimināllietās par NILL.</w:t>
            </w:r>
          </w:p>
        </w:tc>
        <w:tc>
          <w:tcPr>
            <w:tcW w:w="1559" w:type="dxa"/>
            <w:tcBorders>
              <w:top w:val="single" w:sz="4" w:space="0" w:color="auto"/>
              <w:left w:val="single" w:sz="4" w:space="0" w:color="auto"/>
              <w:bottom w:val="single" w:sz="4" w:space="0" w:color="auto"/>
              <w:right w:val="single" w:sz="4" w:space="0" w:color="auto"/>
            </w:tcBorders>
          </w:tcPr>
          <w:p w14:paraId="0B6F0598" w14:textId="1DC8B8E5" w:rsidR="00D137E5" w:rsidRPr="001B1DB1" w:rsidRDefault="00D137E5" w:rsidP="00172808">
            <w:pPr>
              <w:jc w:val="both"/>
              <w:rPr>
                <w:rFonts w:cs="Times New Roman"/>
                <w:sz w:val="20"/>
                <w:szCs w:val="20"/>
              </w:rPr>
            </w:pPr>
            <w:r w:rsidRPr="001B1DB1">
              <w:rPr>
                <w:rFonts w:cs="Times New Roman"/>
                <w:sz w:val="20"/>
                <w:szCs w:val="20"/>
              </w:rPr>
              <w:t>Papildināts Latvijas Nacionālais NILLTF risku novērtēšanas ziņojums, 1.3.7.apakšpu</w:t>
            </w:r>
            <w:r w:rsidR="001607E4" w:rsidRPr="001B1DB1">
              <w:rPr>
                <w:rFonts w:cs="Times New Roman"/>
                <w:sz w:val="20"/>
                <w:szCs w:val="20"/>
              </w:rPr>
              <w:t>n</w:t>
            </w:r>
            <w:r w:rsidRPr="001B1DB1">
              <w:rPr>
                <w:rFonts w:cs="Times New Roman"/>
                <w:sz w:val="20"/>
                <w:szCs w:val="20"/>
              </w:rPr>
              <w:t>kts, 8.</w:t>
            </w:r>
            <w:r w:rsidR="007673C2">
              <w:rPr>
                <w:rFonts w:cs="Times New Roman"/>
                <w:sz w:val="20"/>
                <w:szCs w:val="20"/>
              </w:rPr>
              <w:t xml:space="preserve"> </w:t>
            </w:r>
            <w:r w:rsidRPr="001B1DB1">
              <w:rPr>
                <w:rFonts w:cs="Times New Roman"/>
                <w:sz w:val="20"/>
                <w:szCs w:val="20"/>
              </w:rPr>
              <w:t>lpp.</w:t>
            </w:r>
          </w:p>
        </w:tc>
        <w:tc>
          <w:tcPr>
            <w:tcW w:w="2551" w:type="dxa"/>
            <w:tcBorders>
              <w:top w:val="single" w:sz="4" w:space="0" w:color="auto"/>
              <w:left w:val="single" w:sz="4" w:space="0" w:color="auto"/>
              <w:bottom w:val="single" w:sz="4" w:space="0" w:color="auto"/>
              <w:right w:val="single" w:sz="4" w:space="0" w:color="auto"/>
            </w:tcBorders>
          </w:tcPr>
          <w:p w14:paraId="3D365117" w14:textId="77777777" w:rsidR="00D137E5" w:rsidRPr="001B1DB1" w:rsidRDefault="00D137E5" w:rsidP="00172808">
            <w:pPr>
              <w:jc w:val="both"/>
              <w:rPr>
                <w:rFonts w:cs="Times New Roman"/>
                <w:sz w:val="20"/>
                <w:szCs w:val="20"/>
              </w:rPr>
            </w:pPr>
            <w:r w:rsidRPr="001B1DB1">
              <w:rPr>
                <w:rFonts w:cs="Times New Roman"/>
                <w:sz w:val="20"/>
                <w:szCs w:val="20"/>
              </w:rPr>
              <w:t xml:space="preserve">Nodrošināta konsekventa un preventīva valsts apsūdzības (prokuroru) īstenotā sodu politika NILL lietās. </w:t>
            </w:r>
          </w:p>
        </w:tc>
        <w:tc>
          <w:tcPr>
            <w:tcW w:w="2694" w:type="dxa"/>
            <w:tcBorders>
              <w:top w:val="single" w:sz="4" w:space="0" w:color="auto"/>
              <w:left w:val="single" w:sz="4" w:space="0" w:color="auto"/>
              <w:bottom w:val="single" w:sz="4" w:space="0" w:color="auto"/>
              <w:right w:val="single" w:sz="4" w:space="0" w:color="auto"/>
            </w:tcBorders>
          </w:tcPr>
          <w:p w14:paraId="67D1B406" w14:textId="77777777" w:rsidR="00D137E5" w:rsidRPr="001B1DB1" w:rsidRDefault="00D137E5" w:rsidP="00172808">
            <w:pPr>
              <w:jc w:val="both"/>
              <w:rPr>
                <w:rFonts w:cs="Times New Roman"/>
                <w:sz w:val="20"/>
                <w:szCs w:val="20"/>
              </w:rPr>
            </w:pPr>
            <w:r w:rsidRPr="001B1DB1">
              <w:rPr>
                <w:rFonts w:cs="Times New Roman"/>
                <w:sz w:val="20"/>
                <w:szCs w:val="20"/>
              </w:rPr>
              <w:t xml:space="preserve">Reizi pusgadā sagatavots pārskats par prokuroru izteikto viedokli tiesā, t.sk. iesniegtajiem protestiem un to izskatīšanas rezultātiem NILL lietās. </w:t>
            </w:r>
          </w:p>
        </w:tc>
        <w:tc>
          <w:tcPr>
            <w:tcW w:w="1134" w:type="dxa"/>
            <w:tcBorders>
              <w:top w:val="single" w:sz="4" w:space="0" w:color="auto"/>
              <w:left w:val="single" w:sz="4" w:space="0" w:color="auto"/>
              <w:bottom w:val="single" w:sz="4" w:space="0" w:color="auto"/>
              <w:right w:val="single" w:sz="4" w:space="0" w:color="auto"/>
            </w:tcBorders>
          </w:tcPr>
          <w:p w14:paraId="72F42DC2" w14:textId="77777777" w:rsidR="00D137E5" w:rsidRPr="001B1DB1" w:rsidRDefault="00D137E5" w:rsidP="00D11C53">
            <w:pPr>
              <w:jc w:val="center"/>
              <w:rPr>
                <w:rFonts w:cs="Times New Roman"/>
                <w:bCs/>
                <w:sz w:val="20"/>
                <w:szCs w:val="20"/>
              </w:rPr>
            </w:pPr>
            <w:r w:rsidRPr="001B1DB1">
              <w:rPr>
                <w:rFonts w:cs="Times New Roman"/>
                <w:bCs/>
                <w:sz w:val="20"/>
                <w:szCs w:val="20"/>
              </w:rPr>
              <w:t>ĢP</w:t>
            </w:r>
          </w:p>
        </w:tc>
        <w:tc>
          <w:tcPr>
            <w:tcW w:w="1275" w:type="dxa"/>
            <w:tcBorders>
              <w:top w:val="single" w:sz="4" w:space="0" w:color="auto"/>
              <w:left w:val="single" w:sz="4" w:space="0" w:color="auto"/>
              <w:bottom w:val="single" w:sz="4" w:space="0" w:color="auto"/>
              <w:right w:val="single" w:sz="4" w:space="0" w:color="auto"/>
            </w:tcBorders>
          </w:tcPr>
          <w:p w14:paraId="1C8C54AE" w14:textId="77777777" w:rsidR="00D137E5" w:rsidRPr="001B1DB1" w:rsidRDefault="00D137E5" w:rsidP="00D11C53">
            <w:pPr>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994B96" w14:textId="3F60F9C4" w:rsidR="00D137E5" w:rsidRPr="001B1DB1" w:rsidRDefault="00D137E5" w:rsidP="00D11C53">
            <w:pPr>
              <w:jc w:val="center"/>
              <w:rPr>
                <w:rFonts w:cs="Times New Roman"/>
                <w:bCs/>
                <w:sz w:val="20"/>
                <w:szCs w:val="20"/>
              </w:rPr>
            </w:pPr>
            <w:r w:rsidRPr="001B1DB1">
              <w:rPr>
                <w:rFonts w:cs="Times New Roman"/>
                <w:bCs/>
                <w:sz w:val="20"/>
                <w:szCs w:val="20"/>
              </w:rPr>
              <w:t>Pastāvīgi</w:t>
            </w:r>
          </w:p>
        </w:tc>
      </w:tr>
      <w:tr w:rsidR="003B3C3C" w:rsidRPr="001B1DB1" w14:paraId="7F0317EC" w14:textId="77777777" w:rsidTr="00C842AB">
        <w:trPr>
          <w:trHeight w:val="60"/>
        </w:trPr>
        <w:tc>
          <w:tcPr>
            <w:tcW w:w="709" w:type="dxa"/>
            <w:tcBorders>
              <w:left w:val="single" w:sz="4" w:space="0" w:color="auto"/>
              <w:bottom w:val="single" w:sz="4" w:space="0" w:color="auto"/>
              <w:right w:val="single" w:sz="4" w:space="0" w:color="auto"/>
            </w:tcBorders>
          </w:tcPr>
          <w:p w14:paraId="4B3FF78D" w14:textId="75720D72" w:rsidR="003B3C3C" w:rsidRPr="001B1DB1" w:rsidRDefault="001706C6" w:rsidP="00F6007F">
            <w:pPr>
              <w:jc w:val="center"/>
              <w:rPr>
                <w:rFonts w:cs="Times New Roman"/>
                <w:bCs/>
                <w:sz w:val="20"/>
                <w:szCs w:val="20"/>
              </w:rPr>
            </w:pPr>
            <w:r>
              <w:rPr>
                <w:rFonts w:cs="Times New Roman"/>
                <w:bCs/>
                <w:sz w:val="20"/>
                <w:szCs w:val="20"/>
              </w:rPr>
              <w:t>7.5.</w:t>
            </w:r>
          </w:p>
        </w:tc>
        <w:tc>
          <w:tcPr>
            <w:tcW w:w="3686" w:type="dxa"/>
            <w:tcBorders>
              <w:top w:val="single" w:sz="4" w:space="0" w:color="auto"/>
              <w:left w:val="single" w:sz="4" w:space="0" w:color="auto"/>
              <w:bottom w:val="single" w:sz="4" w:space="0" w:color="auto"/>
              <w:right w:val="single" w:sz="4" w:space="0" w:color="auto"/>
            </w:tcBorders>
          </w:tcPr>
          <w:p w14:paraId="19D5AEA2" w14:textId="71D87672" w:rsidR="003B3C3C" w:rsidRPr="001B1DB1" w:rsidRDefault="003B3C3C" w:rsidP="00172808">
            <w:pPr>
              <w:jc w:val="both"/>
              <w:rPr>
                <w:rFonts w:cs="Times New Roman"/>
                <w:bCs/>
                <w:sz w:val="20"/>
                <w:szCs w:val="20"/>
              </w:rPr>
            </w:pPr>
            <w:r w:rsidRPr="001B1DB1">
              <w:rPr>
                <w:rFonts w:cs="Times New Roman"/>
                <w:bCs/>
                <w:sz w:val="20"/>
                <w:szCs w:val="20"/>
              </w:rPr>
              <w:t>Atbilstoši izstrādātajās vadlīnijās NILL lietu prioritizēšanā (</w:t>
            </w:r>
            <w:r w:rsidR="007F1A2C">
              <w:rPr>
                <w:rFonts w:cs="Times New Roman"/>
                <w:color w:val="201F1E"/>
                <w:sz w:val="20"/>
                <w:szCs w:val="20"/>
              </w:rPr>
              <w:t>uz</w:t>
            </w:r>
            <w:r w:rsidR="007F1A2C" w:rsidRPr="003724F4">
              <w:rPr>
                <w:rFonts w:cs="Times New Roman"/>
                <w:color w:val="201F1E"/>
                <w:sz w:val="20"/>
                <w:szCs w:val="20"/>
              </w:rPr>
              <w:t xml:space="preserve"> </w:t>
            </w:r>
            <w:r w:rsidR="004E6C3D" w:rsidRPr="003724F4">
              <w:rPr>
                <w:rFonts w:cs="Times New Roman"/>
                <w:color w:val="201F1E"/>
                <w:sz w:val="20"/>
                <w:szCs w:val="20"/>
              </w:rPr>
              <w:t xml:space="preserve">risku </w:t>
            </w:r>
            <w:r w:rsidR="007F1A2C">
              <w:rPr>
                <w:rFonts w:cs="Times New Roman"/>
                <w:color w:val="201F1E"/>
                <w:sz w:val="20"/>
                <w:szCs w:val="20"/>
              </w:rPr>
              <w:t>novērtējumu balstīta</w:t>
            </w:r>
            <w:r w:rsidR="007F1A2C" w:rsidRPr="003724F4">
              <w:rPr>
                <w:rFonts w:cs="Times New Roman"/>
                <w:color w:val="201F1E"/>
                <w:sz w:val="20"/>
                <w:szCs w:val="20"/>
              </w:rPr>
              <w:t xml:space="preserve"> </w:t>
            </w:r>
            <w:r w:rsidR="004E6C3D" w:rsidRPr="003724F4">
              <w:rPr>
                <w:rFonts w:cs="Times New Roman"/>
                <w:color w:val="201F1E"/>
                <w:sz w:val="20"/>
                <w:szCs w:val="20"/>
              </w:rPr>
              <w:t>pieeja</w:t>
            </w:r>
            <w:r w:rsidRPr="001B1DB1">
              <w:rPr>
                <w:rFonts w:cs="Times New Roman"/>
                <w:bCs/>
                <w:sz w:val="20"/>
                <w:szCs w:val="20"/>
              </w:rPr>
              <w:t xml:space="preserve">) noteiktajiem principiem un kritērijiem atlasīt un prioritāri </w:t>
            </w:r>
            <w:r w:rsidR="00F3297A">
              <w:rPr>
                <w:rFonts w:cs="Times New Roman"/>
                <w:bCs/>
                <w:sz w:val="20"/>
                <w:szCs w:val="20"/>
              </w:rPr>
              <w:t>izmeklēt</w:t>
            </w:r>
            <w:r w:rsidR="00F3297A" w:rsidRPr="001B1DB1">
              <w:rPr>
                <w:rFonts w:cs="Times New Roman"/>
                <w:bCs/>
                <w:sz w:val="20"/>
                <w:szCs w:val="20"/>
              </w:rPr>
              <w:t xml:space="preserve"> </w:t>
            </w:r>
            <w:r w:rsidRPr="001B1DB1">
              <w:rPr>
                <w:rFonts w:cs="Times New Roman"/>
                <w:bCs/>
                <w:sz w:val="20"/>
                <w:szCs w:val="20"/>
              </w:rPr>
              <w:t>izskatāmās NILL lietas.</w:t>
            </w:r>
          </w:p>
        </w:tc>
        <w:tc>
          <w:tcPr>
            <w:tcW w:w="1559" w:type="dxa"/>
            <w:tcBorders>
              <w:top w:val="single" w:sz="4" w:space="0" w:color="auto"/>
              <w:left w:val="single" w:sz="4" w:space="0" w:color="auto"/>
              <w:bottom w:val="single" w:sz="4" w:space="0" w:color="auto"/>
              <w:right w:val="single" w:sz="4" w:space="0" w:color="auto"/>
            </w:tcBorders>
          </w:tcPr>
          <w:p w14:paraId="35993BB8" w14:textId="0065620F" w:rsidR="003B3C3C" w:rsidRPr="001B1DB1" w:rsidRDefault="003B3C3C" w:rsidP="00DF6514">
            <w:pPr>
              <w:jc w:val="both"/>
              <w:rPr>
                <w:rFonts w:cs="Times New Roman"/>
                <w:sz w:val="20"/>
                <w:szCs w:val="20"/>
              </w:rPr>
            </w:pPr>
            <w:r w:rsidRPr="001B1DB1">
              <w:rPr>
                <w:rFonts w:cs="Times New Roman"/>
                <w:sz w:val="20"/>
                <w:szCs w:val="20"/>
              </w:rPr>
              <w:t>MONEYVAL 7.2.</w:t>
            </w:r>
            <w:r w:rsidR="00DF6514" w:rsidRPr="001B1DB1">
              <w:rPr>
                <w:sz w:val="20"/>
                <w:szCs w:val="20"/>
              </w:rPr>
              <w:t xml:space="preserve"> rekomendācija</w:t>
            </w:r>
            <w:r w:rsidR="00DF6514">
              <w:rPr>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5294C487" w14:textId="278DAE38" w:rsidR="003B3C3C" w:rsidRPr="001B1DB1" w:rsidRDefault="003B3C3C" w:rsidP="00F3297A">
            <w:pPr>
              <w:jc w:val="both"/>
              <w:rPr>
                <w:rFonts w:cs="Times New Roman"/>
                <w:sz w:val="20"/>
                <w:szCs w:val="20"/>
              </w:rPr>
            </w:pPr>
            <w:r w:rsidRPr="001B1DB1">
              <w:rPr>
                <w:rFonts w:cs="Times New Roman"/>
                <w:sz w:val="20"/>
                <w:szCs w:val="20"/>
              </w:rPr>
              <w:t>Virzīt</w:t>
            </w:r>
            <w:r w:rsidR="00310328">
              <w:rPr>
                <w:rFonts w:cs="Times New Roman"/>
                <w:sz w:val="20"/>
                <w:szCs w:val="20"/>
              </w:rPr>
              <w:t>as</w:t>
            </w:r>
            <w:r w:rsidRPr="001B1DB1">
              <w:rPr>
                <w:rFonts w:cs="Times New Roman"/>
                <w:sz w:val="20"/>
                <w:szCs w:val="20"/>
              </w:rPr>
              <w:t xml:space="preserve"> prokuratūrai kriminālvajāšanas</w:t>
            </w:r>
            <w:r w:rsidR="00F3297A">
              <w:rPr>
                <w:rFonts w:cs="Times New Roman"/>
                <w:sz w:val="20"/>
                <w:szCs w:val="20"/>
              </w:rPr>
              <w:t xml:space="preserve"> </w:t>
            </w:r>
            <w:r w:rsidRPr="001B1DB1">
              <w:rPr>
                <w:rFonts w:cs="Times New Roman"/>
                <w:sz w:val="20"/>
                <w:szCs w:val="20"/>
              </w:rPr>
              <w:t xml:space="preserve">uzsākšanai vismaz 5 </w:t>
            </w:r>
            <w:r w:rsidR="00F3297A">
              <w:rPr>
                <w:rFonts w:cs="Times New Roman"/>
                <w:sz w:val="20"/>
                <w:szCs w:val="20"/>
              </w:rPr>
              <w:t>Latvijas riska profilam atbilstošas</w:t>
            </w:r>
            <w:r w:rsidR="00F3297A" w:rsidRPr="001B1DB1">
              <w:rPr>
                <w:rFonts w:cs="Times New Roman"/>
                <w:sz w:val="20"/>
                <w:szCs w:val="20"/>
              </w:rPr>
              <w:t xml:space="preserve"> </w:t>
            </w:r>
            <w:r w:rsidRPr="001B1DB1">
              <w:rPr>
                <w:rFonts w:cs="Times New Roman"/>
                <w:sz w:val="20"/>
                <w:szCs w:val="20"/>
              </w:rPr>
              <w:t>NILL lietas divu gadu laikā.</w:t>
            </w:r>
          </w:p>
        </w:tc>
        <w:tc>
          <w:tcPr>
            <w:tcW w:w="2694" w:type="dxa"/>
            <w:tcBorders>
              <w:top w:val="single" w:sz="4" w:space="0" w:color="auto"/>
              <w:left w:val="single" w:sz="4" w:space="0" w:color="auto"/>
              <w:bottom w:val="single" w:sz="4" w:space="0" w:color="auto"/>
              <w:right w:val="single" w:sz="4" w:space="0" w:color="auto"/>
            </w:tcBorders>
          </w:tcPr>
          <w:p w14:paraId="30446236" w14:textId="70865691" w:rsidR="003B3C3C" w:rsidRPr="001B1DB1" w:rsidRDefault="003B3C3C" w:rsidP="001706C6">
            <w:pPr>
              <w:jc w:val="both"/>
              <w:rPr>
                <w:rFonts w:cs="Times New Roman"/>
                <w:sz w:val="20"/>
                <w:szCs w:val="20"/>
              </w:rPr>
            </w:pPr>
            <w:r w:rsidRPr="001B1DB1">
              <w:rPr>
                <w:rFonts w:cs="Times New Roman"/>
                <w:sz w:val="20"/>
                <w:szCs w:val="20"/>
              </w:rPr>
              <w:t xml:space="preserve">Divu gadu laikā nodotas prokuratūrai kriminālvajāšanas uzsākšanai vismaz 5 </w:t>
            </w:r>
            <w:r w:rsidR="00676893">
              <w:rPr>
                <w:rFonts w:cs="Times New Roman"/>
                <w:sz w:val="20"/>
                <w:szCs w:val="20"/>
              </w:rPr>
              <w:t>Latvijas riska profilam atbilstošas</w:t>
            </w:r>
            <w:r w:rsidR="00676893" w:rsidRPr="001B1DB1">
              <w:rPr>
                <w:rFonts w:cs="Times New Roman"/>
                <w:sz w:val="20"/>
                <w:szCs w:val="20"/>
              </w:rPr>
              <w:t xml:space="preserve"> </w:t>
            </w:r>
            <w:r w:rsidRPr="001B1DB1">
              <w:rPr>
                <w:rFonts w:cs="Times New Roman"/>
                <w:sz w:val="20"/>
                <w:szCs w:val="20"/>
              </w:rPr>
              <w:t>NILL lietas.</w:t>
            </w:r>
          </w:p>
        </w:tc>
        <w:tc>
          <w:tcPr>
            <w:tcW w:w="1134" w:type="dxa"/>
            <w:tcBorders>
              <w:top w:val="single" w:sz="4" w:space="0" w:color="auto"/>
              <w:left w:val="single" w:sz="4" w:space="0" w:color="auto"/>
              <w:bottom w:val="single" w:sz="4" w:space="0" w:color="auto"/>
              <w:right w:val="single" w:sz="4" w:space="0" w:color="auto"/>
            </w:tcBorders>
          </w:tcPr>
          <w:p w14:paraId="4A786C10" w14:textId="3C5CBD0D" w:rsidR="003B3C3C" w:rsidRPr="001B1DB1" w:rsidRDefault="003B3C3C" w:rsidP="00D11C53">
            <w:pPr>
              <w:jc w:val="center"/>
              <w:rPr>
                <w:rFonts w:cs="Times New Roman"/>
                <w:bCs/>
                <w:sz w:val="20"/>
                <w:szCs w:val="20"/>
              </w:rPr>
            </w:pPr>
            <w:r w:rsidRPr="001B1DB1">
              <w:rPr>
                <w:rFonts w:cs="Times New Roman"/>
                <w:bCs/>
                <w:sz w:val="20"/>
                <w:szCs w:val="20"/>
              </w:rPr>
              <w:t>VP, VID, KNAB, VDD</w:t>
            </w:r>
          </w:p>
        </w:tc>
        <w:tc>
          <w:tcPr>
            <w:tcW w:w="1275" w:type="dxa"/>
            <w:tcBorders>
              <w:top w:val="single" w:sz="4" w:space="0" w:color="auto"/>
              <w:left w:val="single" w:sz="4" w:space="0" w:color="auto"/>
              <w:bottom w:val="single" w:sz="4" w:space="0" w:color="auto"/>
              <w:right w:val="single" w:sz="4" w:space="0" w:color="auto"/>
            </w:tcBorders>
          </w:tcPr>
          <w:p w14:paraId="08D66F5E" w14:textId="77777777" w:rsidR="003B3C3C" w:rsidRPr="001B1DB1" w:rsidRDefault="00EE76DB" w:rsidP="00D11C53">
            <w:pPr>
              <w:jc w:val="center"/>
              <w:rPr>
                <w:rFonts w:cs="Times New Roman"/>
                <w:bCs/>
                <w:sz w:val="20"/>
                <w:szCs w:val="20"/>
              </w:rPr>
            </w:pPr>
            <w:r w:rsidRPr="001B1DB1">
              <w:rPr>
                <w:rFonts w:cs="Times New Roman"/>
                <w:bCs/>
                <w:sz w:val="20"/>
                <w:szCs w:val="20"/>
              </w:rPr>
              <w:t xml:space="preserve">VRS, IDB, </w:t>
            </w:r>
            <w:r w:rsidRPr="00833304">
              <w:rPr>
                <w:rFonts w:cs="Times New Roman"/>
                <w:bCs/>
                <w:sz w:val="20"/>
                <w:szCs w:val="20"/>
              </w:rPr>
              <w:t>MP</w:t>
            </w:r>
            <w:r w:rsidRPr="001B1DB1">
              <w:rPr>
                <w:rFonts w:cs="Times New Roman"/>
                <w:bCs/>
                <w:sz w:val="20"/>
                <w:szCs w:val="20"/>
              </w:rPr>
              <w:t>, IeVP</w:t>
            </w:r>
          </w:p>
        </w:tc>
        <w:tc>
          <w:tcPr>
            <w:tcW w:w="1418" w:type="dxa"/>
            <w:tcBorders>
              <w:top w:val="single" w:sz="4" w:space="0" w:color="auto"/>
              <w:left w:val="single" w:sz="4" w:space="0" w:color="auto"/>
              <w:bottom w:val="single" w:sz="4" w:space="0" w:color="auto"/>
              <w:right w:val="single" w:sz="4" w:space="0" w:color="auto"/>
            </w:tcBorders>
          </w:tcPr>
          <w:p w14:paraId="257B1C8D" w14:textId="3A94FB4A" w:rsidR="003B3C3C" w:rsidRPr="001B1DB1" w:rsidRDefault="004A71E4" w:rsidP="00B22D6D">
            <w:pPr>
              <w:jc w:val="center"/>
              <w:rPr>
                <w:rFonts w:cs="Times New Roman"/>
                <w:bCs/>
                <w:sz w:val="20"/>
                <w:szCs w:val="20"/>
              </w:rPr>
            </w:pPr>
            <w:r w:rsidRPr="001B1DB1">
              <w:rPr>
                <w:rFonts w:cs="Times New Roman"/>
                <w:bCs/>
                <w:sz w:val="20"/>
                <w:szCs w:val="20"/>
              </w:rPr>
              <w:t>31.12.</w:t>
            </w:r>
            <w:r w:rsidR="003B3C3C" w:rsidRPr="001B1DB1">
              <w:rPr>
                <w:rFonts w:cs="Times New Roman"/>
                <w:bCs/>
                <w:sz w:val="20"/>
                <w:szCs w:val="20"/>
              </w:rPr>
              <w:t>202</w:t>
            </w:r>
            <w:r w:rsidR="00B22D6D">
              <w:rPr>
                <w:rFonts w:cs="Times New Roman"/>
                <w:bCs/>
                <w:sz w:val="20"/>
                <w:szCs w:val="20"/>
              </w:rPr>
              <w:t>1</w:t>
            </w:r>
            <w:r w:rsidR="003B3C3C" w:rsidRPr="001B1DB1">
              <w:rPr>
                <w:rFonts w:cs="Times New Roman"/>
                <w:bCs/>
                <w:sz w:val="20"/>
                <w:szCs w:val="20"/>
              </w:rPr>
              <w:t>.</w:t>
            </w:r>
          </w:p>
        </w:tc>
      </w:tr>
      <w:tr w:rsidR="00D137E5" w:rsidRPr="001B1DB1" w14:paraId="26AFFE94" w14:textId="77777777" w:rsidTr="00D137E5">
        <w:trPr>
          <w:trHeight w:val="543"/>
        </w:trPr>
        <w:tc>
          <w:tcPr>
            <w:tcW w:w="709" w:type="dxa"/>
            <w:tcBorders>
              <w:top w:val="single" w:sz="4" w:space="0" w:color="auto"/>
              <w:left w:val="single" w:sz="4" w:space="0" w:color="auto"/>
              <w:bottom w:val="single" w:sz="4" w:space="0" w:color="auto"/>
              <w:right w:val="single" w:sz="4" w:space="0" w:color="auto"/>
            </w:tcBorders>
          </w:tcPr>
          <w:p w14:paraId="34B9BC9C" w14:textId="77777777" w:rsidR="00D137E5" w:rsidRPr="001B1DB1" w:rsidRDefault="00D137E5" w:rsidP="00F6007F">
            <w:pPr>
              <w:jc w:val="center"/>
              <w:rPr>
                <w:rFonts w:cs="Times New Roman"/>
                <w:bCs/>
                <w:sz w:val="20"/>
                <w:szCs w:val="20"/>
              </w:rPr>
            </w:pPr>
            <w:r w:rsidRPr="001B1DB1">
              <w:rPr>
                <w:rFonts w:cs="Times New Roman"/>
                <w:bCs/>
                <w:sz w:val="20"/>
                <w:szCs w:val="20"/>
              </w:rPr>
              <w:lastRenderedPageBreak/>
              <w:t>7.6.</w:t>
            </w:r>
          </w:p>
        </w:tc>
        <w:tc>
          <w:tcPr>
            <w:tcW w:w="3686" w:type="dxa"/>
            <w:tcBorders>
              <w:top w:val="single" w:sz="4" w:space="0" w:color="auto"/>
              <w:left w:val="single" w:sz="4" w:space="0" w:color="auto"/>
              <w:bottom w:val="single" w:sz="4" w:space="0" w:color="auto"/>
              <w:right w:val="single" w:sz="4" w:space="0" w:color="auto"/>
            </w:tcBorders>
          </w:tcPr>
          <w:p w14:paraId="54857A85" w14:textId="4CCD73B0" w:rsidR="00D137E5" w:rsidRPr="001B1DB1" w:rsidRDefault="00D137E5" w:rsidP="00310328">
            <w:pPr>
              <w:jc w:val="both"/>
              <w:rPr>
                <w:rFonts w:cs="Times New Roman"/>
                <w:bCs/>
                <w:sz w:val="20"/>
                <w:szCs w:val="20"/>
              </w:rPr>
            </w:pPr>
            <w:r w:rsidRPr="001B1DB1">
              <w:rPr>
                <w:rFonts w:cs="Times New Roman"/>
                <w:bCs/>
                <w:sz w:val="20"/>
                <w:szCs w:val="20"/>
              </w:rPr>
              <w:t xml:space="preserve">Lai nodrošinātu tiesībaizsardzības </w:t>
            </w:r>
            <w:r w:rsidR="00310328">
              <w:rPr>
                <w:rFonts w:cs="Times New Roman"/>
                <w:bCs/>
                <w:sz w:val="20"/>
                <w:szCs w:val="20"/>
              </w:rPr>
              <w:t>iestāžu</w:t>
            </w:r>
            <w:r w:rsidR="00310328" w:rsidRPr="001B1DB1">
              <w:rPr>
                <w:rFonts w:cs="Times New Roman"/>
                <w:bCs/>
                <w:sz w:val="20"/>
                <w:szCs w:val="20"/>
              </w:rPr>
              <w:t xml:space="preserve"> </w:t>
            </w:r>
            <w:r w:rsidRPr="001B1DB1">
              <w:rPr>
                <w:rFonts w:cs="Times New Roman"/>
                <w:bCs/>
                <w:sz w:val="20"/>
                <w:szCs w:val="20"/>
              </w:rPr>
              <w:t>sistēmisku un vienotu darbību noziedzības apkarošanas jomā, izveidot un pilnā apjomā ieviest  Nacionālo kriminālizlūkošanas modeli.</w:t>
            </w:r>
          </w:p>
        </w:tc>
        <w:tc>
          <w:tcPr>
            <w:tcW w:w="1559" w:type="dxa"/>
            <w:tcBorders>
              <w:top w:val="single" w:sz="4" w:space="0" w:color="auto"/>
              <w:left w:val="single" w:sz="4" w:space="0" w:color="auto"/>
              <w:bottom w:val="single" w:sz="4" w:space="0" w:color="auto"/>
              <w:right w:val="single" w:sz="4" w:space="0" w:color="auto"/>
            </w:tcBorders>
          </w:tcPr>
          <w:p w14:paraId="1FBA35F5" w14:textId="4C6F7745" w:rsidR="00D137E5" w:rsidRPr="001B1DB1" w:rsidRDefault="00D137E5" w:rsidP="00172808">
            <w:pPr>
              <w:jc w:val="both"/>
              <w:rPr>
                <w:rFonts w:cs="Times New Roman"/>
                <w:sz w:val="20"/>
                <w:szCs w:val="20"/>
              </w:rPr>
            </w:pPr>
            <w:r w:rsidRPr="001B1DB1">
              <w:rPr>
                <w:rFonts w:cs="Times New Roman"/>
                <w:sz w:val="20"/>
                <w:szCs w:val="20"/>
              </w:rPr>
              <w:t xml:space="preserve">MONEYVAL 7.1. </w:t>
            </w:r>
            <w:r w:rsidR="00DF6514" w:rsidRPr="001B1DB1">
              <w:rPr>
                <w:sz w:val="20"/>
                <w:szCs w:val="20"/>
              </w:rPr>
              <w:t>rekomendācija</w:t>
            </w:r>
            <w:r w:rsidR="00DF6514">
              <w:rPr>
                <w:sz w:val="20"/>
                <w:szCs w:val="20"/>
              </w:rPr>
              <w:t>;</w:t>
            </w:r>
          </w:p>
          <w:p w14:paraId="45B4B239" w14:textId="77777777" w:rsidR="00D137E5" w:rsidRPr="001B1DB1" w:rsidRDefault="00D137E5" w:rsidP="00172808">
            <w:pPr>
              <w:jc w:val="both"/>
              <w:rPr>
                <w:rFonts w:cs="Times New Roman"/>
                <w:sz w:val="20"/>
                <w:szCs w:val="20"/>
              </w:rPr>
            </w:pPr>
            <w:r w:rsidRPr="001B1DB1">
              <w:rPr>
                <w:rFonts w:cs="Times New Roman"/>
                <w:sz w:val="20"/>
                <w:szCs w:val="20"/>
              </w:rPr>
              <w:t>Pasākumu plāns 2017.-2019.g.</w:t>
            </w:r>
          </w:p>
          <w:p w14:paraId="402613B7" w14:textId="510C94BD" w:rsidR="00D137E5" w:rsidRPr="001B1DB1" w:rsidRDefault="00D137E5" w:rsidP="00172808">
            <w:pPr>
              <w:jc w:val="both"/>
              <w:rPr>
                <w:rFonts w:cs="Times New Roman"/>
                <w:sz w:val="20"/>
                <w:szCs w:val="20"/>
              </w:rPr>
            </w:pPr>
            <w:r w:rsidRPr="001B1DB1">
              <w:rPr>
                <w:rFonts w:cs="Times New Roman"/>
                <w:sz w:val="20"/>
                <w:szCs w:val="20"/>
              </w:rPr>
              <w:t>3.9.</w:t>
            </w:r>
            <w:r w:rsidR="007673C2">
              <w:rPr>
                <w:rFonts w:cs="Times New Roman"/>
                <w:sz w:val="20"/>
                <w:szCs w:val="20"/>
              </w:rPr>
              <w:t xml:space="preserve"> </w:t>
            </w:r>
            <w:r w:rsidRPr="001B1DB1">
              <w:rPr>
                <w:rFonts w:cs="Times New Roman"/>
                <w:sz w:val="20"/>
                <w:szCs w:val="20"/>
              </w:rPr>
              <w:t>pasākums.</w:t>
            </w:r>
          </w:p>
        </w:tc>
        <w:tc>
          <w:tcPr>
            <w:tcW w:w="2551" w:type="dxa"/>
            <w:tcBorders>
              <w:top w:val="single" w:sz="4" w:space="0" w:color="auto"/>
              <w:left w:val="single" w:sz="4" w:space="0" w:color="auto"/>
              <w:bottom w:val="single" w:sz="4" w:space="0" w:color="auto"/>
              <w:right w:val="single" w:sz="4" w:space="0" w:color="auto"/>
            </w:tcBorders>
          </w:tcPr>
          <w:p w14:paraId="0FCF399C" w14:textId="77777777" w:rsidR="00D137E5" w:rsidRPr="001B1DB1" w:rsidRDefault="00D137E5" w:rsidP="00172808">
            <w:pPr>
              <w:jc w:val="both"/>
              <w:rPr>
                <w:rFonts w:cs="Times New Roman"/>
                <w:sz w:val="20"/>
                <w:szCs w:val="20"/>
              </w:rPr>
            </w:pPr>
            <w:r w:rsidRPr="001B1DB1">
              <w:rPr>
                <w:rFonts w:cs="Times New Roman"/>
                <w:sz w:val="20"/>
                <w:szCs w:val="20"/>
              </w:rPr>
              <w:t>Nodrošināta iespēja operatīvās darbības subjektiem operatīvi apmainīties ar viņu rīcībā esošo operatīvo informāciju.</w:t>
            </w:r>
          </w:p>
        </w:tc>
        <w:tc>
          <w:tcPr>
            <w:tcW w:w="2694" w:type="dxa"/>
            <w:tcBorders>
              <w:top w:val="single" w:sz="4" w:space="0" w:color="auto"/>
              <w:left w:val="single" w:sz="4" w:space="0" w:color="auto"/>
              <w:bottom w:val="single" w:sz="4" w:space="0" w:color="auto"/>
              <w:right w:val="single" w:sz="4" w:space="0" w:color="auto"/>
            </w:tcBorders>
          </w:tcPr>
          <w:p w14:paraId="1BE1DF41" w14:textId="77777777" w:rsidR="00D137E5" w:rsidRPr="001B1DB1" w:rsidRDefault="00D137E5" w:rsidP="00172808">
            <w:pPr>
              <w:jc w:val="both"/>
              <w:rPr>
                <w:rFonts w:cs="Times New Roman"/>
                <w:sz w:val="20"/>
                <w:szCs w:val="20"/>
              </w:rPr>
            </w:pPr>
            <w:r w:rsidRPr="001B1DB1">
              <w:rPr>
                <w:rFonts w:cs="Times New Roman"/>
                <w:sz w:val="20"/>
                <w:szCs w:val="20"/>
              </w:rPr>
              <w:t>Izvērtētas iespējas piesaistīt ES strukturālo fondu IT sistēmas attīstības 2.kārtas finansējumu vienotas IT sistēmas izveidei.</w:t>
            </w:r>
          </w:p>
        </w:tc>
        <w:tc>
          <w:tcPr>
            <w:tcW w:w="1134" w:type="dxa"/>
            <w:tcBorders>
              <w:top w:val="single" w:sz="4" w:space="0" w:color="auto"/>
              <w:left w:val="single" w:sz="4" w:space="0" w:color="auto"/>
              <w:bottom w:val="single" w:sz="4" w:space="0" w:color="auto"/>
              <w:right w:val="single" w:sz="4" w:space="0" w:color="auto"/>
            </w:tcBorders>
          </w:tcPr>
          <w:p w14:paraId="433E8253" w14:textId="77777777" w:rsidR="00D137E5" w:rsidRPr="001B1DB1" w:rsidRDefault="00D137E5" w:rsidP="00D11C53">
            <w:pPr>
              <w:jc w:val="center"/>
              <w:rPr>
                <w:rFonts w:cs="Times New Roman"/>
                <w:bCs/>
                <w:sz w:val="20"/>
                <w:szCs w:val="20"/>
              </w:rPr>
            </w:pPr>
            <w:r w:rsidRPr="001B1DB1">
              <w:rPr>
                <w:rFonts w:cs="Times New Roman"/>
                <w:bCs/>
                <w:sz w:val="20"/>
                <w:szCs w:val="20"/>
              </w:rPr>
              <w:t>IeM</w:t>
            </w:r>
          </w:p>
        </w:tc>
        <w:tc>
          <w:tcPr>
            <w:tcW w:w="1275" w:type="dxa"/>
            <w:tcBorders>
              <w:top w:val="single" w:sz="4" w:space="0" w:color="auto"/>
              <w:left w:val="single" w:sz="4" w:space="0" w:color="auto"/>
              <w:bottom w:val="single" w:sz="4" w:space="0" w:color="auto"/>
              <w:right w:val="single" w:sz="4" w:space="0" w:color="auto"/>
            </w:tcBorders>
          </w:tcPr>
          <w:p w14:paraId="501A8F74" w14:textId="065AA069" w:rsidR="00D137E5" w:rsidRPr="001B1DB1" w:rsidRDefault="00D137E5" w:rsidP="00D11C53">
            <w:pPr>
              <w:jc w:val="center"/>
              <w:rPr>
                <w:rFonts w:cs="Times New Roman"/>
                <w:bCs/>
                <w:sz w:val="20"/>
                <w:szCs w:val="20"/>
              </w:rPr>
            </w:pPr>
            <w:r w:rsidRPr="001B1DB1">
              <w:rPr>
                <w:rFonts w:cs="Times New Roman"/>
                <w:bCs/>
                <w:sz w:val="20"/>
                <w:szCs w:val="20"/>
              </w:rPr>
              <w:t>FM, VID, ĢP, TM, KNAB, SAB</w:t>
            </w:r>
          </w:p>
        </w:tc>
        <w:tc>
          <w:tcPr>
            <w:tcW w:w="1418" w:type="dxa"/>
            <w:tcBorders>
              <w:top w:val="single" w:sz="4" w:space="0" w:color="auto"/>
              <w:left w:val="single" w:sz="4" w:space="0" w:color="auto"/>
              <w:bottom w:val="single" w:sz="4" w:space="0" w:color="auto"/>
              <w:right w:val="single" w:sz="4" w:space="0" w:color="auto"/>
            </w:tcBorders>
          </w:tcPr>
          <w:p w14:paraId="25FE4529" w14:textId="77777777" w:rsidR="00D137E5" w:rsidRPr="001B1DB1" w:rsidRDefault="004A71E4" w:rsidP="00D11C53">
            <w:pPr>
              <w:jc w:val="center"/>
              <w:rPr>
                <w:rFonts w:cs="Times New Roman"/>
                <w:bCs/>
                <w:sz w:val="20"/>
                <w:szCs w:val="20"/>
              </w:rPr>
            </w:pPr>
            <w:r w:rsidRPr="001B1DB1">
              <w:rPr>
                <w:rFonts w:cs="Times New Roman"/>
                <w:bCs/>
                <w:sz w:val="20"/>
                <w:szCs w:val="20"/>
              </w:rPr>
              <w:t>31.12.</w:t>
            </w:r>
            <w:r w:rsidR="00D137E5" w:rsidRPr="001B1DB1">
              <w:rPr>
                <w:rFonts w:cs="Times New Roman"/>
                <w:bCs/>
                <w:sz w:val="20"/>
                <w:szCs w:val="20"/>
              </w:rPr>
              <w:t>2022.</w:t>
            </w:r>
          </w:p>
        </w:tc>
      </w:tr>
      <w:tr w:rsidR="003B3C3C" w:rsidRPr="001B1DB1" w14:paraId="340BE36C" w14:textId="77777777" w:rsidTr="00FF556E">
        <w:trPr>
          <w:trHeight w:val="543"/>
        </w:trPr>
        <w:tc>
          <w:tcPr>
            <w:tcW w:w="709" w:type="dxa"/>
            <w:vMerge w:val="restart"/>
            <w:tcBorders>
              <w:top w:val="single" w:sz="4" w:space="0" w:color="auto"/>
              <w:left w:val="single" w:sz="4" w:space="0" w:color="auto"/>
              <w:right w:val="single" w:sz="4" w:space="0" w:color="auto"/>
            </w:tcBorders>
          </w:tcPr>
          <w:p w14:paraId="47F5979A" w14:textId="00DC0A39" w:rsidR="003B3C3C" w:rsidRPr="001B1DB1" w:rsidRDefault="003B3C3C" w:rsidP="00F6007F">
            <w:pPr>
              <w:jc w:val="center"/>
              <w:rPr>
                <w:rFonts w:cs="Times New Roman"/>
                <w:bCs/>
                <w:sz w:val="20"/>
                <w:szCs w:val="20"/>
              </w:rPr>
            </w:pPr>
            <w:r w:rsidRPr="001B1DB1">
              <w:rPr>
                <w:rFonts w:cs="Times New Roman"/>
                <w:bCs/>
                <w:sz w:val="20"/>
                <w:szCs w:val="20"/>
              </w:rPr>
              <w:t>7.</w:t>
            </w:r>
            <w:r w:rsidR="00C63BCD">
              <w:rPr>
                <w:rFonts w:cs="Times New Roman"/>
                <w:bCs/>
                <w:sz w:val="20"/>
                <w:szCs w:val="20"/>
              </w:rPr>
              <w:t>7</w:t>
            </w:r>
            <w:r w:rsidRPr="001B1DB1">
              <w:rPr>
                <w:rFonts w:cs="Times New Roman"/>
                <w:bCs/>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33C5BCF2" w14:textId="77777777" w:rsidR="003B3C3C" w:rsidRPr="001B1DB1" w:rsidRDefault="003B3C3C" w:rsidP="00172808">
            <w:pPr>
              <w:jc w:val="both"/>
              <w:rPr>
                <w:rFonts w:cs="Times New Roman"/>
                <w:bCs/>
                <w:sz w:val="20"/>
                <w:szCs w:val="20"/>
              </w:rPr>
            </w:pPr>
            <w:r w:rsidRPr="001B1DB1">
              <w:rPr>
                <w:rFonts w:cs="Times New Roman"/>
                <w:bCs/>
                <w:sz w:val="20"/>
                <w:szCs w:val="20"/>
              </w:rPr>
              <w:t>Apmācības NILL apkarošanā:</w:t>
            </w:r>
          </w:p>
          <w:p w14:paraId="43EE6D20" w14:textId="77777777" w:rsidR="003B3C3C" w:rsidRPr="001B1DB1" w:rsidRDefault="003B3C3C" w:rsidP="00172808">
            <w:pPr>
              <w:jc w:val="both"/>
              <w:rPr>
                <w:rFonts w:cs="Times New Roman"/>
                <w:bCs/>
                <w:sz w:val="20"/>
                <w:szCs w:val="20"/>
              </w:rPr>
            </w:pPr>
          </w:p>
          <w:p w14:paraId="2CDD3CF8" w14:textId="77777777" w:rsidR="003B3C3C" w:rsidRPr="001B1DB1" w:rsidRDefault="004F3E9B" w:rsidP="00172808">
            <w:pPr>
              <w:jc w:val="both"/>
              <w:rPr>
                <w:rFonts w:cs="Times New Roman"/>
                <w:bCs/>
                <w:sz w:val="20"/>
                <w:szCs w:val="20"/>
              </w:rPr>
            </w:pPr>
            <w:r w:rsidRPr="001B1DB1">
              <w:rPr>
                <w:rFonts w:cs="Times New Roman"/>
                <w:bCs/>
                <w:sz w:val="20"/>
                <w:szCs w:val="20"/>
              </w:rPr>
              <w:t xml:space="preserve">1. </w:t>
            </w:r>
            <w:r w:rsidR="003B3C3C" w:rsidRPr="001B1DB1">
              <w:rPr>
                <w:rFonts w:cs="Times New Roman"/>
                <w:bCs/>
                <w:sz w:val="20"/>
                <w:szCs w:val="20"/>
              </w:rPr>
              <w:t>Organizēt un veikt izmeklētāju un prokuroru apmācību par kriptovalūtām un ar tām saistītiem riskiem.</w:t>
            </w:r>
          </w:p>
        </w:tc>
        <w:tc>
          <w:tcPr>
            <w:tcW w:w="1559" w:type="dxa"/>
            <w:vMerge w:val="restart"/>
            <w:tcBorders>
              <w:top w:val="single" w:sz="4" w:space="0" w:color="auto"/>
              <w:left w:val="single" w:sz="4" w:space="0" w:color="auto"/>
              <w:right w:val="single" w:sz="4" w:space="0" w:color="auto"/>
            </w:tcBorders>
          </w:tcPr>
          <w:p w14:paraId="36F12D7F" w14:textId="7CCAAFF0" w:rsidR="003B3C3C" w:rsidRPr="001B1DB1" w:rsidRDefault="003B3C3C" w:rsidP="00172808">
            <w:pPr>
              <w:jc w:val="both"/>
              <w:rPr>
                <w:rFonts w:cs="Times New Roman"/>
                <w:sz w:val="20"/>
                <w:szCs w:val="20"/>
              </w:rPr>
            </w:pPr>
            <w:r w:rsidRPr="001B1DB1">
              <w:rPr>
                <w:rFonts w:cs="Times New Roman"/>
                <w:sz w:val="20"/>
                <w:szCs w:val="20"/>
              </w:rPr>
              <w:t>MONEYVAL 7.1., 7.3., 7.4.</w:t>
            </w:r>
            <w:r w:rsidR="00DF6514" w:rsidRPr="001B1DB1">
              <w:rPr>
                <w:sz w:val="20"/>
                <w:szCs w:val="20"/>
              </w:rPr>
              <w:t xml:space="preserve"> rekomendācija</w:t>
            </w:r>
            <w:r w:rsidR="00DF6514">
              <w:rPr>
                <w:sz w:val="20"/>
                <w:szCs w:val="20"/>
              </w:rPr>
              <w:t>;</w:t>
            </w:r>
          </w:p>
          <w:p w14:paraId="5D6B27DE" w14:textId="77777777" w:rsidR="003B3C3C" w:rsidRPr="001B1DB1" w:rsidRDefault="003B3C3C" w:rsidP="00172808">
            <w:pPr>
              <w:jc w:val="both"/>
              <w:rPr>
                <w:rFonts w:cs="Times New Roman"/>
                <w:sz w:val="20"/>
                <w:szCs w:val="20"/>
              </w:rPr>
            </w:pPr>
            <w:r w:rsidRPr="001B1DB1">
              <w:rPr>
                <w:rFonts w:cs="Times New Roman"/>
                <w:sz w:val="20"/>
                <w:szCs w:val="20"/>
              </w:rPr>
              <w:t>Papildināts Latvijas Nacionālais NILLTF risku novērtēšanas ziņojums, 1.3.7.apakšpunkts, 8.lpp.</w:t>
            </w:r>
          </w:p>
        </w:tc>
        <w:tc>
          <w:tcPr>
            <w:tcW w:w="2551" w:type="dxa"/>
            <w:tcBorders>
              <w:top w:val="single" w:sz="4" w:space="0" w:color="auto"/>
              <w:left w:val="single" w:sz="4" w:space="0" w:color="auto"/>
              <w:bottom w:val="single" w:sz="4" w:space="0" w:color="auto"/>
              <w:right w:val="single" w:sz="4" w:space="0" w:color="auto"/>
            </w:tcBorders>
          </w:tcPr>
          <w:p w14:paraId="72E55B78" w14:textId="77777777" w:rsidR="003B3C3C" w:rsidRPr="001B1DB1" w:rsidRDefault="003B3C3C" w:rsidP="00172808">
            <w:pPr>
              <w:jc w:val="both"/>
              <w:rPr>
                <w:rFonts w:cs="Times New Roman"/>
                <w:sz w:val="20"/>
                <w:szCs w:val="20"/>
              </w:rPr>
            </w:pPr>
            <w:r w:rsidRPr="001B1DB1">
              <w:rPr>
                <w:rFonts w:cs="Times New Roman"/>
                <w:sz w:val="20"/>
                <w:szCs w:val="20"/>
              </w:rPr>
              <w:t>1. Veicināta izpratne par kriptovalūtu izmantošanu NILL, iespējām tās identificēt un arestēt</w:t>
            </w:r>
            <w:r w:rsidR="004A71E4" w:rsidRPr="001B1DB1">
              <w:rPr>
                <w:rFonts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63F2F30B" w14:textId="52A93C89" w:rsidR="003B3C3C" w:rsidRPr="001B1DB1" w:rsidRDefault="003B3C3C" w:rsidP="00555661">
            <w:pPr>
              <w:jc w:val="both"/>
              <w:rPr>
                <w:rFonts w:cs="Times New Roman"/>
                <w:sz w:val="20"/>
                <w:szCs w:val="20"/>
              </w:rPr>
            </w:pPr>
            <w:r w:rsidRPr="001B1DB1">
              <w:rPr>
                <w:rFonts w:cs="Times New Roman"/>
                <w:sz w:val="20"/>
                <w:szCs w:val="20"/>
              </w:rPr>
              <w:t>1. Apmācīti izmeklētāji un prokurori, tiesneši, FID darbinieki</w:t>
            </w:r>
            <w:r w:rsidR="002770A7">
              <w:rPr>
                <w:rFonts w:cs="Times New Roman"/>
                <w:sz w:val="20"/>
                <w:szCs w:val="20"/>
              </w:rPr>
              <w:t xml:space="preserve"> atbilstoši</w:t>
            </w:r>
            <w:r w:rsidR="004E6C3D">
              <w:t xml:space="preserve"> </w:t>
            </w:r>
            <w:r w:rsidR="004E6C3D" w:rsidRPr="004E6C3D">
              <w:rPr>
                <w:rFonts w:cs="Times New Roman"/>
                <w:sz w:val="20"/>
                <w:szCs w:val="20"/>
              </w:rPr>
              <w:t>atbildīgās institūcijas</w:t>
            </w:r>
            <w:r w:rsidR="004E6C3D">
              <w:rPr>
                <w:rFonts w:cs="Times New Roman"/>
                <w:sz w:val="20"/>
                <w:szCs w:val="20"/>
              </w:rPr>
              <w:t xml:space="preserve"> </w:t>
            </w:r>
            <w:r w:rsidR="002770A7">
              <w:rPr>
                <w:rFonts w:cs="Times New Roman"/>
                <w:sz w:val="20"/>
                <w:szCs w:val="20"/>
              </w:rPr>
              <w:t xml:space="preserve"> ikgadējam plānam</w:t>
            </w:r>
            <w:r w:rsidR="004A71E4"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A62CEED" w14:textId="77777777" w:rsidR="003B3C3C" w:rsidRPr="001B1DB1" w:rsidRDefault="003B3C3C" w:rsidP="00D11C53">
            <w:pPr>
              <w:jc w:val="center"/>
              <w:rPr>
                <w:rFonts w:cs="Times New Roman"/>
                <w:bCs/>
                <w:sz w:val="20"/>
                <w:szCs w:val="20"/>
              </w:rPr>
            </w:pPr>
            <w:r w:rsidRPr="001B1DB1">
              <w:rPr>
                <w:rFonts w:cs="Times New Roman"/>
                <w:bCs/>
                <w:sz w:val="20"/>
                <w:szCs w:val="20"/>
              </w:rPr>
              <w:t>TM (TA), VAS</w:t>
            </w:r>
          </w:p>
        </w:tc>
        <w:tc>
          <w:tcPr>
            <w:tcW w:w="1275" w:type="dxa"/>
            <w:tcBorders>
              <w:top w:val="single" w:sz="4" w:space="0" w:color="auto"/>
              <w:left w:val="single" w:sz="4" w:space="0" w:color="auto"/>
              <w:bottom w:val="single" w:sz="4" w:space="0" w:color="auto"/>
              <w:right w:val="single" w:sz="4" w:space="0" w:color="auto"/>
            </w:tcBorders>
          </w:tcPr>
          <w:p w14:paraId="3BA94373" w14:textId="1B36D5D3" w:rsidR="003B3C3C" w:rsidRPr="001B1DB1" w:rsidRDefault="003B3C3C" w:rsidP="00D11C53">
            <w:pPr>
              <w:jc w:val="center"/>
              <w:rPr>
                <w:rFonts w:cs="Times New Roman"/>
                <w:bCs/>
                <w:sz w:val="20"/>
                <w:szCs w:val="20"/>
              </w:rPr>
            </w:pPr>
            <w:r w:rsidRPr="001B1DB1">
              <w:rPr>
                <w:rFonts w:cs="Times New Roman"/>
                <w:bCs/>
                <w:sz w:val="20"/>
                <w:szCs w:val="20"/>
              </w:rPr>
              <w:t xml:space="preserve">FKTK, VP, VID, KNAB, VDD, ĢP, VRS, IDB, </w:t>
            </w:r>
            <w:r w:rsidR="00833304" w:rsidRPr="00833304">
              <w:rPr>
                <w:rFonts w:cs="Times New Roman"/>
                <w:bCs/>
                <w:sz w:val="20"/>
                <w:szCs w:val="20"/>
              </w:rPr>
              <w:t>MP</w:t>
            </w:r>
            <w:r w:rsidRPr="001B1DB1">
              <w:rPr>
                <w:rFonts w:cs="Times New Roman"/>
                <w:bCs/>
                <w:sz w:val="20"/>
                <w:szCs w:val="20"/>
              </w:rPr>
              <w:t>, IeVP, FID</w:t>
            </w:r>
          </w:p>
        </w:tc>
        <w:tc>
          <w:tcPr>
            <w:tcW w:w="1418" w:type="dxa"/>
            <w:tcBorders>
              <w:top w:val="single" w:sz="4" w:space="0" w:color="auto"/>
              <w:left w:val="single" w:sz="4" w:space="0" w:color="auto"/>
              <w:bottom w:val="single" w:sz="4" w:space="0" w:color="auto"/>
              <w:right w:val="single" w:sz="4" w:space="0" w:color="auto"/>
            </w:tcBorders>
          </w:tcPr>
          <w:p w14:paraId="678D553D" w14:textId="77777777" w:rsidR="003B3C3C" w:rsidRPr="001B1DB1" w:rsidRDefault="004A71E4" w:rsidP="00D11C53">
            <w:pPr>
              <w:jc w:val="center"/>
              <w:rPr>
                <w:rFonts w:cs="Times New Roman"/>
                <w:bCs/>
                <w:sz w:val="20"/>
                <w:szCs w:val="20"/>
              </w:rPr>
            </w:pPr>
            <w:r w:rsidRPr="001B1DB1">
              <w:rPr>
                <w:rFonts w:cs="Times New Roman"/>
                <w:bCs/>
                <w:sz w:val="20"/>
                <w:szCs w:val="20"/>
              </w:rPr>
              <w:t>31.12.</w:t>
            </w:r>
            <w:r w:rsidR="003B3C3C" w:rsidRPr="001B1DB1">
              <w:rPr>
                <w:rFonts w:cs="Times New Roman"/>
                <w:bCs/>
                <w:sz w:val="20"/>
                <w:szCs w:val="20"/>
              </w:rPr>
              <w:t>2022.</w:t>
            </w:r>
          </w:p>
        </w:tc>
      </w:tr>
      <w:tr w:rsidR="003B3C3C" w:rsidRPr="001B1DB1" w14:paraId="3CFA57BA" w14:textId="77777777" w:rsidTr="00FF556E">
        <w:trPr>
          <w:trHeight w:val="543"/>
        </w:trPr>
        <w:tc>
          <w:tcPr>
            <w:tcW w:w="709" w:type="dxa"/>
            <w:vMerge/>
            <w:tcBorders>
              <w:left w:val="single" w:sz="4" w:space="0" w:color="auto"/>
              <w:right w:val="single" w:sz="4" w:space="0" w:color="auto"/>
            </w:tcBorders>
          </w:tcPr>
          <w:p w14:paraId="47206D0B" w14:textId="77777777" w:rsidR="003B3C3C" w:rsidRPr="001B1DB1" w:rsidRDefault="003B3C3C"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2040B6C" w14:textId="77777777" w:rsidR="003B3C3C" w:rsidRPr="001B1DB1" w:rsidRDefault="00AC5DB6" w:rsidP="00172808">
            <w:pPr>
              <w:jc w:val="both"/>
              <w:rPr>
                <w:rFonts w:cs="Times New Roman"/>
                <w:bCs/>
                <w:sz w:val="20"/>
                <w:szCs w:val="20"/>
              </w:rPr>
            </w:pPr>
            <w:r w:rsidRPr="001B1DB1">
              <w:rPr>
                <w:rFonts w:cs="Times New Roman"/>
                <w:bCs/>
                <w:sz w:val="20"/>
                <w:szCs w:val="20"/>
              </w:rPr>
              <w:t xml:space="preserve">2. </w:t>
            </w:r>
            <w:r w:rsidR="003B3C3C" w:rsidRPr="001B1DB1">
              <w:rPr>
                <w:rFonts w:cs="Times New Roman"/>
                <w:bCs/>
                <w:sz w:val="20"/>
                <w:szCs w:val="20"/>
              </w:rPr>
              <w:t>Organizēt un veikt izmeklētāju un analītiķu apmācības finanšu analīzes jomā un finanšu izmeklēšanas organizēšanā.</w:t>
            </w:r>
          </w:p>
        </w:tc>
        <w:tc>
          <w:tcPr>
            <w:tcW w:w="1559" w:type="dxa"/>
            <w:vMerge/>
            <w:tcBorders>
              <w:left w:val="single" w:sz="4" w:space="0" w:color="auto"/>
              <w:right w:val="single" w:sz="4" w:space="0" w:color="auto"/>
            </w:tcBorders>
          </w:tcPr>
          <w:p w14:paraId="30371291" w14:textId="77777777" w:rsidR="003B3C3C" w:rsidRPr="001B1DB1" w:rsidRDefault="003B3C3C"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BD00078" w14:textId="77777777" w:rsidR="003B3C3C" w:rsidRPr="001B1DB1" w:rsidRDefault="003B3C3C" w:rsidP="00172808">
            <w:pPr>
              <w:jc w:val="both"/>
              <w:rPr>
                <w:rFonts w:cs="Times New Roman"/>
                <w:sz w:val="20"/>
                <w:szCs w:val="20"/>
              </w:rPr>
            </w:pPr>
            <w:r w:rsidRPr="001B1DB1">
              <w:rPr>
                <w:rFonts w:cs="Times New Roman"/>
                <w:sz w:val="20"/>
                <w:szCs w:val="20"/>
              </w:rPr>
              <w:t>2. Nodrošināta efektīvāka noziedzīgi iegūtu līdzekļu identifikācija.</w:t>
            </w:r>
          </w:p>
        </w:tc>
        <w:tc>
          <w:tcPr>
            <w:tcW w:w="2694" w:type="dxa"/>
            <w:tcBorders>
              <w:top w:val="single" w:sz="4" w:space="0" w:color="auto"/>
              <w:left w:val="single" w:sz="4" w:space="0" w:color="auto"/>
              <w:bottom w:val="single" w:sz="4" w:space="0" w:color="auto"/>
              <w:right w:val="single" w:sz="4" w:space="0" w:color="auto"/>
            </w:tcBorders>
          </w:tcPr>
          <w:p w14:paraId="05AED37D" w14:textId="1FEE8A58" w:rsidR="003B3C3C" w:rsidRPr="001B1DB1" w:rsidRDefault="003B3C3C" w:rsidP="003724F4">
            <w:pPr>
              <w:jc w:val="both"/>
              <w:rPr>
                <w:rFonts w:cs="Times New Roman"/>
                <w:sz w:val="20"/>
                <w:szCs w:val="20"/>
              </w:rPr>
            </w:pPr>
            <w:r w:rsidRPr="001B1DB1">
              <w:rPr>
                <w:rFonts w:cs="Times New Roman"/>
                <w:sz w:val="20"/>
                <w:szCs w:val="20"/>
              </w:rPr>
              <w:t>2. Apmācīti izmeklētāji un analītiķi</w:t>
            </w:r>
            <w:r w:rsidR="002770A7">
              <w:rPr>
                <w:rFonts w:cs="Times New Roman"/>
                <w:sz w:val="20"/>
                <w:szCs w:val="20"/>
              </w:rPr>
              <w:t xml:space="preserve"> atbilstoši</w:t>
            </w:r>
            <w:r w:rsidR="004E6C3D">
              <w:rPr>
                <w:rFonts w:cs="Times New Roman"/>
                <w:sz w:val="20"/>
                <w:szCs w:val="20"/>
              </w:rPr>
              <w:t xml:space="preserve"> </w:t>
            </w:r>
            <w:r w:rsidR="004E6C3D" w:rsidRPr="004E6C3D">
              <w:rPr>
                <w:rFonts w:cs="Times New Roman"/>
                <w:sz w:val="20"/>
                <w:szCs w:val="20"/>
              </w:rPr>
              <w:t>atbildīgās institūcijas</w:t>
            </w:r>
            <w:r w:rsidR="002770A7">
              <w:rPr>
                <w:rFonts w:cs="Times New Roman"/>
                <w:sz w:val="20"/>
                <w:szCs w:val="20"/>
              </w:rPr>
              <w:t xml:space="preserve"> ikgadējam plānam</w:t>
            </w:r>
            <w:r w:rsidR="002770A7"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EF4185C" w14:textId="77777777" w:rsidR="003B3C3C" w:rsidRPr="001B1DB1" w:rsidRDefault="003B3C3C" w:rsidP="00D11C53">
            <w:pPr>
              <w:jc w:val="center"/>
              <w:rPr>
                <w:rFonts w:cs="Times New Roman"/>
                <w:bCs/>
                <w:sz w:val="20"/>
                <w:szCs w:val="20"/>
              </w:rPr>
            </w:pPr>
            <w:r w:rsidRPr="001B1DB1">
              <w:rPr>
                <w:rFonts w:cs="Times New Roman"/>
                <w:bCs/>
                <w:sz w:val="20"/>
                <w:szCs w:val="20"/>
              </w:rPr>
              <w:t>TM (TA), VAS</w:t>
            </w:r>
          </w:p>
        </w:tc>
        <w:tc>
          <w:tcPr>
            <w:tcW w:w="1275" w:type="dxa"/>
            <w:tcBorders>
              <w:top w:val="single" w:sz="4" w:space="0" w:color="auto"/>
              <w:left w:val="single" w:sz="4" w:space="0" w:color="auto"/>
              <w:bottom w:val="single" w:sz="4" w:space="0" w:color="auto"/>
              <w:right w:val="single" w:sz="4" w:space="0" w:color="auto"/>
            </w:tcBorders>
          </w:tcPr>
          <w:p w14:paraId="155752DF" w14:textId="54D091B3" w:rsidR="003B3C3C" w:rsidRPr="001B1DB1" w:rsidRDefault="003B3C3C" w:rsidP="00D11C53">
            <w:pPr>
              <w:jc w:val="center"/>
              <w:rPr>
                <w:rFonts w:cs="Times New Roman"/>
                <w:bCs/>
                <w:sz w:val="20"/>
                <w:szCs w:val="20"/>
              </w:rPr>
            </w:pPr>
            <w:r w:rsidRPr="001B1DB1">
              <w:rPr>
                <w:rFonts w:cs="Times New Roman"/>
                <w:bCs/>
                <w:sz w:val="20"/>
                <w:szCs w:val="20"/>
              </w:rPr>
              <w:t xml:space="preserve">VP, VID, KNAB, VDD, ĢP, VRS, IDB, </w:t>
            </w:r>
            <w:r w:rsidR="00833304" w:rsidRPr="00833304">
              <w:rPr>
                <w:rFonts w:cs="Times New Roman"/>
                <w:bCs/>
                <w:sz w:val="20"/>
                <w:szCs w:val="20"/>
              </w:rPr>
              <w:t>MP</w:t>
            </w:r>
            <w:r w:rsidRPr="001B1DB1">
              <w:rPr>
                <w:rFonts w:cs="Times New Roman"/>
                <w:bCs/>
                <w:sz w:val="20"/>
                <w:szCs w:val="20"/>
              </w:rPr>
              <w:t>, IeVP, FID</w:t>
            </w:r>
          </w:p>
        </w:tc>
        <w:tc>
          <w:tcPr>
            <w:tcW w:w="1418" w:type="dxa"/>
            <w:tcBorders>
              <w:top w:val="single" w:sz="4" w:space="0" w:color="auto"/>
              <w:left w:val="single" w:sz="4" w:space="0" w:color="auto"/>
              <w:bottom w:val="single" w:sz="4" w:space="0" w:color="auto"/>
              <w:right w:val="single" w:sz="4" w:space="0" w:color="auto"/>
            </w:tcBorders>
          </w:tcPr>
          <w:p w14:paraId="5212F97F" w14:textId="77777777" w:rsidR="003B3C3C" w:rsidRPr="001B1DB1" w:rsidRDefault="004A71E4" w:rsidP="00D11C53">
            <w:pPr>
              <w:jc w:val="center"/>
              <w:rPr>
                <w:rFonts w:cs="Times New Roman"/>
                <w:bCs/>
                <w:sz w:val="20"/>
                <w:szCs w:val="20"/>
              </w:rPr>
            </w:pPr>
            <w:r w:rsidRPr="001B1DB1">
              <w:rPr>
                <w:rFonts w:cs="Times New Roman"/>
                <w:bCs/>
                <w:sz w:val="20"/>
                <w:szCs w:val="20"/>
              </w:rPr>
              <w:t>31.12.</w:t>
            </w:r>
            <w:r w:rsidR="003B3C3C" w:rsidRPr="001B1DB1">
              <w:rPr>
                <w:rFonts w:cs="Times New Roman"/>
                <w:bCs/>
                <w:sz w:val="20"/>
                <w:szCs w:val="20"/>
              </w:rPr>
              <w:t>2022.</w:t>
            </w:r>
          </w:p>
        </w:tc>
      </w:tr>
      <w:tr w:rsidR="003B3C3C" w:rsidRPr="001B1DB1" w14:paraId="1F5A71F4" w14:textId="77777777" w:rsidTr="00FF556E">
        <w:trPr>
          <w:trHeight w:val="543"/>
        </w:trPr>
        <w:tc>
          <w:tcPr>
            <w:tcW w:w="709" w:type="dxa"/>
            <w:vMerge/>
            <w:tcBorders>
              <w:left w:val="single" w:sz="4" w:space="0" w:color="auto"/>
              <w:right w:val="single" w:sz="4" w:space="0" w:color="auto"/>
            </w:tcBorders>
          </w:tcPr>
          <w:p w14:paraId="6B044532" w14:textId="77777777" w:rsidR="003B3C3C" w:rsidRPr="001B1DB1" w:rsidRDefault="003B3C3C"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DDF8C12" w14:textId="15F2F523" w:rsidR="003B3C3C" w:rsidRPr="001B1DB1" w:rsidRDefault="00AC5DB6" w:rsidP="00FB6BBC">
            <w:pPr>
              <w:jc w:val="both"/>
              <w:rPr>
                <w:rFonts w:cs="Times New Roman"/>
                <w:bCs/>
                <w:sz w:val="20"/>
                <w:szCs w:val="20"/>
              </w:rPr>
            </w:pPr>
            <w:r w:rsidRPr="001B1DB1">
              <w:rPr>
                <w:rFonts w:cs="Times New Roman"/>
                <w:bCs/>
                <w:sz w:val="20"/>
                <w:szCs w:val="20"/>
              </w:rPr>
              <w:t xml:space="preserve">3. </w:t>
            </w:r>
            <w:r w:rsidR="003B3C3C" w:rsidRPr="001B1DB1">
              <w:rPr>
                <w:rFonts w:cs="Times New Roman"/>
                <w:bCs/>
                <w:sz w:val="20"/>
                <w:szCs w:val="20"/>
              </w:rPr>
              <w:t>Izstrādāt un īstenot apmācību programm</w:t>
            </w:r>
            <w:r w:rsidR="00FB6BBC">
              <w:rPr>
                <w:rFonts w:cs="Times New Roman"/>
                <w:bCs/>
                <w:sz w:val="20"/>
                <w:szCs w:val="20"/>
              </w:rPr>
              <w:t>u</w:t>
            </w:r>
            <w:r w:rsidR="003B3C3C" w:rsidRPr="001B1DB1">
              <w:rPr>
                <w:rFonts w:cs="Times New Roman"/>
                <w:bCs/>
                <w:sz w:val="20"/>
                <w:szCs w:val="20"/>
              </w:rPr>
              <w:t xml:space="preserve"> "Noziedzīgi iegūtu līdzekļu atguve (identifikācija, izsekošana, arests, konfiskācija pirmstiesas izmeklēšanas laikā)"</w:t>
            </w:r>
            <w:r w:rsidR="004A71E4" w:rsidRPr="001B1DB1">
              <w:rPr>
                <w:rFonts w:cs="Times New Roman"/>
                <w:bCs/>
                <w:sz w:val="20"/>
                <w:szCs w:val="20"/>
              </w:rPr>
              <w:t>.</w:t>
            </w:r>
          </w:p>
        </w:tc>
        <w:tc>
          <w:tcPr>
            <w:tcW w:w="1559" w:type="dxa"/>
            <w:vMerge/>
            <w:tcBorders>
              <w:left w:val="single" w:sz="4" w:space="0" w:color="auto"/>
              <w:right w:val="single" w:sz="4" w:space="0" w:color="auto"/>
            </w:tcBorders>
          </w:tcPr>
          <w:p w14:paraId="240D6096" w14:textId="77777777" w:rsidR="003B3C3C" w:rsidRPr="001B1DB1" w:rsidRDefault="003B3C3C"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03F305C" w14:textId="77777777" w:rsidR="003B3C3C" w:rsidRPr="001B1DB1" w:rsidRDefault="003B3C3C" w:rsidP="00172808">
            <w:pPr>
              <w:jc w:val="both"/>
              <w:rPr>
                <w:rFonts w:cs="Times New Roman"/>
                <w:sz w:val="20"/>
                <w:szCs w:val="20"/>
              </w:rPr>
            </w:pPr>
            <w:r w:rsidRPr="001B1DB1">
              <w:rPr>
                <w:rFonts w:cs="Times New Roman"/>
                <w:sz w:val="20"/>
                <w:szCs w:val="20"/>
              </w:rPr>
              <w:t xml:space="preserve">3. Veicināta VP izmeklētāju un citu amatpersonu izpratne par noziedzīgi iegūtu līdzekļu identifikāciju un arestu aizdomās turēto personu un personas, kas uztur pastāvīgas attiecības </w:t>
            </w:r>
            <w:r w:rsidR="005B2727">
              <w:rPr>
                <w:rFonts w:cs="Times New Roman"/>
                <w:sz w:val="20"/>
                <w:szCs w:val="20"/>
              </w:rPr>
              <w:t xml:space="preserve">ar aizdomās turēto, </w:t>
            </w:r>
            <w:r w:rsidRPr="001B1DB1">
              <w:rPr>
                <w:rFonts w:cs="Times New Roman"/>
                <w:sz w:val="20"/>
                <w:szCs w:val="20"/>
              </w:rPr>
              <w:t>mantai, t.sk. ārvalstīs.</w:t>
            </w:r>
          </w:p>
        </w:tc>
        <w:tc>
          <w:tcPr>
            <w:tcW w:w="2694" w:type="dxa"/>
            <w:tcBorders>
              <w:top w:val="single" w:sz="4" w:space="0" w:color="auto"/>
              <w:left w:val="single" w:sz="4" w:space="0" w:color="auto"/>
              <w:bottom w:val="single" w:sz="4" w:space="0" w:color="auto"/>
              <w:right w:val="single" w:sz="4" w:space="0" w:color="auto"/>
            </w:tcBorders>
          </w:tcPr>
          <w:p w14:paraId="032F1969" w14:textId="634752F0" w:rsidR="003B3C3C" w:rsidRPr="001B1DB1" w:rsidRDefault="003B3C3C" w:rsidP="003724F4">
            <w:pPr>
              <w:jc w:val="both"/>
              <w:rPr>
                <w:rFonts w:cs="Times New Roman"/>
                <w:sz w:val="20"/>
                <w:szCs w:val="20"/>
              </w:rPr>
            </w:pPr>
            <w:r w:rsidRPr="001B1DB1">
              <w:rPr>
                <w:rFonts w:cs="Times New Roman"/>
                <w:sz w:val="20"/>
                <w:szCs w:val="20"/>
              </w:rPr>
              <w:t>3. Apmācīti VP izmeklētāji un citas amatpersonas</w:t>
            </w:r>
            <w:r w:rsidR="002770A7">
              <w:rPr>
                <w:rFonts w:cs="Times New Roman"/>
                <w:sz w:val="20"/>
                <w:szCs w:val="20"/>
              </w:rPr>
              <w:t xml:space="preserve"> atbilstoši </w:t>
            </w:r>
            <w:r w:rsidR="004E6C3D" w:rsidRPr="004E6C3D">
              <w:rPr>
                <w:rFonts w:cs="Times New Roman"/>
                <w:sz w:val="20"/>
                <w:szCs w:val="20"/>
              </w:rPr>
              <w:t xml:space="preserve">atbildīgās institūcijas </w:t>
            </w:r>
            <w:r w:rsidR="002770A7">
              <w:rPr>
                <w:rFonts w:cs="Times New Roman"/>
                <w:sz w:val="20"/>
                <w:szCs w:val="20"/>
              </w:rPr>
              <w:t>ikgadējam plānam</w:t>
            </w:r>
            <w:r w:rsidR="004A71E4"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0EE7868" w14:textId="77777777" w:rsidR="003B3C3C" w:rsidRPr="001B1DB1" w:rsidRDefault="003B3C3C" w:rsidP="00D11C53">
            <w:pPr>
              <w:jc w:val="center"/>
              <w:rPr>
                <w:rFonts w:cs="Times New Roman"/>
                <w:bCs/>
                <w:sz w:val="20"/>
                <w:szCs w:val="20"/>
              </w:rPr>
            </w:pPr>
            <w:r w:rsidRPr="001B1DB1">
              <w:rPr>
                <w:rFonts w:cs="Times New Roman"/>
                <w:bCs/>
                <w:sz w:val="20"/>
                <w:szCs w:val="20"/>
              </w:rPr>
              <w:t>Valsts policijas koledža</w:t>
            </w:r>
          </w:p>
        </w:tc>
        <w:tc>
          <w:tcPr>
            <w:tcW w:w="1275" w:type="dxa"/>
            <w:tcBorders>
              <w:top w:val="single" w:sz="4" w:space="0" w:color="auto"/>
              <w:left w:val="single" w:sz="4" w:space="0" w:color="auto"/>
              <w:bottom w:val="single" w:sz="4" w:space="0" w:color="auto"/>
              <w:right w:val="single" w:sz="4" w:space="0" w:color="auto"/>
            </w:tcBorders>
          </w:tcPr>
          <w:p w14:paraId="178E0E85" w14:textId="70AB0A68" w:rsidR="003B3C3C" w:rsidRPr="001B1DB1" w:rsidRDefault="003B3C3C" w:rsidP="00D11C53">
            <w:pPr>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CFBB8A" w14:textId="77777777" w:rsidR="003B3C3C" w:rsidRPr="001B1DB1" w:rsidRDefault="004A71E4" w:rsidP="00D11C53">
            <w:pPr>
              <w:jc w:val="center"/>
              <w:rPr>
                <w:rFonts w:cs="Times New Roman"/>
                <w:bCs/>
                <w:sz w:val="20"/>
                <w:szCs w:val="20"/>
              </w:rPr>
            </w:pPr>
            <w:r w:rsidRPr="001B1DB1">
              <w:rPr>
                <w:rFonts w:cs="Times New Roman"/>
                <w:bCs/>
                <w:sz w:val="20"/>
                <w:szCs w:val="20"/>
              </w:rPr>
              <w:t>31.12.</w:t>
            </w:r>
            <w:r w:rsidR="003B3C3C" w:rsidRPr="001B1DB1">
              <w:rPr>
                <w:rFonts w:cs="Times New Roman"/>
                <w:bCs/>
                <w:sz w:val="20"/>
                <w:szCs w:val="20"/>
              </w:rPr>
              <w:t>2022.</w:t>
            </w:r>
          </w:p>
        </w:tc>
      </w:tr>
      <w:tr w:rsidR="003B3C3C" w:rsidRPr="001B1DB1" w14:paraId="09875E5E" w14:textId="77777777" w:rsidTr="00FF556E">
        <w:trPr>
          <w:trHeight w:val="543"/>
        </w:trPr>
        <w:tc>
          <w:tcPr>
            <w:tcW w:w="709" w:type="dxa"/>
            <w:vMerge/>
            <w:tcBorders>
              <w:left w:val="single" w:sz="4" w:space="0" w:color="auto"/>
              <w:right w:val="single" w:sz="4" w:space="0" w:color="auto"/>
            </w:tcBorders>
          </w:tcPr>
          <w:p w14:paraId="6BD268CB" w14:textId="77777777" w:rsidR="003B3C3C" w:rsidRPr="001B1DB1" w:rsidRDefault="003B3C3C" w:rsidP="00D137E5">
            <w:pPr>
              <w:jc w:val="center"/>
              <w:rPr>
                <w:rFonts w:cs="Times 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20B14B5" w14:textId="77777777" w:rsidR="003B3C3C" w:rsidRPr="001B1DB1" w:rsidRDefault="00AC5DB6" w:rsidP="00172808">
            <w:pPr>
              <w:jc w:val="both"/>
              <w:rPr>
                <w:rFonts w:cs="Times New Roman"/>
                <w:bCs/>
                <w:sz w:val="20"/>
                <w:szCs w:val="20"/>
              </w:rPr>
            </w:pPr>
            <w:r w:rsidRPr="001B1DB1">
              <w:rPr>
                <w:rFonts w:cs="Times New Roman"/>
                <w:bCs/>
                <w:sz w:val="20"/>
                <w:szCs w:val="20"/>
              </w:rPr>
              <w:t xml:space="preserve">4. </w:t>
            </w:r>
            <w:r w:rsidR="003B3C3C" w:rsidRPr="001B1DB1">
              <w:rPr>
                <w:rFonts w:cs="Times New Roman"/>
                <w:bCs/>
                <w:sz w:val="20"/>
                <w:szCs w:val="20"/>
              </w:rPr>
              <w:t>Īstenot tiesnešu, prokuroru un izmeklētāju apmācības par NILL izmeklēšanai nepieciešamā pierādījumu apjoma nodrošināšanu, tai skaitā par sodu politiku.</w:t>
            </w:r>
          </w:p>
        </w:tc>
        <w:tc>
          <w:tcPr>
            <w:tcW w:w="1559" w:type="dxa"/>
            <w:vMerge/>
            <w:tcBorders>
              <w:left w:val="single" w:sz="4" w:space="0" w:color="auto"/>
              <w:right w:val="single" w:sz="4" w:space="0" w:color="auto"/>
            </w:tcBorders>
          </w:tcPr>
          <w:p w14:paraId="7E261906" w14:textId="77777777" w:rsidR="003B3C3C" w:rsidRPr="001B1DB1" w:rsidRDefault="003B3C3C" w:rsidP="00172808">
            <w:pPr>
              <w:jc w:val="both"/>
              <w:rPr>
                <w:rFonts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69B0102" w14:textId="59DE0494" w:rsidR="003B3C3C" w:rsidRPr="001B1DB1" w:rsidRDefault="003B3C3C" w:rsidP="00172808">
            <w:pPr>
              <w:jc w:val="both"/>
              <w:rPr>
                <w:rFonts w:cs="Times New Roman"/>
                <w:sz w:val="20"/>
                <w:szCs w:val="20"/>
              </w:rPr>
            </w:pPr>
            <w:r w:rsidRPr="001B1DB1">
              <w:rPr>
                <w:rFonts w:cs="Times New Roman"/>
                <w:sz w:val="20"/>
                <w:szCs w:val="20"/>
              </w:rPr>
              <w:t>4. Izveidot</w:t>
            </w:r>
            <w:r w:rsidR="00FB6BBC">
              <w:rPr>
                <w:rFonts w:cs="Times New Roman"/>
                <w:sz w:val="20"/>
                <w:szCs w:val="20"/>
              </w:rPr>
              <w:t>a</w:t>
            </w:r>
            <w:r w:rsidRPr="001B1DB1">
              <w:rPr>
                <w:rFonts w:cs="Times New Roman"/>
                <w:sz w:val="20"/>
                <w:szCs w:val="20"/>
              </w:rPr>
              <w:t xml:space="preserve"> vienota prakse NILL izmeklēšanā, personu saukšanā pie kriminālatbildības un atturošu sodu piemērošanā.</w:t>
            </w:r>
          </w:p>
        </w:tc>
        <w:tc>
          <w:tcPr>
            <w:tcW w:w="2694" w:type="dxa"/>
            <w:tcBorders>
              <w:top w:val="single" w:sz="4" w:space="0" w:color="auto"/>
              <w:left w:val="single" w:sz="4" w:space="0" w:color="auto"/>
              <w:bottom w:val="single" w:sz="4" w:space="0" w:color="auto"/>
              <w:right w:val="single" w:sz="4" w:space="0" w:color="auto"/>
            </w:tcBorders>
          </w:tcPr>
          <w:p w14:paraId="53825DA7" w14:textId="5670CF9A" w:rsidR="003B3C3C" w:rsidRPr="001B1DB1" w:rsidRDefault="003B3C3C" w:rsidP="003724F4">
            <w:pPr>
              <w:jc w:val="both"/>
              <w:rPr>
                <w:rFonts w:cs="Times New Roman"/>
                <w:sz w:val="20"/>
                <w:szCs w:val="20"/>
              </w:rPr>
            </w:pPr>
            <w:r w:rsidRPr="001B1DB1">
              <w:rPr>
                <w:rFonts w:cs="Times New Roman"/>
                <w:sz w:val="20"/>
                <w:szCs w:val="20"/>
              </w:rPr>
              <w:t>4. Apmācīti tiesneši, prokurori un izmeklētāji</w:t>
            </w:r>
            <w:r w:rsidR="002770A7">
              <w:rPr>
                <w:rFonts w:cs="Times New Roman"/>
                <w:sz w:val="20"/>
                <w:szCs w:val="20"/>
              </w:rPr>
              <w:t xml:space="preserve"> atbilstoši</w:t>
            </w:r>
            <w:r w:rsidR="00996811">
              <w:rPr>
                <w:rFonts w:cs="Times New Roman"/>
                <w:sz w:val="20"/>
                <w:szCs w:val="20"/>
              </w:rPr>
              <w:t xml:space="preserve"> </w:t>
            </w:r>
            <w:r w:rsidR="00996811" w:rsidRPr="00996811">
              <w:rPr>
                <w:rFonts w:cs="Times New Roman"/>
                <w:sz w:val="20"/>
                <w:szCs w:val="20"/>
              </w:rPr>
              <w:t>atbildīgās institūcijas</w:t>
            </w:r>
            <w:r w:rsidR="002770A7">
              <w:rPr>
                <w:rFonts w:cs="Times New Roman"/>
                <w:sz w:val="20"/>
                <w:szCs w:val="20"/>
              </w:rPr>
              <w:t xml:space="preserve"> ikgadējam plānam</w:t>
            </w:r>
            <w:r w:rsidR="004A71E4" w:rsidRPr="001B1DB1">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B4FA4C9" w14:textId="40D935FD" w:rsidR="003B3C3C" w:rsidRPr="001B1DB1" w:rsidRDefault="003B3C3C" w:rsidP="005E1F58">
            <w:pPr>
              <w:jc w:val="center"/>
              <w:rPr>
                <w:rFonts w:cs="Times New Roman"/>
                <w:bCs/>
                <w:sz w:val="20"/>
                <w:szCs w:val="20"/>
              </w:rPr>
            </w:pPr>
            <w:r w:rsidRPr="001B1DB1">
              <w:rPr>
                <w:rFonts w:cs="Times New Roman"/>
                <w:bCs/>
                <w:sz w:val="20"/>
                <w:szCs w:val="20"/>
              </w:rPr>
              <w:t xml:space="preserve">TM (TA), ĢP, </w:t>
            </w:r>
            <w:r w:rsidR="005E1F58">
              <w:rPr>
                <w:rFonts w:cs="Times New Roman"/>
                <w:bCs/>
                <w:sz w:val="20"/>
                <w:szCs w:val="20"/>
              </w:rPr>
              <w:t xml:space="preserve">Latvijas </w:t>
            </w:r>
            <w:r w:rsidRPr="001B1DB1">
              <w:rPr>
                <w:rFonts w:cs="Times New Roman"/>
                <w:bCs/>
                <w:sz w:val="20"/>
                <w:szCs w:val="20"/>
              </w:rPr>
              <w:t>Ties</w:t>
            </w:r>
            <w:r w:rsidR="005E1F58">
              <w:rPr>
                <w:rFonts w:cs="Times New Roman"/>
                <w:bCs/>
                <w:sz w:val="20"/>
                <w:szCs w:val="20"/>
              </w:rPr>
              <w:t>neš</w:t>
            </w:r>
            <w:r w:rsidRPr="001B1DB1">
              <w:rPr>
                <w:rFonts w:cs="Times New Roman"/>
                <w:bCs/>
                <w:sz w:val="20"/>
                <w:szCs w:val="20"/>
              </w:rPr>
              <w:t>u mācību centrs, VAS</w:t>
            </w:r>
          </w:p>
        </w:tc>
        <w:tc>
          <w:tcPr>
            <w:tcW w:w="1275" w:type="dxa"/>
            <w:tcBorders>
              <w:top w:val="single" w:sz="4" w:space="0" w:color="auto"/>
              <w:left w:val="single" w:sz="4" w:space="0" w:color="auto"/>
              <w:bottom w:val="single" w:sz="4" w:space="0" w:color="auto"/>
              <w:right w:val="single" w:sz="4" w:space="0" w:color="auto"/>
            </w:tcBorders>
          </w:tcPr>
          <w:p w14:paraId="49719A0C" w14:textId="1F66FA62" w:rsidR="003B3C3C" w:rsidRPr="008B395B" w:rsidRDefault="003B3C3C" w:rsidP="00D11C53">
            <w:pPr>
              <w:jc w:val="center"/>
              <w:rPr>
                <w:rFonts w:cs="Times New Roman"/>
                <w:bCs/>
                <w:sz w:val="20"/>
                <w:szCs w:val="20"/>
              </w:rPr>
            </w:pPr>
            <w:r w:rsidRPr="008B395B">
              <w:rPr>
                <w:rFonts w:cs="Times New Roman"/>
                <w:bCs/>
                <w:sz w:val="20"/>
                <w:szCs w:val="20"/>
              </w:rPr>
              <w:t xml:space="preserve">VP, VID, KNAB, VDD, ĢP, VRS, IDB, </w:t>
            </w:r>
            <w:r w:rsidR="00833304" w:rsidRPr="008B395B">
              <w:rPr>
                <w:rFonts w:cs="Times New Roman"/>
                <w:bCs/>
                <w:sz w:val="20"/>
                <w:szCs w:val="20"/>
              </w:rPr>
              <w:t>MP</w:t>
            </w:r>
            <w:r w:rsidRPr="008B395B">
              <w:rPr>
                <w:rFonts w:cs="Times New Roman"/>
                <w:bCs/>
                <w:sz w:val="20"/>
                <w:szCs w:val="20"/>
              </w:rPr>
              <w:t>, IeVP</w:t>
            </w:r>
          </w:p>
        </w:tc>
        <w:tc>
          <w:tcPr>
            <w:tcW w:w="1418" w:type="dxa"/>
            <w:tcBorders>
              <w:top w:val="single" w:sz="4" w:space="0" w:color="auto"/>
              <w:left w:val="single" w:sz="4" w:space="0" w:color="auto"/>
              <w:bottom w:val="single" w:sz="4" w:space="0" w:color="auto"/>
              <w:right w:val="single" w:sz="4" w:space="0" w:color="auto"/>
            </w:tcBorders>
          </w:tcPr>
          <w:p w14:paraId="262F8ED6" w14:textId="2980308F" w:rsidR="003B3C3C" w:rsidRPr="008B395B" w:rsidRDefault="003B3C3C" w:rsidP="00D11C53">
            <w:pPr>
              <w:jc w:val="center"/>
              <w:rPr>
                <w:rFonts w:cs="Times New Roman"/>
                <w:bCs/>
                <w:sz w:val="20"/>
                <w:szCs w:val="20"/>
              </w:rPr>
            </w:pPr>
            <w:r w:rsidRPr="008B395B">
              <w:rPr>
                <w:rFonts w:cs="Times New Roman"/>
                <w:bCs/>
                <w:sz w:val="20"/>
                <w:szCs w:val="20"/>
              </w:rPr>
              <w:t>Pastāvīgi</w:t>
            </w:r>
          </w:p>
        </w:tc>
      </w:tr>
    </w:tbl>
    <w:p w14:paraId="6EDEDB6E" w14:textId="77777777" w:rsidR="009754EF" w:rsidRPr="001B1DB1" w:rsidRDefault="009754EF" w:rsidP="009754EF">
      <w:pPr>
        <w:pStyle w:val="Heading2"/>
        <w:ind w:left="720"/>
        <w:rPr>
          <w:rFonts w:ascii="Times New Roman" w:hAnsi="Times New Roman" w:cs="Times New Roman"/>
          <w:b/>
          <w:color w:val="auto"/>
          <w:sz w:val="28"/>
          <w:szCs w:val="28"/>
        </w:rPr>
      </w:pPr>
    </w:p>
    <w:p w14:paraId="76950D09" w14:textId="77777777" w:rsidR="00C703D7" w:rsidRPr="001B1DB1" w:rsidRDefault="00C703D7"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rīcības virziens – </w:t>
      </w:r>
      <w:r w:rsidR="001628EF" w:rsidRPr="001B1DB1">
        <w:rPr>
          <w:rFonts w:ascii="Times New Roman" w:hAnsi="Times New Roman" w:cs="Times New Roman"/>
          <w:b/>
          <w:color w:val="auto"/>
          <w:sz w:val="28"/>
          <w:szCs w:val="28"/>
        </w:rPr>
        <w:t>k</w:t>
      </w:r>
      <w:r w:rsidR="00C5142D" w:rsidRPr="001B1DB1">
        <w:rPr>
          <w:rFonts w:ascii="Times New Roman" w:hAnsi="Times New Roman" w:cs="Times New Roman"/>
          <w:b/>
          <w:color w:val="auto"/>
          <w:sz w:val="28"/>
          <w:szCs w:val="28"/>
        </w:rPr>
        <w:t>onfiskācija</w:t>
      </w:r>
    </w:p>
    <w:p w14:paraId="4F21F8B2" w14:textId="77777777" w:rsidR="00C703D7" w:rsidRPr="001B1DB1" w:rsidRDefault="00C703D7" w:rsidP="00C703D7">
      <w:pPr>
        <w:pStyle w:val="Heading2"/>
        <w:rPr>
          <w:rFonts w:ascii="Times New Roman" w:hAnsi="Times New Roman" w:cs="Times New Roman"/>
          <w:b/>
          <w:color w:val="auto"/>
          <w:sz w:val="28"/>
          <w:szCs w:val="28"/>
        </w:rPr>
      </w:pPr>
    </w:p>
    <w:p w14:paraId="654EAA31" w14:textId="67F90C17" w:rsidR="00C703D7" w:rsidRPr="00465089" w:rsidRDefault="00C703D7" w:rsidP="00210B8B">
      <w:pPr>
        <w:jc w:val="both"/>
        <w:rPr>
          <w:szCs w:val="24"/>
        </w:rPr>
      </w:pPr>
      <w:r w:rsidRPr="001B1DB1">
        <w:rPr>
          <w:szCs w:val="24"/>
        </w:rPr>
        <w:t xml:space="preserve">Par rīcības virzienu atbildīgā </w:t>
      </w:r>
      <w:r w:rsidR="000853A3" w:rsidRPr="000853A3">
        <w:rPr>
          <w:szCs w:val="24"/>
        </w:rPr>
        <w:t>institūcija</w:t>
      </w:r>
      <w:r w:rsidRPr="00465089">
        <w:rPr>
          <w:szCs w:val="24"/>
        </w:rPr>
        <w:t xml:space="preserve">: </w:t>
      </w:r>
      <w:r w:rsidR="00C5142D" w:rsidRPr="00465089">
        <w:rPr>
          <w:szCs w:val="24"/>
        </w:rPr>
        <w:t>TM</w:t>
      </w:r>
    </w:p>
    <w:p w14:paraId="15E3F85D" w14:textId="1F7C096E" w:rsidR="00C703D7" w:rsidRPr="00465089" w:rsidRDefault="00C703D7" w:rsidP="00C703D7">
      <w:pPr>
        <w:jc w:val="both"/>
        <w:rPr>
          <w:szCs w:val="24"/>
        </w:rPr>
      </w:pPr>
      <w:r w:rsidRPr="00465089">
        <w:rPr>
          <w:szCs w:val="24"/>
        </w:rPr>
        <w:t xml:space="preserve">Līdzatbildīgās </w:t>
      </w:r>
      <w:r w:rsidR="00D00DDA">
        <w:rPr>
          <w:szCs w:val="24"/>
        </w:rPr>
        <w:t>institūcijas</w:t>
      </w:r>
      <w:r w:rsidRPr="00465089">
        <w:rPr>
          <w:szCs w:val="24"/>
        </w:rPr>
        <w:t>:</w:t>
      </w:r>
      <w:r w:rsidR="00465089" w:rsidRPr="00465089">
        <w:rPr>
          <w:szCs w:val="24"/>
        </w:rPr>
        <w:t xml:space="preserve"> </w:t>
      </w:r>
      <w:r w:rsidR="00420A4C" w:rsidRPr="00465089">
        <w:rPr>
          <w:szCs w:val="24"/>
        </w:rPr>
        <w:t xml:space="preserve">FID, </w:t>
      </w:r>
      <w:r w:rsidR="00465089" w:rsidRPr="00465089">
        <w:rPr>
          <w:szCs w:val="24"/>
        </w:rPr>
        <w:t xml:space="preserve">ĢP, IDB, IeVP, </w:t>
      </w:r>
      <w:r w:rsidR="00420A4C" w:rsidRPr="00465089">
        <w:rPr>
          <w:szCs w:val="24"/>
        </w:rPr>
        <w:t xml:space="preserve">KNAB, </w:t>
      </w:r>
      <w:r w:rsidR="00833304" w:rsidRPr="00465089">
        <w:rPr>
          <w:szCs w:val="24"/>
        </w:rPr>
        <w:t>MP</w:t>
      </w:r>
      <w:r w:rsidR="00420A4C" w:rsidRPr="00465089">
        <w:rPr>
          <w:szCs w:val="24"/>
        </w:rPr>
        <w:t xml:space="preserve">, </w:t>
      </w:r>
      <w:r w:rsidR="004348E5" w:rsidRPr="004348E5">
        <w:rPr>
          <w:szCs w:val="24"/>
        </w:rPr>
        <w:t>NKIM starpinstitūciju darba grupa</w:t>
      </w:r>
      <w:r w:rsidR="004348E5">
        <w:rPr>
          <w:szCs w:val="24"/>
        </w:rPr>
        <w:t>,</w:t>
      </w:r>
      <w:r w:rsidR="004348E5" w:rsidRPr="004348E5">
        <w:rPr>
          <w:szCs w:val="24"/>
        </w:rPr>
        <w:t xml:space="preserve"> </w:t>
      </w:r>
      <w:r w:rsidR="001469CA" w:rsidRPr="00465089">
        <w:rPr>
          <w:szCs w:val="24"/>
        </w:rPr>
        <w:t xml:space="preserve">TA, VAS, VDD, VID, VP, </w:t>
      </w:r>
      <w:r w:rsidR="00465089" w:rsidRPr="00465089">
        <w:rPr>
          <w:szCs w:val="24"/>
        </w:rPr>
        <w:t>VRS</w:t>
      </w:r>
    </w:p>
    <w:p w14:paraId="65BBC41A" w14:textId="77777777" w:rsidR="00C703D7" w:rsidRPr="001B1DB1" w:rsidRDefault="00C703D7" w:rsidP="00C703D7">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C5142D" w:rsidRPr="001B1DB1" w14:paraId="7E8A33E8" w14:textId="77777777" w:rsidTr="009744C5">
        <w:tc>
          <w:tcPr>
            <w:tcW w:w="4395" w:type="dxa"/>
            <w:gridSpan w:val="2"/>
          </w:tcPr>
          <w:p w14:paraId="6F5EFBC0" w14:textId="77777777" w:rsidR="00C5142D" w:rsidRPr="001B1DB1" w:rsidRDefault="00C5142D" w:rsidP="00C5142D">
            <w:pPr>
              <w:rPr>
                <w:rFonts w:cs="Times New Roman"/>
                <w:b/>
                <w:bCs/>
                <w:sz w:val="20"/>
                <w:szCs w:val="20"/>
              </w:rPr>
            </w:pPr>
            <w:r w:rsidRPr="001B1DB1">
              <w:rPr>
                <w:rFonts w:cs="Times New Roman"/>
                <w:b/>
                <w:bCs/>
                <w:sz w:val="20"/>
                <w:szCs w:val="20"/>
              </w:rPr>
              <w:t>Rīcības virziens</w:t>
            </w:r>
          </w:p>
        </w:tc>
        <w:tc>
          <w:tcPr>
            <w:tcW w:w="10631" w:type="dxa"/>
            <w:gridSpan w:val="6"/>
          </w:tcPr>
          <w:p w14:paraId="29ECDA94" w14:textId="77777777" w:rsidR="00C5142D" w:rsidRPr="001B1DB1" w:rsidRDefault="00C5142D" w:rsidP="00C5142D">
            <w:pPr>
              <w:jc w:val="both"/>
              <w:rPr>
                <w:rFonts w:cs="Times New Roman"/>
                <w:b/>
                <w:bCs/>
                <w:sz w:val="20"/>
                <w:szCs w:val="20"/>
              </w:rPr>
            </w:pPr>
            <w:r w:rsidRPr="001B1DB1">
              <w:rPr>
                <w:rFonts w:cs="Times New Roman"/>
                <w:b/>
                <w:bCs/>
                <w:sz w:val="20"/>
                <w:szCs w:val="20"/>
              </w:rPr>
              <w:t>KONFISKĀCIJA</w:t>
            </w:r>
          </w:p>
        </w:tc>
      </w:tr>
      <w:tr w:rsidR="007D49B9" w:rsidRPr="001B1DB1" w14:paraId="100063F6" w14:textId="77777777" w:rsidTr="00172808">
        <w:tc>
          <w:tcPr>
            <w:tcW w:w="4395" w:type="dxa"/>
            <w:gridSpan w:val="2"/>
          </w:tcPr>
          <w:p w14:paraId="16F64AD0" w14:textId="21612544"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Borders>
              <w:top w:val="single" w:sz="4" w:space="0" w:color="000000"/>
              <w:left w:val="single" w:sz="4" w:space="0" w:color="000000"/>
              <w:bottom w:val="single" w:sz="4" w:space="0" w:color="000000"/>
              <w:right w:val="single" w:sz="4" w:space="0" w:color="000000"/>
            </w:tcBorders>
            <w:shd w:val="clear" w:color="auto" w:fill="auto"/>
          </w:tcPr>
          <w:p w14:paraId="01A0C709" w14:textId="77777777" w:rsidR="007D49B9" w:rsidRPr="001B1DB1" w:rsidRDefault="007D49B9" w:rsidP="007D49B9">
            <w:pPr>
              <w:jc w:val="both"/>
              <w:rPr>
                <w:rFonts w:cs="Times New Roman"/>
                <w:b/>
                <w:bCs/>
                <w:sz w:val="20"/>
                <w:szCs w:val="20"/>
              </w:rPr>
            </w:pPr>
            <w:r w:rsidRPr="001B1DB1">
              <w:rPr>
                <w:b/>
                <w:bCs/>
                <w:sz w:val="20"/>
                <w:szCs w:val="20"/>
              </w:rPr>
              <w:t>Noziedzīgi iegūti līdzekļi un nozieguma rīki tiek konfiscēti.</w:t>
            </w:r>
          </w:p>
        </w:tc>
      </w:tr>
      <w:tr w:rsidR="00C703D7" w:rsidRPr="001B1DB1" w14:paraId="600A98D8" w14:textId="77777777" w:rsidTr="009744C5">
        <w:trPr>
          <w:trHeight w:val="543"/>
        </w:trPr>
        <w:tc>
          <w:tcPr>
            <w:tcW w:w="709" w:type="dxa"/>
          </w:tcPr>
          <w:p w14:paraId="7A0796FA" w14:textId="77777777" w:rsidR="00C703D7" w:rsidRPr="001B1DB1" w:rsidRDefault="00C703D7" w:rsidP="009744C5">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1037EC86" w14:textId="77777777" w:rsidR="00C703D7" w:rsidRPr="001B1DB1" w:rsidRDefault="00C703D7" w:rsidP="009744C5">
            <w:pPr>
              <w:jc w:val="center"/>
              <w:rPr>
                <w:rFonts w:cs="Times New Roman"/>
                <w:bCs/>
                <w:i/>
                <w:sz w:val="20"/>
                <w:szCs w:val="20"/>
              </w:rPr>
            </w:pPr>
            <w:r w:rsidRPr="001B1DB1">
              <w:rPr>
                <w:rFonts w:cs="Times New Roman"/>
                <w:b/>
                <w:bCs/>
                <w:sz w:val="20"/>
                <w:szCs w:val="20"/>
              </w:rPr>
              <w:t>Pasākums</w:t>
            </w:r>
          </w:p>
        </w:tc>
        <w:tc>
          <w:tcPr>
            <w:tcW w:w="1559" w:type="dxa"/>
          </w:tcPr>
          <w:p w14:paraId="4C797791" w14:textId="77777777" w:rsidR="00C703D7" w:rsidRPr="001B1DB1" w:rsidRDefault="00C703D7" w:rsidP="009744C5">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6AECD9ED" w14:textId="77777777" w:rsidR="00C703D7" w:rsidRPr="001B1DB1" w:rsidRDefault="00C703D7" w:rsidP="009744C5">
            <w:pPr>
              <w:jc w:val="center"/>
              <w:rPr>
                <w:rFonts w:cs="Times New Roman"/>
                <w:b/>
                <w:bCs/>
                <w:i/>
                <w:sz w:val="20"/>
                <w:szCs w:val="20"/>
              </w:rPr>
            </w:pPr>
            <w:r w:rsidRPr="001B1DB1">
              <w:rPr>
                <w:rFonts w:cs="Times New Roman"/>
                <w:b/>
                <w:sz w:val="20"/>
                <w:szCs w:val="20"/>
              </w:rPr>
              <w:t>Darbības rezultāts</w:t>
            </w:r>
          </w:p>
        </w:tc>
        <w:tc>
          <w:tcPr>
            <w:tcW w:w="2694" w:type="dxa"/>
          </w:tcPr>
          <w:p w14:paraId="1B715AA7" w14:textId="77777777" w:rsidR="00C703D7" w:rsidRPr="001B1DB1" w:rsidRDefault="00C703D7" w:rsidP="009744C5">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66AF6E64"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732AD53B" w14:textId="77777777" w:rsidR="00C703D7" w:rsidRPr="001B1DB1" w:rsidRDefault="00C703D7" w:rsidP="009744C5">
            <w:pPr>
              <w:jc w:val="center"/>
              <w:rPr>
                <w:rFonts w:cs="Times New Roman"/>
                <w:b/>
                <w:bCs/>
                <w:sz w:val="20"/>
                <w:szCs w:val="20"/>
              </w:rPr>
            </w:pPr>
            <w:r w:rsidRPr="001B1DB1">
              <w:rPr>
                <w:rFonts w:cs="Times New Roman"/>
                <w:b/>
                <w:bCs/>
                <w:sz w:val="20"/>
                <w:szCs w:val="20"/>
              </w:rPr>
              <w:t>Līdz-</w:t>
            </w:r>
          </w:p>
          <w:p w14:paraId="4D432FA5" w14:textId="77777777" w:rsidR="00C703D7" w:rsidRPr="001B1DB1" w:rsidRDefault="00C703D7" w:rsidP="009744C5">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2587A67C" w14:textId="77777777" w:rsidR="00C703D7" w:rsidRPr="001B1DB1" w:rsidRDefault="00C703D7" w:rsidP="009744C5">
            <w:pPr>
              <w:jc w:val="center"/>
              <w:rPr>
                <w:rFonts w:cs="Times New Roman"/>
                <w:bCs/>
                <w:i/>
                <w:sz w:val="20"/>
                <w:szCs w:val="20"/>
              </w:rPr>
            </w:pPr>
            <w:r w:rsidRPr="001B1DB1">
              <w:rPr>
                <w:rFonts w:cs="Times New Roman"/>
                <w:b/>
                <w:bCs/>
                <w:sz w:val="20"/>
                <w:szCs w:val="20"/>
              </w:rPr>
              <w:t>Izpildes termiņš</w:t>
            </w:r>
          </w:p>
        </w:tc>
      </w:tr>
      <w:tr w:rsidR="00BF7951" w:rsidRPr="001B1DB1" w14:paraId="4CC6BF8E" w14:textId="77777777" w:rsidTr="009744C5">
        <w:trPr>
          <w:trHeight w:val="543"/>
        </w:trPr>
        <w:tc>
          <w:tcPr>
            <w:tcW w:w="709" w:type="dxa"/>
            <w:vMerge w:val="restart"/>
          </w:tcPr>
          <w:p w14:paraId="11968058" w14:textId="77777777" w:rsidR="00BF7951" w:rsidRPr="001B1DB1" w:rsidRDefault="00BF7951" w:rsidP="00F6007F">
            <w:pPr>
              <w:jc w:val="center"/>
              <w:rPr>
                <w:rFonts w:cs="Times New Roman"/>
                <w:bCs/>
                <w:sz w:val="20"/>
                <w:szCs w:val="20"/>
              </w:rPr>
            </w:pPr>
            <w:r w:rsidRPr="001B1DB1">
              <w:rPr>
                <w:sz w:val="20"/>
                <w:szCs w:val="20"/>
              </w:rPr>
              <w:t>8.1.</w:t>
            </w:r>
          </w:p>
        </w:tc>
        <w:tc>
          <w:tcPr>
            <w:tcW w:w="3686" w:type="dxa"/>
            <w:vMerge w:val="restart"/>
            <w:shd w:val="clear" w:color="auto" w:fill="auto"/>
          </w:tcPr>
          <w:p w14:paraId="55C67CB2" w14:textId="77777777" w:rsidR="00BF7951" w:rsidRPr="001B1DB1" w:rsidRDefault="00BF7951" w:rsidP="00172808">
            <w:pPr>
              <w:jc w:val="both"/>
              <w:rPr>
                <w:rFonts w:cs="Times New Roman"/>
                <w:b/>
                <w:bCs/>
                <w:sz w:val="20"/>
                <w:szCs w:val="20"/>
              </w:rPr>
            </w:pPr>
            <w:r w:rsidRPr="001B1DB1">
              <w:rPr>
                <w:sz w:val="20"/>
                <w:szCs w:val="20"/>
              </w:rPr>
              <w:t>Skaidras naudas, t.sk., kas saistīta ar NILLTPF, fiziskas pārvietošanas pāri robežām kontrole.</w:t>
            </w:r>
          </w:p>
        </w:tc>
        <w:tc>
          <w:tcPr>
            <w:tcW w:w="1559" w:type="dxa"/>
            <w:vMerge w:val="restart"/>
          </w:tcPr>
          <w:p w14:paraId="3AAA9281" w14:textId="77289988" w:rsidR="00BF7951" w:rsidRPr="001B1DB1" w:rsidRDefault="00BF7951" w:rsidP="00172808">
            <w:pPr>
              <w:pStyle w:val="Body"/>
              <w:jc w:val="both"/>
              <w:rPr>
                <w:sz w:val="20"/>
                <w:szCs w:val="20"/>
              </w:rPr>
            </w:pPr>
            <w:r w:rsidRPr="001B1DB1">
              <w:rPr>
                <w:sz w:val="20"/>
                <w:szCs w:val="20"/>
              </w:rPr>
              <w:t>MONEYVAL 8.4.</w:t>
            </w:r>
            <w:r w:rsidR="00DF6514" w:rsidRPr="001B1DB1">
              <w:rPr>
                <w:sz w:val="20"/>
                <w:szCs w:val="20"/>
              </w:rPr>
              <w:t xml:space="preserve"> rekomendācija</w:t>
            </w:r>
            <w:r w:rsidR="00DF6514">
              <w:rPr>
                <w:sz w:val="20"/>
                <w:szCs w:val="20"/>
              </w:rPr>
              <w:t>;</w:t>
            </w:r>
          </w:p>
          <w:p w14:paraId="3CC33089" w14:textId="56D84AAB" w:rsidR="00BF7951" w:rsidRPr="001B1DB1" w:rsidRDefault="00BF7951" w:rsidP="00172808">
            <w:pPr>
              <w:pStyle w:val="Body"/>
              <w:jc w:val="both"/>
              <w:rPr>
                <w:sz w:val="20"/>
                <w:szCs w:val="20"/>
              </w:rPr>
            </w:pPr>
            <w:r w:rsidRPr="001B1DB1">
              <w:rPr>
                <w:sz w:val="20"/>
                <w:szCs w:val="20"/>
              </w:rPr>
              <w:t>Nacionālais TF un PF risku ziņojums (17.</w:t>
            </w:r>
            <w:r w:rsidR="007673C2">
              <w:rPr>
                <w:sz w:val="20"/>
                <w:szCs w:val="20"/>
              </w:rPr>
              <w:t xml:space="preserve"> </w:t>
            </w:r>
            <w:r w:rsidRPr="001B1DB1">
              <w:rPr>
                <w:sz w:val="20"/>
                <w:szCs w:val="20"/>
              </w:rPr>
              <w:t>lpp.)</w:t>
            </w:r>
            <w:r w:rsidR="00DF6514">
              <w:rPr>
                <w:sz w:val="20"/>
                <w:szCs w:val="20"/>
              </w:rPr>
              <w:t>;</w:t>
            </w:r>
          </w:p>
          <w:p w14:paraId="2729D129" w14:textId="07EFA599" w:rsidR="00BF7951" w:rsidRPr="001B1DB1" w:rsidRDefault="00BF7951" w:rsidP="00172808">
            <w:pPr>
              <w:jc w:val="both"/>
              <w:rPr>
                <w:rFonts w:cs="Times New Roman"/>
                <w:b/>
                <w:sz w:val="20"/>
                <w:szCs w:val="20"/>
              </w:rPr>
            </w:pPr>
            <w:r w:rsidRPr="001B1DB1">
              <w:rPr>
                <w:sz w:val="20"/>
                <w:szCs w:val="20"/>
              </w:rPr>
              <w:t>FATF 32.</w:t>
            </w:r>
            <w:r w:rsidR="00DF6514">
              <w:rPr>
                <w:sz w:val="20"/>
                <w:szCs w:val="20"/>
              </w:rPr>
              <w:t xml:space="preserve"> </w:t>
            </w:r>
            <w:r w:rsidRPr="001B1DB1">
              <w:rPr>
                <w:sz w:val="20"/>
                <w:szCs w:val="20"/>
              </w:rPr>
              <w:t>rekomendācija</w:t>
            </w:r>
          </w:p>
        </w:tc>
        <w:tc>
          <w:tcPr>
            <w:tcW w:w="2551" w:type="dxa"/>
            <w:vMerge w:val="restart"/>
            <w:shd w:val="clear" w:color="auto" w:fill="auto"/>
          </w:tcPr>
          <w:p w14:paraId="0A49E020" w14:textId="77777777" w:rsidR="00BF7951" w:rsidRPr="001B1DB1" w:rsidRDefault="00BF7951" w:rsidP="00172808">
            <w:pPr>
              <w:jc w:val="both"/>
              <w:rPr>
                <w:rFonts w:cs="Times New Roman"/>
                <w:b/>
                <w:sz w:val="20"/>
                <w:szCs w:val="20"/>
              </w:rPr>
            </w:pPr>
            <w:r w:rsidRPr="001B1DB1">
              <w:rPr>
                <w:sz w:val="20"/>
                <w:szCs w:val="20"/>
              </w:rPr>
              <w:t xml:space="preserve">Nodrošināta efektīvāka skaidras naudas kontrole uz Latvijas iekšējām un ārējām robežām. </w:t>
            </w:r>
          </w:p>
        </w:tc>
        <w:tc>
          <w:tcPr>
            <w:tcW w:w="2694" w:type="dxa"/>
          </w:tcPr>
          <w:p w14:paraId="4F27D103" w14:textId="08543060" w:rsidR="00BF7951" w:rsidRPr="001B1DB1" w:rsidRDefault="00E85DB0" w:rsidP="00191337">
            <w:pPr>
              <w:tabs>
                <w:tab w:val="left" w:pos="0"/>
              </w:tabs>
              <w:jc w:val="both"/>
              <w:rPr>
                <w:rFonts w:cs="Times New Roman"/>
                <w:b/>
                <w:sz w:val="20"/>
                <w:szCs w:val="20"/>
              </w:rPr>
            </w:pPr>
            <w:r>
              <w:rPr>
                <w:sz w:val="20"/>
                <w:szCs w:val="20"/>
              </w:rPr>
              <w:t>G</w:t>
            </w:r>
            <w:r w:rsidR="0086527B" w:rsidRPr="003724F4">
              <w:rPr>
                <w:sz w:val="20"/>
                <w:szCs w:val="20"/>
              </w:rPr>
              <w:t>adā uzsākti ne mazāk kā 10  kriminālprocesi par skaidras naudas nedeklarēšanu vai nepatiesu deklarēšanu un/vai legalizāciju</w:t>
            </w:r>
            <w:r w:rsidR="0086527B">
              <w:rPr>
                <w:sz w:val="20"/>
                <w:szCs w:val="20"/>
              </w:rPr>
              <w:t>.</w:t>
            </w:r>
          </w:p>
        </w:tc>
        <w:tc>
          <w:tcPr>
            <w:tcW w:w="1134" w:type="dxa"/>
            <w:shd w:val="clear" w:color="auto" w:fill="auto"/>
          </w:tcPr>
          <w:p w14:paraId="458A526E" w14:textId="77777777" w:rsidR="00BF7951" w:rsidRPr="001B1DB1" w:rsidRDefault="00041052" w:rsidP="00D11C53">
            <w:pPr>
              <w:jc w:val="center"/>
              <w:rPr>
                <w:rFonts w:cs="Times New Roman"/>
                <w:b/>
                <w:bCs/>
                <w:sz w:val="20"/>
                <w:szCs w:val="20"/>
              </w:rPr>
            </w:pPr>
            <w:r>
              <w:rPr>
                <w:sz w:val="20"/>
                <w:szCs w:val="20"/>
              </w:rPr>
              <w:t>VID</w:t>
            </w:r>
          </w:p>
        </w:tc>
        <w:tc>
          <w:tcPr>
            <w:tcW w:w="1275" w:type="dxa"/>
            <w:shd w:val="clear" w:color="auto" w:fill="auto"/>
          </w:tcPr>
          <w:p w14:paraId="668926D7" w14:textId="77777777" w:rsidR="00BF7951" w:rsidRPr="001B1DB1" w:rsidRDefault="00BF7951" w:rsidP="00D11C53">
            <w:pPr>
              <w:jc w:val="center"/>
              <w:rPr>
                <w:rFonts w:cs="Times New Roman"/>
                <w:b/>
                <w:bCs/>
                <w:sz w:val="20"/>
                <w:szCs w:val="20"/>
              </w:rPr>
            </w:pPr>
          </w:p>
        </w:tc>
        <w:tc>
          <w:tcPr>
            <w:tcW w:w="1418" w:type="dxa"/>
            <w:shd w:val="clear" w:color="auto" w:fill="auto"/>
          </w:tcPr>
          <w:p w14:paraId="36A400FD" w14:textId="77777777" w:rsidR="00BF7951" w:rsidRPr="001B1DB1" w:rsidRDefault="00F36165" w:rsidP="00D11C53">
            <w:pPr>
              <w:jc w:val="center"/>
              <w:rPr>
                <w:rFonts w:cs="Times New Roman"/>
                <w:b/>
                <w:bCs/>
                <w:sz w:val="20"/>
                <w:szCs w:val="20"/>
              </w:rPr>
            </w:pPr>
            <w:r w:rsidRPr="001B1DB1">
              <w:rPr>
                <w:sz w:val="20"/>
                <w:szCs w:val="20"/>
              </w:rPr>
              <w:t>P</w:t>
            </w:r>
            <w:r w:rsidR="00BF7951" w:rsidRPr="001B1DB1">
              <w:rPr>
                <w:sz w:val="20"/>
                <w:szCs w:val="20"/>
              </w:rPr>
              <w:t>astāvīgi</w:t>
            </w:r>
          </w:p>
        </w:tc>
      </w:tr>
      <w:tr w:rsidR="00BF7951" w:rsidRPr="001B1DB1" w14:paraId="4BA8CED4" w14:textId="77777777" w:rsidTr="009744C5">
        <w:trPr>
          <w:trHeight w:val="543"/>
        </w:trPr>
        <w:tc>
          <w:tcPr>
            <w:tcW w:w="709" w:type="dxa"/>
            <w:vMerge/>
          </w:tcPr>
          <w:p w14:paraId="7FAF75A9" w14:textId="77777777" w:rsidR="00BF7951" w:rsidRPr="001B1DB1" w:rsidRDefault="00BF7951" w:rsidP="00F6007F">
            <w:pPr>
              <w:jc w:val="center"/>
              <w:rPr>
                <w:rFonts w:cs="Times New Roman"/>
                <w:bCs/>
                <w:sz w:val="20"/>
                <w:szCs w:val="20"/>
              </w:rPr>
            </w:pPr>
          </w:p>
        </w:tc>
        <w:tc>
          <w:tcPr>
            <w:tcW w:w="3686" w:type="dxa"/>
            <w:vMerge/>
            <w:shd w:val="clear" w:color="auto" w:fill="auto"/>
          </w:tcPr>
          <w:p w14:paraId="0941D4C0" w14:textId="77777777" w:rsidR="00BF7951" w:rsidRPr="001B1DB1" w:rsidRDefault="00BF7951" w:rsidP="00172808">
            <w:pPr>
              <w:jc w:val="both"/>
              <w:rPr>
                <w:rFonts w:cs="Times New Roman"/>
                <w:b/>
                <w:bCs/>
                <w:sz w:val="20"/>
                <w:szCs w:val="20"/>
              </w:rPr>
            </w:pPr>
          </w:p>
        </w:tc>
        <w:tc>
          <w:tcPr>
            <w:tcW w:w="1559" w:type="dxa"/>
            <w:vMerge/>
          </w:tcPr>
          <w:p w14:paraId="3D8B8312" w14:textId="77777777" w:rsidR="00BF7951" w:rsidRPr="001B1DB1" w:rsidRDefault="00BF7951" w:rsidP="00172808">
            <w:pPr>
              <w:jc w:val="both"/>
              <w:rPr>
                <w:rFonts w:cs="Times New Roman"/>
                <w:b/>
                <w:sz w:val="20"/>
                <w:szCs w:val="20"/>
              </w:rPr>
            </w:pPr>
          </w:p>
        </w:tc>
        <w:tc>
          <w:tcPr>
            <w:tcW w:w="2551" w:type="dxa"/>
            <w:vMerge/>
            <w:shd w:val="clear" w:color="auto" w:fill="auto"/>
          </w:tcPr>
          <w:p w14:paraId="2C3021A8" w14:textId="77777777" w:rsidR="00BF7951" w:rsidRPr="001B1DB1" w:rsidRDefault="00BF7951" w:rsidP="00172808">
            <w:pPr>
              <w:jc w:val="both"/>
              <w:rPr>
                <w:rFonts w:cs="Times New Roman"/>
                <w:b/>
                <w:sz w:val="20"/>
                <w:szCs w:val="20"/>
              </w:rPr>
            </w:pPr>
          </w:p>
        </w:tc>
        <w:tc>
          <w:tcPr>
            <w:tcW w:w="2694" w:type="dxa"/>
          </w:tcPr>
          <w:p w14:paraId="4D87F4E2" w14:textId="771C6C76" w:rsidR="00BF7951" w:rsidRPr="001B1DB1" w:rsidRDefault="00E85DB0" w:rsidP="00172808">
            <w:pPr>
              <w:jc w:val="both"/>
              <w:rPr>
                <w:rFonts w:cs="Times New Roman"/>
                <w:b/>
                <w:sz w:val="20"/>
                <w:szCs w:val="20"/>
              </w:rPr>
            </w:pPr>
            <w:r>
              <w:rPr>
                <w:sz w:val="20"/>
                <w:szCs w:val="20"/>
              </w:rPr>
              <w:t>Gadā</w:t>
            </w:r>
            <w:r w:rsidR="0086527B">
              <w:rPr>
                <w:sz w:val="20"/>
                <w:szCs w:val="20"/>
              </w:rPr>
              <w:t xml:space="preserve"> n</w:t>
            </w:r>
            <w:r w:rsidR="0086527B" w:rsidRPr="00640E47">
              <w:rPr>
                <w:sz w:val="20"/>
                <w:szCs w:val="20"/>
              </w:rPr>
              <w:t xml:space="preserve">e mazāk kā </w:t>
            </w:r>
            <w:r w:rsidR="0086527B">
              <w:rPr>
                <w:sz w:val="20"/>
                <w:szCs w:val="20"/>
              </w:rPr>
              <w:t>3</w:t>
            </w:r>
            <w:r w:rsidR="0086527B" w:rsidRPr="00640E47">
              <w:rPr>
                <w:sz w:val="20"/>
                <w:szCs w:val="20"/>
              </w:rPr>
              <w:t xml:space="preserve"> kriminālproces</w:t>
            </w:r>
            <w:r w:rsidR="0086527B">
              <w:rPr>
                <w:sz w:val="20"/>
                <w:szCs w:val="20"/>
              </w:rPr>
              <w:t>i</w:t>
            </w:r>
            <w:r w:rsidR="0086527B" w:rsidRPr="00640E47">
              <w:rPr>
                <w:sz w:val="20"/>
                <w:szCs w:val="20"/>
              </w:rPr>
              <w:t xml:space="preserve"> nodo</w:t>
            </w:r>
            <w:r w:rsidR="0086527B">
              <w:rPr>
                <w:sz w:val="20"/>
                <w:szCs w:val="20"/>
              </w:rPr>
              <w:t>ti</w:t>
            </w:r>
            <w:r w:rsidR="0086527B" w:rsidRPr="00640E47">
              <w:rPr>
                <w:sz w:val="20"/>
                <w:szCs w:val="20"/>
              </w:rPr>
              <w:t xml:space="preserve"> kriminālvajāšanas uzsākšanai par skaidras naudas nedeklarēšanu vai nepatiesu deklarēšanu un/vai legalizāciju</w:t>
            </w:r>
            <w:r w:rsidR="0086527B">
              <w:rPr>
                <w:sz w:val="20"/>
                <w:szCs w:val="20"/>
              </w:rPr>
              <w:t>.</w:t>
            </w:r>
          </w:p>
        </w:tc>
        <w:tc>
          <w:tcPr>
            <w:tcW w:w="1134" w:type="dxa"/>
            <w:shd w:val="clear" w:color="auto" w:fill="auto"/>
          </w:tcPr>
          <w:p w14:paraId="73CA6D8C" w14:textId="77777777" w:rsidR="00BF7951" w:rsidRPr="001B1DB1" w:rsidRDefault="00BF7951" w:rsidP="00D11C53">
            <w:pPr>
              <w:jc w:val="center"/>
              <w:rPr>
                <w:rFonts w:cs="Times New Roman"/>
                <w:b/>
                <w:bCs/>
                <w:sz w:val="20"/>
                <w:szCs w:val="20"/>
              </w:rPr>
            </w:pPr>
            <w:r w:rsidRPr="001B1DB1">
              <w:rPr>
                <w:sz w:val="20"/>
                <w:szCs w:val="20"/>
              </w:rPr>
              <w:t>VID</w:t>
            </w:r>
          </w:p>
        </w:tc>
        <w:tc>
          <w:tcPr>
            <w:tcW w:w="1275" w:type="dxa"/>
            <w:shd w:val="clear" w:color="auto" w:fill="auto"/>
          </w:tcPr>
          <w:p w14:paraId="37D97FD5" w14:textId="39569081" w:rsidR="00BF7951" w:rsidRPr="00191337" w:rsidRDefault="00191337" w:rsidP="00D11C53">
            <w:pPr>
              <w:jc w:val="center"/>
              <w:rPr>
                <w:rFonts w:cs="Times New Roman"/>
                <w:bCs/>
                <w:sz w:val="20"/>
                <w:szCs w:val="20"/>
              </w:rPr>
            </w:pPr>
            <w:r>
              <w:rPr>
                <w:rFonts w:cs="Times New Roman"/>
                <w:bCs/>
                <w:sz w:val="20"/>
                <w:szCs w:val="20"/>
              </w:rPr>
              <w:t>ĢP</w:t>
            </w:r>
          </w:p>
        </w:tc>
        <w:tc>
          <w:tcPr>
            <w:tcW w:w="1418" w:type="dxa"/>
            <w:shd w:val="clear" w:color="auto" w:fill="auto"/>
          </w:tcPr>
          <w:p w14:paraId="2E09DE7B" w14:textId="77777777" w:rsidR="00BF7951" w:rsidRPr="001B1DB1" w:rsidRDefault="00F36165" w:rsidP="00D11C53">
            <w:pPr>
              <w:jc w:val="center"/>
              <w:rPr>
                <w:rFonts w:cs="Times New Roman"/>
                <w:b/>
                <w:bCs/>
                <w:sz w:val="20"/>
                <w:szCs w:val="20"/>
              </w:rPr>
            </w:pPr>
            <w:r w:rsidRPr="001B1DB1">
              <w:rPr>
                <w:sz w:val="20"/>
                <w:szCs w:val="20"/>
              </w:rPr>
              <w:t>P</w:t>
            </w:r>
            <w:r w:rsidR="00BF7951" w:rsidRPr="001B1DB1">
              <w:rPr>
                <w:sz w:val="20"/>
                <w:szCs w:val="20"/>
              </w:rPr>
              <w:t>astāvīgi</w:t>
            </w:r>
          </w:p>
        </w:tc>
      </w:tr>
      <w:tr w:rsidR="00046E70" w:rsidRPr="001B1DB1" w14:paraId="073C9819" w14:textId="77777777" w:rsidTr="009744C5">
        <w:trPr>
          <w:trHeight w:val="543"/>
        </w:trPr>
        <w:tc>
          <w:tcPr>
            <w:tcW w:w="709" w:type="dxa"/>
            <w:vMerge w:val="restart"/>
          </w:tcPr>
          <w:p w14:paraId="2613730F" w14:textId="77777777" w:rsidR="00046E70" w:rsidRPr="001B1DB1" w:rsidRDefault="00046E70" w:rsidP="00F6007F">
            <w:pPr>
              <w:jc w:val="center"/>
              <w:rPr>
                <w:rFonts w:cs="Times New Roman"/>
                <w:bCs/>
                <w:sz w:val="20"/>
                <w:szCs w:val="20"/>
              </w:rPr>
            </w:pPr>
            <w:r w:rsidRPr="001B1DB1">
              <w:rPr>
                <w:sz w:val="20"/>
                <w:szCs w:val="20"/>
              </w:rPr>
              <w:t>8.2.</w:t>
            </w:r>
          </w:p>
        </w:tc>
        <w:tc>
          <w:tcPr>
            <w:tcW w:w="3686" w:type="dxa"/>
            <w:shd w:val="clear" w:color="auto" w:fill="auto"/>
          </w:tcPr>
          <w:p w14:paraId="5331CA55" w14:textId="77777777" w:rsidR="00046E70" w:rsidRPr="001E6FED" w:rsidRDefault="00046E70" w:rsidP="006111F7">
            <w:pPr>
              <w:pStyle w:val="Body"/>
              <w:jc w:val="both"/>
              <w:rPr>
                <w:sz w:val="20"/>
              </w:rPr>
            </w:pPr>
            <w:r w:rsidRPr="00D16025">
              <w:rPr>
                <w:sz w:val="20"/>
              </w:rPr>
              <w:t>Apmācības:</w:t>
            </w:r>
          </w:p>
          <w:p w14:paraId="382C0E73" w14:textId="77777777" w:rsidR="00046E70" w:rsidRPr="001B1DB1" w:rsidRDefault="00046E70" w:rsidP="00CC405B">
            <w:pPr>
              <w:pStyle w:val="Body"/>
              <w:jc w:val="both"/>
              <w:rPr>
                <w:sz w:val="20"/>
                <w:szCs w:val="20"/>
              </w:rPr>
            </w:pPr>
          </w:p>
          <w:p w14:paraId="0D331704" w14:textId="77777777" w:rsidR="00046E70" w:rsidRPr="001B1DB1" w:rsidRDefault="00046E70" w:rsidP="00172808">
            <w:pPr>
              <w:jc w:val="both"/>
              <w:rPr>
                <w:rFonts w:cs="Times New Roman"/>
                <w:b/>
                <w:bCs/>
                <w:sz w:val="20"/>
                <w:szCs w:val="20"/>
              </w:rPr>
            </w:pPr>
            <w:r w:rsidRPr="001B1DB1">
              <w:rPr>
                <w:sz w:val="20"/>
                <w:szCs w:val="20"/>
              </w:rPr>
              <w:t xml:space="preserve">Īstenot prokuroru un izmeklētāju kopīgas apmācības par mantas īpašās konfiskācijas tiesisko regulējumu un piemērošanu praksē. </w:t>
            </w:r>
          </w:p>
        </w:tc>
        <w:tc>
          <w:tcPr>
            <w:tcW w:w="1559" w:type="dxa"/>
            <w:vMerge w:val="restart"/>
          </w:tcPr>
          <w:p w14:paraId="7C06A1A2" w14:textId="714EE92C" w:rsidR="00046E70" w:rsidRPr="001B1DB1" w:rsidRDefault="00046E70" w:rsidP="00172808">
            <w:pPr>
              <w:pStyle w:val="Body"/>
              <w:jc w:val="both"/>
              <w:rPr>
                <w:sz w:val="20"/>
                <w:szCs w:val="20"/>
              </w:rPr>
            </w:pPr>
            <w:r w:rsidRPr="001B1DB1">
              <w:rPr>
                <w:sz w:val="20"/>
                <w:szCs w:val="20"/>
              </w:rPr>
              <w:t>Papildināts Latvijas Nacionālais NILLTF risku novērtēšanas ziņojums, 1.3.7.</w:t>
            </w:r>
            <w:r w:rsidR="00DF6514">
              <w:rPr>
                <w:sz w:val="20"/>
                <w:szCs w:val="20"/>
              </w:rPr>
              <w:t xml:space="preserve"> </w:t>
            </w:r>
            <w:r w:rsidRPr="001B1DB1">
              <w:rPr>
                <w:sz w:val="20"/>
                <w:szCs w:val="20"/>
              </w:rPr>
              <w:t>apakšpunkts, 8.lpp.</w:t>
            </w:r>
            <w:r w:rsidR="00DF6514">
              <w:rPr>
                <w:sz w:val="20"/>
                <w:szCs w:val="20"/>
              </w:rPr>
              <w:t>;</w:t>
            </w:r>
          </w:p>
          <w:p w14:paraId="2573B200" w14:textId="7B54232F" w:rsidR="00046E70" w:rsidRPr="001B1DB1" w:rsidRDefault="00046E70" w:rsidP="00DF6514">
            <w:pPr>
              <w:jc w:val="both"/>
              <w:rPr>
                <w:rFonts w:cs="Times New Roman"/>
                <w:b/>
                <w:sz w:val="20"/>
                <w:szCs w:val="20"/>
              </w:rPr>
            </w:pPr>
            <w:r w:rsidRPr="001B1DB1">
              <w:rPr>
                <w:sz w:val="20"/>
                <w:szCs w:val="20"/>
              </w:rPr>
              <w:t>MONEYVAL 8.1.</w:t>
            </w:r>
            <w:r w:rsidR="00DF6514" w:rsidRPr="001B1DB1">
              <w:rPr>
                <w:sz w:val="20"/>
                <w:szCs w:val="20"/>
              </w:rPr>
              <w:t xml:space="preserve"> rekomendācija</w:t>
            </w:r>
            <w:r w:rsidR="00DF6514">
              <w:rPr>
                <w:sz w:val="20"/>
                <w:szCs w:val="20"/>
              </w:rPr>
              <w:t>.</w:t>
            </w:r>
          </w:p>
        </w:tc>
        <w:tc>
          <w:tcPr>
            <w:tcW w:w="2551" w:type="dxa"/>
            <w:shd w:val="clear" w:color="auto" w:fill="auto"/>
          </w:tcPr>
          <w:p w14:paraId="62805E13" w14:textId="77777777" w:rsidR="00046E70" w:rsidRPr="001B1DB1" w:rsidRDefault="00046E70" w:rsidP="00172808">
            <w:pPr>
              <w:jc w:val="both"/>
              <w:rPr>
                <w:rFonts w:cs="Times New Roman"/>
                <w:b/>
                <w:sz w:val="20"/>
                <w:szCs w:val="20"/>
              </w:rPr>
            </w:pPr>
            <w:r w:rsidRPr="001B1DB1">
              <w:rPr>
                <w:sz w:val="20"/>
                <w:szCs w:val="20"/>
              </w:rPr>
              <w:t>1. Veicināta vienota izpratne par mantas īpašās konfiskācijas tiesisko regulējumu un nodrošināta efektīvāka tā piemērošana praksē.</w:t>
            </w:r>
          </w:p>
        </w:tc>
        <w:tc>
          <w:tcPr>
            <w:tcW w:w="2694" w:type="dxa"/>
          </w:tcPr>
          <w:p w14:paraId="71A5E1F4" w14:textId="29B409C5" w:rsidR="00046E70" w:rsidRPr="001B1DB1" w:rsidRDefault="00046E70" w:rsidP="00C268C1">
            <w:pPr>
              <w:jc w:val="both"/>
              <w:rPr>
                <w:rFonts w:cs="Times New Roman"/>
                <w:b/>
                <w:sz w:val="20"/>
                <w:szCs w:val="20"/>
              </w:rPr>
            </w:pPr>
            <w:r w:rsidRPr="001B1DB1">
              <w:rPr>
                <w:sz w:val="20"/>
                <w:szCs w:val="20"/>
              </w:rPr>
              <w:t xml:space="preserve">1. </w:t>
            </w:r>
            <w:r w:rsidR="00C268C1">
              <w:rPr>
                <w:sz w:val="20"/>
                <w:szCs w:val="20"/>
              </w:rPr>
              <w:t>A</w:t>
            </w:r>
            <w:r w:rsidRPr="001B1DB1">
              <w:rPr>
                <w:sz w:val="20"/>
                <w:szCs w:val="20"/>
              </w:rPr>
              <w:t>pmācīti NILL lietās praktizējošie vai potenciāli praktizējošie izmeklētāji un prokurori</w:t>
            </w:r>
            <w:r w:rsidR="002770A7">
              <w:rPr>
                <w:sz w:val="20"/>
                <w:szCs w:val="20"/>
              </w:rPr>
              <w:t xml:space="preserve"> atbilstoši </w:t>
            </w:r>
            <w:r w:rsidR="00996811" w:rsidRPr="00996811">
              <w:rPr>
                <w:sz w:val="20"/>
                <w:szCs w:val="20"/>
              </w:rPr>
              <w:t xml:space="preserve">atbildīgās institūcijas </w:t>
            </w:r>
            <w:r w:rsidR="002770A7">
              <w:rPr>
                <w:sz w:val="20"/>
                <w:szCs w:val="20"/>
              </w:rPr>
              <w:t>ikgadējam plānam</w:t>
            </w:r>
            <w:r w:rsidRPr="001B1DB1">
              <w:rPr>
                <w:sz w:val="20"/>
                <w:szCs w:val="20"/>
              </w:rPr>
              <w:t xml:space="preserve">.  </w:t>
            </w:r>
          </w:p>
        </w:tc>
        <w:tc>
          <w:tcPr>
            <w:tcW w:w="1134" w:type="dxa"/>
            <w:shd w:val="clear" w:color="auto" w:fill="auto"/>
          </w:tcPr>
          <w:p w14:paraId="03DA52CB" w14:textId="77777777" w:rsidR="00046E70" w:rsidRPr="001B1DB1" w:rsidRDefault="00046E70" w:rsidP="00D11C53">
            <w:pPr>
              <w:jc w:val="center"/>
              <w:rPr>
                <w:rFonts w:cs="Times New Roman"/>
                <w:b/>
                <w:bCs/>
                <w:sz w:val="20"/>
                <w:szCs w:val="20"/>
              </w:rPr>
            </w:pPr>
            <w:r w:rsidRPr="001B1DB1">
              <w:rPr>
                <w:sz w:val="20"/>
                <w:szCs w:val="20"/>
              </w:rPr>
              <w:t>ĢP, VP</w:t>
            </w:r>
          </w:p>
        </w:tc>
        <w:tc>
          <w:tcPr>
            <w:tcW w:w="1275" w:type="dxa"/>
            <w:shd w:val="clear" w:color="auto" w:fill="auto"/>
          </w:tcPr>
          <w:p w14:paraId="69A6E0AE" w14:textId="74C0FFCC" w:rsidR="00046E70" w:rsidRPr="001B1DB1" w:rsidRDefault="00046E70" w:rsidP="00D11C53">
            <w:pPr>
              <w:jc w:val="center"/>
              <w:rPr>
                <w:rFonts w:cs="Times New Roman"/>
                <w:b/>
                <w:bCs/>
                <w:sz w:val="20"/>
                <w:szCs w:val="20"/>
              </w:rPr>
            </w:pPr>
            <w:r w:rsidRPr="001B1DB1">
              <w:rPr>
                <w:sz w:val="20"/>
                <w:szCs w:val="20"/>
              </w:rPr>
              <w:t xml:space="preserve">VID, KNAB, VDD, VRS, IDB, </w:t>
            </w:r>
            <w:r w:rsidR="00833304" w:rsidRPr="00833304">
              <w:rPr>
                <w:sz w:val="20"/>
                <w:szCs w:val="20"/>
              </w:rPr>
              <w:t>MP</w:t>
            </w:r>
            <w:r w:rsidRPr="001B1DB1">
              <w:rPr>
                <w:sz w:val="20"/>
                <w:szCs w:val="20"/>
              </w:rPr>
              <w:t>, IeVP</w:t>
            </w:r>
          </w:p>
        </w:tc>
        <w:tc>
          <w:tcPr>
            <w:tcW w:w="1418" w:type="dxa"/>
            <w:shd w:val="clear" w:color="auto" w:fill="auto"/>
          </w:tcPr>
          <w:p w14:paraId="4206501F" w14:textId="64E9B5AB" w:rsidR="00046E70" w:rsidRPr="001B1DB1" w:rsidRDefault="00046E70" w:rsidP="00D11C53">
            <w:pPr>
              <w:jc w:val="center"/>
              <w:rPr>
                <w:rFonts w:cs="Times New Roman"/>
                <w:b/>
                <w:bCs/>
                <w:sz w:val="20"/>
                <w:szCs w:val="20"/>
              </w:rPr>
            </w:pPr>
            <w:r w:rsidRPr="001B1DB1">
              <w:rPr>
                <w:sz w:val="20"/>
                <w:szCs w:val="20"/>
              </w:rPr>
              <w:t>Pastāvīgi</w:t>
            </w:r>
          </w:p>
        </w:tc>
      </w:tr>
      <w:tr w:rsidR="00046E70" w:rsidRPr="001B1DB1" w14:paraId="3789A45A" w14:textId="77777777" w:rsidTr="009744C5">
        <w:trPr>
          <w:trHeight w:val="543"/>
        </w:trPr>
        <w:tc>
          <w:tcPr>
            <w:tcW w:w="709" w:type="dxa"/>
            <w:vMerge/>
          </w:tcPr>
          <w:p w14:paraId="3AA39A99" w14:textId="77777777" w:rsidR="00046E70" w:rsidRPr="001B1DB1" w:rsidRDefault="00046E70" w:rsidP="00F6007F">
            <w:pPr>
              <w:jc w:val="center"/>
              <w:rPr>
                <w:rFonts w:cs="Times New Roman"/>
                <w:bCs/>
                <w:sz w:val="20"/>
                <w:szCs w:val="20"/>
              </w:rPr>
            </w:pPr>
          </w:p>
        </w:tc>
        <w:tc>
          <w:tcPr>
            <w:tcW w:w="3686" w:type="dxa"/>
            <w:shd w:val="clear" w:color="auto" w:fill="auto"/>
          </w:tcPr>
          <w:p w14:paraId="316EBD2B" w14:textId="101C3C57" w:rsidR="00046E70" w:rsidRPr="001B1DB1" w:rsidRDefault="00046E70" w:rsidP="00324452">
            <w:pPr>
              <w:jc w:val="both"/>
              <w:rPr>
                <w:rFonts w:cs="Times New Roman"/>
                <w:b/>
                <w:bCs/>
                <w:sz w:val="20"/>
                <w:szCs w:val="20"/>
              </w:rPr>
            </w:pPr>
            <w:r w:rsidRPr="001B1DB1">
              <w:rPr>
                <w:sz w:val="20"/>
                <w:szCs w:val="20"/>
              </w:rPr>
              <w:t>Turpināt īstenot apmācības par noziedzīgi iegūtu līdzekļu konfiskāciju (t.sk. apzināšan</w:t>
            </w:r>
            <w:r w:rsidR="00324452">
              <w:rPr>
                <w:sz w:val="20"/>
                <w:szCs w:val="20"/>
              </w:rPr>
              <w:t>u</w:t>
            </w:r>
            <w:r w:rsidRPr="001B1DB1">
              <w:rPr>
                <w:sz w:val="20"/>
                <w:szCs w:val="20"/>
              </w:rPr>
              <w:t>, līdzekļu iesaldēšan</w:t>
            </w:r>
            <w:r w:rsidR="00324452">
              <w:rPr>
                <w:sz w:val="20"/>
                <w:szCs w:val="20"/>
              </w:rPr>
              <w:t>u</w:t>
            </w:r>
            <w:r w:rsidRPr="001B1DB1">
              <w:rPr>
                <w:sz w:val="20"/>
                <w:szCs w:val="20"/>
              </w:rPr>
              <w:t>, aresta uzlikšan</w:t>
            </w:r>
            <w:r w:rsidR="00324452">
              <w:rPr>
                <w:sz w:val="20"/>
                <w:szCs w:val="20"/>
              </w:rPr>
              <w:t>u</w:t>
            </w:r>
            <w:r w:rsidRPr="001B1DB1">
              <w:rPr>
                <w:sz w:val="20"/>
                <w:szCs w:val="20"/>
              </w:rPr>
              <w:t>, konfiscēšan</w:t>
            </w:r>
            <w:r w:rsidR="00324452">
              <w:rPr>
                <w:sz w:val="20"/>
                <w:szCs w:val="20"/>
              </w:rPr>
              <w:t>u</w:t>
            </w:r>
            <w:r w:rsidRPr="001B1DB1">
              <w:rPr>
                <w:sz w:val="20"/>
                <w:szCs w:val="20"/>
              </w:rPr>
              <w:t xml:space="preserve"> un lēmuma/ sprieduma izpild</w:t>
            </w:r>
            <w:r w:rsidR="00324452">
              <w:rPr>
                <w:sz w:val="20"/>
                <w:szCs w:val="20"/>
              </w:rPr>
              <w:t>i</w:t>
            </w:r>
            <w:r w:rsidRPr="001B1DB1">
              <w:rPr>
                <w:sz w:val="20"/>
                <w:szCs w:val="20"/>
              </w:rPr>
              <w:t xml:space="preserve">, ievērojot normatīvo </w:t>
            </w:r>
            <w:r w:rsidRPr="001B1DB1">
              <w:rPr>
                <w:sz w:val="20"/>
                <w:szCs w:val="20"/>
              </w:rPr>
              <w:lastRenderedPageBreak/>
              <w:t xml:space="preserve">regulējumu, kas stājās spēkā 2017.gada 1.augustā). </w:t>
            </w:r>
          </w:p>
        </w:tc>
        <w:tc>
          <w:tcPr>
            <w:tcW w:w="1559" w:type="dxa"/>
            <w:vMerge/>
          </w:tcPr>
          <w:p w14:paraId="005BEF72" w14:textId="77777777" w:rsidR="00046E70" w:rsidRPr="001B1DB1" w:rsidRDefault="00046E70" w:rsidP="00172808">
            <w:pPr>
              <w:jc w:val="both"/>
              <w:rPr>
                <w:rFonts w:cs="Times New Roman"/>
                <w:b/>
                <w:sz w:val="20"/>
                <w:szCs w:val="20"/>
              </w:rPr>
            </w:pPr>
          </w:p>
        </w:tc>
        <w:tc>
          <w:tcPr>
            <w:tcW w:w="2551" w:type="dxa"/>
            <w:shd w:val="clear" w:color="auto" w:fill="auto"/>
          </w:tcPr>
          <w:p w14:paraId="61FD8D34" w14:textId="77777777" w:rsidR="00046E70" w:rsidRPr="001B1DB1" w:rsidRDefault="00046E70" w:rsidP="00172808">
            <w:pPr>
              <w:jc w:val="both"/>
              <w:rPr>
                <w:rFonts w:cs="Times New Roman"/>
                <w:b/>
                <w:sz w:val="20"/>
                <w:szCs w:val="20"/>
              </w:rPr>
            </w:pPr>
            <w:r w:rsidRPr="001B1DB1">
              <w:rPr>
                <w:sz w:val="20"/>
                <w:szCs w:val="20"/>
              </w:rPr>
              <w:t>2. Vienota izpratne par noziedzīgi iegūtu līdzekļu arestu un konfiskāciju.</w:t>
            </w:r>
          </w:p>
        </w:tc>
        <w:tc>
          <w:tcPr>
            <w:tcW w:w="2694" w:type="dxa"/>
          </w:tcPr>
          <w:p w14:paraId="571EE4D9" w14:textId="7C52305B" w:rsidR="00046E70" w:rsidRPr="001B1DB1" w:rsidRDefault="00046E70" w:rsidP="006F214D">
            <w:pPr>
              <w:jc w:val="both"/>
              <w:rPr>
                <w:rFonts w:cs="Times New Roman"/>
                <w:b/>
                <w:sz w:val="20"/>
                <w:szCs w:val="20"/>
              </w:rPr>
            </w:pPr>
            <w:r w:rsidRPr="001B1DB1">
              <w:rPr>
                <w:sz w:val="20"/>
                <w:szCs w:val="20"/>
              </w:rPr>
              <w:t>2. Apmācīti izmeklētāji, prokurori un tiesneši</w:t>
            </w:r>
            <w:r w:rsidR="002770A7">
              <w:rPr>
                <w:sz w:val="20"/>
                <w:szCs w:val="20"/>
              </w:rPr>
              <w:t xml:space="preserve"> atbilstoši</w:t>
            </w:r>
            <w:r w:rsidR="00996811">
              <w:t xml:space="preserve"> </w:t>
            </w:r>
            <w:r w:rsidR="00996811" w:rsidRPr="00996811">
              <w:rPr>
                <w:sz w:val="20"/>
                <w:szCs w:val="20"/>
              </w:rPr>
              <w:t>atbildīgās institūcijas</w:t>
            </w:r>
            <w:r w:rsidR="00996811">
              <w:rPr>
                <w:sz w:val="20"/>
                <w:szCs w:val="20"/>
              </w:rPr>
              <w:t xml:space="preserve"> </w:t>
            </w:r>
            <w:r w:rsidR="002770A7">
              <w:rPr>
                <w:sz w:val="20"/>
                <w:szCs w:val="20"/>
              </w:rPr>
              <w:t xml:space="preserve"> ikgadējam plānam</w:t>
            </w:r>
            <w:r w:rsidR="007673C2">
              <w:rPr>
                <w:sz w:val="20"/>
                <w:szCs w:val="20"/>
              </w:rPr>
              <w:t>.</w:t>
            </w:r>
            <w:r w:rsidRPr="001B1DB1">
              <w:rPr>
                <w:sz w:val="20"/>
                <w:szCs w:val="20"/>
              </w:rPr>
              <w:t xml:space="preserve"> </w:t>
            </w:r>
          </w:p>
        </w:tc>
        <w:tc>
          <w:tcPr>
            <w:tcW w:w="1134" w:type="dxa"/>
            <w:shd w:val="clear" w:color="auto" w:fill="auto"/>
          </w:tcPr>
          <w:p w14:paraId="573E42B4" w14:textId="77777777" w:rsidR="00046E70" w:rsidRPr="001B1DB1" w:rsidRDefault="00046E70" w:rsidP="00D11C53">
            <w:pPr>
              <w:jc w:val="center"/>
              <w:rPr>
                <w:rFonts w:cs="Times New Roman"/>
                <w:b/>
                <w:bCs/>
                <w:sz w:val="20"/>
                <w:szCs w:val="20"/>
              </w:rPr>
            </w:pPr>
            <w:r w:rsidRPr="001B1DB1">
              <w:rPr>
                <w:sz w:val="20"/>
                <w:szCs w:val="20"/>
              </w:rPr>
              <w:t>VAS, TM (TA)</w:t>
            </w:r>
          </w:p>
        </w:tc>
        <w:tc>
          <w:tcPr>
            <w:tcW w:w="1275" w:type="dxa"/>
            <w:shd w:val="clear" w:color="auto" w:fill="auto"/>
          </w:tcPr>
          <w:p w14:paraId="0A91E67C" w14:textId="18E6EF96" w:rsidR="00046E70" w:rsidRPr="001B1DB1" w:rsidRDefault="00046E70" w:rsidP="00D11C53">
            <w:pPr>
              <w:jc w:val="center"/>
              <w:rPr>
                <w:rFonts w:cs="Times New Roman"/>
                <w:b/>
                <w:bCs/>
                <w:sz w:val="20"/>
                <w:szCs w:val="20"/>
              </w:rPr>
            </w:pPr>
            <w:r w:rsidRPr="001B1DB1">
              <w:rPr>
                <w:sz w:val="20"/>
                <w:szCs w:val="20"/>
              </w:rPr>
              <w:t xml:space="preserve">ĢP, VP, VID, KNAB, VDD, VRS, IDB, </w:t>
            </w:r>
            <w:r w:rsidR="00833304" w:rsidRPr="00833304">
              <w:rPr>
                <w:sz w:val="20"/>
                <w:szCs w:val="20"/>
              </w:rPr>
              <w:t>MP</w:t>
            </w:r>
            <w:r w:rsidRPr="001B1DB1">
              <w:rPr>
                <w:sz w:val="20"/>
                <w:szCs w:val="20"/>
              </w:rPr>
              <w:t>, IeVP, FID</w:t>
            </w:r>
          </w:p>
        </w:tc>
        <w:tc>
          <w:tcPr>
            <w:tcW w:w="1418" w:type="dxa"/>
            <w:shd w:val="clear" w:color="auto" w:fill="auto"/>
          </w:tcPr>
          <w:p w14:paraId="1A43D686" w14:textId="77777777" w:rsidR="00046E70" w:rsidRPr="001B1DB1" w:rsidRDefault="004A71E4" w:rsidP="00D11C53">
            <w:pPr>
              <w:jc w:val="center"/>
              <w:rPr>
                <w:rFonts w:cs="Times New Roman"/>
                <w:b/>
                <w:bCs/>
                <w:sz w:val="20"/>
                <w:szCs w:val="20"/>
              </w:rPr>
            </w:pPr>
            <w:r w:rsidRPr="001B1DB1">
              <w:rPr>
                <w:sz w:val="20"/>
                <w:szCs w:val="20"/>
              </w:rPr>
              <w:t>31.12.</w:t>
            </w:r>
            <w:r w:rsidR="00046E70" w:rsidRPr="001B1DB1">
              <w:rPr>
                <w:sz w:val="20"/>
                <w:szCs w:val="20"/>
              </w:rPr>
              <w:t>2022.</w:t>
            </w:r>
          </w:p>
        </w:tc>
      </w:tr>
      <w:tr w:rsidR="006F528F" w:rsidRPr="001B1DB1" w14:paraId="71A9ABBA" w14:textId="77777777" w:rsidTr="009744C5">
        <w:trPr>
          <w:trHeight w:val="543"/>
        </w:trPr>
        <w:tc>
          <w:tcPr>
            <w:tcW w:w="709" w:type="dxa"/>
          </w:tcPr>
          <w:p w14:paraId="3672EA16" w14:textId="77777777" w:rsidR="006F528F" w:rsidRPr="001B1DB1" w:rsidRDefault="006F528F" w:rsidP="00F6007F">
            <w:pPr>
              <w:jc w:val="center"/>
              <w:rPr>
                <w:rFonts w:cs="Times New Roman"/>
                <w:bCs/>
                <w:sz w:val="20"/>
                <w:szCs w:val="20"/>
              </w:rPr>
            </w:pPr>
            <w:r w:rsidRPr="001B1DB1">
              <w:rPr>
                <w:sz w:val="20"/>
                <w:szCs w:val="20"/>
              </w:rPr>
              <w:t>8.3.</w:t>
            </w:r>
          </w:p>
        </w:tc>
        <w:tc>
          <w:tcPr>
            <w:tcW w:w="3686" w:type="dxa"/>
            <w:shd w:val="clear" w:color="auto" w:fill="auto"/>
          </w:tcPr>
          <w:p w14:paraId="718B1C37" w14:textId="77777777" w:rsidR="006F528F" w:rsidRPr="001B1DB1" w:rsidRDefault="006F528F" w:rsidP="00172808">
            <w:pPr>
              <w:jc w:val="both"/>
              <w:rPr>
                <w:rFonts w:cs="Times New Roman"/>
                <w:b/>
                <w:bCs/>
                <w:sz w:val="20"/>
                <w:szCs w:val="20"/>
              </w:rPr>
            </w:pPr>
            <w:r w:rsidRPr="001B1DB1">
              <w:rPr>
                <w:sz w:val="20"/>
                <w:szCs w:val="20"/>
              </w:rPr>
              <w:t>Pilnveidot (papildināt) vadlīnijas mantas īpašās konfiskācijas nodrošināšanai pirmstiesas kriminālprocesā.</w:t>
            </w:r>
          </w:p>
        </w:tc>
        <w:tc>
          <w:tcPr>
            <w:tcW w:w="1559" w:type="dxa"/>
          </w:tcPr>
          <w:p w14:paraId="00C65C1A" w14:textId="25564DC6" w:rsidR="006F528F" w:rsidRPr="001B1DB1" w:rsidRDefault="006F528F" w:rsidP="00172808">
            <w:pPr>
              <w:jc w:val="both"/>
              <w:rPr>
                <w:rFonts w:cs="Times New Roman"/>
                <w:b/>
                <w:sz w:val="20"/>
                <w:szCs w:val="20"/>
              </w:rPr>
            </w:pPr>
            <w:r w:rsidRPr="001B1DB1">
              <w:rPr>
                <w:sz w:val="20"/>
                <w:szCs w:val="20"/>
              </w:rPr>
              <w:t xml:space="preserve">Papildināts Latvijas Nacionālais NILLTF risku novērtēšanas ziņojums, </w:t>
            </w:r>
            <w:r w:rsidRPr="008B395B">
              <w:rPr>
                <w:sz w:val="20"/>
                <w:szCs w:val="20"/>
              </w:rPr>
              <w:t>1.3.7.</w:t>
            </w:r>
            <w:r w:rsidR="00DF6514">
              <w:rPr>
                <w:sz w:val="20"/>
                <w:szCs w:val="20"/>
              </w:rPr>
              <w:t xml:space="preserve"> </w:t>
            </w:r>
            <w:r w:rsidRPr="008B395B">
              <w:rPr>
                <w:sz w:val="20"/>
                <w:szCs w:val="20"/>
              </w:rPr>
              <w:t>apakšpunkts, 8.lpp</w:t>
            </w:r>
            <w:r w:rsidR="004A71E4" w:rsidRPr="008B395B">
              <w:rPr>
                <w:sz w:val="20"/>
                <w:szCs w:val="20"/>
              </w:rPr>
              <w:t>.</w:t>
            </w:r>
          </w:p>
        </w:tc>
        <w:tc>
          <w:tcPr>
            <w:tcW w:w="2551" w:type="dxa"/>
            <w:shd w:val="clear" w:color="auto" w:fill="auto"/>
          </w:tcPr>
          <w:p w14:paraId="54C7F722" w14:textId="54036917" w:rsidR="006F528F" w:rsidRPr="001B1DB1" w:rsidRDefault="004B1BEA" w:rsidP="00172808">
            <w:pPr>
              <w:jc w:val="both"/>
              <w:rPr>
                <w:rFonts w:cs="Times New Roman"/>
                <w:b/>
                <w:sz w:val="20"/>
                <w:szCs w:val="20"/>
              </w:rPr>
            </w:pPr>
            <w:r w:rsidRPr="004B1BEA">
              <w:rPr>
                <w:sz w:val="20"/>
                <w:szCs w:val="20"/>
              </w:rPr>
              <w:t>Izveidota vienota prakse mantas īpašās konfiskācijas piemērošanā.</w:t>
            </w:r>
          </w:p>
        </w:tc>
        <w:tc>
          <w:tcPr>
            <w:tcW w:w="2694" w:type="dxa"/>
          </w:tcPr>
          <w:p w14:paraId="1660BB35" w14:textId="7378B960" w:rsidR="006F528F" w:rsidRPr="001B1DB1" w:rsidRDefault="004B1BEA" w:rsidP="00172808">
            <w:pPr>
              <w:jc w:val="both"/>
              <w:rPr>
                <w:rFonts w:cs="Times New Roman"/>
                <w:b/>
                <w:sz w:val="20"/>
                <w:szCs w:val="20"/>
              </w:rPr>
            </w:pPr>
            <w:r>
              <w:rPr>
                <w:sz w:val="20"/>
                <w:szCs w:val="20"/>
              </w:rPr>
              <w:t xml:space="preserve"> </w:t>
            </w:r>
            <w:r w:rsidRPr="004B1BEA">
              <w:rPr>
                <w:sz w:val="20"/>
                <w:szCs w:val="20"/>
              </w:rPr>
              <w:t>Pilnveidotas un izplatītas vadlīnijas</w:t>
            </w:r>
            <w:r w:rsidR="007673C2">
              <w:rPr>
                <w:sz w:val="20"/>
                <w:szCs w:val="20"/>
              </w:rPr>
              <w:t>.</w:t>
            </w:r>
          </w:p>
        </w:tc>
        <w:tc>
          <w:tcPr>
            <w:tcW w:w="1134" w:type="dxa"/>
            <w:shd w:val="clear" w:color="auto" w:fill="auto"/>
          </w:tcPr>
          <w:p w14:paraId="17FA95C1" w14:textId="7FE4CCEA" w:rsidR="006F528F" w:rsidRPr="001B1DB1" w:rsidRDefault="006F528F" w:rsidP="00D11C53">
            <w:pPr>
              <w:jc w:val="center"/>
              <w:rPr>
                <w:rFonts w:cs="Times New Roman"/>
                <w:b/>
                <w:bCs/>
                <w:sz w:val="20"/>
                <w:szCs w:val="20"/>
              </w:rPr>
            </w:pPr>
            <w:r w:rsidRPr="001B1DB1">
              <w:rPr>
                <w:sz w:val="20"/>
                <w:szCs w:val="20"/>
              </w:rPr>
              <w:t>NKIM starpinstitūciju darba grupa</w:t>
            </w:r>
          </w:p>
        </w:tc>
        <w:tc>
          <w:tcPr>
            <w:tcW w:w="1275" w:type="dxa"/>
            <w:shd w:val="clear" w:color="auto" w:fill="auto"/>
          </w:tcPr>
          <w:p w14:paraId="034FDB1E" w14:textId="77777777" w:rsidR="006F528F" w:rsidRPr="001B1DB1" w:rsidRDefault="006F528F" w:rsidP="00D11C53">
            <w:pPr>
              <w:jc w:val="center"/>
              <w:rPr>
                <w:rFonts w:cs="Times New Roman"/>
                <w:b/>
                <w:bCs/>
                <w:sz w:val="20"/>
                <w:szCs w:val="20"/>
              </w:rPr>
            </w:pPr>
          </w:p>
        </w:tc>
        <w:tc>
          <w:tcPr>
            <w:tcW w:w="1418" w:type="dxa"/>
            <w:shd w:val="clear" w:color="auto" w:fill="auto"/>
          </w:tcPr>
          <w:p w14:paraId="2995C4BF" w14:textId="039D0EDD" w:rsidR="006F528F" w:rsidRPr="001B1DB1" w:rsidRDefault="006F528F" w:rsidP="00D11C53">
            <w:pPr>
              <w:jc w:val="center"/>
              <w:rPr>
                <w:rFonts w:cs="Times New Roman"/>
                <w:b/>
                <w:bCs/>
                <w:sz w:val="20"/>
                <w:szCs w:val="20"/>
              </w:rPr>
            </w:pPr>
            <w:r w:rsidRPr="001B1DB1">
              <w:rPr>
                <w:sz w:val="20"/>
                <w:szCs w:val="20"/>
              </w:rPr>
              <w:t>Pastāvīgi</w:t>
            </w:r>
          </w:p>
        </w:tc>
      </w:tr>
      <w:tr w:rsidR="006F528F" w:rsidRPr="001B1DB1" w14:paraId="57620B3C" w14:textId="77777777" w:rsidTr="009744C5">
        <w:trPr>
          <w:trHeight w:val="543"/>
        </w:trPr>
        <w:tc>
          <w:tcPr>
            <w:tcW w:w="709" w:type="dxa"/>
          </w:tcPr>
          <w:p w14:paraId="152DF556" w14:textId="77777777" w:rsidR="006F528F" w:rsidRPr="001B1DB1" w:rsidRDefault="006F528F" w:rsidP="006F528F">
            <w:pPr>
              <w:jc w:val="center"/>
              <w:rPr>
                <w:rFonts w:cs="Times New Roman"/>
                <w:bCs/>
                <w:sz w:val="20"/>
                <w:szCs w:val="20"/>
              </w:rPr>
            </w:pPr>
            <w:r w:rsidRPr="001B1DB1">
              <w:rPr>
                <w:sz w:val="20"/>
                <w:szCs w:val="20"/>
              </w:rPr>
              <w:t>8.4.</w:t>
            </w:r>
          </w:p>
        </w:tc>
        <w:tc>
          <w:tcPr>
            <w:tcW w:w="3686" w:type="dxa"/>
            <w:shd w:val="clear" w:color="auto" w:fill="auto"/>
          </w:tcPr>
          <w:p w14:paraId="1F2993F9" w14:textId="1B48896C" w:rsidR="006F528F" w:rsidRPr="001B1DB1" w:rsidRDefault="006F528F" w:rsidP="004F2E65">
            <w:pPr>
              <w:jc w:val="both"/>
              <w:rPr>
                <w:rFonts w:cs="Times New Roman"/>
                <w:b/>
                <w:bCs/>
                <w:sz w:val="20"/>
                <w:szCs w:val="20"/>
              </w:rPr>
            </w:pPr>
            <w:r w:rsidRPr="001B1DB1">
              <w:rPr>
                <w:sz w:val="20"/>
                <w:szCs w:val="20"/>
              </w:rPr>
              <w:t>Regulāri apkopot un analizēt noziedzīgi iegūt</w:t>
            </w:r>
            <w:r w:rsidR="00B7767D">
              <w:rPr>
                <w:sz w:val="20"/>
                <w:szCs w:val="20"/>
              </w:rPr>
              <w:t>as</w:t>
            </w:r>
            <w:r w:rsidRPr="001B1DB1">
              <w:rPr>
                <w:sz w:val="20"/>
                <w:szCs w:val="20"/>
              </w:rPr>
              <w:t xml:space="preserve"> </w:t>
            </w:r>
            <w:r w:rsidR="00B7767D">
              <w:rPr>
                <w:sz w:val="20"/>
                <w:szCs w:val="20"/>
              </w:rPr>
              <w:t>mantas</w:t>
            </w:r>
            <w:r w:rsidR="00B7767D" w:rsidRPr="001B1DB1">
              <w:rPr>
                <w:sz w:val="20"/>
                <w:szCs w:val="20"/>
              </w:rPr>
              <w:t xml:space="preserve"> </w:t>
            </w:r>
            <w:r w:rsidRPr="001B1DB1">
              <w:rPr>
                <w:sz w:val="20"/>
                <w:szCs w:val="20"/>
              </w:rPr>
              <w:t>konfiskācijas statisti</w:t>
            </w:r>
            <w:r w:rsidR="00656CA3">
              <w:rPr>
                <w:sz w:val="20"/>
                <w:szCs w:val="20"/>
              </w:rPr>
              <w:t>kas datus</w:t>
            </w:r>
            <w:r w:rsidRPr="001B1DB1">
              <w:rPr>
                <w:sz w:val="20"/>
                <w:szCs w:val="20"/>
              </w:rPr>
              <w:t>.</w:t>
            </w:r>
          </w:p>
        </w:tc>
        <w:tc>
          <w:tcPr>
            <w:tcW w:w="1559" w:type="dxa"/>
          </w:tcPr>
          <w:p w14:paraId="191E85FC" w14:textId="15A77E0D" w:rsidR="006F528F" w:rsidRPr="001B1DB1" w:rsidRDefault="006F528F" w:rsidP="00DF6514">
            <w:pPr>
              <w:jc w:val="both"/>
              <w:rPr>
                <w:rFonts w:cs="Times New Roman"/>
                <w:b/>
                <w:sz w:val="20"/>
                <w:szCs w:val="20"/>
              </w:rPr>
            </w:pPr>
            <w:r w:rsidRPr="001B1DB1">
              <w:rPr>
                <w:sz w:val="20"/>
                <w:szCs w:val="20"/>
              </w:rPr>
              <w:t xml:space="preserve">MONEYVAL 8.2. </w:t>
            </w:r>
            <w:r w:rsidR="00DF6514" w:rsidRPr="001B1DB1">
              <w:rPr>
                <w:sz w:val="20"/>
                <w:szCs w:val="20"/>
              </w:rPr>
              <w:t>rekomendācija</w:t>
            </w:r>
            <w:r w:rsidR="00DF6514">
              <w:rPr>
                <w:sz w:val="20"/>
                <w:szCs w:val="20"/>
              </w:rPr>
              <w:t>.</w:t>
            </w:r>
          </w:p>
        </w:tc>
        <w:tc>
          <w:tcPr>
            <w:tcW w:w="2551" w:type="dxa"/>
            <w:shd w:val="clear" w:color="auto" w:fill="auto"/>
          </w:tcPr>
          <w:p w14:paraId="4306D5CF" w14:textId="1AEDD52A" w:rsidR="006F528F" w:rsidRPr="001B1DB1" w:rsidRDefault="006F528F">
            <w:pPr>
              <w:jc w:val="both"/>
              <w:rPr>
                <w:rFonts w:cs="Times New Roman"/>
                <w:b/>
                <w:sz w:val="20"/>
                <w:szCs w:val="20"/>
              </w:rPr>
            </w:pPr>
            <w:r w:rsidRPr="001B1DB1">
              <w:rPr>
                <w:sz w:val="20"/>
                <w:szCs w:val="20"/>
              </w:rPr>
              <w:t>Iegūt</w:t>
            </w:r>
            <w:r w:rsidR="00656CA3">
              <w:rPr>
                <w:sz w:val="20"/>
                <w:szCs w:val="20"/>
              </w:rPr>
              <w:t>i</w:t>
            </w:r>
            <w:r w:rsidRPr="001B1DB1">
              <w:rPr>
                <w:sz w:val="20"/>
                <w:szCs w:val="20"/>
              </w:rPr>
              <w:t xml:space="preserve"> visaptveroš</w:t>
            </w:r>
            <w:r w:rsidR="00656CA3">
              <w:rPr>
                <w:sz w:val="20"/>
                <w:szCs w:val="20"/>
              </w:rPr>
              <w:t>i</w:t>
            </w:r>
            <w:r w:rsidRPr="001B1DB1">
              <w:rPr>
                <w:sz w:val="20"/>
                <w:szCs w:val="20"/>
              </w:rPr>
              <w:t xml:space="preserve"> un pārskatām</w:t>
            </w:r>
            <w:r w:rsidR="00656CA3">
              <w:rPr>
                <w:sz w:val="20"/>
                <w:szCs w:val="20"/>
              </w:rPr>
              <w:t>i</w:t>
            </w:r>
            <w:r w:rsidRPr="001B1DB1">
              <w:rPr>
                <w:sz w:val="20"/>
                <w:szCs w:val="20"/>
              </w:rPr>
              <w:t xml:space="preserve"> statisti</w:t>
            </w:r>
            <w:r w:rsidR="00656CA3">
              <w:rPr>
                <w:sz w:val="20"/>
                <w:szCs w:val="20"/>
              </w:rPr>
              <w:t>kas dati</w:t>
            </w:r>
            <w:r w:rsidRPr="001B1DB1">
              <w:rPr>
                <w:sz w:val="20"/>
                <w:szCs w:val="20"/>
              </w:rPr>
              <w:t xml:space="preserve"> par noziedzīgi iegūtas mantas konfiskācijas piemērošanas efektivitāti.</w:t>
            </w:r>
          </w:p>
        </w:tc>
        <w:tc>
          <w:tcPr>
            <w:tcW w:w="2694" w:type="dxa"/>
          </w:tcPr>
          <w:p w14:paraId="7845480D" w14:textId="31177158" w:rsidR="006F528F" w:rsidRPr="001B1DB1" w:rsidRDefault="00B7767D" w:rsidP="004F2E65">
            <w:pPr>
              <w:jc w:val="both"/>
              <w:rPr>
                <w:rFonts w:cs="Times New Roman"/>
                <w:b/>
                <w:sz w:val="20"/>
                <w:szCs w:val="20"/>
              </w:rPr>
            </w:pPr>
            <w:r>
              <w:rPr>
                <w:sz w:val="20"/>
                <w:szCs w:val="20"/>
              </w:rPr>
              <w:t>Sagatavots p</w:t>
            </w:r>
            <w:r w:rsidR="006F528F" w:rsidRPr="001B1DB1">
              <w:rPr>
                <w:sz w:val="20"/>
                <w:szCs w:val="20"/>
              </w:rPr>
              <w:t>ārskats par noziedzīgi iegūtas mantas konfiskācijas piemērošanas efektivitāti un izdarīti secinājumi tās uzlabošanai.</w:t>
            </w:r>
          </w:p>
        </w:tc>
        <w:tc>
          <w:tcPr>
            <w:tcW w:w="1134" w:type="dxa"/>
            <w:shd w:val="clear" w:color="auto" w:fill="auto"/>
          </w:tcPr>
          <w:p w14:paraId="14EA2378" w14:textId="77777777" w:rsidR="006F528F" w:rsidRPr="001B1DB1" w:rsidRDefault="006F528F" w:rsidP="00D11C53">
            <w:pPr>
              <w:jc w:val="center"/>
              <w:rPr>
                <w:rFonts w:cs="Times New Roman"/>
                <w:b/>
                <w:bCs/>
                <w:sz w:val="20"/>
                <w:szCs w:val="20"/>
              </w:rPr>
            </w:pPr>
            <w:r w:rsidRPr="001B1DB1">
              <w:rPr>
                <w:sz w:val="20"/>
                <w:szCs w:val="20"/>
              </w:rPr>
              <w:t>TM</w:t>
            </w:r>
          </w:p>
        </w:tc>
        <w:tc>
          <w:tcPr>
            <w:tcW w:w="1275" w:type="dxa"/>
            <w:shd w:val="clear" w:color="auto" w:fill="auto"/>
          </w:tcPr>
          <w:p w14:paraId="755F7919" w14:textId="101AD15A" w:rsidR="006F528F" w:rsidRPr="001B1DB1" w:rsidRDefault="006F528F" w:rsidP="00D11C53">
            <w:pPr>
              <w:jc w:val="center"/>
              <w:rPr>
                <w:rFonts w:cs="Times New Roman"/>
                <w:b/>
                <w:bCs/>
                <w:sz w:val="20"/>
                <w:szCs w:val="20"/>
              </w:rPr>
            </w:pPr>
            <w:r w:rsidRPr="001B1DB1">
              <w:rPr>
                <w:sz w:val="20"/>
                <w:szCs w:val="20"/>
              </w:rPr>
              <w:t xml:space="preserve">TA, ĢP, VP, VID, KNAB, VDD, VRS, IDB, </w:t>
            </w:r>
            <w:r w:rsidR="00833304" w:rsidRPr="00833304">
              <w:rPr>
                <w:sz w:val="20"/>
                <w:szCs w:val="20"/>
              </w:rPr>
              <w:t>MP</w:t>
            </w:r>
            <w:r w:rsidRPr="001B1DB1">
              <w:rPr>
                <w:sz w:val="20"/>
                <w:szCs w:val="20"/>
              </w:rPr>
              <w:t>, IeVP</w:t>
            </w:r>
          </w:p>
        </w:tc>
        <w:tc>
          <w:tcPr>
            <w:tcW w:w="1418" w:type="dxa"/>
            <w:shd w:val="clear" w:color="auto" w:fill="auto"/>
          </w:tcPr>
          <w:p w14:paraId="6AB5B15C" w14:textId="302AF5D2" w:rsidR="006F528F" w:rsidRPr="001B1DB1" w:rsidRDefault="002770A7" w:rsidP="00AB0B1C">
            <w:pPr>
              <w:jc w:val="center"/>
              <w:rPr>
                <w:rFonts w:cs="Times New Roman"/>
                <w:b/>
                <w:bCs/>
                <w:sz w:val="20"/>
                <w:szCs w:val="20"/>
              </w:rPr>
            </w:pPr>
            <w:r>
              <w:rPr>
                <w:sz w:val="20"/>
                <w:szCs w:val="20"/>
              </w:rPr>
              <w:t>Reizi gad</w:t>
            </w:r>
            <w:r w:rsidR="00F76E33">
              <w:rPr>
                <w:sz w:val="20"/>
                <w:szCs w:val="20"/>
              </w:rPr>
              <w:t xml:space="preserve">ā, pārskatu sagatavojot </w:t>
            </w:r>
            <w:r>
              <w:rPr>
                <w:sz w:val="20"/>
                <w:szCs w:val="20"/>
              </w:rPr>
              <w:t>par iepriekš</w:t>
            </w:r>
            <w:r w:rsidR="00F76E33">
              <w:rPr>
                <w:sz w:val="20"/>
                <w:szCs w:val="20"/>
              </w:rPr>
              <w:t>ējo gadu</w:t>
            </w:r>
            <w:r>
              <w:rPr>
                <w:sz w:val="20"/>
                <w:szCs w:val="20"/>
              </w:rPr>
              <w:t xml:space="preserve"> līdz </w:t>
            </w:r>
            <w:r w:rsidR="00A027BF">
              <w:rPr>
                <w:sz w:val="20"/>
                <w:szCs w:val="20"/>
              </w:rPr>
              <w:t>gada 1.</w:t>
            </w:r>
            <w:r w:rsidR="007F2FF9">
              <w:rPr>
                <w:sz w:val="20"/>
                <w:szCs w:val="20"/>
              </w:rPr>
              <w:t xml:space="preserve"> </w:t>
            </w:r>
            <w:r w:rsidR="00A027BF">
              <w:rPr>
                <w:sz w:val="20"/>
                <w:szCs w:val="20"/>
              </w:rPr>
              <w:t>martam</w:t>
            </w:r>
          </w:p>
        </w:tc>
      </w:tr>
      <w:tr w:rsidR="00600F05" w:rsidRPr="001B1DB1" w14:paraId="00B11BDE" w14:textId="77777777" w:rsidTr="009744C5">
        <w:trPr>
          <w:trHeight w:val="543"/>
        </w:trPr>
        <w:tc>
          <w:tcPr>
            <w:tcW w:w="709" w:type="dxa"/>
            <w:vMerge w:val="restart"/>
          </w:tcPr>
          <w:p w14:paraId="5313F933" w14:textId="2586B9CA" w:rsidR="00600F05" w:rsidRPr="001B1DB1" w:rsidRDefault="00600F05" w:rsidP="00600F05">
            <w:pPr>
              <w:jc w:val="center"/>
              <w:rPr>
                <w:sz w:val="20"/>
                <w:szCs w:val="20"/>
              </w:rPr>
            </w:pPr>
            <w:r>
              <w:rPr>
                <w:sz w:val="20"/>
                <w:szCs w:val="20"/>
              </w:rPr>
              <w:t>8.5.</w:t>
            </w:r>
          </w:p>
        </w:tc>
        <w:tc>
          <w:tcPr>
            <w:tcW w:w="3686" w:type="dxa"/>
            <w:vMerge w:val="restart"/>
            <w:shd w:val="clear" w:color="auto" w:fill="auto"/>
          </w:tcPr>
          <w:p w14:paraId="404BFE88" w14:textId="3DE1766B" w:rsidR="00600F05" w:rsidRPr="001B1DB1" w:rsidRDefault="00600F05" w:rsidP="00600F05">
            <w:pPr>
              <w:jc w:val="both"/>
              <w:rPr>
                <w:sz w:val="20"/>
                <w:szCs w:val="20"/>
              </w:rPr>
            </w:pPr>
            <w:r w:rsidRPr="00600F05">
              <w:rPr>
                <w:sz w:val="20"/>
                <w:szCs w:val="20"/>
              </w:rPr>
              <w:t>Ieviests mehānisms mantas  konfiskācijai ārpus kriminālprocesa un nodrošināta tā piemērošana</w:t>
            </w:r>
            <w:r>
              <w:rPr>
                <w:sz w:val="20"/>
                <w:szCs w:val="20"/>
              </w:rPr>
              <w:t>.</w:t>
            </w:r>
          </w:p>
        </w:tc>
        <w:tc>
          <w:tcPr>
            <w:tcW w:w="1559" w:type="dxa"/>
            <w:vMerge w:val="restart"/>
          </w:tcPr>
          <w:p w14:paraId="3E707B8D" w14:textId="0D88AE35" w:rsidR="00600F05" w:rsidRPr="001B1DB1" w:rsidRDefault="00600F05" w:rsidP="00600F05">
            <w:pPr>
              <w:jc w:val="both"/>
              <w:rPr>
                <w:sz w:val="20"/>
                <w:szCs w:val="20"/>
              </w:rPr>
            </w:pPr>
            <w:r w:rsidRPr="00600F05">
              <w:rPr>
                <w:sz w:val="20"/>
                <w:szCs w:val="20"/>
              </w:rPr>
              <w:t>FATF 4. rekomendācija</w:t>
            </w:r>
            <w:r>
              <w:rPr>
                <w:sz w:val="20"/>
                <w:szCs w:val="20"/>
              </w:rPr>
              <w:t>.</w:t>
            </w:r>
          </w:p>
        </w:tc>
        <w:tc>
          <w:tcPr>
            <w:tcW w:w="2551" w:type="dxa"/>
            <w:vMerge w:val="restart"/>
            <w:shd w:val="clear" w:color="auto" w:fill="auto"/>
          </w:tcPr>
          <w:p w14:paraId="7C40A962" w14:textId="5C540EC7" w:rsidR="00600F05" w:rsidRPr="001B1DB1" w:rsidRDefault="00600F05" w:rsidP="00600F05">
            <w:pPr>
              <w:jc w:val="both"/>
              <w:rPr>
                <w:sz w:val="20"/>
                <w:szCs w:val="20"/>
              </w:rPr>
            </w:pPr>
            <w:r w:rsidRPr="00600F05">
              <w:rPr>
                <w:sz w:val="20"/>
                <w:szCs w:val="20"/>
              </w:rPr>
              <w:t>Nodrošināta pilnīga atbilstība FATF 4. rekomendācijai, nodrošinot mantas konfiskāciju</w:t>
            </w:r>
            <w:r>
              <w:rPr>
                <w:sz w:val="20"/>
                <w:szCs w:val="20"/>
              </w:rPr>
              <w:t xml:space="preserve"> bez kriminālprocesa uzsākšanas.</w:t>
            </w:r>
          </w:p>
        </w:tc>
        <w:tc>
          <w:tcPr>
            <w:tcW w:w="2694" w:type="dxa"/>
          </w:tcPr>
          <w:p w14:paraId="57AF1AA6" w14:textId="5B49CED2" w:rsidR="00600F05" w:rsidRDefault="00600F05" w:rsidP="00600F05">
            <w:pPr>
              <w:jc w:val="both"/>
              <w:rPr>
                <w:sz w:val="20"/>
                <w:szCs w:val="20"/>
              </w:rPr>
            </w:pPr>
            <w:r>
              <w:rPr>
                <w:sz w:val="20"/>
                <w:szCs w:val="20"/>
              </w:rPr>
              <w:t xml:space="preserve">1. </w:t>
            </w:r>
            <w:r w:rsidRPr="00600F05">
              <w:rPr>
                <w:sz w:val="20"/>
                <w:szCs w:val="20"/>
              </w:rPr>
              <w:t>Sagatavoti priekšlikumi izskatīšanai FSAP.</w:t>
            </w:r>
          </w:p>
        </w:tc>
        <w:tc>
          <w:tcPr>
            <w:tcW w:w="1134" w:type="dxa"/>
            <w:shd w:val="clear" w:color="auto" w:fill="auto"/>
          </w:tcPr>
          <w:p w14:paraId="739E2A7E" w14:textId="114BB0EA" w:rsidR="00600F05" w:rsidRPr="001B1DB1" w:rsidRDefault="00600F05" w:rsidP="00FE79D6">
            <w:pPr>
              <w:jc w:val="center"/>
              <w:rPr>
                <w:sz w:val="20"/>
                <w:szCs w:val="20"/>
              </w:rPr>
            </w:pPr>
            <w:r w:rsidRPr="00600F05">
              <w:rPr>
                <w:sz w:val="20"/>
                <w:szCs w:val="20"/>
              </w:rPr>
              <w:t>FID</w:t>
            </w:r>
            <w:r w:rsidR="0053369D">
              <w:rPr>
                <w:sz w:val="20"/>
                <w:szCs w:val="20"/>
              </w:rPr>
              <w:t>,</w:t>
            </w:r>
            <w:r w:rsidR="0053369D">
              <w:t xml:space="preserve"> </w:t>
            </w:r>
            <w:r w:rsidR="0053369D" w:rsidRPr="0053369D">
              <w:rPr>
                <w:sz w:val="20"/>
                <w:szCs w:val="20"/>
              </w:rPr>
              <w:t xml:space="preserve">IeM, </w:t>
            </w:r>
            <w:r w:rsidR="0053369D">
              <w:rPr>
                <w:sz w:val="20"/>
                <w:szCs w:val="20"/>
              </w:rPr>
              <w:t xml:space="preserve"> </w:t>
            </w:r>
          </w:p>
        </w:tc>
        <w:tc>
          <w:tcPr>
            <w:tcW w:w="1275" w:type="dxa"/>
            <w:shd w:val="clear" w:color="auto" w:fill="auto"/>
          </w:tcPr>
          <w:p w14:paraId="15D11BF6" w14:textId="1FCEC472" w:rsidR="00600F05" w:rsidRPr="001B1DB1" w:rsidRDefault="00600F05">
            <w:pPr>
              <w:jc w:val="center"/>
              <w:rPr>
                <w:sz w:val="20"/>
                <w:szCs w:val="20"/>
              </w:rPr>
            </w:pPr>
            <w:r w:rsidRPr="00600F05">
              <w:rPr>
                <w:sz w:val="20"/>
                <w:szCs w:val="20"/>
              </w:rPr>
              <w:t xml:space="preserve">TM, </w:t>
            </w:r>
            <w:r w:rsidR="00FE79D6">
              <w:rPr>
                <w:sz w:val="20"/>
                <w:szCs w:val="20"/>
              </w:rPr>
              <w:t>F</w:t>
            </w:r>
            <w:r w:rsidRPr="00600F05">
              <w:rPr>
                <w:sz w:val="20"/>
                <w:szCs w:val="20"/>
              </w:rPr>
              <w:t>M, ĢP, VP, VID, KNAB, VDD, VRS, IDB, MP, IeVP</w:t>
            </w:r>
          </w:p>
        </w:tc>
        <w:tc>
          <w:tcPr>
            <w:tcW w:w="1418" w:type="dxa"/>
            <w:shd w:val="clear" w:color="auto" w:fill="auto"/>
          </w:tcPr>
          <w:p w14:paraId="122A6D55" w14:textId="0D19132A" w:rsidR="00600F05" w:rsidRDefault="00600F05" w:rsidP="00600F05">
            <w:pPr>
              <w:jc w:val="center"/>
              <w:rPr>
                <w:sz w:val="20"/>
                <w:szCs w:val="20"/>
              </w:rPr>
            </w:pPr>
            <w:r w:rsidRPr="00600F05">
              <w:rPr>
                <w:sz w:val="20"/>
                <w:szCs w:val="20"/>
              </w:rPr>
              <w:t>31.12.2021.</w:t>
            </w:r>
          </w:p>
        </w:tc>
      </w:tr>
      <w:tr w:rsidR="00600F05" w:rsidRPr="001B1DB1" w14:paraId="66B970BE" w14:textId="77777777" w:rsidTr="009744C5">
        <w:trPr>
          <w:trHeight w:val="543"/>
        </w:trPr>
        <w:tc>
          <w:tcPr>
            <w:tcW w:w="709" w:type="dxa"/>
            <w:vMerge/>
          </w:tcPr>
          <w:p w14:paraId="3CFA2FD1" w14:textId="77777777" w:rsidR="00600F05" w:rsidRPr="001B1DB1" w:rsidRDefault="00600F05" w:rsidP="006F528F">
            <w:pPr>
              <w:jc w:val="center"/>
              <w:rPr>
                <w:sz w:val="20"/>
                <w:szCs w:val="20"/>
              </w:rPr>
            </w:pPr>
          </w:p>
        </w:tc>
        <w:tc>
          <w:tcPr>
            <w:tcW w:w="3686" w:type="dxa"/>
            <w:vMerge/>
            <w:shd w:val="clear" w:color="auto" w:fill="auto"/>
          </w:tcPr>
          <w:p w14:paraId="65093241" w14:textId="77777777" w:rsidR="00600F05" w:rsidRPr="001B1DB1" w:rsidRDefault="00600F05" w:rsidP="004F2E65">
            <w:pPr>
              <w:jc w:val="both"/>
              <w:rPr>
                <w:sz w:val="20"/>
                <w:szCs w:val="20"/>
              </w:rPr>
            </w:pPr>
          </w:p>
        </w:tc>
        <w:tc>
          <w:tcPr>
            <w:tcW w:w="1559" w:type="dxa"/>
            <w:vMerge/>
          </w:tcPr>
          <w:p w14:paraId="2CD9C37A" w14:textId="77777777" w:rsidR="00600F05" w:rsidRPr="001B1DB1" w:rsidRDefault="00600F05" w:rsidP="00DF6514">
            <w:pPr>
              <w:jc w:val="both"/>
              <w:rPr>
                <w:sz w:val="20"/>
                <w:szCs w:val="20"/>
              </w:rPr>
            </w:pPr>
          </w:p>
        </w:tc>
        <w:tc>
          <w:tcPr>
            <w:tcW w:w="2551" w:type="dxa"/>
            <w:vMerge/>
            <w:shd w:val="clear" w:color="auto" w:fill="auto"/>
          </w:tcPr>
          <w:p w14:paraId="392CED52" w14:textId="77777777" w:rsidR="00600F05" w:rsidRPr="001B1DB1" w:rsidRDefault="00600F05">
            <w:pPr>
              <w:jc w:val="both"/>
              <w:rPr>
                <w:sz w:val="20"/>
                <w:szCs w:val="20"/>
              </w:rPr>
            </w:pPr>
          </w:p>
        </w:tc>
        <w:tc>
          <w:tcPr>
            <w:tcW w:w="2694" w:type="dxa"/>
          </w:tcPr>
          <w:p w14:paraId="0B994001" w14:textId="20611A8F" w:rsidR="00600F05" w:rsidRDefault="00600F05" w:rsidP="004F2E65">
            <w:pPr>
              <w:jc w:val="both"/>
              <w:rPr>
                <w:sz w:val="20"/>
                <w:szCs w:val="20"/>
              </w:rPr>
            </w:pPr>
            <w:r>
              <w:rPr>
                <w:sz w:val="20"/>
                <w:szCs w:val="20"/>
              </w:rPr>
              <w:t xml:space="preserve">2. </w:t>
            </w:r>
            <w:r w:rsidRPr="00600F05">
              <w:rPr>
                <w:sz w:val="20"/>
                <w:szCs w:val="20"/>
              </w:rPr>
              <w:t>Izstrādāti grozījumi normatīvajos aktos un iesniegti izskatīšanai MK.</w:t>
            </w:r>
          </w:p>
        </w:tc>
        <w:tc>
          <w:tcPr>
            <w:tcW w:w="1134" w:type="dxa"/>
            <w:shd w:val="clear" w:color="auto" w:fill="auto"/>
          </w:tcPr>
          <w:p w14:paraId="11391858" w14:textId="41332518" w:rsidR="00600F05" w:rsidRPr="001B1DB1" w:rsidRDefault="00600F05" w:rsidP="00FE79D6">
            <w:pPr>
              <w:jc w:val="center"/>
              <w:rPr>
                <w:sz w:val="20"/>
                <w:szCs w:val="20"/>
              </w:rPr>
            </w:pPr>
            <w:r w:rsidRPr="00600F05">
              <w:rPr>
                <w:sz w:val="20"/>
                <w:szCs w:val="20"/>
              </w:rPr>
              <w:t>FID</w:t>
            </w:r>
            <w:r w:rsidR="0053369D">
              <w:rPr>
                <w:sz w:val="20"/>
                <w:szCs w:val="20"/>
              </w:rPr>
              <w:t>, IeM</w:t>
            </w:r>
          </w:p>
        </w:tc>
        <w:tc>
          <w:tcPr>
            <w:tcW w:w="1275" w:type="dxa"/>
            <w:shd w:val="clear" w:color="auto" w:fill="auto"/>
          </w:tcPr>
          <w:p w14:paraId="5667A15D" w14:textId="0D8A8930" w:rsidR="00600F05" w:rsidRPr="001B1DB1" w:rsidRDefault="00600F05" w:rsidP="00D11C53">
            <w:pPr>
              <w:jc w:val="center"/>
              <w:rPr>
                <w:sz w:val="20"/>
                <w:szCs w:val="20"/>
              </w:rPr>
            </w:pPr>
            <w:r w:rsidRPr="00600F05">
              <w:rPr>
                <w:sz w:val="20"/>
                <w:szCs w:val="20"/>
              </w:rPr>
              <w:t>FNA</w:t>
            </w:r>
          </w:p>
        </w:tc>
        <w:tc>
          <w:tcPr>
            <w:tcW w:w="1418" w:type="dxa"/>
            <w:shd w:val="clear" w:color="auto" w:fill="auto"/>
          </w:tcPr>
          <w:p w14:paraId="60A64BDE" w14:textId="004A53DF" w:rsidR="00600F05" w:rsidRDefault="00600F05" w:rsidP="00600F05">
            <w:pPr>
              <w:jc w:val="center"/>
              <w:rPr>
                <w:sz w:val="20"/>
                <w:szCs w:val="20"/>
              </w:rPr>
            </w:pPr>
            <w:r>
              <w:rPr>
                <w:sz w:val="20"/>
                <w:szCs w:val="20"/>
              </w:rPr>
              <w:t>31.03.2022.</w:t>
            </w:r>
          </w:p>
        </w:tc>
      </w:tr>
      <w:tr w:rsidR="00600F05" w:rsidRPr="001B1DB1" w14:paraId="13D351DE" w14:textId="77777777" w:rsidTr="009744C5">
        <w:trPr>
          <w:trHeight w:val="543"/>
        </w:trPr>
        <w:tc>
          <w:tcPr>
            <w:tcW w:w="709" w:type="dxa"/>
            <w:vMerge/>
          </w:tcPr>
          <w:p w14:paraId="5A8518E9" w14:textId="77777777" w:rsidR="00600F05" w:rsidRPr="001B1DB1" w:rsidRDefault="00600F05" w:rsidP="006F528F">
            <w:pPr>
              <w:jc w:val="center"/>
              <w:rPr>
                <w:sz w:val="20"/>
                <w:szCs w:val="20"/>
              </w:rPr>
            </w:pPr>
          </w:p>
        </w:tc>
        <w:tc>
          <w:tcPr>
            <w:tcW w:w="3686" w:type="dxa"/>
            <w:vMerge/>
            <w:shd w:val="clear" w:color="auto" w:fill="auto"/>
          </w:tcPr>
          <w:p w14:paraId="3F198A0C" w14:textId="77777777" w:rsidR="00600F05" w:rsidRPr="001B1DB1" w:rsidRDefault="00600F05" w:rsidP="004F2E65">
            <w:pPr>
              <w:jc w:val="both"/>
              <w:rPr>
                <w:sz w:val="20"/>
                <w:szCs w:val="20"/>
              </w:rPr>
            </w:pPr>
          </w:p>
        </w:tc>
        <w:tc>
          <w:tcPr>
            <w:tcW w:w="1559" w:type="dxa"/>
            <w:vMerge/>
          </w:tcPr>
          <w:p w14:paraId="51D1BB4F" w14:textId="77777777" w:rsidR="00600F05" w:rsidRPr="001B1DB1" w:rsidRDefault="00600F05" w:rsidP="00DF6514">
            <w:pPr>
              <w:jc w:val="both"/>
              <w:rPr>
                <w:sz w:val="20"/>
                <w:szCs w:val="20"/>
              </w:rPr>
            </w:pPr>
          </w:p>
        </w:tc>
        <w:tc>
          <w:tcPr>
            <w:tcW w:w="2551" w:type="dxa"/>
            <w:vMerge/>
            <w:shd w:val="clear" w:color="auto" w:fill="auto"/>
          </w:tcPr>
          <w:p w14:paraId="760BB471" w14:textId="77777777" w:rsidR="00600F05" w:rsidRPr="001B1DB1" w:rsidRDefault="00600F05">
            <w:pPr>
              <w:jc w:val="both"/>
              <w:rPr>
                <w:sz w:val="20"/>
                <w:szCs w:val="20"/>
              </w:rPr>
            </w:pPr>
          </w:p>
        </w:tc>
        <w:tc>
          <w:tcPr>
            <w:tcW w:w="2694" w:type="dxa"/>
          </w:tcPr>
          <w:p w14:paraId="3A163EB9" w14:textId="79BFB8CA" w:rsidR="00600F05" w:rsidRDefault="00600F05" w:rsidP="004F2E65">
            <w:pPr>
              <w:jc w:val="both"/>
              <w:rPr>
                <w:sz w:val="20"/>
                <w:szCs w:val="20"/>
              </w:rPr>
            </w:pPr>
            <w:r>
              <w:rPr>
                <w:sz w:val="20"/>
                <w:szCs w:val="20"/>
              </w:rPr>
              <w:t xml:space="preserve">3. </w:t>
            </w:r>
            <w:r w:rsidRPr="00600F05">
              <w:rPr>
                <w:sz w:val="20"/>
                <w:szCs w:val="20"/>
              </w:rPr>
              <w:t>Nodrošināta mantas  konfiskācija ārpus kriminālprocesa piemērošana</w:t>
            </w:r>
            <w:r>
              <w:rPr>
                <w:sz w:val="20"/>
                <w:szCs w:val="20"/>
              </w:rPr>
              <w:t>s.</w:t>
            </w:r>
          </w:p>
        </w:tc>
        <w:tc>
          <w:tcPr>
            <w:tcW w:w="1134" w:type="dxa"/>
            <w:shd w:val="clear" w:color="auto" w:fill="auto"/>
          </w:tcPr>
          <w:p w14:paraId="027119CD" w14:textId="792E8593" w:rsidR="00600F05" w:rsidRPr="001B1DB1" w:rsidRDefault="00600F05" w:rsidP="00D11C53">
            <w:pPr>
              <w:jc w:val="center"/>
              <w:rPr>
                <w:sz w:val="20"/>
                <w:szCs w:val="20"/>
              </w:rPr>
            </w:pPr>
            <w:r w:rsidRPr="00600F05">
              <w:rPr>
                <w:sz w:val="20"/>
                <w:szCs w:val="20"/>
              </w:rPr>
              <w:t>FID</w:t>
            </w:r>
          </w:p>
        </w:tc>
        <w:tc>
          <w:tcPr>
            <w:tcW w:w="1275" w:type="dxa"/>
            <w:shd w:val="clear" w:color="auto" w:fill="auto"/>
          </w:tcPr>
          <w:p w14:paraId="47F771BD" w14:textId="77777777" w:rsidR="00600F05" w:rsidRPr="001B1DB1" w:rsidRDefault="00600F05" w:rsidP="00D11C53">
            <w:pPr>
              <w:jc w:val="center"/>
              <w:rPr>
                <w:sz w:val="20"/>
                <w:szCs w:val="20"/>
              </w:rPr>
            </w:pPr>
          </w:p>
        </w:tc>
        <w:tc>
          <w:tcPr>
            <w:tcW w:w="1418" w:type="dxa"/>
            <w:shd w:val="clear" w:color="auto" w:fill="auto"/>
          </w:tcPr>
          <w:p w14:paraId="7AD33634" w14:textId="5A310FA7" w:rsidR="00600F05" w:rsidRDefault="00600F05" w:rsidP="00AB0B1C">
            <w:pPr>
              <w:jc w:val="center"/>
              <w:rPr>
                <w:sz w:val="20"/>
                <w:szCs w:val="20"/>
              </w:rPr>
            </w:pPr>
            <w:r w:rsidRPr="00600F05">
              <w:rPr>
                <w:sz w:val="20"/>
                <w:szCs w:val="20"/>
              </w:rPr>
              <w:t>Sākot no 2022.</w:t>
            </w:r>
            <w:r w:rsidR="00FE79D6">
              <w:rPr>
                <w:sz w:val="20"/>
                <w:szCs w:val="20"/>
              </w:rPr>
              <w:t xml:space="preserve"> </w:t>
            </w:r>
            <w:r w:rsidRPr="00600F05">
              <w:rPr>
                <w:sz w:val="20"/>
                <w:szCs w:val="20"/>
              </w:rPr>
              <w:t>gada - pastāvīgi</w:t>
            </w:r>
          </w:p>
        </w:tc>
      </w:tr>
      <w:bookmarkEnd w:id="2"/>
    </w:tbl>
    <w:p w14:paraId="6755DD74" w14:textId="77777777" w:rsidR="00775B85" w:rsidRPr="001B1DB1" w:rsidRDefault="00775B85" w:rsidP="00775B85">
      <w:pPr>
        <w:pStyle w:val="Heading2"/>
        <w:ind w:left="720"/>
        <w:rPr>
          <w:rFonts w:ascii="Times New Roman" w:hAnsi="Times New Roman" w:cs="Times New Roman"/>
          <w:b/>
          <w:color w:val="auto"/>
          <w:sz w:val="28"/>
          <w:szCs w:val="28"/>
        </w:rPr>
      </w:pPr>
    </w:p>
    <w:p w14:paraId="641D911E" w14:textId="77777777" w:rsidR="00775B85" w:rsidRPr="001B1DB1" w:rsidRDefault="00775B85"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rīcības virziens – terorisma finansēšanas izmeklēšana un kriminālvajāšana</w:t>
      </w:r>
    </w:p>
    <w:p w14:paraId="5D550DE7" w14:textId="0D5A919D" w:rsidR="00775B85" w:rsidRDefault="00775B85" w:rsidP="00775B85">
      <w:pPr>
        <w:pStyle w:val="Heading2"/>
        <w:rPr>
          <w:rFonts w:ascii="Times New Roman" w:hAnsi="Times New Roman" w:cs="Times New Roman"/>
          <w:b/>
          <w:color w:val="auto"/>
          <w:sz w:val="28"/>
          <w:szCs w:val="28"/>
        </w:rPr>
      </w:pPr>
    </w:p>
    <w:p w14:paraId="6690F6F2" w14:textId="77777777" w:rsidR="008B395B" w:rsidRPr="008B395B" w:rsidRDefault="008B395B" w:rsidP="008B395B"/>
    <w:p w14:paraId="2303473D" w14:textId="380388D4" w:rsidR="00775B85" w:rsidRPr="001B1DB1" w:rsidRDefault="00775B85" w:rsidP="00775B85">
      <w:pPr>
        <w:jc w:val="both"/>
        <w:rPr>
          <w:szCs w:val="24"/>
        </w:rPr>
      </w:pPr>
      <w:r w:rsidRPr="001B1DB1">
        <w:rPr>
          <w:szCs w:val="24"/>
        </w:rPr>
        <w:t xml:space="preserve">Par rīcības virzienu atbildīgā </w:t>
      </w:r>
      <w:r w:rsidR="000853A3" w:rsidRPr="000853A3">
        <w:rPr>
          <w:szCs w:val="24"/>
        </w:rPr>
        <w:t>institūcija</w:t>
      </w:r>
      <w:r w:rsidRPr="001B1DB1">
        <w:rPr>
          <w:szCs w:val="24"/>
        </w:rPr>
        <w:t>: IeM</w:t>
      </w:r>
    </w:p>
    <w:p w14:paraId="4FD0AD5A" w14:textId="38650D8B" w:rsidR="00775B85" w:rsidRPr="001B1DB1" w:rsidRDefault="00775B85" w:rsidP="00775B85">
      <w:pPr>
        <w:jc w:val="both"/>
        <w:rPr>
          <w:szCs w:val="24"/>
        </w:rPr>
      </w:pPr>
      <w:r w:rsidRPr="001B1DB1">
        <w:rPr>
          <w:szCs w:val="24"/>
        </w:rPr>
        <w:t xml:space="preserve">Līdzatbildīgās </w:t>
      </w:r>
      <w:r w:rsidR="00D00DDA">
        <w:rPr>
          <w:szCs w:val="24"/>
        </w:rPr>
        <w:t>institūcijas</w:t>
      </w:r>
      <w:r w:rsidRPr="00B93A72">
        <w:rPr>
          <w:szCs w:val="24"/>
        </w:rPr>
        <w:t>:</w:t>
      </w:r>
      <w:r w:rsidR="00B93A72" w:rsidRPr="00B93A72">
        <w:rPr>
          <w:szCs w:val="24"/>
        </w:rPr>
        <w:t xml:space="preserve"> </w:t>
      </w:r>
      <w:r w:rsidR="009D50A8" w:rsidRPr="00B93A72">
        <w:rPr>
          <w:szCs w:val="24"/>
        </w:rPr>
        <w:t xml:space="preserve">FID, </w:t>
      </w:r>
      <w:r w:rsidR="00B93A72" w:rsidRPr="00B93A72">
        <w:rPr>
          <w:szCs w:val="24"/>
        </w:rPr>
        <w:t>VDD</w:t>
      </w:r>
    </w:p>
    <w:p w14:paraId="13972665" w14:textId="77777777" w:rsidR="00775B85" w:rsidRPr="001B1DB1" w:rsidRDefault="00775B85" w:rsidP="00775B85">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418"/>
      </w:tblGrid>
      <w:tr w:rsidR="00775B85" w:rsidRPr="001B1DB1" w14:paraId="5CD0F889" w14:textId="77777777" w:rsidTr="00EC4F0C">
        <w:tc>
          <w:tcPr>
            <w:tcW w:w="4395" w:type="dxa"/>
            <w:gridSpan w:val="2"/>
          </w:tcPr>
          <w:p w14:paraId="28A8BC39" w14:textId="77777777" w:rsidR="00775B85" w:rsidRPr="001B1DB1" w:rsidRDefault="00775B85" w:rsidP="00EC4F0C">
            <w:pPr>
              <w:rPr>
                <w:rFonts w:cs="Times New Roman"/>
                <w:b/>
                <w:bCs/>
                <w:sz w:val="20"/>
                <w:szCs w:val="20"/>
              </w:rPr>
            </w:pPr>
            <w:r w:rsidRPr="001B1DB1">
              <w:rPr>
                <w:rFonts w:cs="Times New Roman"/>
                <w:b/>
                <w:bCs/>
                <w:sz w:val="20"/>
                <w:szCs w:val="20"/>
              </w:rPr>
              <w:t>Rīcības virziens</w:t>
            </w:r>
          </w:p>
        </w:tc>
        <w:tc>
          <w:tcPr>
            <w:tcW w:w="10631" w:type="dxa"/>
            <w:gridSpan w:val="6"/>
          </w:tcPr>
          <w:p w14:paraId="6C498DC7" w14:textId="77777777" w:rsidR="00775B85" w:rsidRPr="001B1DB1" w:rsidRDefault="00775B85" w:rsidP="00EC4F0C">
            <w:pPr>
              <w:jc w:val="both"/>
              <w:rPr>
                <w:rFonts w:cs="Times New Roman"/>
                <w:b/>
                <w:bCs/>
                <w:sz w:val="20"/>
                <w:szCs w:val="20"/>
              </w:rPr>
            </w:pPr>
            <w:r w:rsidRPr="001B1DB1">
              <w:rPr>
                <w:rFonts w:cs="Times New Roman"/>
                <w:b/>
                <w:bCs/>
                <w:sz w:val="20"/>
                <w:szCs w:val="20"/>
              </w:rPr>
              <w:t>TERORISMA FINANSĒŠANAS IZMEKLĒŠANA UN KRIMINĀLVAJĀŠANA</w:t>
            </w:r>
          </w:p>
        </w:tc>
      </w:tr>
      <w:tr w:rsidR="007D49B9" w:rsidRPr="001B1DB1" w14:paraId="7F0C3D8F" w14:textId="77777777" w:rsidTr="00EC4F0C">
        <w:tc>
          <w:tcPr>
            <w:tcW w:w="4395" w:type="dxa"/>
            <w:gridSpan w:val="2"/>
          </w:tcPr>
          <w:p w14:paraId="57DB99AD" w14:textId="26DF65E4"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Pr>
          <w:p w14:paraId="1EA36FFF" w14:textId="77777777" w:rsidR="007D49B9" w:rsidRPr="001B1DB1" w:rsidRDefault="007D49B9" w:rsidP="007D49B9">
            <w:pPr>
              <w:jc w:val="both"/>
              <w:rPr>
                <w:rFonts w:cs="Times New Roman"/>
                <w:b/>
                <w:bCs/>
                <w:sz w:val="20"/>
                <w:szCs w:val="20"/>
              </w:rPr>
            </w:pPr>
            <w:r w:rsidRPr="001B1DB1">
              <w:rPr>
                <w:rFonts w:cs="Times New Roman"/>
                <w:b/>
                <w:bCs/>
                <w:sz w:val="20"/>
                <w:szCs w:val="20"/>
              </w:rPr>
              <w:t>Tiek izmeklēti TF nodarījumi un darbības, un personas, kas finansē terorismu, tiek sauktas pie atbildības, un tām piemēro efektīvas, samērīgas un atturošas sankcijas.</w:t>
            </w:r>
          </w:p>
        </w:tc>
      </w:tr>
      <w:tr w:rsidR="00775B85" w:rsidRPr="001B1DB1" w14:paraId="06170FDA" w14:textId="77777777" w:rsidTr="00EC4F0C">
        <w:trPr>
          <w:trHeight w:val="543"/>
        </w:trPr>
        <w:tc>
          <w:tcPr>
            <w:tcW w:w="709" w:type="dxa"/>
          </w:tcPr>
          <w:p w14:paraId="13A2926F" w14:textId="77777777" w:rsidR="00775B85" w:rsidRPr="001B1DB1" w:rsidRDefault="00775B85" w:rsidP="00EC4F0C">
            <w:pPr>
              <w:jc w:val="center"/>
              <w:rPr>
                <w:rFonts w:cs="Times New Roman"/>
                <w:bCs/>
                <w:sz w:val="20"/>
                <w:szCs w:val="20"/>
              </w:rPr>
            </w:pPr>
            <w:r w:rsidRPr="001B1DB1">
              <w:rPr>
                <w:rFonts w:cs="Times New Roman"/>
                <w:bCs/>
                <w:sz w:val="20"/>
                <w:szCs w:val="20"/>
              </w:rPr>
              <w:t>Nr. P.k.</w:t>
            </w:r>
          </w:p>
        </w:tc>
        <w:tc>
          <w:tcPr>
            <w:tcW w:w="3686" w:type="dxa"/>
            <w:shd w:val="clear" w:color="auto" w:fill="auto"/>
          </w:tcPr>
          <w:p w14:paraId="5ED86CFC" w14:textId="77777777" w:rsidR="00775B85" w:rsidRPr="001B1DB1" w:rsidRDefault="00775B85" w:rsidP="00EC4F0C">
            <w:pPr>
              <w:jc w:val="center"/>
              <w:rPr>
                <w:rFonts w:cs="Times New Roman"/>
                <w:bCs/>
                <w:i/>
                <w:sz w:val="20"/>
                <w:szCs w:val="20"/>
              </w:rPr>
            </w:pPr>
            <w:r w:rsidRPr="001B1DB1">
              <w:rPr>
                <w:rFonts w:cs="Times New Roman"/>
                <w:b/>
                <w:bCs/>
                <w:sz w:val="20"/>
                <w:szCs w:val="20"/>
              </w:rPr>
              <w:t>Pasākums</w:t>
            </w:r>
          </w:p>
        </w:tc>
        <w:tc>
          <w:tcPr>
            <w:tcW w:w="1559" w:type="dxa"/>
          </w:tcPr>
          <w:p w14:paraId="2FD9F662" w14:textId="77777777" w:rsidR="00775B85" w:rsidRPr="001B1DB1" w:rsidRDefault="00775B85" w:rsidP="00EC4F0C">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57CDEA96" w14:textId="77777777" w:rsidR="00775B85" w:rsidRPr="001B1DB1" w:rsidRDefault="00775B85" w:rsidP="00EC4F0C">
            <w:pPr>
              <w:jc w:val="center"/>
              <w:rPr>
                <w:rFonts w:cs="Times New Roman"/>
                <w:b/>
                <w:bCs/>
                <w:i/>
                <w:sz w:val="20"/>
                <w:szCs w:val="20"/>
              </w:rPr>
            </w:pPr>
            <w:r w:rsidRPr="001B1DB1">
              <w:rPr>
                <w:rFonts w:cs="Times New Roman"/>
                <w:b/>
                <w:sz w:val="20"/>
                <w:szCs w:val="20"/>
              </w:rPr>
              <w:t>Darbības rezultāts</w:t>
            </w:r>
          </w:p>
        </w:tc>
        <w:tc>
          <w:tcPr>
            <w:tcW w:w="2694" w:type="dxa"/>
          </w:tcPr>
          <w:p w14:paraId="11AD664B" w14:textId="77777777" w:rsidR="00775B85" w:rsidRPr="001B1DB1" w:rsidRDefault="00775B85" w:rsidP="00EC4F0C">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443A1101"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02AB3154" w14:textId="77777777" w:rsidR="00775B85" w:rsidRPr="001B1DB1" w:rsidRDefault="00775B85" w:rsidP="00EC4F0C">
            <w:pPr>
              <w:jc w:val="center"/>
              <w:rPr>
                <w:rFonts w:cs="Times New Roman"/>
                <w:b/>
                <w:bCs/>
                <w:sz w:val="20"/>
                <w:szCs w:val="20"/>
              </w:rPr>
            </w:pPr>
            <w:r w:rsidRPr="001B1DB1">
              <w:rPr>
                <w:rFonts w:cs="Times New Roman"/>
                <w:b/>
                <w:bCs/>
                <w:sz w:val="20"/>
                <w:szCs w:val="20"/>
              </w:rPr>
              <w:t>Līdz-</w:t>
            </w:r>
          </w:p>
          <w:p w14:paraId="7C900E72"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3D872EB1" w14:textId="77777777" w:rsidR="00775B85" w:rsidRPr="001B1DB1" w:rsidRDefault="00775B85" w:rsidP="00EC4F0C">
            <w:pPr>
              <w:jc w:val="center"/>
              <w:rPr>
                <w:rFonts w:cs="Times New Roman"/>
                <w:bCs/>
                <w:i/>
                <w:sz w:val="20"/>
                <w:szCs w:val="20"/>
              </w:rPr>
            </w:pPr>
            <w:r w:rsidRPr="001B1DB1">
              <w:rPr>
                <w:rFonts w:cs="Times New Roman"/>
                <w:b/>
                <w:bCs/>
                <w:sz w:val="20"/>
                <w:szCs w:val="20"/>
              </w:rPr>
              <w:t>Izpildes termiņš</w:t>
            </w:r>
          </w:p>
        </w:tc>
      </w:tr>
      <w:tr w:rsidR="00775B85" w:rsidRPr="001B1DB1" w14:paraId="78539517" w14:textId="77777777" w:rsidTr="00EC4F0C">
        <w:trPr>
          <w:trHeight w:val="543"/>
        </w:trPr>
        <w:tc>
          <w:tcPr>
            <w:tcW w:w="709" w:type="dxa"/>
          </w:tcPr>
          <w:p w14:paraId="1CA1FA54" w14:textId="29358386" w:rsidR="00775B85" w:rsidRPr="001B1DB1" w:rsidRDefault="00B845EB" w:rsidP="007745BA">
            <w:pPr>
              <w:jc w:val="center"/>
              <w:rPr>
                <w:rFonts w:cs="Times New Roman"/>
                <w:bCs/>
                <w:sz w:val="20"/>
                <w:szCs w:val="20"/>
              </w:rPr>
            </w:pPr>
            <w:r w:rsidRPr="001B1DB1">
              <w:rPr>
                <w:rFonts w:cs="Times New Roman"/>
                <w:bCs/>
                <w:sz w:val="20"/>
                <w:szCs w:val="20"/>
              </w:rPr>
              <w:t>9.</w:t>
            </w:r>
            <w:r w:rsidR="007745BA">
              <w:rPr>
                <w:rFonts w:cs="Times New Roman"/>
                <w:bCs/>
                <w:sz w:val="20"/>
                <w:szCs w:val="20"/>
              </w:rPr>
              <w:t>1</w:t>
            </w:r>
            <w:r w:rsidRPr="001B1DB1">
              <w:rPr>
                <w:rFonts w:cs="Times New Roman"/>
                <w:bCs/>
                <w:sz w:val="20"/>
                <w:szCs w:val="20"/>
              </w:rPr>
              <w:t>.</w:t>
            </w:r>
          </w:p>
        </w:tc>
        <w:tc>
          <w:tcPr>
            <w:tcW w:w="3686" w:type="dxa"/>
            <w:shd w:val="clear" w:color="auto" w:fill="auto"/>
          </w:tcPr>
          <w:p w14:paraId="0D0D27D5" w14:textId="77777777" w:rsidR="00775B85" w:rsidRPr="001B1DB1" w:rsidRDefault="00775B85" w:rsidP="00FE0CE6">
            <w:pPr>
              <w:jc w:val="both"/>
              <w:rPr>
                <w:rFonts w:cs="Times New Roman"/>
                <w:sz w:val="20"/>
                <w:szCs w:val="20"/>
              </w:rPr>
            </w:pPr>
            <w:r w:rsidRPr="001B1DB1">
              <w:rPr>
                <w:rFonts w:cs="Times New Roman"/>
                <w:sz w:val="20"/>
                <w:szCs w:val="20"/>
              </w:rPr>
              <w:t xml:space="preserve">Veicināt un </w:t>
            </w:r>
            <w:r w:rsidR="00FE0CE6" w:rsidRPr="001B1DB1">
              <w:rPr>
                <w:rFonts w:cs="Times New Roman"/>
                <w:sz w:val="20"/>
                <w:szCs w:val="20"/>
              </w:rPr>
              <w:t xml:space="preserve">pastiprināt </w:t>
            </w:r>
            <w:r w:rsidRPr="001B1DB1">
              <w:rPr>
                <w:rFonts w:cs="Times New Roman"/>
                <w:sz w:val="20"/>
                <w:szCs w:val="20"/>
              </w:rPr>
              <w:t>starpinstitūciju sadarbību un informācijas apmaiņu TF izmeklēšanas un kriminālvajāšanas jomā.</w:t>
            </w:r>
          </w:p>
        </w:tc>
        <w:tc>
          <w:tcPr>
            <w:tcW w:w="1559" w:type="dxa"/>
          </w:tcPr>
          <w:p w14:paraId="4CBDDC83" w14:textId="77777777" w:rsidR="00775B85" w:rsidRPr="001B1DB1" w:rsidRDefault="00775B85" w:rsidP="00EC4F0C">
            <w:pPr>
              <w:rPr>
                <w:rFonts w:cs="Times New Roman"/>
                <w:sz w:val="20"/>
                <w:szCs w:val="20"/>
              </w:rPr>
            </w:pPr>
          </w:p>
        </w:tc>
        <w:tc>
          <w:tcPr>
            <w:tcW w:w="2551" w:type="dxa"/>
            <w:shd w:val="clear" w:color="auto" w:fill="auto"/>
          </w:tcPr>
          <w:p w14:paraId="2AC16808" w14:textId="77777777" w:rsidR="00775B85" w:rsidRPr="001B1DB1" w:rsidRDefault="00775B85" w:rsidP="00D16025">
            <w:pPr>
              <w:jc w:val="both"/>
              <w:rPr>
                <w:rFonts w:cs="Times New Roman"/>
                <w:sz w:val="20"/>
                <w:szCs w:val="20"/>
              </w:rPr>
            </w:pPr>
            <w:r w:rsidRPr="001B1DB1">
              <w:rPr>
                <w:rFonts w:cs="Times New Roman"/>
                <w:sz w:val="20"/>
                <w:szCs w:val="20"/>
              </w:rPr>
              <w:t>Plašāka izpratne par TF jomu pretterorisma jomā iesaistīto valsts institūciju vidū.</w:t>
            </w:r>
          </w:p>
        </w:tc>
        <w:tc>
          <w:tcPr>
            <w:tcW w:w="2694" w:type="dxa"/>
          </w:tcPr>
          <w:p w14:paraId="58C0B799" w14:textId="0503763D" w:rsidR="00775B85" w:rsidRPr="001B1DB1" w:rsidRDefault="00775B85" w:rsidP="004F2E65">
            <w:pPr>
              <w:jc w:val="both"/>
              <w:rPr>
                <w:rFonts w:cs="Times New Roman"/>
                <w:sz w:val="20"/>
                <w:szCs w:val="20"/>
              </w:rPr>
            </w:pPr>
            <w:r w:rsidRPr="001B1DB1">
              <w:rPr>
                <w:rFonts w:cs="Times New Roman"/>
                <w:sz w:val="20"/>
                <w:szCs w:val="20"/>
              </w:rPr>
              <w:t>Katr</w:t>
            </w:r>
            <w:r w:rsidR="00B7767D">
              <w:rPr>
                <w:rFonts w:cs="Times New Roman"/>
                <w:sz w:val="20"/>
                <w:szCs w:val="20"/>
              </w:rPr>
              <w:t>as</w:t>
            </w:r>
            <w:r w:rsidRPr="001B1DB1">
              <w:rPr>
                <w:rFonts w:cs="Times New Roman"/>
                <w:sz w:val="20"/>
                <w:szCs w:val="20"/>
              </w:rPr>
              <w:t xml:space="preserve"> Pretterorisma centra ekspertu konsultatīvās padomes sanāksmes darba kārtībā iekļaut informatīvu punktu par aktualitātēm TF novēršanas jomā.</w:t>
            </w:r>
          </w:p>
        </w:tc>
        <w:tc>
          <w:tcPr>
            <w:tcW w:w="1134" w:type="dxa"/>
            <w:shd w:val="clear" w:color="auto" w:fill="auto"/>
          </w:tcPr>
          <w:p w14:paraId="7450475D" w14:textId="77777777" w:rsidR="00775B85" w:rsidRPr="001B1DB1" w:rsidRDefault="00FE0CE6" w:rsidP="002B2537">
            <w:pPr>
              <w:jc w:val="center"/>
              <w:rPr>
                <w:rFonts w:cs="Times New Roman"/>
                <w:sz w:val="20"/>
                <w:szCs w:val="20"/>
              </w:rPr>
            </w:pPr>
            <w:r w:rsidRPr="001B1DB1">
              <w:rPr>
                <w:rFonts w:cs="Times New Roman"/>
                <w:sz w:val="20"/>
                <w:szCs w:val="20"/>
              </w:rPr>
              <w:t>VDD</w:t>
            </w:r>
          </w:p>
        </w:tc>
        <w:tc>
          <w:tcPr>
            <w:tcW w:w="1275" w:type="dxa"/>
            <w:shd w:val="clear" w:color="auto" w:fill="auto"/>
          </w:tcPr>
          <w:p w14:paraId="46CEB25F" w14:textId="77777777" w:rsidR="00775B85" w:rsidRPr="001B1DB1" w:rsidRDefault="00775B85" w:rsidP="002B2537">
            <w:pPr>
              <w:jc w:val="center"/>
              <w:rPr>
                <w:rFonts w:cs="Times New Roman"/>
                <w:sz w:val="20"/>
                <w:szCs w:val="20"/>
              </w:rPr>
            </w:pPr>
          </w:p>
        </w:tc>
        <w:tc>
          <w:tcPr>
            <w:tcW w:w="1418" w:type="dxa"/>
            <w:shd w:val="clear" w:color="auto" w:fill="auto"/>
          </w:tcPr>
          <w:p w14:paraId="029DBC75" w14:textId="77777777" w:rsidR="00775B85" w:rsidRPr="001B1DB1" w:rsidRDefault="00775B85" w:rsidP="002B2537">
            <w:pPr>
              <w:jc w:val="center"/>
              <w:rPr>
                <w:rFonts w:cs="Times New Roman"/>
                <w:sz w:val="20"/>
                <w:szCs w:val="20"/>
              </w:rPr>
            </w:pPr>
            <w:r w:rsidRPr="001B1DB1">
              <w:rPr>
                <w:rFonts w:cs="Times New Roman"/>
                <w:sz w:val="20"/>
                <w:szCs w:val="20"/>
              </w:rPr>
              <w:t>Saskaņā ar sanāksmju grafiku (ne retāk kā 2 reizes gadā)</w:t>
            </w:r>
          </w:p>
        </w:tc>
      </w:tr>
      <w:tr w:rsidR="00775B85" w:rsidRPr="001B1DB1" w14:paraId="45BAE8D3" w14:textId="77777777" w:rsidTr="00EC4F0C">
        <w:trPr>
          <w:trHeight w:val="543"/>
        </w:trPr>
        <w:tc>
          <w:tcPr>
            <w:tcW w:w="709" w:type="dxa"/>
            <w:vMerge w:val="restart"/>
          </w:tcPr>
          <w:p w14:paraId="398B833A" w14:textId="70DBAB5E" w:rsidR="00775B85" w:rsidRPr="001B1DB1" w:rsidRDefault="00B845EB" w:rsidP="007745BA">
            <w:pPr>
              <w:jc w:val="center"/>
              <w:rPr>
                <w:rFonts w:cs="Times New Roman"/>
                <w:bCs/>
                <w:sz w:val="20"/>
                <w:szCs w:val="20"/>
              </w:rPr>
            </w:pPr>
            <w:r w:rsidRPr="001B1DB1">
              <w:rPr>
                <w:rFonts w:cs="Times New Roman"/>
                <w:bCs/>
                <w:sz w:val="20"/>
                <w:szCs w:val="20"/>
              </w:rPr>
              <w:t>9.</w:t>
            </w:r>
            <w:r w:rsidR="007745BA">
              <w:rPr>
                <w:rFonts w:cs="Times New Roman"/>
                <w:bCs/>
                <w:sz w:val="20"/>
                <w:szCs w:val="20"/>
              </w:rPr>
              <w:t>2</w:t>
            </w:r>
            <w:r w:rsidRPr="001B1DB1">
              <w:rPr>
                <w:rFonts w:cs="Times New Roman"/>
                <w:bCs/>
                <w:sz w:val="20"/>
                <w:szCs w:val="20"/>
              </w:rPr>
              <w:t>.</w:t>
            </w:r>
          </w:p>
        </w:tc>
        <w:tc>
          <w:tcPr>
            <w:tcW w:w="3686" w:type="dxa"/>
            <w:vMerge w:val="restart"/>
            <w:shd w:val="clear" w:color="auto" w:fill="auto"/>
          </w:tcPr>
          <w:p w14:paraId="383619D1" w14:textId="77777777" w:rsidR="00775B85" w:rsidRPr="001B1DB1" w:rsidRDefault="00775B85" w:rsidP="00FE0CE6">
            <w:pPr>
              <w:jc w:val="both"/>
              <w:rPr>
                <w:rFonts w:cs="Times New Roman"/>
                <w:sz w:val="20"/>
                <w:szCs w:val="20"/>
              </w:rPr>
            </w:pPr>
            <w:r w:rsidRPr="001B1DB1">
              <w:rPr>
                <w:rFonts w:cs="Times New Roman"/>
                <w:sz w:val="20"/>
                <w:szCs w:val="20"/>
              </w:rPr>
              <w:t xml:space="preserve">Veicināt un </w:t>
            </w:r>
            <w:r w:rsidR="00FE0CE6" w:rsidRPr="001B1DB1">
              <w:rPr>
                <w:rFonts w:cs="Times New Roman"/>
                <w:sz w:val="20"/>
                <w:szCs w:val="20"/>
              </w:rPr>
              <w:t xml:space="preserve">pastiprināt </w:t>
            </w:r>
            <w:r w:rsidRPr="001B1DB1">
              <w:rPr>
                <w:rFonts w:cs="Times New Roman"/>
                <w:sz w:val="20"/>
                <w:szCs w:val="20"/>
              </w:rPr>
              <w:t>starptautisko sadarbību TF izmeklēšanas un kriminālvajāšanas jomā.</w:t>
            </w:r>
          </w:p>
        </w:tc>
        <w:tc>
          <w:tcPr>
            <w:tcW w:w="1559" w:type="dxa"/>
            <w:vMerge w:val="restart"/>
          </w:tcPr>
          <w:p w14:paraId="0E894749" w14:textId="77777777" w:rsidR="00775B85" w:rsidRPr="001B1DB1" w:rsidRDefault="00775B85" w:rsidP="00EC4F0C">
            <w:pPr>
              <w:rPr>
                <w:rFonts w:cs="Times New Roman"/>
                <w:sz w:val="20"/>
                <w:szCs w:val="20"/>
              </w:rPr>
            </w:pPr>
          </w:p>
        </w:tc>
        <w:tc>
          <w:tcPr>
            <w:tcW w:w="2551" w:type="dxa"/>
            <w:vMerge w:val="restart"/>
            <w:shd w:val="clear" w:color="auto" w:fill="auto"/>
          </w:tcPr>
          <w:p w14:paraId="438085A0" w14:textId="77777777" w:rsidR="00775B85" w:rsidRPr="001B1DB1" w:rsidRDefault="00775B85" w:rsidP="00D16025">
            <w:pPr>
              <w:jc w:val="both"/>
              <w:rPr>
                <w:rFonts w:cs="Times New Roman"/>
                <w:sz w:val="20"/>
                <w:szCs w:val="20"/>
              </w:rPr>
            </w:pPr>
            <w:r w:rsidRPr="001B1DB1">
              <w:rPr>
                <w:rFonts w:cs="Times New Roman"/>
                <w:sz w:val="20"/>
                <w:szCs w:val="20"/>
              </w:rPr>
              <w:t>Globālām un reģionālām aktualitātēm atbilstoša izpratne par starptautisko praksi un intensīvāka informācijas apmaiņa ar ārvalstu partneriem.</w:t>
            </w:r>
          </w:p>
        </w:tc>
        <w:tc>
          <w:tcPr>
            <w:tcW w:w="2694" w:type="dxa"/>
          </w:tcPr>
          <w:p w14:paraId="34931741" w14:textId="77777777" w:rsidR="00775B85" w:rsidRPr="001B1DB1" w:rsidRDefault="00DA5BD8" w:rsidP="00EC4F0C">
            <w:pPr>
              <w:jc w:val="both"/>
              <w:rPr>
                <w:rFonts w:cs="Times New Roman"/>
                <w:sz w:val="20"/>
                <w:szCs w:val="20"/>
              </w:rPr>
            </w:pPr>
            <w:r w:rsidRPr="001B1DB1">
              <w:rPr>
                <w:rFonts w:cs="Times New Roman"/>
                <w:sz w:val="20"/>
                <w:szCs w:val="20"/>
              </w:rPr>
              <w:t xml:space="preserve">1. </w:t>
            </w:r>
            <w:r w:rsidR="00775B85" w:rsidRPr="001B1DB1">
              <w:rPr>
                <w:rFonts w:cs="Times New Roman"/>
                <w:sz w:val="20"/>
                <w:szCs w:val="20"/>
              </w:rPr>
              <w:t>Dalība kopīgajās starpvalstu izmeklēšanas grupās (</w:t>
            </w:r>
            <w:r w:rsidR="00775B85" w:rsidRPr="001B1DB1">
              <w:rPr>
                <w:rFonts w:cs="Times New Roman"/>
                <w:i/>
                <w:sz w:val="20"/>
                <w:szCs w:val="20"/>
              </w:rPr>
              <w:t>Joint Investigation Teams</w:t>
            </w:r>
            <w:r w:rsidR="00775B85" w:rsidRPr="001B1DB1">
              <w:rPr>
                <w:rFonts w:cs="Times New Roman"/>
                <w:sz w:val="20"/>
                <w:szCs w:val="20"/>
              </w:rPr>
              <w:t>).</w:t>
            </w:r>
          </w:p>
        </w:tc>
        <w:tc>
          <w:tcPr>
            <w:tcW w:w="1134" w:type="dxa"/>
            <w:shd w:val="clear" w:color="auto" w:fill="auto"/>
          </w:tcPr>
          <w:p w14:paraId="09EFE113" w14:textId="77777777" w:rsidR="00775B85" w:rsidRPr="001B1DB1" w:rsidRDefault="00775B85" w:rsidP="002B2537">
            <w:pPr>
              <w:jc w:val="center"/>
              <w:rPr>
                <w:rFonts w:cs="Times New Roman"/>
                <w:sz w:val="20"/>
                <w:szCs w:val="20"/>
              </w:rPr>
            </w:pPr>
            <w:r w:rsidRPr="001B1DB1">
              <w:rPr>
                <w:rFonts w:cs="Times New Roman"/>
                <w:sz w:val="20"/>
                <w:szCs w:val="20"/>
              </w:rPr>
              <w:t>VDD</w:t>
            </w:r>
          </w:p>
        </w:tc>
        <w:tc>
          <w:tcPr>
            <w:tcW w:w="1275" w:type="dxa"/>
            <w:shd w:val="clear" w:color="auto" w:fill="auto"/>
          </w:tcPr>
          <w:p w14:paraId="529A3BD1" w14:textId="77777777" w:rsidR="00775B85" w:rsidRPr="001B1DB1" w:rsidRDefault="00775B85" w:rsidP="002B2537">
            <w:pPr>
              <w:jc w:val="center"/>
              <w:rPr>
                <w:rFonts w:cs="Times New Roman"/>
                <w:sz w:val="20"/>
                <w:szCs w:val="20"/>
              </w:rPr>
            </w:pPr>
          </w:p>
        </w:tc>
        <w:tc>
          <w:tcPr>
            <w:tcW w:w="1418" w:type="dxa"/>
            <w:shd w:val="clear" w:color="auto" w:fill="auto"/>
          </w:tcPr>
          <w:p w14:paraId="01F59752" w14:textId="77777777" w:rsidR="00775B85" w:rsidRPr="001B1DB1" w:rsidRDefault="00775B85" w:rsidP="002B2537">
            <w:pPr>
              <w:jc w:val="center"/>
              <w:rPr>
                <w:rFonts w:cs="Times New Roman"/>
                <w:sz w:val="20"/>
                <w:szCs w:val="20"/>
              </w:rPr>
            </w:pPr>
            <w:r w:rsidRPr="001B1DB1">
              <w:rPr>
                <w:rFonts w:cs="Times New Roman"/>
                <w:sz w:val="20"/>
                <w:szCs w:val="20"/>
              </w:rPr>
              <w:t>Pēc uzaicinājuma</w:t>
            </w:r>
          </w:p>
        </w:tc>
      </w:tr>
      <w:tr w:rsidR="00481B0F" w:rsidRPr="001B1DB1" w14:paraId="27651FEA" w14:textId="77777777" w:rsidTr="00EC4F0C">
        <w:trPr>
          <w:trHeight w:val="543"/>
        </w:trPr>
        <w:tc>
          <w:tcPr>
            <w:tcW w:w="709" w:type="dxa"/>
            <w:vMerge/>
          </w:tcPr>
          <w:p w14:paraId="69B0DC07" w14:textId="77777777" w:rsidR="00481B0F" w:rsidRPr="001B1DB1" w:rsidRDefault="00481B0F" w:rsidP="00481B0F">
            <w:pPr>
              <w:jc w:val="center"/>
              <w:rPr>
                <w:rFonts w:cs="Times New Roman"/>
                <w:bCs/>
                <w:sz w:val="20"/>
                <w:szCs w:val="20"/>
              </w:rPr>
            </w:pPr>
          </w:p>
        </w:tc>
        <w:tc>
          <w:tcPr>
            <w:tcW w:w="3686" w:type="dxa"/>
            <w:vMerge/>
            <w:shd w:val="clear" w:color="auto" w:fill="auto"/>
          </w:tcPr>
          <w:p w14:paraId="40F5E185" w14:textId="77777777" w:rsidR="00481B0F" w:rsidRPr="001B1DB1" w:rsidRDefault="00481B0F" w:rsidP="00481B0F">
            <w:pPr>
              <w:jc w:val="both"/>
              <w:rPr>
                <w:sz w:val="20"/>
                <w:szCs w:val="20"/>
              </w:rPr>
            </w:pPr>
          </w:p>
        </w:tc>
        <w:tc>
          <w:tcPr>
            <w:tcW w:w="1559" w:type="dxa"/>
            <w:vMerge/>
          </w:tcPr>
          <w:p w14:paraId="33D97127" w14:textId="77777777" w:rsidR="00481B0F" w:rsidRPr="001B1DB1" w:rsidRDefault="00481B0F" w:rsidP="00481B0F">
            <w:pPr>
              <w:rPr>
                <w:rFonts w:cs="Times New Roman"/>
                <w:sz w:val="20"/>
                <w:szCs w:val="20"/>
              </w:rPr>
            </w:pPr>
          </w:p>
        </w:tc>
        <w:tc>
          <w:tcPr>
            <w:tcW w:w="2551" w:type="dxa"/>
            <w:vMerge/>
            <w:shd w:val="clear" w:color="auto" w:fill="auto"/>
          </w:tcPr>
          <w:p w14:paraId="37D6A3BC" w14:textId="77777777" w:rsidR="00481B0F" w:rsidRPr="001B1DB1" w:rsidRDefault="00481B0F" w:rsidP="00481B0F">
            <w:pPr>
              <w:rPr>
                <w:rFonts w:cs="Times New Roman"/>
                <w:sz w:val="20"/>
                <w:szCs w:val="20"/>
              </w:rPr>
            </w:pPr>
          </w:p>
        </w:tc>
        <w:tc>
          <w:tcPr>
            <w:tcW w:w="2694" w:type="dxa"/>
          </w:tcPr>
          <w:p w14:paraId="40543079" w14:textId="20F6AA72" w:rsidR="00481B0F" w:rsidRPr="00D26F00" w:rsidRDefault="00481B0F" w:rsidP="00481B0F">
            <w:pPr>
              <w:jc w:val="both"/>
              <w:rPr>
                <w:rFonts w:cs="Times New Roman"/>
                <w:sz w:val="20"/>
                <w:szCs w:val="20"/>
              </w:rPr>
            </w:pPr>
            <w:r w:rsidRPr="00D26F00">
              <w:rPr>
                <w:rFonts w:cs="Times New Roman"/>
                <w:sz w:val="20"/>
                <w:szCs w:val="20"/>
              </w:rPr>
              <w:t>2. Dalība starptautiska līmeņa darba grupās un semināros par TF izmeklēšanu un kriminālvajāšanu.</w:t>
            </w:r>
          </w:p>
        </w:tc>
        <w:tc>
          <w:tcPr>
            <w:tcW w:w="1134" w:type="dxa"/>
            <w:shd w:val="clear" w:color="auto" w:fill="auto"/>
          </w:tcPr>
          <w:p w14:paraId="78D46F3D" w14:textId="31F596CE" w:rsidR="00481B0F" w:rsidRPr="00D26F00" w:rsidRDefault="00481B0F" w:rsidP="002B2537">
            <w:pPr>
              <w:jc w:val="center"/>
              <w:rPr>
                <w:rFonts w:cs="Times New Roman"/>
                <w:sz w:val="20"/>
                <w:szCs w:val="20"/>
              </w:rPr>
            </w:pPr>
            <w:r w:rsidRPr="00D26F00">
              <w:rPr>
                <w:rFonts w:cs="Times New Roman"/>
                <w:sz w:val="20"/>
                <w:szCs w:val="20"/>
              </w:rPr>
              <w:t>VDD</w:t>
            </w:r>
          </w:p>
        </w:tc>
        <w:tc>
          <w:tcPr>
            <w:tcW w:w="1275" w:type="dxa"/>
            <w:shd w:val="clear" w:color="auto" w:fill="auto"/>
          </w:tcPr>
          <w:p w14:paraId="08BC7CD6" w14:textId="35A729F0" w:rsidR="00481B0F" w:rsidRPr="00D26F00" w:rsidRDefault="00481B0F" w:rsidP="002B2537">
            <w:pPr>
              <w:jc w:val="center"/>
              <w:rPr>
                <w:rFonts w:cs="Times New Roman"/>
                <w:sz w:val="20"/>
                <w:szCs w:val="20"/>
              </w:rPr>
            </w:pPr>
            <w:r w:rsidRPr="00D26F00">
              <w:rPr>
                <w:rFonts w:cs="Times New Roman"/>
                <w:sz w:val="20"/>
                <w:szCs w:val="20"/>
              </w:rPr>
              <w:t>FID</w:t>
            </w:r>
          </w:p>
        </w:tc>
        <w:tc>
          <w:tcPr>
            <w:tcW w:w="1418" w:type="dxa"/>
            <w:shd w:val="clear" w:color="auto" w:fill="auto"/>
          </w:tcPr>
          <w:p w14:paraId="420DD304" w14:textId="6900B281" w:rsidR="00481B0F" w:rsidRPr="00D26F00" w:rsidRDefault="00481B0F" w:rsidP="002B2537">
            <w:pPr>
              <w:jc w:val="center"/>
              <w:rPr>
                <w:rFonts w:cs="Times New Roman"/>
                <w:sz w:val="20"/>
                <w:szCs w:val="20"/>
              </w:rPr>
            </w:pPr>
            <w:r w:rsidRPr="00D26F00">
              <w:rPr>
                <w:rFonts w:cs="Times New Roman"/>
                <w:sz w:val="20"/>
                <w:szCs w:val="20"/>
              </w:rPr>
              <w:t>Pēc uzaicinājuma</w:t>
            </w:r>
          </w:p>
        </w:tc>
      </w:tr>
      <w:tr w:rsidR="00481B0F" w:rsidRPr="001B1DB1" w14:paraId="5FF72AB5" w14:textId="77777777" w:rsidTr="00EC4F0C">
        <w:trPr>
          <w:trHeight w:val="543"/>
        </w:trPr>
        <w:tc>
          <w:tcPr>
            <w:tcW w:w="709" w:type="dxa"/>
          </w:tcPr>
          <w:p w14:paraId="1154C6C3" w14:textId="5BE0A25A" w:rsidR="00481B0F" w:rsidRPr="001B1DB1" w:rsidRDefault="00481B0F" w:rsidP="007745BA">
            <w:pPr>
              <w:jc w:val="center"/>
              <w:rPr>
                <w:rFonts w:cs="Times New Roman"/>
                <w:bCs/>
                <w:sz w:val="20"/>
                <w:szCs w:val="20"/>
              </w:rPr>
            </w:pPr>
            <w:r w:rsidRPr="001B1DB1">
              <w:rPr>
                <w:rFonts w:cs="Times New Roman"/>
                <w:bCs/>
                <w:sz w:val="20"/>
                <w:szCs w:val="20"/>
              </w:rPr>
              <w:t>9.</w:t>
            </w:r>
            <w:r w:rsidR="007745BA">
              <w:rPr>
                <w:rFonts w:cs="Times New Roman"/>
                <w:bCs/>
                <w:sz w:val="20"/>
                <w:szCs w:val="20"/>
              </w:rPr>
              <w:t>3</w:t>
            </w:r>
            <w:r w:rsidRPr="001B1DB1">
              <w:rPr>
                <w:rFonts w:cs="Times New Roman"/>
                <w:bCs/>
                <w:sz w:val="20"/>
                <w:szCs w:val="20"/>
              </w:rPr>
              <w:t>.</w:t>
            </w:r>
          </w:p>
        </w:tc>
        <w:tc>
          <w:tcPr>
            <w:tcW w:w="3686" w:type="dxa"/>
            <w:shd w:val="clear" w:color="auto" w:fill="auto"/>
          </w:tcPr>
          <w:p w14:paraId="7C59D55E" w14:textId="77777777" w:rsidR="00481B0F" w:rsidRPr="001B1DB1" w:rsidRDefault="00481B0F" w:rsidP="00481B0F">
            <w:pPr>
              <w:jc w:val="both"/>
              <w:rPr>
                <w:rFonts w:cs="Times New Roman"/>
                <w:sz w:val="20"/>
                <w:szCs w:val="20"/>
              </w:rPr>
            </w:pPr>
            <w:r w:rsidRPr="001B1DB1">
              <w:rPr>
                <w:rFonts w:cs="Times New Roman"/>
                <w:sz w:val="20"/>
                <w:szCs w:val="20"/>
              </w:rPr>
              <w:t>Paaugstināt izmeklēšanas iestāžu darbinieku kvalifikāciju ar TF saistītu noziegumu izmeklēšanā.</w:t>
            </w:r>
          </w:p>
        </w:tc>
        <w:tc>
          <w:tcPr>
            <w:tcW w:w="1559" w:type="dxa"/>
          </w:tcPr>
          <w:p w14:paraId="1D5B6FA3" w14:textId="77777777" w:rsidR="00481B0F" w:rsidRPr="001B1DB1" w:rsidRDefault="00481B0F" w:rsidP="00481B0F">
            <w:pPr>
              <w:rPr>
                <w:rFonts w:cs="Times New Roman"/>
                <w:sz w:val="20"/>
                <w:szCs w:val="20"/>
              </w:rPr>
            </w:pPr>
          </w:p>
        </w:tc>
        <w:tc>
          <w:tcPr>
            <w:tcW w:w="2551" w:type="dxa"/>
            <w:shd w:val="clear" w:color="auto" w:fill="auto"/>
          </w:tcPr>
          <w:p w14:paraId="57D676B0" w14:textId="53657878" w:rsidR="00481B0F" w:rsidRPr="001B1DB1" w:rsidRDefault="00481B0F" w:rsidP="00D16025">
            <w:pPr>
              <w:jc w:val="both"/>
              <w:rPr>
                <w:rFonts w:cs="Times New Roman"/>
                <w:sz w:val="20"/>
                <w:szCs w:val="20"/>
              </w:rPr>
            </w:pPr>
            <w:r w:rsidRPr="001B1DB1">
              <w:rPr>
                <w:rFonts w:cs="Times New Roman"/>
                <w:sz w:val="20"/>
                <w:szCs w:val="20"/>
              </w:rPr>
              <w:t>Izmeklēšanas iestāžu darbiniek</w:t>
            </w:r>
            <w:r w:rsidR="007571AA">
              <w:rPr>
                <w:rFonts w:cs="Times New Roman"/>
                <w:sz w:val="20"/>
                <w:szCs w:val="20"/>
              </w:rPr>
              <w:t>i</w:t>
            </w:r>
            <w:r w:rsidRPr="001B1DB1">
              <w:rPr>
                <w:rFonts w:cs="Times New Roman"/>
                <w:sz w:val="20"/>
                <w:szCs w:val="20"/>
              </w:rPr>
              <w:t xml:space="preserve"> apmācī</w:t>
            </w:r>
            <w:r w:rsidR="007571AA">
              <w:rPr>
                <w:rFonts w:cs="Times New Roman"/>
                <w:sz w:val="20"/>
                <w:szCs w:val="20"/>
              </w:rPr>
              <w:t>ti</w:t>
            </w:r>
            <w:r w:rsidRPr="001B1DB1">
              <w:rPr>
                <w:rFonts w:cs="Times New Roman"/>
                <w:sz w:val="20"/>
                <w:szCs w:val="20"/>
              </w:rPr>
              <w:t xml:space="preserve"> sadarbībā ar ārvalstu partneru dienestiem, starptautiska līmeņa semināros un citās apmācībās. Pastāvīg</w:t>
            </w:r>
            <w:r w:rsidR="007571AA">
              <w:rPr>
                <w:rFonts w:cs="Times New Roman"/>
                <w:sz w:val="20"/>
                <w:szCs w:val="20"/>
              </w:rPr>
              <w:t>i paaugstināta</w:t>
            </w:r>
            <w:r w:rsidRPr="001B1DB1">
              <w:rPr>
                <w:rFonts w:cs="Times New Roman"/>
                <w:sz w:val="20"/>
                <w:szCs w:val="20"/>
              </w:rPr>
              <w:t xml:space="preserve"> kvalifikācija un kompeten</w:t>
            </w:r>
            <w:r w:rsidR="007571AA">
              <w:rPr>
                <w:rFonts w:cs="Times New Roman"/>
                <w:sz w:val="20"/>
                <w:szCs w:val="20"/>
              </w:rPr>
              <w:t>ce</w:t>
            </w:r>
            <w:r w:rsidRPr="001B1DB1">
              <w:rPr>
                <w:rFonts w:cs="Times New Roman"/>
                <w:sz w:val="20"/>
                <w:szCs w:val="20"/>
              </w:rPr>
              <w:t>.</w:t>
            </w:r>
          </w:p>
        </w:tc>
        <w:tc>
          <w:tcPr>
            <w:tcW w:w="2694" w:type="dxa"/>
          </w:tcPr>
          <w:p w14:paraId="21AE9B7A" w14:textId="77777777" w:rsidR="00481B0F" w:rsidRPr="001B1DB1" w:rsidRDefault="00481B0F" w:rsidP="00481B0F">
            <w:pPr>
              <w:jc w:val="both"/>
              <w:rPr>
                <w:rFonts w:cs="Times New Roman"/>
                <w:sz w:val="20"/>
                <w:szCs w:val="20"/>
              </w:rPr>
            </w:pPr>
            <w:r w:rsidRPr="001B1DB1">
              <w:rPr>
                <w:rFonts w:cs="Times New Roman"/>
                <w:sz w:val="20"/>
                <w:szCs w:val="20"/>
              </w:rPr>
              <w:t>Katrā izmeklēšanas iestādē ir vairāki izmeklētāji, kuri specializējušies un paaugstinājuši kvalifikāciju ar TF saistītu noziegumu izmeklēšanā.</w:t>
            </w:r>
          </w:p>
        </w:tc>
        <w:tc>
          <w:tcPr>
            <w:tcW w:w="1134" w:type="dxa"/>
            <w:shd w:val="clear" w:color="auto" w:fill="auto"/>
          </w:tcPr>
          <w:p w14:paraId="428F4E2B" w14:textId="3DFC8990" w:rsidR="00481B0F" w:rsidRPr="001B1DB1" w:rsidRDefault="00481B0F" w:rsidP="002B2537">
            <w:pPr>
              <w:jc w:val="center"/>
              <w:rPr>
                <w:rFonts w:cs="Times New Roman"/>
                <w:sz w:val="20"/>
                <w:szCs w:val="20"/>
              </w:rPr>
            </w:pPr>
            <w:r w:rsidRPr="001B1DB1">
              <w:rPr>
                <w:rFonts w:cs="Times New Roman"/>
                <w:sz w:val="20"/>
                <w:szCs w:val="20"/>
              </w:rPr>
              <w:t>VDD</w:t>
            </w:r>
          </w:p>
        </w:tc>
        <w:tc>
          <w:tcPr>
            <w:tcW w:w="1275" w:type="dxa"/>
            <w:shd w:val="clear" w:color="auto" w:fill="auto"/>
          </w:tcPr>
          <w:p w14:paraId="0EB69FF7" w14:textId="75A507D2" w:rsidR="00481B0F" w:rsidRPr="001B1DB1" w:rsidRDefault="00481B0F" w:rsidP="002B2537">
            <w:pPr>
              <w:jc w:val="center"/>
              <w:rPr>
                <w:rFonts w:cs="Times New Roman"/>
                <w:sz w:val="20"/>
                <w:szCs w:val="20"/>
              </w:rPr>
            </w:pPr>
          </w:p>
        </w:tc>
        <w:tc>
          <w:tcPr>
            <w:tcW w:w="1418" w:type="dxa"/>
            <w:shd w:val="clear" w:color="auto" w:fill="auto"/>
          </w:tcPr>
          <w:p w14:paraId="0F238021" w14:textId="77777777" w:rsidR="00481B0F" w:rsidRPr="001B1DB1" w:rsidRDefault="00481B0F" w:rsidP="002B2537">
            <w:pPr>
              <w:jc w:val="center"/>
              <w:rPr>
                <w:rFonts w:cs="Times New Roman"/>
                <w:sz w:val="20"/>
                <w:szCs w:val="20"/>
              </w:rPr>
            </w:pPr>
            <w:r w:rsidRPr="001B1DB1">
              <w:rPr>
                <w:rFonts w:cs="Times New Roman"/>
                <w:sz w:val="20"/>
                <w:szCs w:val="20"/>
              </w:rPr>
              <w:t>Pastāvīgi</w:t>
            </w:r>
          </w:p>
        </w:tc>
      </w:tr>
    </w:tbl>
    <w:p w14:paraId="282E4EDA" w14:textId="77777777" w:rsidR="00775B85" w:rsidRPr="001B1DB1" w:rsidRDefault="00775B85" w:rsidP="00775B85">
      <w:pPr>
        <w:pStyle w:val="Heading2"/>
        <w:ind w:left="720"/>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 </w:t>
      </w:r>
    </w:p>
    <w:p w14:paraId="1393C6A8" w14:textId="77777777" w:rsidR="00775B85" w:rsidRPr="001B1DB1" w:rsidRDefault="00775B85" w:rsidP="00172808">
      <w:pPr>
        <w:pStyle w:val="Heading2"/>
        <w:numPr>
          <w:ilvl w:val="0"/>
          <w:numId w:val="1"/>
        </w:numPr>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 rīcības virziens – terorisma finansēšanas preventīvie pasākumi un finanšu sankcijas</w:t>
      </w:r>
    </w:p>
    <w:p w14:paraId="2738DD1F" w14:textId="77777777" w:rsidR="00775B85" w:rsidRPr="001B1DB1" w:rsidRDefault="00775B85" w:rsidP="00775B85">
      <w:pPr>
        <w:pStyle w:val="Heading2"/>
        <w:rPr>
          <w:rFonts w:ascii="Times New Roman" w:hAnsi="Times New Roman" w:cs="Times New Roman"/>
          <w:b/>
          <w:color w:val="auto"/>
          <w:sz w:val="28"/>
          <w:szCs w:val="28"/>
        </w:rPr>
      </w:pPr>
    </w:p>
    <w:p w14:paraId="4B87A9AE" w14:textId="4D1F51A4" w:rsidR="00775B85" w:rsidRPr="00D226BE" w:rsidRDefault="00775B85" w:rsidP="00775B85">
      <w:pPr>
        <w:jc w:val="both"/>
        <w:rPr>
          <w:szCs w:val="24"/>
        </w:rPr>
      </w:pPr>
      <w:r w:rsidRPr="001B1DB1">
        <w:rPr>
          <w:szCs w:val="24"/>
        </w:rPr>
        <w:t xml:space="preserve">Par rīcības virzienu atbildīgā </w:t>
      </w:r>
      <w:r w:rsidR="000853A3" w:rsidRPr="000853A3">
        <w:rPr>
          <w:szCs w:val="24"/>
        </w:rPr>
        <w:t>institūcija</w:t>
      </w:r>
      <w:r w:rsidRPr="001B1DB1">
        <w:rPr>
          <w:szCs w:val="24"/>
        </w:rPr>
        <w:t>: IeM</w:t>
      </w:r>
    </w:p>
    <w:p w14:paraId="2E8553A0" w14:textId="4BCAAA7D" w:rsidR="00775B85" w:rsidRPr="00D226BE" w:rsidRDefault="00775B85" w:rsidP="00775B85">
      <w:pPr>
        <w:jc w:val="both"/>
        <w:rPr>
          <w:szCs w:val="24"/>
        </w:rPr>
      </w:pPr>
      <w:r w:rsidRPr="00D226BE">
        <w:rPr>
          <w:szCs w:val="24"/>
        </w:rPr>
        <w:t xml:space="preserve">Līdzatbildīgās </w:t>
      </w:r>
      <w:r w:rsidR="00D00DDA">
        <w:rPr>
          <w:szCs w:val="24"/>
        </w:rPr>
        <w:t>institūcijas</w:t>
      </w:r>
      <w:r w:rsidRPr="00D226BE">
        <w:rPr>
          <w:szCs w:val="24"/>
        </w:rPr>
        <w:t xml:space="preserve">: </w:t>
      </w:r>
      <w:r w:rsidR="001D16B7">
        <w:rPr>
          <w:szCs w:val="24"/>
        </w:rPr>
        <w:t xml:space="preserve">ĀM, </w:t>
      </w:r>
      <w:r w:rsidRPr="00D226BE">
        <w:rPr>
          <w:szCs w:val="24"/>
        </w:rPr>
        <w:t>FID,</w:t>
      </w:r>
      <w:r w:rsidR="00D226BE" w:rsidRPr="00D226BE">
        <w:rPr>
          <w:szCs w:val="24"/>
        </w:rPr>
        <w:t xml:space="preserve"> FKTK, </w:t>
      </w:r>
      <w:r w:rsidR="00D06823" w:rsidRPr="00D06823">
        <w:rPr>
          <w:szCs w:val="24"/>
        </w:rPr>
        <w:t>IAUI</w:t>
      </w:r>
      <w:r w:rsidR="00D06823">
        <w:rPr>
          <w:szCs w:val="24"/>
        </w:rPr>
        <w:t>,</w:t>
      </w:r>
      <w:r w:rsidR="00D06823" w:rsidRPr="00D226BE">
        <w:rPr>
          <w:szCs w:val="24"/>
        </w:rPr>
        <w:t xml:space="preserve"> </w:t>
      </w:r>
      <w:r w:rsidR="00D226BE" w:rsidRPr="00D226BE">
        <w:rPr>
          <w:szCs w:val="24"/>
        </w:rPr>
        <w:t xml:space="preserve">KM, </w:t>
      </w:r>
      <w:r w:rsidR="00D82CC0" w:rsidRPr="00D82CC0">
        <w:rPr>
          <w:szCs w:val="24"/>
        </w:rPr>
        <w:t>Komunikācijas darba grupa</w:t>
      </w:r>
      <w:r w:rsidR="00D82CC0">
        <w:rPr>
          <w:szCs w:val="24"/>
        </w:rPr>
        <w:t xml:space="preserve">, </w:t>
      </w:r>
      <w:r w:rsidR="00D06823" w:rsidRPr="00D06823">
        <w:rPr>
          <w:szCs w:val="24"/>
        </w:rPr>
        <w:t>LB,</w:t>
      </w:r>
      <w:r w:rsidR="00D22360">
        <w:rPr>
          <w:szCs w:val="24"/>
        </w:rPr>
        <w:t xml:space="preserve"> LSMPAA,</w:t>
      </w:r>
      <w:r w:rsidR="00D06823" w:rsidRPr="00D06823">
        <w:rPr>
          <w:szCs w:val="24"/>
        </w:rPr>
        <w:t xml:space="preserve"> LZAP, LZNP, LZRA</w:t>
      </w:r>
      <w:r w:rsidR="00D06823">
        <w:rPr>
          <w:szCs w:val="24"/>
        </w:rPr>
        <w:t>,</w:t>
      </w:r>
      <w:r w:rsidR="00D06823" w:rsidRPr="00D06823">
        <w:rPr>
          <w:szCs w:val="24"/>
        </w:rPr>
        <w:t xml:space="preserve"> </w:t>
      </w:r>
      <w:r w:rsidR="009E6D33">
        <w:rPr>
          <w:szCs w:val="24"/>
        </w:rPr>
        <w:t xml:space="preserve">MKD, </w:t>
      </w:r>
      <w:r w:rsidR="00D226BE" w:rsidRPr="00D226BE">
        <w:rPr>
          <w:szCs w:val="24"/>
        </w:rPr>
        <w:t xml:space="preserve">NKMP, </w:t>
      </w:r>
      <w:r w:rsidR="00D06823" w:rsidRPr="00D06823">
        <w:rPr>
          <w:szCs w:val="24"/>
        </w:rPr>
        <w:t>PTAC</w:t>
      </w:r>
      <w:r w:rsidR="00D06823">
        <w:rPr>
          <w:szCs w:val="24"/>
        </w:rPr>
        <w:t>,</w:t>
      </w:r>
      <w:r w:rsidR="00D06823" w:rsidRPr="00D06823">
        <w:rPr>
          <w:szCs w:val="24"/>
        </w:rPr>
        <w:t xml:space="preserve"> </w:t>
      </w:r>
      <w:r w:rsidRPr="00D226BE">
        <w:rPr>
          <w:szCs w:val="24"/>
        </w:rPr>
        <w:t>VDD</w:t>
      </w:r>
      <w:r w:rsidR="00D226BE" w:rsidRPr="00D226BE">
        <w:rPr>
          <w:szCs w:val="24"/>
        </w:rPr>
        <w:t>, VID</w:t>
      </w:r>
    </w:p>
    <w:p w14:paraId="4BE5EBAE" w14:textId="77777777" w:rsidR="00775B85" w:rsidRPr="001B1DB1" w:rsidRDefault="00775B85" w:rsidP="00775B85">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559"/>
        <w:gridCol w:w="2551"/>
        <w:gridCol w:w="2694"/>
        <w:gridCol w:w="1134"/>
        <w:gridCol w:w="1275"/>
        <w:gridCol w:w="1418"/>
      </w:tblGrid>
      <w:tr w:rsidR="00775B85" w:rsidRPr="001B1DB1" w14:paraId="4A81310F" w14:textId="77777777" w:rsidTr="00EC4F0C">
        <w:tc>
          <w:tcPr>
            <w:tcW w:w="4395" w:type="dxa"/>
            <w:gridSpan w:val="2"/>
          </w:tcPr>
          <w:p w14:paraId="4E8F41C9" w14:textId="77777777" w:rsidR="00775B85" w:rsidRPr="001B1DB1" w:rsidRDefault="00775B85" w:rsidP="00EC4F0C">
            <w:pPr>
              <w:rPr>
                <w:rFonts w:cs="Times New Roman"/>
                <w:b/>
                <w:bCs/>
                <w:sz w:val="20"/>
                <w:szCs w:val="20"/>
              </w:rPr>
            </w:pPr>
            <w:r w:rsidRPr="001B1DB1">
              <w:rPr>
                <w:rFonts w:cs="Times New Roman"/>
                <w:b/>
                <w:bCs/>
                <w:sz w:val="20"/>
                <w:szCs w:val="20"/>
              </w:rPr>
              <w:t>Rīcības virziens</w:t>
            </w:r>
          </w:p>
        </w:tc>
        <w:tc>
          <w:tcPr>
            <w:tcW w:w="10631" w:type="dxa"/>
            <w:gridSpan w:val="6"/>
          </w:tcPr>
          <w:p w14:paraId="68DB921C" w14:textId="77777777" w:rsidR="00775B85" w:rsidRPr="001B1DB1" w:rsidRDefault="00775B85" w:rsidP="00EC4F0C">
            <w:pPr>
              <w:jc w:val="both"/>
              <w:rPr>
                <w:rFonts w:cs="Times New Roman"/>
                <w:b/>
                <w:bCs/>
                <w:sz w:val="20"/>
                <w:szCs w:val="20"/>
              </w:rPr>
            </w:pPr>
            <w:r w:rsidRPr="001B1DB1">
              <w:rPr>
                <w:rFonts w:cs="Times New Roman"/>
                <w:b/>
                <w:bCs/>
                <w:sz w:val="20"/>
                <w:szCs w:val="20"/>
              </w:rPr>
              <w:t>TERORISMA FINANSĒŠANAS PREVENTĪVIE PASĀKUMI UN FINANŠU SANKCIJAS</w:t>
            </w:r>
          </w:p>
        </w:tc>
      </w:tr>
      <w:tr w:rsidR="007D49B9" w:rsidRPr="001B1DB1" w14:paraId="12FB1ADC" w14:textId="77777777" w:rsidTr="00EC4F0C">
        <w:tc>
          <w:tcPr>
            <w:tcW w:w="4395" w:type="dxa"/>
            <w:gridSpan w:val="2"/>
          </w:tcPr>
          <w:p w14:paraId="5943F413" w14:textId="63549A8B"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1" w:type="dxa"/>
            <w:gridSpan w:val="6"/>
          </w:tcPr>
          <w:p w14:paraId="1EF75EC3" w14:textId="77777777" w:rsidR="007D49B9" w:rsidRPr="001B1DB1" w:rsidRDefault="007D49B9">
            <w:pPr>
              <w:jc w:val="both"/>
              <w:rPr>
                <w:rFonts w:cs="Times New Roman"/>
                <w:b/>
                <w:bCs/>
                <w:sz w:val="20"/>
                <w:szCs w:val="20"/>
              </w:rPr>
            </w:pPr>
            <w:r w:rsidRPr="001B1DB1">
              <w:rPr>
                <w:rFonts w:cs="Times New Roman"/>
                <w:b/>
                <w:bCs/>
                <w:sz w:val="20"/>
                <w:szCs w:val="20"/>
              </w:rPr>
              <w:t>Teroristiem, teroristu organizācijām un terorisma finansētājiem ir novērsta iespēja piesaistīt, pārvietot un izmantot līdzekļus un ļaunprātīgi izmantot bezpeļņas organizāciju sektoru.</w:t>
            </w:r>
          </w:p>
        </w:tc>
      </w:tr>
      <w:tr w:rsidR="00775B85" w:rsidRPr="001B1DB1" w14:paraId="2A22B3F1" w14:textId="77777777" w:rsidTr="001B2BEE">
        <w:trPr>
          <w:trHeight w:val="543"/>
        </w:trPr>
        <w:tc>
          <w:tcPr>
            <w:tcW w:w="851" w:type="dxa"/>
          </w:tcPr>
          <w:p w14:paraId="4642305B" w14:textId="77777777" w:rsidR="00775B85" w:rsidRPr="001B1DB1" w:rsidRDefault="00775B85" w:rsidP="00EC4F0C">
            <w:pPr>
              <w:jc w:val="center"/>
              <w:rPr>
                <w:rFonts w:cs="Times New Roman"/>
                <w:bCs/>
                <w:sz w:val="20"/>
                <w:szCs w:val="20"/>
              </w:rPr>
            </w:pPr>
            <w:r w:rsidRPr="001B1DB1">
              <w:rPr>
                <w:rFonts w:cs="Times New Roman"/>
                <w:bCs/>
                <w:sz w:val="20"/>
                <w:szCs w:val="20"/>
              </w:rPr>
              <w:t>Nr. P.k.</w:t>
            </w:r>
          </w:p>
        </w:tc>
        <w:tc>
          <w:tcPr>
            <w:tcW w:w="3544" w:type="dxa"/>
            <w:shd w:val="clear" w:color="auto" w:fill="auto"/>
          </w:tcPr>
          <w:p w14:paraId="7445E301" w14:textId="77777777" w:rsidR="00775B85" w:rsidRPr="001B1DB1" w:rsidRDefault="00775B85" w:rsidP="00EC4F0C">
            <w:pPr>
              <w:jc w:val="center"/>
              <w:rPr>
                <w:rFonts w:cs="Times New Roman"/>
                <w:bCs/>
                <w:i/>
                <w:sz w:val="20"/>
                <w:szCs w:val="20"/>
              </w:rPr>
            </w:pPr>
            <w:r w:rsidRPr="001B1DB1">
              <w:rPr>
                <w:rFonts w:cs="Times New Roman"/>
                <w:b/>
                <w:bCs/>
                <w:sz w:val="20"/>
                <w:szCs w:val="20"/>
              </w:rPr>
              <w:t>Pasākums</w:t>
            </w:r>
          </w:p>
        </w:tc>
        <w:tc>
          <w:tcPr>
            <w:tcW w:w="1559" w:type="dxa"/>
          </w:tcPr>
          <w:p w14:paraId="3822964C" w14:textId="77777777" w:rsidR="00775B85" w:rsidRPr="001B1DB1" w:rsidRDefault="00775B85" w:rsidP="00EC4F0C">
            <w:pPr>
              <w:jc w:val="center"/>
              <w:rPr>
                <w:rFonts w:cs="Times New Roman"/>
                <w:b/>
                <w:sz w:val="20"/>
                <w:szCs w:val="20"/>
              </w:rPr>
            </w:pPr>
            <w:r w:rsidRPr="001B1DB1">
              <w:rPr>
                <w:rFonts w:cs="Times New Roman"/>
                <w:b/>
                <w:sz w:val="20"/>
                <w:szCs w:val="20"/>
              </w:rPr>
              <w:t>Pamatojums</w:t>
            </w:r>
          </w:p>
        </w:tc>
        <w:tc>
          <w:tcPr>
            <w:tcW w:w="2551" w:type="dxa"/>
            <w:shd w:val="clear" w:color="auto" w:fill="auto"/>
          </w:tcPr>
          <w:p w14:paraId="21ECC20B" w14:textId="77777777" w:rsidR="00775B85" w:rsidRPr="001B1DB1" w:rsidRDefault="00775B85" w:rsidP="00EC4F0C">
            <w:pPr>
              <w:jc w:val="center"/>
              <w:rPr>
                <w:rFonts w:cs="Times New Roman"/>
                <w:b/>
                <w:bCs/>
                <w:i/>
                <w:sz w:val="20"/>
                <w:szCs w:val="20"/>
              </w:rPr>
            </w:pPr>
            <w:r w:rsidRPr="001B1DB1">
              <w:rPr>
                <w:rFonts w:cs="Times New Roman"/>
                <w:b/>
                <w:sz w:val="20"/>
                <w:szCs w:val="20"/>
              </w:rPr>
              <w:t>Darbības rezultāts</w:t>
            </w:r>
          </w:p>
        </w:tc>
        <w:tc>
          <w:tcPr>
            <w:tcW w:w="2694" w:type="dxa"/>
          </w:tcPr>
          <w:p w14:paraId="12DCF112" w14:textId="77777777" w:rsidR="00775B85" w:rsidRPr="001B1DB1" w:rsidRDefault="00775B85" w:rsidP="00EC4F0C">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4119078C"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78434EB0" w14:textId="77777777" w:rsidR="00775B85" w:rsidRPr="001B1DB1" w:rsidRDefault="00775B85" w:rsidP="00EC4F0C">
            <w:pPr>
              <w:jc w:val="center"/>
              <w:rPr>
                <w:rFonts w:cs="Times New Roman"/>
                <w:b/>
                <w:bCs/>
                <w:sz w:val="20"/>
                <w:szCs w:val="20"/>
              </w:rPr>
            </w:pPr>
            <w:r w:rsidRPr="001B1DB1">
              <w:rPr>
                <w:rFonts w:cs="Times New Roman"/>
                <w:b/>
                <w:bCs/>
                <w:sz w:val="20"/>
                <w:szCs w:val="20"/>
              </w:rPr>
              <w:t>Līdz-</w:t>
            </w:r>
          </w:p>
          <w:p w14:paraId="492EA50E"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1D7EF250" w14:textId="77777777" w:rsidR="00775B85" w:rsidRPr="001B1DB1" w:rsidRDefault="00775B85" w:rsidP="00EC4F0C">
            <w:pPr>
              <w:jc w:val="center"/>
              <w:rPr>
                <w:rFonts w:cs="Times New Roman"/>
                <w:bCs/>
                <w:i/>
                <w:sz w:val="20"/>
                <w:szCs w:val="20"/>
              </w:rPr>
            </w:pPr>
            <w:r w:rsidRPr="001B1DB1">
              <w:rPr>
                <w:rFonts w:cs="Times New Roman"/>
                <w:b/>
                <w:bCs/>
                <w:sz w:val="20"/>
                <w:szCs w:val="20"/>
              </w:rPr>
              <w:t>Izpildes termiņš</w:t>
            </w:r>
          </w:p>
        </w:tc>
      </w:tr>
      <w:tr w:rsidR="00775B85" w:rsidRPr="001B1DB1" w14:paraId="56A9C221" w14:textId="77777777" w:rsidTr="001B2BEE">
        <w:trPr>
          <w:trHeight w:val="543"/>
        </w:trPr>
        <w:tc>
          <w:tcPr>
            <w:tcW w:w="851" w:type="dxa"/>
          </w:tcPr>
          <w:p w14:paraId="105DE5F7" w14:textId="77777777" w:rsidR="00775B85" w:rsidRPr="001B1DB1" w:rsidRDefault="00B845EB" w:rsidP="00EC4F0C">
            <w:pPr>
              <w:jc w:val="center"/>
              <w:rPr>
                <w:rFonts w:cs="Times New Roman"/>
                <w:bCs/>
                <w:sz w:val="20"/>
                <w:szCs w:val="20"/>
              </w:rPr>
            </w:pPr>
            <w:r w:rsidRPr="001B1DB1">
              <w:rPr>
                <w:rFonts w:cs="Times New Roman"/>
                <w:bCs/>
                <w:sz w:val="20"/>
                <w:szCs w:val="20"/>
              </w:rPr>
              <w:t>10.1.</w:t>
            </w:r>
          </w:p>
        </w:tc>
        <w:tc>
          <w:tcPr>
            <w:tcW w:w="3544" w:type="dxa"/>
            <w:shd w:val="clear" w:color="auto" w:fill="auto"/>
          </w:tcPr>
          <w:p w14:paraId="7D4BFE28" w14:textId="77777777" w:rsidR="00775B85" w:rsidRPr="001B1DB1" w:rsidRDefault="00775B85" w:rsidP="009D50A8">
            <w:pPr>
              <w:jc w:val="both"/>
              <w:rPr>
                <w:sz w:val="20"/>
                <w:szCs w:val="20"/>
              </w:rPr>
            </w:pPr>
            <w:r w:rsidRPr="001B1DB1">
              <w:rPr>
                <w:sz w:val="20"/>
                <w:szCs w:val="20"/>
              </w:rPr>
              <w:t xml:space="preserve">Nodrošināt, lai </w:t>
            </w:r>
            <w:r w:rsidR="00E70589" w:rsidRPr="001B1DB1">
              <w:rPr>
                <w:sz w:val="20"/>
                <w:szCs w:val="20"/>
              </w:rPr>
              <w:t>UKI</w:t>
            </w:r>
            <w:r w:rsidR="00E70589" w:rsidRPr="001B1DB1" w:rsidDel="00E70589">
              <w:rPr>
                <w:sz w:val="20"/>
                <w:szCs w:val="20"/>
              </w:rPr>
              <w:t xml:space="preserve"> </w:t>
            </w:r>
            <w:r w:rsidRPr="001B1DB1">
              <w:rPr>
                <w:sz w:val="20"/>
                <w:szCs w:val="20"/>
              </w:rPr>
              <w:t>un likuma subjektiem ir pieejama aktuālā informācija un vadlīnijas terorisma un proliferācijas finansēšanas novēršanas jomā.</w:t>
            </w:r>
          </w:p>
        </w:tc>
        <w:tc>
          <w:tcPr>
            <w:tcW w:w="1559" w:type="dxa"/>
          </w:tcPr>
          <w:p w14:paraId="67624508" w14:textId="77777777" w:rsidR="00775B85" w:rsidRPr="001B1DB1" w:rsidRDefault="005175D0" w:rsidP="00EC4F0C">
            <w:pPr>
              <w:rPr>
                <w:rFonts w:cs="Times New Roman"/>
                <w:sz w:val="20"/>
                <w:szCs w:val="20"/>
              </w:rPr>
            </w:pPr>
            <w:r>
              <w:rPr>
                <w:rFonts w:cs="Times New Roman"/>
                <w:sz w:val="20"/>
                <w:szCs w:val="20"/>
              </w:rPr>
              <w:t xml:space="preserve"> </w:t>
            </w:r>
          </w:p>
        </w:tc>
        <w:tc>
          <w:tcPr>
            <w:tcW w:w="2551" w:type="dxa"/>
            <w:shd w:val="clear" w:color="auto" w:fill="auto"/>
          </w:tcPr>
          <w:p w14:paraId="3FFF3187" w14:textId="2C674115" w:rsidR="00775B85" w:rsidRPr="001B1DB1" w:rsidRDefault="00E70589" w:rsidP="00D16025">
            <w:pPr>
              <w:jc w:val="both"/>
              <w:rPr>
                <w:rFonts w:cs="Times New Roman"/>
                <w:sz w:val="20"/>
                <w:szCs w:val="20"/>
              </w:rPr>
            </w:pPr>
            <w:r w:rsidRPr="001B1DB1">
              <w:rPr>
                <w:sz w:val="20"/>
                <w:szCs w:val="20"/>
              </w:rPr>
              <w:t>UKI</w:t>
            </w:r>
            <w:r w:rsidRPr="001B1DB1" w:rsidDel="00E70589">
              <w:rPr>
                <w:sz w:val="20"/>
                <w:szCs w:val="20"/>
              </w:rPr>
              <w:t xml:space="preserve"> </w:t>
            </w:r>
            <w:r w:rsidR="00775B85" w:rsidRPr="001B1DB1">
              <w:rPr>
                <w:sz w:val="20"/>
                <w:szCs w:val="20"/>
              </w:rPr>
              <w:t>un likuma subjektiem zināmi un pieejami materiāli un informācijas avoti</w:t>
            </w:r>
            <w:r w:rsidR="00BD3D98">
              <w:rPr>
                <w:sz w:val="20"/>
                <w:szCs w:val="20"/>
              </w:rPr>
              <w:t>.</w:t>
            </w:r>
          </w:p>
        </w:tc>
        <w:tc>
          <w:tcPr>
            <w:tcW w:w="2694" w:type="dxa"/>
          </w:tcPr>
          <w:p w14:paraId="3C1BD7EB" w14:textId="17AD0E19" w:rsidR="00775B85" w:rsidRPr="0007551F" w:rsidRDefault="00BD3D98" w:rsidP="0007551F">
            <w:pPr>
              <w:jc w:val="both"/>
              <w:rPr>
                <w:rFonts w:cs="Times New Roman"/>
                <w:sz w:val="20"/>
                <w:szCs w:val="20"/>
              </w:rPr>
            </w:pPr>
            <w:r w:rsidRPr="0007551F">
              <w:rPr>
                <w:sz w:val="20"/>
                <w:szCs w:val="20"/>
              </w:rPr>
              <w:t>Izvērtēt</w:t>
            </w:r>
            <w:r w:rsidR="001A122E" w:rsidRPr="0007551F">
              <w:rPr>
                <w:sz w:val="20"/>
                <w:szCs w:val="20"/>
              </w:rPr>
              <w:t xml:space="preserve">as un nepieciešamības gadījumā </w:t>
            </w:r>
            <w:r w:rsidRPr="0007551F">
              <w:rPr>
                <w:sz w:val="20"/>
                <w:szCs w:val="20"/>
              </w:rPr>
              <w:t>a</w:t>
            </w:r>
            <w:r w:rsidR="00775B85" w:rsidRPr="0007551F">
              <w:rPr>
                <w:sz w:val="20"/>
                <w:szCs w:val="20"/>
              </w:rPr>
              <w:t>ktualizētas Terorisma un proliferācijas finansēšanas novēršanas vadlīnijas, tostarp ņemot vērā aktuālo ārvalstu pieredzi un starptautisko organizāciju jaunākās rekomendācijas.</w:t>
            </w:r>
            <w:r w:rsidR="00BE089C">
              <w:t xml:space="preserve"> </w:t>
            </w:r>
            <w:r w:rsidR="00BE089C" w:rsidRPr="00BE089C">
              <w:rPr>
                <w:sz w:val="20"/>
                <w:szCs w:val="20"/>
              </w:rPr>
              <w:t>Vadlīnijās iekļautas terorisma finansēšanas tipoloģijas un to apraksti</w:t>
            </w:r>
            <w:r w:rsidR="00BE089C">
              <w:rPr>
                <w:sz w:val="20"/>
                <w:szCs w:val="20"/>
              </w:rPr>
              <w:t>.</w:t>
            </w:r>
          </w:p>
        </w:tc>
        <w:tc>
          <w:tcPr>
            <w:tcW w:w="1134" w:type="dxa"/>
            <w:shd w:val="clear" w:color="auto" w:fill="auto"/>
          </w:tcPr>
          <w:p w14:paraId="13371DFA" w14:textId="1F22DADC" w:rsidR="00775B85" w:rsidRPr="001B1DB1" w:rsidRDefault="00BE089C" w:rsidP="00DA7EC3">
            <w:pPr>
              <w:jc w:val="center"/>
              <w:rPr>
                <w:sz w:val="20"/>
                <w:szCs w:val="20"/>
              </w:rPr>
            </w:pPr>
            <w:r>
              <w:rPr>
                <w:sz w:val="20"/>
                <w:szCs w:val="20"/>
              </w:rPr>
              <w:t>FID</w:t>
            </w:r>
            <w:r w:rsidRPr="001B1DB1">
              <w:rPr>
                <w:sz w:val="20"/>
                <w:szCs w:val="20"/>
              </w:rPr>
              <w:t xml:space="preserve"> </w:t>
            </w:r>
          </w:p>
        </w:tc>
        <w:tc>
          <w:tcPr>
            <w:tcW w:w="1275" w:type="dxa"/>
            <w:shd w:val="clear" w:color="auto" w:fill="auto"/>
          </w:tcPr>
          <w:p w14:paraId="4485BDDC" w14:textId="1732FAFF" w:rsidR="00775B85" w:rsidRPr="001B1DB1" w:rsidRDefault="00DA7EC3" w:rsidP="00BE089C">
            <w:pPr>
              <w:jc w:val="center"/>
              <w:rPr>
                <w:sz w:val="20"/>
                <w:szCs w:val="20"/>
              </w:rPr>
            </w:pPr>
            <w:r w:rsidRPr="001B1DB1">
              <w:rPr>
                <w:sz w:val="20"/>
                <w:szCs w:val="20"/>
              </w:rPr>
              <w:t xml:space="preserve"> </w:t>
            </w:r>
            <w:r w:rsidR="00BE089C">
              <w:rPr>
                <w:sz w:val="20"/>
                <w:szCs w:val="20"/>
              </w:rPr>
              <w:t>VDD, UKI</w:t>
            </w:r>
          </w:p>
        </w:tc>
        <w:tc>
          <w:tcPr>
            <w:tcW w:w="1418" w:type="dxa"/>
            <w:shd w:val="clear" w:color="auto" w:fill="auto"/>
          </w:tcPr>
          <w:p w14:paraId="59D18A0C" w14:textId="19D3D0A5" w:rsidR="00775B85" w:rsidRPr="001B1DB1" w:rsidRDefault="00BE089C" w:rsidP="002B2537">
            <w:pPr>
              <w:jc w:val="center"/>
              <w:rPr>
                <w:rFonts w:cs="Times New Roman"/>
                <w:bCs/>
                <w:sz w:val="20"/>
                <w:szCs w:val="20"/>
              </w:rPr>
            </w:pPr>
            <w:r w:rsidRPr="00BE089C">
              <w:rPr>
                <w:sz w:val="20"/>
                <w:szCs w:val="20"/>
              </w:rPr>
              <w:t>Vismaz reizi gadā</w:t>
            </w:r>
          </w:p>
        </w:tc>
      </w:tr>
      <w:tr w:rsidR="00775B85" w:rsidRPr="001B1DB1" w14:paraId="6E0809C2" w14:textId="77777777" w:rsidTr="001B2BEE">
        <w:trPr>
          <w:trHeight w:val="543"/>
        </w:trPr>
        <w:tc>
          <w:tcPr>
            <w:tcW w:w="851" w:type="dxa"/>
            <w:vMerge w:val="restart"/>
          </w:tcPr>
          <w:p w14:paraId="0583B935" w14:textId="77777777" w:rsidR="00775B85" w:rsidRPr="001B1DB1" w:rsidRDefault="00B845EB" w:rsidP="00EC4F0C">
            <w:pPr>
              <w:jc w:val="center"/>
              <w:rPr>
                <w:rFonts w:cs="Times New Roman"/>
                <w:bCs/>
                <w:sz w:val="20"/>
                <w:szCs w:val="20"/>
              </w:rPr>
            </w:pPr>
            <w:r w:rsidRPr="001B1DB1">
              <w:rPr>
                <w:rFonts w:cs="Times New Roman"/>
                <w:bCs/>
                <w:sz w:val="20"/>
                <w:szCs w:val="20"/>
              </w:rPr>
              <w:t>10.2.</w:t>
            </w:r>
          </w:p>
        </w:tc>
        <w:tc>
          <w:tcPr>
            <w:tcW w:w="3544" w:type="dxa"/>
            <w:vMerge w:val="restart"/>
            <w:shd w:val="clear" w:color="auto" w:fill="auto"/>
          </w:tcPr>
          <w:p w14:paraId="2964CE58" w14:textId="77777777" w:rsidR="00775B85" w:rsidRPr="001B1DB1" w:rsidRDefault="00775B85" w:rsidP="00EC4F0C">
            <w:pPr>
              <w:jc w:val="both"/>
              <w:rPr>
                <w:sz w:val="20"/>
                <w:szCs w:val="20"/>
              </w:rPr>
            </w:pPr>
            <w:r w:rsidRPr="001B1DB1">
              <w:rPr>
                <w:sz w:val="20"/>
                <w:szCs w:val="20"/>
              </w:rPr>
              <w:t xml:space="preserve">Paaugstināt sabiedrības </w:t>
            </w:r>
            <w:r w:rsidR="009D50A8" w:rsidRPr="001B1DB1">
              <w:rPr>
                <w:sz w:val="20"/>
                <w:szCs w:val="20"/>
              </w:rPr>
              <w:t xml:space="preserve">un likuma subjektu </w:t>
            </w:r>
            <w:r w:rsidRPr="001B1DB1">
              <w:rPr>
                <w:sz w:val="20"/>
                <w:szCs w:val="20"/>
              </w:rPr>
              <w:t>izpratni par terorisma un proliferācijas finansēšanas draudiem un iesaistes šādos darījumos sekām.</w:t>
            </w:r>
          </w:p>
        </w:tc>
        <w:tc>
          <w:tcPr>
            <w:tcW w:w="1559" w:type="dxa"/>
            <w:vMerge w:val="restart"/>
          </w:tcPr>
          <w:p w14:paraId="1B4CC044" w14:textId="77777777" w:rsidR="00775B85" w:rsidRPr="001B1DB1" w:rsidRDefault="005175D0" w:rsidP="00EC4F0C">
            <w:pPr>
              <w:rPr>
                <w:sz w:val="20"/>
                <w:szCs w:val="20"/>
              </w:rPr>
            </w:pPr>
            <w:r>
              <w:rPr>
                <w:sz w:val="20"/>
                <w:szCs w:val="20"/>
              </w:rPr>
              <w:t xml:space="preserve"> </w:t>
            </w:r>
          </w:p>
        </w:tc>
        <w:tc>
          <w:tcPr>
            <w:tcW w:w="2551" w:type="dxa"/>
            <w:vMerge w:val="restart"/>
            <w:shd w:val="clear" w:color="auto" w:fill="auto"/>
          </w:tcPr>
          <w:p w14:paraId="6A78B051" w14:textId="29D2DF57" w:rsidR="00775B85" w:rsidRPr="001B1DB1" w:rsidRDefault="00810D8C" w:rsidP="00D16025">
            <w:pPr>
              <w:jc w:val="both"/>
              <w:rPr>
                <w:sz w:val="20"/>
                <w:szCs w:val="20"/>
              </w:rPr>
            </w:pPr>
            <w:r>
              <w:rPr>
                <w:sz w:val="20"/>
                <w:szCs w:val="20"/>
              </w:rPr>
              <w:t>Paaugstināta p</w:t>
            </w:r>
            <w:r w:rsidR="00775B85" w:rsidRPr="001B1DB1">
              <w:rPr>
                <w:sz w:val="20"/>
                <w:szCs w:val="20"/>
              </w:rPr>
              <w:t xml:space="preserve">lašākas sabiedrības informētība par terorisma un proliferācijas finansēšanas draudiem un </w:t>
            </w:r>
            <w:r>
              <w:rPr>
                <w:sz w:val="20"/>
                <w:szCs w:val="20"/>
              </w:rPr>
              <w:t xml:space="preserve">veicināta </w:t>
            </w:r>
            <w:r w:rsidR="00775B85" w:rsidRPr="001B1DB1">
              <w:rPr>
                <w:sz w:val="20"/>
                <w:szCs w:val="20"/>
              </w:rPr>
              <w:t>pastarpināta iesaiste to novēršanā.</w:t>
            </w:r>
          </w:p>
          <w:p w14:paraId="3310F56F" w14:textId="19CEDC8E" w:rsidR="009D50A8" w:rsidRPr="001B1DB1" w:rsidRDefault="00810D8C">
            <w:pPr>
              <w:jc w:val="both"/>
              <w:rPr>
                <w:sz w:val="20"/>
                <w:szCs w:val="20"/>
              </w:rPr>
            </w:pPr>
            <w:r>
              <w:rPr>
                <w:sz w:val="20"/>
                <w:szCs w:val="20"/>
              </w:rPr>
              <w:t>Paaugstināta l</w:t>
            </w:r>
            <w:r w:rsidR="009D50A8" w:rsidRPr="001B1DB1">
              <w:rPr>
                <w:sz w:val="20"/>
                <w:szCs w:val="20"/>
              </w:rPr>
              <w:t>ikuma subjektu informētība par terorisma un proliferācijas finansēšanas draudiem.</w:t>
            </w:r>
          </w:p>
        </w:tc>
        <w:tc>
          <w:tcPr>
            <w:tcW w:w="2694" w:type="dxa"/>
          </w:tcPr>
          <w:p w14:paraId="2CA46D48" w14:textId="0FDD7111" w:rsidR="00775B85" w:rsidRPr="001B1DB1" w:rsidRDefault="00DA5BD8" w:rsidP="00EC4F0C">
            <w:pPr>
              <w:jc w:val="both"/>
              <w:rPr>
                <w:sz w:val="20"/>
                <w:szCs w:val="20"/>
              </w:rPr>
            </w:pPr>
            <w:r w:rsidRPr="001B1DB1">
              <w:rPr>
                <w:sz w:val="20"/>
                <w:szCs w:val="20"/>
              </w:rPr>
              <w:t xml:space="preserve">1. </w:t>
            </w:r>
            <w:r w:rsidR="00775B85" w:rsidRPr="001B1DB1">
              <w:rPr>
                <w:sz w:val="20"/>
                <w:szCs w:val="20"/>
              </w:rPr>
              <w:t xml:space="preserve">Izstrādāts publisks informatīvs </w:t>
            </w:r>
            <w:r w:rsidR="00903C15" w:rsidRPr="001B1DB1">
              <w:rPr>
                <w:sz w:val="20"/>
                <w:szCs w:val="20"/>
              </w:rPr>
              <w:t>e-</w:t>
            </w:r>
            <w:r w:rsidR="00775B85" w:rsidRPr="001B1DB1">
              <w:rPr>
                <w:sz w:val="20"/>
                <w:szCs w:val="20"/>
              </w:rPr>
              <w:t xml:space="preserve">buklets </w:t>
            </w:r>
            <w:r w:rsidR="00471AF2">
              <w:rPr>
                <w:sz w:val="20"/>
                <w:szCs w:val="20"/>
              </w:rPr>
              <w:t>ar vispārīgu, sabiedrībai saprotamu informāciju par terorismu un terorisma finansēšanu</w:t>
            </w:r>
            <w:r w:rsidR="004A71E4" w:rsidRPr="001B1DB1">
              <w:rPr>
                <w:sz w:val="20"/>
                <w:szCs w:val="20"/>
              </w:rPr>
              <w:t>.</w:t>
            </w:r>
          </w:p>
        </w:tc>
        <w:tc>
          <w:tcPr>
            <w:tcW w:w="1134" w:type="dxa"/>
            <w:shd w:val="clear" w:color="auto" w:fill="auto"/>
          </w:tcPr>
          <w:p w14:paraId="3B012159" w14:textId="71E484E4" w:rsidR="00775B85" w:rsidRPr="001B1DB1" w:rsidRDefault="00775B85" w:rsidP="002B2537">
            <w:pPr>
              <w:jc w:val="center"/>
              <w:rPr>
                <w:sz w:val="20"/>
                <w:szCs w:val="20"/>
              </w:rPr>
            </w:pPr>
            <w:r w:rsidRPr="001B1DB1">
              <w:rPr>
                <w:sz w:val="20"/>
                <w:szCs w:val="20"/>
              </w:rPr>
              <w:t>FID</w:t>
            </w:r>
            <w:r w:rsidR="00AE5534">
              <w:rPr>
                <w:sz w:val="20"/>
                <w:szCs w:val="20"/>
              </w:rPr>
              <w:t xml:space="preserve"> </w:t>
            </w:r>
          </w:p>
        </w:tc>
        <w:tc>
          <w:tcPr>
            <w:tcW w:w="1275" w:type="dxa"/>
            <w:shd w:val="clear" w:color="auto" w:fill="auto"/>
          </w:tcPr>
          <w:p w14:paraId="35692408" w14:textId="175844AE" w:rsidR="00775B85" w:rsidRPr="001B1DB1" w:rsidRDefault="00AE5534" w:rsidP="002B2537">
            <w:pPr>
              <w:jc w:val="center"/>
              <w:rPr>
                <w:sz w:val="20"/>
                <w:szCs w:val="20"/>
              </w:rPr>
            </w:pPr>
            <w:r>
              <w:rPr>
                <w:sz w:val="20"/>
                <w:szCs w:val="20"/>
              </w:rPr>
              <w:t>VDD</w:t>
            </w:r>
          </w:p>
        </w:tc>
        <w:tc>
          <w:tcPr>
            <w:tcW w:w="1418" w:type="dxa"/>
            <w:shd w:val="clear" w:color="auto" w:fill="auto"/>
          </w:tcPr>
          <w:p w14:paraId="1D981270" w14:textId="304F857A" w:rsidR="00775B85" w:rsidRPr="001B1DB1" w:rsidRDefault="00994CD7" w:rsidP="00C0727F">
            <w:pPr>
              <w:jc w:val="center"/>
              <w:rPr>
                <w:sz w:val="20"/>
                <w:szCs w:val="20"/>
              </w:rPr>
            </w:pPr>
            <w:r>
              <w:rPr>
                <w:sz w:val="20"/>
                <w:szCs w:val="20"/>
              </w:rPr>
              <w:t>01.07.</w:t>
            </w:r>
            <w:r w:rsidR="00775B85" w:rsidRPr="001B1DB1">
              <w:rPr>
                <w:sz w:val="20"/>
                <w:szCs w:val="20"/>
              </w:rPr>
              <w:t>2020.</w:t>
            </w:r>
          </w:p>
        </w:tc>
      </w:tr>
      <w:tr w:rsidR="00775B85" w:rsidRPr="001B1DB1" w14:paraId="3EF6CF38" w14:textId="77777777" w:rsidTr="001B2BEE">
        <w:trPr>
          <w:trHeight w:val="543"/>
        </w:trPr>
        <w:tc>
          <w:tcPr>
            <w:tcW w:w="851" w:type="dxa"/>
            <w:vMerge/>
          </w:tcPr>
          <w:p w14:paraId="456B44B9" w14:textId="77777777" w:rsidR="00775B85" w:rsidRPr="001B1DB1" w:rsidRDefault="00775B85" w:rsidP="00EC4F0C">
            <w:pPr>
              <w:jc w:val="center"/>
              <w:rPr>
                <w:rFonts w:cs="Times New Roman"/>
                <w:bCs/>
                <w:sz w:val="20"/>
                <w:szCs w:val="20"/>
              </w:rPr>
            </w:pPr>
          </w:p>
        </w:tc>
        <w:tc>
          <w:tcPr>
            <w:tcW w:w="3544" w:type="dxa"/>
            <w:vMerge/>
            <w:shd w:val="clear" w:color="auto" w:fill="auto"/>
          </w:tcPr>
          <w:p w14:paraId="3F3840C1" w14:textId="77777777" w:rsidR="00775B85" w:rsidRPr="001B1DB1" w:rsidRDefault="00775B85" w:rsidP="00EC4F0C">
            <w:pPr>
              <w:jc w:val="both"/>
              <w:rPr>
                <w:sz w:val="20"/>
                <w:szCs w:val="20"/>
              </w:rPr>
            </w:pPr>
          </w:p>
        </w:tc>
        <w:tc>
          <w:tcPr>
            <w:tcW w:w="1559" w:type="dxa"/>
            <w:vMerge/>
          </w:tcPr>
          <w:p w14:paraId="6C18F3E4" w14:textId="77777777" w:rsidR="00775B85" w:rsidRPr="001B1DB1" w:rsidRDefault="00775B85" w:rsidP="00EC4F0C">
            <w:pPr>
              <w:rPr>
                <w:sz w:val="20"/>
                <w:szCs w:val="20"/>
              </w:rPr>
            </w:pPr>
          </w:p>
        </w:tc>
        <w:tc>
          <w:tcPr>
            <w:tcW w:w="2551" w:type="dxa"/>
            <w:vMerge/>
            <w:shd w:val="clear" w:color="auto" w:fill="auto"/>
          </w:tcPr>
          <w:p w14:paraId="1451727C" w14:textId="77777777" w:rsidR="00775B85" w:rsidRPr="001B1DB1" w:rsidRDefault="00775B85" w:rsidP="00EC4F0C">
            <w:pPr>
              <w:rPr>
                <w:sz w:val="20"/>
                <w:szCs w:val="20"/>
              </w:rPr>
            </w:pPr>
          </w:p>
        </w:tc>
        <w:tc>
          <w:tcPr>
            <w:tcW w:w="2694" w:type="dxa"/>
          </w:tcPr>
          <w:p w14:paraId="335E0A79" w14:textId="74104D77" w:rsidR="004F2E65" w:rsidRDefault="00DA5BD8" w:rsidP="00C0727F">
            <w:pPr>
              <w:jc w:val="both"/>
              <w:rPr>
                <w:sz w:val="20"/>
                <w:szCs w:val="20"/>
              </w:rPr>
            </w:pPr>
            <w:r w:rsidRPr="001B1DB1">
              <w:rPr>
                <w:sz w:val="20"/>
                <w:szCs w:val="20"/>
              </w:rPr>
              <w:t xml:space="preserve">2. </w:t>
            </w:r>
            <w:r w:rsidR="004F2E65">
              <w:rPr>
                <w:sz w:val="20"/>
                <w:szCs w:val="20"/>
              </w:rPr>
              <w:t>Izstrādāti k</w:t>
            </w:r>
            <w:r w:rsidR="00775B85" w:rsidRPr="001B1DB1">
              <w:rPr>
                <w:sz w:val="20"/>
                <w:szCs w:val="20"/>
              </w:rPr>
              <w:t>opīg</w:t>
            </w:r>
            <w:r w:rsidR="004F2E65">
              <w:rPr>
                <w:sz w:val="20"/>
                <w:szCs w:val="20"/>
              </w:rPr>
              <w:t>i</w:t>
            </w:r>
            <w:r w:rsidR="00775B85" w:rsidRPr="001B1DB1">
              <w:rPr>
                <w:sz w:val="20"/>
                <w:szCs w:val="20"/>
              </w:rPr>
              <w:t xml:space="preserve"> vēstījum</w:t>
            </w:r>
            <w:r w:rsidR="004F2E65">
              <w:rPr>
                <w:sz w:val="20"/>
                <w:szCs w:val="20"/>
              </w:rPr>
              <w:t>i</w:t>
            </w:r>
            <w:r w:rsidR="00775B85" w:rsidRPr="001B1DB1">
              <w:rPr>
                <w:sz w:val="20"/>
                <w:szCs w:val="20"/>
              </w:rPr>
              <w:t xml:space="preserve"> </w:t>
            </w:r>
            <w:r w:rsidR="00903C15" w:rsidRPr="001B1DB1">
              <w:rPr>
                <w:sz w:val="20"/>
                <w:szCs w:val="20"/>
              </w:rPr>
              <w:t xml:space="preserve">valsts iestāžu un </w:t>
            </w:r>
            <w:r w:rsidR="00FE2BBB" w:rsidRPr="001B1DB1">
              <w:rPr>
                <w:sz w:val="20"/>
                <w:szCs w:val="20"/>
              </w:rPr>
              <w:t xml:space="preserve">UKI </w:t>
            </w:r>
            <w:r w:rsidR="00775B85" w:rsidRPr="001B1DB1">
              <w:rPr>
                <w:sz w:val="20"/>
                <w:szCs w:val="20"/>
              </w:rPr>
              <w:t>publiskajām amatpersonām, ko izmantot, sniedzot intervijas/</w:t>
            </w:r>
          </w:p>
          <w:p w14:paraId="13A1ADE1" w14:textId="39C4A49D" w:rsidR="00775B85" w:rsidRPr="001B1DB1" w:rsidRDefault="00775B85" w:rsidP="004F2E65">
            <w:pPr>
              <w:jc w:val="both"/>
              <w:rPr>
                <w:sz w:val="20"/>
                <w:szCs w:val="20"/>
              </w:rPr>
            </w:pPr>
            <w:r w:rsidRPr="001B1DB1">
              <w:rPr>
                <w:sz w:val="20"/>
                <w:szCs w:val="20"/>
              </w:rPr>
              <w:t xml:space="preserve">informāciju masu medijiem, kā arī veicot publikācijas sociālajos tīklos un </w:t>
            </w:r>
            <w:r w:rsidR="0044784A" w:rsidRPr="001B1DB1">
              <w:rPr>
                <w:sz w:val="20"/>
                <w:szCs w:val="20"/>
              </w:rPr>
              <w:t>tīmekļa vietn</w:t>
            </w:r>
            <w:r w:rsidR="0044784A">
              <w:rPr>
                <w:sz w:val="20"/>
                <w:szCs w:val="20"/>
              </w:rPr>
              <w:t>ēs</w:t>
            </w:r>
            <w:r w:rsidRPr="001B1DB1">
              <w:rPr>
                <w:sz w:val="20"/>
                <w:szCs w:val="20"/>
              </w:rPr>
              <w:t>.</w:t>
            </w:r>
          </w:p>
        </w:tc>
        <w:tc>
          <w:tcPr>
            <w:tcW w:w="1134" w:type="dxa"/>
            <w:shd w:val="clear" w:color="auto" w:fill="auto"/>
          </w:tcPr>
          <w:p w14:paraId="3C98585F" w14:textId="01527113" w:rsidR="00775B85" w:rsidRPr="001B1DB1" w:rsidRDefault="00775B85" w:rsidP="002B2537">
            <w:pPr>
              <w:jc w:val="center"/>
              <w:rPr>
                <w:sz w:val="20"/>
                <w:szCs w:val="20"/>
              </w:rPr>
            </w:pPr>
            <w:r w:rsidRPr="001B1DB1">
              <w:rPr>
                <w:sz w:val="20"/>
                <w:szCs w:val="20"/>
              </w:rPr>
              <w:t>Kom</w:t>
            </w:r>
            <w:r w:rsidR="006974AE">
              <w:rPr>
                <w:sz w:val="20"/>
                <w:szCs w:val="20"/>
              </w:rPr>
              <w:t>unikācijas</w:t>
            </w:r>
            <w:r w:rsidRPr="001B1DB1">
              <w:rPr>
                <w:sz w:val="20"/>
                <w:szCs w:val="20"/>
              </w:rPr>
              <w:t xml:space="preserve"> darba grupa</w:t>
            </w:r>
          </w:p>
        </w:tc>
        <w:tc>
          <w:tcPr>
            <w:tcW w:w="1275" w:type="dxa"/>
            <w:shd w:val="clear" w:color="auto" w:fill="auto"/>
          </w:tcPr>
          <w:p w14:paraId="3B8300DD" w14:textId="1BBC9657" w:rsidR="00775B85" w:rsidRPr="001B1DB1" w:rsidRDefault="00775B85" w:rsidP="002B2537">
            <w:pPr>
              <w:jc w:val="center"/>
              <w:rPr>
                <w:sz w:val="20"/>
                <w:szCs w:val="20"/>
              </w:rPr>
            </w:pPr>
          </w:p>
        </w:tc>
        <w:tc>
          <w:tcPr>
            <w:tcW w:w="1418" w:type="dxa"/>
            <w:shd w:val="clear" w:color="auto" w:fill="auto"/>
          </w:tcPr>
          <w:p w14:paraId="2BC4FBA6" w14:textId="77777777" w:rsidR="00775B85" w:rsidRPr="001B1DB1" w:rsidRDefault="00903C15" w:rsidP="002B2537">
            <w:pPr>
              <w:jc w:val="center"/>
              <w:rPr>
                <w:sz w:val="20"/>
                <w:szCs w:val="20"/>
              </w:rPr>
            </w:pPr>
            <w:r w:rsidRPr="001B1DB1">
              <w:rPr>
                <w:sz w:val="20"/>
                <w:szCs w:val="20"/>
              </w:rPr>
              <w:t>Pastāvīgi</w:t>
            </w:r>
          </w:p>
        </w:tc>
      </w:tr>
      <w:tr w:rsidR="00775B85" w:rsidRPr="001B1DB1" w14:paraId="1BA73125" w14:textId="77777777" w:rsidTr="001B2BEE">
        <w:trPr>
          <w:trHeight w:val="543"/>
        </w:trPr>
        <w:tc>
          <w:tcPr>
            <w:tcW w:w="851" w:type="dxa"/>
            <w:vMerge w:val="restart"/>
          </w:tcPr>
          <w:p w14:paraId="1D786EDD" w14:textId="77777777" w:rsidR="00775B85" w:rsidRPr="001B1DB1" w:rsidRDefault="00B845EB" w:rsidP="00EC4F0C">
            <w:pPr>
              <w:jc w:val="center"/>
              <w:rPr>
                <w:rFonts w:cs="Times New Roman"/>
                <w:bCs/>
                <w:sz w:val="20"/>
                <w:szCs w:val="20"/>
              </w:rPr>
            </w:pPr>
            <w:r w:rsidRPr="001B1DB1">
              <w:rPr>
                <w:rFonts w:cs="Times New Roman"/>
                <w:bCs/>
                <w:sz w:val="20"/>
                <w:szCs w:val="20"/>
              </w:rPr>
              <w:t>10.3.</w:t>
            </w:r>
          </w:p>
        </w:tc>
        <w:tc>
          <w:tcPr>
            <w:tcW w:w="3544" w:type="dxa"/>
            <w:vMerge w:val="restart"/>
            <w:shd w:val="clear" w:color="auto" w:fill="auto"/>
          </w:tcPr>
          <w:p w14:paraId="3041CDC2" w14:textId="7FA25C19" w:rsidR="00775B85" w:rsidRPr="001B1DB1" w:rsidRDefault="00775B85" w:rsidP="001A18D7">
            <w:pPr>
              <w:jc w:val="both"/>
              <w:rPr>
                <w:sz w:val="20"/>
                <w:szCs w:val="20"/>
              </w:rPr>
            </w:pPr>
            <w:r w:rsidRPr="001B1DB1">
              <w:rPr>
                <w:sz w:val="20"/>
                <w:szCs w:val="20"/>
              </w:rPr>
              <w:t>Veicināt efektīvu darījumu ar TF</w:t>
            </w:r>
            <w:r w:rsidR="00F1555E">
              <w:rPr>
                <w:sz w:val="20"/>
                <w:szCs w:val="20"/>
              </w:rPr>
              <w:t xml:space="preserve"> un PF</w:t>
            </w:r>
            <w:r w:rsidRPr="001B1DB1">
              <w:rPr>
                <w:sz w:val="20"/>
                <w:szCs w:val="20"/>
              </w:rPr>
              <w:t xml:space="preserve"> </w:t>
            </w:r>
            <w:r w:rsidR="001A18D7" w:rsidRPr="001B1DB1">
              <w:rPr>
                <w:sz w:val="20"/>
                <w:szCs w:val="20"/>
              </w:rPr>
              <w:t>pazīm</w:t>
            </w:r>
            <w:r w:rsidR="001A18D7">
              <w:rPr>
                <w:sz w:val="20"/>
                <w:szCs w:val="20"/>
              </w:rPr>
              <w:t>ēm</w:t>
            </w:r>
            <w:r w:rsidR="001A18D7" w:rsidRPr="001B1DB1">
              <w:rPr>
                <w:sz w:val="20"/>
                <w:szCs w:val="20"/>
              </w:rPr>
              <w:t xml:space="preserve"> </w:t>
            </w:r>
            <w:r w:rsidRPr="001B1DB1">
              <w:rPr>
                <w:sz w:val="20"/>
                <w:szCs w:val="20"/>
              </w:rPr>
              <w:t>identificēšanu nebanku sektorā</w:t>
            </w:r>
            <w:r w:rsidR="00602A88">
              <w:rPr>
                <w:sz w:val="20"/>
                <w:szCs w:val="20"/>
              </w:rPr>
              <w:t>.</w:t>
            </w:r>
          </w:p>
        </w:tc>
        <w:tc>
          <w:tcPr>
            <w:tcW w:w="1559" w:type="dxa"/>
            <w:vMerge w:val="restart"/>
          </w:tcPr>
          <w:p w14:paraId="677F4B2A" w14:textId="27D4B1F5" w:rsidR="00775B85" w:rsidRPr="001B1DB1" w:rsidRDefault="00775B85" w:rsidP="00EC4F0C">
            <w:pPr>
              <w:rPr>
                <w:sz w:val="20"/>
                <w:szCs w:val="20"/>
              </w:rPr>
            </w:pPr>
            <w:r w:rsidRPr="001B1DB1">
              <w:rPr>
                <w:sz w:val="20"/>
                <w:szCs w:val="20"/>
              </w:rPr>
              <w:t>TF/PF risku ziņojums</w:t>
            </w:r>
            <w:r w:rsidR="000D7A07">
              <w:rPr>
                <w:sz w:val="20"/>
                <w:szCs w:val="20"/>
              </w:rPr>
              <w:t>.</w:t>
            </w:r>
          </w:p>
        </w:tc>
        <w:tc>
          <w:tcPr>
            <w:tcW w:w="2551" w:type="dxa"/>
            <w:vMerge w:val="restart"/>
            <w:shd w:val="clear" w:color="auto" w:fill="auto"/>
          </w:tcPr>
          <w:p w14:paraId="1973733C" w14:textId="38C7EB70" w:rsidR="00775B85" w:rsidRPr="001B1DB1" w:rsidRDefault="00A767A3" w:rsidP="00D16025">
            <w:pPr>
              <w:jc w:val="both"/>
              <w:rPr>
                <w:sz w:val="20"/>
                <w:szCs w:val="20"/>
              </w:rPr>
            </w:pPr>
            <w:r>
              <w:rPr>
                <w:sz w:val="20"/>
                <w:szCs w:val="20"/>
              </w:rPr>
              <w:t>Ieviesti a</w:t>
            </w:r>
            <w:r w:rsidR="00775B85" w:rsidRPr="001B1DB1">
              <w:rPr>
                <w:sz w:val="20"/>
                <w:szCs w:val="20"/>
              </w:rPr>
              <w:t>tbilstoš</w:t>
            </w:r>
            <w:r>
              <w:rPr>
                <w:sz w:val="20"/>
                <w:szCs w:val="20"/>
              </w:rPr>
              <w:t>i</w:t>
            </w:r>
            <w:r w:rsidR="00775B85" w:rsidRPr="001B1DB1">
              <w:rPr>
                <w:sz w:val="20"/>
                <w:szCs w:val="20"/>
              </w:rPr>
              <w:t xml:space="preserve"> tehnoloģisk</w:t>
            </w:r>
            <w:r>
              <w:rPr>
                <w:sz w:val="20"/>
                <w:szCs w:val="20"/>
              </w:rPr>
              <w:t>ie</w:t>
            </w:r>
            <w:r w:rsidR="00775B85" w:rsidRPr="001B1DB1">
              <w:rPr>
                <w:sz w:val="20"/>
                <w:szCs w:val="20"/>
              </w:rPr>
              <w:t xml:space="preserve"> un cit</w:t>
            </w:r>
            <w:r>
              <w:rPr>
                <w:sz w:val="20"/>
                <w:szCs w:val="20"/>
              </w:rPr>
              <w:t>i</w:t>
            </w:r>
            <w:r w:rsidR="00775B85" w:rsidRPr="001B1DB1">
              <w:rPr>
                <w:sz w:val="20"/>
                <w:szCs w:val="20"/>
              </w:rPr>
              <w:t xml:space="preserve"> risinājum</w:t>
            </w:r>
            <w:r>
              <w:rPr>
                <w:sz w:val="20"/>
                <w:szCs w:val="20"/>
              </w:rPr>
              <w:t>i</w:t>
            </w:r>
            <w:r w:rsidR="00775B85" w:rsidRPr="001B1DB1">
              <w:rPr>
                <w:sz w:val="20"/>
                <w:szCs w:val="20"/>
              </w:rPr>
              <w:t xml:space="preserve">, kā arī </w:t>
            </w:r>
            <w:r>
              <w:rPr>
                <w:sz w:val="20"/>
                <w:szCs w:val="20"/>
              </w:rPr>
              <w:t xml:space="preserve">apmācīti </w:t>
            </w:r>
            <w:r w:rsidR="00775B85" w:rsidRPr="001B1DB1">
              <w:rPr>
                <w:sz w:val="20"/>
                <w:szCs w:val="20"/>
              </w:rPr>
              <w:t>attiecīg</w:t>
            </w:r>
            <w:r>
              <w:rPr>
                <w:sz w:val="20"/>
                <w:szCs w:val="20"/>
              </w:rPr>
              <w:t>ie</w:t>
            </w:r>
            <w:r w:rsidR="00775B85" w:rsidRPr="001B1DB1">
              <w:rPr>
                <w:sz w:val="20"/>
                <w:szCs w:val="20"/>
              </w:rPr>
              <w:t xml:space="preserve"> likuma subjekt</w:t>
            </w:r>
            <w:r>
              <w:rPr>
                <w:sz w:val="20"/>
                <w:szCs w:val="20"/>
              </w:rPr>
              <w:t>i</w:t>
            </w:r>
            <w:r w:rsidR="00775B85" w:rsidRPr="001B1DB1">
              <w:rPr>
                <w:sz w:val="20"/>
                <w:szCs w:val="20"/>
              </w:rPr>
              <w:t xml:space="preserve"> par </w:t>
            </w:r>
            <w:r w:rsidR="00775B85" w:rsidRPr="001B1DB1">
              <w:rPr>
                <w:sz w:val="20"/>
                <w:szCs w:val="20"/>
              </w:rPr>
              <w:lastRenderedPageBreak/>
              <w:t xml:space="preserve">TF </w:t>
            </w:r>
            <w:r w:rsidR="00E947C4" w:rsidRPr="001B1DB1">
              <w:rPr>
                <w:sz w:val="20"/>
                <w:szCs w:val="20"/>
              </w:rPr>
              <w:t xml:space="preserve">novēršanu </w:t>
            </w:r>
            <w:r w:rsidR="00775B85" w:rsidRPr="001B1DB1">
              <w:rPr>
                <w:sz w:val="20"/>
                <w:szCs w:val="20"/>
              </w:rPr>
              <w:t>un PF</w:t>
            </w:r>
            <w:r w:rsidR="00E947C4" w:rsidRPr="001B1DB1">
              <w:rPr>
                <w:sz w:val="20"/>
                <w:szCs w:val="20"/>
              </w:rPr>
              <w:t xml:space="preserve"> novēršanu</w:t>
            </w:r>
            <w:r w:rsidR="00775B85" w:rsidRPr="001B1DB1">
              <w:rPr>
                <w:sz w:val="20"/>
                <w:szCs w:val="20"/>
              </w:rPr>
              <w:t>.</w:t>
            </w:r>
          </w:p>
        </w:tc>
        <w:tc>
          <w:tcPr>
            <w:tcW w:w="2694" w:type="dxa"/>
          </w:tcPr>
          <w:p w14:paraId="7D188AA0" w14:textId="68A00C77" w:rsidR="00775B85" w:rsidRPr="001B1DB1" w:rsidRDefault="00C57264" w:rsidP="00C0727F">
            <w:pPr>
              <w:jc w:val="both"/>
              <w:rPr>
                <w:sz w:val="20"/>
                <w:szCs w:val="20"/>
              </w:rPr>
            </w:pPr>
            <w:r w:rsidRPr="001B1DB1">
              <w:rPr>
                <w:sz w:val="20"/>
                <w:szCs w:val="20"/>
              </w:rPr>
              <w:lastRenderedPageBreak/>
              <w:t xml:space="preserve">1. </w:t>
            </w:r>
            <w:r w:rsidR="00A767A3">
              <w:rPr>
                <w:sz w:val="20"/>
                <w:szCs w:val="20"/>
              </w:rPr>
              <w:t>Nodrošinātas k</w:t>
            </w:r>
            <w:r w:rsidR="00775B85" w:rsidRPr="001B1DB1">
              <w:rPr>
                <w:sz w:val="20"/>
                <w:szCs w:val="20"/>
              </w:rPr>
              <w:t>onsultācijas un likuma subjektu apmācības IKS uzlabošanai</w:t>
            </w:r>
            <w:r w:rsidR="007B7CA9">
              <w:t xml:space="preserve"> </w:t>
            </w:r>
            <w:r w:rsidR="007B7CA9" w:rsidRPr="007B7CA9">
              <w:rPr>
                <w:sz w:val="20"/>
                <w:szCs w:val="20"/>
              </w:rPr>
              <w:t>atbilstoši atbildīgās institūcijas  ikgadējam plānam</w:t>
            </w:r>
            <w:r w:rsidR="00775B85" w:rsidRPr="001B1DB1">
              <w:rPr>
                <w:sz w:val="20"/>
                <w:szCs w:val="20"/>
              </w:rPr>
              <w:t>.</w:t>
            </w:r>
          </w:p>
        </w:tc>
        <w:tc>
          <w:tcPr>
            <w:tcW w:w="1134" w:type="dxa"/>
            <w:shd w:val="clear" w:color="auto" w:fill="auto"/>
          </w:tcPr>
          <w:p w14:paraId="318B276B" w14:textId="20EFE556" w:rsidR="00775B85" w:rsidRPr="001B1DB1" w:rsidRDefault="00616C36" w:rsidP="002B2537">
            <w:pPr>
              <w:jc w:val="center"/>
              <w:rPr>
                <w:sz w:val="20"/>
                <w:szCs w:val="20"/>
              </w:rPr>
            </w:pPr>
            <w:r w:rsidRPr="001B1DB1">
              <w:rPr>
                <w:sz w:val="20"/>
                <w:szCs w:val="20"/>
              </w:rPr>
              <w:t xml:space="preserve">FKTK, VID, LB, IAUI, LZAP, LZNP, </w:t>
            </w:r>
            <w:r w:rsidRPr="001B1DB1">
              <w:rPr>
                <w:sz w:val="20"/>
                <w:szCs w:val="20"/>
              </w:rPr>
              <w:lastRenderedPageBreak/>
              <w:t>LZRA, NKMP, PTAC</w:t>
            </w:r>
            <w:r>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4274011F" w14:textId="77777777" w:rsidR="00775B85" w:rsidRPr="001B1DB1" w:rsidRDefault="00775B85" w:rsidP="002B2537">
            <w:pPr>
              <w:jc w:val="center"/>
              <w:rPr>
                <w:sz w:val="20"/>
                <w:szCs w:val="20"/>
              </w:rPr>
            </w:pPr>
          </w:p>
        </w:tc>
        <w:tc>
          <w:tcPr>
            <w:tcW w:w="1418" w:type="dxa"/>
            <w:shd w:val="clear" w:color="auto" w:fill="auto"/>
          </w:tcPr>
          <w:p w14:paraId="775BE683" w14:textId="77777777" w:rsidR="00775B85" w:rsidRPr="001B1DB1" w:rsidRDefault="00775B85" w:rsidP="002B2537">
            <w:pPr>
              <w:jc w:val="center"/>
              <w:rPr>
                <w:sz w:val="20"/>
                <w:szCs w:val="20"/>
              </w:rPr>
            </w:pPr>
            <w:r w:rsidRPr="001B1DB1">
              <w:rPr>
                <w:sz w:val="20"/>
                <w:szCs w:val="20"/>
              </w:rPr>
              <w:t>Pastāvīgi</w:t>
            </w:r>
          </w:p>
        </w:tc>
      </w:tr>
      <w:tr w:rsidR="00775B85" w:rsidRPr="001B1DB1" w14:paraId="29EB7927" w14:textId="77777777" w:rsidTr="001B2BEE">
        <w:trPr>
          <w:trHeight w:val="543"/>
        </w:trPr>
        <w:tc>
          <w:tcPr>
            <w:tcW w:w="851" w:type="dxa"/>
            <w:vMerge/>
          </w:tcPr>
          <w:p w14:paraId="78150E29" w14:textId="77777777" w:rsidR="00775B85" w:rsidRPr="001B1DB1" w:rsidRDefault="00775B85" w:rsidP="00EC4F0C">
            <w:pPr>
              <w:jc w:val="center"/>
              <w:rPr>
                <w:rFonts w:cs="Times New Roman"/>
                <w:bCs/>
                <w:sz w:val="20"/>
                <w:szCs w:val="20"/>
              </w:rPr>
            </w:pPr>
          </w:p>
        </w:tc>
        <w:tc>
          <w:tcPr>
            <w:tcW w:w="3544" w:type="dxa"/>
            <w:vMerge/>
            <w:shd w:val="clear" w:color="auto" w:fill="auto"/>
          </w:tcPr>
          <w:p w14:paraId="5ACD4429" w14:textId="77777777" w:rsidR="00775B85" w:rsidRPr="001B1DB1" w:rsidRDefault="00775B85" w:rsidP="00EC4F0C">
            <w:pPr>
              <w:jc w:val="both"/>
              <w:rPr>
                <w:sz w:val="20"/>
                <w:szCs w:val="20"/>
              </w:rPr>
            </w:pPr>
          </w:p>
        </w:tc>
        <w:tc>
          <w:tcPr>
            <w:tcW w:w="1559" w:type="dxa"/>
            <w:vMerge/>
          </w:tcPr>
          <w:p w14:paraId="0FBCD01C" w14:textId="77777777" w:rsidR="00775B85" w:rsidRPr="001B1DB1" w:rsidRDefault="00775B85" w:rsidP="00EC4F0C">
            <w:pPr>
              <w:rPr>
                <w:sz w:val="20"/>
                <w:szCs w:val="20"/>
              </w:rPr>
            </w:pPr>
          </w:p>
        </w:tc>
        <w:tc>
          <w:tcPr>
            <w:tcW w:w="2551" w:type="dxa"/>
            <w:vMerge/>
            <w:shd w:val="clear" w:color="auto" w:fill="auto"/>
          </w:tcPr>
          <w:p w14:paraId="59887546" w14:textId="77777777" w:rsidR="00775B85" w:rsidRPr="001B1DB1" w:rsidRDefault="00775B85" w:rsidP="00EC4F0C">
            <w:pPr>
              <w:rPr>
                <w:sz w:val="20"/>
                <w:szCs w:val="20"/>
              </w:rPr>
            </w:pPr>
          </w:p>
        </w:tc>
        <w:tc>
          <w:tcPr>
            <w:tcW w:w="2694" w:type="dxa"/>
          </w:tcPr>
          <w:p w14:paraId="6307D39F" w14:textId="2B04EAD6" w:rsidR="00775B85" w:rsidRPr="001B1DB1" w:rsidRDefault="00C57264" w:rsidP="00EC4F0C">
            <w:pPr>
              <w:jc w:val="both"/>
              <w:rPr>
                <w:sz w:val="20"/>
                <w:szCs w:val="20"/>
              </w:rPr>
            </w:pPr>
            <w:r w:rsidRPr="001B1DB1">
              <w:rPr>
                <w:sz w:val="20"/>
                <w:szCs w:val="20"/>
              </w:rPr>
              <w:t xml:space="preserve">2. </w:t>
            </w:r>
            <w:r w:rsidR="00775B85" w:rsidRPr="001B1DB1">
              <w:rPr>
                <w:sz w:val="20"/>
                <w:szCs w:val="20"/>
              </w:rPr>
              <w:t xml:space="preserve">Nebanku sektora </w:t>
            </w:r>
            <w:r w:rsidR="00E70589" w:rsidRPr="001B1DB1">
              <w:rPr>
                <w:sz w:val="20"/>
                <w:szCs w:val="20"/>
              </w:rPr>
              <w:t>UKI</w:t>
            </w:r>
            <w:r w:rsidR="00E70589" w:rsidRPr="001B1DB1" w:rsidDel="00E70589">
              <w:rPr>
                <w:sz w:val="20"/>
                <w:szCs w:val="20"/>
              </w:rPr>
              <w:t xml:space="preserve"> </w:t>
            </w:r>
            <w:r w:rsidR="00775B85" w:rsidRPr="001B1DB1">
              <w:rPr>
                <w:sz w:val="20"/>
                <w:szCs w:val="20"/>
              </w:rPr>
              <w:t xml:space="preserve">un likuma subjektu apmācības par TF </w:t>
            </w:r>
            <w:r w:rsidR="00A767A3">
              <w:rPr>
                <w:sz w:val="20"/>
                <w:szCs w:val="20"/>
              </w:rPr>
              <w:t xml:space="preserve">novēršanu </w:t>
            </w:r>
            <w:r w:rsidR="00775B85" w:rsidRPr="001B1DB1">
              <w:rPr>
                <w:sz w:val="20"/>
                <w:szCs w:val="20"/>
              </w:rPr>
              <w:t>un PF</w:t>
            </w:r>
            <w:r w:rsidR="00A767A3">
              <w:rPr>
                <w:sz w:val="20"/>
                <w:szCs w:val="20"/>
              </w:rPr>
              <w:t xml:space="preserve"> novēršanu</w:t>
            </w:r>
            <w:r w:rsidR="007B7CA9">
              <w:t xml:space="preserve"> </w:t>
            </w:r>
            <w:r w:rsidR="007B7CA9" w:rsidRPr="007B7CA9">
              <w:rPr>
                <w:sz w:val="20"/>
                <w:szCs w:val="20"/>
              </w:rPr>
              <w:t>atbilstoši atbildīgās institūcijas  ikgadējam plānam</w:t>
            </w:r>
            <w:r w:rsidR="00775B85" w:rsidRPr="001B1DB1">
              <w:rPr>
                <w:sz w:val="20"/>
                <w:szCs w:val="20"/>
              </w:rPr>
              <w:t>.</w:t>
            </w:r>
          </w:p>
        </w:tc>
        <w:tc>
          <w:tcPr>
            <w:tcW w:w="1134" w:type="dxa"/>
            <w:shd w:val="clear" w:color="auto" w:fill="auto"/>
          </w:tcPr>
          <w:p w14:paraId="3E4E68C2" w14:textId="53184CC4" w:rsidR="00775B85" w:rsidRPr="001B1DB1" w:rsidRDefault="00616C36" w:rsidP="002B2537">
            <w:pPr>
              <w:jc w:val="center"/>
              <w:rPr>
                <w:sz w:val="20"/>
                <w:szCs w:val="20"/>
              </w:rPr>
            </w:pPr>
            <w:r w:rsidRPr="001B1DB1">
              <w:rPr>
                <w:sz w:val="20"/>
                <w:szCs w:val="20"/>
              </w:rPr>
              <w:t>FKTK, VID, LB, IAUI, LZAP, LZNP, LZRA, NKMP, PTAC</w:t>
            </w:r>
            <w:r>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6115A6D4" w14:textId="77777777" w:rsidR="00775B85" w:rsidRPr="001B1DB1" w:rsidRDefault="00775B85" w:rsidP="002B2537">
            <w:pPr>
              <w:jc w:val="center"/>
              <w:rPr>
                <w:sz w:val="20"/>
                <w:szCs w:val="20"/>
              </w:rPr>
            </w:pPr>
            <w:r w:rsidRPr="001B1DB1">
              <w:rPr>
                <w:sz w:val="20"/>
                <w:szCs w:val="20"/>
              </w:rPr>
              <w:t>VDD</w:t>
            </w:r>
          </w:p>
        </w:tc>
        <w:tc>
          <w:tcPr>
            <w:tcW w:w="1418" w:type="dxa"/>
            <w:shd w:val="clear" w:color="auto" w:fill="auto"/>
          </w:tcPr>
          <w:p w14:paraId="16ADF061" w14:textId="77777777" w:rsidR="00775B85" w:rsidRPr="001B1DB1" w:rsidRDefault="004A71E4" w:rsidP="002B2537">
            <w:pPr>
              <w:jc w:val="center"/>
              <w:rPr>
                <w:sz w:val="20"/>
                <w:szCs w:val="20"/>
              </w:rPr>
            </w:pPr>
            <w:r w:rsidRPr="001B1DB1">
              <w:rPr>
                <w:sz w:val="20"/>
                <w:szCs w:val="20"/>
              </w:rPr>
              <w:t>31.08.2020.</w:t>
            </w:r>
          </w:p>
        </w:tc>
      </w:tr>
      <w:tr w:rsidR="00967AE5" w:rsidRPr="001B1DB1" w14:paraId="2342A8F4" w14:textId="77777777" w:rsidTr="001B2BEE">
        <w:trPr>
          <w:trHeight w:val="543"/>
        </w:trPr>
        <w:tc>
          <w:tcPr>
            <w:tcW w:w="851" w:type="dxa"/>
          </w:tcPr>
          <w:p w14:paraId="4993A4AF" w14:textId="77777777" w:rsidR="00967AE5" w:rsidRPr="001B1DB1" w:rsidRDefault="00967AE5" w:rsidP="00F172FF">
            <w:pPr>
              <w:jc w:val="center"/>
              <w:rPr>
                <w:rFonts w:cs="Times New Roman"/>
                <w:bCs/>
                <w:sz w:val="20"/>
                <w:szCs w:val="20"/>
              </w:rPr>
            </w:pPr>
            <w:r w:rsidRPr="001B1DB1">
              <w:rPr>
                <w:rFonts w:cs="Times New Roman"/>
                <w:bCs/>
                <w:sz w:val="20"/>
                <w:szCs w:val="20"/>
              </w:rPr>
              <w:t>10.</w:t>
            </w:r>
            <w:r w:rsidR="00BA2B73" w:rsidRPr="001B1DB1">
              <w:rPr>
                <w:rFonts w:cs="Times New Roman"/>
                <w:bCs/>
                <w:sz w:val="20"/>
                <w:szCs w:val="20"/>
              </w:rPr>
              <w:t>4</w:t>
            </w:r>
            <w:r w:rsidRPr="001B1DB1">
              <w:rPr>
                <w:rFonts w:cs="Times New Roman"/>
                <w:bCs/>
                <w:sz w:val="20"/>
                <w:szCs w:val="20"/>
              </w:rPr>
              <w:t>.</w:t>
            </w:r>
          </w:p>
        </w:tc>
        <w:tc>
          <w:tcPr>
            <w:tcW w:w="3544" w:type="dxa"/>
            <w:shd w:val="clear" w:color="auto" w:fill="auto"/>
          </w:tcPr>
          <w:p w14:paraId="4021AD68" w14:textId="77777777" w:rsidR="00967AE5" w:rsidRPr="001B1DB1" w:rsidRDefault="00967AE5" w:rsidP="00967AE5">
            <w:pPr>
              <w:jc w:val="both"/>
            </w:pPr>
            <w:r w:rsidRPr="001B1DB1">
              <w:rPr>
                <w:sz w:val="20"/>
                <w:szCs w:val="20"/>
              </w:rPr>
              <w:t xml:space="preserve">Eiropas Parlamenta un Padomes </w:t>
            </w:r>
            <w:r w:rsidR="0079224C" w:rsidRPr="001B1DB1">
              <w:rPr>
                <w:sz w:val="20"/>
                <w:szCs w:val="20"/>
              </w:rPr>
              <w:t>Regulas (ES) 2019/880 (2019. gada 17. aprīlis)</w:t>
            </w:r>
            <w:r w:rsidRPr="001B1DB1">
              <w:rPr>
                <w:sz w:val="20"/>
                <w:szCs w:val="20"/>
              </w:rPr>
              <w:t xml:space="preserve"> par kultūras priekšmetu ievešanu un importu ieviešanas pasākumi</w:t>
            </w:r>
            <w:r w:rsidR="004A71E4" w:rsidRPr="001B1DB1">
              <w:rPr>
                <w:sz w:val="20"/>
                <w:szCs w:val="20"/>
              </w:rPr>
              <w:t>.</w:t>
            </w:r>
          </w:p>
        </w:tc>
        <w:tc>
          <w:tcPr>
            <w:tcW w:w="1559" w:type="dxa"/>
          </w:tcPr>
          <w:p w14:paraId="670654D5" w14:textId="77777777" w:rsidR="00967AE5" w:rsidRPr="001B1DB1" w:rsidRDefault="005175D0" w:rsidP="00967AE5">
            <w:r>
              <w:t xml:space="preserve">  </w:t>
            </w:r>
          </w:p>
        </w:tc>
        <w:tc>
          <w:tcPr>
            <w:tcW w:w="2551" w:type="dxa"/>
            <w:shd w:val="clear" w:color="auto" w:fill="auto"/>
          </w:tcPr>
          <w:p w14:paraId="78F1585A" w14:textId="4E914B36" w:rsidR="00967AE5" w:rsidRPr="001B1DB1" w:rsidRDefault="001A18D7" w:rsidP="00D16025">
            <w:pPr>
              <w:jc w:val="both"/>
            </w:pPr>
            <w:r>
              <w:rPr>
                <w:rFonts w:cs="Times New Roman"/>
                <w:sz w:val="20"/>
                <w:szCs w:val="20"/>
              </w:rPr>
              <w:t>Palielināta sabiedrības informētība un atbilstoši regulēta kultūras priekšmetu ievešana</w:t>
            </w:r>
            <w:r w:rsidR="00967AE5" w:rsidRPr="001B1DB1">
              <w:rPr>
                <w:rFonts w:cs="Times New Roman"/>
                <w:sz w:val="20"/>
                <w:szCs w:val="20"/>
              </w:rPr>
              <w:t>. Minimizēta iespēja nelikumīgi ievest ES kultūras priekšmetus</w:t>
            </w:r>
            <w:r w:rsidR="004A71E4" w:rsidRPr="001B1DB1">
              <w:rPr>
                <w:rFonts w:cs="Times New Roman"/>
                <w:sz w:val="20"/>
                <w:szCs w:val="20"/>
              </w:rPr>
              <w:t>.</w:t>
            </w:r>
          </w:p>
        </w:tc>
        <w:tc>
          <w:tcPr>
            <w:tcW w:w="2694" w:type="dxa"/>
          </w:tcPr>
          <w:p w14:paraId="5DD760E4" w14:textId="3394ABCA" w:rsidR="00967AE5" w:rsidRPr="001B1DB1" w:rsidRDefault="00810D8C" w:rsidP="00C0727F">
            <w:pPr>
              <w:jc w:val="both"/>
            </w:pPr>
            <w:r>
              <w:rPr>
                <w:rFonts w:cs="Times New Roman"/>
                <w:sz w:val="20"/>
                <w:szCs w:val="20"/>
              </w:rPr>
              <w:t>Organizēta i</w:t>
            </w:r>
            <w:r w:rsidR="00967AE5" w:rsidRPr="001B1DB1">
              <w:rPr>
                <w:rFonts w:cs="Times New Roman"/>
                <w:sz w:val="20"/>
                <w:szCs w:val="20"/>
              </w:rPr>
              <w:t xml:space="preserve">nformācijas izplatīšanas kampaņa, kas </w:t>
            </w:r>
            <w:r>
              <w:rPr>
                <w:rFonts w:cs="Times New Roman"/>
                <w:sz w:val="20"/>
                <w:szCs w:val="20"/>
              </w:rPr>
              <w:t>uzlabo</w:t>
            </w:r>
            <w:r w:rsidRPr="001B1DB1">
              <w:rPr>
                <w:rFonts w:cs="Times New Roman"/>
                <w:sz w:val="20"/>
                <w:szCs w:val="20"/>
              </w:rPr>
              <w:t xml:space="preserve"> </w:t>
            </w:r>
            <w:r w:rsidR="00967AE5" w:rsidRPr="001B1DB1">
              <w:rPr>
                <w:rFonts w:cs="Times New Roman"/>
                <w:sz w:val="20"/>
                <w:szCs w:val="20"/>
              </w:rPr>
              <w:t>cilvēku zināšanas par EK importa regulu un tās noteikumiem.</w:t>
            </w:r>
          </w:p>
        </w:tc>
        <w:tc>
          <w:tcPr>
            <w:tcW w:w="1134" w:type="dxa"/>
            <w:shd w:val="clear" w:color="auto" w:fill="auto"/>
          </w:tcPr>
          <w:p w14:paraId="2AACEFC2" w14:textId="77777777" w:rsidR="00967AE5" w:rsidRPr="001B1DB1" w:rsidRDefault="00967AE5" w:rsidP="002B2537">
            <w:pPr>
              <w:jc w:val="center"/>
            </w:pPr>
            <w:r w:rsidRPr="001B1DB1">
              <w:rPr>
                <w:sz w:val="20"/>
                <w:szCs w:val="20"/>
              </w:rPr>
              <w:t>NKMP</w:t>
            </w:r>
          </w:p>
        </w:tc>
        <w:tc>
          <w:tcPr>
            <w:tcW w:w="1275" w:type="dxa"/>
            <w:shd w:val="clear" w:color="auto" w:fill="auto"/>
          </w:tcPr>
          <w:p w14:paraId="4776B2A7" w14:textId="77777777" w:rsidR="00967AE5" w:rsidRPr="001B1DB1" w:rsidRDefault="00967AE5" w:rsidP="002B2537">
            <w:pPr>
              <w:jc w:val="center"/>
            </w:pPr>
            <w:r w:rsidRPr="001B1DB1">
              <w:rPr>
                <w:sz w:val="20"/>
                <w:szCs w:val="20"/>
              </w:rPr>
              <w:t>KM</w:t>
            </w:r>
          </w:p>
        </w:tc>
        <w:tc>
          <w:tcPr>
            <w:tcW w:w="1418" w:type="dxa"/>
            <w:shd w:val="clear" w:color="auto" w:fill="auto"/>
          </w:tcPr>
          <w:p w14:paraId="2FB08DF4" w14:textId="51694E8F"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2022</w:t>
            </w:r>
            <w:r w:rsidR="0078491B">
              <w:rPr>
                <w:rFonts w:cs="Times New Roman"/>
                <w:bCs/>
                <w:sz w:val="20"/>
                <w:szCs w:val="20"/>
              </w:rPr>
              <w:t>.</w:t>
            </w:r>
          </w:p>
        </w:tc>
      </w:tr>
      <w:tr w:rsidR="00967AE5" w:rsidRPr="001B1DB1" w14:paraId="127C5239" w14:textId="77777777" w:rsidTr="001B2BEE">
        <w:trPr>
          <w:trHeight w:val="543"/>
        </w:trPr>
        <w:tc>
          <w:tcPr>
            <w:tcW w:w="851" w:type="dxa"/>
          </w:tcPr>
          <w:p w14:paraId="4F584DEA" w14:textId="77777777" w:rsidR="00967AE5" w:rsidRPr="001B1DB1" w:rsidRDefault="00967AE5" w:rsidP="00F172FF">
            <w:pPr>
              <w:jc w:val="center"/>
              <w:rPr>
                <w:rFonts w:cs="Times New Roman"/>
                <w:bCs/>
                <w:sz w:val="20"/>
                <w:szCs w:val="20"/>
              </w:rPr>
            </w:pPr>
            <w:r w:rsidRPr="001B1DB1">
              <w:rPr>
                <w:rFonts w:cs="Times New Roman"/>
                <w:bCs/>
                <w:sz w:val="20"/>
                <w:szCs w:val="20"/>
              </w:rPr>
              <w:t>10.</w:t>
            </w:r>
            <w:r w:rsidR="00BA2B73" w:rsidRPr="001B1DB1">
              <w:rPr>
                <w:rFonts w:cs="Times New Roman"/>
                <w:bCs/>
                <w:sz w:val="20"/>
                <w:szCs w:val="20"/>
              </w:rPr>
              <w:t>5</w:t>
            </w:r>
            <w:r w:rsidRPr="001B1DB1">
              <w:rPr>
                <w:rFonts w:cs="Times New Roman"/>
                <w:bCs/>
                <w:sz w:val="20"/>
                <w:szCs w:val="20"/>
              </w:rPr>
              <w:t>.</w:t>
            </w:r>
          </w:p>
        </w:tc>
        <w:tc>
          <w:tcPr>
            <w:tcW w:w="3544" w:type="dxa"/>
            <w:shd w:val="clear" w:color="auto" w:fill="auto"/>
          </w:tcPr>
          <w:p w14:paraId="09B1E978" w14:textId="77777777" w:rsidR="00967AE5" w:rsidRPr="001B1DB1" w:rsidRDefault="00967AE5" w:rsidP="00967AE5">
            <w:pPr>
              <w:jc w:val="both"/>
            </w:pPr>
            <w:r w:rsidRPr="001B1DB1">
              <w:rPr>
                <w:sz w:val="20"/>
                <w:szCs w:val="20"/>
              </w:rPr>
              <w:t>Apmācības dažādām mērķauditorijām par kultūras priekšmetu atpazīšanu</w:t>
            </w:r>
            <w:r w:rsidR="004A71E4" w:rsidRPr="001B1DB1">
              <w:rPr>
                <w:sz w:val="20"/>
                <w:szCs w:val="20"/>
              </w:rPr>
              <w:t>.</w:t>
            </w:r>
          </w:p>
        </w:tc>
        <w:tc>
          <w:tcPr>
            <w:tcW w:w="1559" w:type="dxa"/>
          </w:tcPr>
          <w:p w14:paraId="095663CF" w14:textId="77777777" w:rsidR="00967AE5" w:rsidRPr="001B1DB1" w:rsidRDefault="00967AE5" w:rsidP="00967AE5"/>
        </w:tc>
        <w:tc>
          <w:tcPr>
            <w:tcW w:w="2551" w:type="dxa"/>
            <w:shd w:val="clear" w:color="auto" w:fill="auto"/>
          </w:tcPr>
          <w:p w14:paraId="523FAD0D" w14:textId="0B7FA745" w:rsidR="00967AE5" w:rsidRPr="001B1DB1" w:rsidRDefault="00810D8C" w:rsidP="00D16025">
            <w:pPr>
              <w:jc w:val="both"/>
            </w:pPr>
            <w:r>
              <w:rPr>
                <w:rFonts w:cs="Times New Roman"/>
                <w:sz w:val="20"/>
                <w:szCs w:val="20"/>
              </w:rPr>
              <w:t>Veicināta d</w:t>
            </w:r>
            <w:r w:rsidR="00967AE5" w:rsidRPr="001B1DB1">
              <w:rPr>
                <w:rFonts w:cs="Times New Roman"/>
                <w:sz w:val="20"/>
                <w:szCs w:val="20"/>
              </w:rPr>
              <w:t>ažādu mērķauditoriju izpratne par apdraudētajiem kultūras priekšmetiem un pieminekļiem, tā pazeminot risku, ka šādi priekšmet</w:t>
            </w:r>
            <w:r>
              <w:rPr>
                <w:rFonts w:cs="Times New Roman"/>
                <w:sz w:val="20"/>
                <w:szCs w:val="20"/>
              </w:rPr>
              <w:t>i</w:t>
            </w:r>
            <w:r w:rsidR="00967AE5" w:rsidRPr="001B1DB1">
              <w:rPr>
                <w:rFonts w:cs="Times New Roman"/>
                <w:sz w:val="20"/>
                <w:szCs w:val="20"/>
              </w:rPr>
              <w:t xml:space="preserve"> varētu parādīties Latvijas tirgū vai Latvija varētu kļūt par to tranzītvalsti. </w:t>
            </w:r>
          </w:p>
        </w:tc>
        <w:tc>
          <w:tcPr>
            <w:tcW w:w="2694" w:type="dxa"/>
          </w:tcPr>
          <w:p w14:paraId="11D2679D" w14:textId="77777777" w:rsidR="00EB1C64" w:rsidRDefault="00602A88" w:rsidP="00EB1C64">
            <w:pPr>
              <w:jc w:val="both"/>
              <w:rPr>
                <w:rFonts w:cs="Times New Roman"/>
                <w:sz w:val="20"/>
                <w:szCs w:val="20"/>
              </w:rPr>
            </w:pPr>
            <w:r>
              <w:rPr>
                <w:rFonts w:cs="Times New Roman"/>
                <w:sz w:val="20"/>
                <w:szCs w:val="20"/>
              </w:rPr>
              <w:t>O</w:t>
            </w:r>
            <w:r w:rsidRPr="00602A88">
              <w:rPr>
                <w:rFonts w:cs="Times New Roman"/>
                <w:sz w:val="20"/>
                <w:szCs w:val="20"/>
              </w:rPr>
              <w:t>rganizētas</w:t>
            </w:r>
            <w:r w:rsidRPr="00602A88" w:rsidDel="00602A88">
              <w:rPr>
                <w:rFonts w:cs="Times New Roman"/>
                <w:sz w:val="20"/>
                <w:szCs w:val="20"/>
              </w:rPr>
              <w:t xml:space="preserve"> </w:t>
            </w:r>
            <w:r w:rsidR="00967AE5" w:rsidRPr="001B1DB1">
              <w:rPr>
                <w:rFonts w:cs="Times New Roman"/>
                <w:sz w:val="20"/>
                <w:szCs w:val="20"/>
              </w:rPr>
              <w:t>apmācības un semināri:</w:t>
            </w:r>
          </w:p>
          <w:p w14:paraId="6FFB4F0D" w14:textId="60F4FEAF" w:rsidR="00EB1C64" w:rsidRDefault="00967AE5" w:rsidP="00EB1C64">
            <w:pPr>
              <w:jc w:val="both"/>
              <w:rPr>
                <w:rFonts w:cs="Times New Roman"/>
                <w:sz w:val="20"/>
                <w:szCs w:val="20"/>
              </w:rPr>
            </w:pPr>
            <w:r w:rsidRPr="001B1DB1">
              <w:rPr>
                <w:rFonts w:cs="Times New Roman"/>
                <w:sz w:val="20"/>
                <w:szCs w:val="20"/>
              </w:rPr>
              <w:t>1) pastam un tiesībaizsardzības iestādēm –</w:t>
            </w:r>
            <w:r w:rsidR="00EB1C64">
              <w:rPr>
                <w:rFonts w:cs="Times New Roman"/>
                <w:sz w:val="20"/>
                <w:szCs w:val="20"/>
              </w:rPr>
              <w:t xml:space="preserve"> </w:t>
            </w:r>
            <w:r w:rsidRPr="001B1DB1">
              <w:rPr>
                <w:rFonts w:cs="Times New Roman"/>
                <w:sz w:val="20"/>
                <w:szCs w:val="20"/>
              </w:rPr>
              <w:t>muita</w:t>
            </w:r>
            <w:r w:rsidR="007D4253" w:rsidRPr="001B1DB1">
              <w:rPr>
                <w:rFonts w:cs="Times New Roman"/>
                <w:sz w:val="20"/>
                <w:szCs w:val="20"/>
              </w:rPr>
              <w:t>i</w:t>
            </w:r>
            <w:r w:rsidRPr="001B1DB1">
              <w:rPr>
                <w:rFonts w:cs="Times New Roman"/>
                <w:sz w:val="20"/>
                <w:szCs w:val="20"/>
              </w:rPr>
              <w:t xml:space="preserve">, </w:t>
            </w:r>
            <w:r w:rsidR="00F36165" w:rsidRPr="001B1DB1">
              <w:rPr>
                <w:rFonts w:cs="Times New Roman"/>
                <w:sz w:val="20"/>
                <w:szCs w:val="20"/>
              </w:rPr>
              <w:t>VP</w:t>
            </w:r>
            <w:r w:rsidRPr="001B1DB1">
              <w:rPr>
                <w:rFonts w:cs="Times New Roman"/>
                <w:sz w:val="20"/>
                <w:szCs w:val="20"/>
              </w:rPr>
              <w:t xml:space="preserve">, </w:t>
            </w:r>
            <w:r w:rsidR="00F36165" w:rsidRPr="001B1DB1">
              <w:rPr>
                <w:rFonts w:cs="Times New Roman"/>
                <w:sz w:val="20"/>
                <w:szCs w:val="20"/>
              </w:rPr>
              <w:t>VRS</w:t>
            </w:r>
            <w:r w:rsidR="00EB1C64">
              <w:rPr>
                <w:rFonts w:cs="Times New Roman"/>
                <w:sz w:val="20"/>
                <w:szCs w:val="20"/>
              </w:rPr>
              <w:t>;</w:t>
            </w:r>
          </w:p>
          <w:p w14:paraId="540A290C" w14:textId="4929F059" w:rsidR="00EB1C64" w:rsidRDefault="00967AE5" w:rsidP="00656656">
            <w:pPr>
              <w:jc w:val="both"/>
              <w:rPr>
                <w:rFonts w:cs="Times New Roman"/>
                <w:sz w:val="20"/>
                <w:szCs w:val="20"/>
              </w:rPr>
            </w:pPr>
            <w:r w:rsidRPr="001B1DB1">
              <w:rPr>
                <w:rFonts w:cs="Times New Roman"/>
                <w:sz w:val="20"/>
                <w:szCs w:val="20"/>
              </w:rPr>
              <w:t>2) mākslas un antikvāro priekšmetu tirgus</w:t>
            </w:r>
            <w:r w:rsidR="007B7CA9">
              <w:rPr>
                <w:rFonts w:cs="Times New Roman"/>
                <w:sz w:val="20"/>
                <w:szCs w:val="20"/>
              </w:rPr>
              <w:t xml:space="preserve"> </w:t>
            </w:r>
            <w:r w:rsidRPr="001B1DB1">
              <w:rPr>
                <w:rFonts w:cs="Times New Roman"/>
                <w:sz w:val="20"/>
                <w:szCs w:val="20"/>
              </w:rPr>
              <w:t>dalībniekiem</w:t>
            </w:r>
            <w:r w:rsidR="00EB1C64">
              <w:rPr>
                <w:rFonts w:cs="Times New Roman"/>
                <w:sz w:val="20"/>
                <w:szCs w:val="20"/>
              </w:rPr>
              <w:t>;</w:t>
            </w:r>
          </w:p>
          <w:p w14:paraId="6FDEB60B" w14:textId="68F66E1B" w:rsidR="00967AE5" w:rsidRPr="001B1DB1" w:rsidRDefault="00967AE5" w:rsidP="007A3A99">
            <w:pPr>
              <w:jc w:val="both"/>
            </w:pPr>
            <w:r w:rsidRPr="001B1DB1">
              <w:rPr>
                <w:rFonts w:cs="Times New Roman"/>
                <w:sz w:val="20"/>
                <w:szCs w:val="20"/>
              </w:rPr>
              <w:t xml:space="preserve">3) </w:t>
            </w:r>
            <w:r w:rsidR="007D4253" w:rsidRPr="001B1DB1">
              <w:rPr>
                <w:rFonts w:cs="Times New Roman"/>
                <w:sz w:val="20"/>
                <w:szCs w:val="20"/>
              </w:rPr>
              <w:t>v</w:t>
            </w:r>
            <w:r w:rsidRPr="001B1DB1">
              <w:rPr>
                <w:rFonts w:cs="Times New Roman"/>
                <w:sz w:val="20"/>
                <w:szCs w:val="20"/>
              </w:rPr>
              <w:t xml:space="preserve">alsts un privāto muzeju darbiniekiem. </w:t>
            </w:r>
          </w:p>
        </w:tc>
        <w:tc>
          <w:tcPr>
            <w:tcW w:w="1134" w:type="dxa"/>
            <w:shd w:val="clear" w:color="auto" w:fill="auto"/>
          </w:tcPr>
          <w:p w14:paraId="4DFABA88" w14:textId="77777777" w:rsidR="00967AE5" w:rsidRPr="001B1DB1" w:rsidRDefault="00967AE5" w:rsidP="002B2537">
            <w:pPr>
              <w:jc w:val="center"/>
            </w:pPr>
            <w:r w:rsidRPr="001B1DB1">
              <w:rPr>
                <w:sz w:val="20"/>
                <w:szCs w:val="20"/>
              </w:rPr>
              <w:t>NKMP</w:t>
            </w:r>
          </w:p>
        </w:tc>
        <w:tc>
          <w:tcPr>
            <w:tcW w:w="1275" w:type="dxa"/>
            <w:shd w:val="clear" w:color="auto" w:fill="auto"/>
          </w:tcPr>
          <w:p w14:paraId="26D2DB09" w14:textId="77777777" w:rsidR="00967AE5" w:rsidRPr="001B1DB1" w:rsidRDefault="00967AE5" w:rsidP="002B2537">
            <w:pPr>
              <w:jc w:val="center"/>
            </w:pPr>
            <w:r w:rsidRPr="001B1DB1">
              <w:rPr>
                <w:sz w:val="20"/>
                <w:szCs w:val="20"/>
              </w:rPr>
              <w:t>KM</w:t>
            </w:r>
          </w:p>
        </w:tc>
        <w:tc>
          <w:tcPr>
            <w:tcW w:w="1418" w:type="dxa"/>
            <w:shd w:val="clear" w:color="auto" w:fill="auto"/>
          </w:tcPr>
          <w:p w14:paraId="0229A3C4" w14:textId="4FF7A787"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2022</w:t>
            </w:r>
            <w:r w:rsidR="0078491B">
              <w:rPr>
                <w:rFonts w:cs="Times New Roman"/>
                <w:bCs/>
                <w:sz w:val="20"/>
                <w:szCs w:val="20"/>
              </w:rPr>
              <w:t>.</w:t>
            </w:r>
          </w:p>
        </w:tc>
      </w:tr>
      <w:tr w:rsidR="00967AE5" w:rsidRPr="001B1DB1" w14:paraId="3922E3D7" w14:textId="77777777" w:rsidTr="001B2BEE">
        <w:trPr>
          <w:trHeight w:val="543"/>
        </w:trPr>
        <w:tc>
          <w:tcPr>
            <w:tcW w:w="851" w:type="dxa"/>
            <w:vMerge w:val="restart"/>
          </w:tcPr>
          <w:p w14:paraId="466B1B24" w14:textId="77777777" w:rsidR="00967AE5" w:rsidRPr="001B1DB1" w:rsidRDefault="00967AE5" w:rsidP="00F172FF">
            <w:pPr>
              <w:jc w:val="center"/>
              <w:rPr>
                <w:rFonts w:cs="Times New Roman"/>
                <w:bCs/>
                <w:sz w:val="20"/>
                <w:szCs w:val="20"/>
              </w:rPr>
            </w:pPr>
            <w:r w:rsidRPr="001B1DB1">
              <w:rPr>
                <w:rFonts w:cs="Times New Roman"/>
                <w:bCs/>
                <w:sz w:val="20"/>
                <w:szCs w:val="20"/>
              </w:rPr>
              <w:t>10.</w:t>
            </w:r>
            <w:r w:rsidR="00BA2B73" w:rsidRPr="001B1DB1">
              <w:rPr>
                <w:rFonts w:cs="Times New Roman"/>
                <w:bCs/>
                <w:sz w:val="20"/>
                <w:szCs w:val="20"/>
              </w:rPr>
              <w:t>6</w:t>
            </w:r>
            <w:r w:rsidRPr="001B1DB1">
              <w:rPr>
                <w:rFonts w:cs="Times New Roman"/>
                <w:bCs/>
                <w:sz w:val="20"/>
                <w:szCs w:val="20"/>
              </w:rPr>
              <w:t>.</w:t>
            </w:r>
          </w:p>
        </w:tc>
        <w:tc>
          <w:tcPr>
            <w:tcW w:w="3544" w:type="dxa"/>
            <w:vMerge w:val="restart"/>
            <w:shd w:val="clear" w:color="auto" w:fill="auto"/>
          </w:tcPr>
          <w:p w14:paraId="15FD1B08" w14:textId="77777777" w:rsidR="00967AE5" w:rsidRPr="001B1DB1" w:rsidRDefault="00967AE5" w:rsidP="00967AE5">
            <w:pPr>
              <w:jc w:val="both"/>
            </w:pPr>
            <w:r w:rsidRPr="001B1DB1">
              <w:rPr>
                <w:sz w:val="20"/>
                <w:szCs w:val="20"/>
              </w:rPr>
              <w:t>UNESCO 1970. gada konvencijas par kultūras priekšmetu nelikumīgas ievešanas, izvešanas un īpašumtiesību maiņas aizliegšanu un novēršanu 50-gadei un UNIDROIT konvencijas 25-gadei veltīta starptautiska konference</w:t>
            </w:r>
            <w:r w:rsidR="004A71E4" w:rsidRPr="001B1DB1">
              <w:rPr>
                <w:sz w:val="20"/>
                <w:szCs w:val="20"/>
              </w:rPr>
              <w:t>.</w:t>
            </w:r>
          </w:p>
        </w:tc>
        <w:tc>
          <w:tcPr>
            <w:tcW w:w="1559" w:type="dxa"/>
            <w:vMerge w:val="restart"/>
          </w:tcPr>
          <w:p w14:paraId="2A02CB6A" w14:textId="77777777" w:rsidR="00967AE5" w:rsidRPr="001B1DB1" w:rsidRDefault="005175D0" w:rsidP="00967AE5">
            <w:r>
              <w:t xml:space="preserve">   </w:t>
            </w:r>
          </w:p>
        </w:tc>
        <w:tc>
          <w:tcPr>
            <w:tcW w:w="2551" w:type="dxa"/>
            <w:vMerge w:val="restart"/>
            <w:shd w:val="clear" w:color="auto" w:fill="auto"/>
          </w:tcPr>
          <w:p w14:paraId="48425C40" w14:textId="1F6A7907" w:rsidR="00967AE5" w:rsidRPr="001B1DB1" w:rsidRDefault="00967AE5" w:rsidP="00D16025">
            <w:pPr>
              <w:jc w:val="both"/>
              <w:rPr>
                <w:rFonts w:cs="Times New Roman"/>
                <w:sz w:val="20"/>
                <w:szCs w:val="20"/>
              </w:rPr>
            </w:pPr>
            <w:r w:rsidRPr="001B1DB1">
              <w:rPr>
                <w:rFonts w:cs="Times New Roman"/>
                <w:sz w:val="20"/>
                <w:szCs w:val="20"/>
              </w:rPr>
              <w:t xml:space="preserve">Veicināta starptautiskā sadarbība un izpratne ar valstīm, kurām ir dažāds pieredzes līmenis </w:t>
            </w:r>
            <w:r w:rsidRPr="001B1DB1">
              <w:rPr>
                <w:sz w:val="20"/>
                <w:szCs w:val="20"/>
              </w:rPr>
              <w:t>NILLTPF un sankciju neizpildes</w:t>
            </w:r>
            <w:r w:rsidRPr="001B1DB1">
              <w:rPr>
                <w:rFonts w:cs="Times New Roman"/>
                <w:sz w:val="20"/>
                <w:szCs w:val="20"/>
              </w:rPr>
              <w:t xml:space="preserve"> novēršanas jomā, pieaicinot starptautiski atzītus ekspertus un pārstāvjus no </w:t>
            </w:r>
            <w:r w:rsidR="00466C9E">
              <w:t xml:space="preserve"> </w:t>
            </w:r>
            <w:r w:rsidR="00466C9E" w:rsidRPr="00466C9E">
              <w:rPr>
                <w:rFonts w:cs="Times New Roman"/>
                <w:sz w:val="20"/>
                <w:szCs w:val="20"/>
              </w:rPr>
              <w:t xml:space="preserve">UNESCO </w:t>
            </w:r>
            <w:r w:rsidRPr="001B1DB1">
              <w:rPr>
                <w:rFonts w:cs="Times New Roman"/>
                <w:sz w:val="20"/>
                <w:szCs w:val="20"/>
              </w:rPr>
              <w:lastRenderedPageBreak/>
              <w:t>1970.</w:t>
            </w:r>
            <w:r w:rsidR="009E2B22">
              <w:rPr>
                <w:rFonts w:cs="Times New Roman"/>
                <w:sz w:val="20"/>
                <w:szCs w:val="20"/>
              </w:rPr>
              <w:t xml:space="preserve"> gada</w:t>
            </w:r>
            <w:r w:rsidRPr="001B1DB1">
              <w:rPr>
                <w:rFonts w:cs="Times New Roman"/>
                <w:sz w:val="20"/>
                <w:szCs w:val="20"/>
              </w:rPr>
              <w:t xml:space="preserve"> konvencijas dalībvalstīm. </w:t>
            </w:r>
          </w:p>
          <w:p w14:paraId="34D9ECAD" w14:textId="77777777" w:rsidR="00967AE5" w:rsidRPr="001B1DB1" w:rsidRDefault="00967AE5" w:rsidP="00967AE5"/>
        </w:tc>
        <w:tc>
          <w:tcPr>
            <w:tcW w:w="2694" w:type="dxa"/>
          </w:tcPr>
          <w:p w14:paraId="27597221" w14:textId="1EF363D0" w:rsidR="00967AE5" w:rsidRPr="001B1DB1" w:rsidRDefault="00C57264" w:rsidP="00747061">
            <w:pPr>
              <w:jc w:val="both"/>
            </w:pPr>
            <w:r w:rsidRPr="001B1DB1">
              <w:rPr>
                <w:rFonts w:cs="Times New Roman"/>
                <w:sz w:val="20"/>
                <w:szCs w:val="20"/>
              </w:rPr>
              <w:lastRenderedPageBreak/>
              <w:t xml:space="preserve">1. </w:t>
            </w:r>
            <w:r w:rsidR="008F6941">
              <w:rPr>
                <w:rFonts w:cs="Times New Roman"/>
                <w:sz w:val="20"/>
                <w:szCs w:val="20"/>
              </w:rPr>
              <w:t>N</w:t>
            </w:r>
            <w:r w:rsidR="00967AE5" w:rsidRPr="001B1DB1">
              <w:rPr>
                <w:rFonts w:cs="Times New Roman"/>
                <w:sz w:val="20"/>
                <w:szCs w:val="20"/>
              </w:rPr>
              <w:t>oorganizēta starptautisk</w:t>
            </w:r>
            <w:r w:rsidR="00747061">
              <w:rPr>
                <w:rFonts w:cs="Times New Roman"/>
                <w:sz w:val="20"/>
                <w:szCs w:val="20"/>
              </w:rPr>
              <w:t>a</w:t>
            </w:r>
            <w:r w:rsidR="00967AE5" w:rsidRPr="001B1DB1">
              <w:rPr>
                <w:rFonts w:cs="Times New Roman"/>
                <w:sz w:val="20"/>
                <w:szCs w:val="20"/>
              </w:rPr>
              <w:t xml:space="preserve"> konference kultūras mantojuma nelikumīgas aprites novēršanas jomā, kas ir veicinājusi pieredzes apmaiņu un sadarbību starp </w:t>
            </w:r>
            <w:r w:rsidR="00466C9E">
              <w:t xml:space="preserve"> </w:t>
            </w:r>
            <w:r w:rsidR="00466C9E" w:rsidRPr="00466C9E">
              <w:rPr>
                <w:rFonts w:cs="Times New Roman"/>
                <w:sz w:val="20"/>
                <w:szCs w:val="20"/>
              </w:rPr>
              <w:t xml:space="preserve">UNESCO </w:t>
            </w:r>
            <w:r w:rsidR="00967AE5" w:rsidRPr="001B1DB1">
              <w:rPr>
                <w:rFonts w:cs="Times New Roman"/>
                <w:sz w:val="20"/>
                <w:szCs w:val="20"/>
              </w:rPr>
              <w:t xml:space="preserve">1970. gada konvencijas dalībvalstīm, nostiprinot </w:t>
            </w:r>
            <w:r w:rsidR="00967AE5" w:rsidRPr="001B1DB1">
              <w:rPr>
                <w:rFonts w:cs="Times New Roman"/>
                <w:sz w:val="20"/>
                <w:szCs w:val="20"/>
              </w:rPr>
              <w:lastRenderedPageBreak/>
              <w:t>tiešāku savstarpējo tīkla izveidošanu.</w:t>
            </w:r>
          </w:p>
        </w:tc>
        <w:tc>
          <w:tcPr>
            <w:tcW w:w="1134" w:type="dxa"/>
            <w:shd w:val="clear" w:color="auto" w:fill="auto"/>
          </w:tcPr>
          <w:p w14:paraId="2D7C2831" w14:textId="77777777" w:rsidR="00967AE5" w:rsidRPr="001B1DB1" w:rsidRDefault="00967AE5" w:rsidP="002B2537">
            <w:pPr>
              <w:jc w:val="center"/>
            </w:pPr>
            <w:r w:rsidRPr="001B1DB1">
              <w:rPr>
                <w:sz w:val="20"/>
                <w:szCs w:val="20"/>
              </w:rPr>
              <w:lastRenderedPageBreak/>
              <w:t>NKMP</w:t>
            </w:r>
          </w:p>
        </w:tc>
        <w:tc>
          <w:tcPr>
            <w:tcW w:w="1275" w:type="dxa"/>
            <w:shd w:val="clear" w:color="auto" w:fill="auto"/>
          </w:tcPr>
          <w:p w14:paraId="0F1EAF3A" w14:textId="77777777" w:rsidR="00967AE5" w:rsidRPr="001B1DB1" w:rsidRDefault="00967AE5" w:rsidP="002B2537">
            <w:pPr>
              <w:jc w:val="center"/>
            </w:pPr>
            <w:r w:rsidRPr="001B1DB1">
              <w:rPr>
                <w:sz w:val="20"/>
                <w:szCs w:val="20"/>
              </w:rPr>
              <w:t>KM</w:t>
            </w:r>
          </w:p>
        </w:tc>
        <w:tc>
          <w:tcPr>
            <w:tcW w:w="1418" w:type="dxa"/>
            <w:shd w:val="clear" w:color="auto" w:fill="auto"/>
          </w:tcPr>
          <w:p w14:paraId="27350C3A" w14:textId="6AE2CF3D"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2020</w:t>
            </w:r>
            <w:r w:rsidR="0078491B">
              <w:rPr>
                <w:rFonts w:cs="Times New Roman"/>
                <w:bCs/>
                <w:sz w:val="20"/>
                <w:szCs w:val="20"/>
              </w:rPr>
              <w:t>.</w:t>
            </w:r>
          </w:p>
        </w:tc>
      </w:tr>
      <w:tr w:rsidR="00967AE5" w:rsidRPr="001B1DB1" w14:paraId="18145BB2" w14:textId="77777777" w:rsidTr="001B2BEE">
        <w:trPr>
          <w:trHeight w:val="543"/>
        </w:trPr>
        <w:tc>
          <w:tcPr>
            <w:tcW w:w="851" w:type="dxa"/>
            <w:vMerge/>
          </w:tcPr>
          <w:p w14:paraId="0A8B6F9F" w14:textId="77777777" w:rsidR="00967AE5" w:rsidRPr="001B1DB1" w:rsidRDefault="00967AE5" w:rsidP="00967AE5">
            <w:pPr>
              <w:jc w:val="center"/>
              <w:rPr>
                <w:rFonts w:cs="Times New Roman"/>
                <w:bCs/>
                <w:sz w:val="20"/>
                <w:szCs w:val="20"/>
              </w:rPr>
            </w:pPr>
          </w:p>
        </w:tc>
        <w:tc>
          <w:tcPr>
            <w:tcW w:w="3544" w:type="dxa"/>
            <w:vMerge/>
            <w:shd w:val="clear" w:color="auto" w:fill="auto"/>
          </w:tcPr>
          <w:p w14:paraId="2245E94D" w14:textId="77777777" w:rsidR="00967AE5" w:rsidRPr="001B1DB1" w:rsidRDefault="00967AE5" w:rsidP="00967AE5">
            <w:pPr>
              <w:jc w:val="both"/>
            </w:pPr>
          </w:p>
        </w:tc>
        <w:tc>
          <w:tcPr>
            <w:tcW w:w="1559" w:type="dxa"/>
            <w:vMerge/>
          </w:tcPr>
          <w:p w14:paraId="6F13EDD6" w14:textId="77777777" w:rsidR="00967AE5" w:rsidRPr="001B1DB1" w:rsidRDefault="00967AE5" w:rsidP="00967AE5"/>
        </w:tc>
        <w:tc>
          <w:tcPr>
            <w:tcW w:w="2551" w:type="dxa"/>
            <w:vMerge/>
            <w:shd w:val="clear" w:color="auto" w:fill="auto"/>
          </w:tcPr>
          <w:p w14:paraId="6A9813CA" w14:textId="77777777" w:rsidR="00967AE5" w:rsidRPr="001B1DB1" w:rsidRDefault="00967AE5" w:rsidP="00967AE5"/>
        </w:tc>
        <w:tc>
          <w:tcPr>
            <w:tcW w:w="2694" w:type="dxa"/>
          </w:tcPr>
          <w:p w14:paraId="673C1FB2" w14:textId="77777777" w:rsidR="00967AE5" w:rsidRPr="001B1DB1" w:rsidRDefault="00C57264" w:rsidP="00967AE5">
            <w:pPr>
              <w:jc w:val="both"/>
            </w:pPr>
            <w:r w:rsidRPr="001B1DB1">
              <w:rPr>
                <w:rFonts w:cs="Times New Roman"/>
                <w:sz w:val="20"/>
                <w:szCs w:val="20"/>
              </w:rPr>
              <w:t xml:space="preserve">2. </w:t>
            </w:r>
            <w:r w:rsidR="00967AE5" w:rsidRPr="001B1DB1">
              <w:rPr>
                <w:rFonts w:cs="Times New Roman"/>
                <w:sz w:val="20"/>
                <w:szCs w:val="20"/>
              </w:rPr>
              <w:t xml:space="preserve">Starptautiskajā konferencē iegūtā pieredze un kontakti nodrošina darbības kvalitāti </w:t>
            </w:r>
            <w:r w:rsidR="00967AE5" w:rsidRPr="001B1DB1">
              <w:rPr>
                <w:sz w:val="20"/>
                <w:szCs w:val="20"/>
              </w:rPr>
              <w:t>NILLTPF un sankciju neizpildes</w:t>
            </w:r>
            <w:r w:rsidR="00967AE5" w:rsidRPr="001B1DB1">
              <w:rPr>
                <w:rFonts w:cs="Times New Roman"/>
                <w:sz w:val="20"/>
                <w:szCs w:val="20"/>
              </w:rPr>
              <w:t xml:space="preserve"> novēršanas jomā gan Latvijai, gan arī citām konferences dalībvalstīm.</w:t>
            </w:r>
          </w:p>
        </w:tc>
        <w:tc>
          <w:tcPr>
            <w:tcW w:w="1134" w:type="dxa"/>
            <w:shd w:val="clear" w:color="auto" w:fill="auto"/>
          </w:tcPr>
          <w:p w14:paraId="0898DE69" w14:textId="77777777" w:rsidR="00967AE5" w:rsidRPr="001B1DB1" w:rsidRDefault="00967AE5" w:rsidP="002B2537">
            <w:pPr>
              <w:jc w:val="center"/>
            </w:pPr>
            <w:r w:rsidRPr="001B1DB1">
              <w:rPr>
                <w:sz w:val="20"/>
                <w:szCs w:val="20"/>
              </w:rPr>
              <w:t>NKMP</w:t>
            </w:r>
          </w:p>
        </w:tc>
        <w:tc>
          <w:tcPr>
            <w:tcW w:w="1275" w:type="dxa"/>
            <w:shd w:val="clear" w:color="auto" w:fill="auto"/>
          </w:tcPr>
          <w:p w14:paraId="6B992773" w14:textId="77777777" w:rsidR="00967AE5" w:rsidRPr="001B1DB1" w:rsidRDefault="00967AE5" w:rsidP="002B2537">
            <w:pPr>
              <w:jc w:val="center"/>
            </w:pPr>
            <w:r w:rsidRPr="001B1DB1">
              <w:rPr>
                <w:sz w:val="20"/>
                <w:szCs w:val="20"/>
              </w:rPr>
              <w:t>KM</w:t>
            </w:r>
          </w:p>
        </w:tc>
        <w:tc>
          <w:tcPr>
            <w:tcW w:w="1418" w:type="dxa"/>
            <w:shd w:val="clear" w:color="auto" w:fill="auto"/>
          </w:tcPr>
          <w:p w14:paraId="6D8B67A7" w14:textId="1A355844"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2022</w:t>
            </w:r>
            <w:r w:rsidR="0078491B">
              <w:rPr>
                <w:rFonts w:cs="Times New Roman"/>
                <w:bCs/>
                <w:sz w:val="20"/>
                <w:szCs w:val="20"/>
              </w:rPr>
              <w:t>.</w:t>
            </w:r>
          </w:p>
        </w:tc>
      </w:tr>
      <w:tr w:rsidR="00967AE5" w:rsidRPr="001B1DB1" w14:paraId="2DCACC00" w14:textId="77777777" w:rsidTr="001B2BEE">
        <w:trPr>
          <w:trHeight w:val="543"/>
        </w:trPr>
        <w:tc>
          <w:tcPr>
            <w:tcW w:w="851" w:type="dxa"/>
          </w:tcPr>
          <w:p w14:paraId="600E700A" w14:textId="77777777" w:rsidR="00967AE5" w:rsidRPr="001B1DB1" w:rsidRDefault="00967AE5" w:rsidP="00F172FF">
            <w:pPr>
              <w:jc w:val="center"/>
              <w:rPr>
                <w:rFonts w:cs="Times New Roman"/>
                <w:bCs/>
                <w:sz w:val="20"/>
                <w:szCs w:val="20"/>
              </w:rPr>
            </w:pPr>
            <w:r w:rsidRPr="001B1DB1">
              <w:rPr>
                <w:rFonts w:cs="Times New Roman"/>
                <w:bCs/>
                <w:sz w:val="20"/>
                <w:szCs w:val="20"/>
              </w:rPr>
              <w:t>10.</w:t>
            </w:r>
            <w:r w:rsidR="00BA2B73" w:rsidRPr="001B1DB1">
              <w:rPr>
                <w:rFonts w:cs="Times New Roman"/>
                <w:bCs/>
                <w:sz w:val="20"/>
                <w:szCs w:val="20"/>
              </w:rPr>
              <w:t>7</w:t>
            </w:r>
            <w:r w:rsidRPr="001B1DB1">
              <w:rPr>
                <w:rFonts w:cs="Times New Roman"/>
                <w:bCs/>
                <w:sz w:val="20"/>
                <w:szCs w:val="20"/>
              </w:rPr>
              <w:t>.</w:t>
            </w:r>
          </w:p>
        </w:tc>
        <w:tc>
          <w:tcPr>
            <w:tcW w:w="3544" w:type="dxa"/>
            <w:shd w:val="clear" w:color="auto" w:fill="auto"/>
          </w:tcPr>
          <w:p w14:paraId="24ED0833" w14:textId="34316C99" w:rsidR="00967AE5" w:rsidRPr="001B1DB1" w:rsidRDefault="00967AE5" w:rsidP="00C0727F">
            <w:pPr>
              <w:jc w:val="both"/>
            </w:pPr>
            <w:r w:rsidRPr="001B1DB1">
              <w:rPr>
                <w:sz w:val="20"/>
                <w:szCs w:val="20"/>
              </w:rPr>
              <w:t>Informatīvā kampaņa plašākai sabiedrībai (piem.</w:t>
            </w:r>
            <w:r w:rsidR="00A57DEB">
              <w:rPr>
                <w:sz w:val="20"/>
                <w:szCs w:val="20"/>
              </w:rPr>
              <w:t>,</w:t>
            </w:r>
            <w:r w:rsidRPr="001B1DB1">
              <w:rPr>
                <w:sz w:val="20"/>
                <w:szCs w:val="20"/>
              </w:rPr>
              <w:t xml:space="preserve"> lidostā, pastā, </w:t>
            </w:r>
            <w:r w:rsidR="0079224C" w:rsidRPr="001B1DB1">
              <w:rPr>
                <w:sz w:val="20"/>
                <w:szCs w:val="20"/>
              </w:rPr>
              <w:t>Latvijas Nacionālajā bibliotēkā</w:t>
            </w:r>
            <w:r w:rsidRPr="001B1DB1">
              <w:rPr>
                <w:sz w:val="20"/>
                <w:szCs w:val="20"/>
              </w:rPr>
              <w:t>) par kultūras priekšmetu nelegālas aprites novēršanu</w:t>
            </w:r>
            <w:r w:rsidR="004A71E4" w:rsidRPr="001B1DB1">
              <w:rPr>
                <w:sz w:val="20"/>
                <w:szCs w:val="20"/>
              </w:rPr>
              <w:t>.</w:t>
            </w:r>
          </w:p>
        </w:tc>
        <w:tc>
          <w:tcPr>
            <w:tcW w:w="1559" w:type="dxa"/>
          </w:tcPr>
          <w:p w14:paraId="34605AD4" w14:textId="77777777" w:rsidR="00967AE5" w:rsidRPr="001B1DB1" w:rsidRDefault="005175D0" w:rsidP="00967AE5">
            <w:r>
              <w:t xml:space="preserve"> </w:t>
            </w:r>
          </w:p>
        </w:tc>
        <w:tc>
          <w:tcPr>
            <w:tcW w:w="2551" w:type="dxa"/>
            <w:shd w:val="clear" w:color="auto" w:fill="auto"/>
          </w:tcPr>
          <w:p w14:paraId="6F8949BC" w14:textId="671FEE37" w:rsidR="00967AE5" w:rsidRPr="001B1DB1" w:rsidRDefault="008F6941" w:rsidP="00D16025">
            <w:pPr>
              <w:jc w:val="both"/>
            </w:pPr>
            <w:r>
              <w:rPr>
                <w:rFonts w:cs="Times New Roman"/>
                <w:sz w:val="20"/>
                <w:szCs w:val="20"/>
              </w:rPr>
              <w:t>Palielināta iedzīvotāju informētība un izpratne par kultūras priekšmetu nelegālo apriti un samazināts neapzināti veiktas kultūras priekšmetu nelegālas aprites gadījumu skaits.</w:t>
            </w:r>
          </w:p>
        </w:tc>
        <w:tc>
          <w:tcPr>
            <w:tcW w:w="2694" w:type="dxa"/>
          </w:tcPr>
          <w:p w14:paraId="00DE9F85" w14:textId="77777777" w:rsidR="00967AE5" w:rsidRPr="001B1DB1" w:rsidRDefault="00967AE5" w:rsidP="00967AE5">
            <w:pPr>
              <w:jc w:val="both"/>
            </w:pPr>
            <w:r w:rsidRPr="001B1DB1">
              <w:rPr>
                <w:rFonts w:cs="Times New Roman"/>
                <w:sz w:val="20"/>
                <w:szCs w:val="20"/>
              </w:rPr>
              <w:t>Noorganizēta informatīvā kampaņa par kultūras priekšmetu nelegālo apriti un tās novēršanu.</w:t>
            </w:r>
          </w:p>
        </w:tc>
        <w:tc>
          <w:tcPr>
            <w:tcW w:w="1134" w:type="dxa"/>
            <w:shd w:val="clear" w:color="auto" w:fill="auto"/>
          </w:tcPr>
          <w:p w14:paraId="779A6C48" w14:textId="77777777" w:rsidR="00967AE5" w:rsidRPr="001B1DB1" w:rsidRDefault="00967AE5" w:rsidP="002B2537">
            <w:pPr>
              <w:jc w:val="center"/>
            </w:pPr>
            <w:r w:rsidRPr="001B1DB1">
              <w:rPr>
                <w:sz w:val="20"/>
                <w:szCs w:val="20"/>
              </w:rPr>
              <w:t>NKMP</w:t>
            </w:r>
          </w:p>
        </w:tc>
        <w:tc>
          <w:tcPr>
            <w:tcW w:w="1275" w:type="dxa"/>
            <w:shd w:val="clear" w:color="auto" w:fill="auto"/>
          </w:tcPr>
          <w:p w14:paraId="7A39047C" w14:textId="77777777" w:rsidR="00967AE5" w:rsidRPr="001B1DB1" w:rsidRDefault="00967AE5" w:rsidP="002B2537">
            <w:pPr>
              <w:jc w:val="center"/>
            </w:pPr>
            <w:r w:rsidRPr="001B1DB1">
              <w:rPr>
                <w:sz w:val="20"/>
                <w:szCs w:val="20"/>
              </w:rPr>
              <w:t>KM</w:t>
            </w:r>
          </w:p>
        </w:tc>
        <w:tc>
          <w:tcPr>
            <w:tcW w:w="1418" w:type="dxa"/>
            <w:shd w:val="clear" w:color="auto" w:fill="auto"/>
          </w:tcPr>
          <w:p w14:paraId="786DF7DD" w14:textId="0B87DAFC" w:rsidR="00967AE5" w:rsidRPr="001B1DB1" w:rsidRDefault="00994CD7" w:rsidP="002B2537">
            <w:pPr>
              <w:jc w:val="center"/>
            </w:pPr>
            <w:r>
              <w:rPr>
                <w:rFonts w:cs="Times New Roman"/>
                <w:bCs/>
                <w:sz w:val="20"/>
                <w:szCs w:val="20"/>
              </w:rPr>
              <w:t>31.12.</w:t>
            </w:r>
            <w:r w:rsidR="00967AE5" w:rsidRPr="001B1DB1">
              <w:rPr>
                <w:rFonts w:cs="Times New Roman"/>
                <w:bCs/>
                <w:sz w:val="20"/>
                <w:szCs w:val="20"/>
              </w:rPr>
              <w:t>2021</w:t>
            </w:r>
            <w:r w:rsidR="0078491B">
              <w:rPr>
                <w:rFonts w:cs="Times New Roman"/>
                <w:bCs/>
                <w:sz w:val="20"/>
                <w:szCs w:val="20"/>
              </w:rPr>
              <w:t>.</w:t>
            </w:r>
          </w:p>
        </w:tc>
      </w:tr>
      <w:tr w:rsidR="00454D43" w:rsidRPr="001B1DB1" w14:paraId="283CDEF0" w14:textId="77777777" w:rsidTr="001B2BEE">
        <w:trPr>
          <w:trHeight w:val="543"/>
        </w:trPr>
        <w:tc>
          <w:tcPr>
            <w:tcW w:w="851" w:type="dxa"/>
          </w:tcPr>
          <w:p w14:paraId="5800F96F" w14:textId="77777777" w:rsidR="00454D43" w:rsidRPr="001B1DB1" w:rsidRDefault="00454D43" w:rsidP="00F172FF">
            <w:pPr>
              <w:jc w:val="center"/>
              <w:rPr>
                <w:rFonts w:cs="Times New Roman"/>
                <w:bCs/>
                <w:sz w:val="20"/>
                <w:szCs w:val="20"/>
              </w:rPr>
            </w:pPr>
            <w:r w:rsidRPr="001B1DB1">
              <w:rPr>
                <w:rFonts w:cs="Times New Roman"/>
                <w:bCs/>
                <w:sz w:val="20"/>
                <w:szCs w:val="20"/>
              </w:rPr>
              <w:t>10.</w:t>
            </w:r>
            <w:r w:rsidR="00BA2B73" w:rsidRPr="001B1DB1">
              <w:rPr>
                <w:rFonts w:cs="Times New Roman"/>
                <w:bCs/>
                <w:sz w:val="20"/>
                <w:szCs w:val="20"/>
              </w:rPr>
              <w:t>8</w:t>
            </w:r>
            <w:r w:rsidRPr="001B1DB1">
              <w:rPr>
                <w:rFonts w:cs="Times New Roman"/>
                <w:bCs/>
                <w:sz w:val="20"/>
                <w:szCs w:val="20"/>
              </w:rPr>
              <w:t>.</w:t>
            </w:r>
          </w:p>
        </w:tc>
        <w:tc>
          <w:tcPr>
            <w:tcW w:w="3544" w:type="dxa"/>
            <w:shd w:val="clear" w:color="auto" w:fill="auto"/>
          </w:tcPr>
          <w:p w14:paraId="386E0492" w14:textId="77777777" w:rsidR="00454D43" w:rsidRPr="001B1DB1" w:rsidRDefault="00454D43" w:rsidP="00454D43">
            <w:pPr>
              <w:jc w:val="both"/>
              <w:rPr>
                <w:rFonts w:cs="Times New Roman"/>
                <w:sz w:val="20"/>
                <w:szCs w:val="20"/>
              </w:rPr>
            </w:pPr>
            <w:r w:rsidRPr="001B1DB1">
              <w:rPr>
                <w:rFonts w:cs="Times New Roman"/>
                <w:sz w:val="20"/>
                <w:szCs w:val="20"/>
              </w:rPr>
              <w:t>Likuma subjektu informēšana par sankciju pārkāpšanā un apiešanā izmantotajām tipoloģijām, kas konstatētas pārbaužu gaitā</w:t>
            </w:r>
            <w:r w:rsidR="004A71E4" w:rsidRPr="001B1DB1">
              <w:rPr>
                <w:rFonts w:cs="Times New Roman"/>
                <w:sz w:val="20"/>
                <w:szCs w:val="20"/>
              </w:rPr>
              <w:t>.</w:t>
            </w:r>
          </w:p>
        </w:tc>
        <w:tc>
          <w:tcPr>
            <w:tcW w:w="1559" w:type="dxa"/>
          </w:tcPr>
          <w:p w14:paraId="6FB2286F" w14:textId="77777777" w:rsidR="00454D43" w:rsidRPr="001B1DB1" w:rsidRDefault="005175D0" w:rsidP="00454D43">
            <w:pPr>
              <w:rPr>
                <w:rFonts w:cs="Times New Roman"/>
                <w:sz w:val="20"/>
                <w:szCs w:val="20"/>
              </w:rPr>
            </w:pPr>
            <w:r>
              <w:rPr>
                <w:rFonts w:cs="Times New Roman"/>
                <w:sz w:val="20"/>
                <w:szCs w:val="20"/>
              </w:rPr>
              <w:t xml:space="preserve"> </w:t>
            </w:r>
          </w:p>
        </w:tc>
        <w:tc>
          <w:tcPr>
            <w:tcW w:w="2551" w:type="dxa"/>
            <w:shd w:val="clear" w:color="auto" w:fill="auto"/>
          </w:tcPr>
          <w:p w14:paraId="20C60A89" w14:textId="77777777" w:rsidR="00454D43" w:rsidRPr="001B1DB1" w:rsidRDefault="00454D43" w:rsidP="00D16025">
            <w:pPr>
              <w:jc w:val="both"/>
              <w:rPr>
                <w:rFonts w:cs="Times New Roman"/>
                <w:sz w:val="20"/>
                <w:szCs w:val="20"/>
              </w:rPr>
            </w:pPr>
            <w:r w:rsidRPr="001B1DB1">
              <w:rPr>
                <w:sz w:val="20"/>
                <w:szCs w:val="20"/>
              </w:rPr>
              <w:t xml:space="preserve">Pieaugusi likuma subjektu informētība un spējas atpazīt sankciju pārkāpšanas un apiešanas gadījumus. </w:t>
            </w:r>
          </w:p>
        </w:tc>
        <w:tc>
          <w:tcPr>
            <w:tcW w:w="2694" w:type="dxa"/>
          </w:tcPr>
          <w:p w14:paraId="688EE5EF" w14:textId="64114268" w:rsidR="00454D43" w:rsidRPr="001B1DB1" w:rsidRDefault="00454D43" w:rsidP="00454D43">
            <w:pPr>
              <w:jc w:val="both"/>
              <w:rPr>
                <w:rFonts w:cs="Times New Roman"/>
                <w:sz w:val="20"/>
                <w:szCs w:val="20"/>
              </w:rPr>
            </w:pPr>
            <w:r w:rsidRPr="001B1DB1">
              <w:rPr>
                <w:sz w:val="20"/>
                <w:szCs w:val="20"/>
              </w:rPr>
              <w:t>Informēšanas pasākumu skaits</w:t>
            </w:r>
            <w:r w:rsidR="00887C11" w:rsidRPr="007B7CA9">
              <w:rPr>
                <w:sz w:val="20"/>
                <w:szCs w:val="20"/>
              </w:rPr>
              <w:t xml:space="preserve"> atbilstoši atbildīgās institūcijas  ikgadējam plānam</w:t>
            </w:r>
            <w:r w:rsidR="004A71E4" w:rsidRPr="001B1DB1">
              <w:rPr>
                <w:sz w:val="20"/>
                <w:szCs w:val="20"/>
              </w:rPr>
              <w:t>.</w:t>
            </w:r>
          </w:p>
        </w:tc>
        <w:tc>
          <w:tcPr>
            <w:tcW w:w="1134" w:type="dxa"/>
            <w:shd w:val="clear" w:color="auto" w:fill="auto"/>
          </w:tcPr>
          <w:p w14:paraId="4D17FC8E" w14:textId="6EA84E93" w:rsidR="00454D43" w:rsidRPr="001B1DB1" w:rsidRDefault="00616C36" w:rsidP="002B2537">
            <w:pPr>
              <w:jc w:val="center"/>
              <w:rPr>
                <w:rFonts w:cs="Times New Roman"/>
                <w:sz w:val="20"/>
                <w:szCs w:val="20"/>
              </w:rPr>
            </w:pPr>
            <w:r w:rsidRPr="001B1DB1">
              <w:rPr>
                <w:sz w:val="20"/>
                <w:szCs w:val="20"/>
              </w:rPr>
              <w:t>FKTK, VID, LB, IAUI, LZAP, LZNP, LZRA, NKMP, PTAC</w:t>
            </w:r>
            <w:r>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2C40C1A8" w14:textId="77777777" w:rsidR="00454D43" w:rsidRPr="001B1DB1" w:rsidRDefault="00454D43" w:rsidP="002B2537">
            <w:pPr>
              <w:jc w:val="center"/>
              <w:rPr>
                <w:rFonts w:cs="Times New Roman"/>
                <w:sz w:val="20"/>
                <w:szCs w:val="20"/>
              </w:rPr>
            </w:pPr>
          </w:p>
        </w:tc>
        <w:tc>
          <w:tcPr>
            <w:tcW w:w="1418" w:type="dxa"/>
            <w:shd w:val="clear" w:color="auto" w:fill="auto"/>
          </w:tcPr>
          <w:p w14:paraId="4B521D5A" w14:textId="77777777" w:rsidR="00454D43" w:rsidRPr="001B1DB1" w:rsidRDefault="00454D43" w:rsidP="002B2537">
            <w:pPr>
              <w:jc w:val="center"/>
              <w:rPr>
                <w:rFonts w:cs="Times New Roman"/>
                <w:sz w:val="20"/>
                <w:szCs w:val="20"/>
              </w:rPr>
            </w:pPr>
            <w:r w:rsidRPr="001B1DB1">
              <w:rPr>
                <w:sz w:val="20"/>
                <w:szCs w:val="20"/>
              </w:rPr>
              <w:t>Pastāvīgi</w:t>
            </w:r>
          </w:p>
        </w:tc>
      </w:tr>
      <w:tr w:rsidR="00775B85" w:rsidRPr="001B1DB1" w14:paraId="330D641D" w14:textId="77777777" w:rsidTr="001B2BEE">
        <w:trPr>
          <w:trHeight w:val="543"/>
        </w:trPr>
        <w:tc>
          <w:tcPr>
            <w:tcW w:w="851" w:type="dxa"/>
            <w:vMerge w:val="restart"/>
          </w:tcPr>
          <w:p w14:paraId="467A6579" w14:textId="6A51D763" w:rsidR="00775B85" w:rsidRPr="001B1DB1" w:rsidRDefault="00B845EB" w:rsidP="00F172FF">
            <w:pPr>
              <w:jc w:val="center"/>
              <w:rPr>
                <w:rFonts w:cs="Times New Roman"/>
                <w:bCs/>
                <w:sz w:val="20"/>
                <w:szCs w:val="20"/>
              </w:rPr>
            </w:pPr>
            <w:r w:rsidRPr="001B1DB1">
              <w:rPr>
                <w:rFonts w:cs="Times New Roman"/>
                <w:bCs/>
                <w:sz w:val="20"/>
                <w:szCs w:val="20"/>
              </w:rPr>
              <w:t>10.</w:t>
            </w:r>
            <w:r w:rsidR="00FE3B4E">
              <w:rPr>
                <w:rFonts w:cs="Times New Roman"/>
                <w:bCs/>
                <w:sz w:val="20"/>
                <w:szCs w:val="20"/>
              </w:rPr>
              <w:t>9</w:t>
            </w:r>
            <w:r w:rsidR="00BA2B73" w:rsidRPr="001B1DB1">
              <w:rPr>
                <w:rFonts w:cs="Times New Roman"/>
                <w:bCs/>
                <w:sz w:val="20"/>
                <w:szCs w:val="20"/>
              </w:rPr>
              <w:t>.</w:t>
            </w:r>
          </w:p>
        </w:tc>
        <w:tc>
          <w:tcPr>
            <w:tcW w:w="3544" w:type="dxa"/>
            <w:vMerge w:val="restart"/>
            <w:shd w:val="clear" w:color="auto" w:fill="auto"/>
          </w:tcPr>
          <w:p w14:paraId="6093B27D" w14:textId="5E9E00A7" w:rsidR="00775B85" w:rsidRPr="001B1DB1" w:rsidRDefault="00775B85" w:rsidP="00B61B13">
            <w:pPr>
              <w:jc w:val="both"/>
              <w:rPr>
                <w:sz w:val="20"/>
                <w:szCs w:val="20"/>
              </w:rPr>
            </w:pPr>
            <w:r w:rsidRPr="001B1DB1">
              <w:rPr>
                <w:sz w:val="20"/>
                <w:szCs w:val="20"/>
              </w:rPr>
              <w:t xml:space="preserve">Veikt radikalizācijas novēršanas pasākumus, lai </w:t>
            </w:r>
            <w:r w:rsidR="00B61B13">
              <w:rPr>
                <w:sz w:val="20"/>
                <w:szCs w:val="20"/>
              </w:rPr>
              <w:t>ierobežotu</w:t>
            </w:r>
            <w:r w:rsidR="00B61B13" w:rsidRPr="001B1DB1">
              <w:rPr>
                <w:sz w:val="20"/>
                <w:szCs w:val="20"/>
              </w:rPr>
              <w:t xml:space="preserve"> </w:t>
            </w:r>
            <w:r w:rsidRPr="001B1DB1">
              <w:rPr>
                <w:sz w:val="20"/>
                <w:szCs w:val="20"/>
              </w:rPr>
              <w:t>radikalizētu personu skaitu, kuras varētu iesaistīties TF.</w:t>
            </w:r>
          </w:p>
        </w:tc>
        <w:tc>
          <w:tcPr>
            <w:tcW w:w="1559" w:type="dxa"/>
            <w:vMerge w:val="restart"/>
          </w:tcPr>
          <w:p w14:paraId="1D3355F4" w14:textId="77777777" w:rsidR="00775B85" w:rsidRPr="001B1DB1" w:rsidRDefault="00775B85" w:rsidP="00EC4F0C">
            <w:pPr>
              <w:rPr>
                <w:sz w:val="20"/>
                <w:szCs w:val="20"/>
              </w:rPr>
            </w:pPr>
            <w:r w:rsidRPr="001B1DB1">
              <w:rPr>
                <w:sz w:val="20"/>
                <w:szCs w:val="20"/>
              </w:rPr>
              <w:t>TF/PF risku ziņojums</w:t>
            </w:r>
            <w:r w:rsidR="004A71E4" w:rsidRPr="001B1DB1">
              <w:rPr>
                <w:sz w:val="20"/>
                <w:szCs w:val="20"/>
              </w:rPr>
              <w:t>.</w:t>
            </w:r>
          </w:p>
        </w:tc>
        <w:tc>
          <w:tcPr>
            <w:tcW w:w="2551" w:type="dxa"/>
            <w:vMerge w:val="restart"/>
            <w:shd w:val="clear" w:color="auto" w:fill="auto"/>
          </w:tcPr>
          <w:p w14:paraId="557544BC" w14:textId="77777777" w:rsidR="00775B85" w:rsidRPr="001B1DB1" w:rsidRDefault="00775B85" w:rsidP="00D16025">
            <w:pPr>
              <w:jc w:val="both"/>
              <w:rPr>
                <w:sz w:val="20"/>
                <w:szCs w:val="20"/>
              </w:rPr>
            </w:pPr>
            <w:r w:rsidRPr="001B1DB1">
              <w:rPr>
                <w:sz w:val="20"/>
                <w:szCs w:val="20"/>
              </w:rPr>
              <w:t>Radikalizācijai visvairāk pakļautajām sabiedrības grupām tuvu stāvošu profesionālo grupu paaugstināta informētība par radikalizācijas pazīmēm un novēršanu.</w:t>
            </w:r>
          </w:p>
        </w:tc>
        <w:tc>
          <w:tcPr>
            <w:tcW w:w="2694" w:type="dxa"/>
          </w:tcPr>
          <w:p w14:paraId="0EDACB00" w14:textId="11E450BF" w:rsidR="00775B85" w:rsidRPr="001B1DB1" w:rsidRDefault="00C57264" w:rsidP="00C0727F">
            <w:pPr>
              <w:jc w:val="both"/>
              <w:rPr>
                <w:sz w:val="20"/>
                <w:szCs w:val="20"/>
              </w:rPr>
            </w:pPr>
            <w:r w:rsidRPr="001B1DB1">
              <w:rPr>
                <w:sz w:val="20"/>
                <w:szCs w:val="20"/>
              </w:rPr>
              <w:t xml:space="preserve">1. </w:t>
            </w:r>
            <w:r w:rsidR="00E02958">
              <w:rPr>
                <w:sz w:val="20"/>
                <w:szCs w:val="20"/>
              </w:rPr>
              <w:t>Veikta r</w:t>
            </w:r>
            <w:r w:rsidR="00775B85" w:rsidRPr="001B1DB1">
              <w:rPr>
                <w:sz w:val="20"/>
                <w:szCs w:val="20"/>
              </w:rPr>
              <w:t>adikalizācijai visvairāk pakļautajām sabiedrības grupām tuvu stāvošu profesionālo grupu apmācība par radikalizācijas pazīmēm un novēršanu.</w:t>
            </w:r>
          </w:p>
        </w:tc>
        <w:tc>
          <w:tcPr>
            <w:tcW w:w="1134" w:type="dxa"/>
            <w:shd w:val="clear" w:color="auto" w:fill="auto"/>
          </w:tcPr>
          <w:p w14:paraId="7AAA6549" w14:textId="77777777" w:rsidR="00775B85" w:rsidRPr="001B1DB1" w:rsidRDefault="00775B85" w:rsidP="002B2537">
            <w:pPr>
              <w:jc w:val="center"/>
              <w:rPr>
                <w:sz w:val="20"/>
                <w:szCs w:val="20"/>
              </w:rPr>
            </w:pPr>
            <w:r w:rsidRPr="001B1DB1">
              <w:rPr>
                <w:sz w:val="20"/>
                <w:szCs w:val="20"/>
              </w:rPr>
              <w:t>VDD</w:t>
            </w:r>
          </w:p>
        </w:tc>
        <w:tc>
          <w:tcPr>
            <w:tcW w:w="1275" w:type="dxa"/>
            <w:shd w:val="clear" w:color="auto" w:fill="auto"/>
          </w:tcPr>
          <w:p w14:paraId="75FC9AC0" w14:textId="77777777" w:rsidR="00775B85" w:rsidRPr="001B1DB1" w:rsidRDefault="00775B85" w:rsidP="002B2537">
            <w:pPr>
              <w:jc w:val="center"/>
              <w:rPr>
                <w:sz w:val="20"/>
                <w:szCs w:val="20"/>
              </w:rPr>
            </w:pPr>
          </w:p>
        </w:tc>
        <w:tc>
          <w:tcPr>
            <w:tcW w:w="1418" w:type="dxa"/>
            <w:shd w:val="clear" w:color="auto" w:fill="auto"/>
          </w:tcPr>
          <w:p w14:paraId="76C9B40E" w14:textId="77777777" w:rsidR="00775B85" w:rsidRPr="001B1DB1" w:rsidRDefault="00EA7CB9" w:rsidP="002B2537">
            <w:pPr>
              <w:jc w:val="center"/>
              <w:rPr>
                <w:sz w:val="20"/>
                <w:szCs w:val="20"/>
              </w:rPr>
            </w:pPr>
            <w:r w:rsidRPr="001B1DB1">
              <w:rPr>
                <w:sz w:val="20"/>
                <w:szCs w:val="20"/>
              </w:rPr>
              <w:t>Pastāvīgi</w:t>
            </w:r>
          </w:p>
        </w:tc>
      </w:tr>
      <w:tr w:rsidR="00775B85" w:rsidRPr="001B1DB1" w14:paraId="5633CBA6" w14:textId="77777777" w:rsidTr="001B2BEE">
        <w:trPr>
          <w:trHeight w:val="543"/>
        </w:trPr>
        <w:tc>
          <w:tcPr>
            <w:tcW w:w="851" w:type="dxa"/>
            <w:vMerge/>
          </w:tcPr>
          <w:p w14:paraId="23C67D16" w14:textId="77777777" w:rsidR="00775B85" w:rsidRPr="001B1DB1" w:rsidRDefault="00775B85" w:rsidP="00EC4F0C">
            <w:pPr>
              <w:jc w:val="center"/>
              <w:rPr>
                <w:rFonts w:cs="Times New Roman"/>
                <w:bCs/>
                <w:sz w:val="20"/>
                <w:szCs w:val="20"/>
              </w:rPr>
            </w:pPr>
          </w:p>
        </w:tc>
        <w:tc>
          <w:tcPr>
            <w:tcW w:w="3544" w:type="dxa"/>
            <w:vMerge/>
            <w:shd w:val="clear" w:color="auto" w:fill="auto"/>
          </w:tcPr>
          <w:p w14:paraId="10B97296" w14:textId="77777777" w:rsidR="00775B85" w:rsidRPr="001B1DB1" w:rsidRDefault="00775B85" w:rsidP="00EC4F0C">
            <w:pPr>
              <w:jc w:val="both"/>
              <w:rPr>
                <w:sz w:val="20"/>
                <w:szCs w:val="20"/>
              </w:rPr>
            </w:pPr>
          </w:p>
        </w:tc>
        <w:tc>
          <w:tcPr>
            <w:tcW w:w="1559" w:type="dxa"/>
            <w:vMerge/>
          </w:tcPr>
          <w:p w14:paraId="356DA3CF" w14:textId="77777777" w:rsidR="00775B85" w:rsidRPr="001B1DB1" w:rsidRDefault="00775B85" w:rsidP="00EC4F0C">
            <w:pPr>
              <w:rPr>
                <w:sz w:val="20"/>
                <w:szCs w:val="20"/>
              </w:rPr>
            </w:pPr>
          </w:p>
        </w:tc>
        <w:tc>
          <w:tcPr>
            <w:tcW w:w="2551" w:type="dxa"/>
            <w:vMerge/>
            <w:shd w:val="clear" w:color="auto" w:fill="auto"/>
          </w:tcPr>
          <w:p w14:paraId="4A320255" w14:textId="77777777" w:rsidR="00775B85" w:rsidRPr="001B1DB1" w:rsidRDefault="00775B85" w:rsidP="00EC4F0C">
            <w:pPr>
              <w:rPr>
                <w:sz w:val="20"/>
                <w:szCs w:val="20"/>
              </w:rPr>
            </w:pPr>
          </w:p>
        </w:tc>
        <w:tc>
          <w:tcPr>
            <w:tcW w:w="2694" w:type="dxa"/>
          </w:tcPr>
          <w:p w14:paraId="7B905150" w14:textId="6564F8D4" w:rsidR="00775B85" w:rsidRPr="001B1DB1" w:rsidRDefault="00C57264" w:rsidP="00C0727F">
            <w:pPr>
              <w:jc w:val="both"/>
              <w:rPr>
                <w:sz w:val="20"/>
                <w:szCs w:val="20"/>
              </w:rPr>
            </w:pPr>
            <w:r w:rsidRPr="001B1DB1">
              <w:rPr>
                <w:sz w:val="20"/>
                <w:szCs w:val="20"/>
              </w:rPr>
              <w:t xml:space="preserve">2. </w:t>
            </w:r>
            <w:r w:rsidR="00775B85" w:rsidRPr="001B1DB1">
              <w:rPr>
                <w:sz w:val="20"/>
                <w:szCs w:val="20"/>
              </w:rPr>
              <w:t>Radikalizācijas novēršanas starpinstitūciju darba grupas PREVENT  sanāksmēs izvērtēt</w:t>
            </w:r>
            <w:r w:rsidR="00E02958">
              <w:rPr>
                <w:sz w:val="20"/>
                <w:szCs w:val="20"/>
              </w:rPr>
              <w:t>a</w:t>
            </w:r>
            <w:r w:rsidR="00775B85" w:rsidRPr="001B1DB1">
              <w:rPr>
                <w:sz w:val="20"/>
                <w:szCs w:val="20"/>
              </w:rPr>
              <w:t xml:space="preserve"> jaunu profesionālo grupu, tostarp NVO, apmācīb</w:t>
            </w:r>
            <w:r w:rsidR="00E02958">
              <w:rPr>
                <w:sz w:val="20"/>
                <w:szCs w:val="20"/>
              </w:rPr>
              <w:t>a</w:t>
            </w:r>
            <w:r w:rsidR="00775B85" w:rsidRPr="001B1DB1">
              <w:rPr>
                <w:sz w:val="20"/>
                <w:szCs w:val="20"/>
              </w:rPr>
              <w:t xml:space="preserve"> </w:t>
            </w:r>
            <w:r w:rsidR="00775B85" w:rsidRPr="001B1DB1">
              <w:rPr>
                <w:sz w:val="20"/>
                <w:szCs w:val="20"/>
              </w:rPr>
              <w:lastRenderedPageBreak/>
              <w:t xml:space="preserve">un </w:t>
            </w:r>
            <w:r w:rsidR="00E02958" w:rsidRPr="001B1DB1">
              <w:rPr>
                <w:sz w:val="20"/>
                <w:szCs w:val="20"/>
              </w:rPr>
              <w:t>iesaist</w:t>
            </w:r>
            <w:r w:rsidR="00E02958">
              <w:rPr>
                <w:sz w:val="20"/>
                <w:szCs w:val="20"/>
              </w:rPr>
              <w:t>e</w:t>
            </w:r>
            <w:r w:rsidR="00E02958" w:rsidRPr="001B1DB1">
              <w:rPr>
                <w:sz w:val="20"/>
                <w:szCs w:val="20"/>
              </w:rPr>
              <w:t xml:space="preserve"> </w:t>
            </w:r>
            <w:r w:rsidR="00775B85" w:rsidRPr="001B1DB1">
              <w:rPr>
                <w:sz w:val="20"/>
                <w:szCs w:val="20"/>
              </w:rPr>
              <w:t>radikalizācijas novēršanas pasākumos</w:t>
            </w:r>
            <w:r w:rsidR="004A71E4" w:rsidRPr="001B1DB1">
              <w:rPr>
                <w:sz w:val="20"/>
                <w:szCs w:val="20"/>
              </w:rPr>
              <w:t>.</w:t>
            </w:r>
          </w:p>
        </w:tc>
        <w:tc>
          <w:tcPr>
            <w:tcW w:w="1134" w:type="dxa"/>
            <w:shd w:val="clear" w:color="auto" w:fill="auto"/>
          </w:tcPr>
          <w:p w14:paraId="6A8C737B" w14:textId="77777777" w:rsidR="00775B85" w:rsidRPr="001B1DB1" w:rsidRDefault="00775B85" w:rsidP="002B2537">
            <w:pPr>
              <w:jc w:val="center"/>
              <w:rPr>
                <w:sz w:val="20"/>
                <w:szCs w:val="20"/>
              </w:rPr>
            </w:pPr>
            <w:r w:rsidRPr="001B1DB1">
              <w:rPr>
                <w:sz w:val="20"/>
                <w:szCs w:val="20"/>
              </w:rPr>
              <w:lastRenderedPageBreak/>
              <w:t>VDD</w:t>
            </w:r>
          </w:p>
        </w:tc>
        <w:tc>
          <w:tcPr>
            <w:tcW w:w="1275" w:type="dxa"/>
            <w:shd w:val="clear" w:color="auto" w:fill="auto"/>
          </w:tcPr>
          <w:p w14:paraId="2937149F" w14:textId="77777777" w:rsidR="00775B85" w:rsidRPr="001B1DB1" w:rsidRDefault="00775B85" w:rsidP="002B2537">
            <w:pPr>
              <w:jc w:val="center"/>
              <w:rPr>
                <w:sz w:val="20"/>
                <w:szCs w:val="20"/>
              </w:rPr>
            </w:pPr>
          </w:p>
        </w:tc>
        <w:tc>
          <w:tcPr>
            <w:tcW w:w="1418" w:type="dxa"/>
            <w:shd w:val="clear" w:color="auto" w:fill="auto"/>
          </w:tcPr>
          <w:p w14:paraId="411ED08F" w14:textId="77777777" w:rsidR="00775B85" w:rsidRPr="001B1DB1" w:rsidRDefault="00775B85" w:rsidP="002B2537">
            <w:pPr>
              <w:jc w:val="center"/>
              <w:rPr>
                <w:sz w:val="20"/>
                <w:szCs w:val="20"/>
              </w:rPr>
            </w:pPr>
            <w:r w:rsidRPr="001B1DB1">
              <w:rPr>
                <w:sz w:val="20"/>
                <w:szCs w:val="20"/>
              </w:rPr>
              <w:t>Saskaņā ar sanāksmju grafiku</w:t>
            </w:r>
          </w:p>
        </w:tc>
      </w:tr>
      <w:tr w:rsidR="00775B85" w:rsidRPr="001B1DB1" w14:paraId="0B0A6384" w14:textId="77777777" w:rsidTr="001B2BEE">
        <w:trPr>
          <w:trHeight w:val="543"/>
        </w:trPr>
        <w:tc>
          <w:tcPr>
            <w:tcW w:w="851" w:type="dxa"/>
          </w:tcPr>
          <w:p w14:paraId="1C188702" w14:textId="63F0FBCD" w:rsidR="00775B85" w:rsidRPr="001B1DB1" w:rsidRDefault="00B845EB" w:rsidP="00F172FF">
            <w:pPr>
              <w:jc w:val="center"/>
              <w:rPr>
                <w:rFonts w:cs="Times New Roman"/>
                <w:bCs/>
                <w:sz w:val="20"/>
                <w:szCs w:val="20"/>
              </w:rPr>
            </w:pPr>
            <w:r w:rsidRPr="001B1DB1">
              <w:rPr>
                <w:rFonts w:cs="Times New Roman"/>
                <w:bCs/>
                <w:sz w:val="20"/>
                <w:szCs w:val="20"/>
              </w:rPr>
              <w:t>10.</w:t>
            </w:r>
            <w:r w:rsidR="00FE3B4E">
              <w:rPr>
                <w:rFonts w:cs="Times New Roman"/>
                <w:bCs/>
                <w:sz w:val="20"/>
                <w:szCs w:val="20"/>
              </w:rPr>
              <w:t>10</w:t>
            </w:r>
            <w:r w:rsidRPr="001B1DB1">
              <w:rPr>
                <w:rFonts w:cs="Times New Roman"/>
                <w:bCs/>
                <w:sz w:val="20"/>
                <w:szCs w:val="20"/>
              </w:rPr>
              <w:t>.</w:t>
            </w:r>
          </w:p>
        </w:tc>
        <w:tc>
          <w:tcPr>
            <w:tcW w:w="3544" w:type="dxa"/>
            <w:shd w:val="clear" w:color="auto" w:fill="auto"/>
          </w:tcPr>
          <w:p w14:paraId="74001A2F" w14:textId="77777777" w:rsidR="00775B85" w:rsidRPr="001B1DB1" w:rsidRDefault="00775B85" w:rsidP="00EC4F0C">
            <w:pPr>
              <w:jc w:val="both"/>
              <w:rPr>
                <w:sz w:val="20"/>
                <w:szCs w:val="20"/>
              </w:rPr>
            </w:pPr>
            <w:r w:rsidRPr="001B1DB1">
              <w:rPr>
                <w:sz w:val="20"/>
                <w:szCs w:val="20"/>
              </w:rPr>
              <w:t>Mazināt anonimitātes un krāpniecības riskus neklātienes finanšu pakalpojumu jomā.</w:t>
            </w:r>
          </w:p>
        </w:tc>
        <w:tc>
          <w:tcPr>
            <w:tcW w:w="1559" w:type="dxa"/>
          </w:tcPr>
          <w:p w14:paraId="42F981B3" w14:textId="77777777" w:rsidR="00775B85" w:rsidRPr="001B1DB1" w:rsidRDefault="00775B85" w:rsidP="00EC4F0C">
            <w:pPr>
              <w:rPr>
                <w:sz w:val="20"/>
                <w:szCs w:val="20"/>
              </w:rPr>
            </w:pPr>
            <w:r w:rsidRPr="001B1DB1">
              <w:rPr>
                <w:sz w:val="20"/>
                <w:szCs w:val="20"/>
              </w:rPr>
              <w:t>TF/PF risku ziņojums</w:t>
            </w:r>
            <w:r w:rsidR="004A71E4" w:rsidRPr="001B1DB1">
              <w:rPr>
                <w:sz w:val="20"/>
                <w:szCs w:val="20"/>
              </w:rPr>
              <w:t>.</w:t>
            </w:r>
          </w:p>
        </w:tc>
        <w:tc>
          <w:tcPr>
            <w:tcW w:w="2551" w:type="dxa"/>
            <w:shd w:val="clear" w:color="auto" w:fill="auto"/>
          </w:tcPr>
          <w:p w14:paraId="78F176FB" w14:textId="77777777" w:rsidR="00775B85" w:rsidRPr="001B1DB1" w:rsidRDefault="00775B85" w:rsidP="00D16025">
            <w:pPr>
              <w:jc w:val="both"/>
              <w:rPr>
                <w:sz w:val="20"/>
                <w:szCs w:val="20"/>
              </w:rPr>
            </w:pPr>
            <w:r w:rsidRPr="001B1DB1">
              <w:rPr>
                <w:sz w:val="20"/>
                <w:szCs w:val="20"/>
              </w:rPr>
              <w:t>Minimizēti anonimitātes un krāpniecības riski neklātienes finanšu pakalpojumu jomā.</w:t>
            </w:r>
          </w:p>
        </w:tc>
        <w:tc>
          <w:tcPr>
            <w:tcW w:w="2694" w:type="dxa"/>
          </w:tcPr>
          <w:p w14:paraId="626E7BE9" w14:textId="185BC94F" w:rsidR="00775B85" w:rsidRPr="001B1DB1" w:rsidRDefault="00E02958" w:rsidP="00C0727F">
            <w:pPr>
              <w:jc w:val="both"/>
              <w:rPr>
                <w:sz w:val="20"/>
                <w:szCs w:val="20"/>
              </w:rPr>
            </w:pPr>
            <w:r>
              <w:rPr>
                <w:sz w:val="20"/>
                <w:szCs w:val="20"/>
              </w:rPr>
              <w:t>Veiktas k</w:t>
            </w:r>
            <w:r w:rsidR="00775B85" w:rsidRPr="001B1DB1">
              <w:rPr>
                <w:sz w:val="20"/>
                <w:szCs w:val="20"/>
              </w:rPr>
              <w:t>onsultācijas un likuma subjektu apmācības IKS uzlabošanai</w:t>
            </w:r>
            <w:r w:rsidR="00202289" w:rsidRPr="007B7CA9">
              <w:rPr>
                <w:sz w:val="20"/>
                <w:szCs w:val="20"/>
              </w:rPr>
              <w:t xml:space="preserve"> atbilstoši atbildīgās institūcijas  ikgadējam plānam</w:t>
            </w:r>
            <w:r w:rsidR="00775B85" w:rsidRPr="001B1DB1">
              <w:rPr>
                <w:sz w:val="20"/>
                <w:szCs w:val="20"/>
              </w:rPr>
              <w:t>.</w:t>
            </w:r>
          </w:p>
        </w:tc>
        <w:tc>
          <w:tcPr>
            <w:tcW w:w="1134" w:type="dxa"/>
            <w:shd w:val="clear" w:color="auto" w:fill="auto"/>
          </w:tcPr>
          <w:p w14:paraId="439475E2" w14:textId="34E266D5" w:rsidR="00775B85" w:rsidRPr="001B1DB1" w:rsidRDefault="00616C36" w:rsidP="002B2537">
            <w:pPr>
              <w:jc w:val="center"/>
              <w:rPr>
                <w:sz w:val="20"/>
                <w:szCs w:val="20"/>
              </w:rPr>
            </w:pPr>
            <w:r w:rsidRPr="001B1DB1">
              <w:rPr>
                <w:sz w:val="20"/>
                <w:szCs w:val="20"/>
              </w:rPr>
              <w:t>FKTK, VID, LB, IAUI, LZAP, LZNP, LZRA, NKMP, PTAC</w:t>
            </w:r>
            <w:r>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317B2995" w14:textId="665530D6" w:rsidR="00775B85" w:rsidRPr="001B1DB1" w:rsidRDefault="00775B85" w:rsidP="002B2537">
            <w:pPr>
              <w:jc w:val="center"/>
              <w:rPr>
                <w:sz w:val="20"/>
                <w:szCs w:val="20"/>
              </w:rPr>
            </w:pPr>
            <w:r w:rsidRPr="001B1DB1">
              <w:rPr>
                <w:sz w:val="20"/>
                <w:szCs w:val="20"/>
              </w:rPr>
              <w:t>Likuma subjekti</w:t>
            </w:r>
          </w:p>
        </w:tc>
        <w:tc>
          <w:tcPr>
            <w:tcW w:w="1418" w:type="dxa"/>
            <w:shd w:val="clear" w:color="auto" w:fill="auto"/>
          </w:tcPr>
          <w:p w14:paraId="5CF701BC" w14:textId="1446995E" w:rsidR="00775B85" w:rsidRPr="001B1DB1" w:rsidRDefault="00625393" w:rsidP="002B2537">
            <w:pPr>
              <w:jc w:val="center"/>
              <w:rPr>
                <w:sz w:val="20"/>
                <w:szCs w:val="20"/>
              </w:rPr>
            </w:pPr>
            <w:r>
              <w:rPr>
                <w:sz w:val="20"/>
                <w:szCs w:val="20"/>
              </w:rPr>
              <w:t>Vismaz reizi gadā</w:t>
            </w:r>
          </w:p>
        </w:tc>
      </w:tr>
      <w:tr w:rsidR="00A23031" w:rsidRPr="001B1DB1" w14:paraId="7AFB66AA" w14:textId="77777777" w:rsidTr="001B2BEE">
        <w:trPr>
          <w:trHeight w:val="543"/>
        </w:trPr>
        <w:tc>
          <w:tcPr>
            <w:tcW w:w="851" w:type="dxa"/>
          </w:tcPr>
          <w:p w14:paraId="3D6A7E29" w14:textId="50EAF19A" w:rsidR="00A23031" w:rsidRPr="001B1DB1" w:rsidRDefault="00A23031" w:rsidP="00A23031">
            <w:pPr>
              <w:jc w:val="center"/>
              <w:rPr>
                <w:rFonts w:cs="Times New Roman"/>
                <w:bCs/>
                <w:sz w:val="20"/>
                <w:szCs w:val="20"/>
              </w:rPr>
            </w:pPr>
            <w:r w:rsidRPr="001B1DB1">
              <w:rPr>
                <w:rFonts w:cs="Times New Roman"/>
                <w:bCs/>
                <w:sz w:val="20"/>
                <w:szCs w:val="20"/>
              </w:rPr>
              <w:t>10.</w:t>
            </w:r>
            <w:r>
              <w:rPr>
                <w:rFonts w:cs="Times New Roman"/>
                <w:bCs/>
                <w:sz w:val="20"/>
                <w:szCs w:val="20"/>
              </w:rPr>
              <w:t>1</w:t>
            </w:r>
            <w:r w:rsidR="005400BE">
              <w:rPr>
                <w:rFonts w:cs="Times New Roman"/>
                <w:bCs/>
                <w:sz w:val="20"/>
                <w:szCs w:val="20"/>
              </w:rPr>
              <w:t>1</w:t>
            </w:r>
            <w:r>
              <w:rPr>
                <w:rFonts w:cs="Times New Roman"/>
                <w:bCs/>
                <w:sz w:val="20"/>
                <w:szCs w:val="20"/>
              </w:rPr>
              <w:t>.</w:t>
            </w:r>
          </w:p>
        </w:tc>
        <w:tc>
          <w:tcPr>
            <w:tcW w:w="3544" w:type="dxa"/>
            <w:shd w:val="clear" w:color="auto" w:fill="auto"/>
          </w:tcPr>
          <w:p w14:paraId="3976B453" w14:textId="77777777" w:rsidR="00A23031" w:rsidRPr="001B1DB1" w:rsidRDefault="00A23031" w:rsidP="00A23031">
            <w:pPr>
              <w:jc w:val="both"/>
              <w:rPr>
                <w:rFonts w:cs="Times New Roman"/>
                <w:sz w:val="20"/>
                <w:szCs w:val="20"/>
              </w:rPr>
            </w:pPr>
            <w:r w:rsidRPr="001B1DB1">
              <w:rPr>
                <w:sz w:val="20"/>
                <w:szCs w:val="20"/>
              </w:rPr>
              <w:t>Realizējot NVO uzraudzību, izvērtēt to iespējamās saistības ar TF riskiem.</w:t>
            </w:r>
          </w:p>
        </w:tc>
        <w:tc>
          <w:tcPr>
            <w:tcW w:w="1559" w:type="dxa"/>
          </w:tcPr>
          <w:p w14:paraId="19F0AE4B" w14:textId="25BBC86A" w:rsidR="00A23031" w:rsidRPr="001B1DB1" w:rsidRDefault="00A23031" w:rsidP="00A23031">
            <w:r w:rsidRPr="001B1DB1">
              <w:rPr>
                <w:sz w:val="20"/>
                <w:szCs w:val="20"/>
              </w:rPr>
              <w:t>TF/PF risku ziņojums</w:t>
            </w:r>
            <w:r>
              <w:rPr>
                <w:sz w:val="20"/>
                <w:szCs w:val="20"/>
              </w:rPr>
              <w:t>.</w:t>
            </w:r>
          </w:p>
        </w:tc>
        <w:tc>
          <w:tcPr>
            <w:tcW w:w="2551" w:type="dxa"/>
            <w:shd w:val="clear" w:color="auto" w:fill="auto"/>
          </w:tcPr>
          <w:p w14:paraId="415B3A6E" w14:textId="77777777" w:rsidR="00A23031" w:rsidRPr="001B1DB1" w:rsidRDefault="00A23031" w:rsidP="00A23031">
            <w:pPr>
              <w:jc w:val="both"/>
            </w:pPr>
            <w:r w:rsidRPr="001B1DB1">
              <w:rPr>
                <w:sz w:val="20"/>
                <w:szCs w:val="20"/>
              </w:rPr>
              <w:t>Pastiprināta un plašāka NVO uzraudzība, kā arī ziņojumi FID par ar TF riskiem saistīto NVO darījumiem, tostarp ziedojumu saņemšanu.</w:t>
            </w:r>
          </w:p>
        </w:tc>
        <w:tc>
          <w:tcPr>
            <w:tcW w:w="2694" w:type="dxa"/>
          </w:tcPr>
          <w:p w14:paraId="63DD56DD" w14:textId="70C98E4E" w:rsidR="00A23031" w:rsidRPr="001B1DB1" w:rsidRDefault="00A23031" w:rsidP="00A23031">
            <w:pPr>
              <w:jc w:val="both"/>
            </w:pPr>
            <w:r w:rsidRPr="001B1DB1">
              <w:rPr>
                <w:sz w:val="20"/>
                <w:szCs w:val="20"/>
              </w:rPr>
              <w:t>Ar TF riskiem saistīto NVO sarakst</w:t>
            </w:r>
            <w:r>
              <w:rPr>
                <w:sz w:val="20"/>
                <w:szCs w:val="20"/>
              </w:rPr>
              <w:t>s</w:t>
            </w:r>
            <w:r w:rsidRPr="001B1DB1">
              <w:rPr>
                <w:sz w:val="20"/>
                <w:szCs w:val="20"/>
              </w:rPr>
              <w:t xml:space="preserve"> regulār</w:t>
            </w:r>
            <w:r>
              <w:rPr>
                <w:sz w:val="20"/>
                <w:szCs w:val="20"/>
              </w:rPr>
              <w:t>i</w:t>
            </w:r>
            <w:r w:rsidRPr="001B1DB1">
              <w:rPr>
                <w:sz w:val="20"/>
                <w:szCs w:val="20"/>
              </w:rPr>
              <w:t xml:space="preserve"> aktualizē</w:t>
            </w:r>
            <w:r>
              <w:rPr>
                <w:sz w:val="20"/>
                <w:szCs w:val="20"/>
              </w:rPr>
              <w:t>ts</w:t>
            </w:r>
            <w:r w:rsidRPr="001B1DB1">
              <w:rPr>
                <w:sz w:val="20"/>
                <w:szCs w:val="20"/>
              </w:rPr>
              <w:t>.</w:t>
            </w:r>
          </w:p>
        </w:tc>
        <w:tc>
          <w:tcPr>
            <w:tcW w:w="1134" w:type="dxa"/>
            <w:shd w:val="clear" w:color="auto" w:fill="auto"/>
          </w:tcPr>
          <w:p w14:paraId="3D5A525F" w14:textId="7F652E1C" w:rsidR="00A23031" w:rsidRPr="001B1DB1" w:rsidRDefault="00A23031" w:rsidP="00A23031">
            <w:pPr>
              <w:jc w:val="center"/>
            </w:pPr>
            <w:r w:rsidRPr="001B1DB1">
              <w:rPr>
                <w:sz w:val="20"/>
                <w:szCs w:val="20"/>
              </w:rPr>
              <w:t>VID</w:t>
            </w:r>
          </w:p>
        </w:tc>
        <w:tc>
          <w:tcPr>
            <w:tcW w:w="1275" w:type="dxa"/>
            <w:shd w:val="clear" w:color="auto" w:fill="auto"/>
          </w:tcPr>
          <w:p w14:paraId="4D16EA8A" w14:textId="67A6D80A" w:rsidR="00A23031" w:rsidRPr="001B1DB1" w:rsidRDefault="00A23031" w:rsidP="00A23031">
            <w:pPr>
              <w:jc w:val="center"/>
            </w:pPr>
            <w:r>
              <w:rPr>
                <w:sz w:val="20"/>
                <w:szCs w:val="20"/>
              </w:rPr>
              <w:t>FID, VDD</w:t>
            </w:r>
          </w:p>
        </w:tc>
        <w:tc>
          <w:tcPr>
            <w:tcW w:w="1418" w:type="dxa"/>
            <w:shd w:val="clear" w:color="auto" w:fill="auto"/>
          </w:tcPr>
          <w:p w14:paraId="03309CC8" w14:textId="06BAD8D2" w:rsidR="00A23031" w:rsidRPr="001B1DB1" w:rsidRDefault="00A23031" w:rsidP="00A23031">
            <w:pPr>
              <w:jc w:val="center"/>
            </w:pPr>
            <w:r w:rsidRPr="001B1DB1">
              <w:rPr>
                <w:sz w:val="20"/>
                <w:szCs w:val="20"/>
              </w:rPr>
              <w:t>Reizi pusgadā</w:t>
            </w:r>
          </w:p>
        </w:tc>
      </w:tr>
      <w:tr w:rsidR="00042AD8" w:rsidRPr="001B1DB1" w14:paraId="3D9C832E" w14:textId="77777777" w:rsidTr="001B2BEE">
        <w:trPr>
          <w:trHeight w:val="543"/>
        </w:trPr>
        <w:tc>
          <w:tcPr>
            <w:tcW w:w="851" w:type="dxa"/>
          </w:tcPr>
          <w:p w14:paraId="7F6A2403" w14:textId="60437B15" w:rsidR="00042AD8" w:rsidRPr="001B1DB1" w:rsidRDefault="00042AD8" w:rsidP="00042AD8">
            <w:pPr>
              <w:jc w:val="center"/>
              <w:rPr>
                <w:rFonts w:cs="Times New Roman"/>
                <w:bCs/>
                <w:sz w:val="20"/>
                <w:szCs w:val="20"/>
              </w:rPr>
            </w:pPr>
            <w:r w:rsidRPr="001B1DB1">
              <w:rPr>
                <w:rFonts w:cs="Times New Roman"/>
                <w:bCs/>
                <w:sz w:val="20"/>
                <w:szCs w:val="20"/>
              </w:rPr>
              <w:t>10.</w:t>
            </w:r>
            <w:r w:rsidR="00FE3B4E">
              <w:rPr>
                <w:rFonts w:cs="Times New Roman"/>
                <w:bCs/>
                <w:sz w:val="20"/>
                <w:szCs w:val="20"/>
              </w:rPr>
              <w:t>1</w:t>
            </w:r>
            <w:r w:rsidR="005400BE">
              <w:rPr>
                <w:rFonts w:cs="Times New Roman"/>
                <w:bCs/>
                <w:sz w:val="20"/>
                <w:szCs w:val="20"/>
              </w:rPr>
              <w:t>2</w:t>
            </w:r>
            <w:r w:rsidRPr="001B1DB1">
              <w:rPr>
                <w:rFonts w:cs="Times New Roman"/>
                <w:bCs/>
                <w:sz w:val="20"/>
                <w:szCs w:val="20"/>
              </w:rPr>
              <w:t>.</w:t>
            </w:r>
          </w:p>
        </w:tc>
        <w:tc>
          <w:tcPr>
            <w:tcW w:w="3544" w:type="dxa"/>
            <w:shd w:val="clear" w:color="auto" w:fill="auto"/>
          </w:tcPr>
          <w:p w14:paraId="25F4722A" w14:textId="77777777" w:rsidR="00042AD8" w:rsidRPr="001B1DB1" w:rsidRDefault="00042AD8" w:rsidP="00042AD8">
            <w:pPr>
              <w:jc w:val="both"/>
            </w:pPr>
            <w:r w:rsidRPr="001B1DB1">
              <w:rPr>
                <w:rFonts w:cs="Times New Roman"/>
                <w:sz w:val="20"/>
                <w:szCs w:val="20"/>
              </w:rPr>
              <w:t>Izstrādāt un ieviest kredītiestāžu riska klasifikācijas metodoloģiju sankciju atbilstības jomā.</w:t>
            </w:r>
          </w:p>
        </w:tc>
        <w:tc>
          <w:tcPr>
            <w:tcW w:w="1559" w:type="dxa"/>
          </w:tcPr>
          <w:p w14:paraId="2DCC7E77" w14:textId="77777777" w:rsidR="00042AD8" w:rsidRPr="001B1DB1" w:rsidRDefault="005175D0" w:rsidP="00042AD8">
            <w:r>
              <w:t xml:space="preserve">   </w:t>
            </w:r>
          </w:p>
        </w:tc>
        <w:tc>
          <w:tcPr>
            <w:tcW w:w="2551" w:type="dxa"/>
            <w:shd w:val="clear" w:color="auto" w:fill="auto"/>
          </w:tcPr>
          <w:p w14:paraId="191C6078" w14:textId="77777777" w:rsidR="00042AD8" w:rsidRPr="001B1DB1" w:rsidRDefault="00042AD8" w:rsidP="00D16025">
            <w:pPr>
              <w:jc w:val="both"/>
              <w:rPr>
                <w:sz w:val="20"/>
                <w:szCs w:val="20"/>
              </w:rPr>
            </w:pPr>
            <w:r w:rsidRPr="001B1DB1">
              <w:rPr>
                <w:sz w:val="20"/>
                <w:szCs w:val="20"/>
              </w:rPr>
              <w:t xml:space="preserve">Ieviesta vienota kredītiestāžu riska klasificēšanas prakse sankciju atbilstības jomā. </w:t>
            </w:r>
          </w:p>
        </w:tc>
        <w:tc>
          <w:tcPr>
            <w:tcW w:w="2694" w:type="dxa"/>
          </w:tcPr>
          <w:p w14:paraId="70AD88C6" w14:textId="77777777" w:rsidR="00042AD8" w:rsidRPr="001B1DB1" w:rsidRDefault="00042AD8" w:rsidP="00042AD8">
            <w:pPr>
              <w:jc w:val="both"/>
              <w:rPr>
                <w:sz w:val="20"/>
                <w:szCs w:val="20"/>
              </w:rPr>
            </w:pPr>
            <w:r w:rsidRPr="001B1DB1">
              <w:rPr>
                <w:sz w:val="20"/>
                <w:szCs w:val="20"/>
              </w:rPr>
              <w:t xml:space="preserve">Izstrādāta metodoloģija. </w:t>
            </w:r>
          </w:p>
        </w:tc>
        <w:tc>
          <w:tcPr>
            <w:tcW w:w="1134" w:type="dxa"/>
            <w:shd w:val="clear" w:color="auto" w:fill="auto"/>
          </w:tcPr>
          <w:p w14:paraId="4C650213" w14:textId="77777777" w:rsidR="00042AD8" w:rsidRPr="001B1DB1" w:rsidRDefault="00042AD8" w:rsidP="002B2537">
            <w:pPr>
              <w:jc w:val="center"/>
              <w:rPr>
                <w:sz w:val="20"/>
                <w:szCs w:val="20"/>
              </w:rPr>
            </w:pPr>
            <w:r w:rsidRPr="001B1DB1">
              <w:rPr>
                <w:sz w:val="20"/>
                <w:szCs w:val="20"/>
              </w:rPr>
              <w:t>FKTK</w:t>
            </w:r>
          </w:p>
        </w:tc>
        <w:tc>
          <w:tcPr>
            <w:tcW w:w="1275" w:type="dxa"/>
            <w:shd w:val="clear" w:color="auto" w:fill="auto"/>
          </w:tcPr>
          <w:p w14:paraId="5A0D6D57" w14:textId="77777777" w:rsidR="00042AD8" w:rsidRPr="001B1DB1" w:rsidRDefault="00042AD8" w:rsidP="002B2537">
            <w:pPr>
              <w:jc w:val="center"/>
              <w:rPr>
                <w:sz w:val="20"/>
                <w:szCs w:val="20"/>
              </w:rPr>
            </w:pPr>
          </w:p>
        </w:tc>
        <w:tc>
          <w:tcPr>
            <w:tcW w:w="1418" w:type="dxa"/>
            <w:shd w:val="clear" w:color="auto" w:fill="auto"/>
          </w:tcPr>
          <w:p w14:paraId="502885A9" w14:textId="77777777" w:rsidR="00042AD8" w:rsidRPr="001B1DB1" w:rsidRDefault="00042AD8" w:rsidP="002B2537">
            <w:pPr>
              <w:jc w:val="center"/>
              <w:rPr>
                <w:sz w:val="20"/>
                <w:szCs w:val="20"/>
              </w:rPr>
            </w:pPr>
            <w:r w:rsidRPr="001B1DB1">
              <w:rPr>
                <w:sz w:val="20"/>
                <w:szCs w:val="20"/>
              </w:rPr>
              <w:t>31.08.2020.</w:t>
            </w:r>
          </w:p>
        </w:tc>
      </w:tr>
      <w:tr w:rsidR="00042AD8" w:rsidRPr="001B1DB1" w14:paraId="57415D78" w14:textId="77777777" w:rsidTr="001B2BEE">
        <w:trPr>
          <w:trHeight w:val="543"/>
        </w:trPr>
        <w:tc>
          <w:tcPr>
            <w:tcW w:w="851" w:type="dxa"/>
          </w:tcPr>
          <w:p w14:paraId="38614CEF" w14:textId="17D5C22D" w:rsidR="00042AD8" w:rsidRPr="001B1DB1" w:rsidRDefault="00042AD8" w:rsidP="00042AD8">
            <w:pPr>
              <w:jc w:val="center"/>
              <w:rPr>
                <w:rFonts w:cs="Times New Roman"/>
                <w:b/>
                <w:sz w:val="20"/>
                <w:szCs w:val="20"/>
                <w:highlight w:val="yellow"/>
              </w:rPr>
            </w:pPr>
            <w:r w:rsidRPr="001B1DB1">
              <w:rPr>
                <w:rFonts w:cs="Times New Roman"/>
                <w:bCs/>
                <w:sz w:val="20"/>
                <w:szCs w:val="20"/>
              </w:rPr>
              <w:t>10.</w:t>
            </w:r>
            <w:r w:rsidR="00FE3B4E">
              <w:rPr>
                <w:rFonts w:cs="Times New Roman"/>
                <w:bCs/>
                <w:sz w:val="20"/>
                <w:szCs w:val="20"/>
              </w:rPr>
              <w:t>1</w:t>
            </w:r>
            <w:r w:rsidR="005400BE">
              <w:rPr>
                <w:rFonts w:cs="Times New Roman"/>
                <w:bCs/>
                <w:sz w:val="20"/>
                <w:szCs w:val="20"/>
              </w:rPr>
              <w:t>3</w:t>
            </w:r>
            <w:r w:rsidRPr="001B1DB1">
              <w:rPr>
                <w:rFonts w:cs="Times New Roman"/>
                <w:bCs/>
                <w:sz w:val="20"/>
                <w:szCs w:val="20"/>
              </w:rPr>
              <w:t>.</w:t>
            </w:r>
          </w:p>
        </w:tc>
        <w:tc>
          <w:tcPr>
            <w:tcW w:w="3544" w:type="dxa"/>
            <w:shd w:val="clear" w:color="auto" w:fill="auto"/>
          </w:tcPr>
          <w:p w14:paraId="07D142C5" w14:textId="77777777" w:rsidR="00042AD8" w:rsidRPr="001B1DB1" w:rsidRDefault="00042AD8" w:rsidP="00042AD8">
            <w:pPr>
              <w:jc w:val="both"/>
              <w:rPr>
                <w:rFonts w:cs="Times New Roman"/>
                <w:b/>
                <w:sz w:val="20"/>
                <w:szCs w:val="20"/>
                <w:highlight w:val="yellow"/>
              </w:rPr>
            </w:pPr>
            <w:r w:rsidRPr="001B1DB1">
              <w:rPr>
                <w:rFonts w:cs="Times New Roman"/>
                <w:sz w:val="20"/>
                <w:szCs w:val="20"/>
              </w:rPr>
              <w:t>Izstrādāt un ieviest finanšu institūciju sankciju atbilstības uzraudzības stratēģiju.</w:t>
            </w:r>
          </w:p>
        </w:tc>
        <w:tc>
          <w:tcPr>
            <w:tcW w:w="1559" w:type="dxa"/>
          </w:tcPr>
          <w:p w14:paraId="01FB4029" w14:textId="77777777" w:rsidR="00042AD8" w:rsidRPr="001B1DB1" w:rsidRDefault="005175D0" w:rsidP="00042AD8">
            <w:pPr>
              <w:rPr>
                <w:rFonts w:cs="Times New Roman"/>
                <w:sz w:val="20"/>
                <w:szCs w:val="20"/>
              </w:rPr>
            </w:pPr>
            <w:r>
              <w:rPr>
                <w:rFonts w:cs="Times New Roman"/>
                <w:sz w:val="20"/>
                <w:szCs w:val="20"/>
              </w:rPr>
              <w:t xml:space="preserve"> </w:t>
            </w:r>
          </w:p>
        </w:tc>
        <w:tc>
          <w:tcPr>
            <w:tcW w:w="2551" w:type="dxa"/>
            <w:shd w:val="clear" w:color="auto" w:fill="auto"/>
          </w:tcPr>
          <w:p w14:paraId="1ED9080A" w14:textId="77777777" w:rsidR="00042AD8" w:rsidRPr="001B1DB1" w:rsidRDefault="00042AD8" w:rsidP="00D16025">
            <w:pPr>
              <w:jc w:val="both"/>
              <w:rPr>
                <w:rFonts w:cs="Times New Roman"/>
                <w:sz w:val="20"/>
                <w:szCs w:val="20"/>
              </w:rPr>
            </w:pPr>
            <w:r w:rsidRPr="001B1DB1">
              <w:rPr>
                <w:sz w:val="20"/>
                <w:szCs w:val="20"/>
              </w:rPr>
              <w:t>Nodrošināta stratēģiski pamatota finanšu institūciju sankciju atbilstības uzraudzības attīstība.</w:t>
            </w:r>
          </w:p>
        </w:tc>
        <w:tc>
          <w:tcPr>
            <w:tcW w:w="2694" w:type="dxa"/>
          </w:tcPr>
          <w:p w14:paraId="07162262" w14:textId="77777777" w:rsidR="00042AD8" w:rsidRPr="001B1DB1" w:rsidRDefault="00042AD8" w:rsidP="00042AD8">
            <w:pPr>
              <w:jc w:val="both"/>
              <w:rPr>
                <w:sz w:val="20"/>
                <w:szCs w:val="20"/>
              </w:rPr>
            </w:pPr>
            <w:r w:rsidRPr="001B1DB1">
              <w:rPr>
                <w:sz w:val="20"/>
                <w:szCs w:val="20"/>
              </w:rPr>
              <w:t>Izstrādāta stratēģija.</w:t>
            </w:r>
          </w:p>
        </w:tc>
        <w:tc>
          <w:tcPr>
            <w:tcW w:w="1134" w:type="dxa"/>
            <w:shd w:val="clear" w:color="auto" w:fill="auto"/>
          </w:tcPr>
          <w:p w14:paraId="7731BD4D" w14:textId="77777777" w:rsidR="00042AD8" w:rsidRPr="001B1DB1" w:rsidRDefault="00042AD8" w:rsidP="002B2537">
            <w:pPr>
              <w:jc w:val="center"/>
              <w:rPr>
                <w:sz w:val="20"/>
                <w:szCs w:val="20"/>
              </w:rPr>
            </w:pPr>
            <w:r w:rsidRPr="001B1DB1">
              <w:rPr>
                <w:sz w:val="20"/>
                <w:szCs w:val="20"/>
              </w:rPr>
              <w:t>FKTK</w:t>
            </w:r>
          </w:p>
        </w:tc>
        <w:tc>
          <w:tcPr>
            <w:tcW w:w="1275" w:type="dxa"/>
            <w:shd w:val="clear" w:color="auto" w:fill="auto"/>
          </w:tcPr>
          <w:p w14:paraId="4A38198D" w14:textId="77777777" w:rsidR="00042AD8" w:rsidRPr="001B1DB1" w:rsidRDefault="00042AD8" w:rsidP="002B2537">
            <w:pPr>
              <w:jc w:val="center"/>
              <w:rPr>
                <w:sz w:val="20"/>
                <w:szCs w:val="20"/>
              </w:rPr>
            </w:pPr>
          </w:p>
        </w:tc>
        <w:tc>
          <w:tcPr>
            <w:tcW w:w="1418" w:type="dxa"/>
            <w:shd w:val="clear" w:color="auto" w:fill="auto"/>
          </w:tcPr>
          <w:p w14:paraId="65390352" w14:textId="77777777" w:rsidR="00042AD8" w:rsidRPr="001B1DB1" w:rsidRDefault="00042AD8" w:rsidP="002B2537">
            <w:pPr>
              <w:jc w:val="center"/>
              <w:rPr>
                <w:sz w:val="20"/>
                <w:szCs w:val="20"/>
              </w:rPr>
            </w:pPr>
            <w:r w:rsidRPr="001B1DB1">
              <w:rPr>
                <w:sz w:val="20"/>
                <w:szCs w:val="20"/>
              </w:rPr>
              <w:t>31.08.2020.</w:t>
            </w:r>
          </w:p>
        </w:tc>
      </w:tr>
      <w:tr w:rsidR="00042AD8" w:rsidRPr="001B1DB1" w14:paraId="4F5332A2" w14:textId="77777777" w:rsidTr="001B2BEE">
        <w:trPr>
          <w:trHeight w:val="543"/>
        </w:trPr>
        <w:tc>
          <w:tcPr>
            <w:tcW w:w="851" w:type="dxa"/>
          </w:tcPr>
          <w:p w14:paraId="01ABA807" w14:textId="7E870140" w:rsidR="00042AD8" w:rsidRPr="001B1DB1" w:rsidRDefault="00042AD8" w:rsidP="00042AD8">
            <w:pPr>
              <w:jc w:val="center"/>
              <w:rPr>
                <w:rFonts w:cs="Times New Roman"/>
                <w:bCs/>
                <w:sz w:val="20"/>
                <w:szCs w:val="20"/>
              </w:rPr>
            </w:pPr>
            <w:r w:rsidRPr="001B1DB1">
              <w:rPr>
                <w:rFonts w:cs="Times New Roman"/>
                <w:bCs/>
                <w:sz w:val="20"/>
                <w:szCs w:val="20"/>
              </w:rPr>
              <w:t>10.</w:t>
            </w:r>
            <w:r w:rsidR="00FE3B4E">
              <w:rPr>
                <w:rFonts w:cs="Times New Roman"/>
                <w:bCs/>
                <w:sz w:val="20"/>
                <w:szCs w:val="20"/>
              </w:rPr>
              <w:t>1</w:t>
            </w:r>
            <w:r w:rsidR="005400BE">
              <w:rPr>
                <w:rFonts w:cs="Times New Roman"/>
                <w:bCs/>
                <w:sz w:val="20"/>
                <w:szCs w:val="20"/>
              </w:rPr>
              <w:t>4</w:t>
            </w:r>
            <w:r w:rsidRPr="001B1DB1">
              <w:rPr>
                <w:rFonts w:cs="Times New Roman"/>
                <w:bCs/>
                <w:sz w:val="20"/>
                <w:szCs w:val="20"/>
              </w:rPr>
              <w:t>.</w:t>
            </w:r>
          </w:p>
        </w:tc>
        <w:tc>
          <w:tcPr>
            <w:tcW w:w="3544" w:type="dxa"/>
            <w:shd w:val="clear" w:color="auto" w:fill="auto"/>
          </w:tcPr>
          <w:p w14:paraId="3159C972" w14:textId="77777777" w:rsidR="00042AD8" w:rsidRPr="001B1DB1" w:rsidRDefault="00042AD8" w:rsidP="00042AD8">
            <w:pPr>
              <w:pStyle w:val="ListParagraph"/>
              <w:ind w:left="0"/>
              <w:jc w:val="both"/>
              <w:rPr>
                <w:rFonts w:cs="Times New Roman"/>
                <w:sz w:val="20"/>
                <w:szCs w:val="20"/>
              </w:rPr>
            </w:pPr>
            <w:r w:rsidRPr="001B1DB1">
              <w:rPr>
                <w:rFonts w:cs="Times New Roman"/>
                <w:sz w:val="20"/>
                <w:szCs w:val="20"/>
              </w:rPr>
              <w:t>Pilnveidot sankciju atbilstības uzraudzības pasākumu plānošanas un izpildes kārtību, pamatojoties uz sankciju riska klasifikācijas rezultātiem.</w:t>
            </w:r>
          </w:p>
        </w:tc>
        <w:tc>
          <w:tcPr>
            <w:tcW w:w="1559" w:type="dxa"/>
          </w:tcPr>
          <w:p w14:paraId="5C91D708" w14:textId="77777777" w:rsidR="00042AD8" w:rsidRPr="001B1DB1" w:rsidRDefault="005175D0" w:rsidP="00042AD8">
            <w:pPr>
              <w:rPr>
                <w:rFonts w:cs="Times New Roman"/>
                <w:sz w:val="20"/>
                <w:szCs w:val="20"/>
              </w:rPr>
            </w:pPr>
            <w:r>
              <w:rPr>
                <w:rFonts w:cs="Times New Roman"/>
                <w:sz w:val="20"/>
                <w:szCs w:val="20"/>
              </w:rPr>
              <w:t xml:space="preserve"> </w:t>
            </w:r>
          </w:p>
        </w:tc>
        <w:tc>
          <w:tcPr>
            <w:tcW w:w="2551" w:type="dxa"/>
            <w:shd w:val="clear" w:color="auto" w:fill="auto"/>
          </w:tcPr>
          <w:p w14:paraId="61F33CB9" w14:textId="312B3E39" w:rsidR="00042AD8" w:rsidRPr="001B1DB1" w:rsidRDefault="00042AD8" w:rsidP="00D16025">
            <w:pPr>
              <w:jc w:val="both"/>
              <w:rPr>
                <w:rFonts w:cs="Times New Roman"/>
                <w:sz w:val="20"/>
                <w:szCs w:val="20"/>
              </w:rPr>
            </w:pPr>
            <w:r w:rsidRPr="001B1DB1">
              <w:rPr>
                <w:sz w:val="20"/>
                <w:szCs w:val="20"/>
              </w:rPr>
              <w:t>Attīstīta ar risku pamatota uzraudzības pasākumu plānošanas un izpildes kārtība.</w:t>
            </w:r>
          </w:p>
        </w:tc>
        <w:tc>
          <w:tcPr>
            <w:tcW w:w="2694" w:type="dxa"/>
          </w:tcPr>
          <w:p w14:paraId="4B6D77D9" w14:textId="62FEF136" w:rsidR="00042AD8" w:rsidRPr="001B1DB1" w:rsidRDefault="008B788D" w:rsidP="00C0727F">
            <w:pPr>
              <w:jc w:val="both"/>
              <w:rPr>
                <w:sz w:val="20"/>
                <w:szCs w:val="20"/>
              </w:rPr>
            </w:pPr>
            <w:r>
              <w:rPr>
                <w:sz w:val="20"/>
                <w:szCs w:val="20"/>
              </w:rPr>
              <w:t>Veikti g</w:t>
            </w:r>
            <w:r w:rsidR="00042AD8" w:rsidRPr="001B1DB1">
              <w:rPr>
                <w:sz w:val="20"/>
                <w:szCs w:val="20"/>
              </w:rPr>
              <w:t>rozījumi uzraudzības pasākumu plānošanas un izpildes kārtību reglamentējošos dokumentos.</w:t>
            </w:r>
          </w:p>
        </w:tc>
        <w:tc>
          <w:tcPr>
            <w:tcW w:w="1134" w:type="dxa"/>
            <w:shd w:val="clear" w:color="auto" w:fill="auto"/>
          </w:tcPr>
          <w:p w14:paraId="419B9639" w14:textId="77777777" w:rsidR="00042AD8" w:rsidRPr="001B1DB1" w:rsidRDefault="00042AD8" w:rsidP="002B2537">
            <w:pPr>
              <w:jc w:val="center"/>
              <w:rPr>
                <w:sz w:val="20"/>
                <w:szCs w:val="20"/>
              </w:rPr>
            </w:pPr>
            <w:r w:rsidRPr="001B1DB1">
              <w:rPr>
                <w:sz w:val="20"/>
                <w:szCs w:val="20"/>
              </w:rPr>
              <w:t>FKTK</w:t>
            </w:r>
          </w:p>
        </w:tc>
        <w:tc>
          <w:tcPr>
            <w:tcW w:w="1275" w:type="dxa"/>
            <w:shd w:val="clear" w:color="auto" w:fill="auto"/>
          </w:tcPr>
          <w:p w14:paraId="08DEF31C" w14:textId="77777777" w:rsidR="00042AD8" w:rsidRPr="001B1DB1" w:rsidRDefault="00042AD8" w:rsidP="002B2537">
            <w:pPr>
              <w:jc w:val="center"/>
              <w:rPr>
                <w:sz w:val="20"/>
                <w:szCs w:val="20"/>
              </w:rPr>
            </w:pPr>
          </w:p>
        </w:tc>
        <w:tc>
          <w:tcPr>
            <w:tcW w:w="1418" w:type="dxa"/>
            <w:shd w:val="clear" w:color="auto" w:fill="auto"/>
          </w:tcPr>
          <w:p w14:paraId="6C2129F3" w14:textId="77777777" w:rsidR="00042AD8" w:rsidRPr="001B1DB1" w:rsidRDefault="00042AD8" w:rsidP="002B2537">
            <w:pPr>
              <w:jc w:val="center"/>
              <w:rPr>
                <w:sz w:val="20"/>
                <w:szCs w:val="20"/>
              </w:rPr>
            </w:pPr>
            <w:r w:rsidRPr="001B1DB1">
              <w:rPr>
                <w:sz w:val="20"/>
                <w:szCs w:val="20"/>
              </w:rPr>
              <w:t>31.12.2020.</w:t>
            </w:r>
          </w:p>
        </w:tc>
      </w:tr>
      <w:tr w:rsidR="00042AD8" w:rsidRPr="001B1DB1" w14:paraId="5617B734" w14:textId="77777777" w:rsidTr="001B2BEE">
        <w:trPr>
          <w:trHeight w:val="543"/>
        </w:trPr>
        <w:tc>
          <w:tcPr>
            <w:tcW w:w="851" w:type="dxa"/>
          </w:tcPr>
          <w:p w14:paraId="45CA454C" w14:textId="1C47EA57" w:rsidR="00042AD8" w:rsidRPr="001B1DB1" w:rsidRDefault="00042AD8" w:rsidP="00042AD8">
            <w:pPr>
              <w:jc w:val="center"/>
              <w:rPr>
                <w:rFonts w:cs="Times New Roman"/>
                <w:bCs/>
                <w:sz w:val="20"/>
                <w:szCs w:val="20"/>
              </w:rPr>
            </w:pPr>
            <w:r w:rsidRPr="001B1DB1">
              <w:rPr>
                <w:sz w:val="20"/>
                <w:szCs w:val="20"/>
              </w:rPr>
              <w:t>10.</w:t>
            </w:r>
            <w:r w:rsidR="00FE3B4E">
              <w:rPr>
                <w:sz w:val="20"/>
                <w:szCs w:val="20"/>
              </w:rPr>
              <w:t>1</w:t>
            </w:r>
            <w:r w:rsidR="005400BE">
              <w:rPr>
                <w:sz w:val="20"/>
                <w:szCs w:val="20"/>
              </w:rPr>
              <w:t>5</w:t>
            </w:r>
            <w:r w:rsidRPr="001B1DB1">
              <w:rPr>
                <w:sz w:val="20"/>
                <w:szCs w:val="20"/>
              </w:rPr>
              <w:t>.</w:t>
            </w:r>
          </w:p>
        </w:tc>
        <w:tc>
          <w:tcPr>
            <w:tcW w:w="3544" w:type="dxa"/>
            <w:shd w:val="clear" w:color="auto" w:fill="auto"/>
          </w:tcPr>
          <w:p w14:paraId="7BD14348" w14:textId="7B8487A5" w:rsidR="00042AD8" w:rsidRPr="001B1DB1" w:rsidRDefault="00042AD8" w:rsidP="001D16B7">
            <w:pPr>
              <w:pStyle w:val="ListParagraph"/>
              <w:ind w:left="0"/>
              <w:jc w:val="both"/>
              <w:rPr>
                <w:rFonts w:cs="Times New Roman"/>
                <w:sz w:val="20"/>
                <w:szCs w:val="20"/>
              </w:rPr>
            </w:pPr>
            <w:r w:rsidRPr="001B1DB1">
              <w:rPr>
                <w:sz w:val="20"/>
                <w:szCs w:val="20"/>
              </w:rPr>
              <w:t xml:space="preserve">Uzlabot privātā sektora zināšanas par </w:t>
            </w:r>
            <w:r w:rsidR="001D16B7">
              <w:rPr>
                <w:sz w:val="20"/>
                <w:szCs w:val="20"/>
              </w:rPr>
              <w:t>T</w:t>
            </w:r>
            <w:r w:rsidRPr="001B1DB1">
              <w:rPr>
                <w:sz w:val="20"/>
                <w:szCs w:val="20"/>
              </w:rPr>
              <w:t>F novēršanu un spēkā esoš</w:t>
            </w:r>
            <w:r w:rsidR="006878E1">
              <w:rPr>
                <w:sz w:val="20"/>
                <w:szCs w:val="20"/>
              </w:rPr>
              <w:t>ajiem</w:t>
            </w:r>
            <w:r w:rsidRPr="001B1DB1">
              <w:rPr>
                <w:sz w:val="20"/>
                <w:szCs w:val="20"/>
              </w:rPr>
              <w:t xml:space="preserve"> sankciju režīm</w:t>
            </w:r>
            <w:r w:rsidR="006878E1">
              <w:rPr>
                <w:sz w:val="20"/>
                <w:szCs w:val="20"/>
              </w:rPr>
              <w:t>iem</w:t>
            </w:r>
            <w:r w:rsidRPr="001B1DB1">
              <w:rPr>
                <w:sz w:val="20"/>
                <w:szCs w:val="20"/>
              </w:rPr>
              <w:t>.</w:t>
            </w:r>
          </w:p>
        </w:tc>
        <w:tc>
          <w:tcPr>
            <w:tcW w:w="1559" w:type="dxa"/>
          </w:tcPr>
          <w:p w14:paraId="260F16B8" w14:textId="77777777" w:rsidR="00042AD8" w:rsidRPr="001B1DB1" w:rsidRDefault="00042AD8" w:rsidP="00042AD8">
            <w:pPr>
              <w:rPr>
                <w:rFonts w:cs="Times New Roman"/>
                <w:sz w:val="20"/>
                <w:szCs w:val="20"/>
              </w:rPr>
            </w:pPr>
            <w:r w:rsidRPr="001B1DB1">
              <w:rPr>
                <w:sz w:val="20"/>
                <w:szCs w:val="20"/>
              </w:rPr>
              <w:t>TF/PF risku ziņojums.</w:t>
            </w:r>
          </w:p>
        </w:tc>
        <w:tc>
          <w:tcPr>
            <w:tcW w:w="2551" w:type="dxa"/>
            <w:shd w:val="clear" w:color="auto" w:fill="auto"/>
          </w:tcPr>
          <w:p w14:paraId="2BE76A89" w14:textId="2654B689" w:rsidR="00042AD8" w:rsidRPr="001B1DB1" w:rsidRDefault="008B788D" w:rsidP="001D16B7">
            <w:pPr>
              <w:jc w:val="both"/>
              <w:rPr>
                <w:sz w:val="20"/>
                <w:szCs w:val="20"/>
              </w:rPr>
            </w:pPr>
            <w:r>
              <w:rPr>
                <w:sz w:val="20"/>
                <w:szCs w:val="20"/>
              </w:rPr>
              <w:t>Nodrošināta p</w:t>
            </w:r>
            <w:r w:rsidR="00042AD8" w:rsidRPr="008B395B">
              <w:rPr>
                <w:sz w:val="20"/>
                <w:szCs w:val="20"/>
              </w:rPr>
              <w:t xml:space="preserve">rivātā sektora intensīvāka iesaistīšana </w:t>
            </w:r>
            <w:r w:rsidR="001D16B7">
              <w:rPr>
                <w:sz w:val="20"/>
                <w:szCs w:val="20"/>
              </w:rPr>
              <w:t>T</w:t>
            </w:r>
            <w:r w:rsidR="00042AD8" w:rsidRPr="008B395B">
              <w:rPr>
                <w:sz w:val="20"/>
                <w:szCs w:val="20"/>
              </w:rPr>
              <w:t>F novēršanā.</w:t>
            </w:r>
          </w:p>
        </w:tc>
        <w:tc>
          <w:tcPr>
            <w:tcW w:w="2694" w:type="dxa"/>
          </w:tcPr>
          <w:p w14:paraId="67EECD81" w14:textId="5412E110" w:rsidR="00042AD8" w:rsidRPr="001B1DB1" w:rsidRDefault="00202289" w:rsidP="00202289">
            <w:pPr>
              <w:jc w:val="both"/>
              <w:rPr>
                <w:sz w:val="20"/>
                <w:szCs w:val="20"/>
              </w:rPr>
            </w:pPr>
            <w:r>
              <w:rPr>
                <w:sz w:val="20"/>
                <w:szCs w:val="20"/>
              </w:rPr>
              <w:t>A</w:t>
            </w:r>
            <w:r w:rsidRPr="00202289">
              <w:rPr>
                <w:sz w:val="20"/>
                <w:szCs w:val="20"/>
              </w:rPr>
              <w:t xml:space="preserve">tbilstoši atbildīgās institūcijas  ikgadējam plānam </w:t>
            </w:r>
            <w:r>
              <w:rPr>
                <w:sz w:val="20"/>
                <w:szCs w:val="20"/>
              </w:rPr>
              <w:t>i</w:t>
            </w:r>
            <w:r w:rsidR="002E61A5" w:rsidRPr="002E61A5">
              <w:rPr>
                <w:sz w:val="20"/>
                <w:szCs w:val="20"/>
              </w:rPr>
              <w:t>zstrādāti publiski informatīvi materiāli un notiek regulāras privātā sektora informēšanas kampaņas par aktuāl</w:t>
            </w:r>
            <w:r w:rsidR="006878E1">
              <w:rPr>
                <w:sz w:val="20"/>
                <w:szCs w:val="20"/>
              </w:rPr>
              <w:t>ajiem</w:t>
            </w:r>
            <w:r w:rsidR="002E61A5" w:rsidRPr="002E61A5">
              <w:rPr>
                <w:sz w:val="20"/>
                <w:szCs w:val="20"/>
              </w:rPr>
              <w:t xml:space="preserve"> sankciju režīm</w:t>
            </w:r>
            <w:r w:rsidR="006878E1">
              <w:rPr>
                <w:sz w:val="20"/>
                <w:szCs w:val="20"/>
              </w:rPr>
              <w:t>iem</w:t>
            </w:r>
            <w:r w:rsidR="00101E2A">
              <w:rPr>
                <w:sz w:val="20"/>
                <w:szCs w:val="20"/>
              </w:rPr>
              <w:t>.</w:t>
            </w:r>
          </w:p>
        </w:tc>
        <w:tc>
          <w:tcPr>
            <w:tcW w:w="1134" w:type="dxa"/>
            <w:shd w:val="clear" w:color="auto" w:fill="auto"/>
          </w:tcPr>
          <w:p w14:paraId="4F4EAF7F" w14:textId="7AAF68B3" w:rsidR="00042AD8" w:rsidRPr="001B1DB1" w:rsidRDefault="00CC7793" w:rsidP="002B2537">
            <w:pPr>
              <w:jc w:val="center"/>
              <w:rPr>
                <w:sz w:val="20"/>
                <w:szCs w:val="20"/>
              </w:rPr>
            </w:pPr>
            <w:r w:rsidRPr="005E62D9">
              <w:rPr>
                <w:sz w:val="20"/>
                <w:szCs w:val="20"/>
              </w:rPr>
              <w:t>FKTK, PTAC, VID, LB, IAUI, LZAP, LZNP, LZRA, NKMP</w:t>
            </w:r>
            <w:r>
              <w:rPr>
                <w:sz w:val="20"/>
                <w:szCs w:val="20"/>
              </w:rPr>
              <w:t xml:space="preserve">, </w:t>
            </w:r>
            <w:r w:rsidR="00E03D7C">
              <w:rPr>
                <w:sz w:val="20"/>
                <w:szCs w:val="20"/>
              </w:rPr>
              <w:t>LSMPAA,</w:t>
            </w:r>
            <w:r w:rsidR="009E6D33">
              <w:rPr>
                <w:sz w:val="20"/>
                <w:szCs w:val="20"/>
              </w:rPr>
              <w:t xml:space="preserve"> </w:t>
            </w:r>
            <w:r w:rsidR="009E6D33">
              <w:rPr>
                <w:rFonts w:cs="Times New Roman"/>
                <w:sz w:val="20"/>
                <w:szCs w:val="20"/>
              </w:rPr>
              <w:lastRenderedPageBreak/>
              <w:t>MKD,</w:t>
            </w:r>
            <w:r w:rsidR="00E03D7C">
              <w:rPr>
                <w:sz w:val="20"/>
                <w:szCs w:val="20"/>
              </w:rPr>
              <w:t xml:space="preserve">  </w:t>
            </w:r>
            <w:r>
              <w:rPr>
                <w:sz w:val="20"/>
                <w:szCs w:val="20"/>
              </w:rPr>
              <w:t xml:space="preserve">VDD, </w:t>
            </w:r>
            <w:r w:rsidR="00042AD8" w:rsidRPr="001B1DB1">
              <w:rPr>
                <w:sz w:val="20"/>
                <w:szCs w:val="20"/>
              </w:rPr>
              <w:t>ĀM</w:t>
            </w:r>
          </w:p>
        </w:tc>
        <w:tc>
          <w:tcPr>
            <w:tcW w:w="1275" w:type="dxa"/>
            <w:shd w:val="clear" w:color="auto" w:fill="auto"/>
          </w:tcPr>
          <w:p w14:paraId="18AF689E" w14:textId="77777777" w:rsidR="00042AD8" w:rsidRPr="001B1DB1" w:rsidRDefault="00042AD8" w:rsidP="002B2537">
            <w:pPr>
              <w:jc w:val="center"/>
              <w:rPr>
                <w:sz w:val="20"/>
                <w:szCs w:val="20"/>
              </w:rPr>
            </w:pPr>
          </w:p>
        </w:tc>
        <w:tc>
          <w:tcPr>
            <w:tcW w:w="1418" w:type="dxa"/>
            <w:shd w:val="clear" w:color="auto" w:fill="auto"/>
          </w:tcPr>
          <w:p w14:paraId="1C4D21D5" w14:textId="77777777" w:rsidR="00042AD8" w:rsidRPr="001B1DB1" w:rsidRDefault="00042AD8" w:rsidP="002B2537">
            <w:pPr>
              <w:jc w:val="center"/>
              <w:rPr>
                <w:sz w:val="20"/>
                <w:szCs w:val="20"/>
              </w:rPr>
            </w:pPr>
            <w:r w:rsidRPr="001B1DB1">
              <w:rPr>
                <w:sz w:val="20"/>
                <w:szCs w:val="20"/>
              </w:rPr>
              <w:t>Pastāvīgi</w:t>
            </w:r>
          </w:p>
        </w:tc>
      </w:tr>
    </w:tbl>
    <w:p w14:paraId="66DC2306" w14:textId="77777777" w:rsidR="00775B85" w:rsidRPr="001B1DB1" w:rsidRDefault="00775B85" w:rsidP="00775B85">
      <w:pPr>
        <w:pStyle w:val="Heading2"/>
        <w:ind w:left="720"/>
        <w:rPr>
          <w:rFonts w:ascii="Times New Roman" w:hAnsi="Times New Roman" w:cs="Times New Roman"/>
          <w:b/>
          <w:color w:val="auto"/>
          <w:sz w:val="28"/>
          <w:szCs w:val="28"/>
        </w:rPr>
      </w:pPr>
      <w:r w:rsidRPr="001B1DB1">
        <w:rPr>
          <w:rFonts w:ascii="Times New Roman" w:hAnsi="Times New Roman" w:cs="Times New Roman"/>
          <w:b/>
          <w:color w:val="auto"/>
          <w:sz w:val="28"/>
          <w:szCs w:val="28"/>
        </w:rPr>
        <w:t xml:space="preserve"> </w:t>
      </w:r>
    </w:p>
    <w:p w14:paraId="263894EB" w14:textId="7B7DAEFB" w:rsidR="00775B85" w:rsidRPr="001B1DB1" w:rsidRDefault="00675FCF" w:rsidP="00675FCF">
      <w:pPr>
        <w:pStyle w:val="Heading2"/>
        <w:ind w:left="360"/>
        <w:rPr>
          <w:rFonts w:ascii="Times New Roman" w:hAnsi="Times New Roman" w:cs="Times New Roman"/>
          <w:b/>
          <w:color w:val="auto"/>
          <w:sz w:val="28"/>
          <w:szCs w:val="28"/>
        </w:rPr>
      </w:pPr>
      <w:r>
        <w:rPr>
          <w:rFonts w:ascii="Times New Roman" w:hAnsi="Times New Roman" w:cs="Times New Roman"/>
          <w:b/>
          <w:color w:val="auto"/>
          <w:sz w:val="28"/>
          <w:szCs w:val="28"/>
        </w:rPr>
        <w:t>11.</w:t>
      </w:r>
      <w:r w:rsidR="00775B85" w:rsidRPr="001B1DB1">
        <w:rPr>
          <w:rFonts w:ascii="Times New Roman" w:hAnsi="Times New Roman" w:cs="Times New Roman"/>
          <w:b/>
          <w:color w:val="auto"/>
          <w:sz w:val="28"/>
          <w:szCs w:val="28"/>
        </w:rPr>
        <w:t xml:space="preserve"> rīcības virziens – </w:t>
      </w:r>
      <w:r w:rsidR="009061E3" w:rsidRPr="009061E3">
        <w:rPr>
          <w:rFonts w:ascii="Times New Roman" w:hAnsi="Times New Roman" w:cs="Times New Roman"/>
          <w:b/>
          <w:color w:val="auto"/>
          <w:sz w:val="28"/>
          <w:szCs w:val="28"/>
        </w:rPr>
        <w:t xml:space="preserve">masveida </w:t>
      </w:r>
      <w:r w:rsidR="00775B85" w:rsidRPr="001B1DB1">
        <w:rPr>
          <w:rFonts w:ascii="Times New Roman" w:hAnsi="Times New Roman" w:cs="Times New Roman"/>
          <w:b/>
          <w:color w:val="auto"/>
          <w:sz w:val="28"/>
          <w:szCs w:val="28"/>
        </w:rPr>
        <w:t>iznīcināšanas ieroču finanšu sankcijas</w:t>
      </w:r>
    </w:p>
    <w:p w14:paraId="63B5B8E3" w14:textId="77777777" w:rsidR="00775B85" w:rsidRPr="001B1DB1" w:rsidRDefault="00775B85" w:rsidP="00775B85">
      <w:pPr>
        <w:pStyle w:val="Heading2"/>
        <w:rPr>
          <w:rFonts w:ascii="Times New Roman" w:hAnsi="Times New Roman" w:cs="Times New Roman"/>
          <w:b/>
          <w:color w:val="auto"/>
          <w:sz w:val="28"/>
          <w:szCs w:val="28"/>
        </w:rPr>
      </w:pPr>
    </w:p>
    <w:p w14:paraId="4D82BB2C" w14:textId="03929C43" w:rsidR="00775B85" w:rsidRPr="003D51E4" w:rsidRDefault="00775B85" w:rsidP="00775B85">
      <w:pPr>
        <w:jc w:val="both"/>
        <w:rPr>
          <w:szCs w:val="24"/>
        </w:rPr>
      </w:pPr>
      <w:r w:rsidRPr="001B1DB1">
        <w:rPr>
          <w:szCs w:val="24"/>
        </w:rPr>
        <w:t xml:space="preserve">Par rīcības virzienu atbildīgā </w:t>
      </w:r>
      <w:r w:rsidR="000853A3" w:rsidRPr="000853A3">
        <w:rPr>
          <w:szCs w:val="24"/>
        </w:rPr>
        <w:t>institūcija</w:t>
      </w:r>
      <w:r w:rsidRPr="003D51E4">
        <w:rPr>
          <w:szCs w:val="24"/>
        </w:rPr>
        <w:t>: ĀM</w:t>
      </w:r>
    </w:p>
    <w:p w14:paraId="2B53779A" w14:textId="202C02F2" w:rsidR="00775B85" w:rsidRPr="003D51E4" w:rsidRDefault="00775B85" w:rsidP="00775B85">
      <w:pPr>
        <w:jc w:val="both"/>
        <w:rPr>
          <w:szCs w:val="24"/>
        </w:rPr>
      </w:pPr>
      <w:r w:rsidRPr="003D51E4">
        <w:rPr>
          <w:szCs w:val="24"/>
        </w:rPr>
        <w:t xml:space="preserve">Līdzatbildīgās </w:t>
      </w:r>
      <w:r w:rsidR="00D00DDA">
        <w:rPr>
          <w:szCs w:val="24"/>
        </w:rPr>
        <w:t>institūcijas</w:t>
      </w:r>
      <w:r w:rsidRPr="003D51E4">
        <w:rPr>
          <w:szCs w:val="24"/>
        </w:rPr>
        <w:t xml:space="preserve">: </w:t>
      </w:r>
      <w:r w:rsidR="003D51E4" w:rsidRPr="003D51E4">
        <w:rPr>
          <w:szCs w:val="24"/>
        </w:rPr>
        <w:t xml:space="preserve">FID, FKTK, </w:t>
      </w:r>
      <w:r w:rsidRPr="003D51E4">
        <w:rPr>
          <w:szCs w:val="24"/>
        </w:rPr>
        <w:t xml:space="preserve">FM, </w:t>
      </w:r>
      <w:r w:rsidR="003D51E4" w:rsidRPr="003D51E4">
        <w:rPr>
          <w:szCs w:val="24"/>
        </w:rPr>
        <w:t xml:space="preserve">IAUI, </w:t>
      </w:r>
      <w:r w:rsidRPr="003D51E4">
        <w:rPr>
          <w:szCs w:val="24"/>
        </w:rPr>
        <w:t xml:space="preserve">IeM, </w:t>
      </w:r>
      <w:r w:rsidR="003D51E4" w:rsidRPr="003D51E4">
        <w:rPr>
          <w:szCs w:val="24"/>
        </w:rPr>
        <w:t>LB,</w:t>
      </w:r>
      <w:r w:rsidR="00BA2EF0">
        <w:rPr>
          <w:szCs w:val="24"/>
        </w:rPr>
        <w:t xml:space="preserve"> LSMPAA,</w:t>
      </w:r>
      <w:r w:rsidR="003D51E4" w:rsidRPr="003D51E4">
        <w:rPr>
          <w:szCs w:val="24"/>
        </w:rPr>
        <w:t xml:space="preserve"> LZAP, LZNP, LZRA, </w:t>
      </w:r>
      <w:r w:rsidR="009E6D33">
        <w:rPr>
          <w:szCs w:val="24"/>
        </w:rPr>
        <w:t xml:space="preserve">MKD, </w:t>
      </w:r>
      <w:r w:rsidR="003D51E4" w:rsidRPr="003D51E4">
        <w:rPr>
          <w:szCs w:val="24"/>
        </w:rPr>
        <w:t xml:space="preserve">NKMP, </w:t>
      </w:r>
      <w:r w:rsidRPr="003D51E4">
        <w:rPr>
          <w:szCs w:val="24"/>
        </w:rPr>
        <w:t>PTAC, VDD</w:t>
      </w:r>
      <w:r w:rsidR="003D51E4" w:rsidRPr="003D51E4">
        <w:rPr>
          <w:szCs w:val="24"/>
        </w:rPr>
        <w:t>, VID</w:t>
      </w:r>
    </w:p>
    <w:p w14:paraId="3C202902" w14:textId="77777777" w:rsidR="00775B85" w:rsidRPr="001B1DB1" w:rsidRDefault="00775B85" w:rsidP="00775B85">
      <w:pPr>
        <w:jc w:val="both"/>
        <w:rPr>
          <w:sz w:val="28"/>
          <w:szCs w:val="28"/>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5"/>
        <w:gridCol w:w="1559"/>
        <w:gridCol w:w="2552"/>
        <w:gridCol w:w="2694"/>
        <w:gridCol w:w="1134"/>
        <w:gridCol w:w="1275"/>
        <w:gridCol w:w="1418"/>
      </w:tblGrid>
      <w:tr w:rsidR="00775B85" w:rsidRPr="001B1DB1" w14:paraId="363B0023" w14:textId="77777777" w:rsidTr="00E20CD2">
        <w:tc>
          <w:tcPr>
            <w:tcW w:w="4394" w:type="dxa"/>
            <w:gridSpan w:val="2"/>
          </w:tcPr>
          <w:p w14:paraId="38D2184E" w14:textId="77777777" w:rsidR="00775B85" w:rsidRPr="001B1DB1" w:rsidRDefault="00775B85" w:rsidP="00EC4F0C">
            <w:pPr>
              <w:rPr>
                <w:rFonts w:cs="Times New Roman"/>
                <w:b/>
                <w:bCs/>
                <w:sz w:val="20"/>
                <w:szCs w:val="20"/>
              </w:rPr>
            </w:pPr>
            <w:r w:rsidRPr="001B1DB1">
              <w:rPr>
                <w:rFonts w:cs="Times New Roman"/>
                <w:b/>
                <w:bCs/>
                <w:sz w:val="20"/>
                <w:szCs w:val="20"/>
              </w:rPr>
              <w:t>Rīcības virziens</w:t>
            </w:r>
          </w:p>
        </w:tc>
        <w:tc>
          <w:tcPr>
            <w:tcW w:w="10632" w:type="dxa"/>
            <w:gridSpan w:val="6"/>
          </w:tcPr>
          <w:p w14:paraId="6EFB355C" w14:textId="1FAEC394" w:rsidR="00775B85" w:rsidRPr="001B1DB1" w:rsidRDefault="009061E3" w:rsidP="009061E3">
            <w:pPr>
              <w:jc w:val="both"/>
              <w:rPr>
                <w:rFonts w:cs="Times New Roman"/>
                <w:b/>
                <w:bCs/>
                <w:sz w:val="20"/>
                <w:szCs w:val="20"/>
              </w:rPr>
            </w:pPr>
            <w:r>
              <w:rPr>
                <w:rFonts w:cs="Times New Roman"/>
                <w:b/>
                <w:bCs/>
                <w:sz w:val="20"/>
                <w:szCs w:val="20"/>
              </w:rPr>
              <w:t>MASVEIDA</w:t>
            </w:r>
            <w:r w:rsidRPr="009061E3">
              <w:rPr>
                <w:rFonts w:cs="Times New Roman"/>
                <w:b/>
                <w:bCs/>
                <w:sz w:val="20"/>
                <w:szCs w:val="20"/>
              </w:rPr>
              <w:t xml:space="preserve"> </w:t>
            </w:r>
            <w:r w:rsidR="00775B85" w:rsidRPr="001B1DB1">
              <w:rPr>
                <w:rFonts w:cs="Times New Roman"/>
                <w:b/>
                <w:bCs/>
                <w:sz w:val="20"/>
                <w:szCs w:val="20"/>
              </w:rPr>
              <w:t>IZNĪCINĀŠANAS IEROČU FINANŠU SANKCIJAS</w:t>
            </w:r>
          </w:p>
        </w:tc>
      </w:tr>
      <w:tr w:rsidR="007D49B9" w:rsidRPr="001B1DB1" w14:paraId="680BFE3A" w14:textId="77777777" w:rsidTr="00E20CD2">
        <w:tc>
          <w:tcPr>
            <w:tcW w:w="4394" w:type="dxa"/>
            <w:gridSpan w:val="2"/>
          </w:tcPr>
          <w:p w14:paraId="1080FFFB" w14:textId="3FB9A19C" w:rsidR="007D49B9" w:rsidRPr="001B1DB1" w:rsidRDefault="007D49B9" w:rsidP="007D49B9">
            <w:pPr>
              <w:rPr>
                <w:rFonts w:cs="Times New Roman"/>
                <w:b/>
                <w:bCs/>
                <w:sz w:val="20"/>
                <w:szCs w:val="20"/>
              </w:rPr>
            </w:pPr>
            <w:r w:rsidRPr="001B1DB1">
              <w:rPr>
                <w:rFonts w:cs="Times New Roman"/>
                <w:b/>
                <w:bCs/>
                <w:sz w:val="20"/>
                <w:szCs w:val="20"/>
              </w:rPr>
              <w:t>Sasniedzamais mērķis</w:t>
            </w:r>
          </w:p>
        </w:tc>
        <w:tc>
          <w:tcPr>
            <w:tcW w:w="10632" w:type="dxa"/>
            <w:gridSpan w:val="6"/>
          </w:tcPr>
          <w:p w14:paraId="3FE8FBAD" w14:textId="0E91C9EE" w:rsidR="007D49B9" w:rsidRPr="001B1DB1" w:rsidRDefault="007D49B9" w:rsidP="007D49B9">
            <w:pPr>
              <w:jc w:val="both"/>
              <w:rPr>
                <w:rFonts w:cs="Times New Roman"/>
                <w:b/>
                <w:bCs/>
                <w:sz w:val="20"/>
                <w:szCs w:val="20"/>
              </w:rPr>
            </w:pPr>
            <w:r w:rsidRPr="001B1DB1">
              <w:rPr>
                <w:rFonts w:cs="Times New Roman"/>
                <w:b/>
                <w:bCs/>
                <w:sz w:val="20"/>
                <w:szCs w:val="20"/>
              </w:rPr>
              <w:t xml:space="preserve">Saskaņā ar attiecīgajām ANO DP rezolūcijām personām un organizācijām, kas iesaistītas </w:t>
            </w:r>
            <w:r w:rsidR="009061E3" w:rsidRPr="009061E3">
              <w:rPr>
                <w:rFonts w:cs="Times New Roman"/>
                <w:b/>
                <w:bCs/>
                <w:sz w:val="20"/>
                <w:szCs w:val="20"/>
              </w:rPr>
              <w:t xml:space="preserve">masveida </w:t>
            </w:r>
            <w:r w:rsidRPr="001B1DB1">
              <w:rPr>
                <w:rFonts w:cs="Times New Roman"/>
                <w:b/>
                <w:bCs/>
                <w:sz w:val="20"/>
                <w:szCs w:val="20"/>
              </w:rPr>
              <w:t>iznīcināšanas ieroču izplatīšanā, ir novērsta iespēja piesaistīt, pārvietot un izmantot līdzekļus.</w:t>
            </w:r>
          </w:p>
        </w:tc>
      </w:tr>
      <w:tr w:rsidR="00775B85" w:rsidRPr="001B1DB1" w14:paraId="518AC55F" w14:textId="77777777" w:rsidTr="00E20CD2">
        <w:trPr>
          <w:trHeight w:val="543"/>
        </w:trPr>
        <w:tc>
          <w:tcPr>
            <w:tcW w:w="709" w:type="dxa"/>
          </w:tcPr>
          <w:p w14:paraId="2F24E3DE" w14:textId="77777777" w:rsidR="00775B85" w:rsidRPr="001B1DB1" w:rsidRDefault="00775B85" w:rsidP="00EC4F0C">
            <w:pPr>
              <w:jc w:val="center"/>
              <w:rPr>
                <w:rFonts w:cs="Times New Roman"/>
                <w:bCs/>
                <w:sz w:val="20"/>
                <w:szCs w:val="20"/>
              </w:rPr>
            </w:pPr>
            <w:r w:rsidRPr="001B1DB1">
              <w:rPr>
                <w:rFonts w:cs="Times New Roman"/>
                <w:bCs/>
                <w:sz w:val="20"/>
                <w:szCs w:val="20"/>
              </w:rPr>
              <w:t>Nr. P.k.</w:t>
            </w:r>
          </w:p>
        </w:tc>
        <w:tc>
          <w:tcPr>
            <w:tcW w:w="3685" w:type="dxa"/>
            <w:shd w:val="clear" w:color="auto" w:fill="auto"/>
          </w:tcPr>
          <w:p w14:paraId="35468B99" w14:textId="77777777" w:rsidR="00775B85" w:rsidRPr="001B1DB1" w:rsidRDefault="00775B85" w:rsidP="00EC4F0C">
            <w:pPr>
              <w:jc w:val="center"/>
              <w:rPr>
                <w:rFonts w:cs="Times New Roman"/>
                <w:bCs/>
                <w:i/>
                <w:sz w:val="20"/>
                <w:szCs w:val="20"/>
              </w:rPr>
            </w:pPr>
            <w:r w:rsidRPr="001B1DB1">
              <w:rPr>
                <w:rFonts w:cs="Times New Roman"/>
                <w:b/>
                <w:bCs/>
                <w:sz w:val="20"/>
                <w:szCs w:val="20"/>
              </w:rPr>
              <w:t>Pasākums</w:t>
            </w:r>
          </w:p>
        </w:tc>
        <w:tc>
          <w:tcPr>
            <w:tcW w:w="1559" w:type="dxa"/>
          </w:tcPr>
          <w:p w14:paraId="6E663F27" w14:textId="77777777" w:rsidR="00775B85" w:rsidRPr="001B1DB1" w:rsidRDefault="00775B85" w:rsidP="00EC4F0C">
            <w:pPr>
              <w:jc w:val="center"/>
              <w:rPr>
                <w:rFonts w:cs="Times New Roman"/>
                <w:b/>
                <w:sz w:val="20"/>
                <w:szCs w:val="20"/>
              </w:rPr>
            </w:pPr>
            <w:r w:rsidRPr="001B1DB1">
              <w:rPr>
                <w:rFonts w:cs="Times New Roman"/>
                <w:b/>
                <w:sz w:val="20"/>
                <w:szCs w:val="20"/>
              </w:rPr>
              <w:t>Pamatojums</w:t>
            </w:r>
          </w:p>
        </w:tc>
        <w:tc>
          <w:tcPr>
            <w:tcW w:w="2552" w:type="dxa"/>
            <w:shd w:val="clear" w:color="auto" w:fill="auto"/>
          </w:tcPr>
          <w:p w14:paraId="63919B73" w14:textId="77777777" w:rsidR="00775B85" w:rsidRPr="001B1DB1" w:rsidRDefault="00775B85" w:rsidP="00EC4F0C">
            <w:pPr>
              <w:jc w:val="center"/>
              <w:rPr>
                <w:rFonts w:cs="Times New Roman"/>
                <w:b/>
                <w:bCs/>
                <w:i/>
                <w:sz w:val="20"/>
                <w:szCs w:val="20"/>
              </w:rPr>
            </w:pPr>
            <w:r w:rsidRPr="001B1DB1">
              <w:rPr>
                <w:rFonts w:cs="Times New Roman"/>
                <w:b/>
                <w:sz w:val="20"/>
                <w:szCs w:val="20"/>
              </w:rPr>
              <w:t>Darbības rezultāts</w:t>
            </w:r>
          </w:p>
        </w:tc>
        <w:tc>
          <w:tcPr>
            <w:tcW w:w="2694" w:type="dxa"/>
          </w:tcPr>
          <w:p w14:paraId="64057459" w14:textId="77777777" w:rsidR="00775B85" w:rsidRPr="001B1DB1" w:rsidRDefault="00775B85" w:rsidP="00EC4F0C">
            <w:pPr>
              <w:jc w:val="center"/>
              <w:rPr>
                <w:rFonts w:cs="Times New Roman"/>
                <w:bCs/>
                <w:i/>
                <w:sz w:val="20"/>
                <w:szCs w:val="20"/>
              </w:rPr>
            </w:pPr>
            <w:r w:rsidRPr="001B1DB1">
              <w:rPr>
                <w:rFonts w:cs="Times New Roman"/>
                <w:b/>
                <w:sz w:val="20"/>
                <w:szCs w:val="20"/>
              </w:rPr>
              <w:t>Rezultatīvais rādītājs</w:t>
            </w:r>
          </w:p>
        </w:tc>
        <w:tc>
          <w:tcPr>
            <w:tcW w:w="1134" w:type="dxa"/>
            <w:shd w:val="clear" w:color="auto" w:fill="auto"/>
          </w:tcPr>
          <w:p w14:paraId="404D77EA"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 institūcija</w:t>
            </w:r>
          </w:p>
        </w:tc>
        <w:tc>
          <w:tcPr>
            <w:tcW w:w="1275" w:type="dxa"/>
            <w:shd w:val="clear" w:color="auto" w:fill="auto"/>
          </w:tcPr>
          <w:p w14:paraId="76FE0FF7" w14:textId="77777777" w:rsidR="00775B85" w:rsidRPr="001B1DB1" w:rsidRDefault="00775B85" w:rsidP="00EC4F0C">
            <w:pPr>
              <w:jc w:val="center"/>
              <w:rPr>
                <w:rFonts w:cs="Times New Roman"/>
                <w:b/>
                <w:bCs/>
                <w:sz w:val="20"/>
                <w:szCs w:val="20"/>
              </w:rPr>
            </w:pPr>
            <w:r w:rsidRPr="001B1DB1">
              <w:rPr>
                <w:rFonts w:cs="Times New Roman"/>
                <w:b/>
                <w:bCs/>
                <w:sz w:val="20"/>
                <w:szCs w:val="20"/>
              </w:rPr>
              <w:t>Līdz-</w:t>
            </w:r>
          </w:p>
          <w:p w14:paraId="0BB76D45" w14:textId="77777777" w:rsidR="00775B85" w:rsidRPr="001B1DB1" w:rsidRDefault="00775B85" w:rsidP="00EC4F0C">
            <w:pPr>
              <w:jc w:val="center"/>
              <w:rPr>
                <w:rFonts w:cs="Times New Roman"/>
                <w:bCs/>
                <w:i/>
                <w:sz w:val="20"/>
                <w:szCs w:val="20"/>
              </w:rPr>
            </w:pPr>
            <w:r w:rsidRPr="001B1DB1">
              <w:rPr>
                <w:rFonts w:cs="Times New Roman"/>
                <w:b/>
                <w:bCs/>
                <w:sz w:val="20"/>
                <w:szCs w:val="20"/>
              </w:rPr>
              <w:t>atbildīgās institūcijas</w:t>
            </w:r>
          </w:p>
        </w:tc>
        <w:tc>
          <w:tcPr>
            <w:tcW w:w="1418" w:type="dxa"/>
            <w:shd w:val="clear" w:color="auto" w:fill="auto"/>
          </w:tcPr>
          <w:p w14:paraId="16E7B155" w14:textId="77777777" w:rsidR="00775B85" w:rsidRPr="001B1DB1" w:rsidRDefault="00775B85" w:rsidP="00EC4F0C">
            <w:pPr>
              <w:jc w:val="center"/>
              <w:rPr>
                <w:rFonts w:cs="Times New Roman"/>
                <w:bCs/>
                <w:i/>
                <w:sz w:val="20"/>
                <w:szCs w:val="20"/>
              </w:rPr>
            </w:pPr>
            <w:r w:rsidRPr="001B1DB1">
              <w:rPr>
                <w:rFonts w:cs="Times New Roman"/>
                <w:b/>
                <w:bCs/>
                <w:sz w:val="20"/>
                <w:szCs w:val="20"/>
              </w:rPr>
              <w:t>Izpildes termiņš</w:t>
            </w:r>
          </w:p>
        </w:tc>
      </w:tr>
      <w:tr w:rsidR="00CF28FB" w:rsidRPr="001B1DB1" w14:paraId="0EB88BF7" w14:textId="77777777" w:rsidTr="00E20CD2">
        <w:trPr>
          <w:trHeight w:val="2116"/>
        </w:trPr>
        <w:tc>
          <w:tcPr>
            <w:tcW w:w="709" w:type="dxa"/>
          </w:tcPr>
          <w:p w14:paraId="53C2AFE4" w14:textId="77777777" w:rsidR="00CF28FB" w:rsidRPr="001B1DB1" w:rsidRDefault="00CF28FB" w:rsidP="00F6007F">
            <w:pPr>
              <w:jc w:val="center"/>
            </w:pPr>
            <w:r w:rsidRPr="001B1DB1">
              <w:rPr>
                <w:rFonts w:cs="Times New Roman"/>
                <w:bCs/>
                <w:sz w:val="20"/>
                <w:szCs w:val="20"/>
              </w:rPr>
              <w:t>11.1.</w:t>
            </w:r>
          </w:p>
        </w:tc>
        <w:tc>
          <w:tcPr>
            <w:tcW w:w="3685" w:type="dxa"/>
            <w:shd w:val="clear" w:color="auto" w:fill="auto"/>
          </w:tcPr>
          <w:p w14:paraId="6EE2AA9F" w14:textId="41D63AD7" w:rsidR="00CF28FB" w:rsidRPr="001B1DB1" w:rsidRDefault="00CF28FB" w:rsidP="004B0D5E">
            <w:pPr>
              <w:jc w:val="both"/>
            </w:pPr>
            <w:r w:rsidRPr="001B1DB1">
              <w:rPr>
                <w:sz w:val="20"/>
                <w:szCs w:val="20"/>
              </w:rPr>
              <w:t xml:space="preserve">Veicināt uzraudzību </w:t>
            </w:r>
            <w:r w:rsidR="004B0D5E">
              <w:rPr>
                <w:sz w:val="20"/>
                <w:szCs w:val="20"/>
              </w:rPr>
              <w:t>PF</w:t>
            </w:r>
            <w:r w:rsidR="004B0D5E" w:rsidRPr="001B1DB1">
              <w:rPr>
                <w:sz w:val="20"/>
                <w:szCs w:val="20"/>
              </w:rPr>
              <w:t xml:space="preserve"> </w:t>
            </w:r>
            <w:r w:rsidRPr="001B1DB1">
              <w:rPr>
                <w:sz w:val="20"/>
                <w:szCs w:val="20"/>
              </w:rPr>
              <w:t>novēršanas jomā.</w:t>
            </w:r>
          </w:p>
        </w:tc>
        <w:tc>
          <w:tcPr>
            <w:tcW w:w="1559" w:type="dxa"/>
          </w:tcPr>
          <w:p w14:paraId="08B88C14" w14:textId="77777777" w:rsidR="00CF28FB" w:rsidRPr="001B1DB1" w:rsidRDefault="00CF28FB" w:rsidP="00C512B8">
            <w:pPr>
              <w:jc w:val="both"/>
            </w:pPr>
            <w:r w:rsidRPr="001B1DB1">
              <w:rPr>
                <w:rFonts w:cs="Times New Roman"/>
                <w:sz w:val="20"/>
                <w:szCs w:val="20"/>
              </w:rPr>
              <w:t>FATF standartu izpilde.</w:t>
            </w:r>
          </w:p>
        </w:tc>
        <w:tc>
          <w:tcPr>
            <w:tcW w:w="2552" w:type="dxa"/>
            <w:shd w:val="clear" w:color="auto" w:fill="auto"/>
          </w:tcPr>
          <w:p w14:paraId="2AE2878D" w14:textId="7AE2DE74" w:rsidR="00CF28FB" w:rsidRPr="001B1DB1" w:rsidRDefault="003B69A8" w:rsidP="00C0727F">
            <w:pPr>
              <w:jc w:val="both"/>
            </w:pPr>
            <w:r>
              <w:rPr>
                <w:rFonts w:cs="Times New Roman"/>
                <w:sz w:val="20"/>
                <w:szCs w:val="20"/>
              </w:rPr>
              <w:t>Stiprināta a</w:t>
            </w:r>
            <w:r w:rsidR="00CF28FB" w:rsidRPr="008B395B">
              <w:rPr>
                <w:rFonts w:cs="Times New Roman"/>
                <w:sz w:val="20"/>
                <w:szCs w:val="20"/>
              </w:rPr>
              <w:t>r risku pamatota uzraudzība.</w:t>
            </w:r>
          </w:p>
        </w:tc>
        <w:tc>
          <w:tcPr>
            <w:tcW w:w="2694" w:type="dxa"/>
          </w:tcPr>
          <w:p w14:paraId="4F76ED1C" w14:textId="3CC03BCA" w:rsidR="00CF28FB" w:rsidRPr="001B1DB1" w:rsidRDefault="004B0D5E" w:rsidP="004B0D5E">
            <w:pPr>
              <w:jc w:val="both"/>
            </w:pPr>
            <w:r>
              <w:rPr>
                <w:rFonts w:cs="Times New Roman"/>
                <w:sz w:val="20"/>
                <w:szCs w:val="20"/>
              </w:rPr>
              <w:t>A</w:t>
            </w:r>
            <w:r w:rsidRPr="004B0D5E">
              <w:rPr>
                <w:rFonts w:cs="Times New Roman"/>
                <w:sz w:val="20"/>
                <w:szCs w:val="20"/>
              </w:rPr>
              <w:t xml:space="preserve">tbilstoši atbildīgās institūcijas  ikgadējam plānam </w:t>
            </w:r>
            <w:r>
              <w:rPr>
                <w:rFonts w:cs="Times New Roman"/>
                <w:sz w:val="20"/>
                <w:szCs w:val="20"/>
              </w:rPr>
              <w:t>v</w:t>
            </w:r>
            <w:r w:rsidR="0097083F">
              <w:rPr>
                <w:rFonts w:cs="Times New Roman"/>
                <w:sz w:val="20"/>
                <w:szCs w:val="20"/>
              </w:rPr>
              <w:t>eiktas m</w:t>
            </w:r>
            <w:r w:rsidR="00CF28FB" w:rsidRPr="001B1DB1">
              <w:rPr>
                <w:rFonts w:cs="Times New Roman"/>
                <w:sz w:val="20"/>
                <w:szCs w:val="20"/>
              </w:rPr>
              <w:t xml:space="preserve">ērķtiecīgas pārbaudes sankciju ievērošanas un </w:t>
            </w:r>
            <w:r>
              <w:rPr>
                <w:rFonts w:cs="Times New Roman"/>
                <w:sz w:val="20"/>
                <w:szCs w:val="20"/>
              </w:rPr>
              <w:t>PF</w:t>
            </w:r>
            <w:r w:rsidRPr="001B1DB1">
              <w:rPr>
                <w:rFonts w:cs="Times New Roman"/>
                <w:sz w:val="20"/>
                <w:szCs w:val="20"/>
              </w:rPr>
              <w:t xml:space="preserve"> </w:t>
            </w:r>
            <w:r w:rsidR="00CF28FB" w:rsidRPr="001B1DB1">
              <w:rPr>
                <w:rFonts w:cs="Times New Roman"/>
                <w:sz w:val="20"/>
                <w:szCs w:val="20"/>
              </w:rPr>
              <w:t>novēršanas jomā</w:t>
            </w:r>
            <w:r w:rsidR="00372976">
              <w:t xml:space="preserve"> </w:t>
            </w:r>
            <w:r w:rsidR="00372976" w:rsidRPr="00372976">
              <w:rPr>
                <w:rFonts w:cs="Times New Roman"/>
                <w:sz w:val="20"/>
                <w:szCs w:val="20"/>
              </w:rPr>
              <w:t>atbilstoši risku izvērtējumam</w:t>
            </w:r>
            <w:r w:rsidR="00CF28FB" w:rsidRPr="001B1DB1">
              <w:rPr>
                <w:rFonts w:cs="Times New Roman"/>
                <w:sz w:val="20"/>
                <w:szCs w:val="20"/>
              </w:rPr>
              <w:t>.</w:t>
            </w:r>
          </w:p>
        </w:tc>
        <w:tc>
          <w:tcPr>
            <w:tcW w:w="1134" w:type="dxa"/>
            <w:shd w:val="clear" w:color="auto" w:fill="auto"/>
          </w:tcPr>
          <w:p w14:paraId="2073308D" w14:textId="67D7D10A" w:rsidR="00CF28FB" w:rsidRPr="001B1DB1" w:rsidRDefault="00CF28FB" w:rsidP="00B577E5">
            <w:pPr>
              <w:jc w:val="center"/>
            </w:pPr>
            <w:r w:rsidRPr="001B1DB1">
              <w:rPr>
                <w:sz w:val="20"/>
                <w:szCs w:val="20"/>
              </w:rPr>
              <w:t>FKTK, PTAC, VID, LB, IAUI, LZAP, LZNP, LZRA, NKMP</w:t>
            </w:r>
            <w:r w:rsidR="008F7060">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7E1A61D8" w14:textId="64B2284F" w:rsidR="00CF28FB" w:rsidRPr="001B1DB1" w:rsidRDefault="00CF28FB" w:rsidP="002B2537">
            <w:pPr>
              <w:jc w:val="center"/>
            </w:pPr>
          </w:p>
        </w:tc>
        <w:tc>
          <w:tcPr>
            <w:tcW w:w="1418" w:type="dxa"/>
            <w:shd w:val="clear" w:color="auto" w:fill="auto"/>
          </w:tcPr>
          <w:p w14:paraId="55288664" w14:textId="4F4FDD01" w:rsidR="00CF28FB" w:rsidRPr="001B1DB1" w:rsidRDefault="00CF28FB" w:rsidP="002B2537">
            <w:pPr>
              <w:jc w:val="center"/>
            </w:pPr>
            <w:r w:rsidRPr="001B1DB1">
              <w:rPr>
                <w:rFonts w:cs="Times New Roman"/>
                <w:bCs/>
                <w:sz w:val="20"/>
                <w:szCs w:val="20"/>
              </w:rPr>
              <w:t>31.12.2022.</w:t>
            </w:r>
          </w:p>
        </w:tc>
      </w:tr>
      <w:tr w:rsidR="004A7404" w:rsidRPr="001B1DB1" w14:paraId="3CB21C9C" w14:textId="77777777" w:rsidTr="00E20CD2">
        <w:trPr>
          <w:trHeight w:val="543"/>
        </w:trPr>
        <w:tc>
          <w:tcPr>
            <w:tcW w:w="709" w:type="dxa"/>
            <w:vMerge w:val="restart"/>
          </w:tcPr>
          <w:p w14:paraId="2F2D5A0F" w14:textId="77777777" w:rsidR="004A7404" w:rsidRPr="001B1DB1" w:rsidRDefault="004A7404" w:rsidP="00F6007F">
            <w:pPr>
              <w:jc w:val="center"/>
            </w:pPr>
            <w:r w:rsidRPr="001B1DB1">
              <w:rPr>
                <w:rFonts w:cs="Times New Roman"/>
                <w:bCs/>
                <w:sz w:val="20"/>
                <w:szCs w:val="20"/>
              </w:rPr>
              <w:t>11.</w:t>
            </w:r>
            <w:r w:rsidR="00BA2B73" w:rsidRPr="001B1DB1">
              <w:rPr>
                <w:rFonts w:cs="Times New Roman"/>
                <w:bCs/>
                <w:sz w:val="20"/>
                <w:szCs w:val="20"/>
              </w:rPr>
              <w:t>2</w:t>
            </w:r>
            <w:r w:rsidRPr="001B1DB1">
              <w:rPr>
                <w:rFonts w:cs="Times New Roman"/>
                <w:bCs/>
                <w:sz w:val="20"/>
                <w:szCs w:val="20"/>
              </w:rPr>
              <w:t>.</w:t>
            </w:r>
          </w:p>
        </w:tc>
        <w:tc>
          <w:tcPr>
            <w:tcW w:w="3685" w:type="dxa"/>
            <w:vMerge w:val="restart"/>
            <w:shd w:val="clear" w:color="auto" w:fill="auto"/>
          </w:tcPr>
          <w:p w14:paraId="79E4C152" w14:textId="733C8D64" w:rsidR="004A7404" w:rsidRPr="001B1DB1" w:rsidRDefault="004A7404" w:rsidP="004B0D5E">
            <w:pPr>
              <w:jc w:val="both"/>
            </w:pPr>
            <w:r w:rsidRPr="001B1DB1">
              <w:rPr>
                <w:sz w:val="20"/>
                <w:szCs w:val="20"/>
              </w:rPr>
              <w:t xml:space="preserve">Stiprināt prevenciju </w:t>
            </w:r>
            <w:r w:rsidR="004B0D5E">
              <w:rPr>
                <w:sz w:val="20"/>
                <w:szCs w:val="20"/>
              </w:rPr>
              <w:t>PF</w:t>
            </w:r>
            <w:r w:rsidR="004B0D5E" w:rsidRPr="001B1DB1">
              <w:rPr>
                <w:sz w:val="20"/>
                <w:szCs w:val="20"/>
              </w:rPr>
              <w:t xml:space="preserve"> </w:t>
            </w:r>
            <w:r w:rsidRPr="001B1DB1">
              <w:rPr>
                <w:sz w:val="20"/>
                <w:szCs w:val="20"/>
              </w:rPr>
              <w:t>novēršanas jomā</w:t>
            </w:r>
            <w:r w:rsidR="004A71E4" w:rsidRPr="001B1DB1">
              <w:rPr>
                <w:sz w:val="20"/>
                <w:szCs w:val="20"/>
              </w:rPr>
              <w:t>.</w:t>
            </w:r>
          </w:p>
        </w:tc>
        <w:tc>
          <w:tcPr>
            <w:tcW w:w="1559" w:type="dxa"/>
            <w:vMerge w:val="restart"/>
          </w:tcPr>
          <w:p w14:paraId="57D958C1" w14:textId="77777777" w:rsidR="004A7404" w:rsidRPr="001B1DB1" w:rsidRDefault="004A7404" w:rsidP="00C512B8">
            <w:pPr>
              <w:jc w:val="both"/>
            </w:pPr>
            <w:r w:rsidRPr="001B1DB1">
              <w:rPr>
                <w:rFonts w:cs="Times New Roman"/>
                <w:sz w:val="20"/>
                <w:szCs w:val="20"/>
              </w:rPr>
              <w:t>FATF standartu izpilde</w:t>
            </w:r>
            <w:r w:rsidR="004A71E4" w:rsidRPr="001B1DB1">
              <w:rPr>
                <w:rFonts w:cs="Times New Roman"/>
                <w:sz w:val="20"/>
                <w:szCs w:val="20"/>
              </w:rPr>
              <w:t>.</w:t>
            </w:r>
          </w:p>
        </w:tc>
        <w:tc>
          <w:tcPr>
            <w:tcW w:w="2552" w:type="dxa"/>
            <w:vMerge w:val="restart"/>
            <w:shd w:val="clear" w:color="auto" w:fill="auto"/>
          </w:tcPr>
          <w:p w14:paraId="482EC898" w14:textId="7AC811A3" w:rsidR="004A7404" w:rsidRPr="001B1DB1" w:rsidRDefault="00EC1E50" w:rsidP="00C0727F">
            <w:pPr>
              <w:jc w:val="both"/>
            </w:pPr>
            <w:r>
              <w:rPr>
                <w:rFonts w:cs="Times New Roman"/>
                <w:sz w:val="20"/>
                <w:szCs w:val="20"/>
              </w:rPr>
              <w:t>Paaugstināta p</w:t>
            </w:r>
            <w:r w:rsidR="004A7404" w:rsidRPr="001B1DB1">
              <w:rPr>
                <w:rFonts w:cs="Times New Roman"/>
                <w:sz w:val="20"/>
                <w:szCs w:val="20"/>
              </w:rPr>
              <w:t>reventīvo pasākumu efektivitāte</w:t>
            </w:r>
            <w:r w:rsidR="004A71E4" w:rsidRPr="001B1DB1">
              <w:rPr>
                <w:rFonts w:cs="Times New Roman"/>
                <w:sz w:val="20"/>
                <w:szCs w:val="20"/>
              </w:rPr>
              <w:t>.</w:t>
            </w:r>
          </w:p>
        </w:tc>
        <w:tc>
          <w:tcPr>
            <w:tcW w:w="2694" w:type="dxa"/>
          </w:tcPr>
          <w:p w14:paraId="45D238F3" w14:textId="475C6186" w:rsidR="004A7404" w:rsidRPr="001B1DB1" w:rsidRDefault="004A7404" w:rsidP="004B0D5E">
            <w:pPr>
              <w:jc w:val="both"/>
            </w:pPr>
            <w:r w:rsidRPr="001B1DB1">
              <w:rPr>
                <w:rFonts w:cs="Times New Roman"/>
                <w:sz w:val="20"/>
                <w:szCs w:val="20"/>
              </w:rPr>
              <w:t>1. Pilnveidot</w:t>
            </w:r>
            <w:r w:rsidR="00EC1E50">
              <w:rPr>
                <w:rFonts w:cs="Times New Roman"/>
                <w:sz w:val="20"/>
                <w:szCs w:val="20"/>
              </w:rPr>
              <w:t>i</w:t>
            </w:r>
            <w:r w:rsidRPr="001B1DB1">
              <w:rPr>
                <w:rFonts w:cs="Times New Roman"/>
                <w:sz w:val="20"/>
                <w:szCs w:val="20"/>
              </w:rPr>
              <w:t xml:space="preserve"> informatīv</w:t>
            </w:r>
            <w:r w:rsidR="00EC1E50">
              <w:rPr>
                <w:rFonts w:cs="Times New Roman"/>
                <w:sz w:val="20"/>
                <w:szCs w:val="20"/>
              </w:rPr>
              <w:t>ie</w:t>
            </w:r>
            <w:r w:rsidRPr="001B1DB1">
              <w:rPr>
                <w:rFonts w:cs="Times New Roman"/>
                <w:sz w:val="20"/>
                <w:szCs w:val="20"/>
              </w:rPr>
              <w:t xml:space="preserve"> materiāl</w:t>
            </w:r>
            <w:r w:rsidR="00EC1E50">
              <w:rPr>
                <w:rFonts w:cs="Times New Roman"/>
                <w:sz w:val="20"/>
                <w:szCs w:val="20"/>
              </w:rPr>
              <w:t>i</w:t>
            </w:r>
            <w:r w:rsidRPr="001B1DB1">
              <w:rPr>
                <w:rFonts w:cs="Times New Roman"/>
                <w:sz w:val="20"/>
                <w:szCs w:val="20"/>
              </w:rPr>
              <w:t>, vadlīnijas un saistoš</w:t>
            </w:r>
            <w:r w:rsidR="00EC1E50">
              <w:rPr>
                <w:rFonts w:cs="Times New Roman"/>
                <w:sz w:val="20"/>
                <w:szCs w:val="20"/>
              </w:rPr>
              <w:t>ie</w:t>
            </w:r>
            <w:r w:rsidRPr="001B1DB1">
              <w:rPr>
                <w:rFonts w:cs="Times New Roman"/>
                <w:sz w:val="20"/>
                <w:szCs w:val="20"/>
              </w:rPr>
              <w:t xml:space="preserve"> noteikum</w:t>
            </w:r>
            <w:r w:rsidR="00EC1E50">
              <w:rPr>
                <w:rFonts w:cs="Times New Roman"/>
                <w:sz w:val="20"/>
                <w:szCs w:val="20"/>
              </w:rPr>
              <w:t>i</w:t>
            </w:r>
            <w:r w:rsidRPr="001B1DB1">
              <w:rPr>
                <w:rFonts w:cs="Times New Roman"/>
                <w:sz w:val="20"/>
                <w:szCs w:val="20"/>
              </w:rPr>
              <w:t xml:space="preserve"> par sankciju un </w:t>
            </w:r>
            <w:r w:rsidR="004B0D5E">
              <w:rPr>
                <w:rFonts w:cs="Times New Roman"/>
                <w:sz w:val="20"/>
                <w:szCs w:val="20"/>
              </w:rPr>
              <w:t>PF</w:t>
            </w:r>
            <w:r w:rsidR="004B0D5E" w:rsidRPr="001B1DB1">
              <w:rPr>
                <w:rFonts w:cs="Times New Roman"/>
                <w:sz w:val="20"/>
                <w:szCs w:val="20"/>
              </w:rPr>
              <w:t xml:space="preserve"> </w:t>
            </w:r>
            <w:r w:rsidRPr="001B1DB1">
              <w:rPr>
                <w:rFonts w:cs="Times New Roman"/>
                <w:sz w:val="20"/>
                <w:szCs w:val="20"/>
              </w:rPr>
              <w:t>riskiem atbilstoši aktuālākajai informācijai</w:t>
            </w:r>
            <w:r w:rsidR="004A71E4" w:rsidRPr="001B1DB1">
              <w:rPr>
                <w:rFonts w:cs="Times New Roman"/>
                <w:sz w:val="20"/>
                <w:szCs w:val="20"/>
              </w:rPr>
              <w:t>.</w:t>
            </w:r>
          </w:p>
        </w:tc>
        <w:tc>
          <w:tcPr>
            <w:tcW w:w="1134" w:type="dxa"/>
            <w:shd w:val="clear" w:color="auto" w:fill="auto"/>
          </w:tcPr>
          <w:p w14:paraId="2CDF91ED" w14:textId="3E8ACD58" w:rsidR="004A7404" w:rsidRPr="001B1DB1" w:rsidRDefault="004A7404" w:rsidP="002B2537">
            <w:pPr>
              <w:jc w:val="center"/>
            </w:pPr>
            <w:r w:rsidRPr="001B1DB1">
              <w:rPr>
                <w:sz w:val="20"/>
                <w:szCs w:val="20"/>
              </w:rPr>
              <w:t>FKTK, PTAC, VID, LB, IAUI, LZAP, LZNP, LZRA, NKMP</w:t>
            </w:r>
            <w:r w:rsidR="008F7060">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17EE0E29" w14:textId="77777777" w:rsidR="004A7404" w:rsidRPr="001B1DB1" w:rsidRDefault="004A7404" w:rsidP="002B2537">
            <w:pPr>
              <w:jc w:val="center"/>
            </w:pPr>
          </w:p>
        </w:tc>
        <w:tc>
          <w:tcPr>
            <w:tcW w:w="1418" w:type="dxa"/>
            <w:shd w:val="clear" w:color="auto" w:fill="auto"/>
          </w:tcPr>
          <w:p w14:paraId="22A2054D" w14:textId="28B41981" w:rsidR="004A7404" w:rsidRPr="001B1DB1" w:rsidRDefault="004977ED" w:rsidP="002B2537">
            <w:pPr>
              <w:jc w:val="center"/>
            </w:pPr>
            <w:r>
              <w:rPr>
                <w:rFonts w:cs="Times New Roman"/>
                <w:bCs/>
                <w:sz w:val="20"/>
                <w:szCs w:val="20"/>
              </w:rPr>
              <w:t>R</w:t>
            </w:r>
            <w:r w:rsidR="004A7404" w:rsidRPr="001B1DB1">
              <w:rPr>
                <w:rFonts w:cs="Times New Roman"/>
                <w:bCs/>
                <w:sz w:val="20"/>
                <w:szCs w:val="20"/>
              </w:rPr>
              <w:t>eizi pusgadā</w:t>
            </w:r>
          </w:p>
        </w:tc>
      </w:tr>
      <w:tr w:rsidR="004A7404" w:rsidRPr="001B1DB1" w14:paraId="131AA0AF" w14:textId="77777777" w:rsidTr="00E20CD2">
        <w:trPr>
          <w:trHeight w:val="543"/>
        </w:trPr>
        <w:tc>
          <w:tcPr>
            <w:tcW w:w="709" w:type="dxa"/>
            <w:vMerge/>
          </w:tcPr>
          <w:p w14:paraId="18006B02" w14:textId="77777777" w:rsidR="004A7404" w:rsidRPr="001B1DB1" w:rsidRDefault="004A7404" w:rsidP="00F6007F">
            <w:pPr>
              <w:jc w:val="center"/>
            </w:pPr>
          </w:p>
        </w:tc>
        <w:tc>
          <w:tcPr>
            <w:tcW w:w="3685" w:type="dxa"/>
            <w:vMerge/>
            <w:shd w:val="clear" w:color="auto" w:fill="auto"/>
          </w:tcPr>
          <w:p w14:paraId="6315F980" w14:textId="77777777" w:rsidR="004A7404" w:rsidRPr="001B1DB1" w:rsidRDefault="004A7404" w:rsidP="00C512B8">
            <w:pPr>
              <w:jc w:val="both"/>
            </w:pPr>
          </w:p>
        </w:tc>
        <w:tc>
          <w:tcPr>
            <w:tcW w:w="1559" w:type="dxa"/>
            <w:vMerge/>
          </w:tcPr>
          <w:p w14:paraId="5D11922B" w14:textId="77777777" w:rsidR="004A7404" w:rsidRPr="001B1DB1" w:rsidRDefault="004A7404" w:rsidP="00C512B8">
            <w:pPr>
              <w:jc w:val="both"/>
            </w:pPr>
          </w:p>
        </w:tc>
        <w:tc>
          <w:tcPr>
            <w:tcW w:w="2552" w:type="dxa"/>
            <w:vMerge/>
            <w:shd w:val="clear" w:color="auto" w:fill="auto"/>
          </w:tcPr>
          <w:p w14:paraId="06216054" w14:textId="77777777" w:rsidR="004A7404" w:rsidRPr="001B1DB1" w:rsidRDefault="004A7404" w:rsidP="00C512B8">
            <w:pPr>
              <w:jc w:val="both"/>
            </w:pPr>
          </w:p>
        </w:tc>
        <w:tc>
          <w:tcPr>
            <w:tcW w:w="2694" w:type="dxa"/>
          </w:tcPr>
          <w:p w14:paraId="49792EC9" w14:textId="651EBC35" w:rsidR="004A7404" w:rsidRPr="001B1DB1" w:rsidRDefault="004A7404" w:rsidP="004B0D5E">
            <w:pPr>
              <w:jc w:val="both"/>
            </w:pPr>
            <w:r w:rsidRPr="001B1DB1">
              <w:rPr>
                <w:rFonts w:cs="Times New Roman"/>
                <w:sz w:val="20"/>
                <w:szCs w:val="20"/>
              </w:rPr>
              <w:t xml:space="preserve">2. </w:t>
            </w:r>
            <w:r w:rsidR="00EC1E50">
              <w:rPr>
                <w:rFonts w:cs="Times New Roman"/>
                <w:sz w:val="20"/>
                <w:szCs w:val="20"/>
              </w:rPr>
              <w:t>Izv</w:t>
            </w:r>
            <w:r w:rsidRPr="001B1DB1">
              <w:rPr>
                <w:rFonts w:cs="Times New Roman"/>
                <w:sz w:val="20"/>
                <w:szCs w:val="20"/>
              </w:rPr>
              <w:t>eidot</w:t>
            </w:r>
            <w:r w:rsidR="00EC1E50">
              <w:rPr>
                <w:rFonts w:cs="Times New Roman"/>
                <w:sz w:val="20"/>
                <w:szCs w:val="20"/>
              </w:rPr>
              <w:t>as</w:t>
            </w:r>
            <w:r w:rsidRPr="001B1DB1">
              <w:rPr>
                <w:rFonts w:cs="Times New Roman"/>
                <w:sz w:val="20"/>
                <w:szCs w:val="20"/>
              </w:rPr>
              <w:t xml:space="preserve"> specializētas apmācību programmas par sankciju un </w:t>
            </w:r>
            <w:r w:rsidR="004B0D5E">
              <w:rPr>
                <w:rFonts w:cs="Times New Roman"/>
                <w:sz w:val="20"/>
                <w:szCs w:val="20"/>
              </w:rPr>
              <w:t>PF</w:t>
            </w:r>
            <w:r w:rsidR="004B0D5E" w:rsidRPr="001B1DB1">
              <w:rPr>
                <w:rFonts w:cs="Times New Roman"/>
                <w:sz w:val="20"/>
                <w:szCs w:val="20"/>
              </w:rPr>
              <w:t xml:space="preserve"> </w:t>
            </w:r>
            <w:r w:rsidRPr="001B1DB1">
              <w:rPr>
                <w:rFonts w:cs="Times New Roman"/>
                <w:sz w:val="20"/>
                <w:szCs w:val="20"/>
              </w:rPr>
              <w:t>jautājumiem</w:t>
            </w:r>
            <w:r w:rsidR="004A71E4" w:rsidRPr="001B1DB1">
              <w:rPr>
                <w:rFonts w:cs="Times New Roman"/>
                <w:sz w:val="20"/>
                <w:szCs w:val="20"/>
              </w:rPr>
              <w:t>.</w:t>
            </w:r>
          </w:p>
        </w:tc>
        <w:tc>
          <w:tcPr>
            <w:tcW w:w="1134" w:type="dxa"/>
            <w:shd w:val="clear" w:color="auto" w:fill="auto"/>
          </w:tcPr>
          <w:p w14:paraId="4904BEAB" w14:textId="5C93C2EF" w:rsidR="004A7404" w:rsidRPr="001B1DB1" w:rsidRDefault="004A7404" w:rsidP="002B2537">
            <w:pPr>
              <w:jc w:val="center"/>
            </w:pPr>
            <w:r w:rsidRPr="001B1DB1">
              <w:rPr>
                <w:sz w:val="20"/>
                <w:szCs w:val="20"/>
              </w:rPr>
              <w:t>FKTK, PTAC, VID, LB, IAUI, LZAP, LZNP, LZRA, NKMP</w:t>
            </w:r>
            <w:r w:rsidR="008F7060">
              <w:rPr>
                <w:sz w:val="20"/>
                <w:szCs w:val="20"/>
              </w:rPr>
              <w:t>, LSMPAA</w:t>
            </w:r>
            <w:r w:rsidR="009E6D33">
              <w:rPr>
                <w:sz w:val="20"/>
                <w:szCs w:val="20"/>
              </w:rPr>
              <w:t xml:space="preserve">, </w:t>
            </w:r>
            <w:r w:rsidR="009E6D33">
              <w:rPr>
                <w:rFonts w:cs="Times New Roman"/>
                <w:sz w:val="20"/>
                <w:szCs w:val="20"/>
              </w:rPr>
              <w:t>MKD</w:t>
            </w:r>
          </w:p>
        </w:tc>
        <w:tc>
          <w:tcPr>
            <w:tcW w:w="1275" w:type="dxa"/>
            <w:shd w:val="clear" w:color="auto" w:fill="auto"/>
          </w:tcPr>
          <w:p w14:paraId="5613844E" w14:textId="77777777" w:rsidR="004A7404" w:rsidRPr="001B1DB1" w:rsidRDefault="004A7404" w:rsidP="002B2537">
            <w:pPr>
              <w:jc w:val="center"/>
            </w:pPr>
            <w:r w:rsidRPr="001B1DB1">
              <w:rPr>
                <w:sz w:val="20"/>
                <w:szCs w:val="20"/>
              </w:rPr>
              <w:t>ĀM, FID, VDD</w:t>
            </w:r>
          </w:p>
        </w:tc>
        <w:tc>
          <w:tcPr>
            <w:tcW w:w="1418" w:type="dxa"/>
            <w:shd w:val="clear" w:color="auto" w:fill="auto"/>
          </w:tcPr>
          <w:p w14:paraId="45C78A8A" w14:textId="20433E62" w:rsidR="004A7404" w:rsidRPr="001B1DB1" w:rsidRDefault="004977ED" w:rsidP="002B2537">
            <w:pPr>
              <w:jc w:val="center"/>
            </w:pPr>
            <w:r>
              <w:rPr>
                <w:rFonts w:cs="Times New Roman"/>
                <w:bCs/>
                <w:sz w:val="20"/>
                <w:szCs w:val="20"/>
              </w:rPr>
              <w:t>P</w:t>
            </w:r>
            <w:r w:rsidR="004A7404" w:rsidRPr="001B1DB1">
              <w:rPr>
                <w:rFonts w:cs="Times New Roman"/>
                <w:bCs/>
                <w:sz w:val="20"/>
                <w:szCs w:val="20"/>
              </w:rPr>
              <w:t>astāvīgi</w:t>
            </w:r>
          </w:p>
        </w:tc>
      </w:tr>
      <w:tr w:rsidR="003975D7" w:rsidRPr="001B1DB1" w14:paraId="2D1FE076" w14:textId="77777777" w:rsidTr="00E20CD2">
        <w:trPr>
          <w:trHeight w:val="543"/>
        </w:trPr>
        <w:tc>
          <w:tcPr>
            <w:tcW w:w="709" w:type="dxa"/>
            <w:vMerge w:val="restart"/>
          </w:tcPr>
          <w:p w14:paraId="7F931729" w14:textId="77777777" w:rsidR="003975D7" w:rsidRPr="001B1DB1" w:rsidRDefault="003975D7" w:rsidP="00F6007F">
            <w:pPr>
              <w:jc w:val="center"/>
            </w:pPr>
            <w:r w:rsidRPr="001B1DB1">
              <w:rPr>
                <w:rFonts w:cs="Times New Roman"/>
                <w:bCs/>
                <w:sz w:val="20"/>
                <w:szCs w:val="20"/>
              </w:rPr>
              <w:t>11.</w:t>
            </w:r>
            <w:r w:rsidR="00BA2B73" w:rsidRPr="001B1DB1">
              <w:rPr>
                <w:rFonts w:cs="Times New Roman"/>
                <w:bCs/>
                <w:sz w:val="20"/>
                <w:szCs w:val="20"/>
              </w:rPr>
              <w:t>3</w:t>
            </w:r>
            <w:r w:rsidRPr="001B1DB1">
              <w:rPr>
                <w:rFonts w:cs="Times New Roman"/>
                <w:bCs/>
                <w:sz w:val="20"/>
                <w:szCs w:val="20"/>
              </w:rPr>
              <w:t>.</w:t>
            </w:r>
          </w:p>
        </w:tc>
        <w:tc>
          <w:tcPr>
            <w:tcW w:w="3685" w:type="dxa"/>
            <w:vMerge w:val="restart"/>
            <w:shd w:val="clear" w:color="auto" w:fill="auto"/>
          </w:tcPr>
          <w:p w14:paraId="48EC8BEF" w14:textId="542E00A4" w:rsidR="003975D7" w:rsidRPr="001B1DB1" w:rsidRDefault="00EC1E50" w:rsidP="00C0727F">
            <w:pPr>
              <w:jc w:val="both"/>
            </w:pPr>
            <w:r>
              <w:rPr>
                <w:sz w:val="20"/>
                <w:szCs w:val="20"/>
              </w:rPr>
              <w:t>Stiprināt</w:t>
            </w:r>
            <w:r w:rsidRPr="001B1DB1">
              <w:rPr>
                <w:sz w:val="20"/>
                <w:szCs w:val="20"/>
              </w:rPr>
              <w:t xml:space="preserve"> </w:t>
            </w:r>
            <w:r w:rsidR="003975D7" w:rsidRPr="001B1DB1">
              <w:rPr>
                <w:sz w:val="20"/>
                <w:szCs w:val="20"/>
              </w:rPr>
              <w:t>Latvijas kā valsts, kas veiksmīgi stiprinājusi finanšu sektoru krīzes situācijā</w:t>
            </w:r>
            <w:r>
              <w:rPr>
                <w:sz w:val="20"/>
                <w:szCs w:val="20"/>
              </w:rPr>
              <w:t xml:space="preserve">, </w:t>
            </w:r>
            <w:r w:rsidRPr="001B1DB1">
              <w:rPr>
                <w:sz w:val="20"/>
                <w:szCs w:val="20"/>
              </w:rPr>
              <w:t>starptautisko reputāciju</w:t>
            </w:r>
            <w:r w:rsidR="003975D7" w:rsidRPr="001B1DB1">
              <w:rPr>
                <w:sz w:val="20"/>
                <w:szCs w:val="20"/>
              </w:rPr>
              <w:t>.</w:t>
            </w:r>
          </w:p>
        </w:tc>
        <w:tc>
          <w:tcPr>
            <w:tcW w:w="1559" w:type="dxa"/>
            <w:vMerge w:val="restart"/>
          </w:tcPr>
          <w:p w14:paraId="35C13C65" w14:textId="77777777" w:rsidR="003975D7" w:rsidRPr="001B1DB1" w:rsidRDefault="005175D0" w:rsidP="004A2F1B">
            <w:pPr>
              <w:jc w:val="center"/>
            </w:pPr>
            <w:r>
              <w:t xml:space="preserve"> </w:t>
            </w:r>
          </w:p>
        </w:tc>
        <w:tc>
          <w:tcPr>
            <w:tcW w:w="2552" w:type="dxa"/>
            <w:vMerge w:val="restart"/>
            <w:shd w:val="clear" w:color="auto" w:fill="auto"/>
          </w:tcPr>
          <w:p w14:paraId="5136D019" w14:textId="03DB7A29" w:rsidR="003975D7" w:rsidRPr="001B1DB1" w:rsidRDefault="00EC1E50" w:rsidP="00C0727F">
            <w:pPr>
              <w:jc w:val="both"/>
            </w:pPr>
            <w:r>
              <w:rPr>
                <w:rFonts w:cs="Times New Roman"/>
                <w:sz w:val="20"/>
                <w:szCs w:val="20"/>
              </w:rPr>
              <w:t xml:space="preserve">Stiprināta </w:t>
            </w:r>
            <w:r w:rsidR="003975D7" w:rsidRPr="001B1DB1">
              <w:rPr>
                <w:rFonts w:cs="Times New Roman"/>
                <w:sz w:val="20"/>
                <w:szCs w:val="20"/>
              </w:rPr>
              <w:t>Latvijas finanšu sektora reputācija</w:t>
            </w:r>
            <w:r w:rsidR="004A71E4" w:rsidRPr="001B1DB1">
              <w:rPr>
                <w:rFonts w:cs="Times New Roman"/>
                <w:sz w:val="20"/>
                <w:szCs w:val="20"/>
              </w:rPr>
              <w:t>.</w:t>
            </w:r>
          </w:p>
        </w:tc>
        <w:tc>
          <w:tcPr>
            <w:tcW w:w="2694" w:type="dxa"/>
          </w:tcPr>
          <w:p w14:paraId="3EDA2E04" w14:textId="15EA1D8F" w:rsidR="003975D7" w:rsidRPr="001B1DB1" w:rsidRDefault="003975D7" w:rsidP="00C0727F">
            <w:pPr>
              <w:jc w:val="both"/>
            </w:pPr>
            <w:r w:rsidRPr="001B1DB1">
              <w:rPr>
                <w:rFonts w:cs="Times New Roman"/>
                <w:sz w:val="20"/>
                <w:szCs w:val="20"/>
              </w:rPr>
              <w:t xml:space="preserve">1. </w:t>
            </w:r>
            <w:r w:rsidR="00EC1E50">
              <w:rPr>
                <w:rFonts w:cs="Times New Roman"/>
                <w:sz w:val="20"/>
                <w:szCs w:val="20"/>
              </w:rPr>
              <w:t>Nodrošināta d</w:t>
            </w:r>
            <w:r w:rsidRPr="001B1DB1">
              <w:rPr>
                <w:rFonts w:cs="Times New Roman"/>
                <w:sz w:val="20"/>
                <w:szCs w:val="20"/>
              </w:rPr>
              <w:t xml:space="preserve">alība starptautiskās sanāksmēs Latvijas interešu aizstāvībai </w:t>
            </w:r>
            <w:r w:rsidR="00B61B13">
              <w:rPr>
                <w:rFonts w:cs="Times New Roman"/>
                <w:sz w:val="20"/>
                <w:szCs w:val="20"/>
              </w:rPr>
              <w:t>MONEYVAL</w:t>
            </w:r>
            <w:r w:rsidR="00B61B13" w:rsidRPr="001B1DB1">
              <w:rPr>
                <w:rFonts w:cs="Times New Roman"/>
                <w:sz w:val="20"/>
                <w:szCs w:val="20"/>
              </w:rPr>
              <w:t xml:space="preserve"> </w:t>
            </w:r>
            <w:r w:rsidRPr="001B1DB1">
              <w:rPr>
                <w:rFonts w:cs="Times New Roman"/>
                <w:sz w:val="20"/>
                <w:szCs w:val="20"/>
              </w:rPr>
              <w:t>un FATF jautājumos</w:t>
            </w:r>
            <w:r w:rsidR="004A71E4" w:rsidRPr="001B1DB1">
              <w:rPr>
                <w:rFonts w:cs="Times New Roman"/>
                <w:sz w:val="20"/>
                <w:szCs w:val="20"/>
              </w:rPr>
              <w:t>.</w:t>
            </w:r>
          </w:p>
        </w:tc>
        <w:tc>
          <w:tcPr>
            <w:tcW w:w="1134" w:type="dxa"/>
            <w:shd w:val="clear" w:color="auto" w:fill="auto"/>
          </w:tcPr>
          <w:p w14:paraId="53242E9C" w14:textId="77777777" w:rsidR="003975D7" w:rsidRPr="001B1DB1" w:rsidRDefault="003975D7" w:rsidP="002B2537">
            <w:pPr>
              <w:jc w:val="center"/>
            </w:pPr>
            <w:r w:rsidRPr="001B1DB1">
              <w:rPr>
                <w:sz w:val="20"/>
                <w:szCs w:val="20"/>
              </w:rPr>
              <w:t>ĀM</w:t>
            </w:r>
          </w:p>
        </w:tc>
        <w:tc>
          <w:tcPr>
            <w:tcW w:w="1275" w:type="dxa"/>
            <w:shd w:val="clear" w:color="auto" w:fill="auto"/>
          </w:tcPr>
          <w:p w14:paraId="2E1D0ABD" w14:textId="27A43D0D" w:rsidR="003975D7" w:rsidRPr="001B1DB1" w:rsidRDefault="003975D7" w:rsidP="00372976">
            <w:pPr>
              <w:jc w:val="center"/>
            </w:pPr>
            <w:r w:rsidRPr="001B1DB1">
              <w:rPr>
                <w:sz w:val="20"/>
                <w:szCs w:val="20"/>
              </w:rPr>
              <w:t>IeM, FM, FID</w:t>
            </w:r>
          </w:p>
        </w:tc>
        <w:tc>
          <w:tcPr>
            <w:tcW w:w="1418" w:type="dxa"/>
            <w:shd w:val="clear" w:color="auto" w:fill="auto"/>
          </w:tcPr>
          <w:p w14:paraId="2B31B600" w14:textId="0D4F9A54" w:rsidR="003975D7" w:rsidRPr="001B1DB1" w:rsidRDefault="00B61B13" w:rsidP="002B2537">
            <w:pPr>
              <w:jc w:val="center"/>
            </w:pPr>
            <w:r>
              <w:rPr>
                <w:rFonts w:cs="Times New Roman"/>
                <w:bCs/>
                <w:sz w:val="20"/>
                <w:szCs w:val="20"/>
              </w:rPr>
              <w:t>P</w:t>
            </w:r>
            <w:r w:rsidRPr="001B1DB1">
              <w:rPr>
                <w:rFonts w:cs="Times New Roman"/>
                <w:bCs/>
                <w:sz w:val="20"/>
                <w:szCs w:val="20"/>
              </w:rPr>
              <w:t>astāvīgi</w:t>
            </w:r>
          </w:p>
        </w:tc>
      </w:tr>
      <w:tr w:rsidR="003975D7" w:rsidRPr="001B1DB1" w14:paraId="52C43638" w14:textId="77777777" w:rsidTr="00E20CD2">
        <w:trPr>
          <w:trHeight w:val="543"/>
        </w:trPr>
        <w:tc>
          <w:tcPr>
            <w:tcW w:w="709" w:type="dxa"/>
            <w:vMerge/>
          </w:tcPr>
          <w:p w14:paraId="3AF2ED21" w14:textId="77777777" w:rsidR="003975D7" w:rsidRPr="001B1DB1" w:rsidRDefault="003975D7" w:rsidP="00C512B8">
            <w:pPr>
              <w:jc w:val="both"/>
            </w:pPr>
          </w:p>
        </w:tc>
        <w:tc>
          <w:tcPr>
            <w:tcW w:w="3685" w:type="dxa"/>
            <w:vMerge/>
            <w:shd w:val="clear" w:color="auto" w:fill="auto"/>
          </w:tcPr>
          <w:p w14:paraId="147FD1CC" w14:textId="77777777" w:rsidR="003975D7" w:rsidRPr="001B1DB1" w:rsidRDefault="003975D7" w:rsidP="00C512B8">
            <w:pPr>
              <w:jc w:val="both"/>
            </w:pPr>
          </w:p>
        </w:tc>
        <w:tc>
          <w:tcPr>
            <w:tcW w:w="1559" w:type="dxa"/>
            <w:vMerge/>
          </w:tcPr>
          <w:p w14:paraId="06A04B8A" w14:textId="77777777" w:rsidR="003975D7" w:rsidRPr="001B1DB1" w:rsidRDefault="003975D7" w:rsidP="00C512B8">
            <w:pPr>
              <w:jc w:val="both"/>
            </w:pPr>
          </w:p>
        </w:tc>
        <w:tc>
          <w:tcPr>
            <w:tcW w:w="2552" w:type="dxa"/>
            <w:vMerge/>
            <w:shd w:val="clear" w:color="auto" w:fill="auto"/>
          </w:tcPr>
          <w:p w14:paraId="4E7EAB19" w14:textId="77777777" w:rsidR="003975D7" w:rsidRPr="001B1DB1" w:rsidRDefault="003975D7" w:rsidP="00C512B8">
            <w:pPr>
              <w:jc w:val="both"/>
            </w:pPr>
          </w:p>
        </w:tc>
        <w:tc>
          <w:tcPr>
            <w:tcW w:w="2694" w:type="dxa"/>
          </w:tcPr>
          <w:p w14:paraId="6C76C03C" w14:textId="21340638" w:rsidR="003975D7" w:rsidRPr="001B1DB1" w:rsidRDefault="003975D7" w:rsidP="004A2F1B">
            <w:pPr>
              <w:jc w:val="both"/>
            </w:pPr>
            <w:r w:rsidRPr="001B1DB1">
              <w:rPr>
                <w:sz w:val="20"/>
                <w:szCs w:val="20"/>
              </w:rPr>
              <w:t xml:space="preserve">2. </w:t>
            </w:r>
            <w:r w:rsidR="0077522B">
              <w:rPr>
                <w:sz w:val="20"/>
                <w:szCs w:val="20"/>
              </w:rPr>
              <w:t>O</w:t>
            </w:r>
            <w:r w:rsidR="00EC1E50">
              <w:rPr>
                <w:sz w:val="20"/>
                <w:szCs w:val="20"/>
              </w:rPr>
              <w:t>rganizēta s</w:t>
            </w:r>
            <w:r w:rsidRPr="001B1DB1">
              <w:rPr>
                <w:sz w:val="20"/>
                <w:szCs w:val="20"/>
              </w:rPr>
              <w:t xml:space="preserve">tarptautiska līmeņa konference Rīgā par </w:t>
            </w:r>
            <w:r w:rsidR="004A2F1B">
              <w:rPr>
                <w:sz w:val="20"/>
                <w:szCs w:val="20"/>
              </w:rPr>
              <w:t>PF</w:t>
            </w:r>
            <w:r w:rsidRPr="001B1DB1">
              <w:rPr>
                <w:sz w:val="20"/>
                <w:szCs w:val="20"/>
              </w:rPr>
              <w:t xml:space="preserve"> </w:t>
            </w:r>
            <w:r w:rsidR="000D2E93">
              <w:rPr>
                <w:sz w:val="20"/>
                <w:szCs w:val="20"/>
              </w:rPr>
              <w:t xml:space="preserve"> un</w:t>
            </w:r>
            <w:r w:rsidR="00531918">
              <w:rPr>
                <w:sz w:val="20"/>
                <w:szCs w:val="20"/>
              </w:rPr>
              <w:t xml:space="preserve"> sankciju apiešanas</w:t>
            </w:r>
            <w:r w:rsidRPr="001B1DB1">
              <w:rPr>
                <w:sz w:val="20"/>
                <w:szCs w:val="20"/>
              </w:rPr>
              <w:t xml:space="preserve"> apkarošan</w:t>
            </w:r>
            <w:r w:rsidR="000D2E93">
              <w:rPr>
                <w:sz w:val="20"/>
                <w:szCs w:val="20"/>
              </w:rPr>
              <w:t>as jautājumiem</w:t>
            </w:r>
            <w:r w:rsidR="004A71E4" w:rsidRPr="001B1DB1">
              <w:rPr>
                <w:sz w:val="20"/>
                <w:szCs w:val="20"/>
              </w:rPr>
              <w:t>.</w:t>
            </w:r>
          </w:p>
        </w:tc>
        <w:tc>
          <w:tcPr>
            <w:tcW w:w="1134" w:type="dxa"/>
            <w:shd w:val="clear" w:color="auto" w:fill="auto"/>
          </w:tcPr>
          <w:p w14:paraId="22B9BC0E" w14:textId="77777777" w:rsidR="003975D7" w:rsidRPr="001B1DB1" w:rsidRDefault="003975D7" w:rsidP="002B2537">
            <w:pPr>
              <w:jc w:val="center"/>
            </w:pPr>
            <w:r w:rsidRPr="001B1DB1">
              <w:rPr>
                <w:sz w:val="20"/>
                <w:szCs w:val="20"/>
              </w:rPr>
              <w:t>FID</w:t>
            </w:r>
          </w:p>
        </w:tc>
        <w:tc>
          <w:tcPr>
            <w:tcW w:w="1275" w:type="dxa"/>
            <w:shd w:val="clear" w:color="auto" w:fill="auto"/>
          </w:tcPr>
          <w:p w14:paraId="4A701B1C" w14:textId="62C6D677" w:rsidR="003975D7" w:rsidRPr="001B1DB1" w:rsidRDefault="003975D7" w:rsidP="00372976">
            <w:pPr>
              <w:jc w:val="center"/>
            </w:pPr>
            <w:r w:rsidRPr="001B1DB1">
              <w:rPr>
                <w:sz w:val="20"/>
                <w:szCs w:val="20"/>
              </w:rPr>
              <w:t>ĀM, IeM, FM, FKTK, VDD</w:t>
            </w:r>
          </w:p>
        </w:tc>
        <w:tc>
          <w:tcPr>
            <w:tcW w:w="1418" w:type="dxa"/>
            <w:shd w:val="clear" w:color="auto" w:fill="auto"/>
          </w:tcPr>
          <w:p w14:paraId="49CCD996" w14:textId="4EBD0B3E" w:rsidR="003975D7" w:rsidRPr="001B1DB1" w:rsidRDefault="004977ED" w:rsidP="002B2537">
            <w:pPr>
              <w:jc w:val="center"/>
            </w:pPr>
            <w:r>
              <w:rPr>
                <w:rFonts w:cs="Times New Roman"/>
                <w:bCs/>
                <w:sz w:val="20"/>
                <w:szCs w:val="20"/>
              </w:rPr>
              <w:t>R</w:t>
            </w:r>
            <w:r w:rsidR="003975D7" w:rsidRPr="001B1DB1">
              <w:rPr>
                <w:rFonts w:cs="Times New Roman"/>
                <w:bCs/>
                <w:sz w:val="20"/>
                <w:szCs w:val="20"/>
              </w:rPr>
              <w:t>eizi gadā</w:t>
            </w:r>
          </w:p>
        </w:tc>
      </w:tr>
    </w:tbl>
    <w:p w14:paraId="56F7DB28" w14:textId="091C6673" w:rsidR="003F4DE8" w:rsidRDefault="003F4DE8" w:rsidP="003F4DE8">
      <w:pPr>
        <w:jc w:val="both"/>
        <w:rPr>
          <w:sz w:val="28"/>
          <w:szCs w:val="28"/>
        </w:rPr>
      </w:pPr>
    </w:p>
    <w:p w14:paraId="2192F0E4" w14:textId="3B6AD03B" w:rsidR="008B395B" w:rsidRDefault="008B395B" w:rsidP="003F4DE8">
      <w:pPr>
        <w:jc w:val="both"/>
        <w:rPr>
          <w:sz w:val="28"/>
          <w:szCs w:val="28"/>
        </w:rPr>
      </w:pPr>
    </w:p>
    <w:p w14:paraId="0BC32AA6" w14:textId="0403D004" w:rsidR="008B395B" w:rsidRDefault="008B395B" w:rsidP="003F4DE8">
      <w:pPr>
        <w:jc w:val="both"/>
        <w:rPr>
          <w:sz w:val="28"/>
          <w:szCs w:val="28"/>
        </w:rPr>
      </w:pPr>
    </w:p>
    <w:p w14:paraId="5E960EA5" w14:textId="39A4F765" w:rsidR="008B395B" w:rsidRDefault="008B395B" w:rsidP="003F4DE8">
      <w:pPr>
        <w:jc w:val="both"/>
        <w:rPr>
          <w:sz w:val="28"/>
          <w:szCs w:val="28"/>
        </w:rPr>
      </w:pPr>
    </w:p>
    <w:p w14:paraId="56477E28" w14:textId="77777777" w:rsidR="008401AF" w:rsidRDefault="008401AF" w:rsidP="003F4DE8">
      <w:pPr>
        <w:jc w:val="both"/>
        <w:rPr>
          <w:sz w:val="28"/>
          <w:szCs w:val="28"/>
        </w:rPr>
      </w:pPr>
    </w:p>
    <w:p w14:paraId="0FBFA0FF" w14:textId="77777777" w:rsidR="008401AF" w:rsidRDefault="008401AF" w:rsidP="003F4DE8">
      <w:pPr>
        <w:jc w:val="both"/>
        <w:rPr>
          <w:sz w:val="28"/>
          <w:szCs w:val="28"/>
        </w:rPr>
      </w:pPr>
    </w:p>
    <w:p w14:paraId="45900FA8" w14:textId="77777777" w:rsidR="008401AF" w:rsidRDefault="008401AF" w:rsidP="003F4DE8">
      <w:pPr>
        <w:jc w:val="both"/>
        <w:rPr>
          <w:sz w:val="28"/>
          <w:szCs w:val="28"/>
        </w:rPr>
      </w:pPr>
    </w:p>
    <w:p w14:paraId="42B582A3" w14:textId="77777777" w:rsidR="008401AF" w:rsidRDefault="008401AF" w:rsidP="003F4DE8">
      <w:pPr>
        <w:jc w:val="both"/>
        <w:rPr>
          <w:sz w:val="28"/>
          <w:szCs w:val="28"/>
        </w:rPr>
      </w:pPr>
    </w:p>
    <w:p w14:paraId="4861828D" w14:textId="77777777" w:rsidR="008401AF" w:rsidRDefault="008401AF" w:rsidP="003F4DE8">
      <w:pPr>
        <w:jc w:val="both"/>
        <w:rPr>
          <w:sz w:val="28"/>
          <w:szCs w:val="28"/>
        </w:rPr>
      </w:pPr>
    </w:p>
    <w:p w14:paraId="5FDA452B" w14:textId="77777777" w:rsidR="008401AF" w:rsidRDefault="008401AF" w:rsidP="003F4DE8">
      <w:pPr>
        <w:jc w:val="both"/>
        <w:rPr>
          <w:sz w:val="28"/>
          <w:szCs w:val="28"/>
        </w:rPr>
      </w:pPr>
    </w:p>
    <w:p w14:paraId="539C7CAE" w14:textId="77777777" w:rsidR="008401AF" w:rsidRDefault="008401AF" w:rsidP="003F4DE8">
      <w:pPr>
        <w:jc w:val="both"/>
        <w:rPr>
          <w:sz w:val="28"/>
          <w:szCs w:val="28"/>
        </w:rPr>
      </w:pPr>
    </w:p>
    <w:p w14:paraId="3567F4EE" w14:textId="77777777" w:rsidR="008401AF" w:rsidRDefault="008401AF" w:rsidP="003F4DE8">
      <w:pPr>
        <w:jc w:val="both"/>
        <w:rPr>
          <w:sz w:val="28"/>
          <w:szCs w:val="28"/>
        </w:rPr>
      </w:pPr>
    </w:p>
    <w:p w14:paraId="3969E351" w14:textId="7B87E79B" w:rsidR="008B395B" w:rsidRDefault="008B395B" w:rsidP="003F4DE8">
      <w:pPr>
        <w:jc w:val="both"/>
        <w:rPr>
          <w:sz w:val="28"/>
          <w:szCs w:val="28"/>
        </w:rPr>
      </w:pPr>
    </w:p>
    <w:tbl>
      <w:tblPr>
        <w:tblW w:w="14920" w:type="dxa"/>
        <w:tblLook w:val="04A0" w:firstRow="1" w:lastRow="0" w:firstColumn="1" w:lastColumn="0" w:noHBand="0" w:noVBand="1"/>
      </w:tblPr>
      <w:tblGrid>
        <w:gridCol w:w="1752"/>
        <w:gridCol w:w="1667"/>
        <w:gridCol w:w="2211"/>
        <w:gridCol w:w="826"/>
        <w:gridCol w:w="887"/>
        <w:gridCol w:w="947"/>
        <w:gridCol w:w="1111"/>
        <w:gridCol w:w="986"/>
        <w:gridCol w:w="1052"/>
        <w:gridCol w:w="1186"/>
        <w:gridCol w:w="999"/>
        <w:gridCol w:w="1296"/>
      </w:tblGrid>
      <w:tr w:rsidR="0035149B" w:rsidRPr="0035149B" w14:paraId="5DCFC2C7" w14:textId="77777777" w:rsidTr="00606897">
        <w:trPr>
          <w:trHeight w:val="480"/>
        </w:trPr>
        <w:tc>
          <w:tcPr>
            <w:tcW w:w="8290" w:type="dxa"/>
            <w:gridSpan w:val="6"/>
            <w:tcBorders>
              <w:top w:val="nil"/>
              <w:left w:val="nil"/>
              <w:bottom w:val="nil"/>
              <w:right w:val="nil"/>
            </w:tcBorders>
            <w:shd w:val="clear" w:color="auto" w:fill="auto"/>
            <w:vAlign w:val="center"/>
            <w:hideMark/>
          </w:tcPr>
          <w:p w14:paraId="255A31BB" w14:textId="77777777" w:rsidR="0035149B" w:rsidRPr="0035149B" w:rsidRDefault="0035149B" w:rsidP="0035149B">
            <w:pPr>
              <w:jc w:val="center"/>
              <w:rPr>
                <w:rFonts w:eastAsia="Times New Roman" w:cs="Times New Roman"/>
                <w:b/>
                <w:bCs/>
                <w:sz w:val="22"/>
                <w:lang w:eastAsia="lv-LV"/>
              </w:rPr>
            </w:pPr>
            <w:r w:rsidRPr="0035149B">
              <w:rPr>
                <w:rFonts w:eastAsia="Times New Roman" w:cs="Times New Roman"/>
                <w:b/>
                <w:bCs/>
                <w:sz w:val="22"/>
                <w:lang w:eastAsia="lv-LV"/>
              </w:rPr>
              <w:lastRenderedPageBreak/>
              <w:t>IV Ietekmes novērtējums uz valsts un pašvaldību budžetu</w:t>
            </w:r>
          </w:p>
        </w:tc>
        <w:tc>
          <w:tcPr>
            <w:tcW w:w="1111" w:type="dxa"/>
            <w:tcBorders>
              <w:top w:val="nil"/>
              <w:left w:val="nil"/>
              <w:bottom w:val="nil"/>
              <w:right w:val="nil"/>
            </w:tcBorders>
            <w:shd w:val="clear" w:color="auto" w:fill="auto"/>
            <w:vAlign w:val="center"/>
            <w:hideMark/>
          </w:tcPr>
          <w:p w14:paraId="1032AC2D" w14:textId="77777777" w:rsidR="0035149B" w:rsidRPr="0035149B" w:rsidRDefault="0035149B" w:rsidP="0035149B">
            <w:pPr>
              <w:jc w:val="center"/>
              <w:rPr>
                <w:rFonts w:eastAsia="Times New Roman" w:cs="Times New Roman"/>
                <w:b/>
                <w:bCs/>
                <w:sz w:val="22"/>
                <w:lang w:eastAsia="lv-LV"/>
              </w:rPr>
            </w:pPr>
          </w:p>
        </w:tc>
        <w:tc>
          <w:tcPr>
            <w:tcW w:w="986" w:type="dxa"/>
            <w:tcBorders>
              <w:top w:val="nil"/>
              <w:left w:val="nil"/>
              <w:bottom w:val="nil"/>
              <w:right w:val="nil"/>
            </w:tcBorders>
            <w:shd w:val="clear" w:color="auto" w:fill="auto"/>
            <w:vAlign w:val="center"/>
            <w:hideMark/>
          </w:tcPr>
          <w:p w14:paraId="0303FAA4" w14:textId="77777777" w:rsidR="0035149B" w:rsidRPr="0035149B" w:rsidRDefault="0035149B" w:rsidP="0035149B">
            <w:pPr>
              <w:rPr>
                <w:rFonts w:eastAsia="Times New Roman" w:cs="Times New Roman"/>
                <w:sz w:val="20"/>
                <w:szCs w:val="20"/>
                <w:lang w:eastAsia="lv-LV"/>
              </w:rPr>
            </w:pPr>
          </w:p>
        </w:tc>
        <w:tc>
          <w:tcPr>
            <w:tcW w:w="1052" w:type="dxa"/>
            <w:tcBorders>
              <w:top w:val="nil"/>
              <w:left w:val="nil"/>
              <w:bottom w:val="nil"/>
              <w:right w:val="nil"/>
            </w:tcBorders>
            <w:shd w:val="clear" w:color="auto" w:fill="auto"/>
            <w:vAlign w:val="center"/>
            <w:hideMark/>
          </w:tcPr>
          <w:p w14:paraId="4AB31336" w14:textId="77777777" w:rsidR="0035149B" w:rsidRPr="0035149B" w:rsidRDefault="0035149B" w:rsidP="0035149B">
            <w:pPr>
              <w:rPr>
                <w:rFonts w:eastAsia="Times New Roman" w:cs="Times New Roman"/>
                <w:sz w:val="20"/>
                <w:szCs w:val="20"/>
                <w:lang w:eastAsia="lv-LV"/>
              </w:rPr>
            </w:pPr>
          </w:p>
        </w:tc>
        <w:tc>
          <w:tcPr>
            <w:tcW w:w="1186" w:type="dxa"/>
            <w:tcBorders>
              <w:top w:val="nil"/>
              <w:left w:val="nil"/>
              <w:bottom w:val="nil"/>
              <w:right w:val="nil"/>
            </w:tcBorders>
            <w:shd w:val="clear" w:color="auto" w:fill="auto"/>
            <w:vAlign w:val="center"/>
            <w:hideMark/>
          </w:tcPr>
          <w:p w14:paraId="52F4C9D9" w14:textId="77777777" w:rsidR="0035149B" w:rsidRPr="0035149B" w:rsidRDefault="0035149B" w:rsidP="0035149B">
            <w:pPr>
              <w:rPr>
                <w:rFonts w:eastAsia="Times New Roman" w:cs="Times New Roman"/>
                <w:sz w:val="20"/>
                <w:szCs w:val="20"/>
                <w:lang w:eastAsia="lv-LV"/>
              </w:rPr>
            </w:pPr>
          </w:p>
        </w:tc>
        <w:tc>
          <w:tcPr>
            <w:tcW w:w="999" w:type="dxa"/>
            <w:tcBorders>
              <w:top w:val="nil"/>
              <w:left w:val="nil"/>
              <w:bottom w:val="nil"/>
              <w:right w:val="nil"/>
            </w:tcBorders>
            <w:shd w:val="clear" w:color="auto" w:fill="auto"/>
            <w:vAlign w:val="center"/>
            <w:hideMark/>
          </w:tcPr>
          <w:p w14:paraId="13F06266" w14:textId="77777777" w:rsidR="0035149B" w:rsidRPr="0035149B" w:rsidRDefault="0035149B" w:rsidP="0035149B">
            <w:pPr>
              <w:rPr>
                <w:rFonts w:eastAsia="Times New Roman" w:cs="Times New Roman"/>
                <w:sz w:val="20"/>
                <w:szCs w:val="20"/>
                <w:lang w:eastAsia="lv-LV"/>
              </w:rPr>
            </w:pPr>
          </w:p>
        </w:tc>
        <w:tc>
          <w:tcPr>
            <w:tcW w:w="1296" w:type="dxa"/>
            <w:tcBorders>
              <w:top w:val="nil"/>
              <w:left w:val="nil"/>
              <w:bottom w:val="nil"/>
              <w:right w:val="nil"/>
            </w:tcBorders>
            <w:shd w:val="clear" w:color="auto" w:fill="auto"/>
            <w:vAlign w:val="center"/>
            <w:hideMark/>
          </w:tcPr>
          <w:p w14:paraId="07FBB15C" w14:textId="77777777" w:rsidR="0035149B" w:rsidRPr="0035149B" w:rsidRDefault="0035149B" w:rsidP="0035149B">
            <w:pPr>
              <w:rPr>
                <w:rFonts w:eastAsia="Times New Roman" w:cs="Times New Roman"/>
                <w:sz w:val="20"/>
                <w:szCs w:val="20"/>
                <w:lang w:eastAsia="lv-LV"/>
              </w:rPr>
            </w:pPr>
          </w:p>
        </w:tc>
      </w:tr>
      <w:tr w:rsidR="00D067A2" w:rsidRPr="0035149B" w14:paraId="6D07C0A8" w14:textId="77777777" w:rsidTr="00606897">
        <w:trPr>
          <w:trHeight w:val="105"/>
        </w:trPr>
        <w:tc>
          <w:tcPr>
            <w:tcW w:w="1752" w:type="dxa"/>
            <w:tcBorders>
              <w:top w:val="nil"/>
              <w:left w:val="nil"/>
              <w:bottom w:val="nil"/>
              <w:right w:val="nil"/>
            </w:tcBorders>
            <w:shd w:val="clear" w:color="auto" w:fill="auto"/>
            <w:vAlign w:val="center"/>
            <w:hideMark/>
          </w:tcPr>
          <w:p w14:paraId="06703A84" w14:textId="77777777" w:rsidR="0035149B" w:rsidRPr="0035149B" w:rsidRDefault="0035149B" w:rsidP="0035149B">
            <w:pPr>
              <w:rPr>
                <w:rFonts w:eastAsia="Times New Roman" w:cs="Times New Roman"/>
                <w:sz w:val="20"/>
                <w:szCs w:val="20"/>
                <w:lang w:eastAsia="lv-LV"/>
              </w:rPr>
            </w:pPr>
          </w:p>
        </w:tc>
        <w:tc>
          <w:tcPr>
            <w:tcW w:w="1667" w:type="dxa"/>
            <w:tcBorders>
              <w:top w:val="nil"/>
              <w:left w:val="nil"/>
              <w:bottom w:val="nil"/>
              <w:right w:val="nil"/>
            </w:tcBorders>
            <w:shd w:val="clear" w:color="auto" w:fill="auto"/>
            <w:vAlign w:val="center"/>
            <w:hideMark/>
          </w:tcPr>
          <w:p w14:paraId="1A8194D9" w14:textId="77777777" w:rsidR="0035149B" w:rsidRPr="0035149B" w:rsidRDefault="0035149B" w:rsidP="0035149B">
            <w:pPr>
              <w:rPr>
                <w:rFonts w:eastAsia="Times New Roman" w:cs="Times New Roman"/>
                <w:sz w:val="20"/>
                <w:szCs w:val="20"/>
                <w:lang w:eastAsia="lv-LV"/>
              </w:rPr>
            </w:pPr>
          </w:p>
        </w:tc>
        <w:tc>
          <w:tcPr>
            <w:tcW w:w="2211" w:type="dxa"/>
            <w:tcBorders>
              <w:top w:val="nil"/>
              <w:left w:val="nil"/>
              <w:bottom w:val="nil"/>
              <w:right w:val="nil"/>
            </w:tcBorders>
            <w:shd w:val="clear" w:color="auto" w:fill="auto"/>
            <w:vAlign w:val="center"/>
            <w:hideMark/>
          </w:tcPr>
          <w:p w14:paraId="783819D4" w14:textId="77777777" w:rsidR="0035149B" w:rsidRPr="0035149B" w:rsidRDefault="0035149B" w:rsidP="0035149B">
            <w:pPr>
              <w:rPr>
                <w:rFonts w:eastAsia="Times New Roman" w:cs="Times New Roman"/>
                <w:sz w:val="20"/>
                <w:szCs w:val="20"/>
                <w:lang w:eastAsia="lv-LV"/>
              </w:rPr>
            </w:pPr>
          </w:p>
        </w:tc>
        <w:tc>
          <w:tcPr>
            <w:tcW w:w="826" w:type="dxa"/>
            <w:tcBorders>
              <w:top w:val="nil"/>
              <w:left w:val="nil"/>
              <w:bottom w:val="nil"/>
              <w:right w:val="nil"/>
            </w:tcBorders>
            <w:shd w:val="clear" w:color="auto" w:fill="auto"/>
            <w:vAlign w:val="center"/>
            <w:hideMark/>
          </w:tcPr>
          <w:p w14:paraId="1B43C16B" w14:textId="77777777" w:rsidR="0035149B" w:rsidRPr="0035149B" w:rsidRDefault="0035149B" w:rsidP="0035149B">
            <w:pPr>
              <w:rPr>
                <w:rFonts w:eastAsia="Times New Roman" w:cs="Times New Roman"/>
                <w:sz w:val="20"/>
                <w:szCs w:val="20"/>
                <w:lang w:eastAsia="lv-LV"/>
              </w:rPr>
            </w:pPr>
          </w:p>
        </w:tc>
        <w:tc>
          <w:tcPr>
            <w:tcW w:w="887" w:type="dxa"/>
            <w:tcBorders>
              <w:top w:val="nil"/>
              <w:left w:val="nil"/>
              <w:bottom w:val="nil"/>
              <w:right w:val="nil"/>
            </w:tcBorders>
            <w:shd w:val="clear" w:color="auto" w:fill="auto"/>
            <w:vAlign w:val="center"/>
            <w:hideMark/>
          </w:tcPr>
          <w:p w14:paraId="115FF2D3" w14:textId="77777777" w:rsidR="0035149B" w:rsidRPr="0035149B" w:rsidRDefault="0035149B" w:rsidP="0035149B">
            <w:pPr>
              <w:rPr>
                <w:rFonts w:eastAsia="Times New Roman" w:cs="Times New Roman"/>
                <w:sz w:val="20"/>
                <w:szCs w:val="20"/>
                <w:lang w:eastAsia="lv-LV"/>
              </w:rPr>
            </w:pPr>
          </w:p>
        </w:tc>
        <w:tc>
          <w:tcPr>
            <w:tcW w:w="947" w:type="dxa"/>
            <w:tcBorders>
              <w:top w:val="nil"/>
              <w:left w:val="nil"/>
              <w:bottom w:val="nil"/>
              <w:right w:val="nil"/>
            </w:tcBorders>
            <w:shd w:val="clear" w:color="auto" w:fill="auto"/>
            <w:vAlign w:val="center"/>
            <w:hideMark/>
          </w:tcPr>
          <w:p w14:paraId="28F35109" w14:textId="77777777" w:rsidR="0035149B" w:rsidRPr="0035149B" w:rsidRDefault="0035149B" w:rsidP="0035149B">
            <w:pPr>
              <w:rPr>
                <w:rFonts w:eastAsia="Times New Roman" w:cs="Times New Roman"/>
                <w:sz w:val="20"/>
                <w:szCs w:val="20"/>
                <w:lang w:eastAsia="lv-LV"/>
              </w:rPr>
            </w:pPr>
          </w:p>
        </w:tc>
        <w:tc>
          <w:tcPr>
            <w:tcW w:w="1111" w:type="dxa"/>
            <w:tcBorders>
              <w:top w:val="nil"/>
              <w:left w:val="nil"/>
              <w:bottom w:val="nil"/>
              <w:right w:val="nil"/>
            </w:tcBorders>
            <w:shd w:val="clear" w:color="auto" w:fill="auto"/>
            <w:vAlign w:val="center"/>
            <w:hideMark/>
          </w:tcPr>
          <w:p w14:paraId="19788B95" w14:textId="77777777" w:rsidR="0035149B" w:rsidRPr="0035149B" w:rsidRDefault="0035149B" w:rsidP="0035149B">
            <w:pPr>
              <w:rPr>
                <w:rFonts w:eastAsia="Times New Roman" w:cs="Times New Roman"/>
                <w:sz w:val="20"/>
                <w:szCs w:val="20"/>
                <w:lang w:eastAsia="lv-LV"/>
              </w:rPr>
            </w:pPr>
          </w:p>
        </w:tc>
        <w:tc>
          <w:tcPr>
            <w:tcW w:w="986" w:type="dxa"/>
            <w:tcBorders>
              <w:top w:val="nil"/>
              <w:left w:val="nil"/>
              <w:bottom w:val="nil"/>
              <w:right w:val="nil"/>
            </w:tcBorders>
            <w:shd w:val="clear" w:color="auto" w:fill="auto"/>
            <w:vAlign w:val="center"/>
            <w:hideMark/>
          </w:tcPr>
          <w:p w14:paraId="408F8747" w14:textId="77777777" w:rsidR="0035149B" w:rsidRPr="0035149B" w:rsidRDefault="0035149B" w:rsidP="0035149B">
            <w:pPr>
              <w:rPr>
                <w:rFonts w:eastAsia="Times New Roman" w:cs="Times New Roman"/>
                <w:sz w:val="20"/>
                <w:szCs w:val="20"/>
                <w:lang w:eastAsia="lv-LV"/>
              </w:rPr>
            </w:pPr>
          </w:p>
        </w:tc>
        <w:tc>
          <w:tcPr>
            <w:tcW w:w="1052" w:type="dxa"/>
            <w:tcBorders>
              <w:top w:val="nil"/>
              <w:left w:val="nil"/>
              <w:bottom w:val="nil"/>
              <w:right w:val="nil"/>
            </w:tcBorders>
            <w:shd w:val="clear" w:color="auto" w:fill="auto"/>
            <w:vAlign w:val="center"/>
            <w:hideMark/>
          </w:tcPr>
          <w:p w14:paraId="5D4598D1" w14:textId="77777777" w:rsidR="0035149B" w:rsidRPr="0035149B" w:rsidRDefault="0035149B" w:rsidP="0035149B">
            <w:pPr>
              <w:rPr>
                <w:rFonts w:eastAsia="Times New Roman" w:cs="Times New Roman"/>
                <w:sz w:val="20"/>
                <w:szCs w:val="20"/>
                <w:lang w:eastAsia="lv-LV"/>
              </w:rPr>
            </w:pPr>
          </w:p>
        </w:tc>
        <w:tc>
          <w:tcPr>
            <w:tcW w:w="1186" w:type="dxa"/>
            <w:tcBorders>
              <w:top w:val="nil"/>
              <w:left w:val="nil"/>
              <w:bottom w:val="nil"/>
              <w:right w:val="nil"/>
            </w:tcBorders>
            <w:shd w:val="clear" w:color="auto" w:fill="auto"/>
            <w:vAlign w:val="center"/>
            <w:hideMark/>
          </w:tcPr>
          <w:p w14:paraId="52046497" w14:textId="77777777" w:rsidR="0035149B" w:rsidRPr="0035149B" w:rsidRDefault="0035149B" w:rsidP="0035149B">
            <w:pPr>
              <w:rPr>
                <w:rFonts w:eastAsia="Times New Roman" w:cs="Times New Roman"/>
                <w:sz w:val="20"/>
                <w:szCs w:val="20"/>
                <w:lang w:eastAsia="lv-LV"/>
              </w:rPr>
            </w:pPr>
          </w:p>
        </w:tc>
        <w:tc>
          <w:tcPr>
            <w:tcW w:w="999" w:type="dxa"/>
            <w:tcBorders>
              <w:top w:val="nil"/>
              <w:left w:val="nil"/>
              <w:bottom w:val="nil"/>
              <w:right w:val="nil"/>
            </w:tcBorders>
            <w:shd w:val="clear" w:color="auto" w:fill="auto"/>
            <w:vAlign w:val="center"/>
            <w:hideMark/>
          </w:tcPr>
          <w:p w14:paraId="0D93C675" w14:textId="77777777" w:rsidR="0035149B" w:rsidRPr="0035149B" w:rsidRDefault="0035149B" w:rsidP="0035149B">
            <w:pPr>
              <w:rPr>
                <w:rFonts w:eastAsia="Times New Roman" w:cs="Times New Roman"/>
                <w:sz w:val="20"/>
                <w:szCs w:val="20"/>
                <w:lang w:eastAsia="lv-LV"/>
              </w:rPr>
            </w:pPr>
          </w:p>
        </w:tc>
        <w:tc>
          <w:tcPr>
            <w:tcW w:w="1296" w:type="dxa"/>
            <w:tcBorders>
              <w:top w:val="nil"/>
              <w:left w:val="nil"/>
              <w:bottom w:val="nil"/>
              <w:right w:val="nil"/>
            </w:tcBorders>
            <w:shd w:val="clear" w:color="auto" w:fill="auto"/>
            <w:vAlign w:val="center"/>
            <w:hideMark/>
          </w:tcPr>
          <w:p w14:paraId="7931228F" w14:textId="77777777" w:rsidR="0035149B" w:rsidRPr="0035149B" w:rsidRDefault="0035149B" w:rsidP="0035149B">
            <w:pPr>
              <w:rPr>
                <w:rFonts w:eastAsia="Times New Roman" w:cs="Times New Roman"/>
                <w:sz w:val="20"/>
                <w:szCs w:val="20"/>
                <w:lang w:eastAsia="lv-LV"/>
              </w:rPr>
            </w:pPr>
          </w:p>
        </w:tc>
      </w:tr>
      <w:tr w:rsidR="0035149B" w:rsidRPr="0035149B" w14:paraId="6479823F" w14:textId="77777777" w:rsidTr="00606897">
        <w:trPr>
          <w:trHeight w:val="1410"/>
        </w:trPr>
        <w:tc>
          <w:tcPr>
            <w:tcW w:w="1752"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5D76DED9"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Uzdevums</w:t>
            </w:r>
          </w:p>
        </w:tc>
        <w:tc>
          <w:tcPr>
            <w:tcW w:w="1667"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34500160"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Pasākums</w:t>
            </w:r>
          </w:p>
        </w:tc>
        <w:tc>
          <w:tcPr>
            <w:tcW w:w="2211"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7C5191D8" w14:textId="1AB08678" w:rsidR="0035149B" w:rsidRPr="0035149B" w:rsidRDefault="0035149B" w:rsidP="00937530">
            <w:pPr>
              <w:jc w:val="center"/>
              <w:rPr>
                <w:rFonts w:eastAsia="Times New Roman" w:cs="Times New Roman"/>
                <w:sz w:val="18"/>
                <w:szCs w:val="18"/>
                <w:lang w:eastAsia="lv-LV"/>
              </w:rPr>
            </w:pPr>
            <w:r w:rsidRPr="0035149B">
              <w:rPr>
                <w:rFonts w:eastAsia="Times New Roman" w:cs="Times New Roman"/>
                <w:sz w:val="18"/>
                <w:szCs w:val="18"/>
                <w:lang w:eastAsia="lv-LV"/>
              </w:rPr>
              <w:t>Budžeta programmas (apakšprogrammas) kods un nosaukums</w:t>
            </w:r>
          </w:p>
        </w:tc>
        <w:tc>
          <w:tcPr>
            <w:tcW w:w="2660" w:type="dxa"/>
            <w:gridSpan w:val="3"/>
            <w:tcBorders>
              <w:top w:val="single" w:sz="4" w:space="0" w:color="BFBFBF"/>
              <w:left w:val="nil"/>
              <w:bottom w:val="single" w:sz="4" w:space="0" w:color="BFBFBF"/>
              <w:right w:val="single" w:sz="4" w:space="0" w:color="BFBFBF"/>
            </w:tcBorders>
            <w:shd w:val="clear" w:color="auto" w:fill="auto"/>
            <w:vAlign w:val="center"/>
            <w:hideMark/>
          </w:tcPr>
          <w:p w14:paraId="605500BB" w14:textId="26527918" w:rsidR="0035149B" w:rsidRPr="0035149B" w:rsidRDefault="0035149B" w:rsidP="00D0253F">
            <w:pPr>
              <w:jc w:val="center"/>
              <w:rPr>
                <w:rFonts w:eastAsia="Times New Roman" w:cs="Times New Roman"/>
                <w:sz w:val="18"/>
                <w:szCs w:val="18"/>
                <w:lang w:eastAsia="lv-LV"/>
              </w:rPr>
            </w:pPr>
            <w:r w:rsidRPr="0035149B">
              <w:rPr>
                <w:rFonts w:eastAsia="Times New Roman" w:cs="Times New Roman"/>
                <w:sz w:val="18"/>
                <w:szCs w:val="18"/>
                <w:lang w:eastAsia="lv-LV"/>
              </w:rPr>
              <w:t>Nepieciešamais papildu finansējums</w:t>
            </w:r>
            <w:r w:rsidR="00B20334">
              <w:t xml:space="preserve"> </w:t>
            </w:r>
            <w:r w:rsidR="00B20334" w:rsidRPr="00B20334">
              <w:rPr>
                <w:rFonts w:eastAsia="Times New Roman" w:cs="Times New Roman"/>
                <w:sz w:val="18"/>
                <w:szCs w:val="18"/>
                <w:lang w:eastAsia="lv-LV"/>
              </w:rPr>
              <w:t>Iekšlietu ministrijai* un plānotais finansējums Ārlietu ministrijai</w:t>
            </w:r>
            <w:r w:rsidRPr="0035149B">
              <w:rPr>
                <w:rFonts w:eastAsia="Times New Roman" w:cs="Times New Roman"/>
                <w:sz w:val="18"/>
                <w:szCs w:val="18"/>
                <w:lang w:eastAsia="lv-LV"/>
              </w:rPr>
              <w:t xml:space="preserve"> </w:t>
            </w:r>
          </w:p>
        </w:tc>
        <w:tc>
          <w:tcPr>
            <w:tcW w:w="5334" w:type="dxa"/>
            <w:gridSpan w:val="5"/>
            <w:tcBorders>
              <w:top w:val="single" w:sz="4" w:space="0" w:color="BFBFBF"/>
              <w:left w:val="nil"/>
              <w:bottom w:val="single" w:sz="4" w:space="0" w:color="BFBFBF"/>
              <w:right w:val="single" w:sz="4" w:space="0" w:color="BFBFBF"/>
            </w:tcBorders>
            <w:shd w:val="clear" w:color="auto" w:fill="auto"/>
            <w:vAlign w:val="center"/>
            <w:hideMark/>
          </w:tcPr>
          <w:p w14:paraId="3809EA1D" w14:textId="1C3AA240" w:rsidR="0035149B" w:rsidRPr="0035149B" w:rsidRDefault="0035149B" w:rsidP="00B20334">
            <w:pPr>
              <w:jc w:val="center"/>
              <w:rPr>
                <w:rFonts w:eastAsia="Times New Roman" w:cs="Times New Roman"/>
                <w:sz w:val="18"/>
                <w:szCs w:val="18"/>
                <w:lang w:eastAsia="lv-LV"/>
              </w:rPr>
            </w:pPr>
            <w:r w:rsidRPr="0035149B">
              <w:rPr>
                <w:rFonts w:eastAsia="Times New Roman" w:cs="Times New Roman"/>
                <w:sz w:val="18"/>
                <w:szCs w:val="18"/>
                <w:lang w:eastAsia="lv-LV"/>
              </w:rPr>
              <w:t xml:space="preserve">Nepieciešamais finansējums </w:t>
            </w:r>
            <w:r w:rsidR="00B20334" w:rsidRPr="00B20334">
              <w:rPr>
                <w:rFonts w:eastAsia="Times New Roman" w:cs="Times New Roman"/>
                <w:sz w:val="18"/>
                <w:szCs w:val="18"/>
                <w:lang w:eastAsia="lv-LV"/>
              </w:rPr>
              <w:t>atbilstoši plānam</w:t>
            </w:r>
          </w:p>
        </w:tc>
        <w:tc>
          <w:tcPr>
            <w:tcW w:w="1296" w:type="dxa"/>
            <w:vMerge w:val="restart"/>
            <w:tcBorders>
              <w:top w:val="single" w:sz="4" w:space="0" w:color="BFBFBF"/>
              <w:left w:val="single" w:sz="4" w:space="0" w:color="BFBFBF"/>
              <w:bottom w:val="nil"/>
              <w:right w:val="single" w:sz="4" w:space="0" w:color="BFBFBF"/>
            </w:tcBorders>
            <w:shd w:val="clear" w:color="auto" w:fill="auto"/>
            <w:vAlign w:val="center"/>
            <w:hideMark/>
          </w:tcPr>
          <w:p w14:paraId="6F672EC1"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Pasākuma īstenošanas gads (ja pasākuma īstenošana ir terminēta)</w:t>
            </w:r>
          </w:p>
        </w:tc>
      </w:tr>
      <w:tr w:rsidR="0035149B" w:rsidRPr="0035149B" w14:paraId="5A00B88C" w14:textId="77777777" w:rsidTr="00606897">
        <w:trPr>
          <w:trHeight w:val="2085"/>
        </w:trPr>
        <w:tc>
          <w:tcPr>
            <w:tcW w:w="1752" w:type="dxa"/>
            <w:vMerge/>
            <w:tcBorders>
              <w:top w:val="single" w:sz="4" w:space="0" w:color="BFBFBF"/>
              <w:left w:val="single" w:sz="4" w:space="0" w:color="BFBFBF"/>
              <w:bottom w:val="nil"/>
              <w:right w:val="single" w:sz="4" w:space="0" w:color="BFBFBF"/>
            </w:tcBorders>
            <w:vAlign w:val="center"/>
            <w:hideMark/>
          </w:tcPr>
          <w:p w14:paraId="24868687" w14:textId="77777777" w:rsidR="0035149B" w:rsidRPr="0035149B" w:rsidRDefault="0035149B" w:rsidP="0035149B">
            <w:pPr>
              <w:rPr>
                <w:rFonts w:eastAsia="Times New Roman" w:cs="Times New Roman"/>
                <w:sz w:val="18"/>
                <w:szCs w:val="18"/>
                <w:lang w:eastAsia="lv-LV"/>
              </w:rPr>
            </w:pPr>
          </w:p>
        </w:tc>
        <w:tc>
          <w:tcPr>
            <w:tcW w:w="1667" w:type="dxa"/>
            <w:vMerge/>
            <w:tcBorders>
              <w:top w:val="single" w:sz="4" w:space="0" w:color="BFBFBF"/>
              <w:left w:val="single" w:sz="4" w:space="0" w:color="BFBFBF"/>
              <w:bottom w:val="nil"/>
              <w:right w:val="single" w:sz="4" w:space="0" w:color="BFBFBF"/>
            </w:tcBorders>
            <w:vAlign w:val="center"/>
            <w:hideMark/>
          </w:tcPr>
          <w:p w14:paraId="57E3A223" w14:textId="77777777" w:rsidR="0035149B" w:rsidRPr="0035149B" w:rsidRDefault="0035149B" w:rsidP="0035149B">
            <w:pPr>
              <w:rPr>
                <w:rFonts w:eastAsia="Times New Roman" w:cs="Times New Roman"/>
                <w:sz w:val="18"/>
                <w:szCs w:val="18"/>
                <w:lang w:eastAsia="lv-LV"/>
              </w:rPr>
            </w:pPr>
          </w:p>
        </w:tc>
        <w:tc>
          <w:tcPr>
            <w:tcW w:w="2211" w:type="dxa"/>
            <w:vMerge/>
            <w:tcBorders>
              <w:top w:val="single" w:sz="4" w:space="0" w:color="BFBFBF"/>
              <w:left w:val="single" w:sz="4" w:space="0" w:color="BFBFBF"/>
              <w:bottom w:val="nil"/>
              <w:right w:val="single" w:sz="4" w:space="0" w:color="BFBFBF"/>
            </w:tcBorders>
            <w:vAlign w:val="center"/>
            <w:hideMark/>
          </w:tcPr>
          <w:p w14:paraId="52D0024A" w14:textId="77777777" w:rsidR="0035149B" w:rsidRPr="0035149B" w:rsidRDefault="0035149B" w:rsidP="0035149B">
            <w:pPr>
              <w:rPr>
                <w:rFonts w:eastAsia="Times New Roman" w:cs="Times New Roman"/>
                <w:sz w:val="18"/>
                <w:szCs w:val="18"/>
                <w:lang w:eastAsia="lv-LV"/>
              </w:rPr>
            </w:pPr>
          </w:p>
        </w:tc>
        <w:tc>
          <w:tcPr>
            <w:tcW w:w="2660" w:type="dxa"/>
            <w:gridSpan w:val="3"/>
            <w:tcBorders>
              <w:top w:val="single" w:sz="4" w:space="0" w:color="BFBFBF"/>
              <w:left w:val="nil"/>
              <w:bottom w:val="single" w:sz="4" w:space="0" w:color="BFBFBF"/>
              <w:right w:val="single" w:sz="4" w:space="0" w:color="BFBFBF"/>
            </w:tcBorders>
            <w:shd w:val="clear" w:color="auto" w:fill="auto"/>
            <w:vAlign w:val="center"/>
            <w:hideMark/>
          </w:tcPr>
          <w:p w14:paraId="10F4A81A" w14:textId="77777777" w:rsidR="0035149B" w:rsidRPr="00F8655C" w:rsidRDefault="0035149B" w:rsidP="0035149B">
            <w:pPr>
              <w:jc w:val="center"/>
              <w:rPr>
                <w:rFonts w:eastAsia="Times New Roman" w:cs="Times New Roman"/>
                <w:sz w:val="18"/>
                <w:szCs w:val="18"/>
                <w:lang w:eastAsia="lv-LV"/>
              </w:rPr>
            </w:pPr>
            <w:r w:rsidRPr="00F8655C">
              <w:rPr>
                <w:rFonts w:eastAsia="Times New Roman" w:cs="Times New Roman"/>
                <w:sz w:val="18"/>
                <w:szCs w:val="18"/>
                <w:lang w:eastAsia="lv-LV"/>
              </w:rPr>
              <w:t>Vidēja termiņa budžeta ietvara likumā plānotais finansējums</w:t>
            </w:r>
            <w:r w:rsidRPr="00F8655C">
              <w:rPr>
                <w:rFonts w:eastAsia="Times New Roman" w:cs="Times New Roman"/>
                <w:sz w:val="18"/>
                <w:szCs w:val="18"/>
                <w:lang w:eastAsia="lv-LV"/>
              </w:rPr>
              <w:br/>
              <w:t xml:space="preserve">(pārdale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w:t>
            </w:r>
          </w:p>
        </w:tc>
        <w:tc>
          <w:tcPr>
            <w:tcW w:w="3149" w:type="dxa"/>
            <w:gridSpan w:val="3"/>
            <w:tcBorders>
              <w:top w:val="single" w:sz="4" w:space="0" w:color="BFBFBF"/>
              <w:left w:val="nil"/>
              <w:bottom w:val="single" w:sz="4" w:space="0" w:color="BFBFBF"/>
              <w:right w:val="single" w:sz="4" w:space="0" w:color="BFBFBF"/>
            </w:tcBorders>
            <w:shd w:val="clear" w:color="auto" w:fill="auto"/>
            <w:vAlign w:val="center"/>
            <w:hideMark/>
          </w:tcPr>
          <w:p w14:paraId="14E1B169" w14:textId="09353E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 xml:space="preserve">(2020. - 2022. gadā plānotais finansējums budžeta resora 74. "Gadskārtējā valsts budžeta izpildes procesā pārdalāmais finansējums" programmā 10.00.00 "Noziedzīgi iegūtu līdzekļu legalizācijas un terorisma finansēšanas novēršana" </w:t>
            </w:r>
            <w:r w:rsidRPr="0035149B">
              <w:rPr>
                <w:rFonts w:eastAsia="Times New Roman" w:cs="Times New Roman"/>
                <w:sz w:val="18"/>
                <w:szCs w:val="18"/>
                <w:lang w:eastAsia="lv-LV"/>
              </w:rPr>
              <w:br/>
              <w:t>10 000 000 euro apmērā ik gadu)</w:t>
            </w:r>
            <w:r w:rsidR="00B20334">
              <w:t xml:space="preserve"> </w:t>
            </w:r>
            <w:r w:rsidR="00B20334" w:rsidRPr="00B20334">
              <w:rPr>
                <w:rFonts w:eastAsia="Times New Roman" w:cs="Times New Roman"/>
                <w:sz w:val="18"/>
                <w:szCs w:val="18"/>
                <w:lang w:eastAsia="lv-LV"/>
              </w:rPr>
              <w:t>Finansējums atbilstoši MK lēmumiem tiek pārdalīts attiecīgajām institūcijām.</w:t>
            </w:r>
          </w:p>
        </w:tc>
        <w:tc>
          <w:tcPr>
            <w:tcW w:w="1186" w:type="dxa"/>
            <w:vMerge w:val="restart"/>
            <w:tcBorders>
              <w:top w:val="nil"/>
              <w:left w:val="single" w:sz="4" w:space="0" w:color="BFBFBF"/>
              <w:bottom w:val="nil"/>
              <w:right w:val="single" w:sz="4" w:space="0" w:color="BFBFBF"/>
            </w:tcBorders>
            <w:shd w:val="clear" w:color="auto" w:fill="auto"/>
            <w:vAlign w:val="center"/>
            <w:hideMark/>
          </w:tcPr>
          <w:p w14:paraId="315FB2F5"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turpmākajā laikposmā līdz pasākuma pabeigšanai (ja pasākuma īstenošana ir terminēta)</w:t>
            </w:r>
          </w:p>
        </w:tc>
        <w:tc>
          <w:tcPr>
            <w:tcW w:w="999" w:type="dxa"/>
            <w:vMerge w:val="restart"/>
            <w:tcBorders>
              <w:top w:val="nil"/>
              <w:left w:val="single" w:sz="4" w:space="0" w:color="BFBFBF"/>
              <w:bottom w:val="nil"/>
              <w:right w:val="single" w:sz="4" w:space="0" w:color="BFBFBF"/>
            </w:tcBorders>
            <w:shd w:val="clear" w:color="auto" w:fill="auto"/>
            <w:vAlign w:val="center"/>
            <w:hideMark/>
          </w:tcPr>
          <w:p w14:paraId="3F61221E"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turpmāk ik gadu (ja pasākuma izpilde nav terminēta)</w:t>
            </w:r>
          </w:p>
        </w:tc>
        <w:tc>
          <w:tcPr>
            <w:tcW w:w="1296" w:type="dxa"/>
            <w:vMerge/>
            <w:tcBorders>
              <w:top w:val="single" w:sz="4" w:space="0" w:color="BFBFBF"/>
              <w:left w:val="single" w:sz="4" w:space="0" w:color="BFBFBF"/>
              <w:bottom w:val="nil"/>
              <w:right w:val="single" w:sz="4" w:space="0" w:color="BFBFBF"/>
            </w:tcBorders>
            <w:vAlign w:val="center"/>
            <w:hideMark/>
          </w:tcPr>
          <w:p w14:paraId="0C66ACD2" w14:textId="77777777" w:rsidR="0035149B" w:rsidRPr="0035149B" w:rsidRDefault="0035149B" w:rsidP="0035149B">
            <w:pPr>
              <w:rPr>
                <w:rFonts w:eastAsia="Times New Roman" w:cs="Times New Roman"/>
                <w:sz w:val="18"/>
                <w:szCs w:val="18"/>
                <w:lang w:eastAsia="lv-LV"/>
              </w:rPr>
            </w:pPr>
          </w:p>
        </w:tc>
      </w:tr>
      <w:tr w:rsidR="00D067A2" w:rsidRPr="0035149B" w14:paraId="6E8E8CD9" w14:textId="77777777" w:rsidTr="00606897">
        <w:trPr>
          <w:trHeight w:val="405"/>
        </w:trPr>
        <w:tc>
          <w:tcPr>
            <w:tcW w:w="1752" w:type="dxa"/>
            <w:vMerge/>
            <w:tcBorders>
              <w:top w:val="single" w:sz="4" w:space="0" w:color="BFBFBF"/>
              <w:left w:val="single" w:sz="4" w:space="0" w:color="BFBFBF"/>
              <w:bottom w:val="nil"/>
              <w:right w:val="single" w:sz="4" w:space="0" w:color="BFBFBF"/>
            </w:tcBorders>
            <w:vAlign w:val="center"/>
            <w:hideMark/>
          </w:tcPr>
          <w:p w14:paraId="68B4BEE7" w14:textId="77777777" w:rsidR="0035149B" w:rsidRPr="0035149B" w:rsidRDefault="0035149B" w:rsidP="0035149B">
            <w:pPr>
              <w:rPr>
                <w:rFonts w:eastAsia="Times New Roman" w:cs="Times New Roman"/>
                <w:sz w:val="18"/>
                <w:szCs w:val="18"/>
                <w:lang w:eastAsia="lv-LV"/>
              </w:rPr>
            </w:pPr>
          </w:p>
        </w:tc>
        <w:tc>
          <w:tcPr>
            <w:tcW w:w="1667" w:type="dxa"/>
            <w:vMerge/>
            <w:tcBorders>
              <w:top w:val="single" w:sz="4" w:space="0" w:color="BFBFBF"/>
              <w:left w:val="single" w:sz="4" w:space="0" w:color="BFBFBF"/>
              <w:bottom w:val="nil"/>
              <w:right w:val="single" w:sz="4" w:space="0" w:color="BFBFBF"/>
            </w:tcBorders>
            <w:vAlign w:val="center"/>
            <w:hideMark/>
          </w:tcPr>
          <w:p w14:paraId="790CA145" w14:textId="77777777" w:rsidR="0035149B" w:rsidRPr="0035149B" w:rsidRDefault="0035149B" w:rsidP="0035149B">
            <w:pPr>
              <w:rPr>
                <w:rFonts w:eastAsia="Times New Roman" w:cs="Times New Roman"/>
                <w:sz w:val="18"/>
                <w:szCs w:val="18"/>
                <w:lang w:eastAsia="lv-LV"/>
              </w:rPr>
            </w:pPr>
          </w:p>
        </w:tc>
        <w:tc>
          <w:tcPr>
            <w:tcW w:w="2211" w:type="dxa"/>
            <w:vMerge/>
            <w:tcBorders>
              <w:top w:val="single" w:sz="4" w:space="0" w:color="BFBFBF"/>
              <w:left w:val="single" w:sz="4" w:space="0" w:color="BFBFBF"/>
              <w:bottom w:val="nil"/>
              <w:right w:val="single" w:sz="4" w:space="0" w:color="BFBFBF"/>
            </w:tcBorders>
            <w:vAlign w:val="center"/>
            <w:hideMark/>
          </w:tcPr>
          <w:p w14:paraId="7493CFD8" w14:textId="77777777" w:rsidR="0035149B" w:rsidRPr="0035149B" w:rsidRDefault="0035149B" w:rsidP="0035149B">
            <w:pPr>
              <w:rPr>
                <w:rFonts w:eastAsia="Times New Roman" w:cs="Times New Roman"/>
                <w:sz w:val="18"/>
                <w:szCs w:val="18"/>
                <w:lang w:eastAsia="lv-LV"/>
              </w:rPr>
            </w:pPr>
          </w:p>
        </w:tc>
        <w:tc>
          <w:tcPr>
            <w:tcW w:w="826" w:type="dxa"/>
            <w:tcBorders>
              <w:top w:val="nil"/>
              <w:left w:val="nil"/>
              <w:bottom w:val="nil"/>
              <w:right w:val="single" w:sz="4" w:space="0" w:color="BFBFBF"/>
            </w:tcBorders>
            <w:shd w:val="clear" w:color="auto" w:fill="auto"/>
            <w:vAlign w:val="center"/>
            <w:hideMark/>
          </w:tcPr>
          <w:p w14:paraId="6599945E"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2020</w:t>
            </w:r>
          </w:p>
        </w:tc>
        <w:tc>
          <w:tcPr>
            <w:tcW w:w="887" w:type="dxa"/>
            <w:tcBorders>
              <w:top w:val="nil"/>
              <w:left w:val="nil"/>
              <w:bottom w:val="nil"/>
              <w:right w:val="single" w:sz="4" w:space="0" w:color="BFBFBF"/>
            </w:tcBorders>
            <w:shd w:val="clear" w:color="auto" w:fill="auto"/>
            <w:vAlign w:val="center"/>
            <w:hideMark/>
          </w:tcPr>
          <w:p w14:paraId="4FDDC093"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2021</w:t>
            </w:r>
          </w:p>
        </w:tc>
        <w:tc>
          <w:tcPr>
            <w:tcW w:w="947" w:type="dxa"/>
            <w:tcBorders>
              <w:top w:val="nil"/>
              <w:left w:val="nil"/>
              <w:bottom w:val="nil"/>
              <w:right w:val="single" w:sz="4" w:space="0" w:color="BFBFBF"/>
            </w:tcBorders>
            <w:shd w:val="clear" w:color="auto" w:fill="auto"/>
            <w:vAlign w:val="center"/>
            <w:hideMark/>
          </w:tcPr>
          <w:p w14:paraId="0931ACDC" w14:textId="77777777" w:rsidR="0035149B" w:rsidRPr="0035149B" w:rsidRDefault="0035149B" w:rsidP="0035149B">
            <w:pPr>
              <w:jc w:val="center"/>
              <w:rPr>
                <w:rFonts w:eastAsia="Times New Roman" w:cs="Times New Roman"/>
                <w:sz w:val="18"/>
                <w:szCs w:val="18"/>
                <w:lang w:eastAsia="lv-LV"/>
              </w:rPr>
            </w:pPr>
            <w:r w:rsidRPr="0035149B">
              <w:rPr>
                <w:rFonts w:eastAsia="Times New Roman" w:cs="Times New Roman"/>
                <w:sz w:val="18"/>
                <w:szCs w:val="18"/>
                <w:lang w:eastAsia="lv-LV"/>
              </w:rPr>
              <w:t>2022</w:t>
            </w:r>
          </w:p>
        </w:tc>
        <w:tc>
          <w:tcPr>
            <w:tcW w:w="1111" w:type="dxa"/>
            <w:tcBorders>
              <w:top w:val="nil"/>
              <w:left w:val="nil"/>
              <w:bottom w:val="nil"/>
              <w:right w:val="single" w:sz="4" w:space="0" w:color="BFBFBF"/>
            </w:tcBorders>
            <w:shd w:val="clear" w:color="auto" w:fill="auto"/>
            <w:vAlign w:val="center"/>
            <w:hideMark/>
          </w:tcPr>
          <w:p w14:paraId="51C12526" w14:textId="77777777" w:rsidR="0035149B" w:rsidRPr="00C85BBE" w:rsidRDefault="0035149B" w:rsidP="0035149B">
            <w:pPr>
              <w:jc w:val="center"/>
              <w:rPr>
                <w:rFonts w:eastAsia="Times New Roman" w:cs="Times New Roman"/>
                <w:bCs/>
                <w:sz w:val="18"/>
                <w:szCs w:val="18"/>
                <w:lang w:eastAsia="lv-LV"/>
              </w:rPr>
            </w:pPr>
            <w:r w:rsidRPr="00C85BBE">
              <w:rPr>
                <w:rFonts w:eastAsia="Times New Roman" w:cs="Times New Roman"/>
                <w:bCs/>
                <w:sz w:val="18"/>
                <w:szCs w:val="18"/>
                <w:lang w:eastAsia="lv-LV"/>
              </w:rPr>
              <w:t>2020</w:t>
            </w:r>
          </w:p>
        </w:tc>
        <w:tc>
          <w:tcPr>
            <w:tcW w:w="986" w:type="dxa"/>
            <w:tcBorders>
              <w:top w:val="nil"/>
              <w:left w:val="nil"/>
              <w:bottom w:val="nil"/>
              <w:right w:val="single" w:sz="4" w:space="0" w:color="BFBFBF"/>
            </w:tcBorders>
            <w:shd w:val="clear" w:color="auto" w:fill="auto"/>
            <w:vAlign w:val="center"/>
            <w:hideMark/>
          </w:tcPr>
          <w:p w14:paraId="79BB099A" w14:textId="77777777" w:rsidR="0035149B" w:rsidRPr="00C85BBE" w:rsidRDefault="0035149B" w:rsidP="0035149B">
            <w:pPr>
              <w:jc w:val="center"/>
              <w:rPr>
                <w:rFonts w:eastAsia="Times New Roman" w:cs="Times New Roman"/>
                <w:bCs/>
                <w:sz w:val="18"/>
                <w:szCs w:val="18"/>
                <w:lang w:eastAsia="lv-LV"/>
              </w:rPr>
            </w:pPr>
            <w:r w:rsidRPr="00C85BBE">
              <w:rPr>
                <w:rFonts w:eastAsia="Times New Roman" w:cs="Times New Roman"/>
                <w:bCs/>
                <w:sz w:val="18"/>
                <w:szCs w:val="18"/>
                <w:lang w:eastAsia="lv-LV"/>
              </w:rPr>
              <w:t>2021</w:t>
            </w:r>
          </w:p>
        </w:tc>
        <w:tc>
          <w:tcPr>
            <w:tcW w:w="1052" w:type="dxa"/>
            <w:tcBorders>
              <w:top w:val="nil"/>
              <w:left w:val="nil"/>
              <w:bottom w:val="nil"/>
              <w:right w:val="single" w:sz="4" w:space="0" w:color="BFBFBF"/>
            </w:tcBorders>
            <w:shd w:val="clear" w:color="auto" w:fill="auto"/>
            <w:vAlign w:val="center"/>
            <w:hideMark/>
          </w:tcPr>
          <w:p w14:paraId="176C613E" w14:textId="77777777" w:rsidR="0035149B" w:rsidRPr="00C85BBE" w:rsidRDefault="0035149B" w:rsidP="0035149B">
            <w:pPr>
              <w:jc w:val="center"/>
              <w:rPr>
                <w:rFonts w:eastAsia="Times New Roman" w:cs="Times New Roman"/>
                <w:bCs/>
                <w:sz w:val="18"/>
                <w:szCs w:val="18"/>
                <w:lang w:eastAsia="lv-LV"/>
              </w:rPr>
            </w:pPr>
            <w:r w:rsidRPr="00C85BBE">
              <w:rPr>
                <w:rFonts w:eastAsia="Times New Roman" w:cs="Times New Roman"/>
                <w:bCs/>
                <w:sz w:val="18"/>
                <w:szCs w:val="18"/>
                <w:lang w:eastAsia="lv-LV"/>
              </w:rPr>
              <w:t>2022</w:t>
            </w:r>
          </w:p>
        </w:tc>
        <w:tc>
          <w:tcPr>
            <w:tcW w:w="1186" w:type="dxa"/>
            <w:vMerge/>
            <w:tcBorders>
              <w:top w:val="nil"/>
              <w:left w:val="single" w:sz="4" w:space="0" w:color="BFBFBF"/>
              <w:bottom w:val="nil"/>
              <w:right w:val="single" w:sz="4" w:space="0" w:color="BFBFBF"/>
            </w:tcBorders>
            <w:vAlign w:val="center"/>
            <w:hideMark/>
          </w:tcPr>
          <w:p w14:paraId="33DB4A96" w14:textId="77777777" w:rsidR="0035149B" w:rsidRPr="0035149B" w:rsidRDefault="0035149B" w:rsidP="0035149B">
            <w:pPr>
              <w:rPr>
                <w:rFonts w:eastAsia="Times New Roman" w:cs="Times New Roman"/>
                <w:sz w:val="18"/>
                <w:szCs w:val="18"/>
                <w:lang w:eastAsia="lv-LV"/>
              </w:rPr>
            </w:pPr>
          </w:p>
        </w:tc>
        <w:tc>
          <w:tcPr>
            <w:tcW w:w="999" w:type="dxa"/>
            <w:vMerge/>
            <w:tcBorders>
              <w:top w:val="nil"/>
              <w:left w:val="single" w:sz="4" w:space="0" w:color="BFBFBF"/>
              <w:bottom w:val="nil"/>
              <w:right w:val="single" w:sz="4" w:space="0" w:color="BFBFBF"/>
            </w:tcBorders>
            <w:vAlign w:val="center"/>
            <w:hideMark/>
          </w:tcPr>
          <w:p w14:paraId="7EC925C5" w14:textId="77777777" w:rsidR="0035149B" w:rsidRPr="0035149B" w:rsidRDefault="0035149B" w:rsidP="0035149B">
            <w:pPr>
              <w:rPr>
                <w:rFonts w:eastAsia="Times New Roman" w:cs="Times New Roman"/>
                <w:sz w:val="18"/>
                <w:szCs w:val="18"/>
                <w:lang w:eastAsia="lv-LV"/>
              </w:rPr>
            </w:pPr>
          </w:p>
        </w:tc>
        <w:tc>
          <w:tcPr>
            <w:tcW w:w="1296" w:type="dxa"/>
            <w:vMerge/>
            <w:tcBorders>
              <w:top w:val="single" w:sz="4" w:space="0" w:color="BFBFBF"/>
              <w:left w:val="single" w:sz="4" w:space="0" w:color="BFBFBF"/>
              <w:bottom w:val="nil"/>
              <w:right w:val="single" w:sz="4" w:space="0" w:color="BFBFBF"/>
            </w:tcBorders>
            <w:vAlign w:val="center"/>
            <w:hideMark/>
          </w:tcPr>
          <w:p w14:paraId="05BAE923" w14:textId="77777777" w:rsidR="0035149B" w:rsidRPr="0035149B" w:rsidRDefault="0035149B" w:rsidP="0035149B">
            <w:pPr>
              <w:rPr>
                <w:rFonts w:eastAsia="Times New Roman" w:cs="Times New Roman"/>
                <w:sz w:val="18"/>
                <w:szCs w:val="18"/>
                <w:lang w:eastAsia="lv-LV"/>
              </w:rPr>
            </w:pPr>
          </w:p>
        </w:tc>
      </w:tr>
      <w:tr w:rsidR="00F8655C" w:rsidRPr="0035149B" w14:paraId="52485BE8" w14:textId="77777777" w:rsidTr="00606897">
        <w:trPr>
          <w:trHeight w:val="960"/>
        </w:trPr>
        <w:tc>
          <w:tcPr>
            <w:tcW w:w="1752" w:type="dxa"/>
            <w:tcBorders>
              <w:top w:val="single" w:sz="8" w:space="0" w:color="auto"/>
              <w:left w:val="single" w:sz="8" w:space="0" w:color="auto"/>
              <w:bottom w:val="single" w:sz="8" w:space="0" w:color="auto"/>
              <w:right w:val="single" w:sz="4" w:space="0" w:color="BFBFBF"/>
            </w:tcBorders>
            <w:shd w:val="clear" w:color="000000" w:fill="DCE6F1"/>
            <w:vAlign w:val="center"/>
            <w:hideMark/>
          </w:tcPr>
          <w:p w14:paraId="6DBE5651" w14:textId="44FC5B7F" w:rsidR="00D0253F" w:rsidRPr="0035149B" w:rsidRDefault="00D0253F" w:rsidP="00D0253F">
            <w:pPr>
              <w:rPr>
                <w:rFonts w:eastAsia="Times New Roman" w:cs="Times New Roman"/>
                <w:b/>
                <w:bCs/>
                <w:sz w:val="18"/>
                <w:szCs w:val="18"/>
                <w:lang w:eastAsia="lv-LV"/>
              </w:rPr>
            </w:pPr>
            <w:r>
              <w:rPr>
                <w:b/>
                <w:bCs/>
                <w:sz w:val="18"/>
                <w:szCs w:val="18"/>
              </w:rPr>
              <w:t xml:space="preserve">Finansējums plāna realizācijai kopā </w:t>
            </w:r>
            <w:r>
              <w:rPr>
                <w:b/>
                <w:bCs/>
                <w:sz w:val="18"/>
                <w:szCs w:val="18"/>
              </w:rPr>
              <w:br/>
              <w:t>(ar korekciju -1 200 002 euro)</w:t>
            </w:r>
          </w:p>
        </w:tc>
        <w:tc>
          <w:tcPr>
            <w:tcW w:w="1667" w:type="dxa"/>
            <w:tcBorders>
              <w:top w:val="single" w:sz="8" w:space="0" w:color="auto"/>
              <w:left w:val="nil"/>
              <w:bottom w:val="single" w:sz="8" w:space="0" w:color="auto"/>
              <w:right w:val="single" w:sz="4" w:space="0" w:color="BFBFBF"/>
            </w:tcBorders>
            <w:shd w:val="clear" w:color="000000" w:fill="DCE6F1"/>
            <w:vAlign w:val="center"/>
            <w:hideMark/>
          </w:tcPr>
          <w:p w14:paraId="3A025A70" w14:textId="204EDF72" w:rsidR="00D0253F" w:rsidRPr="0035149B" w:rsidRDefault="00D0253F" w:rsidP="00D0253F">
            <w:pPr>
              <w:jc w:val="center"/>
              <w:rPr>
                <w:rFonts w:eastAsia="Times New Roman" w:cs="Times New Roman"/>
                <w:sz w:val="18"/>
                <w:szCs w:val="18"/>
                <w:lang w:eastAsia="lv-LV"/>
              </w:rPr>
            </w:pPr>
            <w:r>
              <w:rPr>
                <w:sz w:val="18"/>
                <w:szCs w:val="18"/>
              </w:rPr>
              <w:t> </w:t>
            </w:r>
          </w:p>
        </w:tc>
        <w:tc>
          <w:tcPr>
            <w:tcW w:w="2211" w:type="dxa"/>
            <w:tcBorders>
              <w:top w:val="single" w:sz="8" w:space="0" w:color="auto"/>
              <w:left w:val="nil"/>
              <w:bottom w:val="single" w:sz="8" w:space="0" w:color="auto"/>
              <w:right w:val="single" w:sz="4" w:space="0" w:color="BFBFBF"/>
            </w:tcBorders>
            <w:shd w:val="clear" w:color="000000" w:fill="DCE6F1"/>
            <w:vAlign w:val="center"/>
            <w:hideMark/>
          </w:tcPr>
          <w:p w14:paraId="07543BA7" w14:textId="0CDED6C2" w:rsidR="00D0253F" w:rsidRPr="0035149B" w:rsidRDefault="00D0253F" w:rsidP="00D0253F">
            <w:pPr>
              <w:jc w:val="center"/>
              <w:rPr>
                <w:rFonts w:eastAsia="Times New Roman" w:cs="Times New Roman"/>
                <w:sz w:val="18"/>
                <w:szCs w:val="18"/>
                <w:lang w:eastAsia="lv-LV"/>
              </w:rPr>
            </w:pPr>
            <w:r>
              <w:rPr>
                <w:sz w:val="18"/>
                <w:szCs w:val="18"/>
              </w:rPr>
              <w:t> </w:t>
            </w:r>
          </w:p>
        </w:tc>
        <w:tc>
          <w:tcPr>
            <w:tcW w:w="826" w:type="dxa"/>
            <w:tcBorders>
              <w:top w:val="single" w:sz="8" w:space="0" w:color="auto"/>
              <w:left w:val="nil"/>
              <w:bottom w:val="single" w:sz="8" w:space="0" w:color="auto"/>
              <w:right w:val="single" w:sz="4" w:space="0" w:color="BFBFBF"/>
            </w:tcBorders>
            <w:shd w:val="clear" w:color="000000" w:fill="DCE6F1"/>
            <w:vAlign w:val="center"/>
            <w:hideMark/>
          </w:tcPr>
          <w:p w14:paraId="45813BA7" w14:textId="7647F108" w:rsidR="00D0253F" w:rsidRPr="0035149B" w:rsidRDefault="00D0253F" w:rsidP="00D0253F">
            <w:pPr>
              <w:jc w:val="center"/>
              <w:rPr>
                <w:rFonts w:eastAsia="Times New Roman" w:cs="Times New Roman"/>
                <w:b/>
                <w:bCs/>
                <w:sz w:val="18"/>
                <w:szCs w:val="18"/>
                <w:lang w:eastAsia="lv-LV"/>
              </w:rPr>
            </w:pPr>
            <w:r>
              <w:rPr>
                <w:b/>
                <w:bCs/>
                <w:sz w:val="18"/>
                <w:szCs w:val="18"/>
              </w:rPr>
              <w:t>221 000</w:t>
            </w:r>
          </w:p>
        </w:tc>
        <w:tc>
          <w:tcPr>
            <w:tcW w:w="887" w:type="dxa"/>
            <w:tcBorders>
              <w:top w:val="single" w:sz="8" w:space="0" w:color="auto"/>
              <w:left w:val="nil"/>
              <w:bottom w:val="single" w:sz="8" w:space="0" w:color="auto"/>
              <w:right w:val="single" w:sz="4" w:space="0" w:color="BFBFBF"/>
            </w:tcBorders>
            <w:shd w:val="clear" w:color="000000" w:fill="DCE6F1"/>
            <w:vAlign w:val="center"/>
            <w:hideMark/>
          </w:tcPr>
          <w:p w14:paraId="09DA422C" w14:textId="40F6C474" w:rsidR="00D0253F" w:rsidRPr="0035149B" w:rsidRDefault="00D0253F" w:rsidP="00D0253F">
            <w:pPr>
              <w:jc w:val="center"/>
              <w:rPr>
                <w:rFonts w:eastAsia="Times New Roman" w:cs="Times New Roman"/>
                <w:b/>
                <w:bCs/>
                <w:sz w:val="18"/>
                <w:szCs w:val="18"/>
                <w:lang w:eastAsia="lv-LV"/>
              </w:rPr>
            </w:pPr>
            <w:r>
              <w:rPr>
                <w:b/>
                <w:bCs/>
                <w:sz w:val="18"/>
                <w:szCs w:val="18"/>
              </w:rPr>
              <w:t>249 050</w:t>
            </w:r>
          </w:p>
        </w:tc>
        <w:tc>
          <w:tcPr>
            <w:tcW w:w="947" w:type="dxa"/>
            <w:tcBorders>
              <w:top w:val="single" w:sz="8" w:space="0" w:color="auto"/>
              <w:left w:val="nil"/>
              <w:bottom w:val="single" w:sz="8" w:space="0" w:color="auto"/>
              <w:right w:val="single" w:sz="4" w:space="0" w:color="BFBFBF"/>
            </w:tcBorders>
            <w:shd w:val="clear" w:color="000000" w:fill="DCE6F1"/>
            <w:vAlign w:val="center"/>
            <w:hideMark/>
          </w:tcPr>
          <w:p w14:paraId="152956EC" w14:textId="55DB7C6B" w:rsidR="00D0253F" w:rsidRPr="0035149B" w:rsidRDefault="00D0253F" w:rsidP="00D0253F">
            <w:pPr>
              <w:jc w:val="center"/>
              <w:rPr>
                <w:rFonts w:eastAsia="Times New Roman" w:cs="Times New Roman"/>
                <w:b/>
                <w:bCs/>
                <w:sz w:val="18"/>
                <w:szCs w:val="18"/>
                <w:lang w:eastAsia="lv-LV"/>
              </w:rPr>
            </w:pPr>
            <w:r>
              <w:rPr>
                <w:b/>
                <w:bCs/>
                <w:sz w:val="18"/>
                <w:szCs w:val="18"/>
              </w:rPr>
              <w:t>249 050</w:t>
            </w:r>
          </w:p>
        </w:tc>
        <w:tc>
          <w:tcPr>
            <w:tcW w:w="1111" w:type="dxa"/>
            <w:tcBorders>
              <w:top w:val="single" w:sz="8" w:space="0" w:color="auto"/>
              <w:left w:val="nil"/>
              <w:bottom w:val="single" w:sz="8" w:space="0" w:color="auto"/>
              <w:right w:val="single" w:sz="4" w:space="0" w:color="BFBFBF"/>
            </w:tcBorders>
            <w:shd w:val="clear" w:color="000000" w:fill="DCE6F1"/>
            <w:vAlign w:val="center"/>
            <w:hideMark/>
          </w:tcPr>
          <w:p w14:paraId="6DF85367" w14:textId="53B45EDE" w:rsidR="00D0253F" w:rsidRPr="0035149B" w:rsidRDefault="00D0253F" w:rsidP="00D0253F">
            <w:pPr>
              <w:jc w:val="center"/>
              <w:rPr>
                <w:rFonts w:eastAsia="Times New Roman" w:cs="Times New Roman"/>
                <w:b/>
                <w:bCs/>
                <w:sz w:val="18"/>
                <w:szCs w:val="18"/>
                <w:lang w:eastAsia="lv-LV"/>
              </w:rPr>
            </w:pPr>
            <w:r>
              <w:rPr>
                <w:b/>
                <w:bCs/>
                <w:sz w:val="18"/>
                <w:szCs w:val="18"/>
              </w:rPr>
              <w:t>3 328 313</w:t>
            </w:r>
          </w:p>
        </w:tc>
        <w:tc>
          <w:tcPr>
            <w:tcW w:w="986" w:type="dxa"/>
            <w:tcBorders>
              <w:top w:val="single" w:sz="8" w:space="0" w:color="auto"/>
              <w:left w:val="nil"/>
              <w:bottom w:val="single" w:sz="8" w:space="0" w:color="auto"/>
              <w:right w:val="single" w:sz="4" w:space="0" w:color="BFBFBF"/>
            </w:tcBorders>
            <w:shd w:val="clear" w:color="000000" w:fill="DCE6F1"/>
            <w:vAlign w:val="center"/>
            <w:hideMark/>
          </w:tcPr>
          <w:p w14:paraId="6AA4950B" w14:textId="49A856D8" w:rsidR="00D0253F" w:rsidRPr="0035149B" w:rsidRDefault="00D0253F" w:rsidP="00D0253F">
            <w:pPr>
              <w:jc w:val="center"/>
              <w:rPr>
                <w:rFonts w:eastAsia="Times New Roman" w:cs="Times New Roman"/>
                <w:b/>
                <w:bCs/>
                <w:sz w:val="18"/>
                <w:szCs w:val="18"/>
                <w:lang w:eastAsia="lv-LV"/>
              </w:rPr>
            </w:pPr>
            <w:r>
              <w:rPr>
                <w:b/>
                <w:bCs/>
                <w:sz w:val="18"/>
                <w:szCs w:val="18"/>
              </w:rPr>
              <w:t>6 351 006</w:t>
            </w:r>
          </w:p>
        </w:tc>
        <w:tc>
          <w:tcPr>
            <w:tcW w:w="1052" w:type="dxa"/>
            <w:tcBorders>
              <w:top w:val="single" w:sz="8" w:space="0" w:color="auto"/>
              <w:left w:val="nil"/>
              <w:bottom w:val="single" w:sz="8" w:space="0" w:color="auto"/>
              <w:right w:val="single" w:sz="4" w:space="0" w:color="BFBFBF"/>
            </w:tcBorders>
            <w:shd w:val="clear" w:color="000000" w:fill="DCE6F1"/>
            <w:vAlign w:val="center"/>
            <w:hideMark/>
          </w:tcPr>
          <w:p w14:paraId="46F6C64D" w14:textId="5A188165" w:rsidR="00D0253F" w:rsidRPr="0035149B" w:rsidRDefault="00D0253F" w:rsidP="00D0253F">
            <w:pPr>
              <w:jc w:val="center"/>
              <w:rPr>
                <w:rFonts w:eastAsia="Times New Roman" w:cs="Times New Roman"/>
                <w:b/>
                <w:bCs/>
                <w:sz w:val="18"/>
                <w:szCs w:val="18"/>
                <w:lang w:eastAsia="lv-LV"/>
              </w:rPr>
            </w:pPr>
            <w:r>
              <w:rPr>
                <w:b/>
                <w:bCs/>
                <w:sz w:val="18"/>
                <w:szCs w:val="18"/>
              </w:rPr>
              <w:t>7 232 661</w:t>
            </w:r>
          </w:p>
        </w:tc>
        <w:tc>
          <w:tcPr>
            <w:tcW w:w="1186" w:type="dxa"/>
            <w:tcBorders>
              <w:top w:val="single" w:sz="8" w:space="0" w:color="auto"/>
              <w:left w:val="nil"/>
              <w:bottom w:val="single" w:sz="8" w:space="0" w:color="auto"/>
              <w:right w:val="single" w:sz="4" w:space="0" w:color="BFBFBF"/>
            </w:tcBorders>
            <w:shd w:val="clear" w:color="000000" w:fill="DCE6F1"/>
            <w:vAlign w:val="center"/>
            <w:hideMark/>
          </w:tcPr>
          <w:p w14:paraId="042242C1" w14:textId="7928F33A" w:rsidR="00D0253F" w:rsidRPr="0035149B" w:rsidRDefault="00D0253F" w:rsidP="00D0253F">
            <w:pPr>
              <w:jc w:val="center"/>
              <w:rPr>
                <w:rFonts w:eastAsia="Times New Roman" w:cs="Times New Roman"/>
                <w:b/>
                <w:bCs/>
                <w:sz w:val="18"/>
                <w:szCs w:val="18"/>
                <w:lang w:eastAsia="lv-LV"/>
              </w:rPr>
            </w:pPr>
            <w:r>
              <w:rPr>
                <w:b/>
                <w:bCs/>
                <w:sz w:val="18"/>
                <w:szCs w:val="18"/>
              </w:rPr>
              <w:t>0</w:t>
            </w:r>
          </w:p>
        </w:tc>
        <w:tc>
          <w:tcPr>
            <w:tcW w:w="999" w:type="dxa"/>
            <w:tcBorders>
              <w:top w:val="single" w:sz="8" w:space="0" w:color="auto"/>
              <w:left w:val="nil"/>
              <w:bottom w:val="single" w:sz="8" w:space="0" w:color="auto"/>
              <w:right w:val="single" w:sz="4" w:space="0" w:color="BFBFBF"/>
            </w:tcBorders>
            <w:shd w:val="clear" w:color="000000" w:fill="DCE6F1"/>
            <w:vAlign w:val="center"/>
            <w:hideMark/>
          </w:tcPr>
          <w:p w14:paraId="3167A43B" w14:textId="3307FBB8" w:rsidR="00D0253F" w:rsidRPr="0035149B" w:rsidRDefault="00D0253F" w:rsidP="00D0253F">
            <w:pPr>
              <w:jc w:val="center"/>
              <w:rPr>
                <w:rFonts w:eastAsia="Times New Roman" w:cs="Times New Roman"/>
                <w:b/>
                <w:bCs/>
                <w:sz w:val="18"/>
                <w:szCs w:val="18"/>
                <w:lang w:eastAsia="lv-LV"/>
              </w:rPr>
            </w:pPr>
            <w:r>
              <w:rPr>
                <w:b/>
                <w:bCs/>
                <w:sz w:val="18"/>
                <w:szCs w:val="18"/>
              </w:rPr>
              <w:t>5 547 020</w:t>
            </w:r>
          </w:p>
        </w:tc>
        <w:tc>
          <w:tcPr>
            <w:tcW w:w="1296" w:type="dxa"/>
            <w:tcBorders>
              <w:top w:val="single" w:sz="8" w:space="0" w:color="auto"/>
              <w:left w:val="nil"/>
              <w:bottom w:val="single" w:sz="8" w:space="0" w:color="auto"/>
              <w:right w:val="single" w:sz="8" w:space="0" w:color="auto"/>
            </w:tcBorders>
            <w:shd w:val="clear" w:color="000000" w:fill="DCE6F1"/>
            <w:vAlign w:val="center"/>
            <w:hideMark/>
          </w:tcPr>
          <w:p w14:paraId="70143529" w14:textId="5450A13A" w:rsidR="00D0253F" w:rsidRPr="0035149B" w:rsidRDefault="00D0253F" w:rsidP="00D0253F">
            <w:pPr>
              <w:jc w:val="center"/>
              <w:rPr>
                <w:rFonts w:eastAsia="Times New Roman" w:cs="Times New Roman"/>
                <w:b/>
                <w:bCs/>
                <w:sz w:val="18"/>
                <w:szCs w:val="18"/>
                <w:lang w:eastAsia="lv-LV"/>
              </w:rPr>
            </w:pPr>
            <w:r>
              <w:rPr>
                <w:b/>
                <w:bCs/>
                <w:sz w:val="18"/>
                <w:szCs w:val="18"/>
              </w:rPr>
              <w:t>x</w:t>
            </w:r>
          </w:p>
        </w:tc>
      </w:tr>
      <w:tr w:rsidR="00D0253F" w:rsidRPr="0035149B" w14:paraId="7FBE70AB" w14:textId="77777777" w:rsidTr="00606897">
        <w:trPr>
          <w:trHeight w:val="1095"/>
        </w:trPr>
        <w:tc>
          <w:tcPr>
            <w:tcW w:w="1752" w:type="dxa"/>
            <w:tcBorders>
              <w:top w:val="nil"/>
              <w:left w:val="single" w:sz="4" w:space="0" w:color="BFBFBF"/>
              <w:bottom w:val="nil"/>
              <w:right w:val="single" w:sz="4" w:space="0" w:color="BFBFBF"/>
            </w:tcBorders>
            <w:shd w:val="clear" w:color="auto" w:fill="auto"/>
            <w:vAlign w:val="center"/>
            <w:hideMark/>
          </w:tcPr>
          <w:p w14:paraId="3CFAB06B" w14:textId="6EAD2D05" w:rsidR="00D0253F" w:rsidRPr="0035149B" w:rsidRDefault="00D0253F" w:rsidP="00D0253F">
            <w:pPr>
              <w:jc w:val="center"/>
              <w:rPr>
                <w:rFonts w:eastAsia="Times New Roman" w:cs="Times New Roman"/>
                <w:sz w:val="18"/>
                <w:szCs w:val="18"/>
                <w:lang w:eastAsia="lv-LV"/>
              </w:rPr>
            </w:pPr>
            <w:r>
              <w:rPr>
                <w:sz w:val="18"/>
                <w:szCs w:val="18"/>
              </w:rPr>
              <w:t>Saskaņā ar MK 2019.gada 8.oktobra sēdē nolemto (prot. Nr.46 28. paragr.)</w:t>
            </w:r>
            <w:r>
              <w:rPr>
                <w:sz w:val="18"/>
                <w:szCs w:val="18"/>
              </w:rPr>
              <w:br/>
            </w:r>
            <w:r>
              <w:rPr>
                <w:b/>
                <w:bCs/>
                <w:sz w:val="18"/>
                <w:szCs w:val="18"/>
              </w:rPr>
              <w:t>Tieslietu ministrija</w:t>
            </w:r>
          </w:p>
        </w:tc>
        <w:tc>
          <w:tcPr>
            <w:tcW w:w="1667" w:type="dxa"/>
            <w:tcBorders>
              <w:top w:val="nil"/>
              <w:left w:val="nil"/>
              <w:bottom w:val="nil"/>
              <w:right w:val="single" w:sz="4" w:space="0" w:color="BFBFBF"/>
            </w:tcBorders>
            <w:shd w:val="clear" w:color="auto" w:fill="auto"/>
            <w:vAlign w:val="center"/>
            <w:hideMark/>
          </w:tcPr>
          <w:p w14:paraId="784ECA3D" w14:textId="04A51307" w:rsidR="00D0253F" w:rsidRPr="0035149B" w:rsidRDefault="00D0253F" w:rsidP="00D0253F">
            <w:pPr>
              <w:jc w:val="center"/>
              <w:rPr>
                <w:rFonts w:eastAsia="Times New Roman" w:cs="Times New Roman"/>
                <w:sz w:val="18"/>
                <w:szCs w:val="18"/>
                <w:lang w:eastAsia="lv-LV"/>
              </w:rPr>
            </w:pPr>
            <w:r>
              <w:rPr>
                <w:sz w:val="18"/>
                <w:szCs w:val="18"/>
              </w:rPr>
              <w:t> </w:t>
            </w:r>
          </w:p>
        </w:tc>
        <w:tc>
          <w:tcPr>
            <w:tcW w:w="2211" w:type="dxa"/>
            <w:tcBorders>
              <w:top w:val="nil"/>
              <w:left w:val="nil"/>
              <w:bottom w:val="nil"/>
              <w:right w:val="single" w:sz="4" w:space="0" w:color="BFBFBF"/>
            </w:tcBorders>
            <w:shd w:val="clear" w:color="auto" w:fill="auto"/>
            <w:vAlign w:val="center"/>
            <w:hideMark/>
          </w:tcPr>
          <w:p w14:paraId="01B19068" w14:textId="4BD7B0E9" w:rsidR="00D0253F" w:rsidRPr="0035149B" w:rsidRDefault="00D0253F" w:rsidP="00D0253F">
            <w:pPr>
              <w:jc w:val="center"/>
              <w:rPr>
                <w:rFonts w:eastAsia="Times New Roman" w:cs="Times New Roman"/>
                <w:sz w:val="18"/>
                <w:szCs w:val="18"/>
                <w:lang w:eastAsia="lv-LV"/>
              </w:rPr>
            </w:pPr>
            <w:r>
              <w:rPr>
                <w:sz w:val="18"/>
                <w:szCs w:val="18"/>
              </w:rPr>
              <w:t> </w:t>
            </w:r>
          </w:p>
        </w:tc>
        <w:tc>
          <w:tcPr>
            <w:tcW w:w="826" w:type="dxa"/>
            <w:tcBorders>
              <w:top w:val="nil"/>
              <w:left w:val="nil"/>
              <w:bottom w:val="nil"/>
              <w:right w:val="single" w:sz="4" w:space="0" w:color="BFBFBF"/>
            </w:tcBorders>
            <w:shd w:val="clear" w:color="auto" w:fill="auto"/>
            <w:vAlign w:val="center"/>
            <w:hideMark/>
          </w:tcPr>
          <w:p w14:paraId="13FD9E35" w14:textId="2CAAAB6B" w:rsidR="00D0253F" w:rsidRPr="0035149B" w:rsidRDefault="00D0253F" w:rsidP="00D0253F">
            <w:pPr>
              <w:jc w:val="center"/>
              <w:rPr>
                <w:rFonts w:eastAsia="Times New Roman" w:cs="Times New Roman"/>
                <w:sz w:val="18"/>
                <w:szCs w:val="18"/>
                <w:lang w:eastAsia="lv-LV"/>
              </w:rPr>
            </w:pPr>
            <w:r>
              <w:rPr>
                <w:sz w:val="18"/>
                <w:szCs w:val="18"/>
              </w:rPr>
              <w:t> </w:t>
            </w:r>
          </w:p>
        </w:tc>
        <w:tc>
          <w:tcPr>
            <w:tcW w:w="887" w:type="dxa"/>
            <w:tcBorders>
              <w:top w:val="nil"/>
              <w:left w:val="nil"/>
              <w:bottom w:val="nil"/>
              <w:right w:val="single" w:sz="4" w:space="0" w:color="BFBFBF"/>
            </w:tcBorders>
            <w:shd w:val="clear" w:color="auto" w:fill="auto"/>
            <w:vAlign w:val="center"/>
            <w:hideMark/>
          </w:tcPr>
          <w:p w14:paraId="03AB021F" w14:textId="2A7EFA5E" w:rsidR="00D0253F" w:rsidRPr="0035149B" w:rsidRDefault="00D0253F" w:rsidP="00D0253F">
            <w:pPr>
              <w:jc w:val="center"/>
              <w:rPr>
                <w:rFonts w:eastAsia="Times New Roman" w:cs="Times New Roman"/>
                <w:sz w:val="18"/>
                <w:szCs w:val="18"/>
                <w:lang w:eastAsia="lv-LV"/>
              </w:rPr>
            </w:pPr>
            <w:r>
              <w:rPr>
                <w:sz w:val="18"/>
                <w:szCs w:val="18"/>
              </w:rPr>
              <w:t> </w:t>
            </w:r>
          </w:p>
        </w:tc>
        <w:tc>
          <w:tcPr>
            <w:tcW w:w="947" w:type="dxa"/>
            <w:tcBorders>
              <w:top w:val="nil"/>
              <w:left w:val="nil"/>
              <w:bottom w:val="nil"/>
              <w:right w:val="single" w:sz="4" w:space="0" w:color="BFBFBF"/>
            </w:tcBorders>
            <w:shd w:val="clear" w:color="auto" w:fill="auto"/>
            <w:vAlign w:val="center"/>
            <w:hideMark/>
          </w:tcPr>
          <w:p w14:paraId="527CFF7B" w14:textId="6457C176" w:rsidR="00D0253F" w:rsidRPr="0035149B" w:rsidRDefault="00D0253F" w:rsidP="00D0253F">
            <w:pPr>
              <w:jc w:val="center"/>
              <w:rPr>
                <w:rFonts w:eastAsia="Times New Roman" w:cs="Times New Roman"/>
                <w:sz w:val="18"/>
                <w:szCs w:val="18"/>
                <w:lang w:eastAsia="lv-LV"/>
              </w:rPr>
            </w:pPr>
            <w:r>
              <w:rPr>
                <w:sz w:val="18"/>
                <w:szCs w:val="18"/>
              </w:rPr>
              <w:t> </w:t>
            </w:r>
          </w:p>
        </w:tc>
        <w:tc>
          <w:tcPr>
            <w:tcW w:w="1111" w:type="dxa"/>
            <w:tcBorders>
              <w:top w:val="nil"/>
              <w:left w:val="nil"/>
              <w:bottom w:val="nil"/>
              <w:right w:val="single" w:sz="4" w:space="0" w:color="BFBFBF"/>
            </w:tcBorders>
            <w:shd w:val="clear" w:color="auto" w:fill="auto"/>
            <w:vAlign w:val="center"/>
            <w:hideMark/>
          </w:tcPr>
          <w:p w14:paraId="2061EF92" w14:textId="15A5B97D" w:rsidR="00D0253F" w:rsidRPr="0035149B" w:rsidRDefault="00D0253F" w:rsidP="00D0253F">
            <w:pPr>
              <w:jc w:val="center"/>
              <w:rPr>
                <w:rFonts w:eastAsia="Times New Roman" w:cs="Times New Roman"/>
                <w:b/>
                <w:bCs/>
                <w:sz w:val="18"/>
                <w:szCs w:val="18"/>
                <w:lang w:eastAsia="lv-LV"/>
              </w:rPr>
            </w:pPr>
            <w:r>
              <w:rPr>
                <w:b/>
                <w:bCs/>
                <w:sz w:val="18"/>
                <w:szCs w:val="18"/>
              </w:rPr>
              <w:t>-1 200 002</w:t>
            </w:r>
          </w:p>
        </w:tc>
        <w:tc>
          <w:tcPr>
            <w:tcW w:w="986" w:type="dxa"/>
            <w:tcBorders>
              <w:top w:val="nil"/>
              <w:left w:val="nil"/>
              <w:bottom w:val="nil"/>
              <w:right w:val="single" w:sz="4" w:space="0" w:color="BFBFBF"/>
            </w:tcBorders>
            <w:shd w:val="clear" w:color="auto" w:fill="auto"/>
            <w:vAlign w:val="center"/>
            <w:hideMark/>
          </w:tcPr>
          <w:p w14:paraId="68307E5E" w14:textId="11C9C049"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1052" w:type="dxa"/>
            <w:tcBorders>
              <w:top w:val="nil"/>
              <w:left w:val="nil"/>
              <w:bottom w:val="nil"/>
              <w:right w:val="single" w:sz="4" w:space="0" w:color="BFBFBF"/>
            </w:tcBorders>
            <w:shd w:val="clear" w:color="auto" w:fill="auto"/>
            <w:vAlign w:val="center"/>
            <w:hideMark/>
          </w:tcPr>
          <w:p w14:paraId="276CBD2F" w14:textId="03E27C20"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1186" w:type="dxa"/>
            <w:tcBorders>
              <w:top w:val="nil"/>
              <w:left w:val="nil"/>
              <w:bottom w:val="nil"/>
              <w:right w:val="single" w:sz="4" w:space="0" w:color="BFBFBF"/>
            </w:tcBorders>
            <w:shd w:val="clear" w:color="auto" w:fill="auto"/>
            <w:vAlign w:val="center"/>
            <w:hideMark/>
          </w:tcPr>
          <w:p w14:paraId="11A2702B" w14:textId="22C095AB" w:rsidR="00D0253F" w:rsidRPr="0035149B" w:rsidRDefault="00D0253F" w:rsidP="00D0253F">
            <w:pPr>
              <w:jc w:val="center"/>
              <w:rPr>
                <w:rFonts w:eastAsia="Times New Roman" w:cs="Times New Roman"/>
                <w:sz w:val="18"/>
                <w:szCs w:val="18"/>
                <w:lang w:eastAsia="lv-LV"/>
              </w:rPr>
            </w:pPr>
            <w:r>
              <w:rPr>
                <w:sz w:val="18"/>
                <w:szCs w:val="18"/>
              </w:rPr>
              <w:t> </w:t>
            </w:r>
          </w:p>
        </w:tc>
        <w:tc>
          <w:tcPr>
            <w:tcW w:w="999" w:type="dxa"/>
            <w:tcBorders>
              <w:top w:val="nil"/>
              <w:left w:val="nil"/>
              <w:bottom w:val="nil"/>
              <w:right w:val="single" w:sz="4" w:space="0" w:color="BFBFBF"/>
            </w:tcBorders>
            <w:shd w:val="clear" w:color="auto" w:fill="auto"/>
            <w:vAlign w:val="center"/>
            <w:hideMark/>
          </w:tcPr>
          <w:p w14:paraId="1FB5EF06" w14:textId="513A83E2" w:rsidR="00D0253F" w:rsidRPr="0035149B" w:rsidRDefault="00D0253F" w:rsidP="00D0253F">
            <w:pPr>
              <w:jc w:val="center"/>
              <w:rPr>
                <w:rFonts w:eastAsia="Times New Roman" w:cs="Times New Roman"/>
                <w:sz w:val="18"/>
                <w:szCs w:val="18"/>
                <w:lang w:eastAsia="lv-LV"/>
              </w:rPr>
            </w:pPr>
            <w:r>
              <w:rPr>
                <w:sz w:val="18"/>
                <w:szCs w:val="18"/>
              </w:rPr>
              <w:t> </w:t>
            </w:r>
          </w:p>
        </w:tc>
        <w:tc>
          <w:tcPr>
            <w:tcW w:w="1296" w:type="dxa"/>
            <w:tcBorders>
              <w:top w:val="nil"/>
              <w:left w:val="nil"/>
              <w:bottom w:val="nil"/>
              <w:right w:val="single" w:sz="4" w:space="0" w:color="BFBFBF"/>
            </w:tcBorders>
            <w:shd w:val="clear" w:color="auto" w:fill="auto"/>
            <w:vAlign w:val="center"/>
            <w:hideMark/>
          </w:tcPr>
          <w:p w14:paraId="219F8502" w14:textId="4CE248DF" w:rsidR="00D0253F" w:rsidRPr="0035149B" w:rsidRDefault="00D0253F" w:rsidP="00D0253F">
            <w:pPr>
              <w:jc w:val="center"/>
              <w:rPr>
                <w:rFonts w:eastAsia="Times New Roman" w:cs="Times New Roman"/>
                <w:sz w:val="18"/>
                <w:szCs w:val="18"/>
                <w:lang w:eastAsia="lv-LV"/>
              </w:rPr>
            </w:pPr>
            <w:r>
              <w:rPr>
                <w:sz w:val="18"/>
                <w:szCs w:val="18"/>
              </w:rPr>
              <w:t>x</w:t>
            </w:r>
          </w:p>
        </w:tc>
      </w:tr>
      <w:tr w:rsidR="00F8655C" w:rsidRPr="0035149B" w14:paraId="7C9986D1" w14:textId="77777777" w:rsidTr="00606897">
        <w:trPr>
          <w:trHeight w:val="600"/>
        </w:trPr>
        <w:tc>
          <w:tcPr>
            <w:tcW w:w="1752" w:type="dxa"/>
            <w:tcBorders>
              <w:top w:val="single" w:sz="8" w:space="0" w:color="auto"/>
              <w:left w:val="single" w:sz="8" w:space="0" w:color="auto"/>
              <w:bottom w:val="single" w:sz="8" w:space="0" w:color="auto"/>
              <w:right w:val="single" w:sz="4" w:space="0" w:color="BFBFBF"/>
            </w:tcBorders>
            <w:shd w:val="clear" w:color="000000" w:fill="EEECE1"/>
            <w:vAlign w:val="center"/>
            <w:hideMark/>
          </w:tcPr>
          <w:p w14:paraId="47F5533F" w14:textId="20126FB3" w:rsidR="00D0253F" w:rsidRPr="0035149B" w:rsidRDefault="00D0253F" w:rsidP="00D0253F">
            <w:pPr>
              <w:rPr>
                <w:rFonts w:eastAsia="Times New Roman" w:cs="Times New Roman"/>
                <w:b/>
                <w:bCs/>
                <w:sz w:val="18"/>
                <w:szCs w:val="18"/>
                <w:lang w:eastAsia="lv-LV"/>
              </w:rPr>
            </w:pPr>
            <w:r>
              <w:rPr>
                <w:b/>
                <w:bCs/>
                <w:sz w:val="18"/>
                <w:szCs w:val="18"/>
              </w:rPr>
              <w:t>Finansējums plāna realizācijai kopā</w:t>
            </w:r>
          </w:p>
        </w:tc>
        <w:tc>
          <w:tcPr>
            <w:tcW w:w="1667" w:type="dxa"/>
            <w:tcBorders>
              <w:top w:val="single" w:sz="8" w:space="0" w:color="auto"/>
              <w:left w:val="nil"/>
              <w:bottom w:val="single" w:sz="8" w:space="0" w:color="auto"/>
              <w:right w:val="single" w:sz="4" w:space="0" w:color="BFBFBF"/>
            </w:tcBorders>
            <w:shd w:val="clear" w:color="000000" w:fill="EEECE1"/>
            <w:vAlign w:val="center"/>
            <w:hideMark/>
          </w:tcPr>
          <w:p w14:paraId="29876CEF" w14:textId="7E53F3F3" w:rsidR="00D0253F" w:rsidRPr="0035149B" w:rsidRDefault="00D0253F" w:rsidP="00D0253F">
            <w:pPr>
              <w:rPr>
                <w:rFonts w:eastAsia="Times New Roman" w:cs="Times New Roman"/>
                <w:sz w:val="18"/>
                <w:szCs w:val="18"/>
                <w:lang w:eastAsia="lv-LV"/>
              </w:rPr>
            </w:pPr>
            <w:r>
              <w:rPr>
                <w:sz w:val="18"/>
                <w:szCs w:val="18"/>
              </w:rPr>
              <w:t> </w:t>
            </w:r>
          </w:p>
        </w:tc>
        <w:tc>
          <w:tcPr>
            <w:tcW w:w="2211" w:type="dxa"/>
            <w:tcBorders>
              <w:top w:val="single" w:sz="8" w:space="0" w:color="auto"/>
              <w:left w:val="nil"/>
              <w:bottom w:val="single" w:sz="8" w:space="0" w:color="auto"/>
              <w:right w:val="single" w:sz="4" w:space="0" w:color="BFBFBF"/>
            </w:tcBorders>
            <w:shd w:val="clear" w:color="000000" w:fill="EEECE1"/>
            <w:vAlign w:val="center"/>
            <w:hideMark/>
          </w:tcPr>
          <w:p w14:paraId="4B6AC685" w14:textId="75C2ADE1" w:rsidR="00D0253F" w:rsidRPr="0035149B" w:rsidRDefault="00D0253F" w:rsidP="00D0253F">
            <w:pPr>
              <w:rPr>
                <w:rFonts w:eastAsia="Times New Roman" w:cs="Times New Roman"/>
                <w:sz w:val="18"/>
                <w:szCs w:val="18"/>
                <w:lang w:eastAsia="lv-LV"/>
              </w:rPr>
            </w:pPr>
            <w:r>
              <w:rPr>
                <w:sz w:val="18"/>
                <w:szCs w:val="18"/>
              </w:rPr>
              <w:t> </w:t>
            </w:r>
          </w:p>
        </w:tc>
        <w:tc>
          <w:tcPr>
            <w:tcW w:w="826" w:type="dxa"/>
            <w:tcBorders>
              <w:top w:val="single" w:sz="8" w:space="0" w:color="auto"/>
              <w:left w:val="nil"/>
              <w:bottom w:val="single" w:sz="8" w:space="0" w:color="auto"/>
              <w:right w:val="single" w:sz="4" w:space="0" w:color="BFBFBF"/>
            </w:tcBorders>
            <w:shd w:val="clear" w:color="000000" w:fill="EEECE1"/>
            <w:vAlign w:val="center"/>
            <w:hideMark/>
          </w:tcPr>
          <w:p w14:paraId="5A4EB0E9" w14:textId="2D4DBAA5" w:rsidR="00D0253F" w:rsidRPr="0035149B" w:rsidRDefault="00D0253F" w:rsidP="00D0253F">
            <w:pPr>
              <w:jc w:val="center"/>
              <w:rPr>
                <w:rFonts w:eastAsia="Times New Roman" w:cs="Times New Roman"/>
                <w:b/>
                <w:bCs/>
                <w:sz w:val="18"/>
                <w:szCs w:val="18"/>
                <w:lang w:eastAsia="lv-LV"/>
              </w:rPr>
            </w:pPr>
            <w:r>
              <w:rPr>
                <w:b/>
                <w:bCs/>
                <w:sz w:val="18"/>
                <w:szCs w:val="18"/>
              </w:rPr>
              <w:t>221 000</w:t>
            </w:r>
          </w:p>
        </w:tc>
        <w:tc>
          <w:tcPr>
            <w:tcW w:w="887" w:type="dxa"/>
            <w:tcBorders>
              <w:top w:val="single" w:sz="8" w:space="0" w:color="auto"/>
              <w:left w:val="nil"/>
              <w:bottom w:val="single" w:sz="8" w:space="0" w:color="auto"/>
              <w:right w:val="single" w:sz="4" w:space="0" w:color="BFBFBF"/>
            </w:tcBorders>
            <w:shd w:val="clear" w:color="000000" w:fill="EEECE1"/>
            <w:vAlign w:val="center"/>
            <w:hideMark/>
          </w:tcPr>
          <w:p w14:paraId="17E5B742" w14:textId="19FE0B09" w:rsidR="00D0253F" w:rsidRPr="0035149B" w:rsidRDefault="00D0253F" w:rsidP="00D0253F">
            <w:pPr>
              <w:jc w:val="center"/>
              <w:rPr>
                <w:rFonts w:eastAsia="Times New Roman" w:cs="Times New Roman"/>
                <w:b/>
                <w:bCs/>
                <w:sz w:val="18"/>
                <w:szCs w:val="18"/>
                <w:lang w:eastAsia="lv-LV"/>
              </w:rPr>
            </w:pPr>
            <w:r>
              <w:rPr>
                <w:b/>
                <w:bCs/>
                <w:sz w:val="18"/>
                <w:szCs w:val="18"/>
              </w:rPr>
              <w:t>249 050</w:t>
            </w:r>
          </w:p>
        </w:tc>
        <w:tc>
          <w:tcPr>
            <w:tcW w:w="947" w:type="dxa"/>
            <w:tcBorders>
              <w:top w:val="single" w:sz="8" w:space="0" w:color="auto"/>
              <w:left w:val="nil"/>
              <w:bottom w:val="single" w:sz="8" w:space="0" w:color="auto"/>
              <w:right w:val="single" w:sz="4" w:space="0" w:color="BFBFBF"/>
            </w:tcBorders>
            <w:shd w:val="clear" w:color="000000" w:fill="EEECE1"/>
            <w:vAlign w:val="center"/>
            <w:hideMark/>
          </w:tcPr>
          <w:p w14:paraId="62B425EF" w14:textId="41FA097F" w:rsidR="00D0253F" w:rsidRPr="0035149B" w:rsidRDefault="00D0253F" w:rsidP="00D0253F">
            <w:pPr>
              <w:jc w:val="center"/>
              <w:rPr>
                <w:rFonts w:eastAsia="Times New Roman" w:cs="Times New Roman"/>
                <w:b/>
                <w:bCs/>
                <w:sz w:val="18"/>
                <w:szCs w:val="18"/>
                <w:lang w:eastAsia="lv-LV"/>
              </w:rPr>
            </w:pPr>
            <w:r>
              <w:rPr>
                <w:b/>
                <w:bCs/>
                <w:sz w:val="18"/>
                <w:szCs w:val="18"/>
              </w:rPr>
              <w:t>249 050</w:t>
            </w:r>
          </w:p>
        </w:tc>
        <w:tc>
          <w:tcPr>
            <w:tcW w:w="1111" w:type="dxa"/>
            <w:tcBorders>
              <w:top w:val="single" w:sz="8" w:space="0" w:color="auto"/>
              <w:left w:val="nil"/>
              <w:bottom w:val="single" w:sz="8" w:space="0" w:color="auto"/>
              <w:right w:val="single" w:sz="4" w:space="0" w:color="BFBFBF"/>
            </w:tcBorders>
            <w:shd w:val="clear" w:color="000000" w:fill="EEECE1"/>
            <w:vAlign w:val="center"/>
            <w:hideMark/>
          </w:tcPr>
          <w:p w14:paraId="34201C30" w14:textId="10B88191" w:rsidR="00D0253F" w:rsidRPr="0035149B" w:rsidRDefault="00D0253F" w:rsidP="00D0253F">
            <w:pPr>
              <w:jc w:val="center"/>
              <w:rPr>
                <w:rFonts w:eastAsia="Times New Roman" w:cs="Times New Roman"/>
                <w:b/>
                <w:bCs/>
                <w:sz w:val="18"/>
                <w:szCs w:val="18"/>
                <w:lang w:eastAsia="lv-LV"/>
              </w:rPr>
            </w:pPr>
            <w:r>
              <w:rPr>
                <w:b/>
                <w:bCs/>
                <w:sz w:val="18"/>
                <w:szCs w:val="18"/>
              </w:rPr>
              <w:t>4 528 315</w:t>
            </w:r>
          </w:p>
        </w:tc>
        <w:tc>
          <w:tcPr>
            <w:tcW w:w="986" w:type="dxa"/>
            <w:tcBorders>
              <w:top w:val="single" w:sz="8" w:space="0" w:color="auto"/>
              <w:left w:val="nil"/>
              <w:bottom w:val="single" w:sz="8" w:space="0" w:color="auto"/>
              <w:right w:val="single" w:sz="4" w:space="0" w:color="BFBFBF"/>
            </w:tcBorders>
            <w:shd w:val="clear" w:color="000000" w:fill="EEECE1"/>
            <w:vAlign w:val="center"/>
            <w:hideMark/>
          </w:tcPr>
          <w:p w14:paraId="4EE63986" w14:textId="114F41A4" w:rsidR="00D0253F" w:rsidRPr="0035149B" w:rsidRDefault="00D0253F" w:rsidP="00D0253F">
            <w:pPr>
              <w:jc w:val="center"/>
              <w:rPr>
                <w:rFonts w:eastAsia="Times New Roman" w:cs="Times New Roman"/>
                <w:b/>
                <w:bCs/>
                <w:sz w:val="18"/>
                <w:szCs w:val="18"/>
                <w:lang w:eastAsia="lv-LV"/>
              </w:rPr>
            </w:pPr>
            <w:r>
              <w:rPr>
                <w:b/>
                <w:bCs/>
                <w:sz w:val="18"/>
                <w:szCs w:val="18"/>
              </w:rPr>
              <w:t>6 351 006</w:t>
            </w:r>
          </w:p>
        </w:tc>
        <w:tc>
          <w:tcPr>
            <w:tcW w:w="1052" w:type="dxa"/>
            <w:tcBorders>
              <w:top w:val="single" w:sz="8" w:space="0" w:color="auto"/>
              <w:left w:val="nil"/>
              <w:bottom w:val="single" w:sz="8" w:space="0" w:color="auto"/>
              <w:right w:val="single" w:sz="4" w:space="0" w:color="BFBFBF"/>
            </w:tcBorders>
            <w:shd w:val="clear" w:color="000000" w:fill="EEECE1"/>
            <w:vAlign w:val="center"/>
            <w:hideMark/>
          </w:tcPr>
          <w:p w14:paraId="7139AC95" w14:textId="2895D944" w:rsidR="00D0253F" w:rsidRPr="0035149B" w:rsidRDefault="00D0253F" w:rsidP="00D0253F">
            <w:pPr>
              <w:jc w:val="center"/>
              <w:rPr>
                <w:rFonts w:eastAsia="Times New Roman" w:cs="Times New Roman"/>
                <w:b/>
                <w:bCs/>
                <w:sz w:val="18"/>
                <w:szCs w:val="18"/>
                <w:lang w:eastAsia="lv-LV"/>
              </w:rPr>
            </w:pPr>
            <w:r>
              <w:rPr>
                <w:b/>
                <w:bCs/>
                <w:sz w:val="18"/>
                <w:szCs w:val="18"/>
              </w:rPr>
              <w:t>7 232 661</w:t>
            </w:r>
          </w:p>
        </w:tc>
        <w:tc>
          <w:tcPr>
            <w:tcW w:w="1186" w:type="dxa"/>
            <w:tcBorders>
              <w:top w:val="single" w:sz="8" w:space="0" w:color="auto"/>
              <w:left w:val="nil"/>
              <w:bottom w:val="single" w:sz="8" w:space="0" w:color="auto"/>
              <w:right w:val="single" w:sz="4" w:space="0" w:color="BFBFBF"/>
            </w:tcBorders>
            <w:shd w:val="clear" w:color="000000" w:fill="EEECE1"/>
            <w:vAlign w:val="center"/>
            <w:hideMark/>
          </w:tcPr>
          <w:p w14:paraId="4C9EC757" w14:textId="17BCD162" w:rsidR="00D0253F" w:rsidRPr="0035149B" w:rsidRDefault="00D0253F" w:rsidP="00D0253F">
            <w:pPr>
              <w:jc w:val="center"/>
              <w:rPr>
                <w:rFonts w:eastAsia="Times New Roman" w:cs="Times New Roman"/>
                <w:b/>
                <w:bCs/>
                <w:sz w:val="18"/>
                <w:szCs w:val="18"/>
                <w:lang w:eastAsia="lv-LV"/>
              </w:rPr>
            </w:pPr>
            <w:r>
              <w:rPr>
                <w:b/>
                <w:bCs/>
                <w:sz w:val="18"/>
                <w:szCs w:val="18"/>
              </w:rPr>
              <w:t>0</w:t>
            </w:r>
          </w:p>
        </w:tc>
        <w:tc>
          <w:tcPr>
            <w:tcW w:w="999" w:type="dxa"/>
            <w:tcBorders>
              <w:top w:val="single" w:sz="8" w:space="0" w:color="auto"/>
              <w:left w:val="nil"/>
              <w:bottom w:val="single" w:sz="8" w:space="0" w:color="auto"/>
              <w:right w:val="single" w:sz="4" w:space="0" w:color="BFBFBF"/>
            </w:tcBorders>
            <w:shd w:val="clear" w:color="000000" w:fill="EEECE1"/>
            <w:vAlign w:val="center"/>
            <w:hideMark/>
          </w:tcPr>
          <w:p w14:paraId="02522E26" w14:textId="41B9619C" w:rsidR="00D0253F" w:rsidRPr="0035149B" w:rsidRDefault="00D0253F" w:rsidP="00D0253F">
            <w:pPr>
              <w:jc w:val="center"/>
              <w:rPr>
                <w:rFonts w:eastAsia="Times New Roman" w:cs="Times New Roman"/>
                <w:b/>
                <w:bCs/>
                <w:sz w:val="18"/>
                <w:szCs w:val="18"/>
                <w:lang w:eastAsia="lv-LV"/>
              </w:rPr>
            </w:pPr>
            <w:r>
              <w:rPr>
                <w:b/>
                <w:bCs/>
                <w:sz w:val="18"/>
                <w:szCs w:val="18"/>
              </w:rPr>
              <w:t>5 547 020</w:t>
            </w:r>
          </w:p>
        </w:tc>
        <w:tc>
          <w:tcPr>
            <w:tcW w:w="1296" w:type="dxa"/>
            <w:tcBorders>
              <w:top w:val="single" w:sz="8" w:space="0" w:color="auto"/>
              <w:left w:val="nil"/>
              <w:bottom w:val="single" w:sz="8" w:space="0" w:color="auto"/>
              <w:right w:val="single" w:sz="8" w:space="0" w:color="auto"/>
            </w:tcBorders>
            <w:shd w:val="clear" w:color="000000" w:fill="EEECE1"/>
            <w:vAlign w:val="center"/>
            <w:hideMark/>
          </w:tcPr>
          <w:p w14:paraId="25C11D9B" w14:textId="7FE282AC" w:rsidR="00D0253F" w:rsidRPr="0035149B" w:rsidRDefault="00D0253F" w:rsidP="00D0253F">
            <w:pPr>
              <w:jc w:val="center"/>
              <w:rPr>
                <w:rFonts w:eastAsia="Times New Roman" w:cs="Times New Roman"/>
                <w:b/>
                <w:bCs/>
                <w:sz w:val="18"/>
                <w:szCs w:val="18"/>
                <w:lang w:eastAsia="lv-LV"/>
              </w:rPr>
            </w:pPr>
            <w:r>
              <w:rPr>
                <w:b/>
                <w:bCs/>
                <w:sz w:val="18"/>
                <w:szCs w:val="18"/>
              </w:rPr>
              <w:t>x</w:t>
            </w:r>
          </w:p>
        </w:tc>
      </w:tr>
      <w:tr w:rsidR="00D0253F" w:rsidRPr="0035149B" w14:paraId="3561123B" w14:textId="77777777" w:rsidTr="00606897">
        <w:trPr>
          <w:trHeight w:val="57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8D60A05" w14:textId="2FBBFAFE" w:rsidR="00D0253F" w:rsidRPr="0035149B" w:rsidRDefault="00D0253F" w:rsidP="00D0253F">
            <w:pPr>
              <w:rPr>
                <w:rFonts w:eastAsia="Times New Roman" w:cs="Times New Roman"/>
                <w:b/>
                <w:bCs/>
                <w:sz w:val="18"/>
                <w:szCs w:val="18"/>
                <w:lang w:eastAsia="lv-LV"/>
              </w:rPr>
            </w:pPr>
            <w:r>
              <w:rPr>
                <w:b/>
                <w:bCs/>
                <w:sz w:val="18"/>
                <w:szCs w:val="18"/>
              </w:rPr>
              <w:t>Iekšlietu ministrija</w:t>
            </w:r>
          </w:p>
        </w:tc>
        <w:tc>
          <w:tcPr>
            <w:tcW w:w="1667" w:type="dxa"/>
            <w:tcBorders>
              <w:top w:val="nil"/>
              <w:left w:val="nil"/>
              <w:bottom w:val="single" w:sz="4" w:space="0" w:color="BFBFBF"/>
              <w:right w:val="single" w:sz="4" w:space="0" w:color="BFBFBF"/>
            </w:tcBorders>
            <w:shd w:val="clear" w:color="000000" w:fill="FFFFFF"/>
            <w:vAlign w:val="center"/>
            <w:hideMark/>
          </w:tcPr>
          <w:p w14:paraId="364B32AA" w14:textId="5998BB83" w:rsidR="00D0253F" w:rsidRPr="0035149B" w:rsidRDefault="00D0253F" w:rsidP="00D0253F">
            <w:pPr>
              <w:rPr>
                <w:rFonts w:eastAsia="Times New Roman" w:cs="Times New Roman"/>
                <w:b/>
                <w:bCs/>
                <w:color w:val="FF0000"/>
                <w:sz w:val="18"/>
                <w:szCs w:val="18"/>
                <w:lang w:eastAsia="lv-LV"/>
              </w:rPr>
            </w:pPr>
            <w:r>
              <w:rPr>
                <w:sz w:val="18"/>
                <w:szCs w:val="18"/>
              </w:rPr>
              <w:t> </w:t>
            </w:r>
          </w:p>
        </w:tc>
        <w:tc>
          <w:tcPr>
            <w:tcW w:w="2211" w:type="dxa"/>
            <w:tcBorders>
              <w:top w:val="nil"/>
              <w:left w:val="nil"/>
              <w:bottom w:val="single" w:sz="4" w:space="0" w:color="BFBFBF"/>
              <w:right w:val="single" w:sz="4" w:space="0" w:color="BFBFBF"/>
            </w:tcBorders>
            <w:shd w:val="clear" w:color="000000" w:fill="FFFFFF"/>
            <w:vAlign w:val="center"/>
            <w:hideMark/>
          </w:tcPr>
          <w:p w14:paraId="7DE37D38" w14:textId="6A115984" w:rsidR="00D0253F" w:rsidRPr="0035149B" w:rsidRDefault="00D0253F" w:rsidP="00D0253F">
            <w:pPr>
              <w:rPr>
                <w:rFonts w:eastAsia="Times New Roman" w:cs="Times New Roman"/>
                <w:sz w:val="18"/>
                <w:szCs w:val="18"/>
                <w:lang w:eastAsia="lv-LV"/>
              </w:rPr>
            </w:pPr>
            <w:r>
              <w:rPr>
                <w:sz w:val="18"/>
                <w:szCs w:val="18"/>
              </w:rPr>
              <w:t>02.03.00 “Vienotās sakaru un informācijas sistēmas uzturēšana un vadība”</w:t>
            </w:r>
          </w:p>
        </w:tc>
        <w:tc>
          <w:tcPr>
            <w:tcW w:w="826" w:type="dxa"/>
            <w:tcBorders>
              <w:top w:val="nil"/>
              <w:left w:val="nil"/>
              <w:bottom w:val="single" w:sz="4" w:space="0" w:color="BFBFBF"/>
              <w:right w:val="single" w:sz="4" w:space="0" w:color="BFBFBF"/>
            </w:tcBorders>
            <w:shd w:val="clear" w:color="000000" w:fill="FFFFFF"/>
            <w:vAlign w:val="center"/>
            <w:hideMark/>
          </w:tcPr>
          <w:p w14:paraId="1B47C8E7" w14:textId="473BF8A4" w:rsidR="00D0253F" w:rsidRPr="0035149B" w:rsidRDefault="00D0253F" w:rsidP="00D0253F">
            <w:pPr>
              <w:jc w:val="center"/>
              <w:rPr>
                <w:rFonts w:eastAsia="Times New Roman" w:cs="Times New Roman"/>
                <w:sz w:val="18"/>
                <w:szCs w:val="18"/>
                <w:lang w:eastAsia="lv-LV"/>
              </w:rPr>
            </w:pPr>
            <w:r>
              <w:rPr>
                <w:b/>
                <w:bCs/>
                <w:sz w:val="18"/>
                <w:szCs w:val="18"/>
              </w:rPr>
              <w:t> </w:t>
            </w:r>
          </w:p>
        </w:tc>
        <w:tc>
          <w:tcPr>
            <w:tcW w:w="887" w:type="dxa"/>
            <w:tcBorders>
              <w:top w:val="nil"/>
              <w:left w:val="nil"/>
              <w:bottom w:val="single" w:sz="4" w:space="0" w:color="BFBFBF"/>
              <w:right w:val="single" w:sz="4" w:space="0" w:color="BFBFBF"/>
            </w:tcBorders>
            <w:shd w:val="clear" w:color="000000" w:fill="FFFFFF"/>
            <w:vAlign w:val="center"/>
            <w:hideMark/>
          </w:tcPr>
          <w:p w14:paraId="2BF30DA0" w14:textId="62BE8651" w:rsidR="00D0253F" w:rsidRPr="0035149B" w:rsidRDefault="00D0253F" w:rsidP="00D0253F">
            <w:pPr>
              <w:jc w:val="center"/>
              <w:rPr>
                <w:rFonts w:eastAsia="Times New Roman" w:cs="Times New Roman"/>
                <w:sz w:val="18"/>
                <w:szCs w:val="18"/>
                <w:lang w:eastAsia="lv-LV"/>
              </w:rPr>
            </w:pPr>
            <w:r>
              <w:rPr>
                <w:b/>
                <w:bCs/>
                <w:sz w:val="18"/>
                <w:szCs w:val="18"/>
              </w:rPr>
              <w:t> </w:t>
            </w:r>
          </w:p>
        </w:tc>
        <w:tc>
          <w:tcPr>
            <w:tcW w:w="947" w:type="dxa"/>
            <w:tcBorders>
              <w:top w:val="nil"/>
              <w:left w:val="nil"/>
              <w:bottom w:val="single" w:sz="4" w:space="0" w:color="BFBFBF"/>
              <w:right w:val="single" w:sz="4" w:space="0" w:color="BFBFBF"/>
            </w:tcBorders>
            <w:shd w:val="clear" w:color="000000" w:fill="FFFFFF"/>
            <w:vAlign w:val="center"/>
            <w:hideMark/>
          </w:tcPr>
          <w:p w14:paraId="265E8672" w14:textId="4233A9FE" w:rsidR="00D0253F" w:rsidRPr="0035149B" w:rsidRDefault="00D0253F" w:rsidP="00D0253F">
            <w:pPr>
              <w:jc w:val="center"/>
              <w:rPr>
                <w:rFonts w:eastAsia="Times New Roman" w:cs="Times New Roman"/>
                <w:sz w:val="18"/>
                <w:szCs w:val="18"/>
                <w:lang w:eastAsia="lv-LV"/>
              </w:rPr>
            </w:pPr>
            <w:r>
              <w:rPr>
                <w:b/>
                <w:bCs/>
                <w:sz w:val="18"/>
                <w:szCs w:val="18"/>
              </w:rPr>
              <w:t> </w:t>
            </w:r>
          </w:p>
        </w:tc>
        <w:tc>
          <w:tcPr>
            <w:tcW w:w="1111" w:type="dxa"/>
            <w:tcBorders>
              <w:top w:val="nil"/>
              <w:left w:val="nil"/>
              <w:bottom w:val="single" w:sz="4" w:space="0" w:color="BFBFBF"/>
              <w:right w:val="single" w:sz="4" w:space="0" w:color="BFBFBF"/>
            </w:tcBorders>
            <w:shd w:val="clear" w:color="000000" w:fill="FFFFFF"/>
            <w:vAlign w:val="center"/>
            <w:hideMark/>
          </w:tcPr>
          <w:p w14:paraId="13589CA8" w14:textId="36A40E8C" w:rsidR="00D0253F" w:rsidRPr="0035149B" w:rsidRDefault="00D0253F" w:rsidP="00D0253F">
            <w:pPr>
              <w:jc w:val="center"/>
              <w:rPr>
                <w:rFonts w:eastAsia="Times New Roman" w:cs="Times New Roman"/>
                <w:sz w:val="18"/>
                <w:szCs w:val="18"/>
                <w:lang w:eastAsia="lv-LV"/>
              </w:rPr>
            </w:pPr>
            <w:r>
              <w:rPr>
                <w:sz w:val="18"/>
                <w:szCs w:val="18"/>
              </w:rPr>
              <w:t>0</w:t>
            </w:r>
          </w:p>
        </w:tc>
        <w:tc>
          <w:tcPr>
            <w:tcW w:w="986" w:type="dxa"/>
            <w:tcBorders>
              <w:top w:val="nil"/>
              <w:left w:val="nil"/>
              <w:bottom w:val="single" w:sz="4" w:space="0" w:color="BFBFBF"/>
              <w:right w:val="single" w:sz="4" w:space="0" w:color="BFBFBF"/>
            </w:tcBorders>
            <w:shd w:val="clear" w:color="000000" w:fill="FFFFFF"/>
            <w:vAlign w:val="center"/>
            <w:hideMark/>
          </w:tcPr>
          <w:p w14:paraId="497E9952" w14:textId="4ECED26C" w:rsidR="00D0253F" w:rsidRPr="0035149B" w:rsidRDefault="00D0253F" w:rsidP="00D0253F">
            <w:pPr>
              <w:jc w:val="center"/>
              <w:rPr>
                <w:rFonts w:eastAsia="Times New Roman" w:cs="Times New Roman"/>
                <w:sz w:val="18"/>
                <w:szCs w:val="18"/>
                <w:lang w:eastAsia="lv-LV"/>
              </w:rPr>
            </w:pPr>
            <w:r>
              <w:rPr>
                <w:sz w:val="18"/>
                <w:szCs w:val="18"/>
              </w:rPr>
              <w:t>28 520</w:t>
            </w:r>
          </w:p>
        </w:tc>
        <w:tc>
          <w:tcPr>
            <w:tcW w:w="1052" w:type="dxa"/>
            <w:tcBorders>
              <w:top w:val="nil"/>
              <w:left w:val="nil"/>
              <w:bottom w:val="single" w:sz="4" w:space="0" w:color="BFBFBF"/>
              <w:right w:val="single" w:sz="4" w:space="0" w:color="BFBFBF"/>
            </w:tcBorders>
            <w:shd w:val="clear" w:color="000000" w:fill="FFFFFF"/>
            <w:vAlign w:val="center"/>
            <w:hideMark/>
          </w:tcPr>
          <w:p w14:paraId="18CCB2C9" w14:textId="6F6B5099" w:rsidR="00D0253F" w:rsidRPr="0035149B" w:rsidRDefault="00D0253F" w:rsidP="00D0253F">
            <w:pPr>
              <w:jc w:val="center"/>
              <w:rPr>
                <w:rFonts w:eastAsia="Times New Roman" w:cs="Times New Roman"/>
                <w:sz w:val="18"/>
                <w:szCs w:val="18"/>
                <w:lang w:eastAsia="lv-LV"/>
              </w:rPr>
            </w:pPr>
            <w:r>
              <w:rPr>
                <w:sz w:val="18"/>
                <w:szCs w:val="18"/>
              </w:rPr>
              <w:t>0</w:t>
            </w:r>
          </w:p>
        </w:tc>
        <w:tc>
          <w:tcPr>
            <w:tcW w:w="1186" w:type="dxa"/>
            <w:tcBorders>
              <w:top w:val="nil"/>
              <w:left w:val="nil"/>
              <w:bottom w:val="single" w:sz="4" w:space="0" w:color="BFBFBF"/>
              <w:right w:val="single" w:sz="4" w:space="0" w:color="BFBFBF"/>
            </w:tcBorders>
            <w:shd w:val="clear" w:color="000000" w:fill="FFFFFF"/>
            <w:vAlign w:val="center"/>
            <w:hideMark/>
          </w:tcPr>
          <w:p w14:paraId="7FF3943E" w14:textId="02FFF5D9"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nil"/>
              <w:left w:val="nil"/>
              <w:bottom w:val="single" w:sz="4" w:space="0" w:color="BFBFBF"/>
              <w:right w:val="single" w:sz="4" w:space="0" w:color="BFBFBF"/>
            </w:tcBorders>
            <w:shd w:val="clear" w:color="000000" w:fill="FFFFFF"/>
            <w:vAlign w:val="center"/>
            <w:hideMark/>
          </w:tcPr>
          <w:p w14:paraId="3E8B1CD0" w14:textId="3087277A" w:rsidR="00D0253F" w:rsidRPr="0035149B" w:rsidRDefault="00D0253F" w:rsidP="00D0253F">
            <w:pPr>
              <w:jc w:val="center"/>
              <w:rPr>
                <w:rFonts w:eastAsia="Times New Roman" w:cs="Times New Roman"/>
                <w:sz w:val="18"/>
                <w:szCs w:val="18"/>
                <w:lang w:eastAsia="lv-LV"/>
              </w:rPr>
            </w:pPr>
            <w:r>
              <w:rPr>
                <w:sz w:val="18"/>
                <w:szCs w:val="18"/>
              </w:rPr>
              <w:t>0</w:t>
            </w:r>
          </w:p>
        </w:tc>
        <w:tc>
          <w:tcPr>
            <w:tcW w:w="1296" w:type="dxa"/>
            <w:tcBorders>
              <w:top w:val="nil"/>
              <w:left w:val="nil"/>
              <w:bottom w:val="single" w:sz="4" w:space="0" w:color="BFBFBF"/>
              <w:right w:val="single" w:sz="4" w:space="0" w:color="BFBFBF"/>
            </w:tcBorders>
            <w:shd w:val="clear" w:color="000000" w:fill="FFFFFF"/>
            <w:vAlign w:val="center"/>
            <w:hideMark/>
          </w:tcPr>
          <w:p w14:paraId="79DD2F00" w14:textId="4C023C27" w:rsidR="00D0253F" w:rsidRPr="0035149B" w:rsidRDefault="00D0253F" w:rsidP="00D0253F">
            <w:pPr>
              <w:jc w:val="center"/>
              <w:rPr>
                <w:rFonts w:eastAsia="Times New Roman" w:cs="Times New Roman"/>
                <w:sz w:val="18"/>
                <w:szCs w:val="18"/>
                <w:lang w:eastAsia="lv-LV"/>
              </w:rPr>
            </w:pPr>
            <w:r>
              <w:rPr>
                <w:sz w:val="18"/>
                <w:szCs w:val="18"/>
              </w:rPr>
              <w:t>x</w:t>
            </w:r>
          </w:p>
        </w:tc>
      </w:tr>
      <w:tr w:rsidR="00D0253F" w:rsidRPr="0035149B" w14:paraId="177B48FD" w14:textId="77777777" w:rsidTr="00606897">
        <w:trPr>
          <w:trHeight w:val="76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68052564" w14:textId="0CCA83EE" w:rsidR="00D0253F" w:rsidRPr="0035149B" w:rsidRDefault="00D0253F" w:rsidP="00D0253F">
            <w:pPr>
              <w:rPr>
                <w:rFonts w:eastAsia="Times New Roman" w:cs="Times New Roman"/>
                <w:b/>
                <w:bCs/>
                <w:sz w:val="18"/>
                <w:szCs w:val="18"/>
                <w:lang w:eastAsia="lv-LV"/>
              </w:rPr>
            </w:pPr>
            <w:r>
              <w:rPr>
                <w:b/>
                <w:bCs/>
                <w:sz w:val="18"/>
                <w:szCs w:val="18"/>
              </w:rPr>
              <w:lastRenderedPageBreak/>
              <w:t>Iekšlietu ministrija</w:t>
            </w:r>
          </w:p>
        </w:tc>
        <w:tc>
          <w:tcPr>
            <w:tcW w:w="1667" w:type="dxa"/>
            <w:tcBorders>
              <w:top w:val="nil"/>
              <w:left w:val="nil"/>
              <w:bottom w:val="single" w:sz="4" w:space="0" w:color="BFBFBF"/>
              <w:right w:val="single" w:sz="4" w:space="0" w:color="BFBFBF"/>
            </w:tcBorders>
            <w:shd w:val="clear" w:color="000000" w:fill="FFFFFF"/>
            <w:vAlign w:val="center"/>
            <w:hideMark/>
          </w:tcPr>
          <w:p w14:paraId="287863DE" w14:textId="5033FA2E" w:rsidR="00D0253F" w:rsidRPr="0035149B" w:rsidRDefault="00D0253F" w:rsidP="00D0253F">
            <w:pPr>
              <w:rPr>
                <w:rFonts w:eastAsia="Times New Roman" w:cs="Times New Roman"/>
                <w:b/>
                <w:bCs/>
                <w:color w:val="FF0000"/>
                <w:sz w:val="18"/>
                <w:szCs w:val="18"/>
                <w:lang w:eastAsia="lv-LV"/>
              </w:rPr>
            </w:pPr>
            <w:r>
              <w:rPr>
                <w:sz w:val="18"/>
                <w:szCs w:val="18"/>
              </w:rPr>
              <w:t> </w:t>
            </w:r>
          </w:p>
        </w:tc>
        <w:tc>
          <w:tcPr>
            <w:tcW w:w="2211" w:type="dxa"/>
            <w:tcBorders>
              <w:top w:val="nil"/>
              <w:left w:val="nil"/>
              <w:bottom w:val="single" w:sz="4" w:space="0" w:color="BFBFBF"/>
              <w:right w:val="single" w:sz="4" w:space="0" w:color="BFBFBF"/>
            </w:tcBorders>
            <w:shd w:val="clear" w:color="000000" w:fill="FFFFFF"/>
            <w:vAlign w:val="center"/>
            <w:hideMark/>
          </w:tcPr>
          <w:p w14:paraId="2D9BFCC3" w14:textId="7511A3CE" w:rsidR="00D0253F" w:rsidRPr="0035149B" w:rsidRDefault="00D0253F" w:rsidP="00D0253F">
            <w:pPr>
              <w:rPr>
                <w:rFonts w:eastAsia="Times New Roman" w:cs="Times New Roman"/>
                <w:sz w:val="18"/>
                <w:szCs w:val="18"/>
                <w:lang w:eastAsia="lv-LV"/>
              </w:rPr>
            </w:pPr>
            <w:r>
              <w:rPr>
                <w:sz w:val="18"/>
                <w:szCs w:val="18"/>
              </w:rPr>
              <w:t>06.01.01 “Valsts policija”</w:t>
            </w:r>
          </w:p>
        </w:tc>
        <w:tc>
          <w:tcPr>
            <w:tcW w:w="826" w:type="dxa"/>
            <w:tcBorders>
              <w:top w:val="nil"/>
              <w:left w:val="nil"/>
              <w:bottom w:val="single" w:sz="4" w:space="0" w:color="BFBFBF"/>
              <w:right w:val="single" w:sz="4" w:space="0" w:color="BFBFBF"/>
            </w:tcBorders>
            <w:shd w:val="clear" w:color="000000" w:fill="FFFFFF"/>
            <w:vAlign w:val="center"/>
          </w:tcPr>
          <w:p w14:paraId="543C98C2" w14:textId="4223D27C" w:rsidR="00D0253F" w:rsidRPr="0035149B" w:rsidRDefault="00D0253F" w:rsidP="00D0253F">
            <w:pPr>
              <w:jc w:val="center"/>
              <w:rPr>
                <w:rFonts w:eastAsia="Times New Roman" w:cs="Times New Roman"/>
                <w:sz w:val="18"/>
                <w:szCs w:val="18"/>
                <w:lang w:eastAsia="lv-LV"/>
              </w:rPr>
            </w:pPr>
            <w:r>
              <w:rPr>
                <w:b/>
                <w:bCs/>
                <w:sz w:val="18"/>
                <w:szCs w:val="18"/>
              </w:rPr>
              <w:t> </w:t>
            </w:r>
          </w:p>
        </w:tc>
        <w:tc>
          <w:tcPr>
            <w:tcW w:w="887" w:type="dxa"/>
            <w:tcBorders>
              <w:top w:val="nil"/>
              <w:left w:val="nil"/>
              <w:bottom w:val="single" w:sz="4" w:space="0" w:color="BFBFBF"/>
              <w:right w:val="single" w:sz="4" w:space="0" w:color="BFBFBF"/>
            </w:tcBorders>
            <w:shd w:val="clear" w:color="000000" w:fill="FFFFFF"/>
            <w:vAlign w:val="center"/>
          </w:tcPr>
          <w:p w14:paraId="33BD351A" w14:textId="734EC5C5" w:rsidR="00D0253F" w:rsidRPr="0035149B" w:rsidRDefault="00D0253F" w:rsidP="00D0253F">
            <w:pPr>
              <w:jc w:val="center"/>
              <w:rPr>
                <w:rFonts w:eastAsia="Times New Roman" w:cs="Times New Roman"/>
                <w:sz w:val="18"/>
                <w:szCs w:val="18"/>
                <w:lang w:eastAsia="lv-LV"/>
              </w:rPr>
            </w:pPr>
            <w:r>
              <w:rPr>
                <w:b/>
                <w:bCs/>
                <w:sz w:val="18"/>
                <w:szCs w:val="18"/>
              </w:rPr>
              <w:t> </w:t>
            </w:r>
          </w:p>
        </w:tc>
        <w:tc>
          <w:tcPr>
            <w:tcW w:w="947" w:type="dxa"/>
            <w:tcBorders>
              <w:top w:val="nil"/>
              <w:left w:val="nil"/>
              <w:bottom w:val="single" w:sz="4" w:space="0" w:color="BFBFBF"/>
              <w:right w:val="single" w:sz="4" w:space="0" w:color="BFBFBF"/>
            </w:tcBorders>
            <w:shd w:val="clear" w:color="000000" w:fill="FFFFFF"/>
            <w:vAlign w:val="center"/>
          </w:tcPr>
          <w:p w14:paraId="7CAAEC20" w14:textId="300617E5" w:rsidR="00D0253F" w:rsidRPr="0035149B" w:rsidRDefault="00D0253F" w:rsidP="00D0253F">
            <w:pPr>
              <w:jc w:val="center"/>
              <w:rPr>
                <w:rFonts w:eastAsia="Times New Roman" w:cs="Times New Roman"/>
                <w:sz w:val="18"/>
                <w:szCs w:val="18"/>
                <w:lang w:eastAsia="lv-LV"/>
              </w:rPr>
            </w:pPr>
            <w:r>
              <w:rPr>
                <w:b/>
                <w:bCs/>
                <w:sz w:val="18"/>
                <w:szCs w:val="18"/>
              </w:rPr>
              <w:t> </w:t>
            </w:r>
          </w:p>
        </w:tc>
        <w:tc>
          <w:tcPr>
            <w:tcW w:w="1111" w:type="dxa"/>
            <w:tcBorders>
              <w:top w:val="nil"/>
              <w:left w:val="nil"/>
              <w:bottom w:val="single" w:sz="4" w:space="0" w:color="BFBFBF"/>
              <w:right w:val="single" w:sz="4" w:space="0" w:color="BFBFBF"/>
            </w:tcBorders>
            <w:shd w:val="clear" w:color="000000" w:fill="FFFFFF"/>
            <w:vAlign w:val="center"/>
            <w:hideMark/>
          </w:tcPr>
          <w:p w14:paraId="443184FB" w14:textId="40C601A8" w:rsidR="00D0253F" w:rsidRPr="0035149B" w:rsidRDefault="00D0253F" w:rsidP="00D0253F">
            <w:pPr>
              <w:jc w:val="center"/>
              <w:rPr>
                <w:rFonts w:eastAsia="Times New Roman" w:cs="Times New Roman"/>
                <w:sz w:val="18"/>
                <w:szCs w:val="18"/>
                <w:lang w:eastAsia="lv-LV"/>
              </w:rPr>
            </w:pPr>
            <w:r>
              <w:rPr>
                <w:sz w:val="18"/>
                <w:szCs w:val="18"/>
              </w:rPr>
              <w:t>0</w:t>
            </w:r>
          </w:p>
        </w:tc>
        <w:tc>
          <w:tcPr>
            <w:tcW w:w="986" w:type="dxa"/>
            <w:tcBorders>
              <w:top w:val="nil"/>
              <w:left w:val="nil"/>
              <w:bottom w:val="single" w:sz="4" w:space="0" w:color="BFBFBF"/>
              <w:right w:val="single" w:sz="4" w:space="0" w:color="BFBFBF"/>
            </w:tcBorders>
            <w:shd w:val="clear" w:color="000000" w:fill="FFFFFF"/>
            <w:vAlign w:val="center"/>
            <w:hideMark/>
          </w:tcPr>
          <w:p w14:paraId="3AC766AD" w14:textId="073A728F" w:rsidR="00D0253F" w:rsidRPr="0035149B" w:rsidRDefault="00D0253F" w:rsidP="00D0253F">
            <w:pPr>
              <w:jc w:val="center"/>
              <w:rPr>
                <w:rFonts w:eastAsia="Times New Roman" w:cs="Times New Roman"/>
                <w:sz w:val="18"/>
                <w:szCs w:val="18"/>
                <w:lang w:eastAsia="lv-LV"/>
              </w:rPr>
            </w:pPr>
            <w:r>
              <w:rPr>
                <w:sz w:val="18"/>
                <w:szCs w:val="18"/>
              </w:rPr>
              <w:t>961 192</w:t>
            </w:r>
          </w:p>
        </w:tc>
        <w:tc>
          <w:tcPr>
            <w:tcW w:w="1052" w:type="dxa"/>
            <w:tcBorders>
              <w:top w:val="nil"/>
              <w:left w:val="nil"/>
              <w:bottom w:val="single" w:sz="4" w:space="0" w:color="BFBFBF"/>
              <w:right w:val="single" w:sz="4" w:space="0" w:color="BFBFBF"/>
            </w:tcBorders>
            <w:shd w:val="clear" w:color="000000" w:fill="FFFFFF"/>
            <w:vAlign w:val="center"/>
            <w:hideMark/>
          </w:tcPr>
          <w:p w14:paraId="0EBADE5B" w14:textId="68499A55" w:rsidR="00D0253F" w:rsidRPr="0035149B" w:rsidRDefault="00D0253F" w:rsidP="00D0253F">
            <w:pPr>
              <w:jc w:val="center"/>
              <w:rPr>
                <w:rFonts w:eastAsia="Times New Roman" w:cs="Times New Roman"/>
                <w:sz w:val="18"/>
                <w:szCs w:val="18"/>
                <w:lang w:eastAsia="lv-LV"/>
              </w:rPr>
            </w:pPr>
            <w:r>
              <w:rPr>
                <w:sz w:val="18"/>
                <w:szCs w:val="18"/>
              </w:rPr>
              <w:t>934 696</w:t>
            </w:r>
          </w:p>
        </w:tc>
        <w:tc>
          <w:tcPr>
            <w:tcW w:w="1186" w:type="dxa"/>
            <w:tcBorders>
              <w:top w:val="nil"/>
              <w:left w:val="nil"/>
              <w:bottom w:val="single" w:sz="4" w:space="0" w:color="BFBFBF"/>
              <w:right w:val="single" w:sz="4" w:space="0" w:color="BFBFBF"/>
            </w:tcBorders>
            <w:shd w:val="clear" w:color="000000" w:fill="FFFFFF"/>
            <w:vAlign w:val="center"/>
            <w:hideMark/>
          </w:tcPr>
          <w:p w14:paraId="31F104ED" w14:textId="6AB2AC88"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nil"/>
              <w:left w:val="nil"/>
              <w:bottom w:val="single" w:sz="4" w:space="0" w:color="BFBFBF"/>
              <w:right w:val="single" w:sz="4" w:space="0" w:color="BFBFBF"/>
            </w:tcBorders>
            <w:shd w:val="clear" w:color="000000" w:fill="FFFFFF"/>
            <w:vAlign w:val="center"/>
            <w:hideMark/>
          </w:tcPr>
          <w:p w14:paraId="0656D6F6" w14:textId="6391CEB2" w:rsidR="00D0253F" w:rsidRPr="0035149B" w:rsidRDefault="00D0253F" w:rsidP="00D0253F">
            <w:pPr>
              <w:jc w:val="center"/>
              <w:rPr>
                <w:rFonts w:eastAsia="Times New Roman" w:cs="Times New Roman"/>
                <w:sz w:val="18"/>
                <w:szCs w:val="18"/>
                <w:lang w:eastAsia="lv-LV"/>
              </w:rPr>
            </w:pPr>
            <w:r>
              <w:rPr>
                <w:sz w:val="18"/>
                <w:szCs w:val="18"/>
              </w:rPr>
              <w:t>934 696</w:t>
            </w:r>
          </w:p>
        </w:tc>
        <w:tc>
          <w:tcPr>
            <w:tcW w:w="1296" w:type="dxa"/>
            <w:tcBorders>
              <w:top w:val="nil"/>
              <w:left w:val="nil"/>
              <w:bottom w:val="single" w:sz="4" w:space="0" w:color="BFBFBF"/>
              <w:right w:val="single" w:sz="4" w:space="0" w:color="BFBFBF"/>
            </w:tcBorders>
            <w:shd w:val="clear" w:color="000000" w:fill="FFFFFF"/>
            <w:vAlign w:val="center"/>
            <w:hideMark/>
          </w:tcPr>
          <w:p w14:paraId="4C814D32" w14:textId="6BB37514" w:rsidR="00D0253F" w:rsidRPr="0035149B" w:rsidRDefault="00D0253F" w:rsidP="00D0253F">
            <w:pPr>
              <w:jc w:val="center"/>
              <w:rPr>
                <w:rFonts w:eastAsia="Times New Roman" w:cs="Times New Roman"/>
                <w:sz w:val="18"/>
                <w:szCs w:val="18"/>
                <w:lang w:eastAsia="lv-LV"/>
              </w:rPr>
            </w:pPr>
            <w:r>
              <w:rPr>
                <w:sz w:val="18"/>
                <w:szCs w:val="18"/>
              </w:rPr>
              <w:t>x</w:t>
            </w:r>
          </w:p>
        </w:tc>
      </w:tr>
      <w:tr w:rsidR="00D0253F" w:rsidRPr="0035149B" w14:paraId="0576EE64" w14:textId="77777777" w:rsidTr="00606897">
        <w:trPr>
          <w:trHeight w:val="40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6FABD2DF" w14:textId="5E9F681D" w:rsidR="00D0253F" w:rsidRPr="0035149B" w:rsidRDefault="00D0253F" w:rsidP="00D0253F">
            <w:pPr>
              <w:rPr>
                <w:rFonts w:eastAsia="Times New Roman" w:cs="Times New Roman"/>
                <w:b/>
                <w:bCs/>
                <w:sz w:val="18"/>
                <w:szCs w:val="18"/>
                <w:lang w:eastAsia="lv-LV"/>
              </w:rPr>
            </w:pPr>
            <w:r>
              <w:rPr>
                <w:b/>
                <w:bCs/>
                <w:sz w:val="18"/>
                <w:szCs w:val="18"/>
              </w:rPr>
              <w:t>Iekšlietu ministrija</w:t>
            </w:r>
          </w:p>
        </w:tc>
        <w:tc>
          <w:tcPr>
            <w:tcW w:w="1667" w:type="dxa"/>
            <w:tcBorders>
              <w:top w:val="nil"/>
              <w:left w:val="nil"/>
              <w:bottom w:val="single" w:sz="4" w:space="0" w:color="BFBFBF"/>
              <w:right w:val="single" w:sz="4" w:space="0" w:color="BFBFBF"/>
            </w:tcBorders>
            <w:shd w:val="clear" w:color="auto" w:fill="auto"/>
            <w:vAlign w:val="center"/>
            <w:hideMark/>
          </w:tcPr>
          <w:p w14:paraId="2DC5A15C" w14:textId="246A1773" w:rsidR="00D0253F" w:rsidRPr="0035149B" w:rsidRDefault="00D0253F" w:rsidP="00D0253F">
            <w:pPr>
              <w:rPr>
                <w:rFonts w:eastAsia="Times New Roman" w:cs="Times New Roman"/>
                <w:b/>
                <w:bCs/>
                <w:color w:val="FF0000"/>
                <w:sz w:val="18"/>
                <w:szCs w:val="18"/>
                <w:lang w:eastAsia="lv-LV"/>
              </w:rPr>
            </w:pPr>
            <w:r>
              <w:rPr>
                <w:b/>
                <w:bCs/>
                <w:sz w:val="18"/>
                <w:szCs w:val="18"/>
              </w:rPr>
              <w:t> </w:t>
            </w:r>
          </w:p>
        </w:tc>
        <w:tc>
          <w:tcPr>
            <w:tcW w:w="2211" w:type="dxa"/>
            <w:tcBorders>
              <w:top w:val="nil"/>
              <w:left w:val="nil"/>
              <w:bottom w:val="single" w:sz="4" w:space="0" w:color="BFBFBF"/>
              <w:right w:val="single" w:sz="4" w:space="0" w:color="BFBFBF"/>
            </w:tcBorders>
            <w:shd w:val="clear" w:color="auto" w:fill="auto"/>
            <w:vAlign w:val="center"/>
            <w:hideMark/>
          </w:tcPr>
          <w:p w14:paraId="11CC1314" w14:textId="1512545F" w:rsidR="00D0253F" w:rsidRPr="0035149B" w:rsidRDefault="00D0253F" w:rsidP="00D0253F">
            <w:pPr>
              <w:rPr>
                <w:rFonts w:eastAsia="Times New Roman" w:cs="Times New Roman"/>
                <w:sz w:val="18"/>
                <w:szCs w:val="18"/>
                <w:lang w:eastAsia="lv-LV"/>
              </w:rPr>
            </w:pPr>
            <w:r>
              <w:rPr>
                <w:sz w:val="18"/>
                <w:szCs w:val="18"/>
              </w:rPr>
              <w:t>43.00.00 "Finanšu izlūkošanas dienesta darbība"</w:t>
            </w:r>
          </w:p>
        </w:tc>
        <w:tc>
          <w:tcPr>
            <w:tcW w:w="826" w:type="dxa"/>
            <w:tcBorders>
              <w:top w:val="nil"/>
              <w:left w:val="nil"/>
              <w:bottom w:val="single" w:sz="4" w:space="0" w:color="BFBFBF"/>
              <w:right w:val="single" w:sz="4" w:space="0" w:color="BFBFBF"/>
            </w:tcBorders>
            <w:shd w:val="clear" w:color="auto" w:fill="auto"/>
            <w:vAlign w:val="center"/>
            <w:hideMark/>
          </w:tcPr>
          <w:p w14:paraId="5D0492C6" w14:textId="067CA2A6" w:rsidR="00D0253F" w:rsidRPr="0035149B" w:rsidRDefault="00D0253F" w:rsidP="00D0253F">
            <w:pPr>
              <w:jc w:val="center"/>
              <w:rPr>
                <w:rFonts w:eastAsia="Times New Roman" w:cs="Times New Roman"/>
                <w:b/>
                <w:bCs/>
                <w:color w:val="FF0000"/>
                <w:sz w:val="18"/>
                <w:szCs w:val="18"/>
                <w:lang w:eastAsia="lv-LV"/>
              </w:rPr>
            </w:pPr>
            <w:r>
              <w:rPr>
                <w:sz w:val="18"/>
                <w:szCs w:val="18"/>
              </w:rPr>
              <w:t> </w:t>
            </w:r>
          </w:p>
        </w:tc>
        <w:tc>
          <w:tcPr>
            <w:tcW w:w="887" w:type="dxa"/>
            <w:tcBorders>
              <w:top w:val="nil"/>
              <w:left w:val="nil"/>
              <w:bottom w:val="single" w:sz="4" w:space="0" w:color="BFBFBF"/>
              <w:right w:val="single" w:sz="4" w:space="0" w:color="BFBFBF"/>
            </w:tcBorders>
            <w:shd w:val="clear" w:color="auto" w:fill="auto"/>
            <w:vAlign w:val="center"/>
            <w:hideMark/>
          </w:tcPr>
          <w:p w14:paraId="137F8BBA" w14:textId="76785FB1" w:rsidR="00D0253F" w:rsidRPr="0035149B" w:rsidRDefault="00D0253F" w:rsidP="00D0253F">
            <w:pPr>
              <w:jc w:val="center"/>
              <w:rPr>
                <w:rFonts w:eastAsia="Times New Roman" w:cs="Times New Roman"/>
                <w:b/>
                <w:bCs/>
                <w:color w:val="FF0000"/>
                <w:sz w:val="18"/>
                <w:szCs w:val="18"/>
                <w:lang w:eastAsia="lv-LV"/>
              </w:rPr>
            </w:pPr>
            <w:r>
              <w:rPr>
                <w:sz w:val="18"/>
                <w:szCs w:val="18"/>
              </w:rPr>
              <w:t> </w:t>
            </w:r>
          </w:p>
        </w:tc>
        <w:tc>
          <w:tcPr>
            <w:tcW w:w="947" w:type="dxa"/>
            <w:tcBorders>
              <w:top w:val="nil"/>
              <w:left w:val="nil"/>
              <w:bottom w:val="single" w:sz="4" w:space="0" w:color="BFBFBF"/>
              <w:right w:val="single" w:sz="4" w:space="0" w:color="BFBFBF"/>
            </w:tcBorders>
            <w:shd w:val="clear" w:color="auto" w:fill="auto"/>
            <w:vAlign w:val="center"/>
            <w:hideMark/>
          </w:tcPr>
          <w:p w14:paraId="1F201139" w14:textId="02FBFBA5" w:rsidR="00D0253F" w:rsidRPr="0035149B" w:rsidRDefault="00D0253F" w:rsidP="00D0253F">
            <w:pPr>
              <w:jc w:val="center"/>
              <w:rPr>
                <w:rFonts w:eastAsia="Times New Roman" w:cs="Times New Roman"/>
                <w:b/>
                <w:bCs/>
                <w:color w:val="FF0000"/>
                <w:sz w:val="18"/>
                <w:szCs w:val="18"/>
                <w:lang w:eastAsia="lv-LV"/>
              </w:rPr>
            </w:pPr>
            <w:r>
              <w:rPr>
                <w:sz w:val="18"/>
                <w:szCs w:val="18"/>
              </w:rPr>
              <w:t> </w:t>
            </w:r>
          </w:p>
        </w:tc>
        <w:tc>
          <w:tcPr>
            <w:tcW w:w="1111" w:type="dxa"/>
            <w:tcBorders>
              <w:top w:val="nil"/>
              <w:left w:val="nil"/>
              <w:bottom w:val="single" w:sz="4" w:space="0" w:color="BFBFBF"/>
              <w:right w:val="single" w:sz="4" w:space="0" w:color="BFBFBF"/>
            </w:tcBorders>
            <w:shd w:val="clear" w:color="auto" w:fill="auto"/>
            <w:vAlign w:val="center"/>
            <w:hideMark/>
          </w:tcPr>
          <w:p w14:paraId="2C418975" w14:textId="74EDB78C" w:rsidR="00D0253F" w:rsidRPr="0035149B" w:rsidRDefault="00D0253F" w:rsidP="00D0253F">
            <w:pPr>
              <w:jc w:val="center"/>
              <w:rPr>
                <w:rFonts w:eastAsia="Times New Roman" w:cs="Times New Roman"/>
                <w:sz w:val="18"/>
                <w:szCs w:val="18"/>
                <w:lang w:eastAsia="lv-LV"/>
              </w:rPr>
            </w:pPr>
            <w:r>
              <w:rPr>
                <w:sz w:val="18"/>
                <w:szCs w:val="18"/>
              </w:rPr>
              <w:t>2 203 504</w:t>
            </w:r>
          </w:p>
        </w:tc>
        <w:tc>
          <w:tcPr>
            <w:tcW w:w="986" w:type="dxa"/>
            <w:tcBorders>
              <w:top w:val="nil"/>
              <w:left w:val="nil"/>
              <w:bottom w:val="single" w:sz="4" w:space="0" w:color="BFBFBF"/>
              <w:right w:val="single" w:sz="4" w:space="0" w:color="BFBFBF"/>
            </w:tcBorders>
            <w:shd w:val="clear" w:color="auto" w:fill="auto"/>
            <w:vAlign w:val="center"/>
            <w:hideMark/>
          </w:tcPr>
          <w:p w14:paraId="6943077F" w14:textId="5EA76D72" w:rsidR="00D0253F" w:rsidRPr="0035149B" w:rsidRDefault="00D0253F" w:rsidP="00D0253F">
            <w:pPr>
              <w:jc w:val="center"/>
              <w:rPr>
                <w:rFonts w:eastAsia="Times New Roman" w:cs="Times New Roman"/>
                <w:sz w:val="18"/>
                <w:szCs w:val="18"/>
                <w:lang w:eastAsia="lv-LV"/>
              </w:rPr>
            </w:pPr>
            <w:r>
              <w:rPr>
                <w:sz w:val="18"/>
                <w:szCs w:val="18"/>
              </w:rPr>
              <w:t>2 169 219</w:t>
            </w:r>
          </w:p>
        </w:tc>
        <w:tc>
          <w:tcPr>
            <w:tcW w:w="1052" w:type="dxa"/>
            <w:tcBorders>
              <w:top w:val="nil"/>
              <w:left w:val="nil"/>
              <w:bottom w:val="single" w:sz="4" w:space="0" w:color="BFBFBF"/>
              <w:right w:val="single" w:sz="4" w:space="0" w:color="BFBFBF"/>
            </w:tcBorders>
            <w:shd w:val="clear" w:color="auto" w:fill="auto"/>
            <w:vAlign w:val="center"/>
            <w:hideMark/>
          </w:tcPr>
          <w:p w14:paraId="4B83839B" w14:textId="581E845B" w:rsidR="00D0253F" w:rsidRPr="0035149B" w:rsidRDefault="00D0253F" w:rsidP="00D0253F">
            <w:pPr>
              <w:jc w:val="center"/>
              <w:rPr>
                <w:rFonts w:eastAsia="Times New Roman" w:cs="Times New Roman"/>
                <w:sz w:val="18"/>
                <w:szCs w:val="18"/>
                <w:lang w:eastAsia="lv-LV"/>
              </w:rPr>
            </w:pPr>
            <w:r>
              <w:rPr>
                <w:sz w:val="18"/>
                <w:szCs w:val="18"/>
              </w:rPr>
              <w:t>3 357 026</w:t>
            </w:r>
          </w:p>
        </w:tc>
        <w:tc>
          <w:tcPr>
            <w:tcW w:w="1186" w:type="dxa"/>
            <w:tcBorders>
              <w:top w:val="nil"/>
              <w:left w:val="nil"/>
              <w:bottom w:val="single" w:sz="4" w:space="0" w:color="BFBFBF"/>
              <w:right w:val="single" w:sz="4" w:space="0" w:color="BFBFBF"/>
            </w:tcBorders>
            <w:shd w:val="clear" w:color="auto" w:fill="auto"/>
            <w:vAlign w:val="center"/>
            <w:hideMark/>
          </w:tcPr>
          <w:p w14:paraId="0F5C9D70" w14:textId="25C87E03"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nil"/>
              <w:left w:val="nil"/>
              <w:bottom w:val="single" w:sz="4" w:space="0" w:color="BFBFBF"/>
              <w:right w:val="single" w:sz="4" w:space="0" w:color="BFBFBF"/>
            </w:tcBorders>
            <w:shd w:val="clear" w:color="auto" w:fill="auto"/>
            <w:vAlign w:val="center"/>
            <w:hideMark/>
          </w:tcPr>
          <w:p w14:paraId="6F109A24" w14:textId="17970299" w:rsidR="00D0253F" w:rsidRPr="0035149B" w:rsidRDefault="00D0253F" w:rsidP="00D0253F">
            <w:pPr>
              <w:jc w:val="center"/>
              <w:rPr>
                <w:rFonts w:eastAsia="Times New Roman" w:cs="Times New Roman"/>
                <w:sz w:val="18"/>
                <w:szCs w:val="18"/>
                <w:lang w:eastAsia="lv-LV"/>
              </w:rPr>
            </w:pPr>
            <w:r>
              <w:rPr>
                <w:sz w:val="18"/>
                <w:szCs w:val="18"/>
              </w:rPr>
              <w:t>2 211 724</w:t>
            </w:r>
          </w:p>
        </w:tc>
        <w:tc>
          <w:tcPr>
            <w:tcW w:w="1296" w:type="dxa"/>
            <w:tcBorders>
              <w:top w:val="nil"/>
              <w:left w:val="nil"/>
              <w:bottom w:val="single" w:sz="4" w:space="0" w:color="BFBFBF"/>
              <w:right w:val="single" w:sz="4" w:space="0" w:color="BFBFBF"/>
            </w:tcBorders>
            <w:shd w:val="clear" w:color="auto" w:fill="auto"/>
            <w:vAlign w:val="center"/>
            <w:hideMark/>
          </w:tcPr>
          <w:p w14:paraId="6AF649B7" w14:textId="174B6254" w:rsidR="00D0253F" w:rsidRPr="0035149B" w:rsidRDefault="00D0253F" w:rsidP="00D0253F">
            <w:pPr>
              <w:jc w:val="center"/>
              <w:rPr>
                <w:rFonts w:eastAsia="Times New Roman" w:cs="Times New Roman"/>
                <w:b/>
                <w:bCs/>
                <w:sz w:val="18"/>
                <w:szCs w:val="18"/>
                <w:lang w:eastAsia="lv-LV"/>
              </w:rPr>
            </w:pPr>
            <w:r>
              <w:rPr>
                <w:sz w:val="18"/>
                <w:szCs w:val="18"/>
              </w:rPr>
              <w:t>x</w:t>
            </w:r>
          </w:p>
        </w:tc>
      </w:tr>
      <w:tr w:rsidR="00D0253F" w:rsidRPr="0035149B" w14:paraId="7461DE14" w14:textId="77777777" w:rsidTr="00606897">
        <w:trPr>
          <w:trHeight w:val="55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3EA41E03" w14:textId="4207F394" w:rsidR="00D0253F" w:rsidRPr="0035149B" w:rsidRDefault="00D0253F" w:rsidP="00D0253F">
            <w:pPr>
              <w:rPr>
                <w:rFonts w:eastAsia="Times New Roman" w:cs="Times New Roman"/>
                <w:b/>
                <w:bCs/>
                <w:sz w:val="18"/>
                <w:szCs w:val="18"/>
                <w:lang w:eastAsia="lv-LV"/>
              </w:rPr>
            </w:pPr>
            <w:r>
              <w:rPr>
                <w:b/>
                <w:bCs/>
                <w:sz w:val="18"/>
                <w:szCs w:val="18"/>
              </w:rPr>
              <w:t>Iekšlietu ministrija</w:t>
            </w:r>
          </w:p>
        </w:tc>
        <w:tc>
          <w:tcPr>
            <w:tcW w:w="1667" w:type="dxa"/>
            <w:tcBorders>
              <w:top w:val="nil"/>
              <w:left w:val="nil"/>
              <w:bottom w:val="single" w:sz="4" w:space="0" w:color="BFBFBF"/>
              <w:right w:val="single" w:sz="4" w:space="0" w:color="BFBFBF"/>
            </w:tcBorders>
            <w:shd w:val="clear" w:color="000000" w:fill="FFFFFF"/>
            <w:vAlign w:val="center"/>
            <w:hideMark/>
          </w:tcPr>
          <w:p w14:paraId="39202EF5" w14:textId="46183E0C" w:rsidR="00D0253F" w:rsidRPr="0035149B" w:rsidRDefault="00D0253F" w:rsidP="00D0253F">
            <w:pPr>
              <w:rPr>
                <w:rFonts w:eastAsia="Times New Roman" w:cs="Times New Roman"/>
                <w:b/>
                <w:bCs/>
                <w:color w:val="FF0000"/>
                <w:sz w:val="18"/>
                <w:szCs w:val="18"/>
                <w:lang w:eastAsia="lv-LV"/>
              </w:rPr>
            </w:pPr>
            <w:r>
              <w:rPr>
                <w:b/>
                <w:bCs/>
                <w:sz w:val="18"/>
                <w:szCs w:val="18"/>
              </w:rPr>
              <w:t> </w:t>
            </w:r>
          </w:p>
        </w:tc>
        <w:tc>
          <w:tcPr>
            <w:tcW w:w="2211" w:type="dxa"/>
            <w:tcBorders>
              <w:top w:val="nil"/>
              <w:left w:val="nil"/>
              <w:bottom w:val="single" w:sz="4" w:space="0" w:color="BFBFBF"/>
              <w:right w:val="single" w:sz="4" w:space="0" w:color="BFBFBF"/>
            </w:tcBorders>
            <w:shd w:val="clear" w:color="000000" w:fill="FFFFFF"/>
            <w:vAlign w:val="center"/>
            <w:hideMark/>
          </w:tcPr>
          <w:p w14:paraId="22B64CFD" w14:textId="2B111E90" w:rsidR="00D0253F" w:rsidRPr="0035149B" w:rsidRDefault="00D0253F" w:rsidP="00D0253F">
            <w:pPr>
              <w:rPr>
                <w:rFonts w:eastAsia="Times New Roman" w:cs="Times New Roman"/>
                <w:sz w:val="18"/>
                <w:szCs w:val="18"/>
                <w:lang w:eastAsia="lv-LV"/>
              </w:rPr>
            </w:pPr>
            <w:r>
              <w:rPr>
                <w:sz w:val="18"/>
                <w:szCs w:val="18"/>
              </w:rPr>
              <w:t>71.06.00 "Eiropas Ekonomiskās zonas un Norvēģijas finanšu instrumentu finansētie projekti"</w:t>
            </w:r>
          </w:p>
        </w:tc>
        <w:tc>
          <w:tcPr>
            <w:tcW w:w="826" w:type="dxa"/>
            <w:tcBorders>
              <w:top w:val="nil"/>
              <w:left w:val="nil"/>
              <w:bottom w:val="single" w:sz="4" w:space="0" w:color="BFBFBF"/>
              <w:right w:val="single" w:sz="4" w:space="0" w:color="BFBFBF"/>
            </w:tcBorders>
            <w:shd w:val="clear" w:color="000000" w:fill="FFFFFF"/>
            <w:vAlign w:val="center"/>
            <w:hideMark/>
          </w:tcPr>
          <w:p w14:paraId="46B45389" w14:textId="4ACE49BC" w:rsidR="00D0253F" w:rsidRPr="0035149B" w:rsidRDefault="00D0253F" w:rsidP="00D0253F">
            <w:pPr>
              <w:jc w:val="center"/>
              <w:rPr>
                <w:rFonts w:eastAsia="Times New Roman" w:cs="Times New Roman"/>
                <w:color w:val="FF0000"/>
                <w:sz w:val="18"/>
                <w:szCs w:val="18"/>
                <w:lang w:eastAsia="lv-LV"/>
              </w:rPr>
            </w:pPr>
            <w:r>
              <w:rPr>
                <w:sz w:val="18"/>
                <w:szCs w:val="18"/>
              </w:rPr>
              <w:t>0</w:t>
            </w:r>
          </w:p>
        </w:tc>
        <w:tc>
          <w:tcPr>
            <w:tcW w:w="887" w:type="dxa"/>
            <w:tcBorders>
              <w:top w:val="nil"/>
              <w:left w:val="nil"/>
              <w:bottom w:val="single" w:sz="4" w:space="0" w:color="BFBFBF"/>
              <w:right w:val="single" w:sz="4" w:space="0" w:color="BFBFBF"/>
            </w:tcBorders>
            <w:shd w:val="clear" w:color="000000" w:fill="FFFFFF"/>
            <w:vAlign w:val="center"/>
            <w:hideMark/>
          </w:tcPr>
          <w:p w14:paraId="0EF58F81" w14:textId="66EF9FD0" w:rsidR="00D0253F" w:rsidRPr="0035149B" w:rsidRDefault="00D0253F" w:rsidP="00D0253F">
            <w:pPr>
              <w:jc w:val="center"/>
              <w:rPr>
                <w:rFonts w:eastAsia="Times New Roman" w:cs="Times New Roman"/>
                <w:color w:val="FF0000"/>
                <w:sz w:val="18"/>
                <w:szCs w:val="18"/>
                <w:lang w:eastAsia="lv-LV"/>
              </w:rPr>
            </w:pPr>
            <w:r>
              <w:rPr>
                <w:sz w:val="18"/>
                <w:szCs w:val="18"/>
              </w:rPr>
              <w:t>150 000</w:t>
            </w:r>
          </w:p>
        </w:tc>
        <w:tc>
          <w:tcPr>
            <w:tcW w:w="947" w:type="dxa"/>
            <w:tcBorders>
              <w:top w:val="nil"/>
              <w:left w:val="nil"/>
              <w:bottom w:val="single" w:sz="4" w:space="0" w:color="BFBFBF"/>
              <w:right w:val="single" w:sz="4" w:space="0" w:color="BFBFBF"/>
            </w:tcBorders>
            <w:shd w:val="clear" w:color="000000" w:fill="FFFFFF"/>
            <w:vAlign w:val="center"/>
            <w:hideMark/>
          </w:tcPr>
          <w:p w14:paraId="7D8F0E71" w14:textId="11D2EBB2" w:rsidR="00D0253F" w:rsidRPr="0035149B" w:rsidRDefault="00D0253F" w:rsidP="00D0253F">
            <w:pPr>
              <w:jc w:val="center"/>
              <w:rPr>
                <w:rFonts w:eastAsia="Times New Roman" w:cs="Times New Roman"/>
                <w:color w:val="FF0000"/>
                <w:sz w:val="18"/>
                <w:szCs w:val="18"/>
                <w:lang w:eastAsia="lv-LV"/>
              </w:rPr>
            </w:pPr>
            <w:r>
              <w:rPr>
                <w:sz w:val="18"/>
                <w:szCs w:val="18"/>
              </w:rPr>
              <w:t>150 000</w:t>
            </w:r>
          </w:p>
        </w:tc>
        <w:tc>
          <w:tcPr>
            <w:tcW w:w="1111" w:type="dxa"/>
            <w:tcBorders>
              <w:top w:val="nil"/>
              <w:left w:val="nil"/>
              <w:bottom w:val="single" w:sz="4" w:space="0" w:color="BFBFBF"/>
              <w:right w:val="single" w:sz="4" w:space="0" w:color="BFBFBF"/>
            </w:tcBorders>
            <w:shd w:val="clear" w:color="auto" w:fill="auto"/>
            <w:vAlign w:val="center"/>
            <w:hideMark/>
          </w:tcPr>
          <w:p w14:paraId="742A094C" w14:textId="2215C9B5" w:rsidR="00D0253F" w:rsidRPr="0035149B" w:rsidRDefault="00D0253F" w:rsidP="00D0253F">
            <w:pPr>
              <w:jc w:val="center"/>
              <w:rPr>
                <w:rFonts w:eastAsia="Times New Roman" w:cs="Times New Roman"/>
                <w:sz w:val="18"/>
                <w:szCs w:val="18"/>
                <w:lang w:eastAsia="lv-LV"/>
              </w:rPr>
            </w:pPr>
            <w:r>
              <w:rPr>
                <w:color w:val="E26B0A"/>
                <w:sz w:val="18"/>
                <w:szCs w:val="18"/>
              </w:rPr>
              <w:t> </w:t>
            </w:r>
          </w:p>
        </w:tc>
        <w:tc>
          <w:tcPr>
            <w:tcW w:w="986" w:type="dxa"/>
            <w:tcBorders>
              <w:top w:val="nil"/>
              <w:left w:val="nil"/>
              <w:bottom w:val="single" w:sz="4" w:space="0" w:color="BFBFBF"/>
              <w:right w:val="single" w:sz="4" w:space="0" w:color="BFBFBF"/>
            </w:tcBorders>
            <w:shd w:val="clear" w:color="auto" w:fill="auto"/>
            <w:vAlign w:val="center"/>
            <w:hideMark/>
          </w:tcPr>
          <w:p w14:paraId="0BB39961" w14:textId="38E7EE2F" w:rsidR="00D0253F" w:rsidRPr="0035149B" w:rsidRDefault="00D0253F" w:rsidP="00D0253F">
            <w:pPr>
              <w:jc w:val="center"/>
              <w:rPr>
                <w:rFonts w:eastAsia="Times New Roman" w:cs="Times New Roman"/>
                <w:sz w:val="18"/>
                <w:szCs w:val="18"/>
                <w:lang w:eastAsia="lv-LV"/>
              </w:rPr>
            </w:pPr>
            <w:r>
              <w:rPr>
                <w:color w:val="E26B0A"/>
                <w:sz w:val="18"/>
                <w:szCs w:val="18"/>
              </w:rPr>
              <w:t> </w:t>
            </w:r>
          </w:p>
        </w:tc>
        <w:tc>
          <w:tcPr>
            <w:tcW w:w="1052" w:type="dxa"/>
            <w:tcBorders>
              <w:top w:val="nil"/>
              <w:left w:val="nil"/>
              <w:bottom w:val="single" w:sz="4" w:space="0" w:color="BFBFBF"/>
              <w:right w:val="single" w:sz="4" w:space="0" w:color="BFBFBF"/>
            </w:tcBorders>
            <w:shd w:val="clear" w:color="auto" w:fill="auto"/>
            <w:vAlign w:val="center"/>
            <w:hideMark/>
          </w:tcPr>
          <w:p w14:paraId="040FDFF4" w14:textId="34A95B37" w:rsidR="00D0253F" w:rsidRPr="0035149B" w:rsidRDefault="00D0253F" w:rsidP="00D0253F">
            <w:pPr>
              <w:jc w:val="center"/>
              <w:rPr>
                <w:rFonts w:eastAsia="Times New Roman" w:cs="Times New Roman"/>
                <w:sz w:val="18"/>
                <w:szCs w:val="18"/>
                <w:lang w:eastAsia="lv-LV"/>
              </w:rPr>
            </w:pPr>
            <w:r>
              <w:rPr>
                <w:color w:val="E26B0A"/>
                <w:sz w:val="18"/>
                <w:szCs w:val="18"/>
              </w:rPr>
              <w:t> </w:t>
            </w:r>
          </w:p>
        </w:tc>
        <w:tc>
          <w:tcPr>
            <w:tcW w:w="1186" w:type="dxa"/>
            <w:tcBorders>
              <w:top w:val="nil"/>
              <w:left w:val="nil"/>
              <w:bottom w:val="single" w:sz="4" w:space="0" w:color="BFBFBF"/>
              <w:right w:val="single" w:sz="4" w:space="0" w:color="BFBFBF"/>
            </w:tcBorders>
            <w:shd w:val="clear" w:color="auto" w:fill="auto"/>
            <w:vAlign w:val="center"/>
            <w:hideMark/>
          </w:tcPr>
          <w:p w14:paraId="700F5294" w14:textId="601D1429" w:rsidR="00D0253F" w:rsidRPr="0035149B" w:rsidRDefault="00D0253F" w:rsidP="00D0253F">
            <w:pPr>
              <w:jc w:val="center"/>
              <w:rPr>
                <w:rFonts w:eastAsia="Times New Roman" w:cs="Times New Roman"/>
                <w:sz w:val="18"/>
                <w:szCs w:val="18"/>
                <w:lang w:eastAsia="lv-LV"/>
              </w:rPr>
            </w:pPr>
            <w:r>
              <w:rPr>
                <w:color w:val="E26B0A"/>
                <w:sz w:val="18"/>
                <w:szCs w:val="18"/>
              </w:rPr>
              <w:t> </w:t>
            </w:r>
          </w:p>
        </w:tc>
        <w:tc>
          <w:tcPr>
            <w:tcW w:w="999" w:type="dxa"/>
            <w:tcBorders>
              <w:top w:val="nil"/>
              <w:left w:val="nil"/>
              <w:bottom w:val="single" w:sz="4" w:space="0" w:color="BFBFBF"/>
              <w:right w:val="single" w:sz="4" w:space="0" w:color="BFBFBF"/>
            </w:tcBorders>
            <w:shd w:val="clear" w:color="auto" w:fill="auto"/>
            <w:vAlign w:val="center"/>
            <w:hideMark/>
          </w:tcPr>
          <w:p w14:paraId="16DFE7C9" w14:textId="569B5829" w:rsidR="00D0253F" w:rsidRPr="0035149B" w:rsidRDefault="00D0253F" w:rsidP="00D0253F">
            <w:pPr>
              <w:jc w:val="center"/>
              <w:rPr>
                <w:rFonts w:eastAsia="Times New Roman" w:cs="Times New Roman"/>
                <w:sz w:val="18"/>
                <w:szCs w:val="18"/>
                <w:lang w:eastAsia="lv-LV"/>
              </w:rPr>
            </w:pPr>
            <w:r>
              <w:rPr>
                <w:color w:val="E26B0A"/>
                <w:sz w:val="18"/>
                <w:szCs w:val="18"/>
              </w:rPr>
              <w:t> </w:t>
            </w:r>
          </w:p>
        </w:tc>
        <w:tc>
          <w:tcPr>
            <w:tcW w:w="1296" w:type="dxa"/>
            <w:tcBorders>
              <w:top w:val="nil"/>
              <w:left w:val="nil"/>
              <w:bottom w:val="single" w:sz="4" w:space="0" w:color="BFBFBF"/>
              <w:right w:val="single" w:sz="4" w:space="0" w:color="BFBFBF"/>
            </w:tcBorders>
            <w:shd w:val="clear" w:color="auto" w:fill="auto"/>
            <w:vAlign w:val="center"/>
            <w:hideMark/>
          </w:tcPr>
          <w:p w14:paraId="26CBD2C7" w14:textId="63A8CC2D" w:rsidR="00D0253F" w:rsidRPr="0035149B" w:rsidRDefault="00D0253F" w:rsidP="00D0253F">
            <w:pPr>
              <w:jc w:val="center"/>
              <w:rPr>
                <w:rFonts w:eastAsia="Times New Roman" w:cs="Times New Roman"/>
                <w:sz w:val="18"/>
                <w:szCs w:val="18"/>
                <w:lang w:eastAsia="lv-LV"/>
              </w:rPr>
            </w:pPr>
            <w:r>
              <w:rPr>
                <w:color w:val="E26B0A"/>
                <w:sz w:val="18"/>
                <w:szCs w:val="18"/>
              </w:rPr>
              <w:t> </w:t>
            </w:r>
          </w:p>
        </w:tc>
      </w:tr>
      <w:tr w:rsidR="00D0253F" w:rsidRPr="0035149B" w14:paraId="410240FF" w14:textId="77777777" w:rsidTr="00F8655C">
        <w:trPr>
          <w:trHeight w:val="555"/>
        </w:trPr>
        <w:tc>
          <w:tcPr>
            <w:tcW w:w="17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EBED02" w14:textId="6E282D1D" w:rsidR="00D0253F" w:rsidRPr="0035149B" w:rsidRDefault="00D0253F" w:rsidP="00D0253F">
            <w:pPr>
              <w:rPr>
                <w:rFonts w:eastAsia="Times New Roman" w:cs="Times New Roman"/>
                <w:b/>
                <w:bCs/>
                <w:sz w:val="18"/>
                <w:szCs w:val="18"/>
                <w:lang w:eastAsia="lv-LV"/>
              </w:rPr>
            </w:pPr>
            <w:r>
              <w:rPr>
                <w:b/>
                <w:bCs/>
                <w:sz w:val="18"/>
                <w:szCs w:val="18"/>
              </w:rPr>
              <w:t>Kultūras ministrija</w:t>
            </w:r>
          </w:p>
        </w:tc>
        <w:tc>
          <w:tcPr>
            <w:tcW w:w="1667" w:type="dxa"/>
            <w:tcBorders>
              <w:top w:val="single" w:sz="4" w:space="0" w:color="BFBFBF"/>
              <w:left w:val="nil"/>
              <w:bottom w:val="single" w:sz="4" w:space="0" w:color="BFBFBF"/>
              <w:right w:val="single" w:sz="4" w:space="0" w:color="BFBFBF"/>
            </w:tcBorders>
            <w:shd w:val="clear" w:color="auto" w:fill="auto"/>
            <w:vAlign w:val="center"/>
          </w:tcPr>
          <w:p w14:paraId="4AF04AE1" w14:textId="16579A96" w:rsidR="00D0253F" w:rsidRPr="0035149B" w:rsidRDefault="00D0253F" w:rsidP="00D0253F">
            <w:pPr>
              <w:rPr>
                <w:rFonts w:eastAsia="Times New Roman" w:cs="Times New Roman"/>
                <w:b/>
                <w:bCs/>
                <w:color w:val="FF0000"/>
                <w:sz w:val="18"/>
                <w:szCs w:val="18"/>
                <w:lang w:eastAsia="lv-LV"/>
              </w:rPr>
            </w:pPr>
            <w:r>
              <w:rPr>
                <w:b/>
                <w:bCs/>
                <w:sz w:val="18"/>
                <w:szCs w:val="18"/>
              </w:rPr>
              <w:t> </w:t>
            </w:r>
          </w:p>
        </w:tc>
        <w:tc>
          <w:tcPr>
            <w:tcW w:w="2211" w:type="dxa"/>
            <w:tcBorders>
              <w:top w:val="single" w:sz="4" w:space="0" w:color="BFBFBF"/>
              <w:left w:val="nil"/>
              <w:bottom w:val="single" w:sz="4" w:space="0" w:color="BFBFBF"/>
              <w:right w:val="single" w:sz="4" w:space="0" w:color="BFBFBF"/>
            </w:tcBorders>
            <w:shd w:val="clear" w:color="auto" w:fill="auto"/>
            <w:vAlign w:val="center"/>
          </w:tcPr>
          <w:p w14:paraId="7F757BD1" w14:textId="39D23972" w:rsidR="00D0253F" w:rsidRPr="0035149B" w:rsidRDefault="00D0253F" w:rsidP="00D0253F">
            <w:pPr>
              <w:rPr>
                <w:rFonts w:eastAsia="Times New Roman" w:cs="Times New Roman"/>
                <w:sz w:val="18"/>
                <w:szCs w:val="18"/>
                <w:lang w:eastAsia="lv-LV"/>
              </w:rPr>
            </w:pPr>
            <w:r>
              <w:rPr>
                <w:sz w:val="18"/>
                <w:szCs w:val="18"/>
              </w:rPr>
              <w:t>21.00.00 "Mantojums"</w:t>
            </w:r>
          </w:p>
        </w:tc>
        <w:tc>
          <w:tcPr>
            <w:tcW w:w="826" w:type="dxa"/>
            <w:tcBorders>
              <w:top w:val="single" w:sz="4" w:space="0" w:color="BFBFBF"/>
              <w:left w:val="nil"/>
              <w:bottom w:val="single" w:sz="4" w:space="0" w:color="BFBFBF"/>
              <w:right w:val="single" w:sz="4" w:space="0" w:color="BFBFBF"/>
            </w:tcBorders>
            <w:shd w:val="clear" w:color="auto" w:fill="auto"/>
            <w:vAlign w:val="center"/>
          </w:tcPr>
          <w:p w14:paraId="591BF836" w14:textId="532D1A9F" w:rsidR="00D0253F" w:rsidRPr="0035149B" w:rsidRDefault="00D0253F" w:rsidP="00D0253F">
            <w:pPr>
              <w:jc w:val="center"/>
              <w:rPr>
                <w:rFonts w:eastAsia="Times New Roman" w:cs="Times New Roman"/>
                <w:color w:val="FF0000"/>
                <w:sz w:val="18"/>
                <w:szCs w:val="18"/>
                <w:lang w:eastAsia="lv-LV"/>
              </w:rPr>
            </w:pPr>
            <w:r>
              <w:rPr>
                <w:b/>
                <w:bCs/>
                <w:sz w:val="18"/>
                <w:szCs w:val="18"/>
              </w:rPr>
              <w:t> </w:t>
            </w:r>
          </w:p>
        </w:tc>
        <w:tc>
          <w:tcPr>
            <w:tcW w:w="887" w:type="dxa"/>
            <w:tcBorders>
              <w:top w:val="single" w:sz="4" w:space="0" w:color="BFBFBF"/>
              <w:left w:val="nil"/>
              <w:bottom w:val="single" w:sz="4" w:space="0" w:color="BFBFBF"/>
              <w:right w:val="single" w:sz="4" w:space="0" w:color="BFBFBF"/>
            </w:tcBorders>
            <w:shd w:val="clear" w:color="auto" w:fill="auto"/>
            <w:vAlign w:val="center"/>
          </w:tcPr>
          <w:p w14:paraId="210E100D" w14:textId="0463206E" w:rsidR="00D0253F" w:rsidRPr="0035149B" w:rsidRDefault="00D0253F" w:rsidP="00D0253F">
            <w:pPr>
              <w:jc w:val="center"/>
              <w:rPr>
                <w:rFonts w:eastAsia="Times New Roman" w:cs="Times New Roman"/>
                <w:color w:val="FF0000"/>
                <w:sz w:val="18"/>
                <w:szCs w:val="18"/>
                <w:lang w:eastAsia="lv-LV"/>
              </w:rPr>
            </w:pPr>
            <w:r>
              <w:rPr>
                <w:b/>
                <w:bCs/>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tcPr>
          <w:p w14:paraId="338A93CC" w14:textId="69DFC731" w:rsidR="00D0253F" w:rsidRPr="0035149B" w:rsidRDefault="00D0253F" w:rsidP="00D0253F">
            <w:pPr>
              <w:jc w:val="center"/>
              <w:rPr>
                <w:rFonts w:eastAsia="Times New Roman" w:cs="Times New Roman"/>
                <w:color w:val="FF0000"/>
                <w:sz w:val="18"/>
                <w:szCs w:val="18"/>
                <w:lang w:eastAsia="lv-LV"/>
              </w:rPr>
            </w:pPr>
            <w:r>
              <w:rPr>
                <w:b/>
                <w:bCs/>
                <w:sz w:val="18"/>
                <w:szCs w:val="18"/>
              </w:rPr>
              <w:t> </w:t>
            </w:r>
          </w:p>
        </w:tc>
        <w:tc>
          <w:tcPr>
            <w:tcW w:w="1111" w:type="dxa"/>
            <w:tcBorders>
              <w:top w:val="single" w:sz="4" w:space="0" w:color="BFBFBF"/>
              <w:left w:val="nil"/>
              <w:bottom w:val="single" w:sz="4" w:space="0" w:color="BFBFBF"/>
              <w:right w:val="single" w:sz="4" w:space="0" w:color="BFBFBF"/>
            </w:tcBorders>
            <w:shd w:val="clear" w:color="auto" w:fill="auto"/>
            <w:vAlign w:val="center"/>
          </w:tcPr>
          <w:p w14:paraId="6654C11D" w14:textId="50F292CB" w:rsidR="00D0253F" w:rsidRPr="0035149B" w:rsidRDefault="00D0253F" w:rsidP="00D0253F">
            <w:pPr>
              <w:jc w:val="center"/>
              <w:rPr>
                <w:rFonts w:eastAsia="Times New Roman" w:cs="Times New Roman"/>
                <w:sz w:val="18"/>
                <w:szCs w:val="18"/>
                <w:lang w:eastAsia="lv-LV"/>
              </w:rPr>
            </w:pPr>
            <w:r>
              <w:rPr>
                <w:sz w:val="18"/>
                <w:szCs w:val="18"/>
              </w:rPr>
              <w:t>73 807</w:t>
            </w:r>
          </w:p>
        </w:tc>
        <w:tc>
          <w:tcPr>
            <w:tcW w:w="986" w:type="dxa"/>
            <w:tcBorders>
              <w:top w:val="single" w:sz="4" w:space="0" w:color="BFBFBF"/>
              <w:left w:val="nil"/>
              <w:bottom w:val="single" w:sz="4" w:space="0" w:color="BFBFBF"/>
              <w:right w:val="single" w:sz="4" w:space="0" w:color="BFBFBF"/>
            </w:tcBorders>
            <w:shd w:val="clear" w:color="auto" w:fill="auto"/>
            <w:vAlign w:val="center"/>
          </w:tcPr>
          <w:p w14:paraId="5C8164BA" w14:textId="04F6616C" w:rsidR="00D0253F" w:rsidRPr="0035149B" w:rsidRDefault="00D0253F" w:rsidP="00D0253F">
            <w:pPr>
              <w:jc w:val="center"/>
              <w:rPr>
                <w:rFonts w:eastAsia="Times New Roman" w:cs="Times New Roman"/>
                <w:sz w:val="18"/>
                <w:szCs w:val="18"/>
                <w:lang w:eastAsia="lv-LV"/>
              </w:rPr>
            </w:pPr>
            <w:r>
              <w:rPr>
                <w:sz w:val="18"/>
                <w:szCs w:val="18"/>
              </w:rPr>
              <w:t>171 607</w:t>
            </w:r>
          </w:p>
        </w:tc>
        <w:tc>
          <w:tcPr>
            <w:tcW w:w="1052" w:type="dxa"/>
            <w:tcBorders>
              <w:top w:val="single" w:sz="4" w:space="0" w:color="BFBFBF"/>
              <w:left w:val="nil"/>
              <w:bottom w:val="single" w:sz="4" w:space="0" w:color="BFBFBF"/>
              <w:right w:val="single" w:sz="4" w:space="0" w:color="BFBFBF"/>
            </w:tcBorders>
            <w:shd w:val="clear" w:color="auto" w:fill="auto"/>
            <w:vAlign w:val="center"/>
          </w:tcPr>
          <w:p w14:paraId="6B0222B0" w14:textId="7B042062" w:rsidR="00D0253F" w:rsidRPr="0035149B" w:rsidRDefault="00D0253F" w:rsidP="00D0253F">
            <w:pPr>
              <w:jc w:val="center"/>
              <w:rPr>
                <w:rFonts w:eastAsia="Times New Roman" w:cs="Times New Roman"/>
                <w:sz w:val="18"/>
                <w:szCs w:val="18"/>
                <w:lang w:eastAsia="lv-LV"/>
              </w:rPr>
            </w:pPr>
            <w:r>
              <w:rPr>
                <w:sz w:val="18"/>
                <w:szCs w:val="18"/>
              </w:rPr>
              <w:t>62 407</w:t>
            </w:r>
          </w:p>
        </w:tc>
        <w:tc>
          <w:tcPr>
            <w:tcW w:w="1186" w:type="dxa"/>
            <w:tcBorders>
              <w:top w:val="single" w:sz="4" w:space="0" w:color="BFBFBF"/>
              <w:left w:val="nil"/>
              <w:bottom w:val="single" w:sz="4" w:space="0" w:color="BFBFBF"/>
              <w:right w:val="single" w:sz="4" w:space="0" w:color="BFBFBF"/>
            </w:tcBorders>
            <w:shd w:val="clear" w:color="auto" w:fill="auto"/>
            <w:vAlign w:val="center"/>
          </w:tcPr>
          <w:p w14:paraId="4BF9A216" w14:textId="685B399F"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auto" w:fill="auto"/>
            <w:vAlign w:val="center"/>
          </w:tcPr>
          <w:p w14:paraId="42CC126A" w14:textId="0EBE89DE" w:rsidR="00D0253F" w:rsidRPr="0035149B" w:rsidRDefault="00D0253F" w:rsidP="00D0253F">
            <w:pPr>
              <w:jc w:val="center"/>
              <w:rPr>
                <w:rFonts w:eastAsia="Times New Roman" w:cs="Times New Roman"/>
                <w:sz w:val="18"/>
                <w:szCs w:val="18"/>
                <w:lang w:eastAsia="lv-LV"/>
              </w:rPr>
            </w:pPr>
            <w:r>
              <w:rPr>
                <w:sz w:val="18"/>
                <w:szCs w:val="18"/>
              </w:rPr>
              <w:t>62 407</w:t>
            </w:r>
          </w:p>
        </w:tc>
        <w:tc>
          <w:tcPr>
            <w:tcW w:w="1296" w:type="dxa"/>
            <w:tcBorders>
              <w:top w:val="single" w:sz="4" w:space="0" w:color="BFBFBF"/>
              <w:left w:val="nil"/>
              <w:bottom w:val="single" w:sz="4" w:space="0" w:color="BFBFBF"/>
              <w:right w:val="single" w:sz="4" w:space="0" w:color="BFBFBF"/>
            </w:tcBorders>
            <w:shd w:val="clear" w:color="auto" w:fill="auto"/>
            <w:vAlign w:val="center"/>
          </w:tcPr>
          <w:p w14:paraId="29EB3FFB" w14:textId="3EBBBBDA" w:rsidR="00D0253F" w:rsidRPr="0035149B" w:rsidRDefault="00D0253F" w:rsidP="00D0253F">
            <w:pPr>
              <w:jc w:val="center"/>
              <w:rPr>
                <w:rFonts w:eastAsia="Times New Roman" w:cs="Times New Roman"/>
                <w:sz w:val="18"/>
                <w:szCs w:val="18"/>
                <w:lang w:eastAsia="lv-LV"/>
              </w:rPr>
            </w:pPr>
            <w:r>
              <w:rPr>
                <w:b/>
                <w:bCs/>
                <w:sz w:val="18"/>
                <w:szCs w:val="18"/>
              </w:rPr>
              <w:t>x</w:t>
            </w:r>
          </w:p>
        </w:tc>
      </w:tr>
      <w:tr w:rsidR="00D0253F" w:rsidRPr="0035149B" w14:paraId="7FCEFFCF" w14:textId="77777777" w:rsidTr="00606897">
        <w:trPr>
          <w:trHeight w:val="555"/>
        </w:trPr>
        <w:tc>
          <w:tcPr>
            <w:tcW w:w="1752" w:type="dxa"/>
            <w:tcBorders>
              <w:top w:val="nil"/>
              <w:left w:val="single" w:sz="4" w:space="0" w:color="BFBFBF"/>
              <w:bottom w:val="single" w:sz="4" w:space="0" w:color="BFBFBF"/>
              <w:right w:val="single" w:sz="4" w:space="0" w:color="BFBFBF"/>
            </w:tcBorders>
            <w:shd w:val="clear" w:color="auto" w:fill="auto"/>
            <w:vAlign w:val="center"/>
          </w:tcPr>
          <w:p w14:paraId="1B02ECB8" w14:textId="4322687F" w:rsidR="00D0253F" w:rsidRPr="0035149B" w:rsidRDefault="00D0253F" w:rsidP="00D0253F">
            <w:pPr>
              <w:rPr>
                <w:rFonts w:eastAsia="Times New Roman" w:cs="Times New Roman"/>
                <w:b/>
                <w:bCs/>
                <w:sz w:val="18"/>
                <w:szCs w:val="18"/>
                <w:lang w:eastAsia="lv-LV"/>
              </w:rPr>
            </w:pPr>
            <w:r>
              <w:rPr>
                <w:b/>
                <w:bCs/>
                <w:sz w:val="18"/>
                <w:szCs w:val="18"/>
              </w:rPr>
              <w:t>Ārlietu ministrija</w:t>
            </w:r>
          </w:p>
        </w:tc>
        <w:tc>
          <w:tcPr>
            <w:tcW w:w="1667" w:type="dxa"/>
            <w:tcBorders>
              <w:top w:val="nil"/>
              <w:left w:val="nil"/>
              <w:bottom w:val="single" w:sz="4" w:space="0" w:color="BFBFBF"/>
              <w:right w:val="single" w:sz="4" w:space="0" w:color="BFBFBF"/>
            </w:tcBorders>
            <w:shd w:val="clear" w:color="auto" w:fill="auto"/>
            <w:vAlign w:val="center"/>
          </w:tcPr>
          <w:p w14:paraId="5A400517" w14:textId="1A0FA2DC" w:rsidR="00D0253F" w:rsidRPr="0035149B" w:rsidRDefault="00D0253F" w:rsidP="00D0253F">
            <w:pPr>
              <w:rPr>
                <w:rFonts w:eastAsia="Times New Roman" w:cs="Times New Roman"/>
                <w:b/>
                <w:bCs/>
                <w:color w:val="FF0000"/>
                <w:sz w:val="18"/>
                <w:szCs w:val="18"/>
                <w:lang w:eastAsia="lv-LV"/>
              </w:rPr>
            </w:pPr>
            <w:r>
              <w:rPr>
                <w:b/>
                <w:bCs/>
                <w:sz w:val="18"/>
                <w:szCs w:val="18"/>
              </w:rPr>
              <w:t> </w:t>
            </w:r>
          </w:p>
        </w:tc>
        <w:tc>
          <w:tcPr>
            <w:tcW w:w="2211" w:type="dxa"/>
            <w:tcBorders>
              <w:top w:val="nil"/>
              <w:left w:val="nil"/>
              <w:bottom w:val="single" w:sz="4" w:space="0" w:color="BFBFBF"/>
              <w:right w:val="single" w:sz="4" w:space="0" w:color="BFBFBF"/>
            </w:tcBorders>
            <w:shd w:val="clear" w:color="auto" w:fill="auto"/>
            <w:vAlign w:val="center"/>
          </w:tcPr>
          <w:p w14:paraId="651030AD" w14:textId="64E799C7" w:rsidR="00D0253F" w:rsidRPr="0035149B" w:rsidRDefault="00D0253F" w:rsidP="00D0253F">
            <w:pPr>
              <w:rPr>
                <w:rFonts w:eastAsia="Times New Roman" w:cs="Times New Roman"/>
                <w:sz w:val="18"/>
                <w:szCs w:val="18"/>
                <w:lang w:eastAsia="lv-LV"/>
              </w:rPr>
            </w:pPr>
            <w:r>
              <w:rPr>
                <w:sz w:val="18"/>
                <w:szCs w:val="18"/>
              </w:rPr>
              <w:t>97.00.00 "Nozaru vadība un politikas plānošana"</w:t>
            </w:r>
          </w:p>
        </w:tc>
        <w:tc>
          <w:tcPr>
            <w:tcW w:w="826" w:type="dxa"/>
            <w:tcBorders>
              <w:top w:val="nil"/>
              <w:left w:val="nil"/>
              <w:bottom w:val="single" w:sz="4" w:space="0" w:color="BFBFBF"/>
              <w:right w:val="single" w:sz="4" w:space="0" w:color="BFBFBF"/>
            </w:tcBorders>
            <w:shd w:val="clear" w:color="auto" w:fill="auto"/>
            <w:vAlign w:val="center"/>
          </w:tcPr>
          <w:p w14:paraId="39283736" w14:textId="2D031A39" w:rsidR="00D0253F" w:rsidRPr="0035149B" w:rsidRDefault="00D0253F" w:rsidP="00D0253F">
            <w:pPr>
              <w:jc w:val="center"/>
              <w:rPr>
                <w:rFonts w:eastAsia="Times New Roman" w:cs="Times New Roman"/>
                <w:color w:val="FF0000"/>
                <w:sz w:val="18"/>
                <w:szCs w:val="18"/>
                <w:lang w:eastAsia="lv-LV"/>
              </w:rPr>
            </w:pPr>
            <w:r>
              <w:rPr>
                <w:sz w:val="18"/>
                <w:szCs w:val="18"/>
              </w:rPr>
              <w:t>221 000</w:t>
            </w:r>
          </w:p>
        </w:tc>
        <w:tc>
          <w:tcPr>
            <w:tcW w:w="887" w:type="dxa"/>
            <w:tcBorders>
              <w:top w:val="nil"/>
              <w:left w:val="nil"/>
              <w:bottom w:val="single" w:sz="4" w:space="0" w:color="BFBFBF"/>
              <w:right w:val="single" w:sz="4" w:space="0" w:color="BFBFBF"/>
            </w:tcBorders>
            <w:shd w:val="clear" w:color="auto" w:fill="auto"/>
            <w:vAlign w:val="center"/>
          </w:tcPr>
          <w:p w14:paraId="56DAEEB4" w14:textId="6B11BDBE" w:rsidR="00D0253F" w:rsidRPr="0035149B" w:rsidRDefault="00D0253F" w:rsidP="00D0253F">
            <w:pPr>
              <w:jc w:val="center"/>
              <w:rPr>
                <w:rFonts w:eastAsia="Times New Roman" w:cs="Times New Roman"/>
                <w:color w:val="FF0000"/>
                <w:sz w:val="18"/>
                <w:szCs w:val="18"/>
                <w:lang w:eastAsia="lv-LV"/>
              </w:rPr>
            </w:pPr>
            <w:r>
              <w:rPr>
                <w:sz w:val="18"/>
                <w:szCs w:val="18"/>
              </w:rPr>
              <w:t>99 050</w:t>
            </w:r>
          </w:p>
        </w:tc>
        <w:tc>
          <w:tcPr>
            <w:tcW w:w="947" w:type="dxa"/>
            <w:tcBorders>
              <w:top w:val="nil"/>
              <w:left w:val="nil"/>
              <w:bottom w:val="single" w:sz="4" w:space="0" w:color="BFBFBF"/>
              <w:right w:val="single" w:sz="4" w:space="0" w:color="BFBFBF"/>
            </w:tcBorders>
            <w:shd w:val="clear" w:color="auto" w:fill="auto"/>
            <w:vAlign w:val="center"/>
          </w:tcPr>
          <w:p w14:paraId="2804524C" w14:textId="22A91557" w:rsidR="00D0253F" w:rsidRPr="0035149B" w:rsidRDefault="00D0253F" w:rsidP="00D0253F">
            <w:pPr>
              <w:jc w:val="center"/>
              <w:rPr>
                <w:rFonts w:eastAsia="Times New Roman" w:cs="Times New Roman"/>
                <w:color w:val="FF0000"/>
                <w:sz w:val="18"/>
                <w:szCs w:val="18"/>
                <w:lang w:eastAsia="lv-LV"/>
              </w:rPr>
            </w:pPr>
            <w:r>
              <w:rPr>
                <w:sz w:val="18"/>
                <w:szCs w:val="18"/>
              </w:rPr>
              <w:t>99 050</w:t>
            </w:r>
          </w:p>
        </w:tc>
        <w:tc>
          <w:tcPr>
            <w:tcW w:w="1111" w:type="dxa"/>
            <w:tcBorders>
              <w:top w:val="nil"/>
              <w:left w:val="nil"/>
              <w:bottom w:val="single" w:sz="4" w:space="0" w:color="BFBFBF"/>
              <w:right w:val="single" w:sz="4" w:space="0" w:color="BFBFBF"/>
            </w:tcBorders>
            <w:shd w:val="clear" w:color="auto" w:fill="auto"/>
            <w:vAlign w:val="center"/>
          </w:tcPr>
          <w:p w14:paraId="48D5FE75" w14:textId="5CAA32DC" w:rsidR="00D0253F" w:rsidRPr="0035149B" w:rsidRDefault="00D0253F" w:rsidP="00D0253F">
            <w:pPr>
              <w:jc w:val="center"/>
              <w:rPr>
                <w:rFonts w:eastAsia="Times New Roman" w:cs="Times New Roman"/>
                <w:sz w:val="18"/>
                <w:szCs w:val="18"/>
                <w:lang w:eastAsia="lv-LV"/>
              </w:rPr>
            </w:pPr>
            <w:r>
              <w:rPr>
                <w:sz w:val="18"/>
                <w:szCs w:val="18"/>
              </w:rPr>
              <w:t>24 287</w:t>
            </w:r>
          </w:p>
        </w:tc>
        <w:tc>
          <w:tcPr>
            <w:tcW w:w="986" w:type="dxa"/>
            <w:tcBorders>
              <w:top w:val="nil"/>
              <w:left w:val="nil"/>
              <w:bottom w:val="single" w:sz="4" w:space="0" w:color="BFBFBF"/>
              <w:right w:val="single" w:sz="4" w:space="0" w:color="BFBFBF"/>
            </w:tcBorders>
            <w:shd w:val="clear" w:color="auto" w:fill="auto"/>
            <w:vAlign w:val="center"/>
          </w:tcPr>
          <w:p w14:paraId="548FA7F8" w14:textId="086E0009" w:rsidR="00D0253F" w:rsidRPr="0035149B" w:rsidRDefault="00D0253F" w:rsidP="00D0253F">
            <w:pPr>
              <w:jc w:val="center"/>
              <w:rPr>
                <w:rFonts w:eastAsia="Times New Roman" w:cs="Times New Roman"/>
                <w:sz w:val="18"/>
                <w:szCs w:val="18"/>
                <w:lang w:eastAsia="lv-LV"/>
              </w:rPr>
            </w:pPr>
            <w:r>
              <w:rPr>
                <w:sz w:val="18"/>
                <w:szCs w:val="18"/>
              </w:rPr>
              <w:t>138 936</w:t>
            </w:r>
          </w:p>
        </w:tc>
        <w:tc>
          <w:tcPr>
            <w:tcW w:w="1052" w:type="dxa"/>
            <w:tcBorders>
              <w:top w:val="nil"/>
              <w:left w:val="nil"/>
              <w:bottom w:val="single" w:sz="4" w:space="0" w:color="BFBFBF"/>
              <w:right w:val="single" w:sz="4" w:space="0" w:color="BFBFBF"/>
            </w:tcBorders>
            <w:shd w:val="clear" w:color="auto" w:fill="auto"/>
            <w:vAlign w:val="center"/>
          </w:tcPr>
          <w:p w14:paraId="262BAA4A" w14:textId="7F041223" w:rsidR="00D0253F" w:rsidRPr="0035149B" w:rsidRDefault="00D0253F" w:rsidP="00D0253F">
            <w:pPr>
              <w:jc w:val="center"/>
              <w:rPr>
                <w:rFonts w:eastAsia="Times New Roman" w:cs="Times New Roman"/>
                <w:sz w:val="18"/>
                <w:szCs w:val="18"/>
                <w:lang w:eastAsia="lv-LV"/>
              </w:rPr>
            </w:pPr>
            <w:r>
              <w:rPr>
                <w:sz w:val="18"/>
                <w:szCs w:val="18"/>
              </w:rPr>
              <w:t>26 986</w:t>
            </w:r>
          </w:p>
        </w:tc>
        <w:tc>
          <w:tcPr>
            <w:tcW w:w="1186" w:type="dxa"/>
            <w:tcBorders>
              <w:top w:val="nil"/>
              <w:left w:val="nil"/>
              <w:bottom w:val="single" w:sz="4" w:space="0" w:color="BFBFBF"/>
              <w:right w:val="single" w:sz="4" w:space="0" w:color="BFBFBF"/>
            </w:tcBorders>
            <w:shd w:val="clear" w:color="auto" w:fill="auto"/>
            <w:vAlign w:val="center"/>
          </w:tcPr>
          <w:p w14:paraId="7430A083" w14:textId="5A38C3BF"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nil"/>
              <w:left w:val="nil"/>
              <w:bottom w:val="single" w:sz="4" w:space="0" w:color="BFBFBF"/>
              <w:right w:val="single" w:sz="4" w:space="0" w:color="BFBFBF"/>
            </w:tcBorders>
            <w:shd w:val="clear" w:color="auto" w:fill="auto"/>
            <w:vAlign w:val="center"/>
          </w:tcPr>
          <w:p w14:paraId="088AB44F" w14:textId="4EBA5A1E" w:rsidR="00D0253F" w:rsidRPr="0035149B" w:rsidRDefault="00D0253F" w:rsidP="00D0253F">
            <w:pPr>
              <w:jc w:val="center"/>
              <w:rPr>
                <w:rFonts w:eastAsia="Times New Roman" w:cs="Times New Roman"/>
                <w:sz w:val="18"/>
                <w:szCs w:val="18"/>
                <w:lang w:eastAsia="lv-LV"/>
              </w:rPr>
            </w:pPr>
            <w:r>
              <w:rPr>
                <w:sz w:val="18"/>
                <w:szCs w:val="18"/>
              </w:rPr>
              <w:t>26 986</w:t>
            </w:r>
          </w:p>
        </w:tc>
        <w:tc>
          <w:tcPr>
            <w:tcW w:w="1296" w:type="dxa"/>
            <w:tcBorders>
              <w:top w:val="nil"/>
              <w:left w:val="nil"/>
              <w:bottom w:val="single" w:sz="4" w:space="0" w:color="BFBFBF"/>
              <w:right w:val="single" w:sz="4" w:space="0" w:color="BFBFBF"/>
            </w:tcBorders>
            <w:shd w:val="clear" w:color="auto" w:fill="auto"/>
            <w:vAlign w:val="center"/>
          </w:tcPr>
          <w:p w14:paraId="4C33F1C5" w14:textId="5E2001AB" w:rsidR="00D0253F" w:rsidRPr="0035149B" w:rsidRDefault="00D0253F" w:rsidP="00D0253F">
            <w:pPr>
              <w:jc w:val="center"/>
              <w:rPr>
                <w:rFonts w:eastAsia="Times New Roman" w:cs="Times New Roman"/>
                <w:sz w:val="18"/>
                <w:szCs w:val="18"/>
                <w:lang w:eastAsia="lv-LV"/>
              </w:rPr>
            </w:pPr>
            <w:r>
              <w:rPr>
                <w:sz w:val="18"/>
                <w:szCs w:val="18"/>
              </w:rPr>
              <w:t>x</w:t>
            </w:r>
          </w:p>
        </w:tc>
      </w:tr>
      <w:tr w:rsidR="00D0253F" w:rsidRPr="0035149B" w14:paraId="4124D8A2" w14:textId="77777777" w:rsidTr="00F8655C">
        <w:trPr>
          <w:trHeight w:val="555"/>
        </w:trPr>
        <w:tc>
          <w:tcPr>
            <w:tcW w:w="17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E1D67E" w14:textId="0CECF5FC" w:rsidR="00D0253F" w:rsidRPr="0035149B" w:rsidRDefault="00D0253F" w:rsidP="00D0253F">
            <w:pPr>
              <w:rPr>
                <w:rFonts w:eastAsia="Times New Roman" w:cs="Times New Roman"/>
                <w:b/>
                <w:bCs/>
                <w:sz w:val="18"/>
                <w:szCs w:val="18"/>
                <w:lang w:eastAsia="lv-LV"/>
              </w:rPr>
            </w:pPr>
            <w:r>
              <w:rPr>
                <w:b/>
                <w:bCs/>
                <w:sz w:val="18"/>
                <w:szCs w:val="18"/>
              </w:rPr>
              <w:t>Tieslietu ministrija</w:t>
            </w:r>
          </w:p>
        </w:tc>
        <w:tc>
          <w:tcPr>
            <w:tcW w:w="1667" w:type="dxa"/>
            <w:tcBorders>
              <w:top w:val="single" w:sz="4" w:space="0" w:color="BFBFBF"/>
              <w:left w:val="nil"/>
              <w:bottom w:val="single" w:sz="4" w:space="0" w:color="BFBFBF"/>
              <w:right w:val="single" w:sz="4" w:space="0" w:color="BFBFBF"/>
            </w:tcBorders>
            <w:shd w:val="clear" w:color="auto" w:fill="auto"/>
            <w:vAlign w:val="center"/>
          </w:tcPr>
          <w:p w14:paraId="3EEE6801" w14:textId="79A5777F" w:rsidR="00D0253F" w:rsidRPr="0035149B" w:rsidRDefault="00D0253F" w:rsidP="00D0253F">
            <w:pPr>
              <w:rPr>
                <w:rFonts w:eastAsia="Times New Roman" w:cs="Times New Roman"/>
                <w:b/>
                <w:bCs/>
                <w:color w:val="FF0000"/>
                <w:sz w:val="18"/>
                <w:szCs w:val="18"/>
                <w:lang w:eastAsia="lv-LV"/>
              </w:rPr>
            </w:pPr>
            <w:r>
              <w:rPr>
                <w:b/>
                <w:bCs/>
                <w:sz w:val="18"/>
                <w:szCs w:val="18"/>
              </w:rPr>
              <w:t> </w:t>
            </w:r>
          </w:p>
        </w:tc>
        <w:tc>
          <w:tcPr>
            <w:tcW w:w="2211" w:type="dxa"/>
            <w:tcBorders>
              <w:top w:val="single" w:sz="4" w:space="0" w:color="BFBFBF"/>
              <w:left w:val="nil"/>
              <w:bottom w:val="single" w:sz="4" w:space="0" w:color="BFBFBF"/>
              <w:right w:val="single" w:sz="4" w:space="0" w:color="BFBFBF"/>
            </w:tcBorders>
            <w:shd w:val="clear" w:color="auto" w:fill="auto"/>
            <w:vAlign w:val="center"/>
          </w:tcPr>
          <w:p w14:paraId="5B18CC19" w14:textId="5BE630C1" w:rsidR="00D0253F" w:rsidRPr="0035149B" w:rsidRDefault="00D0253F" w:rsidP="00D0253F">
            <w:pPr>
              <w:rPr>
                <w:rFonts w:eastAsia="Times New Roman" w:cs="Times New Roman"/>
                <w:sz w:val="18"/>
                <w:szCs w:val="18"/>
                <w:lang w:eastAsia="lv-LV"/>
              </w:rPr>
            </w:pPr>
            <w:r>
              <w:rPr>
                <w:sz w:val="18"/>
                <w:szCs w:val="18"/>
              </w:rPr>
              <w:t>06.01.00 "Juridisko personu reģistrācija"</w:t>
            </w:r>
          </w:p>
        </w:tc>
        <w:tc>
          <w:tcPr>
            <w:tcW w:w="826" w:type="dxa"/>
            <w:tcBorders>
              <w:top w:val="single" w:sz="4" w:space="0" w:color="BFBFBF"/>
              <w:left w:val="nil"/>
              <w:bottom w:val="single" w:sz="4" w:space="0" w:color="BFBFBF"/>
              <w:right w:val="single" w:sz="4" w:space="0" w:color="BFBFBF"/>
            </w:tcBorders>
            <w:shd w:val="clear" w:color="auto" w:fill="auto"/>
            <w:vAlign w:val="center"/>
          </w:tcPr>
          <w:p w14:paraId="615ABDD6" w14:textId="5F96E969"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auto" w:fill="auto"/>
            <w:vAlign w:val="center"/>
          </w:tcPr>
          <w:p w14:paraId="7131A404" w14:textId="3B853AFC"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tcPr>
          <w:p w14:paraId="186E0F2A" w14:textId="0134A739"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auto" w:fill="auto"/>
            <w:vAlign w:val="center"/>
          </w:tcPr>
          <w:p w14:paraId="51486C57" w14:textId="28E9526D" w:rsidR="00D0253F" w:rsidRPr="0035149B" w:rsidRDefault="00D0253F" w:rsidP="00D0253F">
            <w:pPr>
              <w:jc w:val="center"/>
              <w:rPr>
                <w:rFonts w:eastAsia="Times New Roman" w:cs="Times New Roman"/>
                <w:sz w:val="18"/>
                <w:szCs w:val="18"/>
                <w:lang w:eastAsia="lv-LV"/>
              </w:rPr>
            </w:pPr>
            <w:r>
              <w:rPr>
                <w:sz w:val="18"/>
                <w:szCs w:val="18"/>
              </w:rPr>
              <w:t>1 200 002</w:t>
            </w:r>
          </w:p>
        </w:tc>
        <w:tc>
          <w:tcPr>
            <w:tcW w:w="986" w:type="dxa"/>
            <w:tcBorders>
              <w:top w:val="single" w:sz="4" w:space="0" w:color="BFBFBF"/>
              <w:left w:val="nil"/>
              <w:bottom w:val="single" w:sz="4" w:space="0" w:color="BFBFBF"/>
              <w:right w:val="single" w:sz="4" w:space="0" w:color="BFBFBF"/>
            </w:tcBorders>
            <w:shd w:val="clear" w:color="auto" w:fill="auto"/>
            <w:vAlign w:val="center"/>
          </w:tcPr>
          <w:p w14:paraId="62711447" w14:textId="1A0BF22C" w:rsidR="00D0253F" w:rsidRPr="0035149B" w:rsidRDefault="00D0253F" w:rsidP="00D0253F">
            <w:pPr>
              <w:jc w:val="center"/>
              <w:rPr>
                <w:rFonts w:eastAsia="Times New Roman" w:cs="Times New Roman"/>
                <w:sz w:val="18"/>
                <w:szCs w:val="18"/>
                <w:lang w:eastAsia="lv-LV"/>
              </w:rPr>
            </w:pPr>
            <w:r>
              <w:rPr>
                <w:sz w:val="18"/>
                <w:szCs w:val="18"/>
              </w:rPr>
              <w:t>1 876 589</w:t>
            </w:r>
          </w:p>
        </w:tc>
        <w:tc>
          <w:tcPr>
            <w:tcW w:w="1052" w:type="dxa"/>
            <w:tcBorders>
              <w:top w:val="single" w:sz="4" w:space="0" w:color="BFBFBF"/>
              <w:left w:val="nil"/>
              <w:bottom w:val="single" w:sz="4" w:space="0" w:color="BFBFBF"/>
              <w:right w:val="single" w:sz="4" w:space="0" w:color="BFBFBF"/>
            </w:tcBorders>
            <w:shd w:val="clear" w:color="auto" w:fill="auto"/>
            <w:vAlign w:val="center"/>
          </w:tcPr>
          <w:p w14:paraId="2723DD5B" w14:textId="57563BE7" w:rsidR="00D0253F" w:rsidRPr="0035149B" w:rsidRDefault="00D0253F" w:rsidP="00D0253F">
            <w:pPr>
              <w:jc w:val="center"/>
              <w:rPr>
                <w:rFonts w:eastAsia="Times New Roman" w:cs="Times New Roman"/>
                <w:sz w:val="18"/>
                <w:szCs w:val="18"/>
                <w:lang w:eastAsia="lv-LV"/>
              </w:rPr>
            </w:pPr>
            <w:r>
              <w:rPr>
                <w:sz w:val="18"/>
                <w:szCs w:val="18"/>
              </w:rPr>
              <w:t>1 931 341</w:t>
            </w:r>
          </w:p>
        </w:tc>
        <w:tc>
          <w:tcPr>
            <w:tcW w:w="1186" w:type="dxa"/>
            <w:tcBorders>
              <w:top w:val="single" w:sz="4" w:space="0" w:color="BFBFBF"/>
              <w:left w:val="nil"/>
              <w:bottom w:val="single" w:sz="4" w:space="0" w:color="BFBFBF"/>
              <w:right w:val="single" w:sz="4" w:space="0" w:color="BFBFBF"/>
            </w:tcBorders>
            <w:shd w:val="clear" w:color="auto" w:fill="auto"/>
            <w:vAlign w:val="center"/>
          </w:tcPr>
          <w:p w14:paraId="25EFC5AD" w14:textId="2244F66B"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auto" w:fill="auto"/>
            <w:vAlign w:val="center"/>
          </w:tcPr>
          <w:p w14:paraId="7A7F3A9C" w14:textId="4AAE371E" w:rsidR="00D0253F" w:rsidRPr="0035149B" w:rsidRDefault="00D0253F" w:rsidP="00D0253F">
            <w:pPr>
              <w:jc w:val="center"/>
              <w:rPr>
                <w:rFonts w:eastAsia="Times New Roman" w:cs="Times New Roman"/>
                <w:sz w:val="18"/>
                <w:szCs w:val="18"/>
                <w:lang w:eastAsia="lv-LV"/>
              </w:rPr>
            </w:pPr>
            <w:r>
              <w:rPr>
                <w:sz w:val="18"/>
                <w:szCs w:val="18"/>
              </w:rPr>
              <w:t>1 391 002</w:t>
            </w:r>
          </w:p>
        </w:tc>
        <w:tc>
          <w:tcPr>
            <w:tcW w:w="1296" w:type="dxa"/>
            <w:tcBorders>
              <w:top w:val="single" w:sz="4" w:space="0" w:color="BFBFBF"/>
              <w:left w:val="nil"/>
              <w:bottom w:val="single" w:sz="4" w:space="0" w:color="BFBFBF"/>
              <w:right w:val="single" w:sz="4" w:space="0" w:color="BFBFBF"/>
            </w:tcBorders>
            <w:shd w:val="clear" w:color="auto" w:fill="auto"/>
            <w:vAlign w:val="center"/>
          </w:tcPr>
          <w:p w14:paraId="7DF87EC9" w14:textId="18856858" w:rsidR="00D0253F" w:rsidRPr="0035149B" w:rsidRDefault="00D0253F" w:rsidP="00D0253F">
            <w:pPr>
              <w:jc w:val="center"/>
              <w:rPr>
                <w:rFonts w:eastAsia="Times New Roman" w:cs="Times New Roman"/>
                <w:sz w:val="18"/>
                <w:szCs w:val="18"/>
                <w:lang w:eastAsia="lv-LV"/>
              </w:rPr>
            </w:pPr>
            <w:r>
              <w:rPr>
                <w:sz w:val="18"/>
                <w:szCs w:val="18"/>
              </w:rPr>
              <w:t>x</w:t>
            </w:r>
          </w:p>
        </w:tc>
      </w:tr>
      <w:tr w:rsidR="00D0253F" w:rsidRPr="0035149B" w14:paraId="624BAFDC" w14:textId="77777777" w:rsidTr="00F8655C">
        <w:trPr>
          <w:trHeight w:val="555"/>
        </w:trPr>
        <w:tc>
          <w:tcPr>
            <w:tcW w:w="1752" w:type="dxa"/>
            <w:tcBorders>
              <w:top w:val="nil"/>
              <w:left w:val="single" w:sz="4" w:space="0" w:color="BFBFBF"/>
              <w:bottom w:val="single" w:sz="4" w:space="0" w:color="BFBFBF"/>
              <w:right w:val="single" w:sz="4" w:space="0" w:color="BFBFBF"/>
            </w:tcBorders>
            <w:shd w:val="clear" w:color="auto" w:fill="auto"/>
            <w:vAlign w:val="center"/>
          </w:tcPr>
          <w:p w14:paraId="55009679" w14:textId="7FB7C8B9" w:rsidR="00D0253F" w:rsidRDefault="00D0253F" w:rsidP="00D0253F">
            <w:pPr>
              <w:rPr>
                <w:b/>
                <w:bCs/>
                <w:sz w:val="18"/>
                <w:szCs w:val="18"/>
              </w:rPr>
            </w:pPr>
            <w:r>
              <w:rPr>
                <w:b/>
                <w:bCs/>
                <w:sz w:val="18"/>
                <w:szCs w:val="18"/>
              </w:rPr>
              <w:t>Tieslietu ministrija</w:t>
            </w:r>
          </w:p>
        </w:tc>
        <w:tc>
          <w:tcPr>
            <w:tcW w:w="1667" w:type="dxa"/>
            <w:tcBorders>
              <w:top w:val="nil"/>
              <w:left w:val="nil"/>
              <w:bottom w:val="single" w:sz="4" w:space="0" w:color="BFBFBF"/>
              <w:right w:val="single" w:sz="4" w:space="0" w:color="BFBFBF"/>
            </w:tcBorders>
            <w:shd w:val="clear" w:color="auto" w:fill="auto"/>
            <w:vAlign w:val="center"/>
          </w:tcPr>
          <w:p w14:paraId="12999154" w14:textId="489C513A" w:rsidR="00D0253F" w:rsidRDefault="00D0253F" w:rsidP="00D0253F">
            <w:pPr>
              <w:rPr>
                <w:b/>
                <w:bCs/>
                <w:sz w:val="18"/>
                <w:szCs w:val="18"/>
              </w:rPr>
            </w:pPr>
            <w:r>
              <w:rPr>
                <w:b/>
                <w:bCs/>
                <w:sz w:val="18"/>
                <w:szCs w:val="18"/>
              </w:rPr>
              <w:t> </w:t>
            </w:r>
          </w:p>
        </w:tc>
        <w:tc>
          <w:tcPr>
            <w:tcW w:w="2211" w:type="dxa"/>
            <w:tcBorders>
              <w:top w:val="nil"/>
              <w:left w:val="nil"/>
              <w:bottom w:val="single" w:sz="4" w:space="0" w:color="BFBFBF"/>
              <w:right w:val="single" w:sz="4" w:space="0" w:color="BFBFBF"/>
            </w:tcBorders>
            <w:shd w:val="clear" w:color="auto" w:fill="auto"/>
            <w:vAlign w:val="center"/>
          </w:tcPr>
          <w:p w14:paraId="2868F02D" w14:textId="7B7814CD" w:rsidR="00D0253F" w:rsidRDefault="00D0253F" w:rsidP="00D0253F">
            <w:pPr>
              <w:rPr>
                <w:sz w:val="18"/>
                <w:szCs w:val="18"/>
              </w:rPr>
            </w:pPr>
            <w:r>
              <w:rPr>
                <w:sz w:val="18"/>
                <w:szCs w:val="18"/>
              </w:rPr>
              <w:t>06.03.00 "Maksātnespējas procesa pārvaldība”</w:t>
            </w:r>
          </w:p>
        </w:tc>
        <w:tc>
          <w:tcPr>
            <w:tcW w:w="826" w:type="dxa"/>
            <w:tcBorders>
              <w:top w:val="nil"/>
              <w:left w:val="nil"/>
              <w:bottom w:val="single" w:sz="4" w:space="0" w:color="BFBFBF"/>
              <w:right w:val="single" w:sz="4" w:space="0" w:color="BFBFBF"/>
            </w:tcBorders>
            <w:shd w:val="clear" w:color="auto" w:fill="auto"/>
            <w:vAlign w:val="center"/>
          </w:tcPr>
          <w:p w14:paraId="5CD2ABB6" w14:textId="48C2E8BE"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887" w:type="dxa"/>
            <w:tcBorders>
              <w:top w:val="nil"/>
              <w:left w:val="nil"/>
              <w:bottom w:val="single" w:sz="4" w:space="0" w:color="BFBFBF"/>
              <w:right w:val="single" w:sz="4" w:space="0" w:color="BFBFBF"/>
            </w:tcBorders>
            <w:shd w:val="clear" w:color="auto" w:fill="auto"/>
            <w:vAlign w:val="center"/>
          </w:tcPr>
          <w:p w14:paraId="19125C42" w14:textId="7867ACFE"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947" w:type="dxa"/>
            <w:tcBorders>
              <w:top w:val="nil"/>
              <w:left w:val="nil"/>
              <w:bottom w:val="single" w:sz="4" w:space="0" w:color="BFBFBF"/>
              <w:right w:val="single" w:sz="4" w:space="0" w:color="BFBFBF"/>
            </w:tcBorders>
            <w:shd w:val="clear" w:color="auto" w:fill="auto"/>
            <w:vAlign w:val="center"/>
          </w:tcPr>
          <w:p w14:paraId="7069FC1B" w14:textId="3C6482A9"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1111" w:type="dxa"/>
            <w:tcBorders>
              <w:top w:val="nil"/>
              <w:left w:val="nil"/>
              <w:bottom w:val="single" w:sz="4" w:space="0" w:color="BFBFBF"/>
              <w:right w:val="single" w:sz="4" w:space="0" w:color="BFBFBF"/>
            </w:tcBorders>
            <w:shd w:val="clear" w:color="auto" w:fill="auto"/>
            <w:vAlign w:val="center"/>
          </w:tcPr>
          <w:p w14:paraId="2CF9977D" w14:textId="3F7ABAFD" w:rsidR="00D0253F" w:rsidRDefault="00D0253F" w:rsidP="00D0253F">
            <w:pPr>
              <w:jc w:val="center"/>
              <w:rPr>
                <w:sz w:val="18"/>
                <w:szCs w:val="18"/>
              </w:rPr>
            </w:pPr>
            <w:r>
              <w:rPr>
                <w:sz w:val="18"/>
                <w:szCs w:val="18"/>
              </w:rPr>
              <w:t>0</w:t>
            </w:r>
          </w:p>
        </w:tc>
        <w:tc>
          <w:tcPr>
            <w:tcW w:w="986" w:type="dxa"/>
            <w:tcBorders>
              <w:top w:val="nil"/>
              <w:left w:val="nil"/>
              <w:bottom w:val="single" w:sz="4" w:space="0" w:color="BFBFBF"/>
              <w:right w:val="single" w:sz="4" w:space="0" w:color="BFBFBF"/>
            </w:tcBorders>
            <w:shd w:val="clear" w:color="auto" w:fill="auto"/>
            <w:vAlign w:val="center"/>
          </w:tcPr>
          <w:p w14:paraId="7E355DAA" w14:textId="3AE79EB4" w:rsidR="00D0253F" w:rsidRDefault="00D0253F" w:rsidP="00D0253F">
            <w:pPr>
              <w:jc w:val="center"/>
              <w:rPr>
                <w:sz w:val="18"/>
                <w:szCs w:val="18"/>
              </w:rPr>
            </w:pPr>
            <w:r>
              <w:rPr>
                <w:sz w:val="18"/>
                <w:szCs w:val="18"/>
              </w:rPr>
              <w:t>55 774</w:t>
            </w:r>
          </w:p>
        </w:tc>
        <w:tc>
          <w:tcPr>
            <w:tcW w:w="1052" w:type="dxa"/>
            <w:tcBorders>
              <w:top w:val="nil"/>
              <w:left w:val="nil"/>
              <w:bottom w:val="single" w:sz="4" w:space="0" w:color="BFBFBF"/>
              <w:right w:val="single" w:sz="4" w:space="0" w:color="BFBFBF"/>
            </w:tcBorders>
            <w:shd w:val="clear" w:color="auto" w:fill="auto"/>
            <w:vAlign w:val="center"/>
          </w:tcPr>
          <w:p w14:paraId="605738FE" w14:textId="02242C56" w:rsidR="00D0253F" w:rsidRDefault="00D0253F" w:rsidP="00D0253F">
            <w:pPr>
              <w:jc w:val="center"/>
              <w:rPr>
                <w:sz w:val="18"/>
                <w:szCs w:val="18"/>
              </w:rPr>
            </w:pPr>
            <w:r>
              <w:rPr>
                <w:sz w:val="18"/>
                <w:szCs w:val="18"/>
              </w:rPr>
              <w:t>51 374</w:t>
            </w:r>
          </w:p>
        </w:tc>
        <w:tc>
          <w:tcPr>
            <w:tcW w:w="1186" w:type="dxa"/>
            <w:tcBorders>
              <w:top w:val="nil"/>
              <w:left w:val="nil"/>
              <w:bottom w:val="single" w:sz="4" w:space="0" w:color="BFBFBF"/>
              <w:right w:val="single" w:sz="4" w:space="0" w:color="BFBFBF"/>
            </w:tcBorders>
            <w:shd w:val="clear" w:color="auto" w:fill="auto"/>
            <w:vAlign w:val="center"/>
          </w:tcPr>
          <w:p w14:paraId="0D325A65" w14:textId="757AFB73" w:rsidR="00D0253F" w:rsidRDefault="00D0253F" w:rsidP="00D0253F">
            <w:pPr>
              <w:jc w:val="center"/>
              <w:rPr>
                <w:sz w:val="18"/>
                <w:szCs w:val="18"/>
              </w:rPr>
            </w:pPr>
            <w:r>
              <w:rPr>
                <w:sz w:val="18"/>
                <w:szCs w:val="18"/>
              </w:rPr>
              <w:t>0</w:t>
            </w:r>
          </w:p>
        </w:tc>
        <w:tc>
          <w:tcPr>
            <w:tcW w:w="999" w:type="dxa"/>
            <w:tcBorders>
              <w:top w:val="nil"/>
              <w:left w:val="nil"/>
              <w:bottom w:val="single" w:sz="4" w:space="0" w:color="BFBFBF"/>
              <w:right w:val="single" w:sz="4" w:space="0" w:color="BFBFBF"/>
            </w:tcBorders>
            <w:shd w:val="clear" w:color="auto" w:fill="auto"/>
            <w:vAlign w:val="center"/>
          </w:tcPr>
          <w:p w14:paraId="5FC27A4E" w14:textId="3BF3FD37" w:rsidR="00D0253F" w:rsidRDefault="00D0253F" w:rsidP="00D0253F">
            <w:pPr>
              <w:jc w:val="center"/>
              <w:rPr>
                <w:sz w:val="18"/>
                <w:szCs w:val="18"/>
              </w:rPr>
            </w:pPr>
            <w:r>
              <w:rPr>
                <w:sz w:val="18"/>
                <w:szCs w:val="18"/>
              </w:rPr>
              <w:t>51 374</w:t>
            </w:r>
          </w:p>
        </w:tc>
        <w:tc>
          <w:tcPr>
            <w:tcW w:w="1296" w:type="dxa"/>
            <w:tcBorders>
              <w:top w:val="nil"/>
              <w:left w:val="nil"/>
              <w:bottom w:val="single" w:sz="4" w:space="0" w:color="BFBFBF"/>
              <w:right w:val="single" w:sz="4" w:space="0" w:color="BFBFBF"/>
            </w:tcBorders>
            <w:shd w:val="clear" w:color="auto" w:fill="auto"/>
            <w:vAlign w:val="center"/>
          </w:tcPr>
          <w:p w14:paraId="42DAE338" w14:textId="09A5F4F5" w:rsidR="00D0253F" w:rsidRDefault="00D0253F" w:rsidP="00D0253F">
            <w:pPr>
              <w:jc w:val="center"/>
              <w:rPr>
                <w:sz w:val="18"/>
                <w:szCs w:val="18"/>
              </w:rPr>
            </w:pPr>
            <w:r>
              <w:rPr>
                <w:sz w:val="18"/>
                <w:szCs w:val="18"/>
              </w:rPr>
              <w:t>x</w:t>
            </w:r>
          </w:p>
        </w:tc>
      </w:tr>
      <w:tr w:rsidR="00D0253F" w:rsidRPr="0035149B" w14:paraId="30BE087A" w14:textId="77777777" w:rsidTr="00606897">
        <w:trPr>
          <w:trHeight w:val="585"/>
        </w:trPr>
        <w:tc>
          <w:tcPr>
            <w:tcW w:w="1752" w:type="dxa"/>
            <w:tcBorders>
              <w:top w:val="nil"/>
              <w:left w:val="single" w:sz="4" w:space="0" w:color="BFBFBF"/>
              <w:bottom w:val="single" w:sz="4" w:space="0" w:color="BFBFBF"/>
              <w:right w:val="single" w:sz="4" w:space="0" w:color="BFBFBF"/>
            </w:tcBorders>
            <w:shd w:val="clear" w:color="auto" w:fill="auto"/>
            <w:vAlign w:val="center"/>
            <w:hideMark/>
          </w:tcPr>
          <w:p w14:paraId="69919189" w14:textId="5100C7C4" w:rsidR="00D0253F" w:rsidRPr="0035149B" w:rsidRDefault="00D0253F" w:rsidP="00D0253F">
            <w:pPr>
              <w:rPr>
                <w:rFonts w:eastAsia="Times New Roman" w:cs="Times New Roman"/>
                <w:b/>
                <w:bCs/>
                <w:sz w:val="18"/>
                <w:szCs w:val="18"/>
                <w:lang w:eastAsia="lv-LV"/>
              </w:rPr>
            </w:pPr>
            <w:r>
              <w:rPr>
                <w:b/>
                <w:bCs/>
                <w:sz w:val="18"/>
                <w:szCs w:val="18"/>
              </w:rPr>
              <w:t>Tieslietu ministrija</w:t>
            </w:r>
          </w:p>
        </w:tc>
        <w:tc>
          <w:tcPr>
            <w:tcW w:w="1667" w:type="dxa"/>
            <w:tcBorders>
              <w:top w:val="nil"/>
              <w:left w:val="nil"/>
              <w:bottom w:val="single" w:sz="4" w:space="0" w:color="BFBFBF"/>
              <w:right w:val="single" w:sz="4" w:space="0" w:color="BFBFBF"/>
            </w:tcBorders>
            <w:shd w:val="clear" w:color="auto" w:fill="auto"/>
            <w:vAlign w:val="center"/>
            <w:hideMark/>
          </w:tcPr>
          <w:p w14:paraId="108920BF" w14:textId="25FC9534" w:rsidR="00D0253F" w:rsidRPr="0035149B" w:rsidRDefault="00D0253F" w:rsidP="00D0253F">
            <w:pPr>
              <w:rPr>
                <w:rFonts w:eastAsia="Times New Roman" w:cs="Times New Roman"/>
                <w:b/>
                <w:bCs/>
                <w:color w:val="FF0000"/>
                <w:sz w:val="18"/>
                <w:szCs w:val="18"/>
                <w:lang w:eastAsia="lv-LV"/>
              </w:rPr>
            </w:pPr>
            <w:r>
              <w:rPr>
                <w:b/>
                <w:bCs/>
                <w:sz w:val="18"/>
                <w:szCs w:val="18"/>
              </w:rPr>
              <w:t> </w:t>
            </w:r>
          </w:p>
        </w:tc>
        <w:tc>
          <w:tcPr>
            <w:tcW w:w="2211" w:type="dxa"/>
            <w:tcBorders>
              <w:top w:val="nil"/>
              <w:left w:val="nil"/>
              <w:bottom w:val="single" w:sz="4" w:space="0" w:color="BFBFBF"/>
              <w:right w:val="single" w:sz="4" w:space="0" w:color="BFBFBF"/>
            </w:tcBorders>
            <w:shd w:val="clear" w:color="auto" w:fill="auto"/>
            <w:vAlign w:val="center"/>
            <w:hideMark/>
          </w:tcPr>
          <w:p w14:paraId="77B9E90B" w14:textId="76C61178" w:rsidR="00D0253F" w:rsidRPr="0035149B" w:rsidRDefault="00D0253F" w:rsidP="00D0253F">
            <w:pPr>
              <w:rPr>
                <w:rFonts w:eastAsia="Times New Roman" w:cs="Times New Roman"/>
                <w:sz w:val="18"/>
                <w:szCs w:val="18"/>
                <w:lang w:eastAsia="lv-LV"/>
              </w:rPr>
            </w:pPr>
            <w:r>
              <w:rPr>
                <w:sz w:val="18"/>
                <w:szCs w:val="18"/>
              </w:rPr>
              <w:t>09.01.00 "Valsts valodas aizsardzība"</w:t>
            </w:r>
          </w:p>
        </w:tc>
        <w:tc>
          <w:tcPr>
            <w:tcW w:w="826" w:type="dxa"/>
            <w:tcBorders>
              <w:top w:val="nil"/>
              <w:left w:val="nil"/>
              <w:bottom w:val="single" w:sz="4" w:space="0" w:color="BFBFBF"/>
              <w:right w:val="single" w:sz="4" w:space="0" w:color="BFBFBF"/>
            </w:tcBorders>
            <w:shd w:val="clear" w:color="auto" w:fill="auto"/>
            <w:vAlign w:val="center"/>
            <w:hideMark/>
          </w:tcPr>
          <w:p w14:paraId="322E4AE6" w14:textId="2B8A8BD4"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887" w:type="dxa"/>
            <w:tcBorders>
              <w:top w:val="nil"/>
              <w:left w:val="nil"/>
              <w:bottom w:val="single" w:sz="4" w:space="0" w:color="BFBFBF"/>
              <w:right w:val="single" w:sz="4" w:space="0" w:color="BFBFBF"/>
            </w:tcBorders>
            <w:shd w:val="clear" w:color="auto" w:fill="auto"/>
            <w:vAlign w:val="center"/>
            <w:hideMark/>
          </w:tcPr>
          <w:p w14:paraId="34FC35CB" w14:textId="7D230952"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947" w:type="dxa"/>
            <w:tcBorders>
              <w:top w:val="nil"/>
              <w:left w:val="nil"/>
              <w:bottom w:val="single" w:sz="4" w:space="0" w:color="BFBFBF"/>
              <w:right w:val="single" w:sz="4" w:space="0" w:color="BFBFBF"/>
            </w:tcBorders>
            <w:shd w:val="clear" w:color="auto" w:fill="auto"/>
            <w:vAlign w:val="center"/>
            <w:hideMark/>
          </w:tcPr>
          <w:p w14:paraId="4AA87739" w14:textId="44298FAA"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1111" w:type="dxa"/>
            <w:tcBorders>
              <w:top w:val="nil"/>
              <w:left w:val="nil"/>
              <w:bottom w:val="single" w:sz="4" w:space="0" w:color="BFBFBF"/>
              <w:right w:val="single" w:sz="4" w:space="0" w:color="BFBFBF"/>
            </w:tcBorders>
            <w:shd w:val="clear" w:color="auto" w:fill="auto"/>
            <w:vAlign w:val="center"/>
            <w:hideMark/>
          </w:tcPr>
          <w:p w14:paraId="3BF2B4AD" w14:textId="27992640" w:rsidR="00D0253F" w:rsidRPr="0035149B" w:rsidRDefault="00D0253F" w:rsidP="00D0253F">
            <w:pPr>
              <w:jc w:val="center"/>
              <w:rPr>
                <w:rFonts w:eastAsia="Times New Roman" w:cs="Times New Roman"/>
                <w:sz w:val="18"/>
                <w:szCs w:val="18"/>
                <w:lang w:eastAsia="lv-LV"/>
              </w:rPr>
            </w:pPr>
            <w:r>
              <w:rPr>
                <w:sz w:val="18"/>
                <w:szCs w:val="18"/>
              </w:rPr>
              <w:t>48 649</w:t>
            </w:r>
          </w:p>
        </w:tc>
        <w:tc>
          <w:tcPr>
            <w:tcW w:w="986" w:type="dxa"/>
            <w:tcBorders>
              <w:top w:val="nil"/>
              <w:left w:val="nil"/>
              <w:bottom w:val="single" w:sz="4" w:space="0" w:color="BFBFBF"/>
              <w:right w:val="single" w:sz="4" w:space="0" w:color="BFBFBF"/>
            </w:tcBorders>
            <w:shd w:val="clear" w:color="auto" w:fill="auto"/>
            <w:vAlign w:val="center"/>
            <w:hideMark/>
          </w:tcPr>
          <w:p w14:paraId="690A2B0F" w14:textId="395D3041" w:rsidR="00D0253F" w:rsidRPr="0035149B" w:rsidRDefault="00D0253F" w:rsidP="00D0253F">
            <w:pPr>
              <w:jc w:val="center"/>
              <w:rPr>
                <w:rFonts w:eastAsia="Times New Roman" w:cs="Times New Roman"/>
                <w:sz w:val="18"/>
                <w:szCs w:val="18"/>
                <w:lang w:eastAsia="lv-LV"/>
              </w:rPr>
            </w:pPr>
            <w:r>
              <w:rPr>
                <w:sz w:val="18"/>
                <w:szCs w:val="18"/>
              </w:rPr>
              <w:t>48 649</w:t>
            </w:r>
          </w:p>
        </w:tc>
        <w:tc>
          <w:tcPr>
            <w:tcW w:w="1052" w:type="dxa"/>
            <w:tcBorders>
              <w:top w:val="nil"/>
              <w:left w:val="nil"/>
              <w:bottom w:val="single" w:sz="4" w:space="0" w:color="BFBFBF"/>
              <w:right w:val="single" w:sz="4" w:space="0" w:color="BFBFBF"/>
            </w:tcBorders>
            <w:shd w:val="clear" w:color="auto" w:fill="auto"/>
            <w:vAlign w:val="center"/>
            <w:hideMark/>
          </w:tcPr>
          <w:p w14:paraId="4622D2F6" w14:textId="471100A2" w:rsidR="00D0253F" w:rsidRPr="0035149B" w:rsidRDefault="00D0253F" w:rsidP="00D0253F">
            <w:pPr>
              <w:jc w:val="center"/>
              <w:rPr>
                <w:rFonts w:eastAsia="Times New Roman" w:cs="Times New Roman"/>
                <w:sz w:val="18"/>
                <w:szCs w:val="18"/>
                <w:lang w:eastAsia="lv-LV"/>
              </w:rPr>
            </w:pPr>
            <w:r>
              <w:rPr>
                <w:sz w:val="18"/>
                <w:szCs w:val="18"/>
              </w:rPr>
              <w:t>48 649</w:t>
            </w:r>
          </w:p>
        </w:tc>
        <w:tc>
          <w:tcPr>
            <w:tcW w:w="1186" w:type="dxa"/>
            <w:tcBorders>
              <w:top w:val="nil"/>
              <w:left w:val="nil"/>
              <w:bottom w:val="single" w:sz="4" w:space="0" w:color="BFBFBF"/>
              <w:right w:val="single" w:sz="4" w:space="0" w:color="BFBFBF"/>
            </w:tcBorders>
            <w:shd w:val="clear" w:color="auto" w:fill="auto"/>
            <w:vAlign w:val="center"/>
            <w:hideMark/>
          </w:tcPr>
          <w:p w14:paraId="41041284" w14:textId="72522A94"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nil"/>
              <w:left w:val="nil"/>
              <w:bottom w:val="single" w:sz="4" w:space="0" w:color="BFBFBF"/>
              <w:right w:val="single" w:sz="4" w:space="0" w:color="BFBFBF"/>
            </w:tcBorders>
            <w:shd w:val="clear" w:color="auto" w:fill="auto"/>
            <w:vAlign w:val="center"/>
            <w:hideMark/>
          </w:tcPr>
          <w:p w14:paraId="5447220D" w14:textId="553866E7" w:rsidR="00D0253F" w:rsidRPr="0035149B" w:rsidRDefault="00D0253F" w:rsidP="00D0253F">
            <w:pPr>
              <w:jc w:val="center"/>
              <w:rPr>
                <w:rFonts w:eastAsia="Times New Roman" w:cs="Times New Roman"/>
                <w:sz w:val="18"/>
                <w:szCs w:val="18"/>
                <w:lang w:eastAsia="lv-LV"/>
              </w:rPr>
            </w:pPr>
            <w:r>
              <w:rPr>
                <w:sz w:val="18"/>
                <w:szCs w:val="18"/>
              </w:rPr>
              <w:t>48 649</w:t>
            </w:r>
          </w:p>
        </w:tc>
        <w:tc>
          <w:tcPr>
            <w:tcW w:w="1296" w:type="dxa"/>
            <w:tcBorders>
              <w:top w:val="nil"/>
              <w:left w:val="nil"/>
              <w:bottom w:val="single" w:sz="4" w:space="0" w:color="BFBFBF"/>
              <w:right w:val="single" w:sz="4" w:space="0" w:color="BFBFBF"/>
            </w:tcBorders>
            <w:shd w:val="clear" w:color="auto" w:fill="auto"/>
            <w:vAlign w:val="center"/>
            <w:hideMark/>
          </w:tcPr>
          <w:p w14:paraId="47F22D3B" w14:textId="6FD07E90" w:rsidR="00D0253F" w:rsidRPr="0035149B" w:rsidRDefault="00D0253F" w:rsidP="00D0253F">
            <w:pPr>
              <w:jc w:val="center"/>
              <w:rPr>
                <w:rFonts w:eastAsia="Times New Roman" w:cs="Times New Roman"/>
                <w:sz w:val="18"/>
                <w:szCs w:val="18"/>
                <w:lang w:eastAsia="lv-LV"/>
              </w:rPr>
            </w:pPr>
            <w:r>
              <w:rPr>
                <w:sz w:val="18"/>
                <w:szCs w:val="18"/>
              </w:rPr>
              <w:t>x</w:t>
            </w:r>
          </w:p>
        </w:tc>
      </w:tr>
      <w:tr w:rsidR="00D0253F" w:rsidRPr="0035149B" w14:paraId="52A42563" w14:textId="77777777" w:rsidTr="00606897">
        <w:trPr>
          <w:trHeight w:val="630"/>
        </w:trPr>
        <w:tc>
          <w:tcPr>
            <w:tcW w:w="1752" w:type="dxa"/>
            <w:tcBorders>
              <w:top w:val="nil"/>
              <w:left w:val="single" w:sz="4" w:space="0" w:color="BFBFBF"/>
              <w:bottom w:val="single" w:sz="4" w:space="0" w:color="BFBFBF"/>
              <w:right w:val="single" w:sz="4" w:space="0" w:color="BFBFBF"/>
            </w:tcBorders>
            <w:shd w:val="clear" w:color="auto" w:fill="auto"/>
            <w:vAlign w:val="center"/>
            <w:hideMark/>
          </w:tcPr>
          <w:p w14:paraId="0557F436" w14:textId="2C944191" w:rsidR="00D0253F" w:rsidRPr="0035149B" w:rsidRDefault="00D0253F" w:rsidP="00D0253F">
            <w:pPr>
              <w:rPr>
                <w:rFonts w:eastAsia="Times New Roman" w:cs="Times New Roman"/>
                <w:b/>
                <w:bCs/>
                <w:sz w:val="18"/>
                <w:szCs w:val="18"/>
                <w:lang w:eastAsia="lv-LV"/>
              </w:rPr>
            </w:pPr>
            <w:r>
              <w:rPr>
                <w:b/>
                <w:bCs/>
                <w:sz w:val="18"/>
                <w:szCs w:val="18"/>
              </w:rPr>
              <w:t>Tieslietu ministrija</w:t>
            </w:r>
          </w:p>
        </w:tc>
        <w:tc>
          <w:tcPr>
            <w:tcW w:w="1667" w:type="dxa"/>
            <w:tcBorders>
              <w:top w:val="nil"/>
              <w:left w:val="nil"/>
              <w:bottom w:val="single" w:sz="4" w:space="0" w:color="BFBFBF"/>
              <w:right w:val="single" w:sz="4" w:space="0" w:color="BFBFBF"/>
            </w:tcBorders>
            <w:shd w:val="clear" w:color="auto" w:fill="auto"/>
            <w:vAlign w:val="center"/>
            <w:hideMark/>
          </w:tcPr>
          <w:p w14:paraId="1A405E76" w14:textId="4EA416D7" w:rsidR="00D0253F" w:rsidRPr="0035149B" w:rsidRDefault="00D0253F" w:rsidP="00D0253F">
            <w:pPr>
              <w:rPr>
                <w:rFonts w:eastAsia="Times New Roman" w:cs="Times New Roman"/>
                <w:b/>
                <w:bCs/>
                <w:color w:val="FF0000"/>
                <w:sz w:val="18"/>
                <w:szCs w:val="18"/>
                <w:lang w:eastAsia="lv-LV"/>
              </w:rPr>
            </w:pPr>
            <w:r>
              <w:rPr>
                <w:b/>
                <w:bCs/>
                <w:sz w:val="18"/>
                <w:szCs w:val="18"/>
              </w:rPr>
              <w:t> </w:t>
            </w:r>
          </w:p>
        </w:tc>
        <w:tc>
          <w:tcPr>
            <w:tcW w:w="2211" w:type="dxa"/>
            <w:tcBorders>
              <w:top w:val="nil"/>
              <w:left w:val="nil"/>
              <w:bottom w:val="single" w:sz="4" w:space="0" w:color="BFBFBF"/>
              <w:right w:val="single" w:sz="4" w:space="0" w:color="BFBFBF"/>
            </w:tcBorders>
            <w:shd w:val="clear" w:color="auto" w:fill="auto"/>
            <w:vAlign w:val="center"/>
            <w:hideMark/>
          </w:tcPr>
          <w:p w14:paraId="32749A1A" w14:textId="78DEA06F" w:rsidR="00D0253F" w:rsidRPr="0035149B" w:rsidRDefault="00D0253F" w:rsidP="00D0253F">
            <w:pPr>
              <w:rPr>
                <w:rFonts w:eastAsia="Times New Roman" w:cs="Times New Roman"/>
                <w:sz w:val="18"/>
                <w:szCs w:val="18"/>
                <w:lang w:eastAsia="lv-LV"/>
              </w:rPr>
            </w:pPr>
            <w:r>
              <w:rPr>
                <w:sz w:val="18"/>
                <w:szCs w:val="18"/>
              </w:rPr>
              <w:t>09.07.00 "Oficiālās publikācijas un tiesiskās informācijas nodrošināšana"</w:t>
            </w:r>
          </w:p>
        </w:tc>
        <w:tc>
          <w:tcPr>
            <w:tcW w:w="826" w:type="dxa"/>
            <w:tcBorders>
              <w:top w:val="nil"/>
              <w:left w:val="nil"/>
              <w:bottom w:val="single" w:sz="4" w:space="0" w:color="BFBFBF"/>
              <w:right w:val="single" w:sz="4" w:space="0" w:color="BFBFBF"/>
            </w:tcBorders>
            <w:shd w:val="clear" w:color="auto" w:fill="auto"/>
            <w:vAlign w:val="center"/>
            <w:hideMark/>
          </w:tcPr>
          <w:p w14:paraId="3E48AAFE" w14:textId="3766CE86"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887" w:type="dxa"/>
            <w:tcBorders>
              <w:top w:val="nil"/>
              <w:left w:val="nil"/>
              <w:bottom w:val="single" w:sz="4" w:space="0" w:color="BFBFBF"/>
              <w:right w:val="single" w:sz="4" w:space="0" w:color="BFBFBF"/>
            </w:tcBorders>
            <w:shd w:val="clear" w:color="auto" w:fill="auto"/>
            <w:vAlign w:val="center"/>
            <w:hideMark/>
          </w:tcPr>
          <w:p w14:paraId="04D49A0F" w14:textId="7E0DC796"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947" w:type="dxa"/>
            <w:tcBorders>
              <w:top w:val="nil"/>
              <w:left w:val="nil"/>
              <w:bottom w:val="single" w:sz="4" w:space="0" w:color="BFBFBF"/>
              <w:right w:val="single" w:sz="4" w:space="0" w:color="BFBFBF"/>
            </w:tcBorders>
            <w:shd w:val="clear" w:color="auto" w:fill="auto"/>
            <w:vAlign w:val="center"/>
            <w:hideMark/>
          </w:tcPr>
          <w:p w14:paraId="6B26E55F" w14:textId="71AECEAF"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1111" w:type="dxa"/>
            <w:tcBorders>
              <w:top w:val="nil"/>
              <w:left w:val="nil"/>
              <w:bottom w:val="single" w:sz="4" w:space="0" w:color="BFBFBF"/>
              <w:right w:val="single" w:sz="4" w:space="0" w:color="BFBFBF"/>
            </w:tcBorders>
            <w:shd w:val="clear" w:color="auto" w:fill="auto"/>
            <w:vAlign w:val="center"/>
            <w:hideMark/>
          </w:tcPr>
          <w:p w14:paraId="4E3A68FE" w14:textId="0FBDCAFF" w:rsidR="00D0253F" w:rsidRPr="0035149B" w:rsidRDefault="00D0253F" w:rsidP="00D0253F">
            <w:pPr>
              <w:jc w:val="center"/>
              <w:rPr>
                <w:rFonts w:eastAsia="Times New Roman" w:cs="Times New Roman"/>
                <w:sz w:val="18"/>
                <w:szCs w:val="18"/>
                <w:lang w:eastAsia="lv-LV"/>
              </w:rPr>
            </w:pPr>
            <w:r>
              <w:rPr>
                <w:sz w:val="18"/>
                <w:szCs w:val="18"/>
              </w:rPr>
              <w:t>48 041</w:t>
            </w:r>
          </w:p>
        </w:tc>
        <w:tc>
          <w:tcPr>
            <w:tcW w:w="986" w:type="dxa"/>
            <w:tcBorders>
              <w:top w:val="nil"/>
              <w:left w:val="nil"/>
              <w:bottom w:val="single" w:sz="4" w:space="0" w:color="BFBFBF"/>
              <w:right w:val="single" w:sz="4" w:space="0" w:color="BFBFBF"/>
            </w:tcBorders>
            <w:shd w:val="clear" w:color="auto" w:fill="auto"/>
            <w:vAlign w:val="center"/>
            <w:hideMark/>
          </w:tcPr>
          <w:p w14:paraId="31DABF4D" w14:textId="7F215819" w:rsidR="00D0253F" w:rsidRPr="0035149B" w:rsidRDefault="00D0253F" w:rsidP="00D0253F">
            <w:pPr>
              <w:jc w:val="center"/>
              <w:rPr>
                <w:rFonts w:eastAsia="Times New Roman" w:cs="Times New Roman"/>
                <w:sz w:val="18"/>
                <w:szCs w:val="18"/>
                <w:lang w:eastAsia="lv-LV"/>
              </w:rPr>
            </w:pPr>
            <w:r>
              <w:rPr>
                <w:sz w:val="18"/>
                <w:szCs w:val="18"/>
              </w:rPr>
              <w:t>48 041</w:t>
            </w:r>
          </w:p>
        </w:tc>
        <w:tc>
          <w:tcPr>
            <w:tcW w:w="1052" w:type="dxa"/>
            <w:tcBorders>
              <w:top w:val="nil"/>
              <w:left w:val="nil"/>
              <w:bottom w:val="single" w:sz="4" w:space="0" w:color="BFBFBF"/>
              <w:right w:val="single" w:sz="4" w:space="0" w:color="BFBFBF"/>
            </w:tcBorders>
            <w:shd w:val="clear" w:color="auto" w:fill="auto"/>
            <w:vAlign w:val="center"/>
            <w:hideMark/>
          </w:tcPr>
          <w:p w14:paraId="2FE9BD72" w14:textId="3D3DB184" w:rsidR="00D0253F" w:rsidRPr="0035149B" w:rsidRDefault="00D0253F" w:rsidP="00D0253F">
            <w:pPr>
              <w:jc w:val="center"/>
              <w:rPr>
                <w:rFonts w:eastAsia="Times New Roman" w:cs="Times New Roman"/>
                <w:sz w:val="18"/>
                <w:szCs w:val="18"/>
                <w:lang w:eastAsia="lv-LV"/>
              </w:rPr>
            </w:pPr>
            <w:r>
              <w:rPr>
                <w:sz w:val="18"/>
                <w:szCs w:val="18"/>
              </w:rPr>
              <w:t>48 041</w:t>
            </w:r>
          </w:p>
        </w:tc>
        <w:tc>
          <w:tcPr>
            <w:tcW w:w="1186" w:type="dxa"/>
            <w:tcBorders>
              <w:top w:val="nil"/>
              <w:left w:val="nil"/>
              <w:bottom w:val="single" w:sz="4" w:space="0" w:color="BFBFBF"/>
              <w:right w:val="single" w:sz="4" w:space="0" w:color="BFBFBF"/>
            </w:tcBorders>
            <w:shd w:val="clear" w:color="auto" w:fill="auto"/>
            <w:vAlign w:val="center"/>
            <w:hideMark/>
          </w:tcPr>
          <w:p w14:paraId="35159B67" w14:textId="02CFE74E"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nil"/>
              <w:left w:val="nil"/>
              <w:bottom w:val="single" w:sz="4" w:space="0" w:color="BFBFBF"/>
              <w:right w:val="single" w:sz="4" w:space="0" w:color="BFBFBF"/>
            </w:tcBorders>
            <w:shd w:val="clear" w:color="auto" w:fill="auto"/>
            <w:vAlign w:val="center"/>
            <w:hideMark/>
          </w:tcPr>
          <w:p w14:paraId="18F781DB" w14:textId="7CE94059" w:rsidR="00D0253F" w:rsidRPr="0035149B" w:rsidRDefault="00D0253F" w:rsidP="00D0253F">
            <w:pPr>
              <w:jc w:val="center"/>
              <w:rPr>
                <w:rFonts w:eastAsia="Times New Roman" w:cs="Times New Roman"/>
                <w:sz w:val="18"/>
                <w:szCs w:val="18"/>
                <w:lang w:eastAsia="lv-LV"/>
              </w:rPr>
            </w:pPr>
            <w:r>
              <w:rPr>
                <w:sz w:val="18"/>
                <w:szCs w:val="18"/>
              </w:rPr>
              <w:t>48 041</w:t>
            </w:r>
          </w:p>
        </w:tc>
        <w:tc>
          <w:tcPr>
            <w:tcW w:w="1296" w:type="dxa"/>
            <w:tcBorders>
              <w:top w:val="nil"/>
              <w:left w:val="nil"/>
              <w:bottom w:val="single" w:sz="4" w:space="0" w:color="BFBFBF"/>
              <w:right w:val="single" w:sz="4" w:space="0" w:color="BFBFBF"/>
            </w:tcBorders>
            <w:shd w:val="clear" w:color="auto" w:fill="auto"/>
            <w:vAlign w:val="center"/>
            <w:hideMark/>
          </w:tcPr>
          <w:p w14:paraId="6A3D7451" w14:textId="1B568C33" w:rsidR="00D0253F" w:rsidRPr="0035149B" w:rsidRDefault="00D0253F" w:rsidP="00D0253F">
            <w:pPr>
              <w:jc w:val="center"/>
              <w:rPr>
                <w:rFonts w:eastAsia="Times New Roman" w:cs="Times New Roman"/>
                <w:sz w:val="18"/>
                <w:szCs w:val="18"/>
                <w:lang w:eastAsia="lv-LV"/>
              </w:rPr>
            </w:pPr>
            <w:r>
              <w:rPr>
                <w:sz w:val="18"/>
                <w:szCs w:val="18"/>
              </w:rPr>
              <w:t>x</w:t>
            </w:r>
          </w:p>
        </w:tc>
      </w:tr>
      <w:tr w:rsidR="00D0253F" w:rsidRPr="0035149B" w14:paraId="0168E84B" w14:textId="77777777" w:rsidTr="00F8655C">
        <w:trPr>
          <w:trHeight w:val="690"/>
        </w:trPr>
        <w:tc>
          <w:tcPr>
            <w:tcW w:w="175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3B1842" w14:textId="624D404A" w:rsidR="00D0253F" w:rsidRPr="0035149B" w:rsidRDefault="00D0253F" w:rsidP="00D0253F">
            <w:pPr>
              <w:rPr>
                <w:rFonts w:eastAsia="Times New Roman" w:cs="Times New Roman"/>
                <w:b/>
                <w:bCs/>
                <w:sz w:val="18"/>
                <w:szCs w:val="18"/>
                <w:lang w:eastAsia="lv-LV"/>
              </w:rPr>
            </w:pPr>
            <w:r>
              <w:rPr>
                <w:b/>
                <w:bCs/>
                <w:sz w:val="18"/>
                <w:szCs w:val="18"/>
              </w:rPr>
              <w:t>Finanšu ministrija</w:t>
            </w:r>
          </w:p>
        </w:tc>
        <w:tc>
          <w:tcPr>
            <w:tcW w:w="1667" w:type="dxa"/>
            <w:tcBorders>
              <w:top w:val="single" w:sz="4" w:space="0" w:color="BFBFBF"/>
              <w:left w:val="nil"/>
              <w:bottom w:val="single" w:sz="4" w:space="0" w:color="BFBFBF"/>
              <w:right w:val="single" w:sz="4" w:space="0" w:color="BFBFBF"/>
            </w:tcBorders>
            <w:shd w:val="clear" w:color="auto" w:fill="auto"/>
            <w:vAlign w:val="center"/>
            <w:hideMark/>
          </w:tcPr>
          <w:p w14:paraId="3C1E9F40" w14:textId="48A846D3" w:rsidR="00D0253F" w:rsidRPr="0035149B" w:rsidRDefault="00D0253F" w:rsidP="00D0253F">
            <w:pPr>
              <w:rPr>
                <w:rFonts w:eastAsia="Times New Roman" w:cs="Times New Roman"/>
                <w:b/>
                <w:bCs/>
                <w:color w:val="FF0000"/>
                <w:sz w:val="18"/>
                <w:szCs w:val="18"/>
                <w:lang w:eastAsia="lv-LV"/>
              </w:rPr>
            </w:pPr>
            <w:r>
              <w:rPr>
                <w:b/>
                <w:bCs/>
                <w:sz w:val="18"/>
                <w:szCs w:val="18"/>
              </w:rPr>
              <w:t> </w:t>
            </w:r>
          </w:p>
        </w:tc>
        <w:tc>
          <w:tcPr>
            <w:tcW w:w="2211" w:type="dxa"/>
            <w:tcBorders>
              <w:top w:val="single" w:sz="4" w:space="0" w:color="BFBFBF"/>
              <w:left w:val="nil"/>
              <w:bottom w:val="single" w:sz="4" w:space="0" w:color="BFBFBF"/>
              <w:right w:val="single" w:sz="4" w:space="0" w:color="BFBFBF"/>
            </w:tcBorders>
            <w:shd w:val="clear" w:color="auto" w:fill="auto"/>
            <w:vAlign w:val="center"/>
            <w:hideMark/>
          </w:tcPr>
          <w:p w14:paraId="7DD03D14" w14:textId="7AB1F4B9" w:rsidR="00D0253F" w:rsidRPr="0035149B" w:rsidRDefault="00D0253F" w:rsidP="00D0253F">
            <w:pPr>
              <w:rPr>
                <w:rFonts w:eastAsia="Times New Roman" w:cs="Times New Roman"/>
                <w:sz w:val="18"/>
                <w:szCs w:val="18"/>
                <w:lang w:eastAsia="lv-LV"/>
              </w:rPr>
            </w:pPr>
            <w:r>
              <w:rPr>
                <w:sz w:val="18"/>
                <w:szCs w:val="18"/>
              </w:rPr>
              <w:t>33.00.00 "Valsts ieņēmumu un muitas politikas nodrošināšana"</w:t>
            </w:r>
          </w:p>
        </w:tc>
        <w:tc>
          <w:tcPr>
            <w:tcW w:w="826" w:type="dxa"/>
            <w:tcBorders>
              <w:top w:val="single" w:sz="4" w:space="0" w:color="BFBFBF"/>
              <w:left w:val="nil"/>
              <w:bottom w:val="single" w:sz="4" w:space="0" w:color="BFBFBF"/>
              <w:right w:val="single" w:sz="4" w:space="0" w:color="BFBFBF"/>
            </w:tcBorders>
            <w:shd w:val="clear" w:color="auto" w:fill="auto"/>
            <w:vAlign w:val="center"/>
            <w:hideMark/>
          </w:tcPr>
          <w:p w14:paraId="38C41882" w14:textId="4E03788E"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auto" w:fill="auto"/>
            <w:vAlign w:val="center"/>
            <w:hideMark/>
          </w:tcPr>
          <w:p w14:paraId="55ED10F6" w14:textId="7634C15D"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02B09020" w14:textId="60EB0E8F"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auto" w:fill="auto"/>
            <w:vAlign w:val="center"/>
            <w:hideMark/>
          </w:tcPr>
          <w:p w14:paraId="4A95DE89" w14:textId="180668E0" w:rsidR="00D0253F" w:rsidRPr="0035149B" w:rsidRDefault="00D0253F" w:rsidP="00D0253F">
            <w:pPr>
              <w:jc w:val="center"/>
              <w:rPr>
                <w:rFonts w:eastAsia="Times New Roman" w:cs="Times New Roman"/>
                <w:sz w:val="18"/>
                <w:szCs w:val="18"/>
                <w:lang w:eastAsia="lv-LV"/>
              </w:rPr>
            </w:pPr>
            <w:r>
              <w:rPr>
                <w:sz w:val="18"/>
                <w:szCs w:val="18"/>
              </w:rPr>
              <w:t>900 985</w:t>
            </w:r>
          </w:p>
        </w:tc>
        <w:tc>
          <w:tcPr>
            <w:tcW w:w="986" w:type="dxa"/>
            <w:tcBorders>
              <w:top w:val="single" w:sz="4" w:space="0" w:color="BFBFBF"/>
              <w:left w:val="nil"/>
              <w:bottom w:val="single" w:sz="4" w:space="0" w:color="BFBFBF"/>
              <w:right w:val="single" w:sz="4" w:space="0" w:color="BFBFBF"/>
            </w:tcBorders>
            <w:shd w:val="clear" w:color="auto" w:fill="auto"/>
            <w:vAlign w:val="center"/>
            <w:hideMark/>
          </w:tcPr>
          <w:p w14:paraId="72870F7A" w14:textId="48F22307" w:rsidR="00D0253F" w:rsidRPr="0035149B" w:rsidRDefault="00D0253F" w:rsidP="00D0253F">
            <w:pPr>
              <w:jc w:val="center"/>
              <w:rPr>
                <w:rFonts w:eastAsia="Times New Roman" w:cs="Times New Roman"/>
                <w:sz w:val="18"/>
                <w:szCs w:val="18"/>
                <w:lang w:eastAsia="lv-LV"/>
              </w:rPr>
            </w:pPr>
            <w:r>
              <w:rPr>
                <w:sz w:val="18"/>
                <w:szCs w:val="18"/>
              </w:rPr>
              <w:t>852 479</w:t>
            </w:r>
          </w:p>
        </w:tc>
        <w:tc>
          <w:tcPr>
            <w:tcW w:w="1052" w:type="dxa"/>
            <w:tcBorders>
              <w:top w:val="single" w:sz="4" w:space="0" w:color="BFBFBF"/>
              <w:left w:val="nil"/>
              <w:bottom w:val="single" w:sz="4" w:space="0" w:color="BFBFBF"/>
              <w:right w:val="single" w:sz="4" w:space="0" w:color="BFBFBF"/>
            </w:tcBorders>
            <w:shd w:val="clear" w:color="auto" w:fill="auto"/>
            <w:vAlign w:val="center"/>
            <w:hideMark/>
          </w:tcPr>
          <w:p w14:paraId="4269A6C5" w14:textId="0C36B297" w:rsidR="00D0253F" w:rsidRPr="0035149B" w:rsidRDefault="00D0253F" w:rsidP="00D0253F">
            <w:pPr>
              <w:jc w:val="center"/>
              <w:rPr>
                <w:rFonts w:eastAsia="Times New Roman" w:cs="Times New Roman"/>
                <w:sz w:val="18"/>
                <w:szCs w:val="18"/>
                <w:lang w:eastAsia="lv-LV"/>
              </w:rPr>
            </w:pPr>
            <w:r>
              <w:rPr>
                <w:sz w:val="18"/>
                <w:szCs w:val="18"/>
              </w:rPr>
              <w:t>772 141</w:t>
            </w:r>
          </w:p>
        </w:tc>
        <w:tc>
          <w:tcPr>
            <w:tcW w:w="1186" w:type="dxa"/>
            <w:tcBorders>
              <w:top w:val="single" w:sz="4" w:space="0" w:color="BFBFBF"/>
              <w:left w:val="nil"/>
              <w:bottom w:val="single" w:sz="4" w:space="0" w:color="BFBFBF"/>
              <w:right w:val="single" w:sz="4" w:space="0" w:color="BFBFBF"/>
            </w:tcBorders>
            <w:shd w:val="clear" w:color="auto" w:fill="auto"/>
            <w:vAlign w:val="center"/>
            <w:hideMark/>
          </w:tcPr>
          <w:p w14:paraId="6A2F9953" w14:textId="296E05AD"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auto" w:fill="auto"/>
            <w:vAlign w:val="center"/>
            <w:hideMark/>
          </w:tcPr>
          <w:p w14:paraId="3F19E31D" w14:textId="7CDC87E0" w:rsidR="00D0253F" w:rsidRPr="0035149B" w:rsidRDefault="00D0253F" w:rsidP="00D0253F">
            <w:pPr>
              <w:jc w:val="center"/>
              <w:rPr>
                <w:rFonts w:eastAsia="Times New Roman" w:cs="Times New Roman"/>
                <w:sz w:val="18"/>
                <w:szCs w:val="18"/>
                <w:lang w:eastAsia="lv-LV"/>
              </w:rPr>
            </w:pPr>
            <w:r>
              <w:rPr>
                <w:sz w:val="18"/>
                <w:szCs w:val="18"/>
              </w:rPr>
              <w:t>772 141</w:t>
            </w:r>
          </w:p>
        </w:tc>
        <w:tc>
          <w:tcPr>
            <w:tcW w:w="1296" w:type="dxa"/>
            <w:tcBorders>
              <w:top w:val="single" w:sz="4" w:space="0" w:color="BFBFBF"/>
              <w:left w:val="nil"/>
              <w:bottom w:val="single" w:sz="4" w:space="0" w:color="BFBFBF"/>
              <w:right w:val="single" w:sz="4" w:space="0" w:color="BFBFBF"/>
            </w:tcBorders>
            <w:shd w:val="clear" w:color="auto" w:fill="auto"/>
            <w:vAlign w:val="center"/>
            <w:hideMark/>
          </w:tcPr>
          <w:p w14:paraId="5F2AA0D5" w14:textId="335587E6" w:rsidR="00D0253F" w:rsidRPr="0035149B" w:rsidRDefault="00D0253F" w:rsidP="00D0253F">
            <w:pPr>
              <w:jc w:val="center"/>
              <w:rPr>
                <w:rFonts w:eastAsia="Times New Roman" w:cs="Times New Roman"/>
                <w:sz w:val="18"/>
                <w:szCs w:val="18"/>
                <w:lang w:eastAsia="lv-LV"/>
              </w:rPr>
            </w:pPr>
            <w:r>
              <w:rPr>
                <w:sz w:val="18"/>
                <w:szCs w:val="18"/>
              </w:rPr>
              <w:t>x</w:t>
            </w:r>
          </w:p>
        </w:tc>
      </w:tr>
      <w:tr w:rsidR="00D0253F" w:rsidRPr="0035149B" w14:paraId="2D9CE753" w14:textId="77777777" w:rsidTr="00606897">
        <w:trPr>
          <w:trHeight w:val="61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30A441B7" w14:textId="734B4F34" w:rsidR="00D0253F" w:rsidRPr="0035149B" w:rsidRDefault="00D0253F" w:rsidP="00D0253F">
            <w:pPr>
              <w:rPr>
                <w:rFonts w:eastAsia="Times New Roman" w:cs="Times New Roman"/>
                <w:b/>
                <w:bCs/>
                <w:sz w:val="18"/>
                <w:szCs w:val="18"/>
                <w:lang w:eastAsia="lv-LV"/>
              </w:rPr>
            </w:pPr>
            <w:r>
              <w:rPr>
                <w:b/>
                <w:bCs/>
                <w:sz w:val="18"/>
                <w:szCs w:val="18"/>
              </w:rPr>
              <w:t>Valsts kanceleja</w:t>
            </w:r>
          </w:p>
        </w:tc>
        <w:tc>
          <w:tcPr>
            <w:tcW w:w="1667" w:type="dxa"/>
            <w:tcBorders>
              <w:top w:val="nil"/>
              <w:left w:val="nil"/>
              <w:bottom w:val="single" w:sz="4" w:space="0" w:color="BFBFBF"/>
              <w:right w:val="single" w:sz="4" w:space="0" w:color="BFBFBF"/>
            </w:tcBorders>
            <w:shd w:val="clear" w:color="000000" w:fill="FFFFFF"/>
            <w:vAlign w:val="center"/>
            <w:hideMark/>
          </w:tcPr>
          <w:p w14:paraId="2879D35D" w14:textId="2B2A7720" w:rsidR="00D0253F" w:rsidRPr="0035149B" w:rsidRDefault="00D0253F" w:rsidP="00D0253F">
            <w:pPr>
              <w:rPr>
                <w:rFonts w:eastAsia="Times New Roman" w:cs="Times New Roman"/>
                <w:b/>
                <w:bCs/>
                <w:color w:val="FF0000"/>
                <w:sz w:val="18"/>
                <w:szCs w:val="18"/>
                <w:lang w:eastAsia="lv-LV"/>
              </w:rPr>
            </w:pPr>
            <w:r>
              <w:rPr>
                <w:b/>
                <w:bCs/>
                <w:sz w:val="18"/>
                <w:szCs w:val="18"/>
              </w:rPr>
              <w:t> </w:t>
            </w:r>
          </w:p>
        </w:tc>
        <w:tc>
          <w:tcPr>
            <w:tcW w:w="2211" w:type="dxa"/>
            <w:tcBorders>
              <w:top w:val="nil"/>
              <w:left w:val="nil"/>
              <w:bottom w:val="single" w:sz="4" w:space="0" w:color="BFBFBF"/>
              <w:right w:val="single" w:sz="4" w:space="0" w:color="BFBFBF"/>
            </w:tcBorders>
            <w:shd w:val="clear" w:color="000000" w:fill="FFFFFF"/>
            <w:vAlign w:val="center"/>
            <w:hideMark/>
          </w:tcPr>
          <w:p w14:paraId="64AE5982" w14:textId="15A28DA1" w:rsidR="00D0253F" w:rsidRPr="0035149B" w:rsidRDefault="00D0253F" w:rsidP="00D0253F">
            <w:pPr>
              <w:rPr>
                <w:rFonts w:eastAsia="Times New Roman" w:cs="Times New Roman"/>
                <w:sz w:val="18"/>
                <w:szCs w:val="18"/>
                <w:lang w:eastAsia="lv-LV"/>
              </w:rPr>
            </w:pPr>
            <w:r>
              <w:rPr>
                <w:sz w:val="18"/>
                <w:szCs w:val="18"/>
              </w:rPr>
              <w:t>01.00.00 “Ministru kabineta darbības nodrošināšana, valsts pārvaldes politika”</w:t>
            </w:r>
          </w:p>
        </w:tc>
        <w:tc>
          <w:tcPr>
            <w:tcW w:w="826" w:type="dxa"/>
            <w:tcBorders>
              <w:top w:val="nil"/>
              <w:left w:val="nil"/>
              <w:bottom w:val="single" w:sz="4" w:space="0" w:color="BFBFBF"/>
              <w:right w:val="single" w:sz="4" w:space="0" w:color="BFBFBF"/>
            </w:tcBorders>
            <w:shd w:val="clear" w:color="000000" w:fill="FFFFFF"/>
            <w:vAlign w:val="center"/>
            <w:hideMark/>
          </w:tcPr>
          <w:p w14:paraId="0FACB3B2" w14:textId="795E4AED"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887" w:type="dxa"/>
            <w:tcBorders>
              <w:top w:val="nil"/>
              <w:left w:val="nil"/>
              <w:bottom w:val="single" w:sz="4" w:space="0" w:color="BFBFBF"/>
              <w:right w:val="single" w:sz="4" w:space="0" w:color="BFBFBF"/>
            </w:tcBorders>
            <w:shd w:val="clear" w:color="000000" w:fill="FFFFFF"/>
            <w:vAlign w:val="center"/>
            <w:hideMark/>
          </w:tcPr>
          <w:p w14:paraId="6F767F30" w14:textId="316D610E"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947" w:type="dxa"/>
            <w:tcBorders>
              <w:top w:val="nil"/>
              <w:left w:val="nil"/>
              <w:bottom w:val="single" w:sz="4" w:space="0" w:color="BFBFBF"/>
              <w:right w:val="single" w:sz="4" w:space="0" w:color="BFBFBF"/>
            </w:tcBorders>
            <w:shd w:val="clear" w:color="000000" w:fill="FFFFFF"/>
            <w:vAlign w:val="center"/>
            <w:hideMark/>
          </w:tcPr>
          <w:p w14:paraId="2FFA583D" w14:textId="4C3132C6"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1111" w:type="dxa"/>
            <w:tcBorders>
              <w:top w:val="nil"/>
              <w:left w:val="nil"/>
              <w:bottom w:val="single" w:sz="4" w:space="0" w:color="BFBFBF"/>
              <w:right w:val="single" w:sz="4" w:space="0" w:color="BFBFBF"/>
            </w:tcBorders>
            <w:shd w:val="clear" w:color="000000" w:fill="FFFFFF"/>
            <w:vAlign w:val="center"/>
            <w:hideMark/>
          </w:tcPr>
          <w:p w14:paraId="3217E31E" w14:textId="182022FF" w:rsidR="00D0253F" w:rsidRPr="0035149B" w:rsidRDefault="00D0253F" w:rsidP="00D0253F">
            <w:pPr>
              <w:jc w:val="center"/>
              <w:rPr>
                <w:rFonts w:eastAsia="Times New Roman" w:cs="Times New Roman"/>
                <w:sz w:val="18"/>
                <w:szCs w:val="18"/>
                <w:lang w:eastAsia="lv-LV"/>
              </w:rPr>
            </w:pPr>
            <w:r>
              <w:rPr>
                <w:sz w:val="18"/>
                <w:szCs w:val="18"/>
              </w:rPr>
              <w:t>29 040</w:t>
            </w:r>
          </w:p>
        </w:tc>
        <w:tc>
          <w:tcPr>
            <w:tcW w:w="986" w:type="dxa"/>
            <w:tcBorders>
              <w:top w:val="nil"/>
              <w:left w:val="nil"/>
              <w:bottom w:val="single" w:sz="4" w:space="0" w:color="BFBFBF"/>
              <w:right w:val="single" w:sz="4" w:space="0" w:color="BFBFBF"/>
            </w:tcBorders>
            <w:shd w:val="clear" w:color="000000" w:fill="FFFFFF"/>
            <w:vAlign w:val="center"/>
            <w:hideMark/>
          </w:tcPr>
          <w:p w14:paraId="5970D043" w14:textId="23EB4B62" w:rsidR="00D0253F" w:rsidRPr="0035149B" w:rsidRDefault="00D0253F" w:rsidP="00D0253F">
            <w:pPr>
              <w:jc w:val="center"/>
              <w:rPr>
                <w:rFonts w:eastAsia="Times New Roman" w:cs="Times New Roman"/>
                <w:sz w:val="18"/>
                <w:szCs w:val="18"/>
                <w:lang w:eastAsia="lv-LV"/>
              </w:rPr>
            </w:pPr>
            <w:r>
              <w:rPr>
                <w:sz w:val="18"/>
                <w:szCs w:val="18"/>
              </w:rPr>
              <w:t>0</w:t>
            </w:r>
          </w:p>
        </w:tc>
        <w:tc>
          <w:tcPr>
            <w:tcW w:w="1052" w:type="dxa"/>
            <w:tcBorders>
              <w:top w:val="nil"/>
              <w:left w:val="nil"/>
              <w:bottom w:val="single" w:sz="4" w:space="0" w:color="BFBFBF"/>
              <w:right w:val="single" w:sz="4" w:space="0" w:color="BFBFBF"/>
            </w:tcBorders>
            <w:shd w:val="clear" w:color="000000" w:fill="FFFFFF"/>
            <w:vAlign w:val="center"/>
            <w:hideMark/>
          </w:tcPr>
          <w:p w14:paraId="57F2766D" w14:textId="14B7B1AA" w:rsidR="00D0253F" w:rsidRPr="0035149B" w:rsidRDefault="00D0253F" w:rsidP="00D0253F">
            <w:pPr>
              <w:jc w:val="center"/>
              <w:rPr>
                <w:rFonts w:eastAsia="Times New Roman" w:cs="Times New Roman"/>
                <w:sz w:val="18"/>
                <w:szCs w:val="18"/>
                <w:lang w:eastAsia="lv-LV"/>
              </w:rPr>
            </w:pPr>
            <w:r>
              <w:rPr>
                <w:sz w:val="18"/>
                <w:szCs w:val="18"/>
              </w:rPr>
              <w:t>0</w:t>
            </w:r>
          </w:p>
        </w:tc>
        <w:tc>
          <w:tcPr>
            <w:tcW w:w="1186" w:type="dxa"/>
            <w:tcBorders>
              <w:top w:val="nil"/>
              <w:left w:val="nil"/>
              <w:bottom w:val="single" w:sz="4" w:space="0" w:color="BFBFBF"/>
              <w:right w:val="single" w:sz="4" w:space="0" w:color="BFBFBF"/>
            </w:tcBorders>
            <w:shd w:val="clear" w:color="000000" w:fill="FFFFFF"/>
            <w:vAlign w:val="center"/>
            <w:hideMark/>
          </w:tcPr>
          <w:p w14:paraId="0BB61682" w14:textId="5796E9ED" w:rsidR="00D0253F" w:rsidRPr="0035149B" w:rsidRDefault="00D0253F" w:rsidP="00D0253F">
            <w:pPr>
              <w:jc w:val="center"/>
              <w:rPr>
                <w:rFonts w:eastAsia="Times New Roman" w:cs="Times New Roman"/>
                <w:sz w:val="18"/>
                <w:szCs w:val="18"/>
                <w:lang w:eastAsia="lv-LV"/>
              </w:rPr>
            </w:pPr>
            <w:r>
              <w:rPr>
                <w:sz w:val="18"/>
                <w:szCs w:val="18"/>
              </w:rPr>
              <w:t> </w:t>
            </w:r>
          </w:p>
        </w:tc>
        <w:tc>
          <w:tcPr>
            <w:tcW w:w="999" w:type="dxa"/>
            <w:tcBorders>
              <w:top w:val="nil"/>
              <w:left w:val="nil"/>
              <w:bottom w:val="single" w:sz="4" w:space="0" w:color="BFBFBF"/>
              <w:right w:val="single" w:sz="4" w:space="0" w:color="BFBFBF"/>
            </w:tcBorders>
            <w:shd w:val="clear" w:color="000000" w:fill="FFFFFF"/>
            <w:vAlign w:val="center"/>
            <w:hideMark/>
          </w:tcPr>
          <w:p w14:paraId="638A23B6" w14:textId="5398FCCB" w:rsidR="00D0253F" w:rsidRPr="0035149B" w:rsidRDefault="00D0253F" w:rsidP="00D0253F">
            <w:pPr>
              <w:jc w:val="center"/>
              <w:rPr>
                <w:rFonts w:eastAsia="Times New Roman" w:cs="Times New Roman"/>
                <w:sz w:val="18"/>
                <w:szCs w:val="18"/>
                <w:lang w:eastAsia="lv-LV"/>
              </w:rPr>
            </w:pPr>
            <w:r>
              <w:rPr>
                <w:sz w:val="18"/>
                <w:szCs w:val="18"/>
              </w:rPr>
              <w:t> </w:t>
            </w:r>
          </w:p>
        </w:tc>
        <w:tc>
          <w:tcPr>
            <w:tcW w:w="1296" w:type="dxa"/>
            <w:tcBorders>
              <w:top w:val="nil"/>
              <w:left w:val="nil"/>
              <w:bottom w:val="single" w:sz="4" w:space="0" w:color="BFBFBF"/>
              <w:right w:val="single" w:sz="4" w:space="0" w:color="BFBFBF"/>
            </w:tcBorders>
            <w:shd w:val="clear" w:color="000000" w:fill="FFFFFF"/>
            <w:vAlign w:val="center"/>
            <w:hideMark/>
          </w:tcPr>
          <w:p w14:paraId="4588D695" w14:textId="66279009" w:rsidR="00D0253F" w:rsidRPr="0035149B" w:rsidRDefault="00D0253F" w:rsidP="00D0253F">
            <w:pPr>
              <w:jc w:val="center"/>
              <w:rPr>
                <w:rFonts w:eastAsia="Times New Roman" w:cs="Times New Roman"/>
                <w:sz w:val="18"/>
                <w:szCs w:val="18"/>
                <w:lang w:eastAsia="lv-LV"/>
              </w:rPr>
            </w:pPr>
            <w:r>
              <w:rPr>
                <w:sz w:val="18"/>
                <w:szCs w:val="18"/>
              </w:rPr>
              <w:t>x</w:t>
            </w:r>
          </w:p>
        </w:tc>
      </w:tr>
      <w:tr w:rsidR="00947CA0" w:rsidRPr="0035149B" w14:paraId="313A455F" w14:textId="77777777" w:rsidTr="0035149B">
        <w:trPr>
          <w:trHeight w:val="33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76322C8"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 xml:space="preserve">1. rīcības virziens: riski, politika un koordinācija  </w:t>
            </w:r>
          </w:p>
        </w:tc>
      </w:tr>
      <w:tr w:rsidR="00947CA0" w:rsidRPr="0035149B" w14:paraId="14FEBF4B" w14:textId="77777777" w:rsidTr="00606897">
        <w:trPr>
          <w:trHeight w:val="33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3842AF3"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13168" w:type="dxa"/>
            <w:gridSpan w:val="11"/>
            <w:tcBorders>
              <w:top w:val="single" w:sz="4" w:space="0" w:color="BFBFBF"/>
              <w:left w:val="nil"/>
              <w:bottom w:val="single" w:sz="4" w:space="0" w:color="BFBFBF"/>
              <w:right w:val="single" w:sz="4" w:space="0" w:color="BFBFBF"/>
            </w:tcBorders>
            <w:shd w:val="clear" w:color="000000" w:fill="FFFFFF"/>
            <w:vAlign w:val="center"/>
            <w:hideMark/>
          </w:tcPr>
          <w:p w14:paraId="20707329" w14:textId="77120E0F" w:rsidR="00947CA0" w:rsidRPr="008401AF" w:rsidRDefault="00947CA0" w:rsidP="006709C4">
            <w:pPr>
              <w:pStyle w:val="ListParagraph"/>
              <w:numPr>
                <w:ilvl w:val="1"/>
                <w:numId w:val="35"/>
              </w:numPr>
              <w:rPr>
                <w:rFonts w:eastAsia="Times New Roman" w:cs="Times New Roman"/>
                <w:b/>
                <w:bCs/>
                <w:sz w:val="18"/>
                <w:szCs w:val="18"/>
                <w:lang w:eastAsia="lv-LV"/>
              </w:rPr>
            </w:pPr>
            <w:r w:rsidRPr="008401AF">
              <w:rPr>
                <w:rFonts w:eastAsia="Times New Roman" w:cs="Times New Roman"/>
                <w:b/>
                <w:bCs/>
                <w:sz w:val="18"/>
                <w:szCs w:val="18"/>
                <w:lang w:eastAsia="lv-LV"/>
              </w:rPr>
              <w:t xml:space="preserve">pasākums </w:t>
            </w:r>
            <w:r w:rsidR="006709C4" w:rsidRPr="006709C4">
              <w:rPr>
                <w:rFonts w:eastAsia="Times New Roman" w:cs="Times New Roman"/>
                <w:b/>
                <w:bCs/>
                <w:sz w:val="18"/>
                <w:szCs w:val="18"/>
                <w:lang w:eastAsia="lv-LV"/>
              </w:rPr>
              <w:t>Nodrošināt vispusīgus statistikas datus par NILLTPF novēršanas sistēmu un pasākumu efektivitāti un produktivitāti.</w:t>
            </w:r>
          </w:p>
        </w:tc>
      </w:tr>
      <w:tr w:rsidR="00D0253F" w:rsidRPr="0035149B" w14:paraId="0E08C87E" w14:textId="77777777" w:rsidTr="00606897">
        <w:trPr>
          <w:trHeight w:val="72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BFD5A18" w14:textId="77777777" w:rsidR="00D0253F" w:rsidRPr="0035149B" w:rsidRDefault="00D0253F" w:rsidP="00D0253F">
            <w:pPr>
              <w:rPr>
                <w:rFonts w:eastAsia="Times New Roman" w:cs="Times New Roman"/>
                <w:b/>
                <w:bCs/>
                <w:sz w:val="18"/>
                <w:szCs w:val="18"/>
                <w:lang w:eastAsia="lv-LV"/>
              </w:rPr>
            </w:pPr>
            <w:r w:rsidRPr="0035149B">
              <w:rPr>
                <w:rFonts w:eastAsia="Times New Roman" w:cs="Times New Roman"/>
                <w:b/>
                <w:bCs/>
                <w:sz w:val="18"/>
                <w:szCs w:val="18"/>
                <w:lang w:eastAsia="lv-LV"/>
              </w:rPr>
              <w:lastRenderedPageBreak/>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17606E4" w14:textId="0AB23C7B" w:rsidR="00D0253F" w:rsidRPr="0035149B" w:rsidRDefault="00D0253F" w:rsidP="00D0253F">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77F306D5" w14:textId="72C6E4DE" w:rsidR="00D0253F" w:rsidRPr="0035149B" w:rsidRDefault="00D0253F" w:rsidP="00D0253F">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415A0773" w14:textId="1B7EB94D" w:rsidR="00D0253F" w:rsidRPr="0035149B" w:rsidRDefault="00D0253F" w:rsidP="00D0253F">
            <w:pPr>
              <w:jc w:val="center"/>
              <w:rPr>
                <w:rFonts w:eastAsia="Times New Roman" w:cs="Times New Roman"/>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35DC9A2C" w14:textId="6797851A" w:rsidR="00D0253F" w:rsidRPr="0035149B" w:rsidRDefault="00D0253F" w:rsidP="00D0253F">
            <w:pPr>
              <w:jc w:val="center"/>
              <w:rPr>
                <w:rFonts w:eastAsia="Times New Roman" w:cs="Times New Roman"/>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000000" w:fill="FFFFFF"/>
            <w:vAlign w:val="center"/>
            <w:hideMark/>
          </w:tcPr>
          <w:p w14:paraId="6B136A31" w14:textId="3ADA373F"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62DDBC54" w14:textId="5346FC9A" w:rsidR="00D0253F" w:rsidRPr="0035149B" w:rsidRDefault="00D0253F" w:rsidP="00D0253F">
            <w:pPr>
              <w:jc w:val="center"/>
              <w:rPr>
                <w:rFonts w:eastAsia="Times New Roman" w:cs="Times New Roman"/>
                <w:sz w:val="18"/>
                <w:szCs w:val="18"/>
                <w:lang w:eastAsia="lv-LV"/>
              </w:rPr>
            </w:pPr>
            <w:r>
              <w:rPr>
                <w:sz w:val="18"/>
                <w:szCs w:val="18"/>
              </w:rPr>
              <w:t>5 000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6F8EDD52" w14:textId="64567E76" w:rsidR="00D0253F" w:rsidRPr="0035149B" w:rsidRDefault="00D0253F" w:rsidP="00D0253F">
            <w:pPr>
              <w:jc w:val="center"/>
              <w:rPr>
                <w:rFonts w:eastAsia="Times New Roman" w:cs="Times New Roman"/>
                <w:sz w:val="18"/>
                <w:szCs w:val="18"/>
                <w:lang w:eastAsia="lv-LV"/>
              </w:rPr>
            </w:pPr>
            <w:r>
              <w:rPr>
                <w:sz w:val="18"/>
                <w:szCs w:val="18"/>
              </w:rPr>
              <w:t> </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56CD87D3" w14:textId="653E712C" w:rsidR="00D0253F" w:rsidRPr="0035149B" w:rsidRDefault="00D0253F" w:rsidP="00D0253F">
            <w:pPr>
              <w:jc w:val="center"/>
              <w:rPr>
                <w:rFonts w:eastAsia="Times New Roman" w:cs="Times New Roman"/>
                <w:sz w:val="18"/>
                <w:szCs w:val="18"/>
                <w:lang w:eastAsia="lv-LV"/>
              </w:rPr>
            </w:pPr>
            <w:r>
              <w:rPr>
                <w:sz w:val="18"/>
                <w:szCs w:val="18"/>
              </w:rPr>
              <w:t> </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25E09F5E" w14:textId="27888BF0" w:rsidR="00D0253F" w:rsidRPr="0035149B" w:rsidRDefault="00D0253F" w:rsidP="00D0253F">
            <w:pPr>
              <w:jc w:val="center"/>
              <w:rPr>
                <w:rFonts w:eastAsia="Times New Roman" w:cs="Times New Roman"/>
                <w:sz w:val="18"/>
                <w:szCs w:val="18"/>
                <w:lang w:eastAsia="lv-LV"/>
              </w:rPr>
            </w:pPr>
            <w:r>
              <w:rPr>
                <w:sz w:val="18"/>
                <w:szCs w:val="18"/>
              </w:rPr>
              <w:t> </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354E9A56" w14:textId="3C6D3FB1" w:rsidR="00D0253F" w:rsidRPr="0035149B" w:rsidRDefault="00D0253F" w:rsidP="00D0253F">
            <w:pPr>
              <w:jc w:val="center"/>
              <w:rPr>
                <w:rFonts w:eastAsia="Times New Roman" w:cs="Times New Roman"/>
                <w:sz w:val="18"/>
                <w:szCs w:val="18"/>
                <w:lang w:eastAsia="lv-LV"/>
              </w:rPr>
            </w:pPr>
            <w:r>
              <w:rPr>
                <w:sz w:val="18"/>
                <w:szCs w:val="18"/>
              </w:rPr>
              <w:t> </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2383B022" w14:textId="655585C5" w:rsidR="00D0253F" w:rsidRPr="0035149B" w:rsidRDefault="00D0253F" w:rsidP="00D0253F">
            <w:pPr>
              <w:jc w:val="center"/>
              <w:rPr>
                <w:rFonts w:eastAsia="Times New Roman" w:cs="Times New Roman"/>
                <w:sz w:val="18"/>
                <w:szCs w:val="18"/>
                <w:lang w:eastAsia="lv-LV"/>
              </w:rPr>
            </w:pPr>
            <w:r>
              <w:rPr>
                <w:sz w:val="18"/>
                <w:szCs w:val="18"/>
              </w:rPr>
              <w:t>2020</w:t>
            </w:r>
          </w:p>
        </w:tc>
      </w:tr>
      <w:tr w:rsidR="00947CA0" w:rsidRPr="0035149B" w14:paraId="5C337902" w14:textId="77777777" w:rsidTr="00606897">
        <w:trPr>
          <w:trHeight w:val="52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2004FD6"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10371D9" w14:textId="1CF9D100" w:rsidR="00947CA0" w:rsidRPr="008401AF" w:rsidRDefault="00947CA0" w:rsidP="00672C85">
            <w:pPr>
              <w:pStyle w:val="ListParagraph"/>
              <w:numPr>
                <w:ilvl w:val="1"/>
                <w:numId w:val="35"/>
              </w:numPr>
              <w:rPr>
                <w:rFonts w:eastAsia="Times New Roman" w:cs="Times New Roman"/>
                <w:b/>
                <w:bCs/>
                <w:sz w:val="18"/>
                <w:szCs w:val="18"/>
                <w:lang w:eastAsia="lv-LV"/>
              </w:rPr>
            </w:pPr>
            <w:r w:rsidRPr="00A60C76">
              <w:rPr>
                <w:rFonts w:eastAsia="Times New Roman" w:cs="Times New Roman"/>
                <w:b/>
                <w:bCs/>
                <w:sz w:val="18"/>
                <w:szCs w:val="18"/>
                <w:lang w:eastAsia="lv-LV"/>
              </w:rPr>
              <w:t xml:space="preserve">pasākums </w:t>
            </w:r>
            <w:r w:rsidR="00672C85" w:rsidRPr="00672C85">
              <w:rPr>
                <w:b/>
                <w:bCs/>
                <w:sz w:val="18"/>
                <w:szCs w:val="18"/>
              </w:rPr>
              <w:t>Veikt Nacionālo NILLTPF risku novērtējumu par 2017.-2019. un 2020.-2022. gadu.</w:t>
            </w:r>
          </w:p>
        </w:tc>
      </w:tr>
      <w:tr w:rsidR="00D0253F" w:rsidRPr="0035149B" w14:paraId="4BE8AA5A" w14:textId="77777777" w:rsidTr="00606897">
        <w:trPr>
          <w:trHeight w:val="72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3DB63724" w14:textId="77777777" w:rsidR="00D0253F" w:rsidRPr="0035149B" w:rsidRDefault="00D0253F" w:rsidP="00D0253F">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26E2BC2" w14:textId="36D3BF32" w:rsidR="00D0253F" w:rsidRPr="0035149B" w:rsidRDefault="00D0253F" w:rsidP="00D0253F">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2791767D" w14:textId="745AC4F7" w:rsidR="00D0253F" w:rsidRPr="0035149B" w:rsidRDefault="00D0253F" w:rsidP="00D0253F">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127B580E" w14:textId="5BC2783C"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20EDBEDF" w14:textId="4E8B70AF"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000000" w:fill="FFFFFF"/>
            <w:vAlign w:val="center"/>
            <w:hideMark/>
          </w:tcPr>
          <w:p w14:paraId="5BC023D0" w14:textId="566ED013" w:rsidR="00D0253F" w:rsidRPr="0035149B" w:rsidRDefault="00D0253F" w:rsidP="00D0253F">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752AC23E" w14:textId="594335D5" w:rsidR="00D0253F" w:rsidRPr="0035149B" w:rsidRDefault="00D0253F" w:rsidP="00D0253F">
            <w:pPr>
              <w:jc w:val="center"/>
              <w:rPr>
                <w:rFonts w:eastAsia="Times New Roman" w:cs="Times New Roman"/>
                <w:sz w:val="18"/>
                <w:szCs w:val="18"/>
                <w:lang w:eastAsia="lv-LV"/>
              </w:rPr>
            </w:pPr>
            <w:r>
              <w:rPr>
                <w:sz w:val="18"/>
                <w:szCs w:val="18"/>
              </w:rPr>
              <w:t>4 500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046AC302" w14:textId="02752132" w:rsidR="00D0253F" w:rsidRPr="0035149B" w:rsidRDefault="00D0253F" w:rsidP="00D0253F">
            <w:pPr>
              <w:jc w:val="center"/>
              <w:rPr>
                <w:rFonts w:eastAsia="Times New Roman" w:cs="Times New Roman"/>
                <w:sz w:val="18"/>
                <w:szCs w:val="18"/>
                <w:lang w:eastAsia="lv-LV"/>
              </w:rPr>
            </w:pPr>
            <w:r>
              <w:rPr>
                <w:sz w:val="18"/>
                <w:szCs w:val="18"/>
              </w:rPr>
              <w:t>50 000</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0EC7C838" w14:textId="62873575" w:rsidR="00D0253F" w:rsidRPr="0035149B" w:rsidRDefault="00D0253F" w:rsidP="00D0253F">
            <w:pPr>
              <w:jc w:val="center"/>
              <w:rPr>
                <w:rFonts w:eastAsia="Times New Roman" w:cs="Times New Roman"/>
                <w:sz w:val="18"/>
                <w:szCs w:val="18"/>
                <w:lang w:eastAsia="lv-LV"/>
              </w:rPr>
            </w:pPr>
            <w:r>
              <w:rPr>
                <w:sz w:val="18"/>
                <w:szCs w:val="18"/>
              </w:rPr>
              <w:t>50 000</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2158D16E" w14:textId="68EEC1D7" w:rsidR="00D0253F" w:rsidRPr="0035149B" w:rsidRDefault="00D0253F" w:rsidP="00D0253F">
            <w:pPr>
              <w:jc w:val="center"/>
              <w:rPr>
                <w:rFonts w:eastAsia="Times New Roman" w:cs="Times New Roman"/>
                <w:sz w:val="18"/>
                <w:szCs w:val="18"/>
                <w:lang w:eastAsia="lv-LV"/>
              </w:rPr>
            </w:pPr>
            <w:r>
              <w:rPr>
                <w:sz w:val="18"/>
                <w:szCs w:val="18"/>
              </w:rPr>
              <w:t> </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67672E91" w14:textId="2A8F53BC" w:rsidR="00D0253F" w:rsidRPr="0035149B" w:rsidRDefault="00D0253F" w:rsidP="00D0253F">
            <w:pPr>
              <w:jc w:val="center"/>
              <w:rPr>
                <w:rFonts w:eastAsia="Times New Roman" w:cs="Times New Roman"/>
                <w:sz w:val="18"/>
                <w:szCs w:val="18"/>
                <w:lang w:eastAsia="lv-LV"/>
              </w:rPr>
            </w:pPr>
            <w:r>
              <w:rPr>
                <w:sz w:val="18"/>
                <w:szCs w:val="18"/>
              </w:rPr>
              <w:t> </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7C72670F" w14:textId="781AAF7B" w:rsidR="00D0253F" w:rsidRPr="0035149B" w:rsidRDefault="00D0253F" w:rsidP="00D0253F">
            <w:pPr>
              <w:jc w:val="center"/>
              <w:rPr>
                <w:rFonts w:eastAsia="Times New Roman" w:cs="Times New Roman"/>
                <w:sz w:val="18"/>
                <w:szCs w:val="18"/>
                <w:lang w:eastAsia="lv-LV"/>
              </w:rPr>
            </w:pPr>
            <w:r>
              <w:rPr>
                <w:sz w:val="18"/>
                <w:szCs w:val="18"/>
              </w:rPr>
              <w:t>2022</w:t>
            </w:r>
          </w:p>
        </w:tc>
      </w:tr>
      <w:tr w:rsidR="00947CA0" w:rsidRPr="0035149B" w14:paraId="73C531F0" w14:textId="77777777" w:rsidTr="00606897">
        <w:trPr>
          <w:trHeight w:val="61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37DC1AEF"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2020D4E" w14:textId="44412882" w:rsidR="00947CA0" w:rsidRPr="0035149B" w:rsidRDefault="00947CA0">
            <w:pPr>
              <w:rPr>
                <w:rFonts w:eastAsia="Times New Roman" w:cs="Times New Roman"/>
                <w:b/>
                <w:bCs/>
                <w:sz w:val="18"/>
                <w:szCs w:val="18"/>
                <w:lang w:eastAsia="lv-LV"/>
              </w:rPr>
            </w:pPr>
            <w:r>
              <w:rPr>
                <w:b/>
                <w:bCs/>
                <w:sz w:val="18"/>
                <w:szCs w:val="18"/>
              </w:rPr>
              <w:t xml:space="preserve">1.3. pasākums </w:t>
            </w:r>
            <w:r w:rsidR="000E1B83" w:rsidRPr="000E1B83">
              <w:rPr>
                <w:b/>
                <w:bCs/>
                <w:sz w:val="18"/>
                <w:szCs w:val="18"/>
              </w:rPr>
              <w:t>Nodrošināt likuma subjektu un atbildīgo institūciju izpratni par likuma subjektu darbībai piemītošiem NILLTPF riskiem, informācijas sniegšanu un apmācības.</w:t>
            </w:r>
            <w:r>
              <w:rPr>
                <w:b/>
                <w:bCs/>
                <w:sz w:val="18"/>
                <w:szCs w:val="18"/>
              </w:rPr>
              <w:br/>
              <w:t xml:space="preserve">1.3. (3) </w:t>
            </w:r>
            <w:r w:rsidR="000E1B83" w:rsidRPr="000E1B83">
              <w:rPr>
                <w:b/>
                <w:bCs/>
                <w:sz w:val="18"/>
                <w:szCs w:val="18"/>
              </w:rPr>
              <w:t>Veikta specializētā apmācība noteiktām likuma subjektu grupām par aktuāliem NILLTPF novēršanas jautājumiem, - nodrošinot likuma subjektu informēšanu par nacionālo risku novērtējumu rezultātiem, kas attiecīgi tiek implementēti likuma subjektu iekšējās politikās, procedūrās un kontroles sistēmās.</w:t>
            </w:r>
          </w:p>
        </w:tc>
      </w:tr>
      <w:tr w:rsidR="00D0253F" w:rsidRPr="0035149B" w14:paraId="2FE2C55C" w14:textId="77777777" w:rsidTr="00606897">
        <w:trPr>
          <w:trHeight w:val="79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6F19C4C3" w14:textId="77777777" w:rsidR="00D0253F" w:rsidRPr="0035149B" w:rsidRDefault="00D0253F" w:rsidP="00D0253F">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A9E615A" w14:textId="12BBDB7F" w:rsidR="00D0253F" w:rsidRPr="0035149B" w:rsidRDefault="00D0253F" w:rsidP="00D0253F">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3909A4EB" w14:textId="4BE04990" w:rsidR="00D0253F" w:rsidRPr="0035149B" w:rsidRDefault="00D0253F" w:rsidP="00D0253F">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auto" w:fill="auto"/>
            <w:vAlign w:val="center"/>
            <w:hideMark/>
          </w:tcPr>
          <w:p w14:paraId="4208A270" w14:textId="00EBC998"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887" w:type="dxa"/>
            <w:tcBorders>
              <w:top w:val="single" w:sz="4" w:space="0" w:color="BFBFBF"/>
              <w:left w:val="nil"/>
              <w:bottom w:val="single" w:sz="4" w:space="0" w:color="BFBFBF"/>
              <w:right w:val="single" w:sz="4" w:space="0" w:color="BFBFBF"/>
            </w:tcBorders>
            <w:shd w:val="clear" w:color="auto" w:fill="auto"/>
            <w:vAlign w:val="center"/>
            <w:hideMark/>
          </w:tcPr>
          <w:p w14:paraId="604C7F13" w14:textId="70A16BE9"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71B3D451" w14:textId="7BB5C37A"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1111" w:type="dxa"/>
            <w:tcBorders>
              <w:top w:val="single" w:sz="4" w:space="0" w:color="BFBFBF"/>
              <w:left w:val="nil"/>
              <w:bottom w:val="single" w:sz="4" w:space="0" w:color="BFBFBF"/>
              <w:right w:val="single" w:sz="4" w:space="0" w:color="BFBFBF"/>
            </w:tcBorders>
            <w:shd w:val="clear" w:color="auto" w:fill="auto"/>
            <w:vAlign w:val="center"/>
            <w:hideMark/>
          </w:tcPr>
          <w:p w14:paraId="1AE50E28" w14:textId="7672FC84" w:rsidR="00D0253F" w:rsidRPr="0035149B" w:rsidRDefault="00D0253F" w:rsidP="00D0253F">
            <w:pPr>
              <w:jc w:val="center"/>
              <w:rPr>
                <w:rFonts w:eastAsia="Times New Roman" w:cs="Times New Roman"/>
                <w:sz w:val="18"/>
                <w:szCs w:val="18"/>
                <w:lang w:eastAsia="lv-LV"/>
              </w:rPr>
            </w:pPr>
            <w:r>
              <w:rPr>
                <w:sz w:val="18"/>
                <w:szCs w:val="18"/>
              </w:rPr>
              <w:t>42 100</w:t>
            </w:r>
          </w:p>
        </w:tc>
        <w:tc>
          <w:tcPr>
            <w:tcW w:w="986" w:type="dxa"/>
            <w:tcBorders>
              <w:top w:val="single" w:sz="4" w:space="0" w:color="BFBFBF"/>
              <w:left w:val="nil"/>
              <w:bottom w:val="single" w:sz="4" w:space="0" w:color="BFBFBF"/>
              <w:right w:val="single" w:sz="4" w:space="0" w:color="BFBFBF"/>
            </w:tcBorders>
            <w:shd w:val="clear" w:color="auto" w:fill="auto"/>
            <w:vAlign w:val="center"/>
            <w:hideMark/>
          </w:tcPr>
          <w:p w14:paraId="605CC934" w14:textId="344E40AD" w:rsidR="00D0253F" w:rsidRPr="0035149B" w:rsidRDefault="00D0253F" w:rsidP="00D0253F">
            <w:pPr>
              <w:jc w:val="center"/>
              <w:rPr>
                <w:rFonts w:eastAsia="Times New Roman" w:cs="Times New Roman"/>
                <w:sz w:val="18"/>
                <w:szCs w:val="18"/>
                <w:lang w:eastAsia="lv-LV"/>
              </w:rPr>
            </w:pPr>
            <w:r>
              <w:rPr>
                <w:sz w:val="18"/>
                <w:szCs w:val="18"/>
              </w:rPr>
              <w:t>42 100</w:t>
            </w:r>
          </w:p>
        </w:tc>
        <w:tc>
          <w:tcPr>
            <w:tcW w:w="1052" w:type="dxa"/>
            <w:tcBorders>
              <w:top w:val="single" w:sz="4" w:space="0" w:color="BFBFBF"/>
              <w:left w:val="nil"/>
              <w:bottom w:val="single" w:sz="4" w:space="0" w:color="BFBFBF"/>
              <w:right w:val="single" w:sz="4" w:space="0" w:color="BFBFBF"/>
            </w:tcBorders>
            <w:shd w:val="clear" w:color="auto" w:fill="auto"/>
            <w:vAlign w:val="center"/>
            <w:hideMark/>
          </w:tcPr>
          <w:p w14:paraId="629FC454" w14:textId="3913F5E7" w:rsidR="00D0253F" w:rsidRPr="0035149B" w:rsidRDefault="00D0253F" w:rsidP="00D0253F">
            <w:pPr>
              <w:jc w:val="center"/>
              <w:rPr>
                <w:rFonts w:eastAsia="Times New Roman" w:cs="Times New Roman"/>
                <w:sz w:val="18"/>
                <w:szCs w:val="18"/>
                <w:lang w:eastAsia="lv-LV"/>
              </w:rPr>
            </w:pPr>
            <w:r>
              <w:rPr>
                <w:sz w:val="18"/>
                <w:szCs w:val="18"/>
              </w:rPr>
              <w:t>42 100</w:t>
            </w:r>
          </w:p>
        </w:tc>
        <w:tc>
          <w:tcPr>
            <w:tcW w:w="1186" w:type="dxa"/>
            <w:tcBorders>
              <w:top w:val="single" w:sz="4" w:space="0" w:color="BFBFBF"/>
              <w:left w:val="nil"/>
              <w:bottom w:val="single" w:sz="4" w:space="0" w:color="BFBFBF"/>
              <w:right w:val="single" w:sz="4" w:space="0" w:color="BFBFBF"/>
            </w:tcBorders>
            <w:shd w:val="clear" w:color="auto" w:fill="auto"/>
            <w:vAlign w:val="center"/>
            <w:hideMark/>
          </w:tcPr>
          <w:p w14:paraId="263BAEB2" w14:textId="4DCD7C94"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auto" w:fill="auto"/>
            <w:vAlign w:val="center"/>
            <w:hideMark/>
          </w:tcPr>
          <w:p w14:paraId="5AA9B6E2" w14:textId="5F31158D" w:rsidR="00D0253F" w:rsidRPr="0035149B" w:rsidRDefault="00D0253F" w:rsidP="00D0253F">
            <w:pPr>
              <w:jc w:val="center"/>
              <w:rPr>
                <w:rFonts w:eastAsia="Times New Roman" w:cs="Times New Roman"/>
                <w:sz w:val="18"/>
                <w:szCs w:val="18"/>
                <w:lang w:eastAsia="lv-LV"/>
              </w:rPr>
            </w:pPr>
            <w:r>
              <w:rPr>
                <w:sz w:val="18"/>
                <w:szCs w:val="18"/>
              </w:rPr>
              <w:t>42 100</w:t>
            </w:r>
          </w:p>
        </w:tc>
        <w:tc>
          <w:tcPr>
            <w:tcW w:w="1296" w:type="dxa"/>
            <w:tcBorders>
              <w:top w:val="single" w:sz="4" w:space="0" w:color="BFBFBF"/>
              <w:left w:val="nil"/>
              <w:bottom w:val="single" w:sz="4" w:space="0" w:color="BFBFBF"/>
              <w:right w:val="single" w:sz="4" w:space="0" w:color="BFBFBF"/>
            </w:tcBorders>
            <w:shd w:val="clear" w:color="auto" w:fill="auto"/>
            <w:vAlign w:val="center"/>
            <w:hideMark/>
          </w:tcPr>
          <w:p w14:paraId="3BD9DC3C" w14:textId="7914AF9D" w:rsidR="00D0253F" w:rsidRPr="0035149B" w:rsidRDefault="00D0253F" w:rsidP="00D0253F">
            <w:pPr>
              <w:jc w:val="center"/>
              <w:rPr>
                <w:rFonts w:eastAsia="Times New Roman" w:cs="Times New Roman"/>
                <w:sz w:val="18"/>
                <w:szCs w:val="18"/>
                <w:lang w:eastAsia="lv-LV"/>
              </w:rPr>
            </w:pPr>
            <w:r>
              <w:rPr>
                <w:sz w:val="18"/>
                <w:szCs w:val="18"/>
              </w:rPr>
              <w:t>x</w:t>
            </w:r>
          </w:p>
        </w:tc>
      </w:tr>
      <w:tr w:rsidR="00947CA0" w:rsidRPr="0035149B" w14:paraId="1DA69A73" w14:textId="77777777" w:rsidTr="00606897">
        <w:trPr>
          <w:trHeight w:val="69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9BA32EA"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D06810F" w14:textId="29A221BB" w:rsidR="001A4813" w:rsidRPr="001A4813" w:rsidRDefault="00947CA0" w:rsidP="001A4813">
            <w:pPr>
              <w:rPr>
                <w:b/>
                <w:bCs/>
                <w:sz w:val="18"/>
                <w:szCs w:val="18"/>
              </w:rPr>
            </w:pPr>
            <w:r>
              <w:rPr>
                <w:b/>
                <w:bCs/>
                <w:sz w:val="18"/>
                <w:szCs w:val="18"/>
              </w:rPr>
              <w:t xml:space="preserve">1.8. pasākums </w:t>
            </w:r>
            <w:r w:rsidR="001A4813" w:rsidRPr="001A4813">
              <w:rPr>
                <w:b/>
                <w:bCs/>
                <w:sz w:val="18"/>
                <w:szCs w:val="18"/>
              </w:rPr>
              <w:t>Nodrošināt informācijas atspoguļojumu informatīvajā telpā par NILLTPFN jomas jautājumiem</w:t>
            </w:r>
            <w:r>
              <w:rPr>
                <w:b/>
                <w:bCs/>
                <w:sz w:val="18"/>
                <w:szCs w:val="18"/>
              </w:rPr>
              <w:t>.</w:t>
            </w:r>
            <w:r>
              <w:rPr>
                <w:b/>
                <w:bCs/>
                <w:sz w:val="18"/>
                <w:szCs w:val="18"/>
              </w:rPr>
              <w:br/>
              <w:t xml:space="preserve">1.8. (1) </w:t>
            </w:r>
            <w:r w:rsidR="001A4813" w:rsidRPr="001A4813">
              <w:rPr>
                <w:b/>
                <w:bCs/>
                <w:sz w:val="18"/>
                <w:szCs w:val="18"/>
              </w:rPr>
              <w:t>Aktualizēts un uzturēts LV portāla izveidotais patstāvīgais satura kanāls "MONEYVAL".</w:t>
            </w:r>
          </w:p>
          <w:p w14:paraId="67400256" w14:textId="0E7AB69B" w:rsidR="00947CA0" w:rsidRPr="0035149B" w:rsidRDefault="001A4813" w:rsidP="00947CA0">
            <w:pPr>
              <w:rPr>
                <w:rFonts w:eastAsia="Times New Roman" w:cs="Times New Roman"/>
                <w:b/>
                <w:bCs/>
                <w:sz w:val="18"/>
                <w:szCs w:val="18"/>
                <w:lang w:eastAsia="lv-LV"/>
              </w:rPr>
            </w:pPr>
            <w:r w:rsidRPr="001A4813">
              <w:rPr>
                <w:b/>
                <w:bCs/>
                <w:sz w:val="18"/>
                <w:szCs w:val="18"/>
              </w:rPr>
              <w:t>Pastāvīgi aktualizēta, multimediāla tematiskā sadaļa "MONEYVAL" LV portālā visā pasākuma darbības periodā</w:t>
            </w:r>
            <w:r w:rsidR="00947CA0">
              <w:rPr>
                <w:b/>
                <w:bCs/>
                <w:sz w:val="18"/>
                <w:szCs w:val="18"/>
              </w:rPr>
              <w:t>.</w:t>
            </w:r>
          </w:p>
        </w:tc>
      </w:tr>
      <w:tr w:rsidR="00D0253F" w:rsidRPr="0035149B" w14:paraId="28F1EC19" w14:textId="77777777" w:rsidTr="00606897">
        <w:trPr>
          <w:trHeight w:val="67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1B7FF543" w14:textId="77777777" w:rsidR="00D0253F" w:rsidRPr="0035149B" w:rsidRDefault="00D0253F" w:rsidP="00D0253F">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6F0C9C2" w14:textId="14BC057E" w:rsidR="00D0253F" w:rsidRPr="0035149B" w:rsidRDefault="00D0253F" w:rsidP="00D0253F">
            <w:pPr>
              <w:rPr>
                <w:rFonts w:eastAsia="Times New Roman" w:cs="Times New Roman"/>
                <w:b/>
                <w:bCs/>
                <w:sz w:val="18"/>
                <w:szCs w:val="18"/>
                <w:lang w:eastAsia="lv-LV"/>
              </w:rPr>
            </w:pPr>
            <w:r>
              <w:rPr>
                <w:b/>
                <w:bCs/>
                <w:sz w:val="18"/>
                <w:szCs w:val="18"/>
              </w:rPr>
              <w:t>Tieslietu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2E78D6B8" w14:textId="0C2B7A8F" w:rsidR="00D0253F" w:rsidRPr="0035149B" w:rsidRDefault="00D0253F" w:rsidP="00D0253F">
            <w:pPr>
              <w:rPr>
                <w:rFonts w:eastAsia="Times New Roman" w:cs="Times New Roman"/>
                <w:sz w:val="18"/>
                <w:szCs w:val="18"/>
                <w:lang w:eastAsia="lv-LV"/>
              </w:rPr>
            </w:pPr>
            <w:r>
              <w:rPr>
                <w:sz w:val="18"/>
                <w:szCs w:val="18"/>
              </w:rPr>
              <w:t>09.07.00 "Oficiālās publikācijas un tiesiskās informācijas nodrošināšana"</w:t>
            </w:r>
          </w:p>
        </w:tc>
        <w:tc>
          <w:tcPr>
            <w:tcW w:w="826" w:type="dxa"/>
            <w:tcBorders>
              <w:top w:val="single" w:sz="4" w:space="0" w:color="BFBFBF"/>
              <w:left w:val="nil"/>
              <w:bottom w:val="single" w:sz="4" w:space="0" w:color="BFBFBF"/>
              <w:right w:val="single" w:sz="4" w:space="0" w:color="BFBFBF"/>
            </w:tcBorders>
            <w:shd w:val="clear" w:color="auto" w:fill="auto"/>
            <w:vAlign w:val="center"/>
            <w:hideMark/>
          </w:tcPr>
          <w:p w14:paraId="6CD21002" w14:textId="7D6DF918"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887" w:type="dxa"/>
            <w:tcBorders>
              <w:top w:val="single" w:sz="4" w:space="0" w:color="BFBFBF"/>
              <w:left w:val="nil"/>
              <w:bottom w:val="single" w:sz="4" w:space="0" w:color="BFBFBF"/>
              <w:right w:val="single" w:sz="4" w:space="0" w:color="BFBFBF"/>
            </w:tcBorders>
            <w:shd w:val="clear" w:color="auto" w:fill="auto"/>
            <w:vAlign w:val="center"/>
            <w:hideMark/>
          </w:tcPr>
          <w:p w14:paraId="51BCFB49" w14:textId="7EFA11E4"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5A010259" w14:textId="5A8D418D"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1111" w:type="dxa"/>
            <w:tcBorders>
              <w:top w:val="single" w:sz="4" w:space="0" w:color="BFBFBF"/>
              <w:left w:val="nil"/>
              <w:bottom w:val="single" w:sz="4" w:space="0" w:color="BFBFBF"/>
              <w:right w:val="single" w:sz="4" w:space="0" w:color="BFBFBF"/>
            </w:tcBorders>
            <w:shd w:val="clear" w:color="auto" w:fill="auto"/>
            <w:vAlign w:val="center"/>
            <w:hideMark/>
          </w:tcPr>
          <w:p w14:paraId="73C40092" w14:textId="34AF2D7F" w:rsidR="00D0253F" w:rsidRPr="0035149B" w:rsidRDefault="00D0253F" w:rsidP="00D0253F">
            <w:pPr>
              <w:jc w:val="center"/>
              <w:rPr>
                <w:rFonts w:eastAsia="Times New Roman" w:cs="Times New Roman"/>
                <w:sz w:val="18"/>
                <w:szCs w:val="18"/>
                <w:lang w:eastAsia="lv-LV"/>
              </w:rPr>
            </w:pPr>
            <w:r>
              <w:rPr>
                <w:sz w:val="18"/>
                <w:szCs w:val="18"/>
              </w:rPr>
              <w:t>48 041</w:t>
            </w:r>
          </w:p>
        </w:tc>
        <w:tc>
          <w:tcPr>
            <w:tcW w:w="986" w:type="dxa"/>
            <w:tcBorders>
              <w:top w:val="single" w:sz="4" w:space="0" w:color="BFBFBF"/>
              <w:left w:val="nil"/>
              <w:bottom w:val="single" w:sz="4" w:space="0" w:color="BFBFBF"/>
              <w:right w:val="single" w:sz="4" w:space="0" w:color="BFBFBF"/>
            </w:tcBorders>
            <w:shd w:val="clear" w:color="auto" w:fill="auto"/>
            <w:vAlign w:val="center"/>
            <w:hideMark/>
          </w:tcPr>
          <w:p w14:paraId="4156E4FD" w14:textId="3F7121CD" w:rsidR="00D0253F" w:rsidRPr="0035149B" w:rsidRDefault="00D0253F" w:rsidP="00D0253F">
            <w:pPr>
              <w:jc w:val="center"/>
              <w:rPr>
                <w:rFonts w:eastAsia="Times New Roman" w:cs="Times New Roman"/>
                <w:sz w:val="18"/>
                <w:szCs w:val="18"/>
                <w:lang w:eastAsia="lv-LV"/>
              </w:rPr>
            </w:pPr>
            <w:r>
              <w:rPr>
                <w:sz w:val="18"/>
                <w:szCs w:val="18"/>
              </w:rPr>
              <w:t>48 041</w:t>
            </w:r>
          </w:p>
        </w:tc>
        <w:tc>
          <w:tcPr>
            <w:tcW w:w="1052" w:type="dxa"/>
            <w:tcBorders>
              <w:top w:val="single" w:sz="4" w:space="0" w:color="BFBFBF"/>
              <w:left w:val="nil"/>
              <w:bottom w:val="single" w:sz="4" w:space="0" w:color="BFBFBF"/>
              <w:right w:val="single" w:sz="4" w:space="0" w:color="BFBFBF"/>
            </w:tcBorders>
            <w:shd w:val="clear" w:color="auto" w:fill="auto"/>
            <w:vAlign w:val="center"/>
            <w:hideMark/>
          </w:tcPr>
          <w:p w14:paraId="3D9B92CE" w14:textId="722A85F1" w:rsidR="00D0253F" w:rsidRPr="0035149B" w:rsidRDefault="00D0253F" w:rsidP="00D0253F">
            <w:pPr>
              <w:jc w:val="center"/>
              <w:rPr>
                <w:rFonts w:eastAsia="Times New Roman" w:cs="Times New Roman"/>
                <w:sz w:val="18"/>
                <w:szCs w:val="18"/>
                <w:lang w:eastAsia="lv-LV"/>
              </w:rPr>
            </w:pPr>
            <w:r>
              <w:rPr>
                <w:sz w:val="18"/>
                <w:szCs w:val="18"/>
              </w:rPr>
              <w:t>48 041</w:t>
            </w:r>
          </w:p>
        </w:tc>
        <w:tc>
          <w:tcPr>
            <w:tcW w:w="1186" w:type="dxa"/>
            <w:tcBorders>
              <w:top w:val="single" w:sz="4" w:space="0" w:color="BFBFBF"/>
              <w:left w:val="nil"/>
              <w:bottom w:val="single" w:sz="4" w:space="0" w:color="BFBFBF"/>
              <w:right w:val="single" w:sz="4" w:space="0" w:color="BFBFBF"/>
            </w:tcBorders>
            <w:shd w:val="clear" w:color="auto" w:fill="auto"/>
            <w:vAlign w:val="center"/>
            <w:hideMark/>
          </w:tcPr>
          <w:p w14:paraId="145BBAF6" w14:textId="646171E6"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auto" w:fill="auto"/>
            <w:vAlign w:val="center"/>
            <w:hideMark/>
          </w:tcPr>
          <w:p w14:paraId="1E2025D8" w14:textId="095B6E6F" w:rsidR="00D0253F" w:rsidRPr="0035149B" w:rsidRDefault="00D0253F" w:rsidP="00D0253F">
            <w:pPr>
              <w:jc w:val="center"/>
              <w:rPr>
                <w:rFonts w:eastAsia="Times New Roman" w:cs="Times New Roman"/>
                <w:sz w:val="18"/>
                <w:szCs w:val="18"/>
                <w:lang w:eastAsia="lv-LV"/>
              </w:rPr>
            </w:pPr>
            <w:r>
              <w:rPr>
                <w:sz w:val="18"/>
                <w:szCs w:val="18"/>
              </w:rPr>
              <w:t>48 041</w:t>
            </w:r>
          </w:p>
        </w:tc>
        <w:tc>
          <w:tcPr>
            <w:tcW w:w="1296" w:type="dxa"/>
            <w:tcBorders>
              <w:top w:val="single" w:sz="4" w:space="0" w:color="BFBFBF"/>
              <w:left w:val="nil"/>
              <w:bottom w:val="single" w:sz="4" w:space="0" w:color="BFBFBF"/>
              <w:right w:val="single" w:sz="4" w:space="0" w:color="BFBFBF"/>
            </w:tcBorders>
            <w:shd w:val="clear" w:color="auto" w:fill="auto"/>
            <w:vAlign w:val="center"/>
            <w:hideMark/>
          </w:tcPr>
          <w:p w14:paraId="525884F7" w14:textId="13A83EB1" w:rsidR="00D0253F" w:rsidRPr="0035149B" w:rsidRDefault="00D0253F" w:rsidP="00D0253F">
            <w:pPr>
              <w:jc w:val="center"/>
              <w:rPr>
                <w:rFonts w:eastAsia="Times New Roman" w:cs="Times New Roman"/>
                <w:sz w:val="18"/>
                <w:szCs w:val="18"/>
                <w:lang w:eastAsia="lv-LV"/>
              </w:rPr>
            </w:pPr>
            <w:r>
              <w:rPr>
                <w:sz w:val="18"/>
                <w:szCs w:val="18"/>
              </w:rPr>
              <w:t>x</w:t>
            </w:r>
          </w:p>
        </w:tc>
      </w:tr>
      <w:tr w:rsidR="00947CA0" w:rsidRPr="0035149B" w14:paraId="2CA5A6CC" w14:textId="77777777" w:rsidTr="00606897">
        <w:trPr>
          <w:trHeight w:val="675"/>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25A65571" w14:textId="77777777" w:rsidR="00947CA0" w:rsidRPr="0035149B" w:rsidRDefault="00947CA0" w:rsidP="00947CA0">
            <w:pPr>
              <w:rPr>
                <w:rFonts w:eastAsia="Times New Roman" w:cs="Times New Roman"/>
                <w:b/>
                <w:bCs/>
                <w:color w:val="FF0000"/>
                <w:sz w:val="18"/>
                <w:szCs w:val="18"/>
                <w:lang w:eastAsia="lv-LV"/>
              </w:rPr>
            </w:pPr>
          </w:p>
        </w:tc>
        <w:tc>
          <w:tcPr>
            <w:tcW w:w="13168" w:type="dxa"/>
            <w:gridSpan w:val="11"/>
            <w:tcBorders>
              <w:top w:val="nil"/>
              <w:left w:val="nil"/>
              <w:bottom w:val="single" w:sz="4" w:space="0" w:color="BFBFBF"/>
              <w:right w:val="single" w:sz="4" w:space="0" w:color="BFBFBF"/>
            </w:tcBorders>
            <w:shd w:val="clear" w:color="000000" w:fill="FFFFFF"/>
            <w:vAlign w:val="center"/>
          </w:tcPr>
          <w:p w14:paraId="703B62BB" w14:textId="10EA4E94" w:rsidR="00947CA0" w:rsidRPr="00426CE3" w:rsidRDefault="00947CA0" w:rsidP="00947CA0">
            <w:pPr>
              <w:rPr>
                <w:b/>
                <w:bCs/>
                <w:sz w:val="18"/>
                <w:szCs w:val="18"/>
              </w:rPr>
            </w:pPr>
            <w:r w:rsidRPr="00426CE3">
              <w:rPr>
                <w:b/>
                <w:bCs/>
                <w:sz w:val="18"/>
                <w:szCs w:val="18"/>
              </w:rPr>
              <w:t xml:space="preserve">1.8. pasākums </w:t>
            </w:r>
            <w:r w:rsidRPr="008E44FA">
              <w:rPr>
                <w:b/>
                <w:bCs/>
                <w:sz w:val="18"/>
                <w:szCs w:val="18"/>
              </w:rPr>
              <w:t>Nodrošināt informācijas atspoguļojumu informatīvajā telpā par NILLTPFN jomas jautājumiem</w:t>
            </w:r>
            <w:r w:rsidRPr="00426CE3">
              <w:rPr>
                <w:b/>
                <w:bCs/>
                <w:sz w:val="18"/>
                <w:szCs w:val="18"/>
              </w:rPr>
              <w:t>.</w:t>
            </w:r>
          </w:p>
          <w:p w14:paraId="3F11E5B2" w14:textId="3879BFC7" w:rsidR="00947CA0" w:rsidRPr="0035149B" w:rsidRDefault="00947CA0">
            <w:pPr>
              <w:rPr>
                <w:rFonts w:eastAsia="Times New Roman" w:cs="Times New Roman"/>
                <w:sz w:val="18"/>
                <w:szCs w:val="18"/>
                <w:lang w:eastAsia="lv-LV"/>
              </w:rPr>
            </w:pPr>
            <w:r w:rsidRPr="00426CE3">
              <w:rPr>
                <w:b/>
                <w:bCs/>
                <w:sz w:val="18"/>
                <w:szCs w:val="18"/>
              </w:rPr>
              <w:t>1.8.</w:t>
            </w:r>
            <w:r>
              <w:rPr>
                <w:b/>
                <w:bCs/>
                <w:sz w:val="18"/>
                <w:szCs w:val="18"/>
              </w:rPr>
              <w:t xml:space="preserve"> </w:t>
            </w:r>
            <w:r w:rsidRPr="00426CE3">
              <w:rPr>
                <w:b/>
                <w:bCs/>
                <w:sz w:val="18"/>
                <w:szCs w:val="18"/>
              </w:rPr>
              <w:t xml:space="preserve">(2) </w:t>
            </w:r>
            <w:r w:rsidR="009D2B31" w:rsidRPr="009D2B31">
              <w:rPr>
                <w:b/>
                <w:bCs/>
                <w:sz w:val="18"/>
                <w:szCs w:val="18"/>
              </w:rPr>
              <w:t>Būtiskākie NILLTPFN jomas normatīvie akti un citi dokumenti ir pieejami tulkoti uz un no angļu vai citas nepieciešamās valodas tam piešķirtā finansējuma</w:t>
            </w:r>
            <w:r w:rsidR="009D2B31">
              <w:rPr>
                <w:b/>
                <w:bCs/>
                <w:sz w:val="18"/>
                <w:szCs w:val="18"/>
              </w:rPr>
              <w:t xml:space="preserve"> </w:t>
            </w:r>
            <w:r w:rsidRPr="008E44FA">
              <w:rPr>
                <w:b/>
                <w:bCs/>
                <w:sz w:val="18"/>
                <w:szCs w:val="18"/>
              </w:rPr>
              <w:t>apmērā</w:t>
            </w:r>
            <w:r>
              <w:rPr>
                <w:b/>
                <w:bCs/>
                <w:sz w:val="18"/>
                <w:szCs w:val="18"/>
              </w:rPr>
              <w:t>.</w:t>
            </w:r>
          </w:p>
        </w:tc>
      </w:tr>
      <w:tr w:rsidR="00D0253F" w:rsidRPr="0035149B" w14:paraId="7F7B4010" w14:textId="77777777" w:rsidTr="00606897">
        <w:trPr>
          <w:trHeight w:val="675"/>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467C09A2" w14:textId="77777777" w:rsidR="00D0253F" w:rsidRPr="0035149B" w:rsidRDefault="00D0253F" w:rsidP="00D0253F">
            <w:pPr>
              <w:rPr>
                <w:rFonts w:eastAsia="Times New Roman" w:cs="Times New Roman"/>
                <w:b/>
                <w:bCs/>
                <w:color w:val="FF0000"/>
                <w:sz w:val="18"/>
                <w:szCs w:val="18"/>
                <w:lang w:eastAsia="lv-LV"/>
              </w:rPr>
            </w:pP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F8A69BD" w14:textId="087B0B20" w:rsidR="00D0253F" w:rsidRPr="0035149B" w:rsidRDefault="00D0253F" w:rsidP="00D0253F">
            <w:pPr>
              <w:rPr>
                <w:rFonts w:eastAsia="Times New Roman" w:cs="Times New Roman"/>
                <w:b/>
                <w:bCs/>
                <w:sz w:val="18"/>
                <w:szCs w:val="18"/>
                <w:lang w:eastAsia="lv-LV"/>
              </w:rPr>
            </w:pPr>
            <w:r>
              <w:rPr>
                <w:b/>
                <w:bCs/>
                <w:sz w:val="18"/>
                <w:szCs w:val="18"/>
              </w:rPr>
              <w:t>Tieslietu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tcPr>
          <w:p w14:paraId="1C0741FE" w14:textId="7366727C" w:rsidR="00D0253F" w:rsidRPr="0035149B" w:rsidRDefault="00D0253F" w:rsidP="00D0253F">
            <w:pPr>
              <w:rPr>
                <w:rFonts w:eastAsia="Times New Roman" w:cs="Times New Roman"/>
                <w:sz w:val="18"/>
                <w:szCs w:val="18"/>
                <w:lang w:eastAsia="lv-LV"/>
              </w:rPr>
            </w:pPr>
            <w:r>
              <w:rPr>
                <w:sz w:val="18"/>
                <w:szCs w:val="18"/>
              </w:rPr>
              <w:t>09.01.00 "Valsts valodas aizsardzība"</w:t>
            </w:r>
          </w:p>
        </w:tc>
        <w:tc>
          <w:tcPr>
            <w:tcW w:w="826" w:type="dxa"/>
            <w:tcBorders>
              <w:top w:val="single" w:sz="4" w:space="0" w:color="BFBFBF"/>
              <w:left w:val="nil"/>
              <w:bottom w:val="single" w:sz="4" w:space="0" w:color="BFBFBF"/>
              <w:right w:val="single" w:sz="4" w:space="0" w:color="BFBFBF"/>
            </w:tcBorders>
            <w:shd w:val="clear" w:color="auto" w:fill="auto"/>
            <w:vAlign w:val="center"/>
          </w:tcPr>
          <w:p w14:paraId="5D7B67F1" w14:textId="1AFEB32C"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887" w:type="dxa"/>
            <w:tcBorders>
              <w:top w:val="single" w:sz="4" w:space="0" w:color="BFBFBF"/>
              <w:left w:val="nil"/>
              <w:bottom w:val="single" w:sz="4" w:space="0" w:color="BFBFBF"/>
              <w:right w:val="single" w:sz="4" w:space="0" w:color="BFBFBF"/>
            </w:tcBorders>
            <w:shd w:val="clear" w:color="auto" w:fill="auto"/>
            <w:vAlign w:val="center"/>
          </w:tcPr>
          <w:p w14:paraId="624F6B01" w14:textId="382C6B7D"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tcPr>
          <w:p w14:paraId="1BC8F921" w14:textId="1B245F59"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1111" w:type="dxa"/>
            <w:tcBorders>
              <w:top w:val="single" w:sz="4" w:space="0" w:color="BFBFBF"/>
              <w:left w:val="nil"/>
              <w:bottom w:val="single" w:sz="4" w:space="0" w:color="BFBFBF"/>
              <w:right w:val="single" w:sz="4" w:space="0" w:color="BFBFBF"/>
            </w:tcBorders>
            <w:shd w:val="clear" w:color="auto" w:fill="auto"/>
            <w:vAlign w:val="center"/>
          </w:tcPr>
          <w:p w14:paraId="080A32D2" w14:textId="3C42F12A" w:rsidR="00D0253F" w:rsidRPr="0035149B" w:rsidRDefault="00D0253F" w:rsidP="00D0253F">
            <w:pPr>
              <w:jc w:val="center"/>
              <w:rPr>
                <w:rFonts w:eastAsia="Times New Roman" w:cs="Times New Roman"/>
                <w:sz w:val="18"/>
                <w:szCs w:val="18"/>
                <w:lang w:eastAsia="lv-LV"/>
              </w:rPr>
            </w:pPr>
            <w:r>
              <w:rPr>
                <w:sz w:val="18"/>
                <w:szCs w:val="18"/>
              </w:rPr>
              <w:t>48 649</w:t>
            </w:r>
          </w:p>
        </w:tc>
        <w:tc>
          <w:tcPr>
            <w:tcW w:w="986" w:type="dxa"/>
            <w:tcBorders>
              <w:top w:val="single" w:sz="4" w:space="0" w:color="BFBFBF"/>
              <w:left w:val="nil"/>
              <w:bottom w:val="single" w:sz="4" w:space="0" w:color="BFBFBF"/>
              <w:right w:val="single" w:sz="4" w:space="0" w:color="BFBFBF"/>
            </w:tcBorders>
            <w:shd w:val="clear" w:color="auto" w:fill="auto"/>
            <w:vAlign w:val="center"/>
          </w:tcPr>
          <w:p w14:paraId="0A4C4EE0" w14:textId="6F2AA44F" w:rsidR="00D0253F" w:rsidRPr="0035149B" w:rsidRDefault="00D0253F" w:rsidP="00D0253F">
            <w:pPr>
              <w:jc w:val="center"/>
              <w:rPr>
                <w:rFonts w:eastAsia="Times New Roman" w:cs="Times New Roman"/>
                <w:sz w:val="18"/>
                <w:szCs w:val="18"/>
                <w:lang w:eastAsia="lv-LV"/>
              </w:rPr>
            </w:pPr>
            <w:r>
              <w:rPr>
                <w:sz w:val="18"/>
                <w:szCs w:val="18"/>
              </w:rPr>
              <w:t>48 649</w:t>
            </w:r>
          </w:p>
        </w:tc>
        <w:tc>
          <w:tcPr>
            <w:tcW w:w="1052" w:type="dxa"/>
            <w:tcBorders>
              <w:top w:val="single" w:sz="4" w:space="0" w:color="BFBFBF"/>
              <w:left w:val="nil"/>
              <w:bottom w:val="single" w:sz="4" w:space="0" w:color="BFBFBF"/>
              <w:right w:val="single" w:sz="4" w:space="0" w:color="BFBFBF"/>
            </w:tcBorders>
            <w:shd w:val="clear" w:color="auto" w:fill="auto"/>
            <w:vAlign w:val="center"/>
          </w:tcPr>
          <w:p w14:paraId="2C7A9DC6" w14:textId="51EE528D" w:rsidR="00D0253F" w:rsidRPr="0035149B" w:rsidRDefault="00D0253F" w:rsidP="00D0253F">
            <w:pPr>
              <w:jc w:val="center"/>
              <w:rPr>
                <w:rFonts w:eastAsia="Times New Roman" w:cs="Times New Roman"/>
                <w:sz w:val="18"/>
                <w:szCs w:val="18"/>
                <w:lang w:eastAsia="lv-LV"/>
              </w:rPr>
            </w:pPr>
            <w:r>
              <w:rPr>
                <w:sz w:val="18"/>
                <w:szCs w:val="18"/>
              </w:rPr>
              <w:t>48 649</w:t>
            </w:r>
          </w:p>
        </w:tc>
        <w:tc>
          <w:tcPr>
            <w:tcW w:w="1186" w:type="dxa"/>
            <w:tcBorders>
              <w:top w:val="single" w:sz="4" w:space="0" w:color="BFBFBF"/>
              <w:left w:val="nil"/>
              <w:bottom w:val="single" w:sz="4" w:space="0" w:color="BFBFBF"/>
              <w:right w:val="single" w:sz="4" w:space="0" w:color="BFBFBF"/>
            </w:tcBorders>
            <w:shd w:val="clear" w:color="auto" w:fill="auto"/>
            <w:vAlign w:val="center"/>
          </w:tcPr>
          <w:p w14:paraId="770389D2" w14:textId="3EE1BBC5" w:rsidR="00D0253F" w:rsidRPr="0035149B" w:rsidRDefault="00D0253F" w:rsidP="00D0253F">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auto" w:fill="auto"/>
            <w:vAlign w:val="center"/>
          </w:tcPr>
          <w:p w14:paraId="5DCB35C6" w14:textId="74ED5885" w:rsidR="00D0253F" w:rsidRPr="0035149B" w:rsidRDefault="00D0253F" w:rsidP="00D0253F">
            <w:pPr>
              <w:jc w:val="center"/>
              <w:rPr>
                <w:rFonts w:eastAsia="Times New Roman" w:cs="Times New Roman"/>
                <w:sz w:val="18"/>
                <w:szCs w:val="18"/>
                <w:lang w:eastAsia="lv-LV"/>
              </w:rPr>
            </w:pPr>
            <w:r>
              <w:rPr>
                <w:sz w:val="18"/>
                <w:szCs w:val="18"/>
              </w:rPr>
              <w:t>48 649</w:t>
            </w:r>
          </w:p>
        </w:tc>
        <w:tc>
          <w:tcPr>
            <w:tcW w:w="1296" w:type="dxa"/>
            <w:tcBorders>
              <w:top w:val="single" w:sz="4" w:space="0" w:color="BFBFBF"/>
              <w:left w:val="nil"/>
              <w:bottom w:val="single" w:sz="4" w:space="0" w:color="BFBFBF"/>
              <w:right w:val="single" w:sz="4" w:space="0" w:color="BFBFBF"/>
            </w:tcBorders>
            <w:shd w:val="clear" w:color="auto" w:fill="auto"/>
            <w:vAlign w:val="center"/>
          </w:tcPr>
          <w:p w14:paraId="57DAC9C4" w14:textId="5069CBFE" w:rsidR="00D0253F" w:rsidRPr="0035149B" w:rsidRDefault="00D0253F" w:rsidP="00D0253F">
            <w:pPr>
              <w:jc w:val="center"/>
              <w:rPr>
                <w:rFonts w:eastAsia="Times New Roman" w:cs="Times New Roman"/>
                <w:sz w:val="18"/>
                <w:szCs w:val="18"/>
                <w:lang w:eastAsia="lv-LV"/>
              </w:rPr>
            </w:pPr>
            <w:r>
              <w:rPr>
                <w:sz w:val="18"/>
                <w:szCs w:val="18"/>
              </w:rPr>
              <w:t>x</w:t>
            </w:r>
          </w:p>
        </w:tc>
      </w:tr>
      <w:tr w:rsidR="00947CA0" w:rsidRPr="0035149B" w14:paraId="317D4B3B" w14:textId="77777777" w:rsidTr="00606897">
        <w:trPr>
          <w:trHeight w:val="81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63FB31ED"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nil"/>
              <w:bottom w:val="single" w:sz="4" w:space="0" w:color="BFBFBF"/>
              <w:right w:val="single" w:sz="4" w:space="0" w:color="BFBFBF"/>
            </w:tcBorders>
            <w:shd w:val="clear" w:color="000000" w:fill="FFFFFF"/>
            <w:vAlign w:val="center"/>
            <w:hideMark/>
          </w:tcPr>
          <w:p w14:paraId="36B74FCD" w14:textId="410A2EE0" w:rsidR="00947CA0" w:rsidRPr="0035149B" w:rsidRDefault="00947CA0" w:rsidP="00947CA0">
            <w:pPr>
              <w:rPr>
                <w:rFonts w:eastAsia="Times New Roman" w:cs="Times New Roman"/>
                <w:b/>
                <w:bCs/>
                <w:sz w:val="18"/>
                <w:szCs w:val="18"/>
                <w:lang w:eastAsia="lv-LV"/>
              </w:rPr>
            </w:pPr>
            <w:r w:rsidRPr="00D067A2">
              <w:rPr>
                <w:rFonts w:eastAsia="Times New Roman" w:cs="Times New Roman"/>
                <w:b/>
                <w:bCs/>
                <w:sz w:val="18"/>
                <w:szCs w:val="18"/>
                <w:lang w:eastAsia="lv-LV"/>
              </w:rPr>
              <w:t xml:space="preserve">1.9. pasākums </w:t>
            </w:r>
            <w:r w:rsidR="009D2B31" w:rsidRPr="009D2B31">
              <w:rPr>
                <w:rFonts w:eastAsia="Times New Roman" w:cs="Times New Roman"/>
                <w:b/>
                <w:bCs/>
                <w:sz w:val="18"/>
                <w:szCs w:val="18"/>
                <w:lang w:eastAsia="lv-LV"/>
              </w:rPr>
              <w:t>Uzlabot Latvijas finanšu sektora starptautisko reputāciju</w:t>
            </w:r>
            <w:r w:rsidRPr="00D067A2">
              <w:rPr>
                <w:rFonts w:eastAsia="Times New Roman" w:cs="Times New Roman"/>
                <w:b/>
                <w:bCs/>
                <w:sz w:val="18"/>
                <w:szCs w:val="18"/>
                <w:lang w:eastAsia="lv-LV"/>
              </w:rPr>
              <w:t>.</w:t>
            </w:r>
          </w:p>
        </w:tc>
      </w:tr>
      <w:tr w:rsidR="00D0253F" w:rsidRPr="0035149B" w14:paraId="6C0A2D81" w14:textId="77777777" w:rsidTr="00606897">
        <w:trPr>
          <w:trHeight w:val="63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EBBF585" w14:textId="77777777" w:rsidR="00D0253F" w:rsidRPr="0035149B" w:rsidRDefault="00D0253F" w:rsidP="00D0253F">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BC6B60C" w14:textId="3EB5264F" w:rsidR="00D0253F" w:rsidRPr="0035149B" w:rsidRDefault="00D0253F" w:rsidP="00D0253F">
            <w:pPr>
              <w:rPr>
                <w:rFonts w:eastAsia="Times New Roman" w:cs="Times New Roman"/>
                <w:b/>
                <w:bCs/>
                <w:sz w:val="18"/>
                <w:szCs w:val="18"/>
                <w:lang w:eastAsia="lv-LV"/>
              </w:rPr>
            </w:pPr>
            <w:r>
              <w:rPr>
                <w:b/>
                <w:bCs/>
                <w:sz w:val="18"/>
                <w:szCs w:val="18"/>
              </w:rPr>
              <w:t>Valsts kanceleja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1142D62F" w14:textId="468B83DC" w:rsidR="00D0253F" w:rsidRPr="0035149B" w:rsidRDefault="00D0253F" w:rsidP="00D0253F">
            <w:pPr>
              <w:rPr>
                <w:rFonts w:eastAsia="Times New Roman" w:cs="Times New Roman"/>
                <w:sz w:val="18"/>
                <w:szCs w:val="18"/>
                <w:lang w:eastAsia="lv-LV"/>
              </w:rPr>
            </w:pPr>
            <w:r>
              <w:rPr>
                <w:sz w:val="18"/>
                <w:szCs w:val="18"/>
              </w:rPr>
              <w:t>01.00.00 “Ministru kabineta darbības nodrošināšana, valsts pārvaldes politika”</w:t>
            </w:r>
          </w:p>
        </w:tc>
        <w:tc>
          <w:tcPr>
            <w:tcW w:w="826" w:type="dxa"/>
            <w:tcBorders>
              <w:top w:val="single" w:sz="4" w:space="0" w:color="BFBFBF"/>
              <w:left w:val="nil"/>
              <w:bottom w:val="single" w:sz="4" w:space="0" w:color="BFBFBF"/>
              <w:right w:val="single" w:sz="4" w:space="0" w:color="BFBFBF"/>
            </w:tcBorders>
            <w:shd w:val="clear" w:color="auto" w:fill="auto"/>
            <w:vAlign w:val="center"/>
            <w:hideMark/>
          </w:tcPr>
          <w:p w14:paraId="4C1F8B3C" w14:textId="34F4990F"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887" w:type="dxa"/>
            <w:tcBorders>
              <w:top w:val="single" w:sz="4" w:space="0" w:color="BFBFBF"/>
              <w:left w:val="nil"/>
              <w:bottom w:val="single" w:sz="4" w:space="0" w:color="BFBFBF"/>
              <w:right w:val="single" w:sz="4" w:space="0" w:color="BFBFBF"/>
            </w:tcBorders>
            <w:shd w:val="clear" w:color="auto" w:fill="auto"/>
            <w:vAlign w:val="center"/>
            <w:hideMark/>
          </w:tcPr>
          <w:p w14:paraId="712D658B" w14:textId="26A092CB"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759D8326" w14:textId="792C2E04" w:rsidR="00D0253F" w:rsidRPr="0035149B" w:rsidRDefault="00D0253F" w:rsidP="00D0253F">
            <w:pPr>
              <w:jc w:val="center"/>
              <w:rPr>
                <w:rFonts w:eastAsia="Times New Roman" w:cs="Times New Roman"/>
                <w:b/>
                <w:bCs/>
                <w:sz w:val="18"/>
                <w:szCs w:val="18"/>
                <w:lang w:eastAsia="lv-LV"/>
              </w:rPr>
            </w:pPr>
            <w:r>
              <w:rPr>
                <w:b/>
                <w:bCs/>
                <w:sz w:val="18"/>
                <w:szCs w:val="18"/>
              </w:rPr>
              <w:t> </w:t>
            </w:r>
          </w:p>
        </w:tc>
        <w:tc>
          <w:tcPr>
            <w:tcW w:w="1111" w:type="dxa"/>
            <w:tcBorders>
              <w:top w:val="single" w:sz="4" w:space="0" w:color="BFBFBF"/>
              <w:left w:val="nil"/>
              <w:bottom w:val="single" w:sz="4" w:space="0" w:color="BFBFBF"/>
              <w:right w:val="single" w:sz="4" w:space="0" w:color="BFBFBF"/>
            </w:tcBorders>
            <w:shd w:val="clear" w:color="auto" w:fill="auto"/>
            <w:vAlign w:val="center"/>
            <w:hideMark/>
          </w:tcPr>
          <w:p w14:paraId="36BD3A2C" w14:textId="714E5C9F" w:rsidR="00D0253F" w:rsidRPr="0035149B" w:rsidRDefault="00D0253F" w:rsidP="00D0253F">
            <w:pPr>
              <w:jc w:val="center"/>
              <w:rPr>
                <w:rFonts w:eastAsia="Times New Roman" w:cs="Times New Roman"/>
                <w:sz w:val="18"/>
                <w:szCs w:val="18"/>
                <w:lang w:eastAsia="lv-LV"/>
              </w:rPr>
            </w:pPr>
            <w:r>
              <w:rPr>
                <w:sz w:val="18"/>
                <w:szCs w:val="18"/>
              </w:rPr>
              <w:t>29 040</w:t>
            </w:r>
          </w:p>
        </w:tc>
        <w:tc>
          <w:tcPr>
            <w:tcW w:w="986" w:type="dxa"/>
            <w:tcBorders>
              <w:top w:val="single" w:sz="4" w:space="0" w:color="BFBFBF"/>
              <w:left w:val="nil"/>
              <w:bottom w:val="single" w:sz="4" w:space="0" w:color="BFBFBF"/>
              <w:right w:val="single" w:sz="4" w:space="0" w:color="BFBFBF"/>
            </w:tcBorders>
            <w:shd w:val="clear" w:color="auto" w:fill="auto"/>
            <w:vAlign w:val="center"/>
            <w:hideMark/>
          </w:tcPr>
          <w:p w14:paraId="146D7D15" w14:textId="2D535E6F" w:rsidR="00D0253F" w:rsidRPr="0035149B" w:rsidRDefault="00D0253F" w:rsidP="00D0253F">
            <w:pPr>
              <w:jc w:val="center"/>
              <w:rPr>
                <w:rFonts w:eastAsia="Times New Roman" w:cs="Times New Roman"/>
                <w:sz w:val="18"/>
                <w:szCs w:val="18"/>
                <w:lang w:eastAsia="lv-LV"/>
              </w:rPr>
            </w:pPr>
            <w:r>
              <w:rPr>
                <w:sz w:val="18"/>
                <w:szCs w:val="18"/>
              </w:rPr>
              <w:t> </w:t>
            </w:r>
          </w:p>
        </w:tc>
        <w:tc>
          <w:tcPr>
            <w:tcW w:w="1052" w:type="dxa"/>
            <w:tcBorders>
              <w:top w:val="single" w:sz="4" w:space="0" w:color="BFBFBF"/>
              <w:left w:val="nil"/>
              <w:bottom w:val="single" w:sz="4" w:space="0" w:color="BFBFBF"/>
              <w:right w:val="single" w:sz="4" w:space="0" w:color="BFBFBF"/>
            </w:tcBorders>
            <w:shd w:val="clear" w:color="auto" w:fill="auto"/>
            <w:vAlign w:val="center"/>
            <w:hideMark/>
          </w:tcPr>
          <w:p w14:paraId="476452F7" w14:textId="725A90A1" w:rsidR="00D0253F" w:rsidRPr="0035149B" w:rsidRDefault="00D0253F" w:rsidP="00D0253F">
            <w:pPr>
              <w:jc w:val="center"/>
              <w:rPr>
                <w:rFonts w:eastAsia="Times New Roman" w:cs="Times New Roman"/>
                <w:sz w:val="18"/>
                <w:szCs w:val="18"/>
                <w:lang w:eastAsia="lv-LV"/>
              </w:rPr>
            </w:pPr>
            <w:r>
              <w:rPr>
                <w:sz w:val="18"/>
                <w:szCs w:val="18"/>
              </w:rPr>
              <w:t> </w:t>
            </w:r>
          </w:p>
        </w:tc>
        <w:tc>
          <w:tcPr>
            <w:tcW w:w="1186" w:type="dxa"/>
            <w:tcBorders>
              <w:top w:val="single" w:sz="4" w:space="0" w:color="BFBFBF"/>
              <w:left w:val="nil"/>
              <w:bottom w:val="single" w:sz="4" w:space="0" w:color="BFBFBF"/>
              <w:right w:val="single" w:sz="4" w:space="0" w:color="BFBFBF"/>
            </w:tcBorders>
            <w:shd w:val="clear" w:color="auto" w:fill="auto"/>
            <w:vAlign w:val="center"/>
            <w:hideMark/>
          </w:tcPr>
          <w:p w14:paraId="6ECF9A61" w14:textId="176B5532" w:rsidR="00D0253F" w:rsidRPr="0035149B" w:rsidRDefault="00D0253F" w:rsidP="00D0253F">
            <w:pPr>
              <w:jc w:val="center"/>
              <w:rPr>
                <w:rFonts w:eastAsia="Times New Roman" w:cs="Times New Roman"/>
                <w:sz w:val="18"/>
                <w:szCs w:val="18"/>
                <w:lang w:eastAsia="lv-LV"/>
              </w:rPr>
            </w:pPr>
            <w:r>
              <w:rPr>
                <w:sz w:val="18"/>
                <w:szCs w:val="18"/>
              </w:rPr>
              <w:t> </w:t>
            </w:r>
          </w:p>
        </w:tc>
        <w:tc>
          <w:tcPr>
            <w:tcW w:w="999" w:type="dxa"/>
            <w:tcBorders>
              <w:top w:val="single" w:sz="4" w:space="0" w:color="BFBFBF"/>
              <w:left w:val="nil"/>
              <w:bottom w:val="single" w:sz="4" w:space="0" w:color="BFBFBF"/>
              <w:right w:val="single" w:sz="4" w:space="0" w:color="BFBFBF"/>
            </w:tcBorders>
            <w:shd w:val="clear" w:color="auto" w:fill="auto"/>
            <w:vAlign w:val="center"/>
            <w:hideMark/>
          </w:tcPr>
          <w:p w14:paraId="2D627479" w14:textId="66442776" w:rsidR="00D0253F" w:rsidRPr="0035149B" w:rsidRDefault="00D0253F" w:rsidP="00D0253F">
            <w:pPr>
              <w:jc w:val="center"/>
              <w:rPr>
                <w:rFonts w:eastAsia="Times New Roman" w:cs="Times New Roman"/>
                <w:sz w:val="18"/>
                <w:szCs w:val="18"/>
                <w:lang w:eastAsia="lv-LV"/>
              </w:rPr>
            </w:pPr>
            <w:r>
              <w:rPr>
                <w:sz w:val="18"/>
                <w:szCs w:val="18"/>
              </w:rPr>
              <w:t> </w:t>
            </w:r>
          </w:p>
        </w:tc>
        <w:tc>
          <w:tcPr>
            <w:tcW w:w="1296" w:type="dxa"/>
            <w:tcBorders>
              <w:top w:val="single" w:sz="4" w:space="0" w:color="BFBFBF"/>
              <w:left w:val="nil"/>
              <w:bottom w:val="single" w:sz="4" w:space="0" w:color="BFBFBF"/>
              <w:right w:val="single" w:sz="4" w:space="0" w:color="BFBFBF"/>
            </w:tcBorders>
            <w:shd w:val="clear" w:color="auto" w:fill="auto"/>
            <w:vAlign w:val="center"/>
            <w:hideMark/>
          </w:tcPr>
          <w:p w14:paraId="351B1BE7" w14:textId="5FAAC2B1" w:rsidR="00D0253F" w:rsidRPr="0035149B" w:rsidRDefault="00D0253F" w:rsidP="00D0253F">
            <w:pPr>
              <w:jc w:val="center"/>
              <w:rPr>
                <w:rFonts w:eastAsia="Times New Roman" w:cs="Times New Roman"/>
                <w:sz w:val="18"/>
                <w:szCs w:val="18"/>
                <w:lang w:eastAsia="lv-LV"/>
              </w:rPr>
            </w:pPr>
            <w:r>
              <w:rPr>
                <w:sz w:val="18"/>
                <w:szCs w:val="18"/>
              </w:rPr>
              <w:t> </w:t>
            </w:r>
          </w:p>
        </w:tc>
      </w:tr>
      <w:tr w:rsidR="00947CA0" w:rsidRPr="0035149B" w14:paraId="2A2FF01E" w14:textId="77777777" w:rsidTr="0035149B">
        <w:trPr>
          <w:trHeight w:val="30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D809DBB"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 xml:space="preserve">2. rīcības virziens: starptautiskā sadarbība  </w:t>
            </w:r>
          </w:p>
        </w:tc>
      </w:tr>
      <w:tr w:rsidR="00947CA0" w:rsidRPr="0035149B" w14:paraId="7D602B56" w14:textId="77777777" w:rsidTr="00606897">
        <w:trPr>
          <w:trHeight w:val="61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C1B78EE"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lastRenderedPageBreak/>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4FB079F" w14:textId="3D96011F" w:rsidR="00947CA0" w:rsidRPr="0035149B" w:rsidRDefault="00947CA0" w:rsidP="00947CA0">
            <w:pPr>
              <w:rPr>
                <w:rFonts w:eastAsia="Times New Roman" w:cs="Times New Roman"/>
                <w:b/>
                <w:bCs/>
                <w:sz w:val="18"/>
                <w:szCs w:val="18"/>
                <w:lang w:eastAsia="lv-LV"/>
              </w:rPr>
            </w:pPr>
            <w:r>
              <w:rPr>
                <w:b/>
                <w:bCs/>
                <w:sz w:val="18"/>
                <w:szCs w:val="18"/>
              </w:rPr>
              <w:t xml:space="preserve">2.2. pasākums </w:t>
            </w:r>
            <w:r w:rsidR="009D2B31" w:rsidRPr="009D2B31">
              <w:rPr>
                <w:b/>
                <w:bCs/>
                <w:sz w:val="18"/>
                <w:szCs w:val="18"/>
              </w:rPr>
              <w:t>Nodrošināt FID pārstāvību Egmont grupas organizētajās sanāksmēs, MONEYVAL, kā arī ES finanšu izlūkošanas vienību platformā</w:t>
            </w:r>
            <w:r>
              <w:rPr>
                <w:b/>
                <w:bCs/>
                <w:sz w:val="18"/>
                <w:szCs w:val="18"/>
              </w:rPr>
              <w:t>.</w:t>
            </w:r>
          </w:p>
        </w:tc>
      </w:tr>
      <w:tr w:rsidR="00606897" w:rsidRPr="0035149B" w14:paraId="4CBD0173" w14:textId="77777777" w:rsidTr="00606897">
        <w:trPr>
          <w:trHeight w:val="78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6D6B7481"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E617937" w14:textId="3EB5CEB0"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0C7412AB" w14:textId="5FC71A44" w:rsidR="00606897" w:rsidRPr="0035149B" w:rsidRDefault="00606897" w:rsidP="00606897">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5BFCDBDF" w14:textId="7158E4DD" w:rsidR="00606897" w:rsidRPr="0035149B" w:rsidRDefault="00606897" w:rsidP="00606897">
            <w:pPr>
              <w:jc w:val="center"/>
              <w:rPr>
                <w:rFonts w:eastAsia="Times New Roman" w:cs="Times New Roman"/>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0E8BEB3B" w14:textId="7A50EC57" w:rsidR="00606897" w:rsidRPr="0035149B" w:rsidRDefault="00606897" w:rsidP="00606897">
            <w:pPr>
              <w:jc w:val="center"/>
              <w:rPr>
                <w:rFonts w:eastAsia="Times New Roman" w:cs="Times New Roman"/>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000000" w:fill="FFFFFF"/>
            <w:vAlign w:val="center"/>
            <w:hideMark/>
          </w:tcPr>
          <w:p w14:paraId="28CBFB85" w14:textId="0D87C1C4" w:rsidR="00606897" w:rsidRPr="0035149B" w:rsidRDefault="00606897" w:rsidP="00606897">
            <w:pPr>
              <w:jc w:val="center"/>
              <w:rPr>
                <w:rFonts w:eastAsia="Times New Roman" w:cs="Times New Roman"/>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347CE2ED" w14:textId="744784DB" w:rsidR="00606897" w:rsidRPr="0035149B" w:rsidRDefault="00606897" w:rsidP="00606897">
            <w:pPr>
              <w:jc w:val="center"/>
              <w:rPr>
                <w:rFonts w:eastAsia="Times New Roman" w:cs="Times New Roman"/>
                <w:sz w:val="18"/>
                <w:szCs w:val="18"/>
                <w:lang w:eastAsia="lv-LV"/>
              </w:rPr>
            </w:pPr>
            <w:r>
              <w:rPr>
                <w:sz w:val="18"/>
                <w:szCs w:val="18"/>
              </w:rPr>
              <w:t>35 000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361A6E1F" w14:textId="76C0C3CF" w:rsidR="00606897" w:rsidRPr="0035149B" w:rsidRDefault="00606897" w:rsidP="00606897">
            <w:pPr>
              <w:jc w:val="center"/>
              <w:rPr>
                <w:rFonts w:eastAsia="Times New Roman" w:cs="Times New Roman"/>
                <w:sz w:val="18"/>
                <w:szCs w:val="18"/>
                <w:lang w:eastAsia="lv-LV"/>
              </w:rPr>
            </w:pPr>
            <w:r>
              <w:rPr>
                <w:sz w:val="18"/>
                <w:szCs w:val="18"/>
              </w:rPr>
              <w:t>69 200</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2EFF74CD" w14:textId="5C24DEF3" w:rsidR="00606897" w:rsidRPr="0035149B" w:rsidRDefault="00606897" w:rsidP="00606897">
            <w:pPr>
              <w:jc w:val="center"/>
              <w:rPr>
                <w:rFonts w:eastAsia="Times New Roman" w:cs="Times New Roman"/>
                <w:sz w:val="18"/>
                <w:szCs w:val="18"/>
                <w:lang w:eastAsia="lv-LV"/>
              </w:rPr>
            </w:pPr>
            <w:r>
              <w:rPr>
                <w:sz w:val="18"/>
                <w:szCs w:val="18"/>
              </w:rPr>
              <w:t>69 200</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1930B8A3" w14:textId="0D89E8C5"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7D2808B9" w14:textId="4A641265" w:rsidR="00606897" w:rsidRPr="0035149B" w:rsidRDefault="00606897" w:rsidP="00606897">
            <w:pPr>
              <w:jc w:val="center"/>
              <w:rPr>
                <w:rFonts w:eastAsia="Times New Roman" w:cs="Times New Roman"/>
                <w:sz w:val="18"/>
                <w:szCs w:val="18"/>
                <w:lang w:eastAsia="lv-LV"/>
              </w:rPr>
            </w:pPr>
            <w:r>
              <w:rPr>
                <w:sz w:val="18"/>
                <w:szCs w:val="18"/>
              </w:rPr>
              <w:t>69 200</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03E3944D" w14:textId="7C229A9C"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70297318" w14:textId="77777777" w:rsidTr="00606897">
        <w:trPr>
          <w:trHeight w:val="780"/>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4F208B58" w14:textId="77777777" w:rsidR="00947CA0" w:rsidRPr="0035149B" w:rsidRDefault="00947CA0" w:rsidP="00947CA0">
            <w:pPr>
              <w:rPr>
                <w:rFonts w:eastAsia="Times New Roman" w:cs="Times New Roman"/>
                <w:b/>
                <w:bCs/>
                <w:color w:val="FF0000"/>
                <w:sz w:val="18"/>
                <w:szCs w:val="18"/>
                <w:lang w:eastAsia="lv-LV"/>
              </w:rPr>
            </w:pP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2B6C2DE5" w14:textId="56923E6B" w:rsidR="00947CA0" w:rsidRPr="0035149B" w:rsidRDefault="00947CA0" w:rsidP="00947CA0">
            <w:pPr>
              <w:rPr>
                <w:rFonts w:eastAsia="Times New Roman" w:cs="Times New Roman"/>
                <w:sz w:val="18"/>
                <w:szCs w:val="18"/>
                <w:lang w:eastAsia="lv-LV"/>
              </w:rPr>
            </w:pPr>
            <w:r>
              <w:rPr>
                <w:b/>
                <w:bCs/>
                <w:sz w:val="18"/>
                <w:szCs w:val="18"/>
              </w:rPr>
              <w:t xml:space="preserve">2.7. pasākums </w:t>
            </w:r>
            <w:r w:rsidR="009D2B31" w:rsidRPr="009D2B31">
              <w:rPr>
                <w:b/>
                <w:bCs/>
                <w:sz w:val="18"/>
                <w:szCs w:val="18"/>
              </w:rPr>
              <w:t>Organizēt starptautiska līmeņa Egmont grupas plenārsēdi Rīgā</w:t>
            </w:r>
            <w:r>
              <w:rPr>
                <w:b/>
                <w:bCs/>
                <w:sz w:val="18"/>
                <w:szCs w:val="18"/>
              </w:rPr>
              <w:t>.</w:t>
            </w:r>
          </w:p>
        </w:tc>
      </w:tr>
      <w:tr w:rsidR="00606897" w:rsidRPr="0035149B" w14:paraId="331D128A" w14:textId="77777777" w:rsidTr="00606897">
        <w:trPr>
          <w:trHeight w:val="780"/>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12E3783E" w14:textId="77777777" w:rsidR="00606897" w:rsidRPr="0035149B" w:rsidRDefault="00606897" w:rsidP="00606897">
            <w:pPr>
              <w:rPr>
                <w:rFonts w:eastAsia="Times New Roman" w:cs="Times New Roman"/>
                <w:b/>
                <w:bCs/>
                <w:color w:val="FF0000"/>
                <w:sz w:val="18"/>
                <w:szCs w:val="18"/>
                <w:lang w:eastAsia="lv-LV"/>
              </w:rPr>
            </w:pP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B88AF8D" w14:textId="43717081"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tcPr>
          <w:p w14:paraId="05C38393" w14:textId="7E932666" w:rsidR="00606897" w:rsidRPr="0035149B" w:rsidRDefault="00606897" w:rsidP="00606897">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tcPr>
          <w:p w14:paraId="389B5F97" w14:textId="6E350C51" w:rsidR="00606897" w:rsidRPr="0035149B" w:rsidRDefault="00606897" w:rsidP="00606897">
            <w:pPr>
              <w:jc w:val="center"/>
              <w:rPr>
                <w:rFonts w:eastAsia="Times New Roman" w:cs="Times New Roman"/>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tcPr>
          <w:p w14:paraId="3BAEFEBE" w14:textId="0426639C" w:rsidR="00606897" w:rsidRPr="0035149B" w:rsidRDefault="00606897" w:rsidP="00606897">
            <w:pPr>
              <w:jc w:val="center"/>
              <w:rPr>
                <w:rFonts w:eastAsia="Times New Roman" w:cs="Times New Roman"/>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000000" w:fill="FFFFFF"/>
            <w:vAlign w:val="center"/>
          </w:tcPr>
          <w:p w14:paraId="436FA587" w14:textId="3E22401C" w:rsidR="00606897" w:rsidRPr="0035149B" w:rsidRDefault="00606897" w:rsidP="00606897">
            <w:pPr>
              <w:jc w:val="center"/>
              <w:rPr>
                <w:rFonts w:eastAsia="Times New Roman" w:cs="Times New Roman"/>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tcPr>
          <w:p w14:paraId="2D2DF21A" w14:textId="43025873" w:rsidR="00606897" w:rsidRPr="004662B8" w:rsidDel="004662B8" w:rsidRDefault="00606897" w:rsidP="00606897">
            <w:pPr>
              <w:jc w:val="center"/>
              <w:rPr>
                <w:rFonts w:eastAsia="Times New Roman" w:cs="Times New Roman"/>
                <w:sz w:val="18"/>
                <w:szCs w:val="18"/>
                <w:lang w:eastAsia="lv-LV"/>
              </w:rPr>
            </w:pPr>
            <w:r>
              <w:rPr>
                <w:sz w:val="18"/>
                <w:szCs w:val="18"/>
              </w:rPr>
              <w:t> </w:t>
            </w:r>
          </w:p>
        </w:tc>
        <w:tc>
          <w:tcPr>
            <w:tcW w:w="986" w:type="dxa"/>
            <w:tcBorders>
              <w:top w:val="single" w:sz="4" w:space="0" w:color="BFBFBF"/>
              <w:left w:val="nil"/>
              <w:bottom w:val="single" w:sz="4" w:space="0" w:color="BFBFBF"/>
              <w:right w:val="single" w:sz="4" w:space="0" w:color="BFBFBF"/>
            </w:tcBorders>
            <w:shd w:val="clear" w:color="000000" w:fill="FFFFFF"/>
            <w:vAlign w:val="center"/>
          </w:tcPr>
          <w:p w14:paraId="56ADA2EA" w14:textId="4FC8059A" w:rsidR="00606897" w:rsidRPr="004662B8" w:rsidDel="004662B8" w:rsidRDefault="00606897" w:rsidP="00606897">
            <w:pPr>
              <w:jc w:val="center"/>
              <w:rPr>
                <w:rFonts w:eastAsia="Times New Roman" w:cs="Times New Roman"/>
                <w:sz w:val="18"/>
                <w:szCs w:val="18"/>
                <w:lang w:eastAsia="lv-LV"/>
              </w:rPr>
            </w:pPr>
            <w:r>
              <w:rPr>
                <w:sz w:val="18"/>
                <w:szCs w:val="18"/>
              </w:rPr>
              <w:t>83 000</w:t>
            </w:r>
          </w:p>
        </w:tc>
        <w:tc>
          <w:tcPr>
            <w:tcW w:w="1052" w:type="dxa"/>
            <w:tcBorders>
              <w:top w:val="single" w:sz="4" w:space="0" w:color="BFBFBF"/>
              <w:left w:val="nil"/>
              <w:bottom w:val="single" w:sz="4" w:space="0" w:color="BFBFBF"/>
              <w:right w:val="single" w:sz="4" w:space="0" w:color="BFBFBF"/>
            </w:tcBorders>
            <w:shd w:val="clear" w:color="000000" w:fill="FFFFFF"/>
            <w:vAlign w:val="center"/>
          </w:tcPr>
          <w:p w14:paraId="5E4FD22F" w14:textId="478BCC0C" w:rsidR="00606897" w:rsidRPr="004662B8" w:rsidDel="004662B8" w:rsidRDefault="00606897" w:rsidP="00606897">
            <w:pPr>
              <w:jc w:val="center"/>
              <w:rPr>
                <w:rFonts w:eastAsia="Times New Roman" w:cs="Times New Roman"/>
                <w:sz w:val="18"/>
                <w:szCs w:val="18"/>
                <w:lang w:eastAsia="lv-LV"/>
              </w:rPr>
            </w:pPr>
            <w:r>
              <w:rPr>
                <w:sz w:val="18"/>
                <w:szCs w:val="18"/>
              </w:rPr>
              <w:t>747 000</w:t>
            </w:r>
          </w:p>
        </w:tc>
        <w:tc>
          <w:tcPr>
            <w:tcW w:w="1186" w:type="dxa"/>
            <w:tcBorders>
              <w:top w:val="single" w:sz="4" w:space="0" w:color="BFBFBF"/>
              <w:left w:val="nil"/>
              <w:bottom w:val="single" w:sz="4" w:space="0" w:color="BFBFBF"/>
              <w:right w:val="single" w:sz="4" w:space="0" w:color="BFBFBF"/>
            </w:tcBorders>
            <w:shd w:val="clear" w:color="000000" w:fill="FFFFFF"/>
            <w:vAlign w:val="center"/>
          </w:tcPr>
          <w:p w14:paraId="373F337C" w14:textId="591FBFCD"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tcPr>
          <w:p w14:paraId="0EA6F0CB" w14:textId="320DF457" w:rsidR="00606897" w:rsidRPr="0035149B" w:rsidDel="004662B8" w:rsidRDefault="00606897" w:rsidP="00606897">
            <w:pPr>
              <w:jc w:val="center"/>
              <w:rPr>
                <w:rFonts w:eastAsia="Times New Roman" w:cs="Times New Roman"/>
                <w:sz w:val="18"/>
                <w:szCs w:val="18"/>
                <w:lang w:eastAsia="lv-LV"/>
              </w:rPr>
            </w:pPr>
            <w:r>
              <w:rPr>
                <w:sz w:val="18"/>
                <w:szCs w:val="18"/>
              </w:rPr>
              <w:t>0</w:t>
            </w:r>
          </w:p>
        </w:tc>
        <w:tc>
          <w:tcPr>
            <w:tcW w:w="1296" w:type="dxa"/>
            <w:tcBorders>
              <w:top w:val="single" w:sz="4" w:space="0" w:color="BFBFBF"/>
              <w:left w:val="nil"/>
              <w:bottom w:val="single" w:sz="4" w:space="0" w:color="BFBFBF"/>
              <w:right w:val="single" w:sz="4" w:space="0" w:color="BFBFBF"/>
            </w:tcBorders>
            <w:shd w:val="clear" w:color="000000" w:fill="FFFFFF"/>
            <w:vAlign w:val="center"/>
          </w:tcPr>
          <w:p w14:paraId="35705FEF" w14:textId="5C63716A" w:rsidR="00606897" w:rsidRPr="0035149B" w:rsidRDefault="00606897" w:rsidP="00606897">
            <w:pPr>
              <w:jc w:val="center"/>
              <w:rPr>
                <w:rFonts w:eastAsia="Times New Roman" w:cs="Times New Roman"/>
                <w:sz w:val="18"/>
                <w:szCs w:val="18"/>
                <w:lang w:eastAsia="lv-LV"/>
              </w:rPr>
            </w:pPr>
            <w:r>
              <w:rPr>
                <w:sz w:val="18"/>
                <w:szCs w:val="18"/>
              </w:rPr>
              <w:t>2022.</w:t>
            </w:r>
          </w:p>
        </w:tc>
      </w:tr>
      <w:tr w:rsidR="00947CA0" w:rsidRPr="0035149B" w14:paraId="7419972A" w14:textId="77777777" w:rsidTr="0035149B">
        <w:trPr>
          <w:trHeight w:val="36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9ED6A74"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3. rīcības virziens:  uzraudzība</w:t>
            </w:r>
          </w:p>
        </w:tc>
      </w:tr>
      <w:tr w:rsidR="00947CA0" w:rsidRPr="0035149B" w14:paraId="6490C078" w14:textId="77777777" w:rsidTr="00606897">
        <w:trPr>
          <w:trHeight w:val="36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14C91AD9"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217C297" w14:textId="6E02D81B" w:rsidR="00947CA0" w:rsidRPr="0035149B" w:rsidRDefault="00947CA0" w:rsidP="00947CA0">
            <w:pPr>
              <w:rPr>
                <w:rFonts w:eastAsia="Times New Roman" w:cs="Times New Roman"/>
                <w:b/>
                <w:bCs/>
                <w:sz w:val="18"/>
                <w:szCs w:val="18"/>
                <w:lang w:eastAsia="lv-LV"/>
              </w:rPr>
            </w:pPr>
            <w:r>
              <w:rPr>
                <w:b/>
                <w:bCs/>
                <w:sz w:val="18"/>
                <w:szCs w:val="18"/>
              </w:rPr>
              <w:t xml:space="preserve">3.1. pasākums </w:t>
            </w:r>
            <w:r w:rsidR="009D2B31" w:rsidRPr="009D2B31">
              <w:rPr>
                <w:b/>
                <w:bCs/>
                <w:sz w:val="18"/>
                <w:szCs w:val="18"/>
              </w:rPr>
              <w:t>Nodrošināt ar riskiem pamatotu uzraudzības procesu</w:t>
            </w:r>
            <w:r>
              <w:rPr>
                <w:b/>
                <w:bCs/>
                <w:sz w:val="18"/>
                <w:szCs w:val="18"/>
              </w:rPr>
              <w:t>.</w:t>
            </w:r>
          </w:p>
        </w:tc>
      </w:tr>
      <w:tr w:rsidR="00606897" w:rsidRPr="0035149B" w14:paraId="3516113A" w14:textId="77777777" w:rsidTr="00606897">
        <w:trPr>
          <w:trHeight w:val="60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0349C7B" w14:textId="77777777" w:rsidR="00606897" w:rsidRPr="0035149B" w:rsidRDefault="00606897" w:rsidP="00606897">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D63DFD8" w14:textId="7E297386" w:rsidR="00606897" w:rsidRPr="0035149B" w:rsidRDefault="00606897" w:rsidP="00606897">
            <w:pPr>
              <w:rPr>
                <w:rFonts w:eastAsia="Times New Roman" w:cs="Times New Roman"/>
                <w:b/>
                <w:bCs/>
                <w:sz w:val="18"/>
                <w:szCs w:val="18"/>
                <w:lang w:eastAsia="lv-LV"/>
              </w:rPr>
            </w:pPr>
            <w:r>
              <w:rPr>
                <w:b/>
                <w:bCs/>
                <w:sz w:val="18"/>
                <w:szCs w:val="18"/>
              </w:rPr>
              <w:t xml:space="preserve">Finanšu ministrija </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1B8F2E0C" w14:textId="1741D54B" w:rsidR="00606897" w:rsidRPr="0035149B" w:rsidRDefault="00606897" w:rsidP="00606897">
            <w:pPr>
              <w:rPr>
                <w:rFonts w:eastAsia="Times New Roman" w:cs="Times New Roman"/>
                <w:b/>
                <w:bCs/>
                <w:sz w:val="18"/>
                <w:szCs w:val="18"/>
                <w:lang w:eastAsia="lv-LV"/>
              </w:rPr>
            </w:pPr>
            <w:r>
              <w:rPr>
                <w:sz w:val="18"/>
                <w:szCs w:val="18"/>
              </w:rPr>
              <w:t>33.00.00 "Valsts ieņēmumu un muitas politikas nodrošināšana"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5EE64E43" w14:textId="53A04A3A" w:rsidR="00606897" w:rsidRPr="0035149B" w:rsidRDefault="00606897" w:rsidP="00606897">
            <w:pPr>
              <w:rPr>
                <w:rFonts w:eastAsia="Times New Roman" w:cs="Times New Roman"/>
                <w:b/>
                <w:bCs/>
                <w:sz w:val="18"/>
                <w:szCs w:val="18"/>
                <w:lang w:eastAsia="lv-LV"/>
              </w:rPr>
            </w:pPr>
            <w:r>
              <w:rPr>
                <w:b/>
                <w:bCs/>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44553A41" w14:textId="474C84D0" w:rsidR="00606897" w:rsidRPr="0035149B" w:rsidRDefault="00606897" w:rsidP="00606897">
            <w:pPr>
              <w:rPr>
                <w:rFonts w:eastAsia="Times New Roman" w:cs="Times New Roman"/>
                <w:b/>
                <w:bCs/>
                <w:sz w:val="18"/>
                <w:szCs w:val="18"/>
                <w:lang w:eastAsia="lv-LV"/>
              </w:rPr>
            </w:pPr>
            <w:r>
              <w:rPr>
                <w:b/>
                <w:bCs/>
                <w:sz w:val="18"/>
                <w:szCs w:val="18"/>
              </w:rPr>
              <w:t> </w:t>
            </w:r>
          </w:p>
        </w:tc>
        <w:tc>
          <w:tcPr>
            <w:tcW w:w="947" w:type="dxa"/>
            <w:tcBorders>
              <w:top w:val="single" w:sz="4" w:space="0" w:color="BFBFBF"/>
              <w:left w:val="nil"/>
              <w:bottom w:val="single" w:sz="4" w:space="0" w:color="BFBFBF"/>
              <w:right w:val="single" w:sz="4" w:space="0" w:color="BFBFBF"/>
            </w:tcBorders>
            <w:shd w:val="clear" w:color="000000" w:fill="FFFFFF"/>
            <w:vAlign w:val="center"/>
            <w:hideMark/>
          </w:tcPr>
          <w:p w14:paraId="14A8A842" w14:textId="593EF381" w:rsidR="00606897" w:rsidRPr="0035149B" w:rsidRDefault="00606897" w:rsidP="00606897">
            <w:pPr>
              <w:jc w:val="center"/>
              <w:rPr>
                <w:rFonts w:eastAsia="Times New Roman" w:cs="Times New Roman"/>
                <w:b/>
                <w:bCs/>
                <w:sz w:val="18"/>
                <w:szCs w:val="18"/>
                <w:lang w:eastAsia="lv-LV"/>
              </w:rPr>
            </w:pPr>
            <w:r>
              <w:rPr>
                <w:b/>
                <w:bCs/>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254B9AE2" w14:textId="5D8FEF0F" w:rsidR="00606897" w:rsidRPr="0035149B" w:rsidRDefault="00606897" w:rsidP="00606897">
            <w:pPr>
              <w:jc w:val="center"/>
              <w:rPr>
                <w:rFonts w:eastAsia="Times New Roman" w:cs="Times New Roman"/>
                <w:sz w:val="18"/>
                <w:szCs w:val="18"/>
                <w:lang w:eastAsia="lv-LV"/>
              </w:rPr>
            </w:pPr>
            <w:r>
              <w:rPr>
                <w:sz w:val="18"/>
                <w:szCs w:val="18"/>
              </w:rPr>
              <w:t>115 538</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60819EB3" w14:textId="75D307EF" w:rsidR="00606897" w:rsidRPr="0035149B" w:rsidRDefault="00606897" w:rsidP="00606897">
            <w:pPr>
              <w:jc w:val="center"/>
              <w:rPr>
                <w:rFonts w:eastAsia="Times New Roman" w:cs="Times New Roman"/>
                <w:sz w:val="18"/>
                <w:szCs w:val="18"/>
                <w:lang w:eastAsia="lv-LV"/>
              </w:rPr>
            </w:pPr>
            <w:r>
              <w:rPr>
                <w:sz w:val="18"/>
                <w:szCs w:val="18"/>
              </w:rPr>
              <w:t>30 247</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67B2279F" w14:textId="3BE454D6" w:rsidR="00606897" w:rsidRPr="0035149B" w:rsidRDefault="00606897" w:rsidP="00606897">
            <w:pPr>
              <w:jc w:val="center"/>
              <w:rPr>
                <w:rFonts w:eastAsia="Times New Roman" w:cs="Times New Roman"/>
                <w:sz w:val="18"/>
                <w:szCs w:val="18"/>
                <w:lang w:eastAsia="lv-LV"/>
              </w:rPr>
            </w:pPr>
            <w:r>
              <w:rPr>
                <w:sz w:val="18"/>
                <w:szCs w:val="18"/>
              </w:rPr>
              <w:t>30 247</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38A6DC7F" w14:textId="2FC4D0DC" w:rsidR="00606897" w:rsidRPr="0035149B" w:rsidRDefault="00606897" w:rsidP="00606897">
            <w:pPr>
              <w:jc w:val="center"/>
              <w:rPr>
                <w:rFonts w:eastAsia="Times New Roman" w:cs="Times New Roman"/>
                <w:sz w:val="18"/>
                <w:szCs w:val="18"/>
                <w:lang w:eastAsia="lv-LV"/>
              </w:rPr>
            </w:pPr>
            <w:r>
              <w:rPr>
                <w:sz w:val="18"/>
                <w:szCs w:val="18"/>
              </w:rPr>
              <w:t> </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7465D6E4" w14:textId="419756B5" w:rsidR="00606897" w:rsidRPr="0035149B" w:rsidRDefault="00606897" w:rsidP="00606897">
            <w:pPr>
              <w:jc w:val="center"/>
              <w:rPr>
                <w:rFonts w:eastAsia="Times New Roman" w:cs="Times New Roman"/>
                <w:sz w:val="18"/>
                <w:szCs w:val="18"/>
                <w:lang w:eastAsia="lv-LV"/>
              </w:rPr>
            </w:pPr>
            <w:r>
              <w:rPr>
                <w:sz w:val="18"/>
                <w:szCs w:val="18"/>
              </w:rPr>
              <w:t>30 247</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01F1D21B" w14:textId="65E623BC"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0B131FD2" w14:textId="77777777" w:rsidTr="00606897">
        <w:trPr>
          <w:trHeight w:val="67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A9FB97D"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C9BAB9A" w14:textId="37640BD6" w:rsidR="00947CA0" w:rsidRPr="0035149B" w:rsidRDefault="00947CA0" w:rsidP="00947CA0">
            <w:pPr>
              <w:rPr>
                <w:rFonts w:eastAsia="Times New Roman" w:cs="Times New Roman"/>
                <w:b/>
                <w:bCs/>
                <w:sz w:val="18"/>
                <w:szCs w:val="18"/>
                <w:lang w:eastAsia="lv-LV"/>
              </w:rPr>
            </w:pPr>
            <w:r>
              <w:rPr>
                <w:b/>
                <w:bCs/>
                <w:sz w:val="18"/>
                <w:szCs w:val="18"/>
              </w:rPr>
              <w:t xml:space="preserve">3.2. pasākums </w:t>
            </w:r>
            <w:r w:rsidR="009D2B31" w:rsidRPr="009D2B31">
              <w:rPr>
                <w:b/>
                <w:bCs/>
                <w:sz w:val="18"/>
                <w:szCs w:val="18"/>
              </w:rPr>
              <w:t>Pārskatīt UKI darbinieku skaitu un resursus, lai nodrošinātu, ka tās spēj adekvāti pārvaldīt identificētos riskus un uzraudzīt likuma subjektu rīcību attiecībā uz riskiem</w:t>
            </w:r>
            <w:r>
              <w:rPr>
                <w:b/>
                <w:bCs/>
                <w:sz w:val="18"/>
                <w:szCs w:val="18"/>
              </w:rPr>
              <w:t>.</w:t>
            </w:r>
            <w:r>
              <w:rPr>
                <w:b/>
                <w:bCs/>
                <w:sz w:val="18"/>
                <w:szCs w:val="18"/>
              </w:rPr>
              <w:br/>
              <w:t xml:space="preserve">3.2. (1) </w:t>
            </w:r>
            <w:r w:rsidR="009D2B31" w:rsidRPr="009D2B31">
              <w:rPr>
                <w:b/>
                <w:bCs/>
                <w:sz w:val="18"/>
                <w:szCs w:val="18"/>
              </w:rPr>
              <w:t>Izveidotas 3 jaunas amata vietas NKMP</w:t>
            </w:r>
            <w:r>
              <w:rPr>
                <w:b/>
                <w:bCs/>
                <w:sz w:val="18"/>
                <w:szCs w:val="18"/>
              </w:rPr>
              <w:t>.</w:t>
            </w:r>
          </w:p>
        </w:tc>
      </w:tr>
      <w:tr w:rsidR="00606897" w:rsidRPr="0035149B" w14:paraId="7F38FC06" w14:textId="77777777" w:rsidTr="00606897">
        <w:trPr>
          <w:trHeight w:val="61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77B86BD7"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90E0BEA" w14:textId="1426E903" w:rsidR="00606897" w:rsidRPr="0035149B" w:rsidRDefault="00606897" w:rsidP="00606897">
            <w:pPr>
              <w:rPr>
                <w:rFonts w:eastAsia="Times New Roman" w:cs="Times New Roman"/>
                <w:b/>
                <w:bCs/>
                <w:sz w:val="18"/>
                <w:szCs w:val="18"/>
                <w:lang w:eastAsia="lv-LV"/>
              </w:rPr>
            </w:pPr>
            <w:r>
              <w:rPr>
                <w:b/>
                <w:bCs/>
                <w:sz w:val="18"/>
                <w:szCs w:val="18"/>
              </w:rPr>
              <w:t>Kultūras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2AEC171B" w14:textId="33C5CA85" w:rsidR="00606897" w:rsidRPr="0035149B" w:rsidRDefault="00606897" w:rsidP="00606897">
            <w:pPr>
              <w:rPr>
                <w:rFonts w:eastAsia="Times New Roman" w:cs="Times New Roman"/>
                <w:sz w:val="18"/>
                <w:szCs w:val="18"/>
                <w:lang w:eastAsia="lv-LV"/>
              </w:rPr>
            </w:pPr>
            <w:r>
              <w:rPr>
                <w:sz w:val="18"/>
                <w:szCs w:val="18"/>
              </w:rPr>
              <w:t>21.00.00 "Mantojums"</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3E3F2D77" w14:textId="45F70D28" w:rsidR="00606897" w:rsidRPr="0035149B" w:rsidRDefault="00606897" w:rsidP="00606897">
            <w:pPr>
              <w:rPr>
                <w:rFonts w:eastAsia="Times New Roman" w:cs="Times New Roman"/>
                <w:b/>
                <w:bCs/>
                <w:color w:val="FF0000"/>
                <w:sz w:val="18"/>
                <w:szCs w:val="18"/>
                <w:lang w:eastAsia="lv-LV"/>
              </w:rPr>
            </w:pPr>
            <w:r>
              <w:rPr>
                <w:b/>
                <w:bCs/>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18C01316" w14:textId="31C0A441" w:rsidR="00606897" w:rsidRPr="0035149B" w:rsidRDefault="00606897" w:rsidP="00606897">
            <w:pPr>
              <w:rPr>
                <w:rFonts w:eastAsia="Times New Roman" w:cs="Times New Roman"/>
                <w:b/>
                <w:bCs/>
                <w:color w:val="FF0000"/>
                <w:sz w:val="18"/>
                <w:szCs w:val="18"/>
                <w:lang w:eastAsia="lv-LV"/>
              </w:rPr>
            </w:pPr>
            <w:r>
              <w:rPr>
                <w:b/>
                <w:bCs/>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1BA8F934" w14:textId="1EA59718"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3C6CFAEF" w14:textId="466A1A98" w:rsidR="00606897" w:rsidRPr="0035149B" w:rsidRDefault="00606897" w:rsidP="00606897">
            <w:pPr>
              <w:jc w:val="center"/>
              <w:rPr>
                <w:rFonts w:eastAsia="Times New Roman" w:cs="Times New Roman"/>
                <w:sz w:val="18"/>
                <w:szCs w:val="18"/>
                <w:lang w:eastAsia="lv-LV"/>
              </w:rPr>
            </w:pPr>
            <w:r>
              <w:rPr>
                <w:sz w:val="18"/>
                <w:szCs w:val="18"/>
              </w:rPr>
              <w:t>56 807</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3BE381C2" w14:textId="6F8B0FE9" w:rsidR="00606897" w:rsidRPr="0035149B" w:rsidRDefault="00606897" w:rsidP="00606897">
            <w:pPr>
              <w:jc w:val="center"/>
              <w:rPr>
                <w:rFonts w:eastAsia="Times New Roman" w:cs="Times New Roman"/>
                <w:sz w:val="18"/>
                <w:szCs w:val="18"/>
                <w:lang w:eastAsia="lv-LV"/>
              </w:rPr>
            </w:pPr>
            <w:r>
              <w:rPr>
                <w:sz w:val="18"/>
                <w:szCs w:val="18"/>
              </w:rPr>
              <w:t>53 607</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21F5CEA3" w14:textId="44EE3D8E" w:rsidR="00606897" w:rsidRPr="0035149B" w:rsidRDefault="00606897" w:rsidP="00606897">
            <w:pPr>
              <w:jc w:val="center"/>
              <w:rPr>
                <w:rFonts w:eastAsia="Times New Roman" w:cs="Times New Roman"/>
                <w:sz w:val="18"/>
                <w:szCs w:val="18"/>
                <w:lang w:eastAsia="lv-LV"/>
              </w:rPr>
            </w:pPr>
            <w:r>
              <w:rPr>
                <w:sz w:val="18"/>
                <w:szCs w:val="18"/>
              </w:rPr>
              <w:t>53 607</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6E0510EA" w14:textId="02BC373F"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5366C8B5" w14:textId="09A02A61" w:rsidR="00606897" w:rsidRPr="0035149B" w:rsidRDefault="00606897" w:rsidP="00606897">
            <w:pPr>
              <w:jc w:val="center"/>
              <w:rPr>
                <w:rFonts w:eastAsia="Times New Roman" w:cs="Times New Roman"/>
                <w:sz w:val="18"/>
                <w:szCs w:val="18"/>
                <w:lang w:eastAsia="lv-LV"/>
              </w:rPr>
            </w:pPr>
            <w:r>
              <w:rPr>
                <w:sz w:val="18"/>
                <w:szCs w:val="18"/>
              </w:rPr>
              <w:t>53 607</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292EB095" w14:textId="60869172"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0D9C334E" w14:textId="77777777" w:rsidTr="00606897">
        <w:trPr>
          <w:trHeight w:val="615"/>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464C5D6C" w14:textId="77777777" w:rsidR="00947CA0" w:rsidRPr="0035149B" w:rsidRDefault="00947CA0" w:rsidP="00947CA0">
            <w:pPr>
              <w:rPr>
                <w:rFonts w:eastAsia="Times New Roman" w:cs="Times New Roman"/>
                <w:b/>
                <w:bCs/>
                <w:color w:val="FF0000"/>
                <w:sz w:val="18"/>
                <w:szCs w:val="18"/>
                <w:lang w:eastAsia="lv-LV"/>
              </w:rPr>
            </w:pP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3AF27E9A" w14:textId="37720E2B" w:rsidR="00947CA0" w:rsidRPr="00F8655C" w:rsidRDefault="00947CA0" w:rsidP="00F8655C">
            <w:pPr>
              <w:rPr>
                <w:b/>
                <w:bCs/>
                <w:sz w:val="18"/>
                <w:szCs w:val="18"/>
              </w:rPr>
            </w:pPr>
            <w:r w:rsidRPr="00F8655C">
              <w:rPr>
                <w:b/>
                <w:bCs/>
                <w:sz w:val="18"/>
                <w:szCs w:val="18"/>
              </w:rPr>
              <w:t>3.2.</w:t>
            </w:r>
            <w:r w:rsidR="009D2B31">
              <w:rPr>
                <w:b/>
                <w:bCs/>
                <w:sz w:val="18"/>
                <w:szCs w:val="18"/>
              </w:rPr>
              <w:t xml:space="preserve"> </w:t>
            </w:r>
            <w:r w:rsidRPr="00F8655C">
              <w:rPr>
                <w:b/>
                <w:bCs/>
                <w:sz w:val="18"/>
                <w:szCs w:val="18"/>
              </w:rPr>
              <w:t xml:space="preserve">pasākums </w:t>
            </w:r>
            <w:r w:rsidR="009D2B31" w:rsidRPr="009D2B31">
              <w:rPr>
                <w:b/>
                <w:bCs/>
                <w:sz w:val="18"/>
                <w:szCs w:val="18"/>
              </w:rPr>
              <w:t>Pārskatīt UKI darbinieku skaitu un resursus, lai nodrošinātu, ka tās spēj adekvāti pārvaldīt identificētos riskus un uzraudzīt likuma subjektu rīcību attiecībā uz riskiem</w:t>
            </w:r>
            <w:r w:rsidRPr="00F8655C">
              <w:rPr>
                <w:b/>
                <w:bCs/>
                <w:sz w:val="18"/>
                <w:szCs w:val="18"/>
              </w:rPr>
              <w:t>.</w:t>
            </w:r>
          </w:p>
          <w:p w14:paraId="64DD01D5" w14:textId="6FDE7A94" w:rsidR="00947CA0" w:rsidRDefault="00947CA0" w:rsidP="00F8655C">
            <w:pPr>
              <w:rPr>
                <w:sz w:val="18"/>
                <w:szCs w:val="18"/>
              </w:rPr>
            </w:pPr>
            <w:r w:rsidRPr="00F8655C">
              <w:rPr>
                <w:b/>
                <w:bCs/>
                <w:sz w:val="18"/>
                <w:szCs w:val="18"/>
              </w:rPr>
              <w:t xml:space="preserve">3.2. (3) </w:t>
            </w:r>
            <w:r w:rsidR="009D2B31" w:rsidRPr="009D2B31">
              <w:rPr>
                <w:b/>
                <w:bCs/>
                <w:sz w:val="18"/>
                <w:szCs w:val="18"/>
              </w:rPr>
              <w:t>Izveidotas 2 jaunas amata vietas MKD</w:t>
            </w:r>
            <w:r w:rsidRPr="00F8655C">
              <w:rPr>
                <w:b/>
                <w:bCs/>
                <w:sz w:val="18"/>
                <w:szCs w:val="18"/>
              </w:rPr>
              <w:t>.</w:t>
            </w:r>
          </w:p>
        </w:tc>
      </w:tr>
      <w:tr w:rsidR="00606897" w:rsidRPr="0035149B" w14:paraId="57EAEE53" w14:textId="77777777" w:rsidTr="00606897">
        <w:trPr>
          <w:trHeight w:val="615"/>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1EA1DC10" w14:textId="77777777" w:rsidR="00606897" w:rsidRPr="0035149B" w:rsidRDefault="00606897" w:rsidP="00606897">
            <w:pPr>
              <w:rPr>
                <w:rFonts w:eastAsia="Times New Roman" w:cs="Times New Roman"/>
                <w:b/>
                <w:bCs/>
                <w:color w:val="FF0000"/>
                <w:sz w:val="18"/>
                <w:szCs w:val="18"/>
                <w:lang w:eastAsia="lv-LV"/>
              </w:rPr>
            </w:pP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28418EB" w14:textId="0C3978A5" w:rsidR="00606897" w:rsidRDefault="00606897" w:rsidP="00606897">
            <w:pPr>
              <w:rPr>
                <w:b/>
                <w:bCs/>
                <w:sz w:val="18"/>
                <w:szCs w:val="18"/>
              </w:rPr>
            </w:pPr>
            <w:r>
              <w:rPr>
                <w:b/>
                <w:bCs/>
                <w:sz w:val="18"/>
                <w:szCs w:val="18"/>
              </w:rPr>
              <w:t>Tieslietu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tcPr>
          <w:p w14:paraId="60BCD7AB" w14:textId="130DFD65" w:rsidR="00606897" w:rsidRDefault="00606897" w:rsidP="00606897">
            <w:pPr>
              <w:rPr>
                <w:sz w:val="18"/>
                <w:szCs w:val="18"/>
              </w:rPr>
            </w:pPr>
            <w:r>
              <w:rPr>
                <w:sz w:val="18"/>
                <w:szCs w:val="18"/>
              </w:rPr>
              <w:t>06.03.00 "Maksātnespējas procesa pārvaldība”</w:t>
            </w:r>
          </w:p>
        </w:tc>
        <w:tc>
          <w:tcPr>
            <w:tcW w:w="826" w:type="dxa"/>
            <w:tcBorders>
              <w:top w:val="single" w:sz="4" w:space="0" w:color="BFBFBF"/>
              <w:left w:val="nil"/>
              <w:bottom w:val="single" w:sz="4" w:space="0" w:color="BFBFBF"/>
              <w:right w:val="single" w:sz="4" w:space="0" w:color="BFBFBF"/>
            </w:tcBorders>
            <w:shd w:val="clear" w:color="000000" w:fill="FFFFFF"/>
            <w:vAlign w:val="center"/>
          </w:tcPr>
          <w:p w14:paraId="47AAB554" w14:textId="21A4B2B6" w:rsidR="00606897" w:rsidRDefault="00606897" w:rsidP="00606897">
            <w:pPr>
              <w:rPr>
                <w:b/>
                <w:bCs/>
                <w:sz w:val="18"/>
                <w:szCs w:val="18"/>
              </w:rPr>
            </w:pPr>
            <w:r>
              <w:rPr>
                <w:b/>
                <w:bCs/>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tcPr>
          <w:p w14:paraId="7AFB3B2B" w14:textId="39137BFA" w:rsidR="00606897" w:rsidRDefault="00606897" w:rsidP="00606897">
            <w:pPr>
              <w:rPr>
                <w:b/>
                <w:bCs/>
                <w:sz w:val="18"/>
                <w:szCs w:val="18"/>
              </w:rPr>
            </w:pPr>
            <w:r>
              <w:rPr>
                <w:b/>
                <w:bCs/>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tcPr>
          <w:p w14:paraId="1319D0CB" w14:textId="68376CCB"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tcPr>
          <w:p w14:paraId="606BAC13" w14:textId="3B334851" w:rsidR="00606897" w:rsidRDefault="00606897" w:rsidP="00606897">
            <w:pPr>
              <w:jc w:val="center"/>
              <w:rPr>
                <w:sz w:val="18"/>
                <w:szCs w:val="18"/>
              </w:rPr>
            </w:pPr>
            <w:r>
              <w:rPr>
                <w:sz w:val="18"/>
                <w:szCs w:val="18"/>
              </w:rPr>
              <w:t>0</w:t>
            </w:r>
          </w:p>
        </w:tc>
        <w:tc>
          <w:tcPr>
            <w:tcW w:w="986" w:type="dxa"/>
            <w:tcBorders>
              <w:top w:val="single" w:sz="4" w:space="0" w:color="BFBFBF"/>
              <w:left w:val="nil"/>
              <w:bottom w:val="single" w:sz="4" w:space="0" w:color="BFBFBF"/>
              <w:right w:val="single" w:sz="4" w:space="0" w:color="BFBFBF"/>
            </w:tcBorders>
            <w:shd w:val="clear" w:color="000000" w:fill="FFFFFF"/>
            <w:vAlign w:val="center"/>
          </w:tcPr>
          <w:p w14:paraId="1DB534D0" w14:textId="366F8709" w:rsidR="00606897" w:rsidRDefault="00606897" w:rsidP="00606897">
            <w:pPr>
              <w:jc w:val="center"/>
              <w:rPr>
                <w:sz w:val="18"/>
                <w:szCs w:val="18"/>
              </w:rPr>
            </w:pPr>
            <w:r>
              <w:rPr>
                <w:sz w:val="18"/>
                <w:szCs w:val="18"/>
              </w:rPr>
              <w:t>55 774</w:t>
            </w:r>
          </w:p>
        </w:tc>
        <w:tc>
          <w:tcPr>
            <w:tcW w:w="1052" w:type="dxa"/>
            <w:tcBorders>
              <w:top w:val="single" w:sz="4" w:space="0" w:color="BFBFBF"/>
              <w:left w:val="nil"/>
              <w:bottom w:val="single" w:sz="4" w:space="0" w:color="BFBFBF"/>
              <w:right w:val="single" w:sz="4" w:space="0" w:color="BFBFBF"/>
            </w:tcBorders>
            <w:shd w:val="clear" w:color="000000" w:fill="FFFFFF"/>
            <w:vAlign w:val="center"/>
          </w:tcPr>
          <w:p w14:paraId="4BB7D638" w14:textId="5419771B" w:rsidR="00606897" w:rsidRDefault="00606897" w:rsidP="00606897">
            <w:pPr>
              <w:jc w:val="center"/>
              <w:rPr>
                <w:sz w:val="18"/>
                <w:szCs w:val="18"/>
              </w:rPr>
            </w:pPr>
            <w:r>
              <w:rPr>
                <w:sz w:val="18"/>
                <w:szCs w:val="18"/>
              </w:rPr>
              <w:t>51 374</w:t>
            </w:r>
          </w:p>
        </w:tc>
        <w:tc>
          <w:tcPr>
            <w:tcW w:w="1186" w:type="dxa"/>
            <w:tcBorders>
              <w:top w:val="single" w:sz="4" w:space="0" w:color="BFBFBF"/>
              <w:left w:val="nil"/>
              <w:bottom w:val="single" w:sz="4" w:space="0" w:color="BFBFBF"/>
              <w:right w:val="single" w:sz="4" w:space="0" w:color="BFBFBF"/>
            </w:tcBorders>
            <w:shd w:val="clear" w:color="000000" w:fill="FFFFFF"/>
            <w:vAlign w:val="center"/>
          </w:tcPr>
          <w:p w14:paraId="66A20732" w14:textId="137EAB2F" w:rsidR="00606897" w:rsidRDefault="00606897" w:rsidP="00606897">
            <w:pPr>
              <w:jc w:val="center"/>
              <w:rPr>
                <w:sz w:val="18"/>
                <w:szCs w:val="18"/>
              </w:rPr>
            </w:pPr>
            <w:r>
              <w:rPr>
                <w:sz w:val="18"/>
                <w:szCs w:val="18"/>
              </w:rPr>
              <w:t> </w:t>
            </w:r>
          </w:p>
        </w:tc>
        <w:tc>
          <w:tcPr>
            <w:tcW w:w="999" w:type="dxa"/>
            <w:tcBorders>
              <w:top w:val="single" w:sz="4" w:space="0" w:color="BFBFBF"/>
              <w:left w:val="nil"/>
              <w:bottom w:val="single" w:sz="4" w:space="0" w:color="BFBFBF"/>
              <w:right w:val="single" w:sz="4" w:space="0" w:color="BFBFBF"/>
            </w:tcBorders>
            <w:shd w:val="clear" w:color="000000" w:fill="FFFFFF"/>
            <w:vAlign w:val="center"/>
          </w:tcPr>
          <w:p w14:paraId="70FAF5BC" w14:textId="45DC4B6A" w:rsidR="00606897" w:rsidRDefault="00606897" w:rsidP="00606897">
            <w:pPr>
              <w:jc w:val="center"/>
              <w:rPr>
                <w:sz w:val="18"/>
                <w:szCs w:val="18"/>
              </w:rPr>
            </w:pPr>
            <w:r>
              <w:rPr>
                <w:sz w:val="18"/>
                <w:szCs w:val="18"/>
              </w:rPr>
              <w:t>51 374</w:t>
            </w:r>
          </w:p>
        </w:tc>
        <w:tc>
          <w:tcPr>
            <w:tcW w:w="1296" w:type="dxa"/>
            <w:tcBorders>
              <w:top w:val="single" w:sz="4" w:space="0" w:color="BFBFBF"/>
              <w:left w:val="nil"/>
              <w:bottom w:val="single" w:sz="4" w:space="0" w:color="BFBFBF"/>
              <w:right w:val="single" w:sz="4" w:space="0" w:color="BFBFBF"/>
            </w:tcBorders>
            <w:shd w:val="clear" w:color="000000" w:fill="FFFFFF"/>
            <w:vAlign w:val="center"/>
          </w:tcPr>
          <w:p w14:paraId="66B20EB4" w14:textId="2A1BDEC4" w:rsidR="00606897" w:rsidRDefault="00606897" w:rsidP="00606897">
            <w:pPr>
              <w:jc w:val="center"/>
              <w:rPr>
                <w:sz w:val="18"/>
                <w:szCs w:val="18"/>
              </w:rPr>
            </w:pPr>
            <w:r>
              <w:rPr>
                <w:sz w:val="18"/>
                <w:szCs w:val="18"/>
              </w:rPr>
              <w:t> </w:t>
            </w:r>
          </w:p>
        </w:tc>
      </w:tr>
      <w:tr w:rsidR="00947CA0" w:rsidRPr="0035149B" w14:paraId="763BCC32" w14:textId="77777777" w:rsidTr="0035149B">
        <w:trPr>
          <w:trHeight w:val="31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8295F5A"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4. rīcības virziens:  preventīvie pasākumi</w:t>
            </w:r>
          </w:p>
        </w:tc>
      </w:tr>
      <w:tr w:rsidR="00947CA0" w:rsidRPr="0035149B" w14:paraId="5426BF42" w14:textId="77777777" w:rsidTr="00606897">
        <w:trPr>
          <w:trHeight w:val="36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6F158575"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7ADDDE7" w14:textId="3CB9AA82" w:rsidR="00947CA0" w:rsidRPr="0035149B" w:rsidRDefault="00947CA0" w:rsidP="00947CA0">
            <w:pPr>
              <w:rPr>
                <w:rFonts w:eastAsia="Times New Roman" w:cs="Times New Roman"/>
                <w:b/>
                <w:bCs/>
                <w:sz w:val="18"/>
                <w:szCs w:val="18"/>
                <w:lang w:eastAsia="lv-LV"/>
              </w:rPr>
            </w:pPr>
            <w:r>
              <w:rPr>
                <w:b/>
                <w:bCs/>
                <w:sz w:val="18"/>
                <w:szCs w:val="18"/>
              </w:rPr>
              <w:t xml:space="preserve">4.1. pasākums </w:t>
            </w:r>
            <w:r w:rsidR="009D2B31" w:rsidRPr="009D2B31">
              <w:rPr>
                <w:b/>
                <w:bCs/>
                <w:sz w:val="18"/>
                <w:szCs w:val="18"/>
              </w:rPr>
              <w:t>Pārskatīt paralēlās aizdomīgu darījumu ziņošanas sistēmu, ieviešot tehnisko risinājumu informācijas par aizdomīgiem darījumiem paziņošanai FID un VID, izmantojot vienu kanālu</w:t>
            </w:r>
            <w:r>
              <w:rPr>
                <w:b/>
                <w:bCs/>
                <w:sz w:val="18"/>
                <w:szCs w:val="18"/>
              </w:rPr>
              <w:t>.</w:t>
            </w:r>
          </w:p>
        </w:tc>
      </w:tr>
      <w:tr w:rsidR="00606897" w:rsidRPr="0035149B" w14:paraId="594C4823" w14:textId="77777777" w:rsidTr="00606897">
        <w:trPr>
          <w:trHeight w:val="97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6D8426BC"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1CED963" w14:textId="39CF1B1D"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77764B68" w14:textId="594FF1DD" w:rsidR="00606897" w:rsidRPr="0035149B" w:rsidRDefault="00606897" w:rsidP="00606897">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1037C794" w14:textId="6AFE8C51"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46F02772" w14:textId="4259E1E2"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0626207A" w14:textId="7D8DD1A8"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7FB8968C" w14:textId="0D3B68A8" w:rsidR="00606897" w:rsidRPr="0035149B" w:rsidRDefault="00606897" w:rsidP="00606897">
            <w:pPr>
              <w:jc w:val="center"/>
              <w:rPr>
                <w:rFonts w:eastAsia="Times New Roman" w:cs="Times New Roman"/>
                <w:sz w:val="18"/>
                <w:szCs w:val="18"/>
                <w:lang w:eastAsia="lv-LV"/>
              </w:rPr>
            </w:pPr>
            <w:r>
              <w:rPr>
                <w:sz w:val="18"/>
                <w:szCs w:val="18"/>
              </w:rPr>
              <w:t>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67747BD5" w14:textId="3B2AA86F" w:rsidR="00606897" w:rsidRPr="0035149B" w:rsidRDefault="00606897" w:rsidP="00606897">
            <w:pPr>
              <w:jc w:val="center"/>
              <w:rPr>
                <w:rFonts w:eastAsia="Times New Roman" w:cs="Times New Roman"/>
                <w:sz w:val="18"/>
                <w:szCs w:val="18"/>
                <w:lang w:eastAsia="lv-LV"/>
              </w:rPr>
            </w:pPr>
            <w:r>
              <w:rPr>
                <w:sz w:val="18"/>
                <w:szCs w:val="18"/>
              </w:rPr>
              <w:t>28 000</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7ABF87B2" w14:textId="6E8C7506" w:rsidR="00606897" w:rsidRPr="0035149B" w:rsidRDefault="00606897" w:rsidP="00606897">
            <w:pPr>
              <w:jc w:val="center"/>
              <w:rPr>
                <w:rFonts w:eastAsia="Times New Roman" w:cs="Times New Roman"/>
                <w:sz w:val="18"/>
                <w:szCs w:val="18"/>
                <w:lang w:eastAsia="lv-LV"/>
              </w:rPr>
            </w:pPr>
            <w:r>
              <w:rPr>
                <w:sz w:val="18"/>
                <w:szCs w:val="18"/>
              </w:rPr>
              <w:t>8 000</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20C5B865" w14:textId="1D726B0E"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5C3FB090" w14:textId="4981C5F0" w:rsidR="00606897" w:rsidRPr="0035149B" w:rsidRDefault="00606897" w:rsidP="00606897">
            <w:pPr>
              <w:jc w:val="center"/>
              <w:rPr>
                <w:rFonts w:eastAsia="Times New Roman" w:cs="Times New Roman"/>
                <w:sz w:val="18"/>
                <w:szCs w:val="18"/>
                <w:lang w:eastAsia="lv-LV"/>
              </w:rPr>
            </w:pPr>
            <w:r>
              <w:rPr>
                <w:sz w:val="18"/>
                <w:szCs w:val="18"/>
              </w:rPr>
              <w:t>3 000</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12657528" w14:textId="398F2A73" w:rsidR="00606897" w:rsidRPr="0035149B" w:rsidRDefault="00606897" w:rsidP="00606897">
            <w:pPr>
              <w:jc w:val="center"/>
              <w:rPr>
                <w:rFonts w:eastAsia="Times New Roman" w:cs="Times New Roman"/>
                <w:sz w:val="18"/>
                <w:szCs w:val="18"/>
                <w:lang w:eastAsia="lv-LV"/>
              </w:rPr>
            </w:pPr>
            <w:r>
              <w:rPr>
                <w:sz w:val="18"/>
                <w:szCs w:val="18"/>
              </w:rPr>
              <w:br/>
              <w:t>uzturēšana pastāvīgi</w:t>
            </w:r>
          </w:p>
        </w:tc>
      </w:tr>
      <w:tr w:rsidR="00606897" w:rsidRPr="0035149B" w14:paraId="229F8F0C" w14:textId="77777777" w:rsidTr="00606897">
        <w:trPr>
          <w:trHeight w:val="60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5E7840ED"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lastRenderedPageBreak/>
              <w:t> </w:t>
            </w:r>
          </w:p>
        </w:tc>
        <w:tc>
          <w:tcPr>
            <w:tcW w:w="1667" w:type="dxa"/>
            <w:tcBorders>
              <w:top w:val="nil"/>
              <w:left w:val="single" w:sz="4" w:space="0" w:color="BFBFBF"/>
              <w:bottom w:val="single" w:sz="4" w:space="0" w:color="BFBFBF"/>
              <w:right w:val="single" w:sz="4" w:space="0" w:color="BFBFBF"/>
            </w:tcBorders>
            <w:shd w:val="clear" w:color="000000" w:fill="FFFFFF"/>
            <w:vAlign w:val="center"/>
            <w:hideMark/>
          </w:tcPr>
          <w:p w14:paraId="465FB89C" w14:textId="445C5CC9" w:rsidR="00606897" w:rsidRPr="0035149B" w:rsidRDefault="00606897" w:rsidP="00606897">
            <w:pPr>
              <w:rPr>
                <w:rFonts w:eastAsia="Times New Roman" w:cs="Times New Roman"/>
                <w:b/>
                <w:bCs/>
                <w:sz w:val="18"/>
                <w:szCs w:val="18"/>
                <w:lang w:eastAsia="lv-LV"/>
              </w:rPr>
            </w:pPr>
            <w:r>
              <w:rPr>
                <w:b/>
                <w:bCs/>
                <w:sz w:val="18"/>
                <w:szCs w:val="18"/>
              </w:rPr>
              <w:t xml:space="preserve">Finanšu ministrija </w:t>
            </w:r>
          </w:p>
        </w:tc>
        <w:tc>
          <w:tcPr>
            <w:tcW w:w="2211" w:type="dxa"/>
            <w:tcBorders>
              <w:top w:val="nil"/>
              <w:left w:val="nil"/>
              <w:bottom w:val="single" w:sz="4" w:space="0" w:color="BFBFBF"/>
              <w:right w:val="single" w:sz="4" w:space="0" w:color="BFBFBF"/>
            </w:tcBorders>
            <w:shd w:val="clear" w:color="000000" w:fill="FFFFFF"/>
            <w:vAlign w:val="center"/>
            <w:hideMark/>
          </w:tcPr>
          <w:p w14:paraId="613A23D1" w14:textId="26607126" w:rsidR="00606897" w:rsidRPr="0035149B" w:rsidRDefault="00606897" w:rsidP="00606897">
            <w:pPr>
              <w:rPr>
                <w:rFonts w:eastAsia="Times New Roman" w:cs="Times New Roman"/>
                <w:sz w:val="18"/>
                <w:szCs w:val="18"/>
                <w:lang w:eastAsia="lv-LV"/>
              </w:rPr>
            </w:pPr>
            <w:r>
              <w:rPr>
                <w:sz w:val="18"/>
                <w:szCs w:val="18"/>
              </w:rPr>
              <w:t>33.00.00 "Valsts ieņēmumu un muitas politikas nodrošināšana"</w:t>
            </w:r>
          </w:p>
        </w:tc>
        <w:tc>
          <w:tcPr>
            <w:tcW w:w="826" w:type="dxa"/>
            <w:tcBorders>
              <w:top w:val="nil"/>
              <w:left w:val="nil"/>
              <w:bottom w:val="single" w:sz="4" w:space="0" w:color="BFBFBF"/>
              <w:right w:val="single" w:sz="4" w:space="0" w:color="BFBFBF"/>
            </w:tcBorders>
            <w:shd w:val="clear" w:color="000000" w:fill="FFFFFF"/>
            <w:vAlign w:val="center"/>
            <w:hideMark/>
          </w:tcPr>
          <w:p w14:paraId="0E7CFF64" w14:textId="5CE18862"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nil"/>
              <w:left w:val="nil"/>
              <w:bottom w:val="single" w:sz="4" w:space="0" w:color="BFBFBF"/>
              <w:right w:val="single" w:sz="4" w:space="0" w:color="BFBFBF"/>
            </w:tcBorders>
            <w:shd w:val="clear" w:color="000000" w:fill="FFFFFF"/>
            <w:vAlign w:val="center"/>
            <w:hideMark/>
          </w:tcPr>
          <w:p w14:paraId="6C5E5978" w14:textId="5339FFAD"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nil"/>
              <w:left w:val="nil"/>
              <w:bottom w:val="single" w:sz="4" w:space="0" w:color="BFBFBF"/>
              <w:right w:val="single" w:sz="4" w:space="0" w:color="BFBFBF"/>
            </w:tcBorders>
            <w:shd w:val="clear" w:color="auto" w:fill="auto"/>
            <w:vAlign w:val="center"/>
            <w:hideMark/>
          </w:tcPr>
          <w:p w14:paraId="7A9B4EFF" w14:textId="03893FC9"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nil"/>
              <w:left w:val="nil"/>
              <w:bottom w:val="single" w:sz="4" w:space="0" w:color="BFBFBF"/>
              <w:right w:val="single" w:sz="4" w:space="0" w:color="BFBFBF"/>
            </w:tcBorders>
            <w:shd w:val="clear" w:color="000000" w:fill="FFFFFF"/>
            <w:vAlign w:val="center"/>
            <w:hideMark/>
          </w:tcPr>
          <w:p w14:paraId="333276F6" w14:textId="73127526" w:rsidR="00606897" w:rsidRPr="0035149B" w:rsidRDefault="00606897" w:rsidP="00606897">
            <w:pPr>
              <w:jc w:val="center"/>
              <w:rPr>
                <w:rFonts w:eastAsia="Times New Roman" w:cs="Times New Roman"/>
                <w:sz w:val="18"/>
                <w:szCs w:val="18"/>
                <w:lang w:eastAsia="lv-LV"/>
              </w:rPr>
            </w:pPr>
            <w:r>
              <w:rPr>
                <w:sz w:val="18"/>
                <w:szCs w:val="18"/>
              </w:rPr>
              <w:t>111 804</w:t>
            </w:r>
          </w:p>
        </w:tc>
        <w:tc>
          <w:tcPr>
            <w:tcW w:w="986" w:type="dxa"/>
            <w:tcBorders>
              <w:top w:val="nil"/>
              <w:left w:val="nil"/>
              <w:bottom w:val="single" w:sz="4" w:space="0" w:color="BFBFBF"/>
              <w:right w:val="single" w:sz="4" w:space="0" w:color="BFBFBF"/>
            </w:tcBorders>
            <w:shd w:val="clear" w:color="000000" w:fill="FFFFFF"/>
            <w:vAlign w:val="center"/>
            <w:hideMark/>
          </w:tcPr>
          <w:p w14:paraId="320A8B9E" w14:textId="262522D3" w:rsidR="00606897" w:rsidRPr="0035149B" w:rsidRDefault="00606897" w:rsidP="00606897">
            <w:pPr>
              <w:jc w:val="center"/>
              <w:rPr>
                <w:rFonts w:eastAsia="Times New Roman" w:cs="Times New Roman"/>
                <w:sz w:val="18"/>
                <w:szCs w:val="18"/>
                <w:lang w:eastAsia="lv-LV"/>
              </w:rPr>
            </w:pPr>
            <w:r>
              <w:rPr>
                <w:sz w:val="18"/>
                <w:szCs w:val="18"/>
              </w:rPr>
              <w:t>7 827</w:t>
            </w:r>
          </w:p>
        </w:tc>
        <w:tc>
          <w:tcPr>
            <w:tcW w:w="1052" w:type="dxa"/>
            <w:tcBorders>
              <w:top w:val="nil"/>
              <w:left w:val="nil"/>
              <w:bottom w:val="single" w:sz="4" w:space="0" w:color="BFBFBF"/>
              <w:right w:val="single" w:sz="4" w:space="0" w:color="BFBFBF"/>
            </w:tcBorders>
            <w:shd w:val="clear" w:color="000000" w:fill="FFFFFF"/>
            <w:vAlign w:val="center"/>
            <w:hideMark/>
          </w:tcPr>
          <w:p w14:paraId="599AF47A" w14:textId="79B5C168" w:rsidR="00606897" w:rsidRPr="0035149B" w:rsidRDefault="00606897" w:rsidP="00606897">
            <w:pPr>
              <w:jc w:val="center"/>
              <w:rPr>
                <w:rFonts w:eastAsia="Times New Roman" w:cs="Times New Roman"/>
                <w:sz w:val="18"/>
                <w:szCs w:val="18"/>
                <w:lang w:eastAsia="lv-LV"/>
              </w:rPr>
            </w:pPr>
            <w:r>
              <w:rPr>
                <w:sz w:val="18"/>
                <w:szCs w:val="18"/>
              </w:rPr>
              <w:t>7 827</w:t>
            </w:r>
          </w:p>
        </w:tc>
        <w:tc>
          <w:tcPr>
            <w:tcW w:w="1186" w:type="dxa"/>
            <w:tcBorders>
              <w:top w:val="nil"/>
              <w:left w:val="nil"/>
              <w:bottom w:val="single" w:sz="4" w:space="0" w:color="BFBFBF"/>
              <w:right w:val="single" w:sz="4" w:space="0" w:color="BFBFBF"/>
            </w:tcBorders>
            <w:shd w:val="clear" w:color="000000" w:fill="FFFFFF"/>
            <w:vAlign w:val="center"/>
            <w:hideMark/>
          </w:tcPr>
          <w:p w14:paraId="28A1E27C" w14:textId="4CC99AEE"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nil"/>
              <w:left w:val="nil"/>
              <w:bottom w:val="single" w:sz="4" w:space="0" w:color="BFBFBF"/>
              <w:right w:val="single" w:sz="4" w:space="0" w:color="BFBFBF"/>
            </w:tcBorders>
            <w:shd w:val="clear" w:color="000000" w:fill="FFFFFF"/>
            <w:vAlign w:val="center"/>
            <w:hideMark/>
          </w:tcPr>
          <w:p w14:paraId="657A73AE" w14:textId="6D4988E1" w:rsidR="00606897" w:rsidRPr="0035149B" w:rsidRDefault="00606897" w:rsidP="00606897">
            <w:pPr>
              <w:jc w:val="center"/>
              <w:rPr>
                <w:rFonts w:eastAsia="Times New Roman" w:cs="Times New Roman"/>
                <w:sz w:val="18"/>
                <w:szCs w:val="18"/>
                <w:lang w:eastAsia="lv-LV"/>
              </w:rPr>
            </w:pPr>
            <w:r>
              <w:rPr>
                <w:sz w:val="18"/>
                <w:szCs w:val="18"/>
              </w:rPr>
              <w:t>7 827</w:t>
            </w:r>
          </w:p>
        </w:tc>
        <w:tc>
          <w:tcPr>
            <w:tcW w:w="1296" w:type="dxa"/>
            <w:tcBorders>
              <w:top w:val="nil"/>
              <w:left w:val="nil"/>
              <w:bottom w:val="single" w:sz="4" w:space="0" w:color="BFBFBF"/>
              <w:right w:val="single" w:sz="4" w:space="0" w:color="BFBFBF"/>
            </w:tcBorders>
            <w:shd w:val="clear" w:color="000000" w:fill="FFFFFF"/>
            <w:vAlign w:val="center"/>
            <w:hideMark/>
          </w:tcPr>
          <w:p w14:paraId="25B4C2BD" w14:textId="39151993"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178A766D" w14:textId="77777777" w:rsidTr="00606897">
        <w:trPr>
          <w:trHeight w:val="600"/>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641D2198" w14:textId="77777777" w:rsidR="00947CA0" w:rsidRPr="0035149B" w:rsidRDefault="00947CA0" w:rsidP="00947CA0">
            <w:pPr>
              <w:rPr>
                <w:rFonts w:eastAsia="Times New Roman" w:cs="Times New Roman"/>
                <w:b/>
                <w:bCs/>
                <w:color w:val="FF0000"/>
                <w:sz w:val="18"/>
                <w:szCs w:val="18"/>
                <w:lang w:eastAsia="lv-LV"/>
              </w:rPr>
            </w:pPr>
          </w:p>
        </w:tc>
        <w:tc>
          <w:tcPr>
            <w:tcW w:w="13168" w:type="dxa"/>
            <w:gridSpan w:val="11"/>
            <w:tcBorders>
              <w:top w:val="nil"/>
              <w:left w:val="single" w:sz="4" w:space="0" w:color="BFBFBF"/>
              <w:bottom w:val="single" w:sz="4" w:space="0" w:color="BFBFBF"/>
              <w:right w:val="single" w:sz="4" w:space="0" w:color="BFBFBF"/>
            </w:tcBorders>
            <w:shd w:val="clear" w:color="000000" w:fill="FFFFFF"/>
            <w:vAlign w:val="center"/>
          </w:tcPr>
          <w:p w14:paraId="102C88D8" w14:textId="7982DD5D" w:rsidR="00947CA0" w:rsidRDefault="00947CA0" w:rsidP="00947CA0">
            <w:pPr>
              <w:rPr>
                <w:sz w:val="18"/>
                <w:szCs w:val="18"/>
              </w:rPr>
            </w:pPr>
            <w:r w:rsidRPr="00426CE3">
              <w:rPr>
                <w:b/>
                <w:bCs/>
                <w:sz w:val="18"/>
                <w:szCs w:val="18"/>
              </w:rPr>
              <w:t xml:space="preserve">4.2. pasākums </w:t>
            </w:r>
            <w:r w:rsidR="009D2B31" w:rsidRPr="009D2B31">
              <w:rPr>
                <w:b/>
                <w:bCs/>
                <w:sz w:val="18"/>
                <w:szCs w:val="18"/>
              </w:rPr>
              <w:t>Izstrādāt vienotu tīmekļa vietni personu, pret kurām noteiktas sankcijas,  kā arī noteikto ierobežojumu  skrīningam</w:t>
            </w:r>
            <w:r w:rsidRPr="00426CE3">
              <w:rPr>
                <w:b/>
                <w:bCs/>
                <w:sz w:val="18"/>
                <w:szCs w:val="18"/>
              </w:rPr>
              <w:t>.</w:t>
            </w:r>
            <w:r w:rsidRPr="00426CE3">
              <w:rPr>
                <w:b/>
                <w:bCs/>
                <w:sz w:val="18"/>
                <w:szCs w:val="18"/>
              </w:rPr>
              <w:tab/>
            </w:r>
          </w:p>
        </w:tc>
      </w:tr>
      <w:tr w:rsidR="00606897" w:rsidRPr="0035149B" w14:paraId="39EE8275" w14:textId="77777777" w:rsidTr="00606897">
        <w:trPr>
          <w:trHeight w:val="600"/>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2A881039" w14:textId="77777777" w:rsidR="00606897" w:rsidRPr="0035149B" w:rsidRDefault="00606897" w:rsidP="00606897">
            <w:pPr>
              <w:rPr>
                <w:rFonts w:eastAsia="Times New Roman" w:cs="Times New Roman"/>
                <w:b/>
                <w:bCs/>
                <w:color w:val="FF0000"/>
                <w:sz w:val="18"/>
                <w:szCs w:val="18"/>
                <w:lang w:eastAsia="lv-LV"/>
              </w:rPr>
            </w:pP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0E320B1" w14:textId="2C732522" w:rsidR="00606897" w:rsidRDefault="00606897" w:rsidP="00606897">
            <w:pPr>
              <w:rPr>
                <w:b/>
                <w:bCs/>
                <w:sz w:val="18"/>
                <w:szCs w:val="18"/>
              </w:rPr>
            </w:pPr>
            <w:r>
              <w:rPr>
                <w:b/>
                <w:bCs/>
                <w:sz w:val="18"/>
                <w:szCs w:val="18"/>
              </w:rPr>
              <w:t>Ārlietu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tcPr>
          <w:p w14:paraId="6469F2CD" w14:textId="58645601" w:rsidR="00606897" w:rsidRDefault="00606897" w:rsidP="00606897">
            <w:pPr>
              <w:rPr>
                <w:sz w:val="18"/>
                <w:szCs w:val="18"/>
              </w:rPr>
            </w:pPr>
            <w:r>
              <w:rPr>
                <w:sz w:val="18"/>
                <w:szCs w:val="18"/>
              </w:rPr>
              <w:t>97.00.00 "Nozaru vadība un politikas plānošana"</w:t>
            </w:r>
          </w:p>
        </w:tc>
        <w:tc>
          <w:tcPr>
            <w:tcW w:w="826" w:type="dxa"/>
            <w:tcBorders>
              <w:top w:val="single" w:sz="4" w:space="0" w:color="BFBFBF"/>
              <w:left w:val="nil"/>
              <w:bottom w:val="single" w:sz="4" w:space="0" w:color="BFBFBF"/>
              <w:right w:val="single" w:sz="4" w:space="0" w:color="BFBFBF"/>
            </w:tcBorders>
            <w:shd w:val="clear" w:color="000000" w:fill="FFFFFF"/>
            <w:vAlign w:val="center"/>
          </w:tcPr>
          <w:p w14:paraId="4F948DC5" w14:textId="0007CE98" w:rsidR="00606897" w:rsidRDefault="00606897" w:rsidP="00606897">
            <w:pPr>
              <w:jc w:val="center"/>
              <w:rPr>
                <w:sz w:val="18"/>
                <w:szCs w:val="18"/>
              </w:rPr>
            </w:pPr>
            <w:r>
              <w:rPr>
                <w:sz w:val="18"/>
                <w:szCs w:val="18"/>
              </w:rPr>
              <w:t>221 000</w:t>
            </w:r>
          </w:p>
        </w:tc>
        <w:tc>
          <w:tcPr>
            <w:tcW w:w="887" w:type="dxa"/>
            <w:tcBorders>
              <w:top w:val="single" w:sz="4" w:space="0" w:color="BFBFBF"/>
              <w:left w:val="nil"/>
              <w:bottom w:val="single" w:sz="4" w:space="0" w:color="BFBFBF"/>
              <w:right w:val="single" w:sz="4" w:space="0" w:color="BFBFBF"/>
            </w:tcBorders>
            <w:shd w:val="clear" w:color="000000" w:fill="FFFFFF"/>
            <w:vAlign w:val="center"/>
          </w:tcPr>
          <w:p w14:paraId="110F9C9B" w14:textId="468D4FDF" w:rsidR="00606897" w:rsidRDefault="00606897" w:rsidP="00606897">
            <w:pPr>
              <w:jc w:val="center"/>
              <w:rPr>
                <w:sz w:val="18"/>
                <w:szCs w:val="18"/>
              </w:rPr>
            </w:pPr>
            <w:r>
              <w:rPr>
                <w:sz w:val="18"/>
                <w:szCs w:val="18"/>
              </w:rPr>
              <w:t>99 050</w:t>
            </w:r>
          </w:p>
        </w:tc>
        <w:tc>
          <w:tcPr>
            <w:tcW w:w="947" w:type="dxa"/>
            <w:tcBorders>
              <w:top w:val="single" w:sz="4" w:space="0" w:color="BFBFBF"/>
              <w:left w:val="nil"/>
              <w:bottom w:val="single" w:sz="4" w:space="0" w:color="BFBFBF"/>
              <w:right w:val="single" w:sz="4" w:space="0" w:color="BFBFBF"/>
            </w:tcBorders>
            <w:shd w:val="clear" w:color="auto" w:fill="auto"/>
            <w:vAlign w:val="center"/>
          </w:tcPr>
          <w:p w14:paraId="1EF79837" w14:textId="363DEFC3" w:rsidR="00606897" w:rsidRDefault="00606897" w:rsidP="00606897">
            <w:pPr>
              <w:jc w:val="center"/>
              <w:rPr>
                <w:sz w:val="18"/>
                <w:szCs w:val="18"/>
              </w:rPr>
            </w:pPr>
            <w:r>
              <w:rPr>
                <w:sz w:val="18"/>
                <w:szCs w:val="18"/>
              </w:rPr>
              <w:t>99 050</w:t>
            </w:r>
          </w:p>
        </w:tc>
        <w:tc>
          <w:tcPr>
            <w:tcW w:w="1111" w:type="dxa"/>
            <w:tcBorders>
              <w:top w:val="single" w:sz="4" w:space="0" w:color="BFBFBF"/>
              <w:left w:val="nil"/>
              <w:bottom w:val="single" w:sz="4" w:space="0" w:color="BFBFBF"/>
              <w:right w:val="single" w:sz="4" w:space="0" w:color="BFBFBF"/>
            </w:tcBorders>
            <w:shd w:val="clear" w:color="000000" w:fill="FFFFFF"/>
            <w:vAlign w:val="center"/>
          </w:tcPr>
          <w:p w14:paraId="1B972869" w14:textId="0123D37A" w:rsidR="00606897" w:rsidRDefault="00606897" w:rsidP="00606897">
            <w:pPr>
              <w:jc w:val="center"/>
              <w:rPr>
                <w:sz w:val="18"/>
                <w:szCs w:val="18"/>
              </w:rPr>
            </w:pPr>
            <w:r>
              <w:rPr>
                <w:sz w:val="18"/>
                <w:szCs w:val="18"/>
              </w:rPr>
              <w:t>0</w:t>
            </w:r>
          </w:p>
        </w:tc>
        <w:tc>
          <w:tcPr>
            <w:tcW w:w="986" w:type="dxa"/>
            <w:tcBorders>
              <w:top w:val="single" w:sz="4" w:space="0" w:color="BFBFBF"/>
              <w:left w:val="nil"/>
              <w:bottom w:val="single" w:sz="4" w:space="0" w:color="BFBFBF"/>
              <w:right w:val="single" w:sz="4" w:space="0" w:color="BFBFBF"/>
            </w:tcBorders>
            <w:shd w:val="clear" w:color="000000" w:fill="FFFFFF"/>
            <w:vAlign w:val="center"/>
          </w:tcPr>
          <w:p w14:paraId="10F600FD" w14:textId="5674954F" w:rsidR="00606897" w:rsidRDefault="00606897" w:rsidP="00606897">
            <w:pPr>
              <w:jc w:val="center"/>
              <w:rPr>
                <w:sz w:val="18"/>
                <w:szCs w:val="18"/>
              </w:rPr>
            </w:pPr>
            <w:r>
              <w:rPr>
                <w:sz w:val="18"/>
                <w:szCs w:val="18"/>
              </w:rPr>
              <w:t>111 950</w:t>
            </w:r>
          </w:p>
        </w:tc>
        <w:tc>
          <w:tcPr>
            <w:tcW w:w="1052" w:type="dxa"/>
            <w:tcBorders>
              <w:top w:val="single" w:sz="4" w:space="0" w:color="BFBFBF"/>
              <w:left w:val="nil"/>
              <w:bottom w:val="single" w:sz="4" w:space="0" w:color="BFBFBF"/>
              <w:right w:val="single" w:sz="4" w:space="0" w:color="BFBFBF"/>
            </w:tcBorders>
            <w:shd w:val="clear" w:color="000000" w:fill="FFFFFF"/>
            <w:vAlign w:val="center"/>
          </w:tcPr>
          <w:p w14:paraId="4890B045" w14:textId="5190D50F" w:rsidR="00606897" w:rsidRDefault="00606897" w:rsidP="00606897">
            <w:pPr>
              <w:jc w:val="center"/>
              <w:rPr>
                <w:sz w:val="18"/>
                <w:szCs w:val="18"/>
              </w:rPr>
            </w:pPr>
            <w:r>
              <w:rPr>
                <w:sz w:val="18"/>
                <w:szCs w:val="18"/>
              </w:rPr>
              <w:t>0</w:t>
            </w:r>
          </w:p>
        </w:tc>
        <w:tc>
          <w:tcPr>
            <w:tcW w:w="1186" w:type="dxa"/>
            <w:tcBorders>
              <w:top w:val="single" w:sz="4" w:space="0" w:color="BFBFBF"/>
              <w:left w:val="nil"/>
              <w:bottom w:val="single" w:sz="4" w:space="0" w:color="BFBFBF"/>
              <w:right w:val="single" w:sz="4" w:space="0" w:color="BFBFBF"/>
            </w:tcBorders>
            <w:shd w:val="clear" w:color="000000" w:fill="FFFFFF"/>
            <w:vAlign w:val="center"/>
          </w:tcPr>
          <w:p w14:paraId="71C7100B" w14:textId="79466AD2" w:rsidR="00606897" w:rsidRDefault="00606897" w:rsidP="00606897">
            <w:pPr>
              <w:jc w:val="center"/>
              <w:rPr>
                <w:sz w:val="18"/>
                <w:szCs w:val="18"/>
              </w:rPr>
            </w:pPr>
            <w:r>
              <w:rPr>
                <w:sz w:val="18"/>
                <w:szCs w:val="18"/>
              </w:rPr>
              <w:t> </w:t>
            </w:r>
          </w:p>
        </w:tc>
        <w:tc>
          <w:tcPr>
            <w:tcW w:w="999" w:type="dxa"/>
            <w:tcBorders>
              <w:top w:val="single" w:sz="4" w:space="0" w:color="BFBFBF"/>
              <w:left w:val="nil"/>
              <w:bottom w:val="single" w:sz="4" w:space="0" w:color="BFBFBF"/>
              <w:right w:val="single" w:sz="4" w:space="0" w:color="BFBFBF"/>
            </w:tcBorders>
            <w:shd w:val="clear" w:color="000000" w:fill="FFFFFF"/>
            <w:vAlign w:val="center"/>
          </w:tcPr>
          <w:p w14:paraId="7CBF730C" w14:textId="1D7CF39A" w:rsidR="00606897" w:rsidRDefault="00606897" w:rsidP="00606897">
            <w:pPr>
              <w:jc w:val="center"/>
              <w:rPr>
                <w:sz w:val="18"/>
                <w:szCs w:val="18"/>
              </w:rPr>
            </w:pPr>
            <w:r>
              <w:rPr>
                <w:sz w:val="18"/>
                <w:szCs w:val="18"/>
              </w:rPr>
              <w:t> </w:t>
            </w:r>
          </w:p>
        </w:tc>
        <w:tc>
          <w:tcPr>
            <w:tcW w:w="1296" w:type="dxa"/>
            <w:tcBorders>
              <w:top w:val="single" w:sz="4" w:space="0" w:color="BFBFBF"/>
              <w:left w:val="nil"/>
              <w:bottom w:val="single" w:sz="4" w:space="0" w:color="BFBFBF"/>
              <w:right w:val="single" w:sz="4" w:space="0" w:color="BFBFBF"/>
            </w:tcBorders>
            <w:shd w:val="clear" w:color="000000" w:fill="FFFFFF"/>
            <w:vAlign w:val="center"/>
          </w:tcPr>
          <w:p w14:paraId="57AD99B4" w14:textId="13D7314D" w:rsidR="00606897" w:rsidRDefault="00606897" w:rsidP="00606897">
            <w:pPr>
              <w:jc w:val="center"/>
              <w:rPr>
                <w:sz w:val="18"/>
                <w:szCs w:val="18"/>
              </w:rPr>
            </w:pPr>
            <w:r>
              <w:rPr>
                <w:sz w:val="18"/>
                <w:szCs w:val="18"/>
              </w:rPr>
              <w:t>uzturēšana pastāvīgi (plānots VB)</w:t>
            </w:r>
          </w:p>
        </w:tc>
      </w:tr>
      <w:tr w:rsidR="00947CA0" w:rsidRPr="0035149B" w14:paraId="5DBDE299" w14:textId="77777777" w:rsidTr="00606897">
        <w:trPr>
          <w:trHeight w:val="1134"/>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7D0C2B65"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6E9ADD0" w14:textId="710249D2" w:rsidR="00947CA0" w:rsidRPr="0035149B" w:rsidRDefault="00947CA0" w:rsidP="00947CA0">
            <w:pPr>
              <w:rPr>
                <w:rFonts w:eastAsia="Times New Roman" w:cs="Times New Roman"/>
                <w:b/>
                <w:bCs/>
                <w:sz w:val="18"/>
                <w:szCs w:val="18"/>
                <w:lang w:eastAsia="lv-LV"/>
              </w:rPr>
            </w:pPr>
            <w:r>
              <w:rPr>
                <w:b/>
                <w:bCs/>
                <w:sz w:val="18"/>
                <w:szCs w:val="18"/>
              </w:rPr>
              <w:t xml:space="preserve">4.7. pasākums </w:t>
            </w:r>
            <w:r w:rsidR="009D2B31" w:rsidRPr="009D2B31">
              <w:rPr>
                <w:b/>
                <w:bCs/>
                <w:sz w:val="18"/>
                <w:szCs w:val="18"/>
              </w:rPr>
              <w:t>Pilnveidot normatīvā regulējuma atbilstību starptautiskām konvencijām. Normatīvā regulējuma izstrāde kultūras priekšmetu apritei un tajā iesaistītajiem likuma subjektiem</w:t>
            </w:r>
            <w:r>
              <w:rPr>
                <w:b/>
                <w:bCs/>
                <w:sz w:val="18"/>
                <w:szCs w:val="18"/>
              </w:rPr>
              <w:t>.</w:t>
            </w:r>
            <w:r>
              <w:rPr>
                <w:b/>
                <w:bCs/>
                <w:sz w:val="18"/>
                <w:szCs w:val="18"/>
              </w:rPr>
              <w:br/>
              <w:t xml:space="preserve">4.7. (2) (2) </w:t>
            </w:r>
            <w:r w:rsidR="00CA3885" w:rsidRPr="00CA3885">
              <w:rPr>
                <w:b/>
                <w:bCs/>
                <w:sz w:val="18"/>
                <w:szCs w:val="18"/>
              </w:rPr>
              <w:t>Izstrādāta personu, kas darbojas mākslas un antikvāro priekšmetu apritē, licencēšanas vai reģistrēšanas sistēma – IT risinājumi un to uzturēšana, izstrādāts e-pakalpojums</w:t>
            </w:r>
            <w:r>
              <w:rPr>
                <w:b/>
                <w:bCs/>
                <w:sz w:val="18"/>
                <w:szCs w:val="18"/>
              </w:rPr>
              <w:t>.</w:t>
            </w:r>
          </w:p>
        </w:tc>
      </w:tr>
      <w:tr w:rsidR="00606897" w:rsidRPr="0035149B" w14:paraId="1F2A02C5" w14:textId="77777777" w:rsidTr="00606897">
        <w:trPr>
          <w:trHeight w:val="75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58AADFD9"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E5A60A0" w14:textId="7FD6E2AA" w:rsidR="00606897" w:rsidRPr="0035149B" w:rsidRDefault="00606897" w:rsidP="00606897">
            <w:pPr>
              <w:rPr>
                <w:rFonts w:eastAsia="Times New Roman" w:cs="Times New Roman"/>
                <w:b/>
                <w:bCs/>
                <w:sz w:val="18"/>
                <w:szCs w:val="18"/>
                <w:lang w:eastAsia="lv-LV"/>
              </w:rPr>
            </w:pPr>
            <w:r>
              <w:rPr>
                <w:b/>
                <w:bCs/>
                <w:sz w:val="18"/>
                <w:szCs w:val="18"/>
              </w:rPr>
              <w:t>Kultūras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5C3996F7" w14:textId="71C28AD1" w:rsidR="00606897" w:rsidRPr="0035149B" w:rsidRDefault="00606897" w:rsidP="00606897">
            <w:pPr>
              <w:rPr>
                <w:rFonts w:eastAsia="Times New Roman" w:cs="Times New Roman"/>
                <w:sz w:val="18"/>
                <w:szCs w:val="18"/>
                <w:lang w:eastAsia="lv-LV"/>
              </w:rPr>
            </w:pPr>
            <w:r>
              <w:rPr>
                <w:sz w:val="18"/>
                <w:szCs w:val="18"/>
              </w:rPr>
              <w:t>21.00.00 "Mantojums"</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28616E74" w14:textId="4F5465E4"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3CD7211F" w14:textId="73D5C04E"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241E78F5" w14:textId="46345AF4"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4013088D" w14:textId="6A3F606D" w:rsidR="00606897" w:rsidRPr="0035149B" w:rsidRDefault="00606897" w:rsidP="00606897">
            <w:pPr>
              <w:jc w:val="center"/>
              <w:rPr>
                <w:rFonts w:eastAsia="Times New Roman" w:cs="Times New Roman"/>
                <w:sz w:val="18"/>
                <w:szCs w:val="18"/>
                <w:lang w:eastAsia="lv-LV"/>
              </w:rPr>
            </w:pPr>
            <w:r>
              <w:rPr>
                <w:sz w:val="18"/>
                <w:szCs w:val="18"/>
              </w:rPr>
              <w:t>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353BCFE2" w14:textId="1C632B9D" w:rsidR="00606897" w:rsidRPr="0035149B" w:rsidRDefault="00606897" w:rsidP="00606897">
            <w:pPr>
              <w:jc w:val="center"/>
              <w:rPr>
                <w:rFonts w:eastAsia="Times New Roman" w:cs="Times New Roman"/>
                <w:sz w:val="18"/>
                <w:szCs w:val="18"/>
                <w:lang w:eastAsia="lv-LV"/>
              </w:rPr>
            </w:pPr>
            <w:r>
              <w:rPr>
                <w:sz w:val="18"/>
                <w:szCs w:val="18"/>
              </w:rPr>
              <w:t>20 000</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52A2CF97" w14:textId="238CDCBC" w:rsidR="00606897" w:rsidRPr="0035149B" w:rsidRDefault="00606897" w:rsidP="00606897">
            <w:pPr>
              <w:jc w:val="center"/>
              <w:rPr>
                <w:rFonts w:eastAsia="Times New Roman" w:cs="Times New Roman"/>
                <w:sz w:val="18"/>
                <w:szCs w:val="18"/>
                <w:lang w:eastAsia="lv-LV"/>
              </w:rPr>
            </w:pPr>
            <w:r>
              <w:rPr>
                <w:sz w:val="18"/>
                <w:szCs w:val="18"/>
              </w:rPr>
              <w:t>2 000</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4B02C06D" w14:textId="6DFCE2B3"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439CF701" w14:textId="1991D508" w:rsidR="00606897" w:rsidRPr="0035149B" w:rsidRDefault="00606897" w:rsidP="00606897">
            <w:pPr>
              <w:jc w:val="center"/>
              <w:rPr>
                <w:rFonts w:eastAsia="Times New Roman" w:cs="Times New Roman"/>
                <w:sz w:val="18"/>
                <w:szCs w:val="18"/>
                <w:lang w:eastAsia="lv-LV"/>
              </w:rPr>
            </w:pPr>
            <w:r>
              <w:rPr>
                <w:sz w:val="18"/>
                <w:szCs w:val="18"/>
              </w:rPr>
              <w:t>2 000</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77BCC04B" w14:textId="0AA64BE2" w:rsidR="00606897" w:rsidRPr="0035149B" w:rsidRDefault="00606897" w:rsidP="00606897">
            <w:pPr>
              <w:jc w:val="center"/>
              <w:rPr>
                <w:rFonts w:eastAsia="Times New Roman" w:cs="Times New Roman"/>
                <w:sz w:val="18"/>
                <w:szCs w:val="18"/>
                <w:lang w:eastAsia="lv-LV"/>
              </w:rPr>
            </w:pPr>
            <w:r>
              <w:rPr>
                <w:sz w:val="18"/>
                <w:szCs w:val="18"/>
              </w:rPr>
              <w:t>IT risinājums 2022</w:t>
            </w:r>
            <w:r>
              <w:rPr>
                <w:sz w:val="18"/>
                <w:szCs w:val="18"/>
              </w:rPr>
              <w:br/>
              <w:t>uzturēšana pastāvīgi</w:t>
            </w:r>
          </w:p>
        </w:tc>
      </w:tr>
      <w:tr w:rsidR="00947CA0" w:rsidRPr="0035149B" w14:paraId="50811906" w14:textId="77777777" w:rsidTr="00606897">
        <w:trPr>
          <w:trHeight w:val="63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9B90D6B"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1E8B041" w14:textId="77777777" w:rsidR="00CA3885" w:rsidRPr="00CA3885" w:rsidRDefault="00947CA0" w:rsidP="00CA3885">
            <w:pPr>
              <w:rPr>
                <w:b/>
                <w:bCs/>
                <w:sz w:val="18"/>
                <w:szCs w:val="18"/>
              </w:rPr>
            </w:pPr>
            <w:r>
              <w:rPr>
                <w:b/>
                <w:bCs/>
                <w:sz w:val="18"/>
                <w:szCs w:val="18"/>
              </w:rPr>
              <w:t xml:space="preserve">4.9. pasākums </w:t>
            </w:r>
            <w:r w:rsidR="00CA3885" w:rsidRPr="00CA3885">
              <w:rPr>
                <w:b/>
                <w:bCs/>
                <w:sz w:val="18"/>
                <w:szCs w:val="18"/>
              </w:rPr>
              <w:t>Kultūras pieminekļu īpašumtiesību izmaiņu kontroles moduļa ar integrētu datu analīzes rīku izstrādāšana un uzturēšana.</w:t>
            </w:r>
          </w:p>
          <w:p w14:paraId="3B449125" w14:textId="13BF7DD9" w:rsidR="00947CA0" w:rsidRPr="0035149B" w:rsidRDefault="00CA3885" w:rsidP="00947CA0">
            <w:pPr>
              <w:rPr>
                <w:rFonts w:eastAsia="Times New Roman" w:cs="Times New Roman"/>
                <w:b/>
                <w:bCs/>
                <w:sz w:val="18"/>
                <w:szCs w:val="18"/>
                <w:lang w:eastAsia="lv-LV"/>
              </w:rPr>
            </w:pPr>
            <w:r w:rsidRPr="00CA3885">
              <w:rPr>
                <w:b/>
                <w:bCs/>
                <w:sz w:val="18"/>
                <w:szCs w:val="18"/>
              </w:rPr>
              <w:t>Modulim veidojama saskarne ar  IS Mantojums un Valsts aizsargājamo kultūras pieminekļu reģistru</w:t>
            </w:r>
            <w:r w:rsidR="00947CA0">
              <w:rPr>
                <w:b/>
                <w:bCs/>
                <w:sz w:val="18"/>
                <w:szCs w:val="18"/>
              </w:rPr>
              <w:t>.</w:t>
            </w:r>
          </w:p>
        </w:tc>
      </w:tr>
      <w:tr w:rsidR="00606897" w:rsidRPr="0035149B" w14:paraId="52BEA725" w14:textId="77777777" w:rsidTr="00606897">
        <w:trPr>
          <w:trHeight w:val="67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3A9DA31"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6244991" w14:textId="344BB11E" w:rsidR="00606897" w:rsidRPr="0035149B" w:rsidRDefault="00606897" w:rsidP="00606897">
            <w:pPr>
              <w:rPr>
                <w:rFonts w:eastAsia="Times New Roman" w:cs="Times New Roman"/>
                <w:b/>
                <w:bCs/>
                <w:sz w:val="18"/>
                <w:szCs w:val="18"/>
                <w:lang w:eastAsia="lv-LV"/>
              </w:rPr>
            </w:pPr>
            <w:r>
              <w:rPr>
                <w:b/>
                <w:bCs/>
                <w:sz w:val="18"/>
                <w:szCs w:val="18"/>
              </w:rPr>
              <w:t>Kultūras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59270941" w14:textId="56D6AA15" w:rsidR="00606897" w:rsidRPr="0035149B" w:rsidRDefault="00606897" w:rsidP="00606897">
            <w:pPr>
              <w:rPr>
                <w:rFonts w:eastAsia="Times New Roman" w:cs="Times New Roman"/>
                <w:sz w:val="18"/>
                <w:szCs w:val="18"/>
                <w:lang w:eastAsia="lv-LV"/>
              </w:rPr>
            </w:pPr>
            <w:r>
              <w:rPr>
                <w:sz w:val="18"/>
                <w:szCs w:val="18"/>
              </w:rPr>
              <w:t>21.00.00 "Mantojums"</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499AEAB0" w14:textId="0447CDD6"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572A473D" w14:textId="51B034ED"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0BFBDF2E" w14:textId="2D682207"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58ADB064" w14:textId="6FEB4C0D" w:rsidR="00606897" w:rsidRPr="0035149B" w:rsidRDefault="00606897" w:rsidP="00606897">
            <w:pPr>
              <w:jc w:val="center"/>
              <w:rPr>
                <w:rFonts w:eastAsia="Times New Roman" w:cs="Times New Roman"/>
                <w:sz w:val="18"/>
                <w:szCs w:val="18"/>
                <w:lang w:eastAsia="lv-LV"/>
              </w:rPr>
            </w:pPr>
            <w:r>
              <w:rPr>
                <w:sz w:val="18"/>
                <w:szCs w:val="18"/>
              </w:rPr>
              <w:t>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1A54CD83" w14:textId="30D17467" w:rsidR="00606897" w:rsidRPr="0035149B" w:rsidRDefault="00606897" w:rsidP="00606897">
            <w:pPr>
              <w:jc w:val="center"/>
              <w:rPr>
                <w:rFonts w:eastAsia="Times New Roman" w:cs="Times New Roman"/>
                <w:sz w:val="18"/>
                <w:szCs w:val="18"/>
                <w:lang w:eastAsia="lv-LV"/>
              </w:rPr>
            </w:pPr>
            <w:r>
              <w:rPr>
                <w:sz w:val="18"/>
                <w:szCs w:val="18"/>
              </w:rPr>
              <w:t>68 000</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425CE49F" w14:textId="6E6B59A0" w:rsidR="00606897" w:rsidRPr="0035149B" w:rsidRDefault="00606897" w:rsidP="00606897">
            <w:pPr>
              <w:jc w:val="center"/>
              <w:rPr>
                <w:rFonts w:eastAsia="Times New Roman" w:cs="Times New Roman"/>
                <w:sz w:val="18"/>
                <w:szCs w:val="18"/>
                <w:lang w:eastAsia="lv-LV"/>
              </w:rPr>
            </w:pPr>
            <w:r>
              <w:rPr>
                <w:sz w:val="18"/>
                <w:szCs w:val="18"/>
              </w:rPr>
              <w:t>6 800</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00BB6CED" w14:textId="275A3089"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314E6650" w14:textId="4A04B057" w:rsidR="00606897" w:rsidRPr="0035149B" w:rsidRDefault="00606897" w:rsidP="00606897">
            <w:pPr>
              <w:jc w:val="center"/>
              <w:rPr>
                <w:rFonts w:eastAsia="Times New Roman" w:cs="Times New Roman"/>
                <w:sz w:val="18"/>
                <w:szCs w:val="18"/>
                <w:lang w:eastAsia="lv-LV"/>
              </w:rPr>
            </w:pPr>
            <w:r>
              <w:rPr>
                <w:sz w:val="18"/>
                <w:szCs w:val="18"/>
              </w:rPr>
              <w:t>6 800</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27B7D6F8" w14:textId="30EDD8C4" w:rsidR="00606897" w:rsidRPr="0035149B" w:rsidRDefault="00606897" w:rsidP="00606897">
            <w:pPr>
              <w:jc w:val="center"/>
              <w:rPr>
                <w:rFonts w:eastAsia="Times New Roman" w:cs="Times New Roman"/>
                <w:sz w:val="18"/>
                <w:szCs w:val="18"/>
                <w:lang w:eastAsia="lv-LV"/>
              </w:rPr>
            </w:pPr>
            <w:r>
              <w:rPr>
                <w:sz w:val="18"/>
                <w:szCs w:val="18"/>
              </w:rPr>
              <w:t>IT risinājums 2022</w:t>
            </w:r>
            <w:r>
              <w:rPr>
                <w:sz w:val="18"/>
                <w:szCs w:val="18"/>
              </w:rPr>
              <w:br/>
              <w:t>uzturēšana pastāvīgi</w:t>
            </w:r>
          </w:p>
        </w:tc>
      </w:tr>
      <w:tr w:rsidR="00947CA0" w:rsidRPr="0035149B" w14:paraId="7FC464A6" w14:textId="77777777" w:rsidTr="0035149B">
        <w:trPr>
          <w:trHeight w:val="37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71F1DBA"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5. rīcības virziens: juridiskās personas un veidojumi</w:t>
            </w:r>
          </w:p>
        </w:tc>
      </w:tr>
      <w:tr w:rsidR="00947CA0" w:rsidRPr="0035149B" w14:paraId="34AD9C30" w14:textId="77777777" w:rsidTr="00606897">
        <w:trPr>
          <w:trHeight w:val="51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C562CB7"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0FE3E6D" w14:textId="6740199E" w:rsidR="00947CA0" w:rsidRPr="0035149B" w:rsidRDefault="00947CA0" w:rsidP="00947CA0">
            <w:pPr>
              <w:rPr>
                <w:rFonts w:eastAsia="Times New Roman" w:cs="Times New Roman"/>
                <w:b/>
                <w:bCs/>
                <w:sz w:val="18"/>
                <w:szCs w:val="18"/>
                <w:lang w:eastAsia="lv-LV"/>
              </w:rPr>
            </w:pPr>
            <w:r>
              <w:rPr>
                <w:b/>
                <w:bCs/>
                <w:sz w:val="18"/>
                <w:szCs w:val="18"/>
              </w:rPr>
              <w:t xml:space="preserve">5.1. pasākums </w:t>
            </w:r>
            <w:r w:rsidR="00CA3885" w:rsidRPr="00CA3885">
              <w:rPr>
                <w:b/>
                <w:bCs/>
                <w:sz w:val="18"/>
                <w:szCs w:val="18"/>
              </w:rPr>
              <w:t>Nodrošināt bezmaksas piekļuvi Latvijas Republikas UR vesto reģistru informācijai</w:t>
            </w:r>
            <w:r>
              <w:rPr>
                <w:b/>
                <w:bCs/>
                <w:sz w:val="18"/>
                <w:szCs w:val="18"/>
              </w:rPr>
              <w:t>.</w:t>
            </w:r>
          </w:p>
        </w:tc>
      </w:tr>
      <w:tr w:rsidR="00606897" w:rsidRPr="0035149B" w14:paraId="1CCAAB8C" w14:textId="77777777" w:rsidTr="00606897">
        <w:trPr>
          <w:trHeight w:val="52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34DA6F3"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50A5829" w14:textId="2123AB3A" w:rsidR="00606897" w:rsidRPr="0035149B" w:rsidRDefault="00606897" w:rsidP="00606897">
            <w:pPr>
              <w:rPr>
                <w:rFonts w:eastAsia="Times New Roman" w:cs="Times New Roman"/>
                <w:b/>
                <w:bCs/>
                <w:sz w:val="18"/>
                <w:szCs w:val="18"/>
                <w:lang w:eastAsia="lv-LV"/>
              </w:rPr>
            </w:pPr>
            <w:r>
              <w:rPr>
                <w:b/>
                <w:bCs/>
                <w:sz w:val="18"/>
                <w:szCs w:val="18"/>
              </w:rPr>
              <w:t>Tieslietu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08E4EE9C" w14:textId="706C87F7" w:rsidR="00606897" w:rsidRPr="0035149B" w:rsidRDefault="00606897" w:rsidP="00606897">
            <w:pPr>
              <w:rPr>
                <w:rFonts w:eastAsia="Times New Roman" w:cs="Times New Roman"/>
                <w:sz w:val="18"/>
                <w:szCs w:val="18"/>
                <w:lang w:eastAsia="lv-LV"/>
              </w:rPr>
            </w:pPr>
            <w:r>
              <w:rPr>
                <w:sz w:val="18"/>
                <w:szCs w:val="18"/>
              </w:rPr>
              <w:t>06.01.00 "Juridisko personu reģistrācija"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51A290F7" w14:textId="0EA8FBE8"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64A039B5" w14:textId="03D4996C"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71D2B6C2" w14:textId="304938C0"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3BBA20CB" w14:textId="0E0E892C" w:rsidR="00606897" w:rsidRPr="0035149B" w:rsidRDefault="00606897" w:rsidP="00606897">
            <w:pPr>
              <w:jc w:val="center"/>
              <w:rPr>
                <w:rFonts w:eastAsia="Times New Roman" w:cs="Times New Roman"/>
                <w:sz w:val="18"/>
                <w:szCs w:val="18"/>
                <w:lang w:eastAsia="lv-LV"/>
              </w:rPr>
            </w:pPr>
            <w:r>
              <w:rPr>
                <w:sz w:val="18"/>
                <w:szCs w:val="18"/>
              </w:rPr>
              <w:t>1 200 002</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6E88F05F" w14:textId="5EB114A8" w:rsidR="00606897" w:rsidRPr="0035149B" w:rsidRDefault="00606897" w:rsidP="00606897">
            <w:pPr>
              <w:jc w:val="center"/>
              <w:rPr>
                <w:rFonts w:eastAsia="Times New Roman" w:cs="Times New Roman"/>
                <w:sz w:val="18"/>
                <w:szCs w:val="18"/>
                <w:lang w:eastAsia="lv-LV"/>
              </w:rPr>
            </w:pPr>
            <w:r>
              <w:rPr>
                <w:sz w:val="18"/>
                <w:szCs w:val="18"/>
              </w:rPr>
              <w:t>1 200 002</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167A6A8B" w14:textId="4A72494C" w:rsidR="00606897" w:rsidRPr="0035149B" w:rsidRDefault="00606897" w:rsidP="00606897">
            <w:pPr>
              <w:jc w:val="center"/>
              <w:rPr>
                <w:rFonts w:eastAsia="Times New Roman" w:cs="Times New Roman"/>
                <w:sz w:val="18"/>
                <w:szCs w:val="18"/>
                <w:lang w:eastAsia="lv-LV"/>
              </w:rPr>
            </w:pPr>
            <w:r>
              <w:rPr>
                <w:sz w:val="18"/>
                <w:szCs w:val="18"/>
              </w:rPr>
              <w:t>1 200 002</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71561E0D" w14:textId="1D72C167"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0FCBC479" w14:textId="56724942" w:rsidR="00606897" w:rsidRPr="0035149B" w:rsidRDefault="00606897" w:rsidP="00606897">
            <w:pPr>
              <w:jc w:val="center"/>
              <w:rPr>
                <w:rFonts w:eastAsia="Times New Roman" w:cs="Times New Roman"/>
                <w:sz w:val="18"/>
                <w:szCs w:val="18"/>
                <w:lang w:eastAsia="lv-LV"/>
              </w:rPr>
            </w:pPr>
            <w:r>
              <w:rPr>
                <w:sz w:val="18"/>
                <w:szCs w:val="18"/>
              </w:rPr>
              <w:t>1 200 002</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173D113A" w14:textId="797155B2"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26AC29B2" w14:textId="77777777" w:rsidTr="00606897">
        <w:trPr>
          <w:trHeight w:val="45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623ECA8"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B3AB7DB" w14:textId="4A558C91" w:rsidR="00947CA0" w:rsidRPr="0035149B" w:rsidRDefault="00947CA0" w:rsidP="00947CA0">
            <w:pPr>
              <w:rPr>
                <w:rFonts w:eastAsia="Times New Roman" w:cs="Times New Roman"/>
                <w:b/>
                <w:bCs/>
                <w:sz w:val="18"/>
                <w:szCs w:val="18"/>
                <w:lang w:eastAsia="lv-LV"/>
              </w:rPr>
            </w:pPr>
            <w:r>
              <w:rPr>
                <w:b/>
                <w:bCs/>
                <w:sz w:val="18"/>
                <w:szCs w:val="18"/>
              </w:rPr>
              <w:t xml:space="preserve">5.2. pasākums </w:t>
            </w:r>
            <w:r w:rsidR="00CA3885" w:rsidRPr="00CA3885">
              <w:rPr>
                <w:b/>
                <w:bCs/>
                <w:sz w:val="18"/>
                <w:szCs w:val="18"/>
              </w:rPr>
              <w:t>Nodrošināt vienotu pieeju rīcībai gadījumos, kuros UR vestajos reģistros, iespējams, iesniegta nepatiesa informācija par PLG</w:t>
            </w:r>
            <w:r>
              <w:rPr>
                <w:b/>
                <w:bCs/>
                <w:sz w:val="18"/>
                <w:szCs w:val="18"/>
              </w:rPr>
              <w:t>.</w:t>
            </w:r>
          </w:p>
        </w:tc>
      </w:tr>
      <w:tr w:rsidR="00606897" w:rsidRPr="0035149B" w14:paraId="12AD4DEA" w14:textId="77777777" w:rsidTr="00606897">
        <w:trPr>
          <w:trHeight w:val="69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35C8630A"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38C3426" w14:textId="4EFE8485" w:rsidR="00606897" w:rsidRPr="0035149B" w:rsidRDefault="00606897" w:rsidP="00606897">
            <w:pPr>
              <w:rPr>
                <w:rFonts w:eastAsia="Times New Roman" w:cs="Times New Roman"/>
                <w:b/>
                <w:bCs/>
                <w:sz w:val="18"/>
                <w:szCs w:val="18"/>
                <w:lang w:eastAsia="lv-LV"/>
              </w:rPr>
            </w:pPr>
            <w:r>
              <w:rPr>
                <w:b/>
                <w:bCs/>
                <w:sz w:val="18"/>
                <w:szCs w:val="18"/>
              </w:rPr>
              <w:t>Tieslietu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14B97484" w14:textId="152EC719" w:rsidR="00606897" w:rsidRPr="0035149B" w:rsidRDefault="00606897" w:rsidP="00606897">
            <w:pPr>
              <w:rPr>
                <w:rFonts w:eastAsia="Times New Roman" w:cs="Times New Roman"/>
                <w:sz w:val="18"/>
                <w:szCs w:val="18"/>
                <w:lang w:eastAsia="lv-LV"/>
              </w:rPr>
            </w:pPr>
            <w:r>
              <w:rPr>
                <w:sz w:val="18"/>
                <w:szCs w:val="18"/>
              </w:rPr>
              <w:t>06.01.00 "Juridisko personu reģistrācija"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29B7B635" w14:textId="3E98C952"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07D5E952" w14:textId="06703452"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3464AF01" w14:textId="26E3B452"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159A8664" w14:textId="1993E5FD" w:rsidR="00606897" w:rsidRPr="0035149B" w:rsidRDefault="00606897" w:rsidP="00606897">
            <w:pPr>
              <w:jc w:val="center"/>
              <w:rPr>
                <w:rFonts w:eastAsia="Times New Roman" w:cs="Times New Roman"/>
                <w:sz w:val="18"/>
                <w:szCs w:val="18"/>
                <w:lang w:eastAsia="lv-LV"/>
              </w:rPr>
            </w:pPr>
            <w:r>
              <w:rPr>
                <w:sz w:val="18"/>
                <w:szCs w:val="18"/>
              </w:rPr>
              <w:t>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642279AD" w14:textId="59EAD73A" w:rsidR="00606897" w:rsidRPr="0035149B" w:rsidRDefault="00606897" w:rsidP="00606897">
            <w:pPr>
              <w:jc w:val="center"/>
              <w:rPr>
                <w:rFonts w:eastAsia="Times New Roman" w:cs="Times New Roman"/>
                <w:sz w:val="18"/>
                <w:szCs w:val="18"/>
                <w:lang w:eastAsia="lv-LV"/>
              </w:rPr>
            </w:pPr>
            <w:r>
              <w:rPr>
                <w:sz w:val="18"/>
                <w:szCs w:val="18"/>
              </w:rPr>
              <w:t>676 587</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19A2C967" w14:textId="214FAE61" w:rsidR="00606897" w:rsidRPr="0035149B" w:rsidRDefault="00606897" w:rsidP="00606897">
            <w:pPr>
              <w:jc w:val="center"/>
              <w:rPr>
                <w:rFonts w:eastAsia="Times New Roman" w:cs="Times New Roman"/>
                <w:sz w:val="18"/>
                <w:szCs w:val="18"/>
                <w:lang w:eastAsia="lv-LV"/>
              </w:rPr>
            </w:pPr>
            <w:r>
              <w:rPr>
                <w:sz w:val="18"/>
                <w:szCs w:val="18"/>
              </w:rPr>
              <w:t>731 339</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151528F2" w14:textId="08E17EB5"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67D08C0D" w14:textId="4DC69376" w:rsidR="00606897" w:rsidRPr="0035149B" w:rsidRDefault="00606897" w:rsidP="00606897">
            <w:pPr>
              <w:jc w:val="center"/>
              <w:rPr>
                <w:rFonts w:eastAsia="Times New Roman" w:cs="Times New Roman"/>
                <w:sz w:val="18"/>
                <w:szCs w:val="18"/>
                <w:lang w:eastAsia="lv-LV"/>
              </w:rPr>
            </w:pPr>
            <w:r>
              <w:rPr>
                <w:sz w:val="18"/>
                <w:szCs w:val="18"/>
              </w:rPr>
              <w:t>191 000</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4699BB25" w14:textId="5613E810"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237BB8B3" w14:textId="77777777" w:rsidTr="0035149B">
        <w:trPr>
          <w:trHeight w:val="42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D92CAD3"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6. rīcības virziens: finanšu izlūkošana</w:t>
            </w:r>
          </w:p>
        </w:tc>
      </w:tr>
      <w:tr w:rsidR="00947CA0" w:rsidRPr="0035149B" w14:paraId="78B3A49C" w14:textId="77777777" w:rsidTr="00606897">
        <w:trPr>
          <w:trHeight w:val="37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5C697FC5"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657931D" w14:textId="54BA919E" w:rsidR="00947CA0" w:rsidRPr="0035149B" w:rsidRDefault="00947CA0" w:rsidP="00947CA0">
            <w:pPr>
              <w:rPr>
                <w:rFonts w:eastAsia="Times New Roman" w:cs="Times New Roman"/>
                <w:b/>
                <w:bCs/>
                <w:sz w:val="18"/>
                <w:szCs w:val="18"/>
                <w:lang w:eastAsia="lv-LV"/>
              </w:rPr>
            </w:pPr>
            <w:r>
              <w:rPr>
                <w:b/>
                <w:bCs/>
                <w:sz w:val="18"/>
                <w:szCs w:val="18"/>
              </w:rPr>
              <w:t xml:space="preserve">6.1. pasākums </w:t>
            </w:r>
            <w:r w:rsidR="00CA3885" w:rsidRPr="00CA3885">
              <w:rPr>
                <w:b/>
                <w:bCs/>
                <w:sz w:val="18"/>
                <w:szCs w:val="18"/>
              </w:rPr>
              <w:t>Stiprināt tiesībaizsardzības iestāžu kapacitāti paralēlās finanšu izmeklēšanas jomā</w:t>
            </w:r>
            <w:r>
              <w:rPr>
                <w:b/>
                <w:bCs/>
                <w:sz w:val="18"/>
                <w:szCs w:val="18"/>
              </w:rPr>
              <w:t>.</w:t>
            </w:r>
          </w:p>
        </w:tc>
      </w:tr>
      <w:tr w:rsidR="00606897" w:rsidRPr="0035149B" w14:paraId="561849E5" w14:textId="77777777" w:rsidTr="00606897">
        <w:trPr>
          <w:trHeight w:val="78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1EBEF626"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lastRenderedPageBreak/>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EF5E4DA" w14:textId="14713224"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5A5938E4" w14:textId="559D5D74" w:rsidR="00606897" w:rsidRPr="0035149B" w:rsidRDefault="00606897" w:rsidP="00606897">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2BE8576C" w14:textId="111704D5"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0B6EA6D9" w14:textId="3B21231D"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2F0399CA" w14:textId="6E9FBA37"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382FB4BF" w14:textId="014CF12C" w:rsidR="00606897" w:rsidRPr="0035149B" w:rsidRDefault="00606897" w:rsidP="00606897">
            <w:pPr>
              <w:jc w:val="center"/>
              <w:rPr>
                <w:rFonts w:eastAsia="Times New Roman" w:cs="Times New Roman"/>
                <w:sz w:val="18"/>
                <w:szCs w:val="18"/>
                <w:lang w:eastAsia="lv-LV"/>
              </w:rPr>
            </w:pPr>
            <w:r>
              <w:rPr>
                <w:sz w:val="18"/>
                <w:szCs w:val="18"/>
              </w:rPr>
              <w:t>80 000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1935DF7A" w14:textId="7FCCCC18" w:rsidR="00606897" w:rsidRPr="0035149B" w:rsidRDefault="00606897" w:rsidP="00606897">
            <w:pPr>
              <w:jc w:val="center"/>
              <w:rPr>
                <w:rFonts w:eastAsia="Times New Roman" w:cs="Times New Roman"/>
                <w:sz w:val="18"/>
                <w:szCs w:val="18"/>
                <w:lang w:eastAsia="lv-LV"/>
              </w:rPr>
            </w:pPr>
            <w:r>
              <w:rPr>
                <w:sz w:val="18"/>
                <w:szCs w:val="18"/>
              </w:rPr>
              <w:t>60 000</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42CB07DD" w14:textId="6EBEADE0" w:rsidR="00606897" w:rsidRPr="0035149B" w:rsidRDefault="00606897" w:rsidP="00606897">
            <w:pPr>
              <w:jc w:val="center"/>
              <w:rPr>
                <w:rFonts w:eastAsia="Times New Roman" w:cs="Times New Roman"/>
                <w:sz w:val="18"/>
                <w:szCs w:val="18"/>
                <w:lang w:eastAsia="lv-LV"/>
              </w:rPr>
            </w:pPr>
            <w:r>
              <w:rPr>
                <w:sz w:val="18"/>
                <w:szCs w:val="18"/>
              </w:rPr>
              <w:t>40 000</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01F97A23" w14:textId="24216B2E"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5ACF43D1" w14:textId="3119807B" w:rsidR="00606897" w:rsidRPr="0035149B" w:rsidRDefault="00606897" w:rsidP="00606897">
            <w:pPr>
              <w:jc w:val="center"/>
              <w:rPr>
                <w:rFonts w:eastAsia="Times New Roman" w:cs="Times New Roman"/>
                <w:sz w:val="18"/>
                <w:szCs w:val="18"/>
                <w:lang w:eastAsia="lv-LV"/>
              </w:rPr>
            </w:pPr>
            <w:r>
              <w:rPr>
                <w:sz w:val="18"/>
                <w:szCs w:val="18"/>
              </w:rPr>
              <w:t>40 000</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5C697E1F" w14:textId="3A62AE13"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7A24F228" w14:textId="77777777" w:rsidTr="00606897">
        <w:trPr>
          <w:trHeight w:val="82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7CD7BFD6"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BE77949" w14:textId="28FB3EA4" w:rsidR="00947CA0" w:rsidRPr="0035149B" w:rsidRDefault="00947CA0" w:rsidP="00947CA0">
            <w:pPr>
              <w:rPr>
                <w:rFonts w:eastAsia="Times New Roman" w:cs="Times New Roman"/>
                <w:b/>
                <w:bCs/>
                <w:sz w:val="18"/>
                <w:szCs w:val="18"/>
                <w:lang w:eastAsia="lv-LV"/>
              </w:rPr>
            </w:pPr>
            <w:r>
              <w:rPr>
                <w:b/>
                <w:bCs/>
                <w:sz w:val="18"/>
                <w:szCs w:val="18"/>
              </w:rPr>
              <w:t xml:space="preserve">6.2. pasākums </w:t>
            </w:r>
            <w:r w:rsidR="00CA3885" w:rsidRPr="00CA3885">
              <w:rPr>
                <w:b/>
                <w:bCs/>
                <w:sz w:val="18"/>
                <w:szCs w:val="18"/>
              </w:rPr>
              <w:t>Stiprināt FID kapacitāti gan stratēģiskās analīzes, gan operacionālās analīzes jomā</w:t>
            </w:r>
            <w:r>
              <w:rPr>
                <w:b/>
                <w:bCs/>
                <w:sz w:val="18"/>
                <w:szCs w:val="18"/>
              </w:rPr>
              <w:t>.</w:t>
            </w:r>
            <w:r>
              <w:rPr>
                <w:b/>
                <w:bCs/>
                <w:sz w:val="18"/>
                <w:szCs w:val="18"/>
              </w:rPr>
              <w:br/>
              <w:t xml:space="preserve">6.2. (1) </w:t>
            </w:r>
            <w:r w:rsidR="00CA3885" w:rsidRPr="00CA3885">
              <w:rPr>
                <w:b/>
                <w:bCs/>
                <w:sz w:val="18"/>
                <w:szCs w:val="18"/>
              </w:rPr>
              <w:t>Līdz 2022. gadam nodrošinātas papildus 8 amata vietas FID funkciju efektīvai izpildei, stratēģiskās un operacionālās analīzes stiprināšanai – 2020. gadā izveidotas 2 jaunas štata vietas, 2021.gadā –  vēl 2 jaunas štata vietas, 2022. gadā – vēl 4 jaunas štata vietas</w:t>
            </w:r>
            <w:r>
              <w:rPr>
                <w:b/>
                <w:bCs/>
                <w:sz w:val="18"/>
                <w:szCs w:val="18"/>
              </w:rPr>
              <w:t>.</w:t>
            </w:r>
          </w:p>
        </w:tc>
      </w:tr>
      <w:tr w:rsidR="00606897" w:rsidRPr="0035149B" w14:paraId="23D25DE3" w14:textId="77777777" w:rsidTr="00606897">
        <w:trPr>
          <w:trHeight w:val="78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766AE67C"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E1909EC" w14:textId="499EF4D7"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219E8BB6" w14:textId="7223BF15" w:rsidR="00606897" w:rsidRPr="0035149B" w:rsidRDefault="00606897" w:rsidP="00606897">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5A628B06" w14:textId="606686CE" w:rsidR="00606897" w:rsidRPr="0035149B" w:rsidRDefault="00606897" w:rsidP="00606897">
            <w:pPr>
              <w:jc w:val="right"/>
              <w:rPr>
                <w:rFonts w:eastAsia="Times New Roman" w:cs="Times New Roman"/>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117C5114" w14:textId="584E888B" w:rsidR="00606897" w:rsidRPr="0035149B" w:rsidRDefault="00606897" w:rsidP="00606897">
            <w:pPr>
              <w:jc w:val="right"/>
              <w:rPr>
                <w:rFonts w:eastAsia="Times New Roman" w:cs="Times New Roman"/>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000000" w:fill="FFFFFF"/>
            <w:vAlign w:val="center"/>
            <w:hideMark/>
          </w:tcPr>
          <w:p w14:paraId="693F3552" w14:textId="1DC3F68F" w:rsidR="00606897" w:rsidRPr="0035149B" w:rsidRDefault="00606897" w:rsidP="00606897">
            <w:pPr>
              <w:jc w:val="center"/>
              <w:rPr>
                <w:rFonts w:eastAsia="Times New Roman" w:cs="Times New Roman"/>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38ED6873" w14:textId="57D91210" w:rsidR="00606897" w:rsidRPr="0035149B" w:rsidRDefault="00606897" w:rsidP="00606897">
            <w:pPr>
              <w:jc w:val="center"/>
              <w:rPr>
                <w:rFonts w:eastAsia="Times New Roman" w:cs="Times New Roman"/>
                <w:sz w:val="18"/>
                <w:szCs w:val="18"/>
                <w:lang w:eastAsia="lv-LV"/>
              </w:rPr>
            </w:pPr>
            <w:r>
              <w:rPr>
                <w:sz w:val="18"/>
                <w:szCs w:val="18"/>
              </w:rPr>
              <w:t>82 513</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06CCDF91" w14:textId="3D96DA49" w:rsidR="00606897" w:rsidRPr="0035149B" w:rsidRDefault="00606897" w:rsidP="00606897">
            <w:pPr>
              <w:jc w:val="center"/>
              <w:rPr>
                <w:rFonts w:eastAsia="Times New Roman" w:cs="Times New Roman"/>
                <w:sz w:val="18"/>
                <w:szCs w:val="18"/>
                <w:lang w:eastAsia="lv-LV"/>
              </w:rPr>
            </w:pPr>
            <w:r>
              <w:rPr>
                <w:sz w:val="18"/>
                <w:szCs w:val="18"/>
              </w:rPr>
              <w:t>195 365</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7CA984B4" w14:textId="5F4100A1" w:rsidR="00606897" w:rsidRPr="0035149B" w:rsidRDefault="00606897" w:rsidP="00606897">
            <w:pPr>
              <w:jc w:val="center"/>
              <w:rPr>
                <w:rFonts w:eastAsia="Times New Roman" w:cs="Times New Roman"/>
                <w:sz w:val="18"/>
                <w:szCs w:val="18"/>
                <w:lang w:eastAsia="lv-LV"/>
              </w:rPr>
            </w:pPr>
            <w:r>
              <w:rPr>
                <w:sz w:val="18"/>
                <w:szCs w:val="18"/>
              </w:rPr>
              <w:t>390 729</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0E54F517" w14:textId="5BC1FFB9"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6C4B2508" w14:textId="3C7C30E0" w:rsidR="00606897" w:rsidRPr="0035149B" w:rsidRDefault="00606897" w:rsidP="00606897">
            <w:pPr>
              <w:jc w:val="center"/>
              <w:rPr>
                <w:rFonts w:eastAsia="Times New Roman" w:cs="Times New Roman"/>
                <w:sz w:val="18"/>
                <w:szCs w:val="18"/>
                <w:lang w:eastAsia="lv-LV"/>
              </w:rPr>
            </w:pPr>
            <w:r>
              <w:rPr>
                <w:sz w:val="18"/>
                <w:szCs w:val="18"/>
              </w:rPr>
              <w:t>390 729</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19D88E28" w14:textId="036BE4F5"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063BAEDA" w14:textId="77777777" w:rsidTr="00606897">
        <w:trPr>
          <w:trHeight w:val="60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5868A0A2"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0E75885" w14:textId="47260BD8" w:rsidR="00947CA0" w:rsidRPr="0035149B" w:rsidRDefault="00947CA0" w:rsidP="00947CA0">
            <w:pPr>
              <w:rPr>
                <w:rFonts w:eastAsia="Times New Roman" w:cs="Times New Roman"/>
                <w:b/>
                <w:bCs/>
                <w:sz w:val="18"/>
                <w:szCs w:val="18"/>
                <w:lang w:eastAsia="lv-LV"/>
              </w:rPr>
            </w:pPr>
            <w:r>
              <w:rPr>
                <w:b/>
                <w:bCs/>
                <w:sz w:val="18"/>
                <w:szCs w:val="18"/>
              </w:rPr>
              <w:t xml:space="preserve">6.2. pasākums </w:t>
            </w:r>
            <w:r w:rsidR="00CA3885" w:rsidRPr="00CA3885">
              <w:rPr>
                <w:b/>
                <w:bCs/>
                <w:sz w:val="18"/>
                <w:szCs w:val="18"/>
              </w:rPr>
              <w:t>Stiprināt FID kapacitāti gan stratēģiskās analīzes, gan operacionālās analīzes jomā</w:t>
            </w:r>
            <w:r>
              <w:rPr>
                <w:b/>
                <w:bCs/>
                <w:sz w:val="18"/>
                <w:szCs w:val="18"/>
              </w:rPr>
              <w:t>.</w:t>
            </w:r>
            <w:r>
              <w:rPr>
                <w:b/>
                <w:bCs/>
                <w:sz w:val="18"/>
                <w:szCs w:val="18"/>
              </w:rPr>
              <w:br/>
              <w:t xml:space="preserve">6.2. (2) </w:t>
            </w:r>
            <w:r w:rsidR="00CA3885" w:rsidRPr="00CA3885">
              <w:rPr>
                <w:b/>
                <w:bCs/>
                <w:sz w:val="18"/>
                <w:szCs w:val="18"/>
              </w:rPr>
              <w:t>Nodrošināta pastāvīga FID darbinieku apmācība un kvalifikācijas celšana</w:t>
            </w:r>
            <w:r>
              <w:rPr>
                <w:b/>
                <w:bCs/>
                <w:sz w:val="18"/>
                <w:szCs w:val="18"/>
              </w:rPr>
              <w:t>.</w:t>
            </w:r>
          </w:p>
        </w:tc>
      </w:tr>
      <w:tr w:rsidR="00606897" w:rsidRPr="0035149B" w14:paraId="2942BB0B" w14:textId="77777777" w:rsidTr="00606897">
        <w:trPr>
          <w:trHeight w:val="354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3AAF8E14"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BEA6789" w14:textId="19A13609"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6A92DD8A" w14:textId="72E4F1FE" w:rsidR="00606897" w:rsidRPr="0035149B" w:rsidRDefault="00606897" w:rsidP="00606897">
            <w:pPr>
              <w:rPr>
                <w:rFonts w:eastAsia="Times New Roman" w:cs="Times New Roman"/>
                <w:b/>
                <w:bCs/>
                <w:sz w:val="18"/>
                <w:szCs w:val="18"/>
                <w:lang w:eastAsia="lv-LV"/>
              </w:rPr>
            </w:pPr>
            <w:r>
              <w:rPr>
                <w:b/>
                <w:bCs/>
                <w:sz w:val="18"/>
                <w:szCs w:val="18"/>
              </w:rPr>
              <w:t>71.06.00 "Eiropas Ekonomiskās zonas un Norvēģijas finanšu instrumentu finansētie projekti"</w:t>
            </w:r>
            <w:r>
              <w:rPr>
                <w:b/>
                <w:bCs/>
                <w:sz w:val="18"/>
                <w:szCs w:val="18"/>
              </w:rPr>
              <w:br/>
            </w:r>
            <w:r>
              <w:rPr>
                <w:i/>
                <w:iCs/>
                <w:sz w:val="18"/>
                <w:szCs w:val="18"/>
              </w:rPr>
              <w:t>Eiropas Ekonomikas zonas finanšu instrumenta 2014.2021 gada perioda programmas "Starptautiskā policijas sadarbība un noziedzības apkarošana" ietvaros Finanšu izlūkošanas dienests īstenos projektu "Darbinieku zināšanu pilnveide noziedzīgi iegūtu līdzekļu legalizācijas apkarošanā Latvijā"</w:t>
            </w:r>
            <w:r>
              <w:rPr>
                <w:i/>
                <w:iCs/>
                <w:sz w:val="18"/>
                <w:szCs w:val="18"/>
              </w:rPr>
              <w:br/>
              <w:t>Kopējās projekta izmaksas 450 000 euro</w:t>
            </w:r>
            <w:r>
              <w:rPr>
                <w:i/>
                <w:iCs/>
                <w:sz w:val="18"/>
                <w:szCs w:val="18"/>
              </w:rPr>
              <w:br/>
              <w:t>projekta īstenošanas ilgums 36 mēneši (sadalījums pa gadiem var tikt precizēts)</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1F49F131" w14:textId="54249B9A" w:rsidR="00606897" w:rsidRPr="00F6007F" w:rsidRDefault="00606897" w:rsidP="00606897">
            <w:pPr>
              <w:jc w:val="center"/>
              <w:rPr>
                <w:sz w:val="18"/>
                <w:highlight w:val="red"/>
              </w:rPr>
            </w:pPr>
            <w:r>
              <w:rPr>
                <w:sz w:val="18"/>
                <w:szCs w:val="18"/>
              </w:rPr>
              <w:t>0</w:t>
            </w:r>
          </w:p>
        </w:tc>
        <w:tc>
          <w:tcPr>
            <w:tcW w:w="887" w:type="dxa"/>
            <w:tcBorders>
              <w:top w:val="single" w:sz="4" w:space="0" w:color="BFBFBF"/>
              <w:left w:val="nil"/>
              <w:bottom w:val="single" w:sz="4" w:space="0" w:color="BFBFBF"/>
              <w:right w:val="single" w:sz="4" w:space="0" w:color="BFBFBF"/>
            </w:tcBorders>
            <w:shd w:val="clear" w:color="000000" w:fill="FFFFFF"/>
            <w:vAlign w:val="center"/>
          </w:tcPr>
          <w:p w14:paraId="72B6BA84" w14:textId="1B724661" w:rsidR="00606897" w:rsidRPr="00F6007F" w:rsidRDefault="00606897" w:rsidP="00606897">
            <w:pPr>
              <w:jc w:val="center"/>
              <w:rPr>
                <w:sz w:val="18"/>
                <w:highlight w:val="red"/>
              </w:rPr>
            </w:pPr>
            <w:r>
              <w:rPr>
                <w:sz w:val="18"/>
                <w:szCs w:val="18"/>
              </w:rPr>
              <w:t>150 000</w:t>
            </w:r>
          </w:p>
        </w:tc>
        <w:tc>
          <w:tcPr>
            <w:tcW w:w="947" w:type="dxa"/>
            <w:tcBorders>
              <w:top w:val="single" w:sz="4" w:space="0" w:color="BFBFBF"/>
              <w:left w:val="nil"/>
              <w:bottom w:val="single" w:sz="4" w:space="0" w:color="BFBFBF"/>
              <w:right w:val="single" w:sz="4" w:space="0" w:color="BFBFBF"/>
            </w:tcBorders>
            <w:shd w:val="clear" w:color="000000" w:fill="FFFFFF"/>
            <w:vAlign w:val="center"/>
          </w:tcPr>
          <w:p w14:paraId="671E525C" w14:textId="0A02AC24" w:rsidR="00606897" w:rsidRPr="00F6007F" w:rsidRDefault="00606897" w:rsidP="00606897">
            <w:pPr>
              <w:jc w:val="center"/>
              <w:rPr>
                <w:sz w:val="18"/>
                <w:highlight w:val="red"/>
              </w:rPr>
            </w:pPr>
            <w:r>
              <w:rPr>
                <w:sz w:val="18"/>
                <w:szCs w:val="18"/>
              </w:rPr>
              <w:t>150 000</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114A8FBB" w14:textId="40B2D02B" w:rsidR="00606897" w:rsidRPr="0035149B" w:rsidRDefault="00606897" w:rsidP="00606897">
            <w:pPr>
              <w:jc w:val="center"/>
              <w:rPr>
                <w:rFonts w:eastAsia="Times New Roman" w:cs="Times New Roman"/>
                <w:b/>
                <w:bCs/>
                <w:sz w:val="18"/>
                <w:szCs w:val="18"/>
                <w:lang w:eastAsia="lv-LV"/>
              </w:rPr>
            </w:pPr>
            <w:r>
              <w:rPr>
                <w:b/>
                <w:bCs/>
                <w:sz w:val="18"/>
                <w:szCs w:val="18"/>
              </w:rPr>
              <w:t> </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7478B985" w14:textId="26E8CA27" w:rsidR="00606897" w:rsidRPr="0035149B" w:rsidRDefault="00606897" w:rsidP="00606897">
            <w:pPr>
              <w:jc w:val="center"/>
              <w:rPr>
                <w:rFonts w:eastAsia="Times New Roman" w:cs="Times New Roman"/>
                <w:b/>
                <w:bCs/>
                <w:sz w:val="18"/>
                <w:szCs w:val="18"/>
                <w:lang w:eastAsia="lv-LV"/>
              </w:rPr>
            </w:pPr>
            <w:r>
              <w:rPr>
                <w:b/>
                <w:bCs/>
                <w:sz w:val="18"/>
                <w:szCs w:val="18"/>
              </w:rPr>
              <w:t> </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5672132F" w14:textId="4BA00D6A" w:rsidR="00606897" w:rsidRPr="0035149B" w:rsidRDefault="00606897" w:rsidP="00606897">
            <w:pPr>
              <w:jc w:val="center"/>
              <w:rPr>
                <w:rFonts w:eastAsia="Times New Roman" w:cs="Times New Roman"/>
                <w:b/>
                <w:bCs/>
                <w:sz w:val="18"/>
                <w:szCs w:val="18"/>
                <w:lang w:eastAsia="lv-LV"/>
              </w:rPr>
            </w:pPr>
            <w:r>
              <w:rPr>
                <w:b/>
                <w:bCs/>
                <w:sz w:val="18"/>
                <w:szCs w:val="18"/>
              </w:rPr>
              <w:t> </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7156D341" w14:textId="562F6DC7" w:rsidR="00606897" w:rsidRPr="0035149B" w:rsidRDefault="00606897" w:rsidP="00606897">
            <w:pPr>
              <w:jc w:val="center"/>
              <w:rPr>
                <w:rFonts w:eastAsia="Times New Roman" w:cs="Times New Roman"/>
                <w:b/>
                <w:bCs/>
                <w:sz w:val="18"/>
                <w:szCs w:val="18"/>
                <w:lang w:eastAsia="lv-LV"/>
              </w:rPr>
            </w:pPr>
            <w:r>
              <w:rPr>
                <w:b/>
                <w:bCs/>
                <w:sz w:val="18"/>
                <w:szCs w:val="18"/>
              </w:rPr>
              <w:t> </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2AF35502" w14:textId="74935610" w:rsidR="00606897" w:rsidRPr="0035149B" w:rsidRDefault="00606897" w:rsidP="00606897">
            <w:pPr>
              <w:jc w:val="center"/>
              <w:rPr>
                <w:rFonts w:eastAsia="Times New Roman" w:cs="Times New Roman"/>
                <w:b/>
                <w:bCs/>
                <w:sz w:val="18"/>
                <w:szCs w:val="18"/>
                <w:lang w:eastAsia="lv-LV"/>
              </w:rPr>
            </w:pPr>
            <w:r>
              <w:rPr>
                <w:b/>
                <w:bCs/>
                <w:sz w:val="18"/>
                <w:szCs w:val="18"/>
              </w:rPr>
              <w:t> </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5410F2E2" w14:textId="53599DCB" w:rsidR="00606897" w:rsidRPr="0035149B" w:rsidRDefault="00606897" w:rsidP="00606897">
            <w:pPr>
              <w:jc w:val="center"/>
              <w:rPr>
                <w:rFonts w:eastAsia="Times New Roman" w:cs="Times New Roman"/>
                <w:b/>
                <w:bCs/>
                <w:sz w:val="18"/>
                <w:szCs w:val="18"/>
                <w:lang w:eastAsia="lv-LV"/>
              </w:rPr>
            </w:pPr>
            <w:r>
              <w:rPr>
                <w:b/>
                <w:bCs/>
                <w:sz w:val="18"/>
                <w:szCs w:val="18"/>
              </w:rPr>
              <w:t> </w:t>
            </w:r>
          </w:p>
        </w:tc>
      </w:tr>
      <w:tr w:rsidR="00606897" w:rsidRPr="0035149B" w14:paraId="68446FA8" w14:textId="77777777" w:rsidTr="00606897">
        <w:trPr>
          <w:trHeight w:val="78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00E60E7"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2A83178" w14:textId="23929DB2" w:rsidR="00606897" w:rsidRPr="00426CE3"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497EA13C" w14:textId="4AB88D7B" w:rsidR="00606897" w:rsidRPr="00426CE3" w:rsidRDefault="00606897" w:rsidP="00606897">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19FC5DB4" w14:textId="25187D07" w:rsidR="00606897" w:rsidRPr="00426CE3"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01A3933E" w14:textId="37814B1D" w:rsidR="00606897" w:rsidRPr="00426CE3"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7B54649F" w14:textId="1C2291E9" w:rsidR="00606897" w:rsidRPr="00426CE3"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6FA52351" w14:textId="762B5BA4" w:rsidR="00606897" w:rsidRPr="00426CE3" w:rsidRDefault="00606897" w:rsidP="00606897">
            <w:pPr>
              <w:jc w:val="center"/>
              <w:rPr>
                <w:rFonts w:eastAsia="Times New Roman" w:cs="Times New Roman"/>
                <w:sz w:val="18"/>
                <w:szCs w:val="18"/>
                <w:lang w:eastAsia="lv-LV"/>
              </w:rPr>
            </w:pPr>
            <w:r>
              <w:rPr>
                <w:sz w:val="18"/>
                <w:szCs w:val="18"/>
              </w:rPr>
              <w:t>122 148</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2D48D409" w14:textId="7867A70C" w:rsidR="00606897" w:rsidRPr="00426CE3" w:rsidRDefault="00606897" w:rsidP="00606897">
            <w:pPr>
              <w:jc w:val="center"/>
              <w:rPr>
                <w:rFonts w:eastAsia="Times New Roman" w:cs="Times New Roman"/>
                <w:sz w:val="18"/>
                <w:szCs w:val="18"/>
                <w:lang w:eastAsia="lv-LV"/>
              </w:rPr>
            </w:pPr>
            <w:r>
              <w:rPr>
                <w:sz w:val="18"/>
                <w:szCs w:val="18"/>
              </w:rPr>
              <w:t>103 708</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5DFB2F9D" w14:textId="3B807CF5" w:rsidR="00606897" w:rsidRPr="00426CE3" w:rsidRDefault="00606897" w:rsidP="00606897">
            <w:pPr>
              <w:jc w:val="center"/>
              <w:rPr>
                <w:rFonts w:eastAsia="Times New Roman" w:cs="Times New Roman"/>
                <w:sz w:val="18"/>
                <w:szCs w:val="18"/>
                <w:lang w:eastAsia="lv-LV"/>
              </w:rPr>
            </w:pPr>
            <w:r>
              <w:rPr>
                <w:sz w:val="18"/>
                <w:szCs w:val="18"/>
              </w:rPr>
              <w:t>103 708</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085E8BC8" w14:textId="4B4697BF" w:rsidR="00606897" w:rsidRPr="00426CE3"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2E2520CB" w14:textId="6E3864EF" w:rsidR="00606897" w:rsidRPr="00426CE3" w:rsidRDefault="00606897" w:rsidP="00606897">
            <w:pPr>
              <w:jc w:val="center"/>
              <w:rPr>
                <w:rFonts w:eastAsia="Times New Roman" w:cs="Times New Roman"/>
                <w:sz w:val="18"/>
                <w:szCs w:val="18"/>
                <w:lang w:eastAsia="lv-LV"/>
              </w:rPr>
            </w:pPr>
            <w:r>
              <w:rPr>
                <w:sz w:val="18"/>
                <w:szCs w:val="18"/>
              </w:rPr>
              <w:t>57 708</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6167DADE" w14:textId="048509E8" w:rsidR="00606897" w:rsidRPr="00426CE3" w:rsidRDefault="00606897" w:rsidP="00606897">
            <w:pPr>
              <w:jc w:val="center"/>
              <w:rPr>
                <w:rFonts w:eastAsia="Times New Roman" w:cs="Times New Roman"/>
                <w:sz w:val="18"/>
                <w:szCs w:val="18"/>
                <w:lang w:eastAsia="lv-LV"/>
              </w:rPr>
            </w:pPr>
            <w:r>
              <w:rPr>
                <w:sz w:val="18"/>
                <w:szCs w:val="18"/>
              </w:rPr>
              <w:t>x</w:t>
            </w:r>
          </w:p>
        </w:tc>
      </w:tr>
      <w:tr w:rsidR="00947CA0" w:rsidRPr="0035149B" w14:paraId="4D6DCA64" w14:textId="77777777" w:rsidTr="00606897">
        <w:trPr>
          <w:trHeight w:val="79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47C6749"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lastRenderedPageBreak/>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931A89" w14:textId="0ED66D3B" w:rsidR="00947CA0" w:rsidRPr="00426CE3" w:rsidRDefault="00947CA0" w:rsidP="00947CA0">
            <w:pPr>
              <w:rPr>
                <w:rFonts w:eastAsia="Times New Roman" w:cs="Times New Roman"/>
                <w:b/>
                <w:bCs/>
                <w:sz w:val="18"/>
                <w:szCs w:val="18"/>
                <w:lang w:eastAsia="lv-LV"/>
              </w:rPr>
            </w:pPr>
            <w:r w:rsidRPr="00426CE3">
              <w:rPr>
                <w:rFonts w:eastAsia="Times New Roman" w:cs="Times New Roman"/>
                <w:b/>
                <w:bCs/>
                <w:sz w:val="18"/>
                <w:szCs w:val="18"/>
                <w:lang w:eastAsia="lv-LV"/>
              </w:rPr>
              <w:t>6.2.</w:t>
            </w:r>
            <w:r>
              <w:rPr>
                <w:rFonts w:eastAsia="Times New Roman" w:cs="Times New Roman"/>
                <w:b/>
                <w:bCs/>
                <w:sz w:val="18"/>
                <w:szCs w:val="18"/>
                <w:lang w:eastAsia="lv-LV"/>
              </w:rPr>
              <w:t xml:space="preserve"> </w:t>
            </w:r>
            <w:r w:rsidRPr="00426CE3">
              <w:rPr>
                <w:rFonts w:eastAsia="Times New Roman" w:cs="Times New Roman"/>
                <w:b/>
                <w:bCs/>
                <w:sz w:val="18"/>
                <w:szCs w:val="18"/>
                <w:lang w:eastAsia="lv-LV"/>
              </w:rPr>
              <w:t xml:space="preserve">pasākums </w:t>
            </w:r>
            <w:r w:rsidR="00CA3885" w:rsidRPr="00CA3885">
              <w:rPr>
                <w:b/>
                <w:bCs/>
                <w:sz w:val="18"/>
                <w:szCs w:val="18"/>
              </w:rPr>
              <w:t>Stiprināt FID kapacitāti gan stratēģiskās analīzes, gan operacionālās analīzes jomā</w:t>
            </w:r>
            <w:r w:rsidRPr="00426CE3">
              <w:rPr>
                <w:rFonts w:eastAsia="Times New Roman" w:cs="Times New Roman"/>
                <w:b/>
                <w:bCs/>
                <w:sz w:val="18"/>
                <w:szCs w:val="18"/>
                <w:lang w:eastAsia="lv-LV"/>
              </w:rPr>
              <w:t>.</w:t>
            </w:r>
            <w:r w:rsidRPr="00426CE3">
              <w:rPr>
                <w:rFonts w:eastAsia="Times New Roman" w:cs="Times New Roman"/>
                <w:b/>
                <w:bCs/>
                <w:sz w:val="18"/>
                <w:szCs w:val="18"/>
                <w:lang w:eastAsia="lv-LV"/>
              </w:rPr>
              <w:br/>
              <w:t xml:space="preserve">6.2. (3) </w:t>
            </w:r>
            <w:r w:rsidR="00CA3885" w:rsidRPr="00CA3885">
              <w:rPr>
                <w:rFonts w:eastAsia="Times New Roman" w:cs="Times New Roman"/>
                <w:b/>
                <w:bCs/>
                <w:sz w:val="18"/>
                <w:szCs w:val="18"/>
                <w:lang w:eastAsia="lv-LV"/>
              </w:rPr>
              <w:t>Stiprināta FID programmnodrošinājuma efektivitāte, regulāri veikti nepieciešamie uzlabojumi datu apstrādē un analīzē, pilnveidoti un papildināti FID digitālie informācijas resursi un datu apmaiņas kanāli</w:t>
            </w:r>
            <w:r w:rsidRPr="00426CE3">
              <w:rPr>
                <w:rFonts w:eastAsia="Times New Roman" w:cs="Times New Roman"/>
                <w:b/>
                <w:bCs/>
                <w:sz w:val="18"/>
                <w:szCs w:val="18"/>
                <w:lang w:eastAsia="lv-LV"/>
              </w:rPr>
              <w:t>.</w:t>
            </w:r>
          </w:p>
        </w:tc>
      </w:tr>
      <w:tr w:rsidR="00606897" w:rsidRPr="0035149B" w14:paraId="71955D80" w14:textId="77777777" w:rsidTr="00F8655C">
        <w:trPr>
          <w:trHeight w:val="78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7FA4941"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7D8FDCF" w14:textId="53291F0A" w:rsidR="00606897" w:rsidRPr="00426CE3"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4A8DB4B5" w14:textId="6B98B2B9" w:rsidR="00606897" w:rsidRPr="00426CE3" w:rsidRDefault="00606897" w:rsidP="00606897">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395A5AAC" w14:textId="5C0D5938" w:rsidR="00606897" w:rsidRPr="00426CE3"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5A5546EF" w14:textId="0724967C" w:rsidR="00606897" w:rsidRPr="00426CE3"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148F1F7C" w14:textId="53CCB774" w:rsidR="00606897" w:rsidRPr="00426CE3"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51B797A9" w14:textId="21ADBE0F" w:rsidR="00606897" w:rsidRPr="00426CE3" w:rsidRDefault="00606897" w:rsidP="00606897">
            <w:pPr>
              <w:jc w:val="center"/>
              <w:rPr>
                <w:rFonts w:eastAsia="Times New Roman" w:cs="Times New Roman"/>
                <w:sz w:val="18"/>
                <w:szCs w:val="18"/>
                <w:lang w:eastAsia="lv-LV"/>
              </w:rPr>
            </w:pPr>
            <w:r>
              <w:rPr>
                <w:sz w:val="18"/>
                <w:szCs w:val="18"/>
              </w:rPr>
              <w:t>885 063</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0B421067" w14:textId="216102F8" w:rsidR="00606897" w:rsidRPr="00426CE3" w:rsidRDefault="00606897" w:rsidP="00606897">
            <w:pPr>
              <w:jc w:val="center"/>
              <w:rPr>
                <w:rFonts w:eastAsia="Times New Roman" w:cs="Times New Roman"/>
                <w:sz w:val="18"/>
                <w:szCs w:val="18"/>
                <w:lang w:eastAsia="lv-LV"/>
              </w:rPr>
            </w:pPr>
            <w:r>
              <w:rPr>
                <w:sz w:val="18"/>
                <w:szCs w:val="18"/>
              </w:rPr>
              <w:t>673 568</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007C0960" w14:textId="21BB9C71" w:rsidR="00606897" w:rsidRPr="00426CE3" w:rsidRDefault="00606897" w:rsidP="00606897">
            <w:pPr>
              <w:jc w:val="center"/>
              <w:rPr>
                <w:rFonts w:eastAsia="Times New Roman" w:cs="Times New Roman"/>
                <w:sz w:val="18"/>
                <w:szCs w:val="18"/>
                <w:lang w:eastAsia="lv-LV"/>
              </w:rPr>
            </w:pPr>
            <w:r>
              <w:rPr>
                <w:sz w:val="18"/>
                <w:szCs w:val="18"/>
              </w:rPr>
              <w:t>683 668</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31806611" w14:textId="356D654E" w:rsidR="00606897" w:rsidRPr="00426CE3"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25D86AE0" w14:textId="40D43B66" w:rsidR="00606897" w:rsidRPr="00426CE3" w:rsidRDefault="00606897" w:rsidP="00606897">
            <w:pPr>
              <w:jc w:val="center"/>
              <w:rPr>
                <w:rFonts w:eastAsia="Times New Roman" w:cs="Times New Roman"/>
                <w:sz w:val="18"/>
                <w:szCs w:val="18"/>
                <w:lang w:eastAsia="lv-LV"/>
              </w:rPr>
            </w:pPr>
            <w:r>
              <w:rPr>
                <w:sz w:val="18"/>
                <w:szCs w:val="18"/>
              </w:rPr>
              <w:t>572 316</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7A88EA67" w14:textId="28F79EA2" w:rsidR="00606897" w:rsidRPr="00426CE3" w:rsidRDefault="00606897" w:rsidP="00606897">
            <w:pPr>
              <w:jc w:val="center"/>
              <w:rPr>
                <w:rFonts w:eastAsia="Times New Roman" w:cs="Times New Roman"/>
                <w:sz w:val="18"/>
                <w:szCs w:val="18"/>
                <w:lang w:eastAsia="lv-LV"/>
              </w:rPr>
            </w:pPr>
            <w:r>
              <w:rPr>
                <w:sz w:val="18"/>
                <w:szCs w:val="18"/>
              </w:rPr>
              <w:t>x</w:t>
            </w:r>
          </w:p>
        </w:tc>
      </w:tr>
      <w:tr w:rsidR="00947CA0" w:rsidRPr="0035149B" w14:paraId="58CC0BF8" w14:textId="77777777" w:rsidTr="00606897">
        <w:trPr>
          <w:trHeight w:val="102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A30E546"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0D865F4" w14:textId="396A3F8B" w:rsidR="00947CA0" w:rsidRPr="0035149B" w:rsidRDefault="00947CA0" w:rsidP="00947CA0">
            <w:pPr>
              <w:rPr>
                <w:rFonts w:eastAsia="Times New Roman" w:cs="Times New Roman"/>
                <w:b/>
                <w:bCs/>
                <w:sz w:val="18"/>
                <w:szCs w:val="18"/>
                <w:lang w:eastAsia="lv-LV"/>
              </w:rPr>
            </w:pPr>
            <w:r>
              <w:rPr>
                <w:b/>
                <w:bCs/>
                <w:sz w:val="18"/>
                <w:szCs w:val="18"/>
              </w:rPr>
              <w:t xml:space="preserve">6.2. pasākums </w:t>
            </w:r>
            <w:r w:rsidR="00CA3885" w:rsidRPr="00CA3885">
              <w:rPr>
                <w:b/>
                <w:bCs/>
                <w:sz w:val="18"/>
                <w:szCs w:val="18"/>
              </w:rPr>
              <w:t>Stiprināt FID kapacitāti gan stratēģiskās analīzes, gan operacionālās analīzes jomā</w:t>
            </w:r>
            <w:r>
              <w:rPr>
                <w:b/>
                <w:bCs/>
                <w:sz w:val="18"/>
                <w:szCs w:val="18"/>
              </w:rPr>
              <w:t>.</w:t>
            </w:r>
            <w:r>
              <w:rPr>
                <w:b/>
                <w:bCs/>
                <w:sz w:val="18"/>
                <w:szCs w:val="18"/>
              </w:rPr>
              <w:br/>
              <w:t xml:space="preserve">6.2. (4) </w:t>
            </w:r>
            <w:r w:rsidR="00CA3885" w:rsidRPr="00CA3885">
              <w:rPr>
                <w:b/>
                <w:bCs/>
                <w:sz w:val="18"/>
                <w:szCs w:val="18"/>
              </w:rPr>
              <w:t>FID darbinieki uzsākuši darbu telpās, kas atbilst MK 2004. gada 6. janvāra noteikumos Nr. 21 “Valsts noslēpuma, Ziemeļatlantijas līguma organizācijas, Eiropas Savienības un ārvalstu institūciju klasificētās informācijas aizsardzības noteikumi” un MK 2016. gada 12. jūlija ieteikumos Nr. 2 “Vienotās prasības valsts pārvaldes iestāžu biroju ēkām un biroja telpu grupām” noteiktajām prasībām</w:t>
            </w:r>
            <w:r>
              <w:rPr>
                <w:b/>
                <w:bCs/>
                <w:sz w:val="18"/>
                <w:szCs w:val="18"/>
              </w:rPr>
              <w:t>.</w:t>
            </w:r>
          </w:p>
        </w:tc>
      </w:tr>
      <w:tr w:rsidR="00606897" w:rsidRPr="0035149B" w14:paraId="6426A082" w14:textId="77777777" w:rsidTr="00606897">
        <w:trPr>
          <w:trHeight w:val="78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6F40A21"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B355014" w14:textId="3C149262"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474E0308" w14:textId="7C40A01A" w:rsidR="00606897" w:rsidRPr="0035149B" w:rsidRDefault="00606897" w:rsidP="00606897">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16D715D0" w14:textId="564AF1DE"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546C801D" w14:textId="142DA532"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617BB12C" w14:textId="0DDF4C9E"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6148E09D" w14:textId="362736F2" w:rsidR="00606897" w:rsidRPr="0035149B" w:rsidRDefault="00606897" w:rsidP="00606897">
            <w:pPr>
              <w:jc w:val="center"/>
              <w:rPr>
                <w:rFonts w:eastAsia="Times New Roman" w:cs="Times New Roman"/>
                <w:sz w:val="18"/>
                <w:szCs w:val="18"/>
                <w:lang w:eastAsia="lv-LV"/>
              </w:rPr>
            </w:pPr>
            <w:r>
              <w:rPr>
                <w:sz w:val="18"/>
                <w:szCs w:val="18"/>
              </w:rPr>
              <w:t>9 075</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43DDDC00" w14:textId="1973BC35" w:rsidR="00606897" w:rsidRPr="0035149B" w:rsidRDefault="00606897" w:rsidP="00606897">
            <w:pPr>
              <w:jc w:val="center"/>
              <w:rPr>
                <w:rFonts w:eastAsia="Times New Roman" w:cs="Times New Roman"/>
                <w:sz w:val="18"/>
                <w:szCs w:val="18"/>
                <w:lang w:eastAsia="lv-LV"/>
              </w:rPr>
            </w:pPr>
            <w:r>
              <w:rPr>
                <w:sz w:val="18"/>
                <w:szCs w:val="18"/>
              </w:rPr>
              <w:t>308 816</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314DB43B" w14:textId="0807EC03" w:rsidR="00606897" w:rsidRPr="0035149B" w:rsidRDefault="00606897" w:rsidP="00606897">
            <w:pPr>
              <w:jc w:val="center"/>
              <w:rPr>
                <w:rFonts w:eastAsia="Times New Roman" w:cs="Times New Roman"/>
                <w:sz w:val="18"/>
                <w:szCs w:val="18"/>
                <w:lang w:eastAsia="lv-LV"/>
              </w:rPr>
            </w:pPr>
            <w:r>
              <w:rPr>
                <w:sz w:val="18"/>
                <w:szCs w:val="18"/>
              </w:rPr>
              <w:t>430 477</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0D08192C" w14:textId="32F5EFC1"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0ABA6961" w14:textId="1FFB8F97" w:rsidR="00606897" w:rsidRPr="0035149B" w:rsidRDefault="00606897" w:rsidP="00606897">
            <w:pPr>
              <w:jc w:val="center"/>
              <w:rPr>
                <w:rFonts w:eastAsia="Times New Roman" w:cs="Times New Roman"/>
                <w:sz w:val="18"/>
                <w:szCs w:val="18"/>
                <w:lang w:eastAsia="lv-LV"/>
              </w:rPr>
            </w:pPr>
            <w:r>
              <w:rPr>
                <w:sz w:val="18"/>
                <w:szCs w:val="18"/>
              </w:rPr>
              <w:t>430 477</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2C697127" w14:textId="10C04A7B"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587B041D" w14:textId="77777777" w:rsidTr="00606897">
        <w:trPr>
          <w:trHeight w:val="61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38E89609"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DD0A5F2" w14:textId="333D30C7" w:rsidR="00947CA0" w:rsidRPr="0035149B" w:rsidRDefault="00947CA0" w:rsidP="00947CA0">
            <w:pPr>
              <w:rPr>
                <w:rFonts w:eastAsia="Times New Roman" w:cs="Times New Roman"/>
                <w:b/>
                <w:bCs/>
                <w:sz w:val="18"/>
                <w:szCs w:val="18"/>
                <w:lang w:eastAsia="lv-LV"/>
              </w:rPr>
            </w:pPr>
            <w:r>
              <w:rPr>
                <w:b/>
                <w:bCs/>
                <w:sz w:val="18"/>
                <w:szCs w:val="18"/>
              </w:rPr>
              <w:t xml:space="preserve">6.2. pasākums </w:t>
            </w:r>
            <w:r w:rsidR="00CA3885" w:rsidRPr="00CA3885">
              <w:rPr>
                <w:b/>
                <w:bCs/>
                <w:sz w:val="18"/>
                <w:szCs w:val="18"/>
              </w:rPr>
              <w:t>Stiprināt FID kapacitāti gan stratēģiskās analīzes, gan operacionālās analīzes jomā</w:t>
            </w:r>
            <w:r>
              <w:rPr>
                <w:b/>
                <w:bCs/>
                <w:sz w:val="18"/>
                <w:szCs w:val="18"/>
              </w:rPr>
              <w:t>.</w:t>
            </w:r>
            <w:r>
              <w:rPr>
                <w:b/>
                <w:bCs/>
                <w:sz w:val="18"/>
                <w:szCs w:val="18"/>
              </w:rPr>
              <w:br/>
              <w:t xml:space="preserve">6.2. (5) </w:t>
            </w:r>
            <w:r w:rsidR="00CA3885" w:rsidRPr="00CA3885">
              <w:rPr>
                <w:b/>
                <w:bCs/>
                <w:sz w:val="18"/>
                <w:szCs w:val="18"/>
              </w:rPr>
              <w:t>Nodrošināts NILLTPFN likuma prasībām atbilstošs kreditoru prasījumu izmaksas process LAS ABLV, vienlaikus veicot stratēģisko analīzi (piem. definējot tipoloģijas, indikatorus, u.c.)</w:t>
            </w:r>
            <w:r w:rsidR="00CA3885">
              <w:rPr>
                <w:b/>
                <w:bCs/>
                <w:sz w:val="18"/>
                <w:szCs w:val="18"/>
              </w:rPr>
              <w:t>.</w:t>
            </w:r>
          </w:p>
        </w:tc>
      </w:tr>
      <w:tr w:rsidR="00606897" w:rsidRPr="0035149B" w14:paraId="13664ECE" w14:textId="77777777" w:rsidTr="00606897">
        <w:trPr>
          <w:trHeight w:val="78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259A627"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447E2EF" w14:textId="4D851397"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14D9D095" w14:textId="054D64C5" w:rsidR="00606897" w:rsidRPr="0035149B" w:rsidRDefault="00606897" w:rsidP="00606897">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0323A1E0" w14:textId="051F960A"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0905B544" w14:textId="27CBA127"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3B07AF99" w14:textId="659B75EE"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30E84C67" w14:textId="49F20C64" w:rsidR="00606897" w:rsidRPr="0035149B" w:rsidRDefault="00606897" w:rsidP="00606897">
            <w:pPr>
              <w:jc w:val="center"/>
              <w:rPr>
                <w:rFonts w:eastAsia="Times New Roman" w:cs="Times New Roman"/>
                <w:sz w:val="18"/>
                <w:szCs w:val="18"/>
                <w:lang w:eastAsia="lv-LV"/>
              </w:rPr>
            </w:pPr>
            <w:r>
              <w:rPr>
                <w:sz w:val="18"/>
                <w:szCs w:val="18"/>
              </w:rPr>
              <w:t>938 105</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5AC7CF14" w14:textId="65D22D25" w:rsidR="00606897" w:rsidRPr="0035149B" w:rsidRDefault="00606897" w:rsidP="00606897">
            <w:pPr>
              <w:jc w:val="center"/>
              <w:rPr>
                <w:rFonts w:eastAsia="Times New Roman" w:cs="Times New Roman"/>
                <w:sz w:val="18"/>
                <w:szCs w:val="18"/>
                <w:lang w:eastAsia="lv-LV"/>
              </w:rPr>
            </w:pPr>
            <w:r>
              <w:rPr>
                <w:sz w:val="18"/>
                <w:szCs w:val="18"/>
              </w:rPr>
              <w:t>555 462</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3E600CEE" w14:textId="4B1AD5F5" w:rsidR="00606897" w:rsidRPr="0035149B" w:rsidRDefault="00606897" w:rsidP="00606897">
            <w:pPr>
              <w:jc w:val="center"/>
              <w:rPr>
                <w:rFonts w:eastAsia="Times New Roman" w:cs="Times New Roman"/>
                <w:sz w:val="18"/>
                <w:szCs w:val="18"/>
                <w:lang w:eastAsia="lv-LV"/>
              </w:rPr>
            </w:pPr>
            <w:r>
              <w:rPr>
                <w:sz w:val="18"/>
                <w:szCs w:val="18"/>
              </w:rPr>
              <w:t>180 000</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05DCD810" w14:textId="5F8EF8F6"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045989E0" w14:textId="0AF1D0DC" w:rsidR="00606897" w:rsidRPr="0035149B" w:rsidRDefault="00606897" w:rsidP="00606897">
            <w:pPr>
              <w:jc w:val="center"/>
              <w:rPr>
                <w:rFonts w:eastAsia="Times New Roman" w:cs="Times New Roman"/>
                <w:sz w:val="18"/>
                <w:szCs w:val="18"/>
                <w:lang w:eastAsia="lv-LV"/>
              </w:rPr>
            </w:pPr>
            <w:r>
              <w:rPr>
                <w:sz w:val="18"/>
                <w:szCs w:val="18"/>
              </w:rPr>
              <w:t>0</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7A0B025B" w14:textId="79E63314" w:rsidR="00606897" w:rsidRPr="0035149B" w:rsidRDefault="00606897" w:rsidP="00606897">
            <w:pPr>
              <w:jc w:val="center"/>
              <w:rPr>
                <w:rFonts w:eastAsia="Times New Roman" w:cs="Times New Roman"/>
                <w:sz w:val="18"/>
                <w:szCs w:val="18"/>
                <w:lang w:eastAsia="lv-LV"/>
              </w:rPr>
            </w:pPr>
            <w:r>
              <w:rPr>
                <w:sz w:val="18"/>
                <w:szCs w:val="18"/>
              </w:rPr>
              <w:t>2022</w:t>
            </w:r>
          </w:p>
        </w:tc>
      </w:tr>
      <w:tr w:rsidR="00947CA0" w:rsidRPr="0035149B" w14:paraId="64FB2852" w14:textId="77777777" w:rsidTr="0035149B">
        <w:trPr>
          <w:trHeight w:val="43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6E9DE1F"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7. rīcības virziens: noziedzīgi iegūtu līdzekļu legalizācijas izmeklēšana un kriminālvajāšana</w:t>
            </w:r>
          </w:p>
        </w:tc>
      </w:tr>
      <w:tr w:rsidR="00947CA0" w:rsidRPr="0035149B" w14:paraId="5E50BDD3" w14:textId="77777777" w:rsidTr="00606897">
        <w:trPr>
          <w:trHeight w:val="57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1246C28F"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FA2A996" w14:textId="0405942D" w:rsidR="00947CA0" w:rsidRPr="0035149B" w:rsidRDefault="00947CA0" w:rsidP="00947CA0">
            <w:pPr>
              <w:rPr>
                <w:rFonts w:eastAsia="Times New Roman" w:cs="Times New Roman"/>
                <w:b/>
                <w:bCs/>
                <w:sz w:val="18"/>
                <w:szCs w:val="18"/>
                <w:lang w:eastAsia="lv-LV"/>
              </w:rPr>
            </w:pPr>
            <w:r>
              <w:rPr>
                <w:b/>
                <w:bCs/>
                <w:sz w:val="18"/>
                <w:szCs w:val="18"/>
              </w:rPr>
              <w:t xml:space="preserve">7.2. pasākums </w:t>
            </w:r>
            <w:r w:rsidR="00CA3885" w:rsidRPr="00CA3885">
              <w:rPr>
                <w:b/>
                <w:bCs/>
                <w:sz w:val="18"/>
                <w:szCs w:val="18"/>
              </w:rPr>
              <w:t>Nosakot NILL apkarošanu kā prioritāti, stiprināt izmeklēšanas iestāžu un prokuratūras rīcībā esošo darba resursu kapacitāti un spēju pilnvērtīgi apstrādāt un izmeklēt potenciāli pieaugušo pārbaudāmās informācijas apjomu un  kriminālprocesu skaitu NILL jomā</w:t>
            </w:r>
            <w:r>
              <w:rPr>
                <w:b/>
                <w:bCs/>
                <w:sz w:val="18"/>
                <w:szCs w:val="18"/>
              </w:rPr>
              <w:t>.</w:t>
            </w:r>
          </w:p>
        </w:tc>
      </w:tr>
      <w:tr w:rsidR="00606897" w:rsidRPr="0035149B" w14:paraId="3614F4CB" w14:textId="77777777" w:rsidTr="00606897">
        <w:trPr>
          <w:trHeight w:val="58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5A8F3BCA" w14:textId="77777777" w:rsidR="00606897" w:rsidRPr="0035149B" w:rsidRDefault="00606897" w:rsidP="00606897">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3F5A30D" w14:textId="65122DF4" w:rsidR="00606897" w:rsidRPr="0035149B" w:rsidRDefault="00606897" w:rsidP="00606897">
            <w:pPr>
              <w:rPr>
                <w:rFonts w:eastAsia="Times New Roman" w:cs="Times New Roman"/>
                <w:b/>
                <w:bCs/>
                <w:sz w:val="18"/>
                <w:szCs w:val="18"/>
                <w:lang w:eastAsia="lv-LV"/>
              </w:rPr>
            </w:pPr>
            <w:r>
              <w:rPr>
                <w:b/>
                <w:bCs/>
                <w:sz w:val="18"/>
                <w:szCs w:val="18"/>
              </w:rPr>
              <w:t xml:space="preserve">Finanšu ministrija </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417D0E6D" w14:textId="0579DEE8" w:rsidR="00606897" w:rsidRPr="0035149B" w:rsidRDefault="00606897" w:rsidP="00606897">
            <w:pPr>
              <w:rPr>
                <w:rFonts w:eastAsia="Times New Roman" w:cs="Times New Roman"/>
                <w:sz w:val="18"/>
                <w:szCs w:val="18"/>
                <w:lang w:eastAsia="lv-LV"/>
              </w:rPr>
            </w:pPr>
            <w:r>
              <w:rPr>
                <w:sz w:val="18"/>
                <w:szCs w:val="18"/>
              </w:rPr>
              <w:t>33.00.00 "Valsts ieņēmumu un muitas politikas nodrošināšana"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759F4A3B" w14:textId="2F692806"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7AEFA314" w14:textId="70313B6E"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56503AF6" w14:textId="0F770C2C" w:rsidR="00606897" w:rsidRPr="0035149B" w:rsidRDefault="00606897" w:rsidP="00606897">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5EF2E394" w14:textId="2BC1CF37" w:rsidR="00606897" w:rsidRPr="0035149B" w:rsidRDefault="00606897" w:rsidP="00606897">
            <w:pPr>
              <w:jc w:val="center"/>
              <w:rPr>
                <w:rFonts w:eastAsia="Times New Roman" w:cs="Times New Roman"/>
                <w:sz w:val="18"/>
                <w:szCs w:val="18"/>
                <w:lang w:eastAsia="lv-LV"/>
              </w:rPr>
            </w:pPr>
            <w:r>
              <w:rPr>
                <w:sz w:val="18"/>
                <w:szCs w:val="18"/>
              </w:rPr>
              <w:t>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27119A68" w14:textId="45374C51" w:rsidR="00606897" w:rsidRPr="0035149B" w:rsidRDefault="00606897" w:rsidP="00606897">
            <w:pPr>
              <w:jc w:val="center"/>
              <w:rPr>
                <w:rFonts w:eastAsia="Times New Roman" w:cs="Times New Roman"/>
                <w:sz w:val="18"/>
                <w:szCs w:val="18"/>
                <w:lang w:eastAsia="lv-LV"/>
              </w:rPr>
            </w:pPr>
            <w:r>
              <w:rPr>
                <w:sz w:val="18"/>
                <w:szCs w:val="18"/>
              </w:rPr>
              <w:t>414 687</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695D4200" w14:textId="7577A95F" w:rsidR="00606897" w:rsidRPr="0035149B" w:rsidRDefault="00606897" w:rsidP="00606897">
            <w:pPr>
              <w:jc w:val="center"/>
              <w:rPr>
                <w:rFonts w:eastAsia="Times New Roman" w:cs="Times New Roman"/>
                <w:sz w:val="18"/>
                <w:szCs w:val="18"/>
                <w:lang w:eastAsia="lv-LV"/>
              </w:rPr>
            </w:pPr>
            <w:r>
              <w:rPr>
                <w:sz w:val="18"/>
                <w:szCs w:val="18"/>
              </w:rPr>
              <w:t>408 887</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39B9D903" w14:textId="0AA99B93"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29C707DB" w14:textId="27C205D5" w:rsidR="00606897" w:rsidRPr="0035149B" w:rsidRDefault="00606897" w:rsidP="00606897">
            <w:pPr>
              <w:jc w:val="center"/>
              <w:rPr>
                <w:rFonts w:eastAsia="Times New Roman" w:cs="Times New Roman"/>
                <w:sz w:val="18"/>
                <w:szCs w:val="18"/>
                <w:lang w:eastAsia="lv-LV"/>
              </w:rPr>
            </w:pPr>
            <w:r>
              <w:rPr>
                <w:sz w:val="18"/>
                <w:szCs w:val="18"/>
              </w:rPr>
              <w:t>408 887</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53852623" w14:textId="59669564"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38764650" w14:textId="77777777" w:rsidTr="00606897">
        <w:trPr>
          <w:trHeight w:val="585"/>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459D74E6" w14:textId="77777777" w:rsidR="00947CA0" w:rsidRPr="0035149B" w:rsidRDefault="00947CA0" w:rsidP="00947CA0">
            <w:pPr>
              <w:rPr>
                <w:rFonts w:eastAsia="Times New Roman" w:cs="Times New Roman"/>
                <w:b/>
                <w:bCs/>
                <w:color w:val="FF0000"/>
                <w:sz w:val="18"/>
                <w:szCs w:val="18"/>
                <w:lang w:eastAsia="lv-LV"/>
              </w:rPr>
            </w:pP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5C5365DC" w14:textId="33094A0C" w:rsidR="00947CA0" w:rsidRDefault="00947CA0" w:rsidP="00947CA0">
            <w:pPr>
              <w:rPr>
                <w:b/>
                <w:bCs/>
                <w:sz w:val="18"/>
                <w:szCs w:val="18"/>
              </w:rPr>
            </w:pPr>
            <w:r>
              <w:rPr>
                <w:b/>
                <w:bCs/>
                <w:sz w:val="18"/>
                <w:szCs w:val="18"/>
              </w:rPr>
              <w:t xml:space="preserve">7.2. pasākums </w:t>
            </w:r>
            <w:r w:rsidR="00CA3885" w:rsidRPr="00CA3885">
              <w:rPr>
                <w:b/>
                <w:bCs/>
                <w:sz w:val="18"/>
                <w:szCs w:val="18"/>
              </w:rPr>
              <w:t>Nosakot NILL apkarošanu kā prioritāti, stiprināt izmeklēšanas iestāžu un prokuratūras rīcībā esošo darba resursu kapacitāti un spēju pilnvērtīgi apstrādāt un izmeklēt potenciāli pieaugušo pārbaudāmās informācijas apjomu un  kriminālprocesu skaitu NILL jomā</w:t>
            </w:r>
            <w:r>
              <w:rPr>
                <w:b/>
                <w:bCs/>
                <w:sz w:val="18"/>
                <w:szCs w:val="18"/>
              </w:rPr>
              <w:t>.</w:t>
            </w:r>
          </w:p>
          <w:p w14:paraId="4106AF0C" w14:textId="2218F204" w:rsidR="00947CA0" w:rsidRPr="0035149B" w:rsidRDefault="00947CA0" w:rsidP="00947CA0">
            <w:pPr>
              <w:rPr>
                <w:rFonts w:eastAsia="Times New Roman" w:cs="Times New Roman"/>
                <w:sz w:val="18"/>
                <w:szCs w:val="18"/>
                <w:lang w:eastAsia="lv-LV"/>
              </w:rPr>
            </w:pPr>
            <w:r>
              <w:rPr>
                <w:b/>
                <w:bCs/>
                <w:sz w:val="18"/>
                <w:szCs w:val="18"/>
              </w:rPr>
              <w:t xml:space="preserve">7.2. (3) </w:t>
            </w:r>
            <w:r w:rsidR="001F11C4" w:rsidRPr="001F11C4">
              <w:rPr>
                <w:b/>
                <w:bCs/>
                <w:sz w:val="18"/>
                <w:szCs w:val="18"/>
              </w:rPr>
              <w:t>Piešķirts finansējums jaunu amata vietu izveidei VP Galvenās kriminālpolicijas pārvaldes Ekonomisko noziegumu apkarošanas pārvaldē un Kriminālizlūkošanas vadības pārvaldē</w:t>
            </w:r>
            <w:r>
              <w:rPr>
                <w:b/>
                <w:bCs/>
                <w:sz w:val="18"/>
                <w:szCs w:val="18"/>
              </w:rPr>
              <w:t>.</w:t>
            </w:r>
          </w:p>
        </w:tc>
      </w:tr>
      <w:tr w:rsidR="00606897" w:rsidRPr="0035149B" w14:paraId="55E9EA51" w14:textId="77777777" w:rsidTr="00606897">
        <w:trPr>
          <w:trHeight w:val="585"/>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7BED0491" w14:textId="77777777" w:rsidR="00606897" w:rsidRPr="0035149B" w:rsidRDefault="00606897" w:rsidP="00606897">
            <w:pPr>
              <w:rPr>
                <w:rFonts w:eastAsia="Times New Roman" w:cs="Times New Roman"/>
                <w:b/>
                <w:bCs/>
                <w:color w:val="FF0000"/>
                <w:sz w:val="18"/>
                <w:szCs w:val="18"/>
                <w:lang w:eastAsia="lv-LV"/>
              </w:rPr>
            </w:pP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ED538D8" w14:textId="320959D9"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tcPr>
          <w:p w14:paraId="64F28E35" w14:textId="2BC89DDE" w:rsidR="00606897" w:rsidRPr="0035149B" w:rsidRDefault="00606897" w:rsidP="00606897">
            <w:pPr>
              <w:rPr>
                <w:rFonts w:eastAsia="Times New Roman" w:cs="Times New Roman"/>
                <w:sz w:val="18"/>
                <w:szCs w:val="18"/>
                <w:lang w:eastAsia="lv-LV"/>
              </w:rPr>
            </w:pPr>
            <w:r>
              <w:rPr>
                <w:sz w:val="18"/>
                <w:szCs w:val="18"/>
              </w:rPr>
              <w:t>02.03.00 “Vienotās sakaru un informācijas sistēmas uzturēšana un vadība”</w:t>
            </w:r>
          </w:p>
        </w:tc>
        <w:tc>
          <w:tcPr>
            <w:tcW w:w="826" w:type="dxa"/>
            <w:tcBorders>
              <w:top w:val="single" w:sz="4" w:space="0" w:color="BFBFBF"/>
              <w:left w:val="nil"/>
              <w:bottom w:val="single" w:sz="4" w:space="0" w:color="BFBFBF"/>
              <w:right w:val="single" w:sz="4" w:space="0" w:color="BFBFBF"/>
            </w:tcBorders>
            <w:shd w:val="clear" w:color="000000" w:fill="FFFFFF"/>
            <w:vAlign w:val="center"/>
          </w:tcPr>
          <w:p w14:paraId="48467BFE" w14:textId="4A5D24CA"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tcPr>
          <w:p w14:paraId="530F98F6" w14:textId="72593CBC"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tcPr>
          <w:p w14:paraId="186BFF78" w14:textId="647BF2F4" w:rsidR="00606897" w:rsidRPr="0035149B" w:rsidRDefault="00606897" w:rsidP="00606897">
            <w:pP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tcPr>
          <w:p w14:paraId="023459DE" w14:textId="0E9CBD0E" w:rsidR="00606897" w:rsidRPr="0035149B" w:rsidRDefault="00606897" w:rsidP="00606897">
            <w:pPr>
              <w:jc w:val="center"/>
              <w:rPr>
                <w:rFonts w:eastAsia="Times New Roman" w:cs="Times New Roman"/>
                <w:sz w:val="18"/>
                <w:szCs w:val="18"/>
                <w:lang w:eastAsia="lv-LV"/>
              </w:rPr>
            </w:pPr>
            <w:r>
              <w:rPr>
                <w:sz w:val="18"/>
                <w:szCs w:val="18"/>
              </w:rPr>
              <w:t> </w:t>
            </w:r>
          </w:p>
        </w:tc>
        <w:tc>
          <w:tcPr>
            <w:tcW w:w="986" w:type="dxa"/>
            <w:tcBorders>
              <w:top w:val="single" w:sz="4" w:space="0" w:color="BFBFBF"/>
              <w:left w:val="nil"/>
              <w:bottom w:val="single" w:sz="4" w:space="0" w:color="BFBFBF"/>
              <w:right w:val="single" w:sz="4" w:space="0" w:color="BFBFBF"/>
            </w:tcBorders>
            <w:shd w:val="clear" w:color="000000" w:fill="FFFFFF"/>
            <w:vAlign w:val="center"/>
          </w:tcPr>
          <w:p w14:paraId="2D6840C3" w14:textId="022461D2" w:rsidR="00606897" w:rsidRPr="0035149B" w:rsidRDefault="00606897" w:rsidP="00606897">
            <w:pPr>
              <w:jc w:val="center"/>
              <w:rPr>
                <w:rFonts w:eastAsia="Times New Roman" w:cs="Times New Roman"/>
                <w:sz w:val="18"/>
                <w:szCs w:val="18"/>
                <w:lang w:eastAsia="lv-LV"/>
              </w:rPr>
            </w:pPr>
            <w:r>
              <w:rPr>
                <w:sz w:val="18"/>
                <w:szCs w:val="18"/>
              </w:rPr>
              <w:t>28 520</w:t>
            </w:r>
          </w:p>
        </w:tc>
        <w:tc>
          <w:tcPr>
            <w:tcW w:w="1052" w:type="dxa"/>
            <w:tcBorders>
              <w:top w:val="single" w:sz="4" w:space="0" w:color="BFBFBF"/>
              <w:left w:val="nil"/>
              <w:bottom w:val="single" w:sz="4" w:space="0" w:color="BFBFBF"/>
              <w:right w:val="single" w:sz="4" w:space="0" w:color="BFBFBF"/>
            </w:tcBorders>
            <w:shd w:val="clear" w:color="000000" w:fill="FFFFFF"/>
            <w:vAlign w:val="center"/>
          </w:tcPr>
          <w:p w14:paraId="13894BA4" w14:textId="72D963FA" w:rsidR="00606897" w:rsidRPr="0035149B" w:rsidRDefault="00606897" w:rsidP="00606897">
            <w:pPr>
              <w:jc w:val="center"/>
              <w:rPr>
                <w:rFonts w:eastAsia="Times New Roman" w:cs="Times New Roman"/>
                <w:sz w:val="18"/>
                <w:szCs w:val="18"/>
                <w:lang w:eastAsia="lv-LV"/>
              </w:rPr>
            </w:pPr>
            <w:r>
              <w:rPr>
                <w:sz w:val="18"/>
                <w:szCs w:val="18"/>
              </w:rPr>
              <w:t> </w:t>
            </w:r>
          </w:p>
        </w:tc>
        <w:tc>
          <w:tcPr>
            <w:tcW w:w="1186" w:type="dxa"/>
            <w:tcBorders>
              <w:top w:val="single" w:sz="4" w:space="0" w:color="BFBFBF"/>
              <w:left w:val="nil"/>
              <w:bottom w:val="single" w:sz="4" w:space="0" w:color="BFBFBF"/>
              <w:right w:val="single" w:sz="4" w:space="0" w:color="BFBFBF"/>
            </w:tcBorders>
            <w:shd w:val="clear" w:color="000000" w:fill="FFFFFF"/>
            <w:vAlign w:val="center"/>
          </w:tcPr>
          <w:p w14:paraId="1527920C" w14:textId="48C96D56" w:rsidR="00606897" w:rsidRPr="0035149B" w:rsidRDefault="00606897" w:rsidP="00606897">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tcPr>
          <w:p w14:paraId="2A1A8411" w14:textId="727450FC" w:rsidR="00606897" w:rsidRPr="0035149B" w:rsidRDefault="00606897" w:rsidP="00606897">
            <w:pPr>
              <w:jc w:val="center"/>
              <w:rPr>
                <w:rFonts w:eastAsia="Times New Roman" w:cs="Times New Roman"/>
                <w:sz w:val="18"/>
                <w:szCs w:val="18"/>
                <w:lang w:eastAsia="lv-LV"/>
              </w:rPr>
            </w:pPr>
            <w:r>
              <w:rPr>
                <w:sz w:val="18"/>
                <w:szCs w:val="18"/>
              </w:rPr>
              <w:t>0</w:t>
            </w:r>
          </w:p>
        </w:tc>
        <w:tc>
          <w:tcPr>
            <w:tcW w:w="1296" w:type="dxa"/>
            <w:tcBorders>
              <w:top w:val="single" w:sz="4" w:space="0" w:color="BFBFBF"/>
              <w:left w:val="nil"/>
              <w:bottom w:val="single" w:sz="4" w:space="0" w:color="BFBFBF"/>
              <w:right w:val="single" w:sz="4" w:space="0" w:color="BFBFBF"/>
            </w:tcBorders>
            <w:shd w:val="clear" w:color="000000" w:fill="FFFFFF"/>
            <w:vAlign w:val="center"/>
          </w:tcPr>
          <w:p w14:paraId="5649525F" w14:textId="7353D518" w:rsidR="00606897" w:rsidRPr="0035149B" w:rsidRDefault="00606897" w:rsidP="00606897">
            <w:pPr>
              <w:jc w:val="center"/>
              <w:rPr>
                <w:rFonts w:eastAsia="Times New Roman" w:cs="Times New Roman"/>
                <w:sz w:val="18"/>
                <w:szCs w:val="18"/>
                <w:lang w:eastAsia="lv-LV"/>
              </w:rPr>
            </w:pPr>
            <w:r>
              <w:rPr>
                <w:sz w:val="18"/>
                <w:szCs w:val="18"/>
              </w:rPr>
              <w:t>2021</w:t>
            </w:r>
          </w:p>
        </w:tc>
      </w:tr>
      <w:tr w:rsidR="00606897" w:rsidRPr="0035149B" w14:paraId="54D114C7" w14:textId="77777777" w:rsidTr="00606897">
        <w:trPr>
          <w:trHeight w:val="585"/>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70B6AE42" w14:textId="77777777" w:rsidR="00606897" w:rsidRPr="0035149B" w:rsidRDefault="00606897" w:rsidP="00606897">
            <w:pPr>
              <w:rPr>
                <w:rFonts w:eastAsia="Times New Roman" w:cs="Times New Roman"/>
                <w:b/>
                <w:bCs/>
                <w:color w:val="FF0000"/>
                <w:sz w:val="18"/>
                <w:szCs w:val="18"/>
                <w:lang w:eastAsia="lv-LV"/>
              </w:rPr>
            </w:pPr>
          </w:p>
        </w:tc>
        <w:tc>
          <w:tcPr>
            <w:tcW w:w="1667" w:type="dxa"/>
            <w:tcBorders>
              <w:top w:val="nil"/>
              <w:left w:val="single" w:sz="4" w:space="0" w:color="BFBFBF"/>
              <w:bottom w:val="single" w:sz="4" w:space="0" w:color="BFBFBF"/>
              <w:right w:val="single" w:sz="4" w:space="0" w:color="BFBFBF"/>
            </w:tcBorders>
            <w:shd w:val="clear" w:color="000000" w:fill="FFFFFF"/>
            <w:vAlign w:val="center"/>
          </w:tcPr>
          <w:p w14:paraId="2B47FB3C" w14:textId="7222FC2B" w:rsidR="00606897" w:rsidRPr="0035149B" w:rsidRDefault="00606897" w:rsidP="00606897">
            <w:pPr>
              <w:rPr>
                <w:rFonts w:eastAsia="Times New Roman" w:cs="Times New Roman"/>
                <w:b/>
                <w:bCs/>
                <w:sz w:val="18"/>
                <w:szCs w:val="18"/>
                <w:lang w:eastAsia="lv-LV"/>
              </w:rPr>
            </w:pPr>
            <w:r>
              <w:rPr>
                <w:b/>
                <w:bCs/>
                <w:sz w:val="18"/>
                <w:szCs w:val="18"/>
              </w:rPr>
              <w:t>Iekšlietu ministrija</w:t>
            </w:r>
          </w:p>
        </w:tc>
        <w:tc>
          <w:tcPr>
            <w:tcW w:w="2211" w:type="dxa"/>
            <w:tcBorders>
              <w:top w:val="nil"/>
              <w:left w:val="nil"/>
              <w:bottom w:val="single" w:sz="4" w:space="0" w:color="BFBFBF"/>
              <w:right w:val="single" w:sz="4" w:space="0" w:color="BFBFBF"/>
            </w:tcBorders>
            <w:shd w:val="clear" w:color="000000" w:fill="FFFFFF"/>
            <w:vAlign w:val="center"/>
          </w:tcPr>
          <w:p w14:paraId="037DFDF3" w14:textId="4330E09A" w:rsidR="00606897" w:rsidRPr="0035149B" w:rsidRDefault="00606897" w:rsidP="00606897">
            <w:pPr>
              <w:rPr>
                <w:rFonts w:eastAsia="Times New Roman" w:cs="Times New Roman"/>
                <w:sz w:val="18"/>
                <w:szCs w:val="18"/>
                <w:lang w:eastAsia="lv-LV"/>
              </w:rPr>
            </w:pPr>
            <w:r>
              <w:rPr>
                <w:sz w:val="18"/>
                <w:szCs w:val="18"/>
              </w:rPr>
              <w:t xml:space="preserve">06.01.00 "Valsts policija" </w:t>
            </w:r>
          </w:p>
        </w:tc>
        <w:tc>
          <w:tcPr>
            <w:tcW w:w="826" w:type="dxa"/>
            <w:tcBorders>
              <w:top w:val="nil"/>
              <w:left w:val="nil"/>
              <w:bottom w:val="single" w:sz="4" w:space="0" w:color="BFBFBF"/>
              <w:right w:val="single" w:sz="4" w:space="0" w:color="BFBFBF"/>
            </w:tcBorders>
            <w:shd w:val="clear" w:color="000000" w:fill="FFFFFF"/>
            <w:vAlign w:val="center"/>
          </w:tcPr>
          <w:p w14:paraId="1383FBE4" w14:textId="45254BD6"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887" w:type="dxa"/>
            <w:tcBorders>
              <w:top w:val="nil"/>
              <w:left w:val="nil"/>
              <w:bottom w:val="single" w:sz="4" w:space="0" w:color="BFBFBF"/>
              <w:right w:val="single" w:sz="4" w:space="0" w:color="BFBFBF"/>
            </w:tcBorders>
            <w:shd w:val="clear" w:color="000000" w:fill="FFFFFF"/>
            <w:vAlign w:val="center"/>
          </w:tcPr>
          <w:p w14:paraId="49631E8A" w14:textId="42DB2D0E" w:rsidR="00606897" w:rsidRPr="0035149B" w:rsidRDefault="00606897" w:rsidP="00606897">
            <w:pPr>
              <w:jc w:val="right"/>
              <w:rPr>
                <w:rFonts w:eastAsia="Times New Roman" w:cs="Times New Roman"/>
                <w:color w:val="FF0000"/>
                <w:sz w:val="18"/>
                <w:szCs w:val="18"/>
                <w:lang w:eastAsia="lv-LV"/>
              </w:rPr>
            </w:pPr>
            <w:r>
              <w:rPr>
                <w:sz w:val="18"/>
                <w:szCs w:val="18"/>
              </w:rPr>
              <w:t> </w:t>
            </w:r>
          </w:p>
        </w:tc>
        <w:tc>
          <w:tcPr>
            <w:tcW w:w="947" w:type="dxa"/>
            <w:tcBorders>
              <w:top w:val="nil"/>
              <w:left w:val="nil"/>
              <w:bottom w:val="single" w:sz="4" w:space="0" w:color="BFBFBF"/>
              <w:right w:val="single" w:sz="4" w:space="0" w:color="BFBFBF"/>
            </w:tcBorders>
            <w:shd w:val="clear" w:color="auto" w:fill="auto"/>
            <w:vAlign w:val="center"/>
          </w:tcPr>
          <w:p w14:paraId="7A975D42" w14:textId="6D5C4388" w:rsidR="00606897" w:rsidRPr="0035149B" w:rsidRDefault="00606897" w:rsidP="00606897">
            <w:pPr>
              <w:rPr>
                <w:rFonts w:eastAsia="Times New Roman" w:cs="Times New Roman"/>
                <w:color w:val="FF0000"/>
                <w:sz w:val="18"/>
                <w:szCs w:val="18"/>
                <w:lang w:eastAsia="lv-LV"/>
              </w:rPr>
            </w:pPr>
            <w:r>
              <w:rPr>
                <w:sz w:val="18"/>
                <w:szCs w:val="18"/>
              </w:rPr>
              <w:t> </w:t>
            </w:r>
          </w:p>
        </w:tc>
        <w:tc>
          <w:tcPr>
            <w:tcW w:w="1111" w:type="dxa"/>
            <w:tcBorders>
              <w:top w:val="nil"/>
              <w:left w:val="nil"/>
              <w:bottom w:val="single" w:sz="4" w:space="0" w:color="BFBFBF"/>
              <w:right w:val="single" w:sz="4" w:space="0" w:color="BFBFBF"/>
            </w:tcBorders>
            <w:shd w:val="clear" w:color="000000" w:fill="FFFFFF"/>
            <w:vAlign w:val="center"/>
          </w:tcPr>
          <w:p w14:paraId="1BE1B7F9" w14:textId="7B42314D" w:rsidR="00606897" w:rsidRPr="0035149B" w:rsidRDefault="00606897" w:rsidP="00606897">
            <w:pPr>
              <w:jc w:val="center"/>
              <w:rPr>
                <w:rFonts w:eastAsia="Times New Roman" w:cs="Times New Roman"/>
                <w:sz w:val="18"/>
                <w:szCs w:val="18"/>
                <w:lang w:eastAsia="lv-LV"/>
              </w:rPr>
            </w:pPr>
            <w:r>
              <w:rPr>
                <w:sz w:val="18"/>
                <w:szCs w:val="18"/>
              </w:rPr>
              <w:t> </w:t>
            </w:r>
          </w:p>
        </w:tc>
        <w:tc>
          <w:tcPr>
            <w:tcW w:w="986" w:type="dxa"/>
            <w:tcBorders>
              <w:top w:val="nil"/>
              <w:left w:val="nil"/>
              <w:bottom w:val="single" w:sz="4" w:space="0" w:color="BFBFBF"/>
              <w:right w:val="single" w:sz="4" w:space="0" w:color="BFBFBF"/>
            </w:tcBorders>
            <w:shd w:val="clear" w:color="000000" w:fill="FFFFFF"/>
            <w:vAlign w:val="center"/>
          </w:tcPr>
          <w:p w14:paraId="3D5B7CD6" w14:textId="5F5ECF5A" w:rsidR="00606897" w:rsidRPr="0035149B" w:rsidRDefault="00606897" w:rsidP="00606897">
            <w:pPr>
              <w:jc w:val="center"/>
              <w:rPr>
                <w:rFonts w:eastAsia="Times New Roman" w:cs="Times New Roman"/>
                <w:sz w:val="18"/>
                <w:szCs w:val="18"/>
                <w:lang w:eastAsia="lv-LV"/>
              </w:rPr>
            </w:pPr>
            <w:r>
              <w:rPr>
                <w:sz w:val="18"/>
                <w:szCs w:val="18"/>
              </w:rPr>
              <w:t>961 192</w:t>
            </w:r>
          </w:p>
        </w:tc>
        <w:tc>
          <w:tcPr>
            <w:tcW w:w="1052" w:type="dxa"/>
            <w:tcBorders>
              <w:top w:val="nil"/>
              <w:left w:val="nil"/>
              <w:bottom w:val="single" w:sz="4" w:space="0" w:color="BFBFBF"/>
              <w:right w:val="single" w:sz="4" w:space="0" w:color="BFBFBF"/>
            </w:tcBorders>
            <w:shd w:val="clear" w:color="000000" w:fill="FFFFFF"/>
            <w:vAlign w:val="center"/>
          </w:tcPr>
          <w:p w14:paraId="79D0EC1D" w14:textId="53458842" w:rsidR="00606897" w:rsidRPr="0035149B" w:rsidRDefault="00606897" w:rsidP="00606897">
            <w:pPr>
              <w:jc w:val="center"/>
              <w:rPr>
                <w:rFonts w:eastAsia="Times New Roman" w:cs="Times New Roman"/>
                <w:sz w:val="18"/>
                <w:szCs w:val="18"/>
                <w:lang w:eastAsia="lv-LV"/>
              </w:rPr>
            </w:pPr>
            <w:r>
              <w:rPr>
                <w:sz w:val="18"/>
                <w:szCs w:val="18"/>
              </w:rPr>
              <w:t>934 696</w:t>
            </w:r>
          </w:p>
        </w:tc>
        <w:tc>
          <w:tcPr>
            <w:tcW w:w="1186" w:type="dxa"/>
            <w:tcBorders>
              <w:top w:val="nil"/>
              <w:left w:val="nil"/>
              <w:bottom w:val="single" w:sz="4" w:space="0" w:color="BFBFBF"/>
              <w:right w:val="single" w:sz="4" w:space="0" w:color="BFBFBF"/>
            </w:tcBorders>
            <w:shd w:val="clear" w:color="000000" w:fill="FFFFFF"/>
            <w:vAlign w:val="center"/>
          </w:tcPr>
          <w:p w14:paraId="5EFF1496" w14:textId="4C436EBF" w:rsidR="00606897" w:rsidRPr="0035149B" w:rsidRDefault="00606897" w:rsidP="00606897">
            <w:pPr>
              <w:jc w:val="center"/>
              <w:rPr>
                <w:rFonts w:eastAsia="Times New Roman" w:cs="Times New Roman"/>
                <w:sz w:val="18"/>
                <w:szCs w:val="18"/>
                <w:lang w:eastAsia="lv-LV"/>
              </w:rPr>
            </w:pPr>
            <w:r>
              <w:rPr>
                <w:sz w:val="18"/>
                <w:szCs w:val="18"/>
              </w:rPr>
              <w:t> </w:t>
            </w:r>
          </w:p>
        </w:tc>
        <w:tc>
          <w:tcPr>
            <w:tcW w:w="999" w:type="dxa"/>
            <w:tcBorders>
              <w:top w:val="nil"/>
              <w:left w:val="nil"/>
              <w:bottom w:val="single" w:sz="4" w:space="0" w:color="BFBFBF"/>
              <w:right w:val="single" w:sz="4" w:space="0" w:color="BFBFBF"/>
            </w:tcBorders>
            <w:shd w:val="clear" w:color="000000" w:fill="FFFFFF"/>
            <w:vAlign w:val="center"/>
          </w:tcPr>
          <w:p w14:paraId="7AC5A8AA" w14:textId="2D8940A4" w:rsidR="00606897" w:rsidRPr="0035149B" w:rsidRDefault="00606897" w:rsidP="00606897">
            <w:pPr>
              <w:jc w:val="center"/>
              <w:rPr>
                <w:rFonts w:eastAsia="Times New Roman" w:cs="Times New Roman"/>
                <w:sz w:val="18"/>
                <w:szCs w:val="18"/>
                <w:lang w:eastAsia="lv-LV"/>
              </w:rPr>
            </w:pPr>
            <w:r>
              <w:rPr>
                <w:sz w:val="18"/>
                <w:szCs w:val="18"/>
              </w:rPr>
              <w:t>934 696</w:t>
            </w:r>
          </w:p>
        </w:tc>
        <w:tc>
          <w:tcPr>
            <w:tcW w:w="1296" w:type="dxa"/>
            <w:tcBorders>
              <w:top w:val="nil"/>
              <w:left w:val="nil"/>
              <w:bottom w:val="single" w:sz="4" w:space="0" w:color="BFBFBF"/>
              <w:right w:val="single" w:sz="4" w:space="0" w:color="BFBFBF"/>
            </w:tcBorders>
            <w:shd w:val="clear" w:color="000000" w:fill="FFFFFF"/>
            <w:vAlign w:val="center"/>
          </w:tcPr>
          <w:p w14:paraId="0BE46A5C" w14:textId="0581A64E" w:rsidR="00606897" w:rsidRPr="0035149B" w:rsidRDefault="00606897" w:rsidP="00606897">
            <w:pPr>
              <w:jc w:val="center"/>
              <w:rPr>
                <w:rFonts w:eastAsia="Times New Roman" w:cs="Times New Roman"/>
                <w:sz w:val="18"/>
                <w:szCs w:val="18"/>
                <w:lang w:eastAsia="lv-LV"/>
              </w:rPr>
            </w:pPr>
            <w:r>
              <w:rPr>
                <w:sz w:val="18"/>
                <w:szCs w:val="18"/>
              </w:rPr>
              <w:t>x</w:t>
            </w:r>
          </w:p>
        </w:tc>
      </w:tr>
      <w:tr w:rsidR="00947CA0" w:rsidRPr="0035149B" w14:paraId="5CA8FF97" w14:textId="77777777" w:rsidTr="0035149B">
        <w:trPr>
          <w:trHeight w:val="40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CFFCEAF"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lastRenderedPageBreak/>
              <w:t>8. rīcības virziens: konfiskācija</w:t>
            </w:r>
          </w:p>
        </w:tc>
      </w:tr>
      <w:tr w:rsidR="00947CA0" w:rsidRPr="0035149B" w14:paraId="466F56B0" w14:textId="77777777" w:rsidTr="00606897">
        <w:trPr>
          <w:trHeight w:val="37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5A6232E6"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44782BE" w14:textId="73616945" w:rsidR="00947CA0" w:rsidRPr="0035149B" w:rsidRDefault="00947CA0" w:rsidP="00947CA0">
            <w:pPr>
              <w:rPr>
                <w:rFonts w:eastAsia="Times New Roman" w:cs="Times New Roman"/>
                <w:b/>
                <w:bCs/>
                <w:sz w:val="18"/>
                <w:szCs w:val="18"/>
                <w:lang w:eastAsia="lv-LV"/>
              </w:rPr>
            </w:pPr>
            <w:r>
              <w:rPr>
                <w:b/>
                <w:bCs/>
                <w:sz w:val="18"/>
                <w:szCs w:val="18"/>
              </w:rPr>
              <w:t xml:space="preserve">8.1. pasākums </w:t>
            </w:r>
            <w:r w:rsidR="001F11C4" w:rsidRPr="001F11C4">
              <w:rPr>
                <w:b/>
                <w:bCs/>
                <w:sz w:val="18"/>
                <w:szCs w:val="18"/>
              </w:rPr>
              <w:t>Skaidras naudas, t.sk., kas saistīta ar NILLTPF, fiziskas pārvietošanas pāri robežām kontrole</w:t>
            </w:r>
            <w:r>
              <w:rPr>
                <w:b/>
                <w:bCs/>
                <w:sz w:val="18"/>
                <w:szCs w:val="18"/>
              </w:rPr>
              <w:t>.</w:t>
            </w:r>
          </w:p>
        </w:tc>
      </w:tr>
      <w:tr w:rsidR="00674465" w:rsidRPr="0035149B" w14:paraId="448D72C1" w14:textId="77777777" w:rsidTr="00606897">
        <w:trPr>
          <w:trHeight w:val="58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385D8976" w14:textId="77777777" w:rsidR="00674465" w:rsidRPr="0035149B" w:rsidRDefault="00674465" w:rsidP="00674465">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76F4071" w14:textId="7B10736D" w:rsidR="00674465" w:rsidRPr="0035149B" w:rsidRDefault="00674465" w:rsidP="00674465">
            <w:pPr>
              <w:rPr>
                <w:rFonts w:eastAsia="Times New Roman" w:cs="Times New Roman"/>
                <w:b/>
                <w:bCs/>
                <w:sz w:val="18"/>
                <w:szCs w:val="18"/>
                <w:lang w:eastAsia="lv-LV"/>
              </w:rPr>
            </w:pPr>
            <w:r>
              <w:rPr>
                <w:b/>
                <w:bCs/>
                <w:sz w:val="18"/>
                <w:szCs w:val="18"/>
              </w:rPr>
              <w:t xml:space="preserve">Finanšu ministrija </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02082152" w14:textId="41290413" w:rsidR="00674465" w:rsidRPr="0035149B" w:rsidRDefault="00674465" w:rsidP="00674465">
            <w:pPr>
              <w:rPr>
                <w:rFonts w:eastAsia="Times New Roman" w:cs="Times New Roman"/>
                <w:sz w:val="18"/>
                <w:szCs w:val="18"/>
                <w:lang w:eastAsia="lv-LV"/>
              </w:rPr>
            </w:pPr>
            <w:r>
              <w:rPr>
                <w:sz w:val="18"/>
                <w:szCs w:val="18"/>
              </w:rPr>
              <w:t>33.00.00 "Valsts ieņēmumu un muitas politikas nodrošināšana"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0CF2FA6B" w14:textId="5D8E20E5" w:rsidR="00674465" w:rsidRPr="0035149B" w:rsidRDefault="00674465" w:rsidP="00674465">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607D941E" w14:textId="3090E2C9" w:rsidR="00674465" w:rsidRPr="0035149B" w:rsidRDefault="00674465" w:rsidP="00674465">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4CA82B0A" w14:textId="41CAE7DB" w:rsidR="00674465" w:rsidRPr="0035149B" w:rsidRDefault="00674465" w:rsidP="00674465">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6A87FB9E" w14:textId="4158FA95" w:rsidR="00674465" w:rsidRPr="0035149B" w:rsidRDefault="00674465" w:rsidP="00674465">
            <w:pPr>
              <w:jc w:val="center"/>
              <w:rPr>
                <w:rFonts w:eastAsia="Times New Roman" w:cs="Times New Roman"/>
                <w:sz w:val="18"/>
                <w:szCs w:val="18"/>
                <w:lang w:eastAsia="lv-LV"/>
              </w:rPr>
            </w:pPr>
            <w:r>
              <w:rPr>
                <w:sz w:val="18"/>
                <w:szCs w:val="18"/>
              </w:rPr>
              <w:t>638 148</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7DCCC632" w14:textId="0D91FD80" w:rsidR="00674465" w:rsidRPr="0035149B" w:rsidRDefault="00674465" w:rsidP="00674465">
            <w:pPr>
              <w:jc w:val="center"/>
              <w:rPr>
                <w:rFonts w:eastAsia="Times New Roman" w:cs="Times New Roman"/>
                <w:sz w:val="18"/>
                <w:szCs w:val="18"/>
                <w:lang w:eastAsia="lv-LV"/>
              </w:rPr>
            </w:pPr>
            <w:r>
              <w:rPr>
                <w:sz w:val="18"/>
                <w:szCs w:val="18"/>
              </w:rPr>
              <w:t>316 897</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33DC5849" w14:textId="34B6C309" w:rsidR="00674465" w:rsidRPr="0035149B" w:rsidRDefault="00674465" w:rsidP="00674465">
            <w:pPr>
              <w:jc w:val="center"/>
              <w:rPr>
                <w:rFonts w:eastAsia="Times New Roman" w:cs="Times New Roman"/>
                <w:sz w:val="18"/>
                <w:szCs w:val="18"/>
                <w:lang w:eastAsia="lv-LV"/>
              </w:rPr>
            </w:pPr>
            <w:r>
              <w:rPr>
                <w:sz w:val="18"/>
                <w:szCs w:val="18"/>
              </w:rPr>
              <w:t>316 897</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2733C68E" w14:textId="6264F833" w:rsidR="00674465" w:rsidRPr="0035149B" w:rsidRDefault="00674465" w:rsidP="00674465">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08550DDB" w14:textId="5692A4C0" w:rsidR="00674465" w:rsidRPr="0035149B" w:rsidRDefault="00674465" w:rsidP="00674465">
            <w:pPr>
              <w:jc w:val="center"/>
              <w:rPr>
                <w:rFonts w:eastAsia="Times New Roman" w:cs="Times New Roman"/>
                <w:sz w:val="18"/>
                <w:szCs w:val="18"/>
                <w:lang w:eastAsia="lv-LV"/>
              </w:rPr>
            </w:pPr>
            <w:r>
              <w:rPr>
                <w:sz w:val="18"/>
                <w:szCs w:val="18"/>
              </w:rPr>
              <w:t>316 897</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42013CFC" w14:textId="52C74CFD" w:rsidR="00674465" w:rsidRPr="0035149B" w:rsidRDefault="00674465" w:rsidP="00674465">
            <w:pPr>
              <w:jc w:val="center"/>
              <w:rPr>
                <w:rFonts w:eastAsia="Times New Roman" w:cs="Times New Roman"/>
                <w:sz w:val="18"/>
                <w:szCs w:val="18"/>
                <w:lang w:eastAsia="lv-LV"/>
              </w:rPr>
            </w:pPr>
            <w:r>
              <w:rPr>
                <w:sz w:val="18"/>
                <w:szCs w:val="18"/>
              </w:rPr>
              <w:t>x</w:t>
            </w:r>
          </w:p>
        </w:tc>
      </w:tr>
      <w:tr w:rsidR="00947CA0" w:rsidRPr="0035149B" w14:paraId="1D36313B" w14:textId="77777777" w:rsidTr="00606897">
        <w:trPr>
          <w:trHeight w:val="585"/>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49F2BC08" w14:textId="77777777" w:rsidR="00947CA0" w:rsidRPr="0035149B" w:rsidRDefault="00947CA0" w:rsidP="00947CA0">
            <w:pPr>
              <w:rPr>
                <w:rFonts w:eastAsia="Times New Roman" w:cs="Times New Roman"/>
                <w:b/>
                <w:bCs/>
                <w:color w:val="FF0000"/>
                <w:sz w:val="18"/>
                <w:szCs w:val="18"/>
                <w:lang w:eastAsia="lv-LV"/>
              </w:rPr>
            </w:pP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tcPr>
          <w:p w14:paraId="6DB6E9DA" w14:textId="42E16DB0" w:rsidR="00947CA0" w:rsidRPr="0035149B" w:rsidRDefault="00947CA0" w:rsidP="00947CA0">
            <w:pPr>
              <w:rPr>
                <w:rFonts w:eastAsia="Times New Roman" w:cs="Times New Roman"/>
                <w:sz w:val="18"/>
                <w:szCs w:val="18"/>
                <w:lang w:eastAsia="lv-LV"/>
              </w:rPr>
            </w:pPr>
            <w:r>
              <w:rPr>
                <w:b/>
                <w:bCs/>
                <w:sz w:val="18"/>
                <w:szCs w:val="18"/>
              </w:rPr>
              <w:t xml:space="preserve">8.5. pasākums </w:t>
            </w:r>
            <w:r w:rsidR="001F11C4" w:rsidRPr="001F11C4">
              <w:rPr>
                <w:b/>
                <w:bCs/>
                <w:sz w:val="18"/>
                <w:szCs w:val="18"/>
              </w:rPr>
              <w:t>Ieviests mehānisms mantas  konfiskācijai ārpus kriminālprocesa un nodrošināta tā piemērošana</w:t>
            </w:r>
            <w:r>
              <w:rPr>
                <w:b/>
                <w:bCs/>
                <w:sz w:val="18"/>
                <w:szCs w:val="18"/>
              </w:rPr>
              <w:t>.</w:t>
            </w:r>
          </w:p>
        </w:tc>
      </w:tr>
      <w:tr w:rsidR="00674465" w:rsidRPr="0035149B" w14:paraId="75DCED81" w14:textId="77777777" w:rsidTr="00606897">
        <w:trPr>
          <w:trHeight w:val="585"/>
        </w:trPr>
        <w:tc>
          <w:tcPr>
            <w:tcW w:w="1752" w:type="dxa"/>
            <w:tcBorders>
              <w:top w:val="nil"/>
              <w:left w:val="single" w:sz="4" w:space="0" w:color="BFBFBF"/>
              <w:bottom w:val="single" w:sz="4" w:space="0" w:color="BFBFBF"/>
              <w:right w:val="single" w:sz="4" w:space="0" w:color="BFBFBF"/>
            </w:tcBorders>
            <w:shd w:val="clear" w:color="000000" w:fill="FFFFFF"/>
            <w:vAlign w:val="center"/>
          </w:tcPr>
          <w:p w14:paraId="097E08EA" w14:textId="77777777" w:rsidR="00674465" w:rsidRPr="0035149B" w:rsidRDefault="00674465" w:rsidP="00674465">
            <w:pPr>
              <w:rPr>
                <w:rFonts w:eastAsia="Times New Roman" w:cs="Times New Roman"/>
                <w:b/>
                <w:bCs/>
                <w:color w:val="FF0000"/>
                <w:sz w:val="18"/>
                <w:szCs w:val="18"/>
                <w:lang w:eastAsia="lv-LV"/>
              </w:rPr>
            </w:pP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3289DA6" w14:textId="5D39C25E" w:rsidR="00674465" w:rsidRPr="0035149B" w:rsidRDefault="00674465" w:rsidP="00674465">
            <w:pPr>
              <w:rPr>
                <w:rFonts w:eastAsia="Times New Roman" w:cs="Times New Roman"/>
                <w:b/>
                <w:bCs/>
                <w:sz w:val="18"/>
                <w:szCs w:val="18"/>
                <w:lang w:eastAsia="lv-LV"/>
              </w:rPr>
            </w:pPr>
            <w:r>
              <w:rPr>
                <w:b/>
                <w:bCs/>
                <w:sz w:val="18"/>
                <w:szCs w:val="18"/>
              </w:rPr>
              <w:t>Iekšlietu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tcPr>
          <w:p w14:paraId="0834BC54" w14:textId="0BE26A4A" w:rsidR="00674465" w:rsidRPr="0035149B" w:rsidRDefault="00674465" w:rsidP="00674465">
            <w:pPr>
              <w:rPr>
                <w:rFonts w:eastAsia="Times New Roman" w:cs="Times New Roman"/>
                <w:sz w:val="18"/>
                <w:szCs w:val="18"/>
                <w:lang w:eastAsia="lv-LV"/>
              </w:rPr>
            </w:pPr>
            <w:r>
              <w:rPr>
                <w:sz w:val="18"/>
                <w:szCs w:val="18"/>
              </w:rPr>
              <w:t>43.00.00 "Finanšu izlūkošanas dienesta darbība"</w:t>
            </w:r>
          </w:p>
        </w:tc>
        <w:tc>
          <w:tcPr>
            <w:tcW w:w="826" w:type="dxa"/>
            <w:tcBorders>
              <w:top w:val="single" w:sz="4" w:space="0" w:color="BFBFBF"/>
              <w:left w:val="nil"/>
              <w:bottom w:val="single" w:sz="4" w:space="0" w:color="BFBFBF"/>
              <w:right w:val="single" w:sz="4" w:space="0" w:color="BFBFBF"/>
            </w:tcBorders>
            <w:shd w:val="clear" w:color="000000" w:fill="FFFFFF"/>
            <w:vAlign w:val="center"/>
          </w:tcPr>
          <w:p w14:paraId="6A299FE1" w14:textId="08146012" w:rsidR="00674465" w:rsidRPr="0035149B" w:rsidRDefault="00674465" w:rsidP="00674465">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tcPr>
          <w:p w14:paraId="59E771DF" w14:textId="10B63516" w:rsidR="00674465" w:rsidRPr="0035149B" w:rsidRDefault="00674465" w:rsidP="00674465">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tcPr>
          <w:p w14:paraId="1F0870E0" w14:textId="391F365A" w:rsidR="00674465" w:rsidRPr="0035149B" w:rsidRDefault="00674465" w:rsidP="00674465">
            <w:pP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tcPr>
          <w:p w14:paraId="21DEF454" w14:textId="1CACD567" w:rsidR="00674465" w:rsidRPr="0035149B" w:rsidRDefault="00674465" w:rsidP="00674465">
            <w:pPr>
              <w:jc w:val="center"/>
              <w:rPr>
                <w:rFonts w:eastAsia="Times New Roman" w:cs="Times New Roman"/>
                <w:sz w:val="18"/>
                <w:szCs w:val="18"/>
                <w:lang w:eastAsia="lv-LV"/>
              </w:rPr>
            </w:pPr>
            <w:r>
              <w:rPr>
                <w:sz w:val="18"/>
                <w:szCs w:val="18"/>
              </w:rPr>
              <w:t> </w:t>
            </w:r>
          </w:p>
        </w:tc>
        <w:tc>
          <w:tcPr>
            <w:tcW w:w="986" w:type="dxa"/>
            <w:tcBorders>
              <w:top w:val="single" w:sz="4" w:space="0" w:color="BFBFBF"/>
              <w:left w:val="nil"/>
              <w:bottom w:val="single" w:sz="4" w:space="0" w:color="BFBFBF"/>
              <w:right w:val="single" w:sz="4" w:space="0" w:color="BFBFBF"/>
            </w:tcBorders>
            <w:shd w:val="clear" w:color="000000" w:fill="FFFFFF"/>
            <w:vAlign w:val="center"/>
          </w:tcPr>
          <w:p w14:paraId="015001C7" w14:textId="2D838013" w:rsidR="00674465" w:rsidRPr="0035149B" w:rsidRDefault="00674465" w:rsidP="00674465">
            <w:pPr>
              <w:jc w:val="center"/>
              <w:rPr>
                <w:rFonts w:eastAsia="Times New Roman" w:cs="Times New Roman"/>
                <w:sz w:val="18"/>
                <w:szCs w:val="18"/>
                <w:lang w:eastAsia="lv-LV"/>
              </w:rPr>
            </w:pPr>
            <w:r>
              <w:rPr>
                <w:sz w:val="18"/>
                <w:szCs w:val="18"/>
              </w:rPr>
              <w:t> </w:t>
            </w:r>
          </w:p>
        </w:tc>
        <w:tc>
          <w:tcPr>
            <w:tcW w:w="1052" w:type="dxa"/>
            <w:tcBorders>
              <w:top w:val="single" w:sz="4" w:space="0" w:color="BFBFBF"/>
              <w:left w:val="nil"/>
              <w:bottom w:val="single" w:sz="4" w:space="0" w:color="BFBFBF"/>
              <w:right w:val="single" w:sz="4" w:space="0" w:color="BFBFBF"/>
            </w:tcBorders>
            <w:shd w:val="clear" w:color="000000" w:fill="FFFFFF"/>
            <w:vAlign w:val="center"/>
          </w:tcPr>
          <w:p w14:paraId="7560D8CD" w14:textId="7D74FEB9" w:rsidR="00674465" w:rsidRPr="0035149B" w:rsidRDefault="00674465" w:rsidP="00674465">
            <w:pPr>
              <w:jc w:val="center"/>
              <w:rPr>
                <w:rFonts w:eastAsia="Times New Roman" w:cs="Times New Roman"/>
                <w:sz w:val="18"/>
                <w:szCs w:val="18"/>
                <w:lang w:eastAsia="lv-LV"/>
              </w:rPr>
            </w:pPr>
            <w:r>
              <w:rPr>
                <w:sz w:val="18"/>
                <w:szCs w:val="18"/>
              </w:rPr>
              <w:t>612 144</w:t>
            </w:r>
          </w:p>
        </w:tc>
        <w:tc>
          <w:tcPr>
            <w:tcW w:w="1186" w:type="dxa"/>
            <w:tcBorders>
              <w:top w:val="single" w:sz="4" w:space="0" w:color="BFBFBF"/>
              <w:left w:val="nil"/>
              <w:bottom w:val="single" w:sz="4" w:space="0" w:color="BFBFBF"/>
              <w:right w:val="single" w:sz="4" w:space="0" w:color="BFBFBF"/>
            </w:tcBorders>
            <w:shd w:val="clear" w:color="000000" w:fill="FFFFFF"/>
            <w:vAlign w:val="center"/>
          </w:tcPr>
          <w:p w14:paraId="1F6A2271" w14:textId="4254BCBB" w:rsidR="00674465" w:rsidRPr="0035149B" w:rsidRDefault="00674465" w:rsidP="00674465">
            <w:pPr>
              <w:jc w:val="center"/>
              <w:rPr>
                <w:rFonts w:eastAsia="Times New Roman" w:cs="Times New Roman"/>
                <w:sz w:val="18"/>
                <w:szCs w:val="18"/>
                <w:lang w:eastAsia="lv-LV"/>
              </w:rPr>
            </w:pPr>
            <w:r>
              <w:rPr>
                <w:sz w:val="18"/>
                <w:szCs w:val="18"/>
              </w:rPr>
              <w:t> </w:t>
            </w:r>
          </w:p>
        </w:tc>
        <w:tc>
          <w:tcPr>
            <w:tcW w:w="999" w:type="dxa"/>
            <w:tcBorders>
              <w:top w:val="single" w:sz="4" w:space="0" w:color="BFBFBF"/>
              <w:left w:val="nil"/>
              <w:bottom w:val="single" w:sz="4" w:space="0" w:color="BFBFBF"/>
              <w:right w:val="single" w:sz="4" w:space="0" w:color="BFBFBF"/>
            </w:tcBorders>
            <w:shd w:val="clear" w:color="000000" w:fill="FFFFFF"/>
            <w:vAlign w:val="center"/>
          </w:tcPr>
          <w:p w14:paraId="45B812B5" w14:textId="0C5CEBDB" w:rsidR="00674465" w:rsidRPr="0035149B" w:rsidRDefault="00674465" w:rsidP="00674465">
            <w:pPr>
              <w:jc w:val="center"/>
              <w:rPr>
                <w:rFonts w:eastAsia="Times New Roman" w:cs="Times New Roman"/>
                <w:sz w:val="18"/>
                <w:szCs w:val="18"/>
                <w:lang w:eastAsia="lv-LV"/>
              </w:rPr>
            </w:pPr>
            <w:r>
              <w:rPr>
                <w:sz w:val="18"/>
                <w:szCs w:val="18"/>
              </w:rPr>
              <w:t>606 194</w:t>
            </w:r>
          </w:p>
        </w:tc>
        <w:tc>
          <w:tcPr>
            <w:tcW w:w="1296" w:type="dxa"/>
            <w:tcBorders>
              <w:top w:val="single" w:sz="4" w:space="0" w:color="BFBFBF"/>
              <w:left w:val="nil"/>
              <w:bottom w:val="single" w:sz="4" w:space="0" w:color="BFBFBF"/>
              <w:right w:val="single" w:sz="4" w:space="0" w:color="BFBFBF"/>
            </w:tcBorders>
            <w:shd w:val="clear" w:color="000000" w:fill="FFFFFF"/>
            <w:vAlign w:val="center"/>
          </w:tcPr>
          <w:p w14:paraId="41B2726F" w14:textId="63D0F2B8" w:rsidR="00674465" w:rsidRPr="0035149B" w:rsidRDefault="00674465" w:rsidP="00674465">
            <w:pPr>
              <w:jc w:val="center"/>
              <w:rPr>
                <w:rFonts w:eastAsia="Times New Roman" w:cs="Times New Roman"/>
                <w:sz w:val="18"/>
                <w:szCs w:val="18"/>
                <w:lang w:eastAsia="lv-LV"/>
              </w:rPr>
            </w:pPr>
            <w:r>
              <w:rPr>
                <w:sz w:val="18"/>
                <w:szCs w:val="18"/>
              </w:rPr>
              <w:t>x</w:t>
            </w:r>
          </w:p>
        </w:tc>
      </w:tr>
      <w:tr w:rsidR="00947CA0" w:rsidRPr="0035149B" w14:paraId="77E916EF" w14:textId="77777777" w:rsidTr="0035149B">
        <w:trPr>
          <w:trHeight w:val="420"/>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1781C7A"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10. rīcības virziens: terorisma finansēšanas preventīvie pasākumi un finanšu sankcijas</w:t>
            </w:r>
          </w:p>
        </w:tc>
      </w:tr>
      <w:tr w:rsidR="00947CA0" w:rsidRPr="0035149B" w14:paraId="4DA170EB" w14:textId="77777777" w:rsidTr="00606897">
        <w:trPr>
          <w:trHeight w:val="55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4421CBE1"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F976242" w14:textId="2AD24F83" w:rsidR="00947CA0" w:rsidRPr="0035149B" w:rsidRDefault="00947CA0" w:rsidP="00947CA0">
            <w:pPr>
              <w:rPr>
                <w:rFonts w:eastAsia="Times New Roman" w:cs="Times New Roman"/>
                <w:b/>
                <w:bCs/>
                <w:sz w:val="18"/>
                <w:szCs w:val="18"/>
                <w:lang w:eastAsia="lv-LV"/>
              </w:rPr>
            </w:pPr>
            <w:r>
              <w:rPr>
                <w:b/>
                <w:bCs/>
                <w:sz w:val="18"/>
                <w:szCs w:val="18"/>
              </w:rPr>
              <w:t xml:space="preserve">10.6. pasākums </w:t>
            </w:r>
            <w:r w:rsidR="001F11C4" w:rsidRPr="001F11C4">
              <w:rPr>
                <w:b/>
                <w:bCs/>
                <w:sz w:val="18"/>
                <w:szCs w:val="18"/>
              </w:rPr>
              <w:t>UNESCO 1970. gada konvencijas par kultūras priekšmetu nelikumīgas ievešanas, izvešanas un īpašumtiesību maiņas aizliegšanu un novēršanu 50-gadei un UNIDROIT konvencijas 25-gadei veltīta starptautiska konference</w:t>
            </w:r>
            <w:r>
              <w:rPr>
                <w:b/>
                <w:bCs/>
                <w:sz w:val="18"/>
                <w:szCs w:val="18"/>
              </w:rPr>
              <w:t>.</w:t>
            </w:r>
          </w:p>
        </w:tc>
      </w:tr>
      <w:tr w:rsidR="002A4902" w:rsidRPr="0035149B" w14:paraId="22F1D3CB" w14:textId="77777777" w:rsidTr="00606897">
        <w:trPr>
          <w:trHeight w:val="66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4575B346" w14:textId="77777777" w:rsidR="002A4902" w:rsidRPr="0035149B" w:rsidRDefault="002A4902" w:rsidP="002A490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F6B5E58" w14:textId="61411F84" w:rsidR="002A4902" w:rsidRPr="0035149B" w:rsidRDefault="002A4902" w:rsidP="002A4902">
            <w:pPr>
              <w:rPr>
                <w:rFonts w:eastAsia="Times New Roman" w:cs="Times New Roman"/>
                <w:b/>
                <w:bCs/>
                <w:sz w:val="18"/>
                <w:szCs w:val="18"/>
                <w:lang w:eastAsia="lv-LV"/>
              </w:rPr>
            </w:pPr>
            <w:r>
              <w:rPr>
                <w:b/>
                <w:bCs/>
                <w:sz w:val="18"/>
                <w:szCs w:val="18"/>
              </w:rPr>
              <w:t>Kultūras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650F2E9B" w14:textId="1A62FD5F" w:rsidR="002A4902" w:rsidRPr="0035149B" w:rsidRDefault="002A4902" w:rsidP="002A4902">
            <w:pPr>
              <w:rPr>
                <w:rFonts w:eastAsia="Times New Roman" w:cs="Times New Roman"/>
                <w:sz w:val="18"/>
                <w:szCs w:val="18"/>
                <w:lang w:eastAsia="lv-LV"/>
              </w:rPr>
            </w:pPr>
            <w:r>
              <w:rPr>
                <w:sz w:val="18"/>
                <w:szCs w:val="18"/>
              </w:rPr>
              <w:t>21.00.00 "Mantojums"</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127BEBF2" w14:textId="629EE6FF" w:rsidR="002A4902" w:rsidRPr="0035149B" w:rsidRDefault="002A4902" w:rsidP="002A4902">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37174B27" w14:textId="0510BB67" w:rsidR="002A4902" w:rsidRPr="0035149B" w:rsidRDefault="002A4902" w:rsidP="002A4902">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13AADF67" w14:textId="29563808" w:rsidR="002A4902" w:rsidRPr="0035149B" w:rsidRDefault="002A4902" w:rsidP="002A4902">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1D4929CB" w14:textId="6DF20E12" w:rsidR="002A4902" w:rsidRPr="0035149B" w:rsidRDefault="002A4902" w:rsidP="002A4902">
            <w:pPr>
              <w:jc w:val="center"/>
              <w:rPr>
                <w:rFonts w:eastAsia="Times New Roman" w:cs="Times New Roman"/>
                <w:sz w:val="18"/>
                <w:szCs w:val="18"/>
                <w:lang w:eastAsia="lv-LV"/>
              </w:rPr>
            </w:pPr>
            <w:r>
              <w:rPr>
                <w:sz w:val="18"/>
                <w:szCs w:val="18"/>
              </w:rPr>
              <w:t>17 000</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1AD50D24" w14:textId="117ECF4B" w:rsidR="002A4902" w:rsidRPr="0035149B" w:rsidRDefault="002A4902" w:rsidP="002A4902">
            <w:pPr>
              <w:jc w:val="center"/>
              <w:rPr>
                <w:rFonts w:eastAsia="Times New Roman" w:cs="Times New Roman"/>
                <w:sz w:val="18"/>
                <w:szCs w:val="18"/>
                <w:lang w:eastAsia="lv-LV"/>
              </w:rPr>
            </w:pPr>
            <w:r>
              <w:rPr>
                <w:sz w:val="18"/>
                <w:szCs w:val="18"/>
              </w:rPr>
              <w:t> </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7A65E0FC" w14:textId="48E334BB" w:rsidR="002A4902" w:rsidRPr="0035149B" w:rsidRDefault="002A4902" w:rsidP="002A4902">
            <w:pPr>
              <w:jc w:val="center"/>
              <w:rPr>
                <w:rFonts w:eastAsia="Times New Roman" w:cs="Times New Roman"/>
                <w:sz w:val="18"/>
                <w:szCs w:val="18"/>
                <w:lang w:eastAsia="lv-LV"/>
              </w:rPr>
            </w:pPr>
            <w:r>
              <w:rPr>
                <w:sz w:val="18"/>
                <w:szCs w:val="18"/>
              </w:rPr>
              <w:t> </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31752B9E" w14:textId="4F6AC485" w:rsidR="002A4902" w:rsidRPr="0035149B" w:rsidRDefault="002A4902" w:rsidP="002A4902">
            <w:pPr>
              <w:jc w:val="center"/>
              <w:rPr>
                <w:rFonts w:eastAsia="Times New Roman" w:cs="Times New Roman"/>
                <w:sz w:val="18"/>
                <w:szCs w:val="18"/>
                <w:lang w:eastAsia="lv-LV"/>
              </w:rPr>
            </w:pPr>
            <w:r>
              <w:rPr>
                <w:sz w:val="18"/>
                <w:szCs w:val="18"/>
              </w:rPr>
              <w:t> </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771720D7" w14:textId="4E02134F" w:rsidR="002A4902" w:rsidRPr="0035149B" w:rsidRDefault="002A4902" w:rsidP="002A4902">
            <w:pPr>
              <w:jc w:val="center"/>
              <w:rPr>
                <w:rFonts w:eastAsia="Times New Roman" w:cs="Times New Roman"/>
                <w:sz w:val="18"/>
                <w:szCs w:val="18"/>
                <w:lang w:eastAsia="lv-LV"/>
              </w:rPr>
            </w:pPr>
            <w:r>
              <w:rPr>
                <w:sz w:val="18"/>
                <w:szCs w:val="18"/>
              </w:rPr>
              <w:t> </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4D53CD25" w14:textId="7A12B675" w:rsidR="002A4902" w:rsidRPr="0035149B" w:rsidRDefault="002A4902" w:rsidP="002A4902">
            <w:pPr>
              <w:jc w:val="center"/>
              <w:rPr>
                <w:rFonts w:eastAsia="Times New Roman" w:cs="Times New Roman"/>
                <w:sz w:val="18"/>
                <w:szCs w:val="18"/>
                <w:lang w:eastAsia="lv-LV"/>
              </w:rPr>
            </w:pPr>
            <w:r>
              <w:rPr>
                <w:sz w:val="18"/>
                <w:szCs w:val="18"/>
              </w:rPr>
              <w:t>2020</w:t>
            </w:r>
          </w:p>
        </w:tc>
      </w:tr>
      <w:tr w:rsidR="00947CA0" w:rsidRPr="0035149B" w14:paraId="422AF69F" w14:textId="77777777" w:rsidTr="00606897">
        <w:trPr>
          <w:trHeight w:val="46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3256D3EF"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nil"/>
              <w:bottom w:val="single" w:sz="4" w:space="0" w:color="BFBFBF"/>
              <w:right w:val="single" w:sz="4" w:space="0" w:color="BFBFBF"/>
            </w:tcBorders>
            <w:shd w:val="clear" w:color="000000" w:fill="FFFFFF"/>
            <w:vAlign w:val="center"/>
            <w:hideMark/>
          </w:tcPr>
          <w:p w14:paraId="480D52B6" w14:textId="6D7062AD"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 xml:space="preserve">10.7. pasākums </w:t>
            </w:r>
            <w:r w:rsidR="001F11C4" w:rsidRPr="001F11C4">
              <w:rPr>
                <w:rFonts w:eastAsia="Times New Roman" w:cs="Times New Roman"/>
                <w:b/>
                <w:bCs/>
                <w:sz w:val="18"/>
                <w:szCs w:val="18"/>
                <w:lang w:eastAsia="lv-LV"/>
              </w:rPr>
              <w:t>Informatīvā kampaņa plašākai sabiedrībai (piem., lidostā, pastā, Latvijas Nacionālajā bibliotēkā) par kultūras priekšmetu nelegālas aprites novēršanu</w:t>
            </w:r>
            <w:r w:rsidRPr="0035149B">
              <w:rPr>
                <w:rFonts w:eastAsia="Times New Roman" w:cs="Times New Roman"/>
                <w:b/>
                <w:bCs/>
                <w:sz w:val="18"/>
                <w:szCs w:val="18"/>
                <w:lang w:eastAsia="lv-LV"/>
              </w:rPr>
              <w:t>.</w:t>
            </w:r>
          </w:p>
        </w:tc>
      </w:tr>
      <w:tr w:rsidR="002A4902" w:rsidRPr="0035149B" w14:paraId="4B978926" w14:textId="77777777" w:rsidTr="00606897">
        <w:trPr>
          <w:trHeight w:val="57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543F7D3" w14:textId="77777777" w:rsidR="002A4902" w:rsidRPr="0035149B" w:rsidRDefault="002A4902" w:rsidP="002A490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B8706C3" w14:textId="0B866F9A" w:rsidR="002A4902" w:rsidRPr="0035149B" w:rsidRDefault="002A4902" w:rsidP="002A4902">
            <w:pPr>
              <w:rPr>
                <w:rFonts w:eastAsia="Times New Roman" w:cs="Times New Roman"/>
                <w:b/>
                <w:bCs/>
                <w:sz w:val="18"/>
                <w:szCs w:val="18"/>
                <w:lang w:eastAsia="lv-LV"/>
              </w:rPr>
            </w:pPr>
            <w:r>
              <w:rPr>
                <w:b/>
                <w:bCs/>
                <w:sz w:val="18"/>
                <w:szCs w:val="18"/>
              </w:rPr>
              <w:t>Kultūras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261B27A8" w14:textId="3F741806" w:rsidR="002A4902" w:rsidRPr="0035149B" w:rsidRDefault="002A4902" w:rsidP="002A4902">
            <w:pPr>
              <w:rPr>
                <w:rFonts w:eastAsia="Times New Roman" w:cs="Times New Roman"/>
                <w:sz w:val="18"/>
                <w:szCs w:val="18"/>
                <w:lang w:eastAsia="lv-LV"/>
              </w:rPr>
            </w:pPr>
            <w:r>
              <w:rPr>
                <w:sz w:val="18"/>
                <w:szCs w:val="18"/>
              </w:rPr>
              <w:t>21.00.00 "Mantojums"</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7ACD1013" w14:textId="63CA770B" w:rsidR="002A4902" w:rsidRPr="0035149B" w:rsidRDefault="002A4902" w:rsidP="002A4902">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27EEA403" w14:textId="6945CB2B" w:rsidR="002A4902" w:rsidRPr="0035149B" w:rsidRDefault="002A4902" w:rsidP="002A4902">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0916CB5A" w14:textId="35901939" w:rsidR="002A4902" w:rsidRPr="0035149B" w:rsidRDefault="002A4902" w:rsidP="002A4902">
            <w:pP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4A840161" w14:textId="25BF08DF" w:rsidR="002A4902" w:rsidRPr="0035149B" w:rsidRDefault="002A4902" w:rsidP="002A4902">
            <w:pPr>
              <w:jc w:val="center"/>
              <w:rPr>
                <w:rFonts w:eastAsia="Times New Roman" w:cs="Times New Roman"/>
                <w:sz w:val="18"/>
                <w:szCs w:val="18"/>
                <w:lang w:eastAsia="lv-LV"/>
              </w:rPr>
            </w:pPr>
            <w:r>
              <w:rPr>
                <w:sz w:val="18"/>
                <w:szCs w:val="18"/>
              </w:rPr>
              <w:t> </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4535BD3B" w14:textId="7424690F" w:rsidR="002A4902" w:rsidRPr="0035149B" w:rsidRDefault="002A4902" w:rsidP="002A4902">
            <w:pPr>
              <w:jc w:val="center"/>
              <w:rPr>
                <w:rFonts w:eastAsia="Times New Roman" w:cs="Times New Roman"/>
                <w:sz w:val="18"/>
                <w:szCs w:val="18"/>
                <w:lang w:eastAsia="lv-LV"/>
              </w:rPr>
            </w:pPr>
            <w:r>
              <w:rPr>
                <w:sz w:val="18"/>
                <w:szCs w:val="18"/>
              </w:rPr>
              <w:t>30 000</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39A955DA" w14:textId="139D9ECA" w:rsidR="002A4902" w:rsidRPr="0035149B" w:rsidRDefault="002A4902" w:rsidP="002A4902">
            <w:pPr>
              <w:jc w:val="center"/>
              <w:rPr>
                <w:rFonts w:eastAsia="Times New Roman" w:cs="Times New Roman"/>
                <w:sz w:val="18"/>
                <w:szCs w:val="18"/>
                <w:lang w:eastAsia="lv-LV"/>
              </w:rPr>
            </w:pPr>
            <w:r>
              <w:rPr>
                <w:sz w:val="18"/>
                <w:szCs w:val="18"/>
              </w:rPr>
              <w:t> </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304F68BC" w14:textId="20E15BB7" w:rsidR="002A4902" w:rsidRPr="0035149B" w:rsidRDefault="002A4902" w:rsidP="002A4902">
            <w:pPr>
              <w:jc w:val="center"/>
              <w:rPr>
                <w:rFonts w:eastAsia="Times New Roman" w:cs="Times New Roman"/>
                <w:sz w:val="18"/>
                <w:szCs w:val="18"/>
                <w:lang w:eastAsia="lv-LV"/>
              </w:rPr>
            </w:pPr>
            <w:r>
              <w:rPr>
                <w:sz w:val="18"/>
                <w:szCs w:val="18"/>
              </w:rPr>
              <w:t> </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7171B448" w14:textId="00883508" w:rsidR="002A4902" w:rsidRPr="0035149B" w:rsidRDefault="002A4902" w:rsidP="002A4902">
            <w:pPr>
              <w:jc w:val="center"/>
              <w:rPr>
                <w:rFonts w:eastAsia="Times New Roman" w:cs="Times New Roman"/>
                <w:sz w:val="18"/>
                <w:szCs w:val="18"/>
                <w:lang w:eastAsia="lv-LV"/>
              </w:rPr>
            </w:pPr>
            <w:r>
              <w:rPr>
                <w:sz w:val="18"/>
                <w:szCs w:val="18"/>
              </w:rPr>
              <w:t> </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321E3301" w14:textId="33DF5DFC" w:rsidR="002A4902" w:rsidRPr="0035149B" w:rsidRDefault="002A4902" w:rsidP="002A4902">
            <w:pPr>
              <w:jc w:val="center"/>
              <w:rPr>
                <w:rFonts w:eastAsia="Times New Roman" w:cs="Times New Roman"/>
                <w:sz w:val="18"/>
                <w:szCs w:val="18"/>
                <w:lang w:eastAsia="lv-LV"/>
              </w:rPr>
            </w:pPr>
            <w:r>
              <w:rPr>
                <w:sz w:val="18"/>
                <w:szCs w:val="18"/>
              </w:rPr>
              <w:t>2021</w:t>
            </w:r>
          </w:p>
        </w:tc>
      </w:tr>
      <w:tr w:rsidR="00947CA0" w:rsidRPr="0035149B" w14:paraId="675FA4E3" w14:textId="77777777" w:rsidTr="00606897">
        <w:trPr>
          <w:trHeight w:val="525"/>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0F756434" w14:textId="77777777" w:rsidR="00947CA0" w:rsidRPr="0035149B" w:rsidRDefault="00947CA0" w:rsidP="00947CA0">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3168" w:type="dxa"/>
            <w:gridSpan w:val="1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591D9DC" w14:textId="02ADCE79" w:rsidR="00947CA0" w:rsidRPr="0035149B" w:rsidRDefault="00947CA0" w:rsidP="00947CA0">
            <w:pPr>
              <w:rPr>
                <w:rFonts w:eastAsia="Times New Roman" w:cs="Times New Roman"/>
                <w:b/>
                <w:bCs/>
                <w:sz w:val="18"/>
                <w:szCs w:val="18"/>
                <w:lang w:eastAsia="lv-LV"/>
              </w:rPr>
            </w:pPr>
            <w:r>
              <w:rPr>
                <w:b/>
                <w:bCs/>
                <w:sz w:val="18"/>
                <w:szCs w:val="18"/>
              </w:rPr>
              <w:t xml:space="preserve">10.11. pasākums </w:t>
            </w:r>
            <w:r w:rsidR="001F11C4" w:rsidRPr="001F11C4">
              <w:rPr>
                <w:b/>
                <w:bCs/>
                <w:sz w:val="18"/>
                <w:szCs w:val="18"/>
              </w:rPr>
              <w:t>Realizējot NVO uzraudzību, izvērtēt to iespējamās saistības ar TF riskiem</w:t>
            </w:r>
            <w:r>
              <w:rPr>
                <w:b/>
                <w:bCs/>
                <w:sz w:val="18"/>
                <w:szCs w:val="18"/>
              </w:rPr>
              <w:t>.</w:t>
            </w:r>
          </w:p>
        </w:tc>
      </w:tr>
      <w:tr w:rsidR="002A4902" w:rsidRPr="0035149B" w14:paraId="1A96C8A9" w14:textId="77777777" w:rsidTr="00606897">
        <w:trPr>
          <w:trHeight w:val="66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5B457BBE" w14:textId="77777777" w:rsidR="002A4902" w:rsidRPr="0035149B" w:rsidRDefault="002A4902" w:rsidP="002A4902">
            <w:pPr>
              <w:rPr>
                <w:rFonts w:eastAsia="Times New Roman" w:cs="Times New Roman"/>
                <w:b/>
                <w:bCs/>
                <w:color w:val="FF0000"/>
                <w:sz w:val="18"/>
                <w:szCs w:val="18"/>
                <w:lang w:eastAsia="lv-LV"/>
              </w:rPr>
            </w:pPr>
            <w:r w:rsidRPr="0035149B">
              <w:rPr>
                <w:rFonts w:eastAsia="Times New Roman" w:cs="Times New Roman"/>
                <w:b/>
                <w:bCs/>
                <w:color w:val="FF0000"/>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3A91BB7" w14:textId="60D69C98" w:rsidR="002A4902" w:rsidRPr="0035149B" w:rsidRDefault="002A4902" w:rsidP="002A4902">
            <w:pPr>
              <w:rPr>
                <w:rFonts w:eastAsia="Times New Roman" w:cs="Times New Roman"/>
                <w:b/>
                <w:bCs/>
                <w:sz w:val="18"/>
                <w:szCs w:val="18"/>
                <w:lang w:eastAsia="lv-LV"/>
              </w:rPr>
            </w:pPr>
            <w:r>
              <w:rPr>
                <w:b/>
                <w:bCs/>
                <w:sz w:val="18"/>
                <w:szCs w:val="18"/>
              </w:rPr>
              <w:t xml:space="preserve">Finanšu ministrija </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59990057" w14:textId="234D4AAE" w:rsidR="002A4902" w:rsidRPr="0035149B" w:rsidRDefault="002A4902" w:rsidP="002A4902">
            <w:pPr>
              <w:rPr>
                <w:rFonts w:eastAsia="Times New Roman" w:cs="Times New Roman"/>
                <w:sz w:val="18"/>
                <w:szCs w:val="18"/>
                <w:lang w:eastAsia="lv-LV"/>
              </w:rPr>
            </w:pPr>
            <w:r>
              <w:rPr>
                <w:sz w:val="18"/>
                <w:szCs w:val="18"/>
              </w:rPr>
              <w:t>33.00.00 "Valsts ieņēmumu un muitas politikas nodrošināšana"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5DAEE0AC" w14:textId="6736BCEA" w:rsidR="002A4902" w:rsidRPr="0035149B" w:rsidRDefault="002A4902" w:rsidP="002A4902">
            <w:pPr>
              <w:jc w:val="right"/>
              <w:rPr>
                <w:rFonts w:eastAsia="Times New Roman" w:cs="Times New Roman"/>
                <w:color w:val="FF0000"/>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18EE02E0" w14:textId="39FA56B1" w:rsidR="002A4902" w:rsidRPr="0035149B" w:rsidRDefault="002A4902" w:rsidP="002A4902">
            <w:pPr>
              <w:jc w:val="right"/>
              <w:rPr>
                <w:rFonts w:eastAsia="Times New Roman" w:cs="Times New Roman"/>
                <w:color w:val="FF0000"/>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7DF0FD6C" w14:textId="6A574BEC" w:rsidR="002A4902" w:rsidRPr="0035149B" w:rsidRDefault="002A4902" w:rsidP="002A4902">
            <w:pPr>
              <w:jc w:val="center"/>
              <w:rPr>
                <w:rFonts w:eastAsia="Times New Roman" w:cs="Times New Roman"/>
                <w:color w:val="FF0000"/>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21372554" w14:textId="53DC9D8A" w:rsidR="002A4902" w:rsidRPr="0035149B" w:rsidRDefault="002A4902" w:rsidP="002A4902">
            <w:pPr>
              <w:jc w:val="center"/>
              <w:rPr>
                <w:rFonts w:eastAsia="Times New Roman" w:cs="Times New Roman"/>
                <w:sz w:val="18"/>
                <w:szCs w:val="18"/>
                <w:lang w:eastAsia="lv-LV"/>
              </w:rPr>
            </w:pPr>
            <w:r>
              <w:rPr>
                <w:sz w:val="18"/>
                <w:szCs w:val="18"/>
              </w:rPr>
              <w:t>35 495</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5B9FBC30" w14:textId="51949DC9" w:rsidR="002A4902" w:rsidRPr="0035149B" w:rsidRDefault="002A4902" w:rsidP="002A4902">
            <w:pPr>
              <w:jc w:val="center"/>
              <w:rPr>
                <w:rFonts w:eastAsia="Times New Roman" w:cs="Times New Roman"/>
                <w:sz w:val="18"/>
                <w:szCs w:val="18"/>
                <w:lang w:eastAsia="lv-LV"/>
              </w:rPr>
            </w:pPr>
            <w:r>
              <w:rPr>
                <w:sz w:val="18"/>
                <w:szCs w:val="18"/>
              </w:rPr>
              <w:t>82 821</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1A0371E1" w14:textId="4D75FC03" w:rsidR="002A4902" w:rsidRPr="0035149B" w:rsidRDefault="002A4902" w:rsidP="002A4902">
            <w:pPr>
              <w:jc w:val="center"/>
              <w:rPr>
                <w:rFonts w:eastAsia="Times New Roman" w:cs="Times New Roman"/>
                <w:sz w:val="18"/>
                <w:szCs w:val="18"/>
                <w:lang w:eastAsia="lv-LV"/>
              </w:rPr>
            </w:pPr>
            <w:r>
              <w:rPr>
                <w:sz w:val="18"/>
                <w:szCs w:val="18"/>
              </w:rPr>
              <w:t>8 283</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1134828F" w14:textId="4251F0AE" w:rsidR="002A4902" w:rsidRPr="0035149B" w:rsidRDefault="002A4902" w:rsidP="002A4902">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268155CF" w14:textId="5C8B2B23" w:rsidR="002A4902" w:rsidRPr="0035149B" w:rsidRDefault="002A4902" w:rsidP="002A4902">
            <w:pPr>
              <w:jc w:val="center"/>
              <w:rPr>
                <w:rFonts w:eastAsia="Times New Roman" w:cs="Times New Roman"/>
                <w:sz w:val="18"/>
                <w:szCs w:val="18"/>
                <w:lang w:eastAsia="lv-LV"/>
              </w:rPr>
            </w:pPr>
            <w:r>
              <w:rPr>
                <w:sz w:val="18"/>
                <w:szCs w:val="18"/>
              </w:rPr>
              <w:t>8 283</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4AC59FF8" w14:textId="6202B514" w:rsidR="002A4902" w:rsidRPr="0035149B" w:rsidRDefault="002A4902" w:rsidP="002A4902">
            <w:pPr>
              <w:jc w:val="center"/>
              <w:rPr>
                <w:rFonts w:eastAsia="Times New Roman" w:cs="Times New Roman"/>
                <w:sz w:val="18"/>
                <w:szCs w:val="18"/>
                <w:lang w:eastAsia="lv-LV"/>
              </w:rPr>
            </w:pPr>
            <w:r>
              <w:rPr>
                <w:sz w:val="18"/>
                <w:szCs w:val="18"/>
              </w:rPr>
              <w:t>x</w:t>
            </w:r>
          </w:p>
        </w:tc>
      </w:tr>
      <w:tr w:rsidR="00947CA0" w:rsidRPr="0035149B" w14:paraId="06B9B504" w14:textId="77777777" w:rsidTr="0035149B">
        <w:trPr>
          <w:trHeight w:val="345"/>
        </w:trPr>
        <w:tc>
          <w:tcPr>
            <w:tcW w:w="14920"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59CAD86" w14:textId="09EA0563"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 xml:space="preserve">11. rīcības virziens: </w:t>
            </w:r>
            <w:r w:rsidRPr="009061E3">
              <w:rPr>
                <w:rFonts w:eastAsia="Times New Roman" w:cs="Times New Roman"/>
                <w:b/>
                <w:bCs/>
                <w:sz w:val="18"/>
                <w:szCs w:val="18"/>
                <w:lang w:eastAsia="lv-LV"/>
              </w:rPr>
              <w:t xml:space="preserve">masveida </w:t>
            </w:r>
            <w:r w:rsidRPr="0035149B">
              <w:rPr>
                <w:rFonts w:eastAsia="Times New Roman" w:cs="Times New Roman"/>
                <w:b/>
                <w:bCs/>
                <w:sz w:val="18"/>
                <w:szCs w:val="18"/>
                <w:lang w:eastAsia="lv-LV"/>
              </w:rPr>
              <w:t>iznīcināšanas ieroču finanšu sankcijas</w:t>
            </w:r>
          </w:p>
        </w:tc>
      </w:tr>
      <w:tr w:rsidR="00947CA0" w:rsidRPr="0035149B" w14:paraId="1BABA71E" w14:textId="77777777" w:rsidTr="00606897">
        <w:trPr>
          <w:trHeight w:val="495"/>
        </w:trPr>
        <w:tc>
          <w:tcPr>
            <w:tcW w:w="1752" w:type="dxa"/>
            <w:tcBorders>
              <w:top w:val="nil"/>
              <w:left w:val="single" w:sz="4" w:space="0" w:color="BFBFBF"/>
              <w:bottom w:val="single" w:sz="4" w:space="0" w:color="BFBFBF"/>
              <w:right w:val="nil"/>
            </w:tcBorders>
            <w:shd w:val="clear" w:color="000000" w:fill="FFFFFF"/>
            <w:vAlign w:val="center"/>
            <w:hideMark/>
          </w:tcPr>
          <w:p w14:paraId="1D620AEF" w14:textId="77777777" w:rsidR="00947CA0" w:rsidRPr="0035149B" w:rsidRDefault="00947CA0" w:rsidP="00947CA0">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13168" w:type="dxa"/>
            <w:gridSpan w:val="11"/>
            <w:tcBorders>
              <w:top w:val="single" w:sz="4" w:space="0" w:color="BFBFBF"/>
              <w:left w:val="nil"/>
              <w:bottom w:val="single" w:sz="4" w:space="0" w:color="BFBFBF"/>
              <w:right w:val="single" w:sz="4" w:space="0" w:color="BFBFBF"/>
            </w:tcBorders>
            <w:shd w:val="clear" w:color="000000" w:fill="FFFFFF"/>
            <w:vAlign w:val="center"/>
            <w:hideMark/>
          </w:tcPr>
          <w:p w14:paraId="554A3A4E" w14:textId="4D58DAF9" w:rsidR="00947CA0" w:rsidRPr="0035149B" w:rsidRDefault="00947CA0" w:rsidP="00947CA0">
            <w:pPr>
              <w:rPr>
                <w:rFonts w:eastAsia="Times New Roman" w:cs="Times New Roman"/>
                <w:b/>
                <w:bCs/>
                <w:sz w:val="18"/>
                <w:szCs w:val="18"/>
                <w:lang w:eastAsia="lv-LV"/>
              </w:rPr>
            </w:pPr>
            <w:r>
              <w:rPr>
                <w:b/>
                <w:bCs/>
                <w:sz w:val="18"/>
                <w:szCs w:val="18"/>
              </w:rPr>
              <w:t xml:space="preserve">11.3. pasākums </w:t>
            </w:r>
            <w:r w:rsidR="001F11C4" w:rsidRPr="001F11C4">
              <w:rPr>
                <w:b/>
                <w:bCs/>
                <w:sz w:val="18"/>
                <w:szCs w:val="18"/>
              </w:rPr>
              <w:t>Stiprināt Latvijas kā valsts, kas veiksmīgi stiprinājusi finanšu sektoru krīzes situācijā, starptautisko reputāciju</w:t>
            </w:r>
            <w:r>
              <w:rPr>
                <w:b/>
                <w:bCs/>
                <w:sz w:val="18"/>
                <w:szCs w:val="18"/>
              </w:rPr>
              <w:t>.</w:t>
            </w:r>
            <w:r>
              <w:rPr>
                <w:b/>
                <w:bCs/>
                <w:sz w:val="18"/>
                <w:szCs w:val="18"/>
              </w:rPr>
              <w:br/>
              <w:t xml:space="preserve">11.3. (1) </w:t>
            </w:r>
            <w:r w:rsidR="001F11C4" w:rsidRPr="001F11C4">
              <w:rPr>
                <w:b/>
                <w:bCs/>
                <w:sz w:val="18"/>
                <w:szCs w:val="18"/>
              </w:rPr>
              <w:t>Nodrošināta dalība starptautiskās sanāksmēs Latvijas interešu aizstāvībai MONEYVAL un FATF jautājumos</w:t>
            </w:r>
            <w:r>
              <w:rPr>
                <w:b/>
                <w:bCs/>
                <w:sz w:val="18"/>
                <w:szCs w:val="18"/>
              </w:rPr>
              <w:t>.</w:t>
            </w:r>
          </w:p>
        </w:tc>
      </w:tr>
      <w:tr w:rsidR="002A4902" w:rsidRPr="0035149B" w14:paraId="2A9DF62F" w14:textId="77777777" w:rsidTr="00606897">
        <w:trPr>
          <w:trHeight w:val="720"/>
        </w:trPr>
        <w:tc>
          <w:tcPr>
            <w:tcW w:w="1752" w:type="dxa"/>
            <w:tcBorders>
              <w:top w:val="nil"/>
              <w:left w:val="single" w:sz="4" w:space="0" w:color="BFBFBF"/>
              <w:bottom w:val="single" w:sz="4" w:space="0" w:color="BFBFBF"/>
              <w:right w:val="single" w:sz="4" w:space="0" w:color="BFBFBF"/>
            </w:tcBorders>
            <w:shd w:val="clear" w:color="000000" w:fill="FFFFFF"/>
            <w:vAlign w:val="center"/>
            <w:hideMark/>
          </w:tcPr>
          <w:p w14:paraId="2336E924" w14:textId="77777777" w:rsidR="002A4902" w:rsidRPr="0035149B" w:rsidRDefault="002A4902" w:rsidP="002A4902">
            <w:pPr>
              <w:rPr>
                <w:rFonts w:eastAsia="Times New Roman" w:cs="Times New Roman"/>
                <w:b/>
                <w:bCs/>
                <w:sz w:val="18"/>
                <w:szCs w:val="18"/>
                <w:lang w:eastAsia="lv-LV"/>
              </w:rPr>
            </w:pPr>
            <w:r w:rsidRPr="0035149B">
              <w:rPr>
                <w:rFonts w:eastAsia="Times New Roman" w:cs="Times New Roman"/>
                <w:b/>
                <w:bCs/>
                <w:sz w:val="18"/>
                <w:szCs w:val="18"/>
                <w:lang w:eastAsia="lv-LV"/>
              </w:rPr>
              <w:t> </w:t>
            </w:r>
          </w:p>
        </w:tc>
        <w:tc>
          <w:tcPr>
            <w:tcW w:w="1667"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C9AC93F" w14:textId="64D56AAE" w:rsidR="002A4902" w:rsidRPr="0035149B" w:rsidRDefault="002A4902" w:rsidP="002A4902">
            <w:pPr>
              <w:rPr>
                <w:rFonts w:eastAsia="Times New Roman" w:cs="Times New Roman"/>
                <w:b/>
                <w:bCs/>
                <w:sz w:val="18"/>
                <w:szCs w:val="18"/>
                <w:lang w:eastAsia="lv-LV"/>
              </w:rPr>
            </w:pPr>
            <w:r>
              <w:rPr>
                <w:b/>
                <w:bCs/>
                <w:sz w:val="18"/>
                <w:szCs w:val="18"/>
              </w:rPr>
              <w:t>Ārlietu ministrija</w:t>
            </w:r>
          </w:p>
        </w:tc>
        <w:tc>
          <w:tcPr>
            <w:tcW w:w="2211" w:type="dxa"/>
            <w:tcBorders>
              <w:top w:val="single" w:sz="4" w:space="0" w:color="BFBFBF"/>
              <w:left w:val="nil"/>
              <w:bottom w:val="single" w:sz="4" w:space="0" w:color="BFBFBF"/>
              <w:right w:val="single" w:sz="4" w:space="0" w:color="BFBFBF"/>
            </w:tcBorders>
            <w:shd w:val="clear" w:color="000000" w:fill="FFFFFF"/>
            <w:vAlign w:val="center"/>
            <w:hideMark/>
          </w:tcPr>
          <w:p w14:paraId="29272E16" w14:textId="6A6A8873" w:rsidR="002A4902" w:rsidRPr="0035149B" w:rsidRDefault="002A4902" w:rsidP="002A4902">
            <w:pPr>
              <w:rPr>
                <w:rFonts w:eastAsia="Times New Roman" w:cs="Times New Roman"/>
                <w:sz w:val="18"/>
                <w:szCs w:val="18"/>
                <w:lang w:eastAsia="lv-LV"/>
              </w:rPr>
            </w:pPr>
            <w:r>
              <w:rPr>
                <w:sz w:val="18"/>
                <w:szCs w:val="18"/>
              </w:rPr>
              <w:t>97.00.00 "Nozaru vadība un politikas plānošana"</w:t>
            </w:r>
          </w:p>
        </w:tc>
        <w:tc>
          <w:tcPr>
            <w:tcW w:w="826" w:type="dxa"/>
            <w:tcBorders>
              <w:top w:val="single" w:sz="4" w:space="0" w:color="BFBFBF"/>
              <w:left w:val="nil"/>
              <w:bottom w:val="single" w:sz="4" w:space="0" w:color="BFBFBF"/>
              <w:right w:val="single" w:sz="4" w:space="0" w:color="BFBFBF"/>
            </w:tcBorders>
            <w:shd w:val="clear" w:color="000000" w:fill="FFFFFF"/>
            <w:vAlign w:val="center"/>
            <w:hideMark/>
          </w:tcPr>
          <w:p w14:paraId="5F1FBE4F" w14:textId="14018B8E" w:rsidR="002A4902" w:rsidRPr="0035149B" w:rsidRDefault="002A4902" w:rsidP="002A4902">
            <w:pPr>
              <w:jc w:val="right"/>
              <w:rPr>
                <w:rFonts w:eastAsia="Times New Roman" w:cs="Times New Roman"/>
                <w:sz w:val="18"/>
                <w:szCs w:val="18"/>
                <w:lang w:eastAsia="lv-LV"/>
              </w:rPr>
            </w:pPr>
            <w:r>
              <w:rPr>
                <w:sz w:val="18"/>
                <w:szCs w:val="18"/>
              </w:rPr>
              <w:t> </w:t>
            </w:r>
          </w:p>
        </w:tc>
        <w:tc>
          <w:tcPr>
            <w:tcW w:w="887" w:type="dxa"/>
            <w:tcBorders>
              <w:top w:val="single" w:sz="4" w:space="0" w:color="BFBFBF"/>
              <w:left w:val="nil"/>
              <w:bottom w:val="single" w:sz="4" w:space="0" w:color="BFBFBF"/>
              <w:right w:val="single" w:sz="4" w:space="0" w:color="BFBFBF"/>
            </w:tcBorders>
            <w:shd w:val="clear" w:color="000000" w:fill="FFFFFF"/>
            <w:vAlign w:val="center"/>
            <w:hideMark/>
          </w:tcPr>
          <w:p w14:paraId="5FD4BF01" w14:textId="1A539005" w:rsidR="002A4902" w:rsidRPr="0035149B" w:rsidRDefault="002A4902" w:rsidP="002A4902">
            <w:pPr>
              <w:jc w:val="right"/>
              <w:rPr>
                <w:rFonts w:eastAsia="Times New Roman" w:cs="Times New Roman"/>
                <w:sz w:val="18"/>
                <w:szCs w:val="18"/>
                <w:lang w:eastAsia="lv-LV"/>
              </w:rPr>
            </w:pPr>
            <w:r>
              <w:rPr>
                <w:sz w:val="18"/>
                <w:szCs w:val="18"/>
              </w:rPr>
              <w:t> </w:t>
            </w:r>
          </w:p>
        </w:tc>
        <w:tc>
          <w:tcPr>
            <w:tcW w:w="947" w:type="dxa"/>
            <w:tcBorders>
              <w:top w:val="single" w:sz="4" w:space="0" w:color="BFBFBF"/>
              <w:left w:val="nil"/>
              <w:bottom w:val="single" w:sz="4" w:space="0" w:color="BFBFBF"/>
              <w:right w:val="single" w:sz="4" w:space="0" w:color="BFBFBF"/>
            </w:tcBorders>
            <w:shd w:val="clear" w:color="auto" w:fill="auto"/>
            <w:vAlign w:val="center"/>
            <w:hideMark/>
          </w:tcPr>
          <w:p w14:paraId="7FB06F30" w14:textId="53DA6030" w:rsidR="002A4902" w:rsidRPr="0035149B" w:rsidRDefault="002A4902" w:rsidP="002A4902">
            <w:pPr>
              <w:jc w:val="center"/>
              <w:rPr>
                <w:rFonts w:eastAsia="Times New Roman" w:cs="Times New Roman"/>
                <w:sz w:val="18"/>
                <w:szCs w:val="18"/>
                <w:lang w:eastAsia="lv-LV"/>
              </w:rPr>
            </w:pPr>
            <w:r>
              <w:rPr>
                <w:sz w:val="18"/>
                <w:szCs w:val="18"/>
              </w:rPr>
              <w:t> </w:t>
            </w:r>
          </w:p>
        </w:tc>
        <w:tc>
          <w:tcPr>
            <w:tcW w:w="1111" w:type="dxa"/>
            <w:tcBorders>
              <w:top w:val="single" w:sz="4" w:space="0" w:color="BFBFBF"/>
              <w:left w:val="nil"/>
              <w:bottom w:val="single" w:sz="4" w:space="0" w:color="BFBFBF"/>
              <w:right w:val="single" w:sz="4" w:space="0" w:color="BFBFBF"/>
            </w:tcBorders>
            <w:shd w:val="clear" w:color="000000" w:fill="FFFFFF"/>
            <w:vAlign w:val="center"/>
            <w:hideMark/>
          </w:tcPr>
          <w:p w14:paraId="2EA67EDF" w14:textId="12C8C398" w:rsidR="002A4902" w:rsidRPr="0035149B" w:rsidRDefault="002A4902" w:rsidP="002A4902">
            <w:pPr>
              <w:jc w:val="center"/>
              <w:rPr>
                <w:rFonts w:eastAsia="Times New Roman" w:cs="Times New Roman"/>
                <w:sz w:val="18"/>
                <w:szCs w:val="18"/>
                <w:lang w:eastAsia="lv-LV"/>
              </w:rPr>
            </w:pPr>
            <w:r>
              <w:rPr>
                <w:sz w:val="18"/>
                <w:szCs w:val="18"/>
              </w:rPr>
              <w:t>24 287</w:t>
            </w:r>
          </w:p>
        </w:tc>
        <w:tc>
          <w:tcPr>
            <w:tcW w:w="986" w:type="dxa"/>
            <w:tcBorders>
              <w:top w:val="single" w:sz="4" w:space="0" w:color="BFBFBF"/>
              <w:left w:val="nil"/>
              <w:bottom w:val="single" w:sz="4" w:space="0" w:color="BFBFBF"/>
              <w:right w:val="single" w:sz="4" w:space="0" w:color="BFBFBF"/>
            </w:tcBorders>
            <w:shd w:val="clear" w:color="000000" w:fill="FFFFFF"/>
            <w:vAlign w:val="center"/>
            <w:hideMark/>
          </w:tcPr>
          <w:p w14:paraId="445E035C" w14:textId="3B046567" w:rsidR="002A4902" w:rsidRPr="0035149B" w:rsidRDefault="002A4902" w:rsidP="002A4902">
            <w:pPr>
              <w:jc w:val="center"/>
              <w:rPr>
                <w:rFonts w:eastAsia="Times New Roman" w:cs="Times New Roman"/>
                <w:sz w:val="18"/>
                <w:szCs w:val="18"/>
                <w:lang w:eastAsia="lv-LV"/>
              </w:rPr>
            </w:pPr>
            <w:r>
              <w:rPr>
                <w:sz w:val="18"/>
                <w:szCs w:val="18"/>
              </w:rPr>
              <w:t>26 986</w:t>
            </w:r>
          </w:p>
        </w:tc>
        <w:tc>
          <w:tcPr>
            <w:tcW w:w="1052" w:type="dxa"/>
            <w:tcBorders>
              <w:top w:val="single" w:sz="4" w:space="0" w:color="BFBFBF"/>
              <w:left w:val="nil"/>
              <w:bottom w:val="single" w:sz="4" w:space="0" w:color="BFBFBF"/>
              <w:right w:val="single" w:sz="4" w:space="0" w:color="BFBFBF"/>
            </w:tcBorders>
            <w:shd w:val="clear" w:color="000000" w:fill="FFFFFF"/>
            <w:vAlign w:val="center"/>
            <w:hideMark/>
          </w:tcPr>
          <w:p w14:paraId="65B3ABCC" w14:textId="32B2E953" w:rsidR="002A4902" w:rsidRPr="0035149B" w:rsidRDefault="002A4902" w:rsidP="002A4902">
            <w:pPr>
              <w:jc w:val="center"/>
              <w:rPr>
                <w:rFonts w:eastAsia="Times New Roman" w:cs="Times New Roman"/>
                <w:sz w:val="18"/>
                <w:szCs w:val="18"/>
                <w:lang w:eastAsia="lv-LV"/>
              </w:rPr>
            </w:pPr>
            <w:r>
              <w:rPr>
                <w:sz w:val="18"/>
                <w:szCs w:val="18"/>
              </w:rPr>
              <w:t>26 986</w:t>
            </w:r>
          </w:p>
        </w:tc>
        <w:tc>
          <w:tcPr>
            <w:tcW w:w="1186" w:type="dxa"/>
            <w:tcBorders>
              <w:top w:val="single" w:sz="4" w:space="0" w:color="BFBFBF"/>
              <w:left w:val="nil"/>
              <w:bottom w:val="single" w:sz="4" w:space="0" w:color="BFBFBF"/>
              <w:right w:val="single" w:sz="4" w:space="0" w:color="BFBFBF"/>
            </w:tcBorders>
            <w:shd w:val="clear" w:color="000000" w:fill="FFFFFF"/>
            <w:vAlign w:val="center"/>
            <w:hideMark/>
          </w:tcPr>
          <w:p w14:paraId="38D2A6F9" w14:textId="14ADE4E1" w:rsidR="002A4902" w:rsidRPr="0035149B" w:rsidRDefault="002A4902" w:rsidP="002A4902">
            <w:pPr>
              <w:jc w:val="center"/>
              <w:rPr>
                <w:rFonts w:eastAsia="Times New Roman" w:cs="Times New Roman"/>
                <w:sz w:val="18"/>
                <w:szCs w:val="18"/>
                <w:lang w:eastAsia="lv-LV"/>
              </w:rPr>
            </w:pPr>
            <w:r>
              <w:rPr>
                <w:sz w:val="18"/>
                <w:szCs w:val="18"/>
              </w:rPr>
              <w:t>0</w:t>
            </w:r>
          </w:p>
        </w:tc>
        <w:tc>
          <w:tcPr>
            <w:tcW w:w="999" w:type="dxa"/>
            <w:tcBorders>
              <w:top w:val="single" w:sz="4" w:space="0" w:color="BFBFBF"/>
              <w:left w:val="nil"/>
              <w:bottom w:val="single" w:sz="4" w:space="0" w:color="BFBFBF"/>
              <w:right w:val="single" w:sz="4" w:space="0" w:color="BFBFBF"/>
            </w:tcBorders>
            <w:shd w:val="clear" w:color="000000" w:fill="FFFFFF"/>
            <w:vAlign w:val="center"/>
            <w:hideMark/>
          </w:tcPr>
          <w:p w14:paraId="045C6D96" w14:textId="6E324967" w:rsidR="002A4902" w:rsidRPr="0035149B" w:rsidRDefault="002A4902" w:rsidP="002A4902">
            <w:pPr>
              <w:jc w:val="center"/>
              <w:rPr>
                <w:rFonts w:eastAsia="Times New Roman" w:cs="Times New Roman"/>
                <w:sz w:val="18"/>
                <w:szCs w:val="18"/>
                <w:lang w:eastAsia="lv-LV"/>
              </w:rPr>
            </w:pPr>
            <w:r>
              <w:rPr>
                <w:sz w:val="18"/>
                <w:szCs w:val="18"/>
              </w:rPr>
              <w:t>26 986</w:t>
            </w:r>
          </w:p>
        </w:tc>
        <w:tc>
          <w:tcPr>
            <w:tcW w:w="1296" w:type="dxa"/>
            <w:tcBorders>
              <w:top w:val="single" w:sz="4" w:space="0" w:color="BFBFBF"/>
              <w:left w:val="nil"/>
              <w:bottom w:val="single" w:sz="4" w:space="0" w:color="BFBFBF"/>
              <w:right w:val="single" w:sz="4" w:space="0" w:color="BFBFBF"/>
            </w:tcBorders>
            <w:shd w:val="clear" w:color="000000" w:fill="FFFFFF"/>
            <w:vAlign w:val="center"/>
            <w:hideMark/>
          </w:tcPr>
          <w:p w14:paraId="68E4BFC6" w14:textId="1A36E111" w:rsidR="002A4902" w:rsidRPr="0035149B" w:rsidRDefault="002A4902" w:rsidP="002A4902">
            <w:pPr>
              <w:jc w:val="center"/>
              <w:rPr>
                <w:rFonts w:eastAsia="Times New Roman" w:cs="Times New Roman"/>
                <w:sz w:val="18"/>
                <w:szCs w:val="18"/>
                <w:lang w:eastAsia="lv-LV"/>
              </w:rPr>
            </w:pPr>
            <w:r>
              <w:rPr>
                <w:sz w:val="18"/>
                <w:szCs w:val="18"/>
              </w:rPr>
              <w:t>x</w:t>
            </w:r>
          </w:p>
        </w:tc>
      </w:tr>
    </w:tbl>
    <w:p w14:paraId="7D9F62F2" w14:textId="3E0E86CD" w:rsidR="003F4DE8" w:rsidRDefault="003F4DE8" w:rsidP="003F4DE8">
      <w:pPr>
        <w:jc w:val="both"/>
        <w:rPr>
          <w:sz w:val="28"/>
          <w:szCs w:val="28"/>
        </w:rPr>
      </w:pPr>
    </w:p>
    <w:p w14:paraId="4E56343F" w14:textId="5A3BCBA9" w:rsidR="0035149B" w:rsidRDefault="0035149B" w:rsidP="003F4DE8">
      <w:pPr>
        <w:jc w:val="both"/>
        <w:rPr>
          <w:sz w:val="28"/>
          <w:szCs w:val="28"/>
        </w:rPr>
      </w:pPr>
    </w:p>
    <w:p w14:paraId="4300F66D" w14:textId="77777777" w:rsidR="002742AE" w:rsidRDefault="002742AE" w:rsidP="003F4DE8">
      <w:pPr>
        <w:jc w:val="both"/>
        <w:rPr>
          <w:sz w:val="28"/>
          <w:szCs w:val="28"/>
        </w:rPr>
      </w:pPr>
    </w:p>
    <w:p w14:paraId="1B41C668" w14:textId="77777777" w:rsidR="002742AE" w:rsidRPr="009173C1" w:rsidRDefault="002742AE" w:rsidP="00E36839">
      <w:pPr>
        <w:tabs>
          <w:tab w:val="left" w:pos="6521"/>
        </w:tabs>
        <w:ind w:firstLine="709"/>
        <w:rPr>
          <w:sz w:val="28"/>
          <w:szCs w:val="28"/>
        </w:rPr>
      </w:pPr>
      <w:r w:rsidRPr="009173C1">
        <w:rPr>
          <w:sz w:val="28"/>
          <w:szCs w:val="28"/>
        </w:rPr>
        <w:t>Iekšlietu ministrs</w:t>
      </w:r>
      <w:r w:rsidRPr="009173C1">
        <w:rPr>
          <w:sz w:val="28"/>
          <w:szCs w:val="28"/>
        </w:rPr>
        <w:tab/>
        <w:t>S</w:t>
      </w:r>
      <w:r>
        <w:rPr>
          <w:sz w:val="28"/>
          <w:szCs w:val="28"/>
        </w:rPr>
        <w:t>. </w:t>
      </w:r>
      <w:r w:rsidRPr="009173C1">
        <w:rPr>
          <w:sz w:val="28"/>
          <w:szCs w:val="28"/>
        </w:rPr>
        <w:t>Ģirģen</w:t>
      </w:r>
      <w:r>
        <w:rPr>
          <w:sz w:val="28"/>
          <w:szCs w:val="28"/>
        </w:rPr>
        <w:t>s</w:t>
      </w:r>
    </w:p>
    <w:sectPr w:rsidR="002742AE" w:rsidRPr="009173C1" w:rsidSect="00B00CD1">
      <w:headerReference w:type="even" r:id="rId10"/>
      <w:headerReference w:type="default" r:id="rId11"/>
      <w:footerReference w:type="even" r:id="rId12"/>
      <w:footerReference w:type="default" r:id="rId13"/>
      <w:headerReference w:type="first" r:id="rId14"/>
      <w:footerReference w:type="first" r:id="rId15"/>
      <w:pgSz w:w="16838" w:h="11906" w:orient="landscape"/>
      <w:pgMar w:top="1276"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A792" w14:textId="77777777" w:rsidR="0034379B" w:rsidRDefault="0034379B" w:rsidP="008A7686">
      <w:r>
        <w:separator/>
      </w:r>
    </w:p>
  </w:endnote>
  <w:endnote w:type="continuationSeparator" w:id="0">
    <w:p w14:paraId="7FC0353C" w14:textId="77777777" w:rsidR="0034379B" w:rsidRDefault="0034379B" w:rsidP="008A7686">
      <w:r>
        <w:continuationSeparator/>
      </w:r>
    </w:p>
  </w:endnote>
  <w:endnote w:type="continuationNotice" w:id="1">
    <w:p w14:paraId="7402892D" w14:textId="77777777" w:rsidR="0034379B" w:rsidRDefault="00343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BD60" w14:textId="77777777" w:rsidR="002D1FA0" w:rsidRDefault="002D1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3A92" w14:textId="20A506CF" w:rsidR="002D1FA0" w:rsidRDefault="002D1FA0">
    <w:pPr>
      <w:pStyle w:val="Footer"/>
    </w:pPr>
    <w:r>
      <w:t>IEMPlans_04062020_NILLTPFN</w:t>
    </w:r>
    <w:bookmarkStart w:id="5" w:name="_GoBack"/>
    <w:bookmarkEnd w:id="5"/>
  </w:p>
  <w:p w14:paraId="40C47F90" w14:textId="6C0B8AFF" w:rsidR="0034379B" w:rsidRDefault="0034379B" w:rsidP="002742AE">
    <w:pPr>
      <w:pStyle w:val="Footer"/>
      <w:tabs>
        <w:tab w:val="left" w:pos="3686"/>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7D95" w14:textId="34E360C3" w:rsidR="0034379B" w:rsidRDefault="0034379B" w:rsidP="002742AE">
    <w:pPr>
      <w:pStyle w:val="Footer"/>
      <w:tabs>
        <w:tab w:val="left" w:pos="3686"/>
      </w:tabs>
      <w:jc w:val="right"/>
    </w:pPr>
    <w:bookmarkStart w:id="6" w:name="_Hlk505843546"/>
    <w:bookmarkStart w:id="7" w:name="_Hlk505843547"/>
    <w:bookmarkStart w:id="8" w:name="_Hlk505844155"/>
    <w:bookmarkStart w:id="9" w:name="_Hlk505844156"/>
    <w:r w:rsidRPr="002742AE" w:rsidDel="00C61DEF">
      <w:rPr>
        <w:b/>
        <w:sz w:val="28"/>
        <w:szCs w:val="28"/>
      </w:rPr>
      <w:t xml:space="preserve"> </w:t>
    </w:r>
    <w:r w:rsidRPr="009B5AE3">
      <w:rPr>
        <w:rStyle w:val="PageNumber"/>
        <w:sz w:val="20"/>
      </w:rPr>
      <w:fldChar w:fldCharType="begin"/>
    </w:r>
    <w:r w:rsidRPr="009B5AE3">
      <w:rPr>
        <w:rStyle w:val="PageNumber"/>
        <w:sz w:val="20"/>
      </w:rPr>
      <w:instrText xml:space="preserve"> PAGE </w:instrText>
    </w:r>
    <w:r w:rsidRPr="009B5AE3">
      <w:rPr>
        <w:rStyle w:val="PageNumber"/>
        <w:sz w:val="20"/>
      </w:rPr>
      <w:fldChar w:fldCharType="separate"/>
    </w:r>
    <w:r w:rsidR="002D1FA0">
      <w:rPr>
        <w:rStyle w:val="PageNumber"/>
        <w:noProof/>
        <w:sz w:val="20"/>
      </w:rPr>
      <w:t>1</w:t>
    </w:r>
    <w:r w:rsidRPr="009B5AE3">
      <w:rPr>
        <w:rStyle w:val="PageNumber"/>
        <w:sz w:val="20"/>
      </w:rPr>
      <w:fldChar w:fldCharType="end"/>
    </w:r>
    <w:r w:rsidRPr="009B5AE3">
      <w:rPr>
        <w:rStyle w:val="PageNumber"/>
        <w:sz w:val="20"/>
      </w:rPr>
      <w:t>-</w:t>
    </w:r>
    <w:r w:rsidRPr="009B5AE3">
      <w:rPr>
        <w:rStyle w:val="PageNumber"/>
        <w:sz w:val="20"/>
      </w:rPr>
      <w:fldChar w:fldCharType="begin"/>
    </w:r>
    <w:r w:rsidRPr="009B5AE3">
      <w:rPr>
        <w:rStyle w:val="PageNumber"/>
        <w:sz w:val="20"/>
      </w:rPr>
      <w:instrText xml:space="preserve"> NUMPAGES </w:instrText>
    </w:r>
    <w:r w:rsidRPr="009B5AE3">
      <w:rPr>
        <w:rStyle w:val="PageNumber"/>
        <w:sz w:val="20"/>
      </w:rPr>
      <w:fldChar w:fldCharType="separate"/>
    </w:r>
    <w:r w:rsidR="002D1FA0">
      <w:rPr>
        <w:rStyle w:val="PageNumber"/>
        <w:noProof/>
        <w:sz w:val="20"/>
      </w:rPr>
      <w:t>60</w:t>
    </w:r>
    <w:r w:rsidRPr="009B5AE3">
      <w:rPr>
        <w:rStyle w:val="PageNumber"/>
        <w:sz w:val="20"/>
      </w:rPr>
      <w:fldChar w:fldCharType="end"/>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0B306" w14:textId="77777777" w:rsidR="0034379B" w:rsidRDefault="0034379B" w:rsidP="008A7686">
      <w:r>
        <w:separator/>
      </w:r>
    </w:p>
  </w:footnote>
  <w:footnote w:type="continuationSeparator" w:id="0">
    <w:p w14:paraId="49F5F967" w14:textId="77777777" w:rsidR="0034379B" w:rsidRDefault="0034379B" w:rsidP="008A7686">
      <w:r>
        <w:continuationSeparator/>
      </w:r>
    </w:p>
  </w:footnote>
  <w:footnote w:type="continuationNotice" w:id="1">
    <w:p w14:paraId="16C47733" w14:textId="77777777" w:rsidR="0034379B" w:rsidRDefault="0034379B"/>
  </w:footnote>
  <w:footnote w:id="2">
    <w:p w14:paraId="0A942EFA" w14:textId="77777777" w:rsidR="0034379B" w:rsidRDefault="0034379B" w:rsidP="00EA244A">
      <w:pPr>
        <w:pStyle w:val="FootnoteText"/>
        <w:jc w:val="both"/>
      </w:pPr>
      <w:r>
        <w:rPr>
          <w:rStyle w:val="FootnoteReference"/>
        </w:rPr>
        <w:footnoteRef/>
      </w:r>
      <w:r>
        <w:t xml:space="preserve"> Saskaņā ar </w:t>
      </w:r>
      <w:r w:rsidRPr="008A7D10">
        <w:t>Papildinātā Latvijas Nacionālā NILLTF risku novērtēšanas ziņojuma</w:t>
      </w:r>
      <w:r>
        <w:t xml:space="preserve"> 1.3.7.apakšpunktu viens no faktoriem, kas rada nozīmīgāko nacionālo ievainojamību, ir apstāklis, ka valsts politika NILLTFN jomā tiek veidota sadrumstaloti, ne vienmēr nodrošinot pietiekamu koordināciju iesaistīto institūciju vidū, kas savukārt kavē savlaicīgu esošo un nākotnes draudu un ievainojamības NILLTFN jomā apzināšanos un savlaicīgas novēršanas iespējas. </w:t>
      </w:r>
    </w:p>
  </w:footnote>
  <w:footnote w:id="3">
    <w:p w14:paraId="71DADE92" w14:textId="77777777" w:rsidR="0034379B" w:rsidRDefault="0034379B" w:rsidP="00EA244A">
      <w:pPr>
        <w:pStyle w:val="FootnoteText"/>
        <w:jc w:val="both"/>
      </w:pPr>
      <w:r>
        <w:rPr>
          <w:rStyle w:val="FootnoteReference"/>
        </w:rPr>
        <w:footnoteRef/>
      </w:r>
      <w:r>
        <w:t xml:space="preserve"> Saskaņā ar </w:t>
      </w:r>
      <w:r w:rsidRPr="008A7D10">
        <w:t>Papildinātā Latvijas Nacionālā NILLTF risku novērtēšanas ziņojuma</w:t>
      </w:r>
      <w:r>
        <w:t xml:space="preserve"> 1.3.7.apakšpunktu viens no faktoriem, kas rada nozīmīgāko nacionālo ievainojamību, ir atšķirīga izpratne un prakse NILLTF apkarošanas jautājumos izmeklēšanas iestādēs, prokuratūrā un tiesā, kas nedemonstrē prevencijas un soda neizbēgamības principu efektīvu īstenošanu.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E9A6" w14:textId="77777777" w:rsidR="002D1FA0" w:rsidRDefault="002D1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3248" w14:textId="77777777" w:rsidR="002D1FA0" w:rsidRDefault="002D1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7D94" w14:textId="77777777" w:rsidR="002D1FA0" w:rsidRDefault="002D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AFE"/>
    <w:multiLevelType w:val="hybridMultilevel"/>
    <w:tmpl w:val="6B1A2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00B06"/>
    <w:multiLevelType w:val="hybridMultilevel"/>
    <w:tmpl w:val="BD063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CA245D"/>
    <w:multiLevelType w:val="hybridMultilevel"/>
    <w:tmpl w:val="CCBA7E70"/>
    <w:lvl w:ilvl="0" w:tplc="79E0E77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345A31"/>
    <w:multiLevelType w:val="hybridMultilevel"/>
    <w:tmpl w:val="56A0BB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E3569"/>
    <w:multiLevelType w:val="hybridMultilevel"/>
    <w:tmpl w:val="C9869622"/>
    <w:lvl w:ilvl="0" w:tplc="1E40D4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847E26"/>
    <w:multiLevelType w:val="hybridMultilevel"/>
    <w:tmpl w:val="219A6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C4313B"/>
    <w:multiLevelType w:val="multilevel"/>
    <w:tmpl w:val="A0AA2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322C14"/>
    <w:multiLevelType w:val="hybridMultilevel"/>
    <w:tmpl w:val="6A3CE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6A0960"/>
    <w:multiLevelType w:val="multilevel"/>
    <w:tmpl w:val="E626FBBA"/>
    <w:lvl w:ilvl="0">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83"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03"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63"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83" w:hanging="1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43" w:hanging="1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1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23" w:hanging="1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183"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B804EB"/>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10" w15:restartNumberingAfterBreak="0">
    <w:nsid w:val="2F93458A"/>
    <w:multiLevelType w:val="multilevel"/>
    <w:tmpl w:val="1E3C46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945C06"/>
    <w:multiLevelType w:val="hybridMultilevel"/>
    <w:tmpl w:val="A1C44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16FAB"/>
    <w:multiLevelType w:val="multilevel"/>
    <w:tmpl w:val="A386BE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485488"/>
    <w:multiLevelType w:val="multilevel"/>
    <w:tmpl w:val="7A081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CC2D73"/>
    <w:multiLevelType w:val="multilevel"/>
    <w:tmpl w:val="373C7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43485397"/>
    <w:multiLevelType w:val="hybridMultilevel"/>
    <w:tmpl w:val="267CC97C"/>
    <w:lvl w:ilvl="0" w:tplc="515EF0B4">
      <w:start w:val="1"/>
      <w:numFmt w:val="decimal"/>
      <w:lvlText w:val="%1)"/>
      <w:lvlJc w:val="left"/>
      <w:pPr>
        <w:ind w:left="312"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E0F9D2">
      <w:start w:val="1"/>
      <w:numFmt w:val="lowerLetter"/>
      <w:lvlText w:val="%2."/>
      <w:lvlJc w:val="left"/>
      <w:pPr>
        <w:ind w:left="103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1562DF4">
      <w:start w:val="1"/>
      <w:numFmt w:val="lowerRoman"/>
      <w:lvlText w:val="%3."/>
      <w:lvlJc w:val="left"/>
      <w:pPr>
        <w:ind w:left="1752"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0F88C92">
      <w:start w:val="1"/>
      <w:numFmt w:val="decimal"/>
      <w:lvlText w:val="%4."/>
      <w:lvlJc w:val="left"/>
      <w:pPr>
        <w:ind w:left="247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E080ACE">
      <w:start w:val="1"/>
      <w:numFmt w:val="lowerLetter"/>
      <w:lvlText w:val="%5."/>
      <w:lvlJc w:val="left"/>
      <w:pPr>
        <w:ind w:left="319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B042B12">
      <w:start w:val="1"/>
      <w:numFmt w:val="lowerRoman"/>
      <w:lvlText w:val="%6."/>
      <w:lvlJc w:val="left"/>
      <w:pPr>
        <w:ind w:left="3912"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A0BCE03E">
      <w:start w:val="1"/>
      <w:numFmt w:val="decimal"/>
      <w:lvlText w:val="%7."/>
      <w:lvlJc w:val="left"/>
      <w:pPr>
        <w:ind w:left="463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226D0D8">
      <w:start w:val="1"/>
      <w:numFmt w:val="lowerLetter"/>
      <w:lvlText w:val="%8."/>
      <w:lvlJc w:val="left"/>
      <w:pPr>
        <w:ind w:left="535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94CEFC8">
      <w:start w:val="1"/>
      <w:numFmt w:val="lowerRoman"/>
      <w:lvlText w:val="%9."/>
      <w:lvlJc w:val="left"/>
      <w:pPr>
        <w:ind w:left="607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5B45336"/>
    <w:multiLevelType w:val="hybridMultilevel"/>
    <w:tmpl w:val="89E6B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C35A62"/>
    <w:multiLevelType w:val="multilevel"/>
    <w:tmpl w:val="46C8F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5A31A4"/>
    <w:multiLevelType w:val="hybridMultilevel"/>
    <w:tmpl w:val="A6546002"/>
    <w:lvl w:ilvl="0" w:tplc="F22ADD5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6B416A"/>
    <w:multiLevelType w:val="hybridMultilevel"/>
    <w:tmpl w:val="74623270"/>
    <w:lvl w:ilvl="0" w:tplc="4C302820">
      <w:start w:val="1"/>
      <w:numFmt w:val="bullet"/>
      <w:lvlText w:val="-"/>
      <w:lvlJc w:val="left"/>
      <w:pPr>
        <w:ind w:left="4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121C5C">
      <w:start w:val="1"/>
      <w:numFmt w:val="bullet"/>
      <w:lvlText w:val="o"/>
      <w:lvlJc w:val="left"/>
      <w:pPr>
        <w:ind w:left="11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26B516">
      <w:start w:val="1"/>
      <w:numFmt w:val="bullet"/>
      <w:lvlText w:val="▪"/>
      <w:lvlJc w:val="left"/>
      <w:pPr>
        <w:ind w:left="18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725CB8">
      <w:start w:val="1"/>
      <w:numFmt w:val="bullet"/>
      <w:lvlText w:val="•"/>
      <w:lvlJc w:val="left"/>
      <w:pPr>
        <w:ind w:left="25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C8245E">
      <w:start w:val="1"/>
      <w:numFmt w:val="bullet"/>
      <w:lvlText w:val="o"/>
      <w:lvlJc w:val="left"/>
      <w:pPr>
        <w:ind w:left="32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208A3A">
      <w:start w:val="1"/>
      <w:numFmt w:val="bullet"/>
      <w:lvlText w:val="▪"/>
      <w:lvlJc w:val="left"/>
      <w:pPr>
        <w:ind w:left="40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3C203A">
      <w:start w:val="1"/>
      <w:numFmt w:val="bullet"/>
      <w:lvlText w:val="•"/>
      <w:lvlJc w:val="left"/>
      <w:pPr>
        <w:ind w:left="47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C5554">
      <w:start w:val="1"/>
      <w:numFmt w:val="bullet"/>
      <w:lvlText w:val="o"/>
      <w:lvlJc w:val="left"/>
      <w:pPr>
        <w:ind w:left="54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BE53C2">
      <w:start w:val="1"/>
      <w:numFmt w:val="bullet"/>
      <w:lvlText w:val="▪"/>
      <w:lvlJc w:val="left"/>
      <w:pPr>
        <w:ind w:left="61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B095EF5"/>
    <w:multiLevelType w:val="hybridMultilevel"/>
    <w:tmpl w:val="3A4E3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460EA7"/>
    <w:multiLevelType w:val="multilevel"/>
    <w:tmpl w:val="BB9CE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4A11DF"/>
    <w:multiLevelType w:val="hybridMultilevel"/>
    <w:tmpl w:val="9D64800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1520E15"/>
    <w:multiLevelType w:val="hybridMultilevel"/>
    <w:tmpl w:val="814CD048"/>
    <w:lvl w:ilvl="0" w:tplc="68DE6ED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8E53F9"/>
    <w:multiLevelType w:val="hybridMultilevel"/>
    <w:tmpl w:val="6EA64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1F6F08"/>
    <w:multiLevelType w:val="multilevel"/>
    <w:tmpl w:val="C4AA6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AC1D4D"/>
    <w:multiLevelType w:val="multilevel"/>
    <w:tmpl w:val="A6465A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0906C2"/>
    <w:multiLevelType w:val="hybridMultilevel"/>
    <w:tmpl w:val="4A88B070"/>
    <w:lvl w:ilvl="0" w:tplc="81AE92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292082"/>
    <w:multiLevelType w:val="multilevel"/>
    <w:tmpl w:val="85768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0153D0"/>
    <w:multiLevelType w:val="multilevel"/>
    <w:tmpl w:val="4370A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C64D45"/>
    <w:multiLevelType w:val="multilevel"/>
    <w:tmpl w:val="334898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12105D"/>
    <w:multiLevelType w:val="hybridMultilevel"/>
    <w:tmpl w:val="EEB07EE4"/>
    <w:lvl w:ilvl="0" w:tplc="2284948A">
      <w:start w:val="3"/>
      <w:numFmt w:val="bullet"/>
      <w:lvlText w:val="-"/>
      <w:lvlJc w:val="left"/>
      <w:pPr>
        <w:ind w:left="405" w:hanging="360"/>
      </w:pPr>
      <w:rPr>
        <w:rFonts w:ascii="Times New Roman" w:eastAsiaTheme="minorHAnsi"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2" w15:restartNumberingAfterBreak="0">
    <w:nsid w:val="7C1B7154"/>
    <w:multiLevelType w:val="hybridMultilevel"/>
    <w:tmpl w:val="FC54EF3A"/>
    <w:lvl w:ilvl="0" w:tplc="2E1AED74">
      <w:start w:val="2020"/>
      <w:numFmt w:val="bullet"/>
      <w:lvlText w:val="-"/>
      <w:lvlJc w:val="left"/>
      <w:pPr>
        <w:ind w:left="401" w:hanging="360"/>
      </w:pPr>
      <w:rPr>
        <w:rFonts w:ascii="Times New Roman" w:eastAsiaTheme="minorHAnsi" w:hAnsi="Times New Roman"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abstractNum w:abstractNumId="33" w15:restartNumberingAfterBreak="0">
    <w:nsid w:val="7D404FFB"/>
    <w:multiLevelType w:val="hybridMultilevel"/>
    <w:tmpl w:val="B6A8FCCE"/>
    <w:lvl w:ilvl="0" w:tplc="109439F4">
      <w:start w:val="3"/>
      <w:numFmt w:val="bullet"/>
      <w:lvlText w:val="-"/>
      <w:lvlJc w:val="left"/>
      <w:pPr>
        <w:ind w:left="720" w:hanging="360"/>
      </w:pPr>
      <w:rPr>
        <w:rFonts w:ascii="Times New Roman" w:eastAsiaTheme="minorHAnsi" w:hAnsi="Times New Roman" w:cs="Times New Roman" w:hint="default"/>
        <w:b w:val="0"/>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6908B0"/>
    <w:multiLevelType w:val="hybridMultilevel"/>
    <w:tmpl w:val="22CC3FB6"/>
    <w:lvl w:ilvl="0" w:tplc="58C4E1D4">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8972B5"/>
    <w:multiLevelType w:val="hybridMultilevel"/>
    <w:tmpl w:val="95183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31"/>
  </w:num>
  <w:num w:numId="5">
    <w:abstractNumId w:val="8"/>
  </w:num>
  <w:num w:numId="6">
    <w:abstractNumId w:val="19"/>
  </w:num>
  <w:num w:numId="7">
    <w:abstractNumId w:val="5"/>
  </w:num>
  <w:num w:numId="8">
    <w:abstractNumId w:val="32"/>
  </w:num>
  <w:num w:numId="9">
    <w:abstractNumId w:val="1"/>
  </w:num>
  <w:num w:numId="10">
    <w:abstractNumId w:val="9"/>
  </w:num>
  <w:num w:numId="11">
    <w:abstractNumId w:val="15"/>
  </w:num>
  <w:num w:numId="12">
    <w:abstractNumId w:val="27"/>
  </w:num>
  <w:num w:numId="13">
    <w:abstractNumId w:val="24"/>
  </w:num>
  <w:num w:numId="14">
    <w:abstractNumId w:val="11"/>
  </w:num>
  <w:num w:numId="15">
    <w:abstractNumId w:val="34"/>
  </w:num>
  <w:num w:numId="16">
    <w:abstractNumId w:val="18"/>
  </w:num>
  <w:num w:numId="17">
    <w:abstractNumId w:val="2"/>
  </w:num>
  <w:num w:numId="18">
    <w:abstractNumId w:val="4"/>
  </w:num>
  <w:num w:numId="19">
    <w:abstractNumId w:val="35"/>
  </w:num>
  <w:num w:numId="20">
    <w:abstractNumId w:val="7"/>
  </w:num>
  <w:num w:numId="21">
    <w:abstractNumId w:val="25"/>
  </w:num>
  <w:num w:numId="22">
    <w:abstractNumId w:val="33"/>
  </w:num>
  <w:num w:numId="23">
    <w:abstractNumId w:val="17"/>
  </w:num>
  <w:num w:numId="24">
    <w:abstractNumId w:val="21"/>
  </w:num>
  <w:num w:numId="25">
    <w:abstractNumId w:val="28"/>
  </w:num>
  <w:num w:numId="26">
    <w:abstractNumId w:val="29"/>
  </w:num>
  <w:num w:numId="27">
    <w:abstractNumId w:val="13"/>
  </w:num>
  <w:num w:numId="28">
    <w:abstractNumId w:val="12"/>
  </w:num>
  <w:num w:numId="29">
    <w:abstractNumId w:val="10"/>
  </w:num>
  <w:num w:numId="30">
    <w:abstractNumId w:val="30"/>
  </w:num>
  <w:num w:numId="31">
    <w:abstractNumId w:val="26"/>
  </w:num>
  <w:num w:numId="32">
    <w:abstractNumId w:val="23"/>
  </w:num>
  <w:num w:numId="33">
    <w:abstractNumId w:val="22"/>
  </w:num>
  <w:num w:numId="34">
    <w:abstractNumId w:val="20"/>
  </w:num>
  <w:num w:numId="35">
    <w:abstractNumId w:val="6"/>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662"/>
    <w:rsid w:val="00000797"/>
    <w:rsid w:val="00000E22"/>
    <w:rsid w:val="000010E9"/>
    <w:rsid w:val="000012CB"/>
    <w:rsid w:val="00001FA0"/>
    <w:rsid w:val="00002CA6"/>
    <w:rsid w:val="00002D3D"/>
    <w:rsid w:val="00003C58"/>
    <w:rsid w:val="00004BA0"/>
    <w:rsid w:val="00004EF2"/>
    <w:rsid w:val="00004EF6"/>
    <w:rsid w:val="0000507F"/>
    <w:rsid w:val="00005263"/>
    <w:rsid w:val="000059B7"/>
    <w:rsid w:val="00005A22"/>
    <w:rsid w:val="00005BCC"/>
    <w:rsid w:val="00005BED"/>
    <w:rsid w:val="00007085"/>
    <w:rsid w:val="0000779F"/>
    <w:rsid w:val="00007CB4"/>
    <w:rsid w:val="00010C20"/>
    <w:rsid w:val="00011804"/>
    <w:rsid w:val="00011A37"/>
    <w:rsid w:val="00011D0A"/>
    <w:rsid w:val="00011F3A"/>
    <w:rsid w:val="00012117"/>
    <w:rsid w:val="00012BDB"/>
    <w:rsid w:val="000132AB"/>
    <w:rsid w:val="00013364"/>
    <w:rsid w:val="00013746"/>
    <w:rsid w:val="00014779"/>
    <w:rsid w:val="0001509E"/>
    <w:rsid w:val="000155A8"/>
    <w:rsid w:val="00015DD2"/>
    <w:rsid w:val="00016E09"/>
    <w:rsid w:val="00016E6D"/>
    <w:rsid w:val="00016F1F"/>
    <w:rsid w:val="00017934"/>
    <w:rsid w:val="00020833"/>
    <w:rsid w:val="00020E78"/>
    <w:rsid w:val="0002145A"/>
    <w:rsid w:val="000215A6"/>
    <w:rsid w:val="00021EE0"/>
    <w:rsid w:val="00024E0A"/>
    <w:rsid w:val="00025AB6"/>
    <w:rsid w:val="000261E6"/>
    <w:rsid w:val="00030CD1"/>
    <w:rsid w:val="00031192"/>
    <w:rsid w:val="000317E1"/>
    <w:rsid w:val="00032818"/>
    <w:rsid w:val="00032B5A"/>
    <w:rsid w:val="00033C6B"/>
    <w:rsid w:val="000340C6"/>
    <w:rsid w:val="000344B8"/>
    <w:rsid w:val="000368A1"/>
    <w:rsid w:val="000368EA"/>
    <w:rsid w:val="00037C79"/>
    <w:rsid w:val="00040061"/>
    <w:rsid w:val="00040337"/>
    <w:rsid w:val="00041052"/>
    <w:rsid w:val="0004180E"/>
    <w:rsid w:val="00041B4A"/>
    <w:rsid w:val="00041D9D"/>
    <w:rsid w:val="00042520"/>
    <w:rsid w:val="00042AD8"/>
    <w:rsid w:val="00044038"/>
    <w:rsid w:val="00046212"/>
    <w:rsid w:val="00046E70"/>
    <w:rsid w:val="000477EB"/>
    <w:rsid w:val="00047D05"/>
    <w:rsid w:val="00050634"/>
    <w:rsid w:val="00051281"/>
    <w:rsid w:val="00051D59"/>
    <w:rsid w:val="0005227B"/>
    <w:rsid w:val="0005279C"/>
    <w:rsid w:val="00052DDB"/>
    <w:rsid w:val="000538FA"/>
    <w:rsid w:val="00053D97"/>
    <w:rsid w:val="00054247"/>
    <w:rsid w:val="0005460C"/>
    <w:rsid w:val="00054C13"/>
    <w:rsid w:val="0005701D"/>
    <w:rsid w:val="000601CE"/>
    <w:rsid w:val="0006062A"/>
    <w:rsid w:val="0006091D"/>
    <w:rsid w:val="00060EBB"/>
    <w:rsid w:val="00061390"/>
    <w:rsid w:val="00061BB9"/>
    <w:rsid w:val="00063887"/>
    <w:rsid w:val="0006495D"/>
    <w:rsid w:val="00064F81"/>
    <w:rsid w:val="00065339"/>
    <w:rsid w:val="00065366"/>
    <w:rsid w:val="00066513"/>
    <w:rsid w:val="000670F3"/>
    <w:rsid w:val="00067A8F"/>
    <w:rsid w:val="000707D3"/>
    <w:rsid w:val="000712C7"/>
    <w:rsid w:val="00071A9F"/>
    <w:rsid w:val="0007258A"/>
    <w:rsid w:val="000738D1"/>
    <w:rsid w:val="00074704"/>
    <w:rsid w:val="00074E1F"/>
    <w:rsid w:val="0007551F"/>
    <w:rsid w:val="00075AAF"/>
    <w:rsid w:val="00075AE4"/>
    <w:rsid w:val="00075EFF"/>
    <w:rsid w:val="0007769A"/>
    <w:rsid w:val="0007773B"/>
    <w:rsid w:val="0008052F"/>
    <w:rsid w:val="00081409"/>
    <w:rsid w:val="00081A59"/>
    <w:rsid w:val="000824DA"/>
    <w:rsid w:val="00083B83"/>
    <w:rsid w:val="000841C1"/>
    <w:rsid w:val="0008471B"/>
    <w:rsid w:val="00084A9F"/>
    <w:rsid w:val="0008512A"/>
    <w:rsid w:val="000853A3"/>
    <w:rsid w:val="00085416"/>
    <w:rsid w:val="0008545B"/>
    <w:rsid w:val="000857BE"/>
    <w:rsid w:val="000865A6"/>
    <w:rsid w:val="00086A23"/>
    <w:rsid w:val="00086A74"/>
    <w:rsid w:val="0009140F"/>
    <w:rsid w:val="0009186B"/>
    <w:rsid w:val="00092B1A"/>
    <w:rsid w:val="00094165"/>
    <w:rsid w:val="0009486A"/>
    <w:rsid w:val="00094D74"/>
    <w:rsid w:val="000950D9"/>
    <w:rsid w:val="00095C8D"/>
    <w:rsid w:val="00096A94"/>
    <w:rsid w:val="00096AA3"/>
    <w:rsid w:val="0009711A"/>
    <w:rsid w:val="0009738F"/>
    <w:rsid w:val="000975DA"/>
    <w:rsid w:val="000977FD"/>
    <w:rsid w:val="000A13C4"/>
    <w:rsid w:val="000A1A89"/>
    <w:rsid w:val="000A28C2"/>
    <w:rsid w:val="000A2B24"/>
    <w:rsid w:val="000A3249"/>
    <w:rsid w:val="000A36BA"/>
    <w:rsid w:val="000A3E28"/>
    <w:rsid w:val="000A4B43"/>
    <w:rsid w:val="000A4BCB"/>
    <w:rsid w:val="000A4F2F"/>
    <w:rsid w:val="000A5546"/>
    <w:rsid w:val="000A5FBA"/>
    <w:rsid w:val="000A64FF"/>
    <w:rsid w:val="000A6F59"/>
    <w:rsid w:val="000B05C7"/>
    <w:rsid w:val="000B098A"/>
    <w:rsid w:val="000B0E1E"/>
    <w:rsid w:val="000B1B37"/>
    <w:rsid w:val="000B2C87"/>
    <w:rsid w:val="000B3CEB"/>
    <w:rsid w:val="000B42F3"/>
    <w:rsid w:val="000B4789"/>
    <w:rsid w:val="000B4CE3"/>
    <w:rsid w:val="000B5A71"/>
    <w:rsid w:val="000B60B1"/>
    <w:rsid w:val="000B67F6"/>
    <w:rsid w:val="000B6E26"/>
    <w:rsid w:val="000B7722"/>
    <w:rsid w:val="000B7F13"/>
    <w:rsid w:val="000C02B4"/>
    <w:rsid w:val="000C07B7"/>
    <w:rsid w:val="000C0829"/>
    <w:rsid w:val="000C118F"/>
    <w:rsid w:val="000C1798"/>
    <w:rsid w:val="000C2477"/>
    <w:rsid w:val="000C2B06"/>
    <w:rsid w:val="000C2D5E"/>
    <w:rsid w:val="000C3B83"/>
    <w:rsid w:val="000C5748"/>
    <w:rsid w:val="000C6475"/>
    <w:rsid w:val="000C64F8"/>
    <w:rsid w:val="000C68D7"/>
    <w:rsid w:val="000C6A6F"/>
    <w:rsid w:val="000C78AB"/>
    <w:rsid w:val="000C7E03"/>
    <w:rsid w:val="000C7EA0"/>
    <w:rsid w:val="000D01A2"/>
    <w:rsid w:val="000D0343"/>
    <w:rsid w:val="000D03B2"/>
    <w:rsid w:val="000D0811"/>
    <w:rsid w:val="000D0E68"/>
    <w:rsid w:val="000D0F6D"/>
    <w:rsid w:val="000D0FCD"/>
    <w:rsid w:val="000D1851"/>
    <w:rsid w:val="000D2E93"/>
    <w:rsid w:val="000D3013"/>
    <w:rsid w:val="000D3CE4"/>
    <w:rsid w:val="000D4176"/>
    <w:rsid w:val="000D472F"/>
    <w:rsid w:val="000D4C76"/>
    <w:rsid w:val="000D50D2"/>
    <w:rsid w:val="000D51C9"/>
    <w:rsid w:val="000D683E"/>
    <w:rsid w:val="000D6C44"/>
    <w:rsid w:val="000D6CFF"/>
    <w:rsid w:val="000D78F8"/>
    <w:rsid w:val="000D7A07"/>
    <w:rsid w:val="000E036F"/>
    <w:rsid w:val="000E05FD"/>
    <w:rsid w:val="000E15EB"/>
    <w:rsid w:val="000E1B83"/>
    <w:rsid w:val="000E1C7F"/>
    <w:rsid w:val="000E1D8F"/>
    <w:rsid w:val="000E24E4"/>
    <w:rsid w:val="000E287D"/>
    <w:rsid w:val="000E37B7"/>
    <w:rsid w:val="000E4222"/>
    <w:rsid w:val="000E4C1C"/>
    <w:rsid w:val="000E4D3A"/>
    <w:rsid w:val="000E54CF"/>
    <w:rsid w:val="000E5C49"/>
    <w:rsid w:val="000E5C50"/>
    <w:rsid w:val="000E5F2F"/>
    <w:rsid w:val="000E646C"/>
    <w:rsid w:val="000F0B38"/>
    <w:rsid w:val="000F23EC"/>
    <w:rsid w:val="000F2D22"/>
    <w:rsid w:val="000F2EB7"/>
    <w:rsid w:val="000F448E"/>
    <w:rsid w:val="000F455A"/>
    <w:rsid w:val="000F4C99"/>
    <w:rsid w:val="000F5234"/>
    <w:rsid w:val="000F56D8"/>
    <w:rsid w:val="000F58EA"/>
    <w:rsid w:val="000F7119"/>
    <w:rsid w:val="000F7575"/>
    <w:rsid w:val="000F7892"/>
    <w:rsid w:val="00100548"/>
    <w:rsid w:val="0010082C"/>
    <w:rsid w:val="00101E2A"/>
    <w:rsid w:val="00102D5B"/>
    <w:rsid w:val="00103052"/>
    <w:rsid w:val="00103054"/>
    <w:rsid w:val="0010309D"/>
    <w:rsid w:val="001041E1"/>
    <w:rsid w:val="00104707"/>
    <w:rsid w:val="00104788"/>
    <w:rsid w:val="00104BBC"/>
    <w:rsid w:val="00104C9A"/>
    <w:rsid w:val="00105264"/>
    <w:rsid w:val="001052A3"/>
    <w:rsid w:val="001054BF"/>
    <w:rsid w:val="00105758"/>
    <w:rsid w:val="00105BB3"/>
    <w:rsid w:val="00105D26"/>
    <w:rsid w:val="00105FCB"/>
    <w:rsid w:val="001068EA"/>
    <w:rsid w:val="00106C8C"/>
    <w:rsid w:val="00107138"/>
    <w:rsid w:val="00107C5B"/>
    <w:rsid w:val="00107FE9"/>
    <w:rsid w:val="00110748"/>
    <w:rsid w:val="00110AFF"/>
    <w:rsid w:val="00110F73"/>
    <w:rsid w:val="00111755"/>
    <w:rsid w:val="00112292"/>
    <w:rsid w:val="001127F2"/>
    <w:rsid w:val="001131D0"/>
    <w:rsid w:val="00113E8B"/>
    <w:rsid w:val="0011419F"/>
    <w:rsid w:val="00116169"/>
    <w:rsid w:val="0011623D"/>
    <w:rsid w:val="00117B8E"/>
    <w:rsid w:val="001209FF"/>
    <w:rsid w:val="00120B02"/>
    <w:rsid w:val="00121773"/>
    <w:rsid w:val="00121AD5"/>
    <w:rsid w:val="00121B73"/>
    <w:rsid w:val="00122AD7"/>
    <w:rsid w:val="00122BD7"/>
    <w:rsid w:val="00123141"/>
    <w:rsid w:val="00123E6E"/>
    <w:rsid w:val="0012517F"/>
    <w:rsid w:val="001258DB"/>
    <w:rsid w:val="001258EC"/>
    <w:rsid w:val="00126E9C"/>
    <w:rsid w:val="0012750F"/>
    <w:rsid w:val="00130048"/>
    <w:rsid w:val="001300DF"/>
    <w:rsid w:val="00131B1F"/>
    <w:rsid w:val="00132338"/>
    <w:rsid w:val="00132469"/>
    <w:rsid w:val="001332C5"/>
    <w:rsid w:val="001341C3"/>
    <w:rsid w:val="0013575F"/>
    <w:rsid w:val="0013637B"/>
    <w:rsid w:val="00136F39"/>
    <w:rsid w:val="00137930"/>
    <w:rsid w:val="00137BD9"/>
    <w:rsid w:val="00137F91"/>
    <w:rsid w:val="0014039B"/>
    <w:rsid w:val="00140570"/>
    <w:rsid w:val="00140686"/>
    <w:rsid w:val="00140B64"/>
    <w:rsid w:val="0014113C"/>
    <w:rsid w:val="00141DAB"/>
    <w:rsid w:val="00141DBB"/>
    <w:rsid w:val="0014268B"/>
    <w:rsid w:val="0014512D"/>
    <w:rsid w:val="001451D6"/>
    <w:rsid w:val="001459F9"/>
    <w:rsid w:val="0014632B"/>
    <w:rsid w:val="001469CA"/>
    <w:rsid w:val="0014702B"/>
    <w:rsid w:val="001471C5"/>
    <w:rsid w:val="00147750"/>
    <w:rsid w:val="00150205"/>
    <w:rsid w:val="001504EE"/>
    <w:rsid w:val="001505D5"/>
    <w:rsid w:val="00153038"/>
    <w:rsid w:val="00153114"/>
    <w:rsid w:val="0015359E"/>
    <w:rsid w:val="00153CFB"/>
    <w:rsid w:val="00153D37"/>
    <w:rsid w:val="001544CB"/>
    <w:rsid w:val="0015463D"/>
    <w:rsid w:val="00155509"/>
    <w:rsid w:val="0015565C"/>
    <w:rsid w:val="00156099"/>
    <w:rsid w:val="00156198"/>
    <w:rsid w:val="00157025"/>
    <w:rsid w:val="001576C7"/>
    <w:rsid w:val="00157C3A"/>
    <w:rsid w:val="00157C4F"/>
    <w:rsid w:val="001607E4"/>
    <w:rsid w:val="00161201"/>
    <w:rsid w:val="001614DF"/>
    <w:rsid w:val="00161E8F"/>
    <w:rsid w:val="0016264A"/>
    <w:rsid w:val="001628EF"/>
    <w:rsid w:val="00162DCB"/>
    <w:rsid w:val="0016364D"/>
    <w:rsid w:val="0016393C"/>
    <w:rsid w:val="00163940"/>
    <w:rsid w:val="0016406E"/>
    <w:rsid w:val="00165033"/>
    <w:rsid w:val="0016623A"/>
    <w:rsid w:val="001663D2"/>
    <w:rsid w:val="00166616"/>
    <w:rsid w:val="00167F4E"/>
    <w:rsid w:val="00170049"/>
    <w:rsid w:val="001706C6"/>
    <w:rsid w:val="00171A05"/>
    <w:rsid w:val="00171F11"/>
    <w:rsid w:val="00172808"/>
    <w:rsid w:val="00173D53"/>
    <w:rsid w:val="00173E35"/>
    <w:rsid w:val="001745FA"/>
    <w:rsid w:val="001748EE"/>
    <w:rsid w:val="00174D9A"/>
    <w:rsid w:val="001758AA"/>
    <w:rsid w:val="00175C84"/>
    <w:rsid w:val="001766F6"/>
    <w:rsid w:val="001767CC"/>
    <w:rsid w:val="00177476"/>
    <w:rsid w:val="00177F43"/>
    <w:rsid w:val="00180021"/>
    <w:rsid w:val="00180302"/>
    <w:rsid w:val="00180B05"/>
    <w:rsid w:val="00180E68"/>
    <w:rsid w:val="00181162"/>
    <w:rsid w:val="0018182E"/>
    <w:rsid w:val="00181B0E"/>
    <w:rsid w:val="00182309"/>
    <w:rsid w:val="001826FB"/>
    <w:rsid w:val="00183A17"/>
    <w:rsid w:val="00183F04"/>
    <w:rsid w:val="0018424E"/>
    <w:rsid w:val="001845E3"/>
    <w:rsid w:val="00185015"/>
    <w:rsid w:val="00185B7D"/>
    <w:rsid w:val="00186872"/>
    <w:rsid w:val="001871E2"/>
    <w:rsid w:val="0018731B"/>
    <w:rsid w:val="0018760A"/>
    <w:rsid w:val="00187DDF"/>
    <w:rsid w:val="00190052"/>
    <w:rsid w:val="00190483"/>
    <w:rsid w:val="00190EAC"/>
    <w:rsid w:val="00191337"/>
    <w:rsid w:val="0019186E"/>
    <w:rsid w:val="00191C97"/>
    <w:rsid w:val="00191F59"/>
    <w:rsid w:val="00192E78"/>
    <w:rsid w:val="001932D5"/>
    <w:rsid w:val="001934C7"/>
    <w:rsid w:val="001949D4"/>
    <w:rsid w:val="00195179"/>
    <w:rsid w:val="00195285"/>
    <w:rsid w:val="0019538B"/>
    <w:rsid w:val="0019561B"/>
    <w:rsid w:val="00195F9D"/>
    <w:rsid w:val="00196468"/>
    <w:rsid w:val="00197725"/>
    <w:rsid w:val="00197931"/>
    <w:rsid w:val="00197D8A"/>
    <w:rsid w:val="001A122E"/>
    <w:rsid w:val="001A1298"/>
    <w:rsid w:val="001A13DF"/>
    <w:rsid w:val="001A18D7"/>
    <w:rsid w:val="001A30C3"/>
    <w:rsid w:val="001A31DD"/>
    <w:rsid w:val="001A36F8"/>
    <w:rsid w:val="001A45AE"/>
    <w:rsid w:val="001A4704"/>
    <w:rsid w:val="001A4813"/>
    <w:rsid w:val="001A5EA7"/>
    <w:rsid w:val="001A67A5"/>
    <w:rsid w:val="001A704C"/>
    <w:rsid w:val="001A726B"/>
    <w:rsid w:val="001A7662"/>
    <w:rsid w:val="001B012B"/>
    <w:rsid w:val="001B0D24"/>
    <w:rsid w:val="001B10D3"/>
    <w:rsid w:val="001B1DB1"/>
    <w:rsid w:val="001B243A"/>
    <w:rsid w:val="001B2BEE"/>
    <w:rsid w:val="001B2D61"/>
    <w:rsid w:val="001B2D6F"/>
    <w:rsid w:val="001B2F18"/>
    <w:rsid w:val="001B3100"/>
    <w:rsid w:val="001B3903"/>
    <w:rsid w:val="001B3F59"/>
    <w:rsid w:val="001B413E"/>
    <w:rsid w:val="001B44CC"/>
    <w:rsid w:val="001B4949"/>
    <w:rsid w:val="001B7A02"/>
    <w:rsid w:val="001C1822"/>
    <w:rsid w:val="001C227D"/>
    <w:rsid w:val="001C2282"/>
    <w:rsid w:val="001C273B"/>
    <w:rsid w:val="001C2B0B"/>
    <w:rsid w:val="001C2B3B"/>
    <w:rsid w:val="001C40B0"/>
    <w:rsid w:val="001C5D53"/>
    <w:rsid w:val="001D0306"/>
    <w:rsid w:val="001D0623"/>
    <w:rsid w:val="001D1193"/>
    <w:rsid w:val="001D16B7"/>
    <w:rsid w:val="001D18D0"/>
    <w:rsid w:val="001D19E7"/>
    <w:rsid w:val="001D23F0"/>
    <w:rsid w:val="001D2598"/>
    <w:rsid w:val="001D26AB"/>
    <w:rsid w:val="001D2F73"/>
    <w:rsid w:val="001D36AA"/>
    <w:rsid w:val="001D3A5B"/>
    <w:rsid w:val="001D4109"/>
    <w:rsid w:val="001D42F9"/>
    <w:rsid w:val="001D48E7"/>
    <w:rsid w:val="001D4D9B"/>
    <w:rsid w:val="001D5040"/>
    <w:rsid w:val="001D505F"/>
    <w:rsid w:val="001D5BB4"/>
    <w:rsid w:val="001D6CFA"/>
    <w:rsid w:val="001D71F4"/>
    <w:rsid w:val="001D77C5"/>
    <w:rsid w:val="001D7E56"/>
    <w:rsid w:val="001E07EB"/>
    <w:rsid w:val="001E08B3"/>
    <w:rsid w:val="001E0AB7"/>
    <w:rsid w:val="001E117E"/>
    <w:rsid w:val="001E15FF"/>
    <w:rsid w:val="001E1C4E"/>
    <w:rsid w:val="001E1CCE"/>
    <w:rsid w:val="001E265F"/>
    <w:rsid w:val="001E29AD"/>
    <w:rsid w:val="001E2E57"/>
    <w:rsid w:val="001E36B6"/>
    <w:rsid w:val="001E38F1"/>
    <w:rsid w:val="001E3F33"/>
    <w:rsid w:val="001E5178"/>
    <w:rsid w:val="001E51E1"/>
    <w:rsid w:val="001E59B6"/>
    <w:rsid w:val="001E6ABC"/>
    <w:rsid w:val="001E6FED"/>
    <w:rsid w:val="001E7B13"/>
    <w:rsid w:val="001F0455"/>
    <w:rsid w:val="001F0933"/>
    <w:rsid w:val="001F11C4"/>
    <w:rsid w:val="001F14F3"/>
    <w:rsid w:val="001F18B2"/>
    <w:rsid w:val="001F1F4C"/>
    <w:rsid w:val="001F2616"/>
    <w:rsid w:val="001F297A"/>
    <w:rsid w:val="001F339F"/>
    <w:rsid w:val="001F4485"/>
    <w:rsid w:val="001F4B27"/>
    <w:rsid w:val="001F4CFF"/>
    <w:rsid w:val="001F5C9F"/>
    <w:rsid w:val="001F67E2"/>
    <w:rsid w:val="001F6A8B"/>
    <w:rsid w:val="001F6FBA"/>
    <w:rsid w:val="001F70D4"/>
    <w:rsid w:val="001F76B5"/>
    <w:rsid w:val="002009AC"/>
    <w:rsid w:val="00201071"/>
    <w:rsid w:val="00201F99"/>
    <w:rsid w:val="002021F6"/>
    <w:rsid w:val="00202289"/>
    <w:rsid w:val="00202A29"/>
    <w:rsid w:val="00202B60"/>
    <w:rsid w:val="00203A93"/>
    <w:rsid w:val="0020620A"/>
    <w:rsid w:val="002074CC"/>
    <w:rsid w:val="002074EF"/>
    <w:rsid w:val="00207B91"/>
    <w:rsid w:val="00207CE5"/>
    <w:rsid w:val="00210A1D"/>
    <w:rsid w:val="00210B8B"/>
    <w:rsid w:val="0021192D"/>
    <w:rsid w:val="00211EDC"/>
    <w:rsid w:val="00212B02"/>
    <w:rsid w:val="00212C8F"/>
    <w:rsid w:val="00213467"/>
    <w:rsid w:val="0021368D"/>
    <w:rsid w:val="00213891"/>
    <w:rsid w:val="00214BEB"/>
    <w:rsid w:val="00214CAE"/>
    <w:rsid w:val="00214D65"/>
    <w:rsid w:val="00214DCF"/>
    <w:rsid w:val="00215865"/>
    <w:rsid w:val="002159B4"/>
    <w:rsid w:val="00216F0B"/>
    <w:rsid w:val="0021719D"/>
    <w:rsid w:val="002174F2"/>
    <w:rsid w:val="00220FA0"/>
    <w:rsid w:val="0022145F"/>
    <w:rsid w:val="00221606"/>
    <w:rsid w:val="00221B1F"/>
    <w:rsid w:val="00221B5E"/>
    <w:rsid w:val="0022370F"/>
    <w:rsid w:val="00223B8D"/>
    <w:rsid w:val="00223C8D"/>
    <w:rsid w:val="00223FD3"/>
    <w:rsid w:val="002241D5"/>
    <w:rsid w:val="00224F33"/>
    <w:rsid w:val="00225A22"/>
    <w:rsid w:val="00225E0E"/>
    <w:rsid w:val="00226B9A"/>
    <w:rsid w:val="00230DD7"/>
    <w:rsid w:val="00230E9D"/>
    <w:rsid w:val="00231C79"/>
    <w:rsid w:val="002320A5"/>
    <w:rsid w:val="0023282E"/>
    <w:rsid w:val="00232A54"/>
    <w:rsid w:val="00232E53"/>
    <w:rsid w:val="002337DD"/>
    <w:rsid w:val="0023385B"/>
    <w:rsid w:val="00235003"/>
    <w:rsid w:val="00235531"/>
    <w:rsid w:val="00235A57"/>
    <w:rsid w:val="00235BD3"/>
    <w:rsid w:val="00235F0F"/>
    <w:rsid w:val="00236C5E"/>
    <w:rsid w:val="00237B04"/>
    <w:rsid w:val="00240856"/>
    <w:rsid w:val="00240E39"/>
    <w:rsid w:val="00243212"/>
    <w:rsid w:val="00244A07"/>
    <w:rsid w:val="002451B9"/>
    <w:rsid w:val="00245B03"/>
    <w:rsid w:val="00246010"/>
    <w:rsid w:val="0024641B"/>
    <w:rsid w:val="0024659E"/>
    <w:rsid w:val="00246A4B"/>
    <w:rsid w:val="00246FD9"/>
    <w:rsid w:val="00247D4A"/>
    <w:rsid w:val="00247D92"/>
    <w:rsid w:val="00251D90"/>
    <w:rsid w:val="00251EAD"/>
    <w:rsid w:val="00252966"/>
    <w:rsid w:val="00252CFE"/>
    <w:rsid w:val="0025329D"/>
    <w:rsid w:val="0025344E"/>
    <w:rsid w:val="002561AF"/>
    <w:rsid w:val="00256D36"/>
    <w:rsid w:val="00257254"/>
    <w:rsid w:val="002572A7"/>
    <w:rsid w:val="0025734A"/>
    <w:rsid w:val="00257954"/>
    <w:rsid w:val="002609B3"/>
    <w:rsid w:val="0026146D"/>
    <w:rsid w:val="002615FC"/>
    <w:rsid w:val="00261D0D"/>
    <w:rsid w:val="002624F9"/>
    <w:rsid w:val="002628A7"/>
    <w:rsid w:val="0026291E"/>
    <w:rsid w:val="00263154"/>
    <w:rsid w:val="00263525"/>
    <w:rsid w:val="00263E76"/>
    <w:rsid w:val="0026428B"/>
    <w:rsid w:val="00264B43"/>
    <w:rsid w:val="00264F4E"/>
    <w:rsid w:val="002658AA"/>
    <w:rsid w:val="00265A48"/>
    <w:rsid w:val="00265C6F"/>
    <w:rsid w:val="002660E6"/>
    <w:rsid w:val="002662FB"/>
    <w:rsid w:val="0026672E"/>
    <w:rsid w:val="00267C40"/>
    <w:rsid w:val="00270086"/>
    <w:rsid w:val="0027125C"/>
    <w:rsid w:val="002712F4"/>
    <w:rsid w:val="00271550"/>
    <w:rsid w:val="00271723"/>
    <w:rsid w:val="0027194B"/>
    <w:rsid w:val="00272272"/>
    <w:rsid w:val="00272E91"/>
    <w:rsid w:val="002739EE"/>
    <w:rsid w:val="00273C86"/>
    <w:rsid w:val="002742AE"/>
    <w:rsid w:val="00274C3D"/>
    <w:rsid w:val="00274CF6"/>
    <w:rsid w:val="00274F5C"/>
    <w:rsid w:val="00275CC5"/>
    <w:rsid w:val="00275CD6"/>
    <w:rsid w:val="002770A7"/>
    <w:rsid w:val="0027768E"/>
    <w:rsid w:val="00277AF9"/>
    <w:rsid w:val="00280A6F"/>
    <w:rsid w:val="00281E6E"/>
    <w:rsid w:val="0028238A"/>
    <w:rsid w:val="002827CF"/>
    <w:rsid w:val="00282860"/>
    <w:rsid w:val="00282868"/>
    <w:rsid w:val="00282E77"/>
    <w:rsid w:val="00283C62"/>
    <w:rsid w:val="00285C14"/>
    <w:rsid w:val="00286A69"/>
    <w:rsid w:val="0028727F"/>
    <w:rsid w:val="0028738E"/>
    <w:rsid w:val="00287CA6"/>
    <w:rsid w:val="00290AF9"/>
    <w:rsid w:val="00291739"/>
    <w:rsid w:val="00291F3B"/>
    <w:rsid w:val="002920BA"/>
    <w:rsid w:val="00292216"/>
    <w:rsid w:val="00292C73"/>
    <w:rsid w:val="00293724"/>
    <w:rsid w:val="002941FC"/>
    <w:rsid w:val="00294DB7"/>
    <w:rsid w:val="002954A5"/>
    <w:rsid w:val="00295ECF"/>
    <w:rsid w:val="0029657E"/>
    <w:rsid w:val="002A066B"/>
    <w:rsid w:val="002A1180"/>
    <w:rsid w:val="002A1252"/>
    <w:rsid w:val="002A23A1"/>
    <w:rsid w:val="002A2472"/>
    <w:rsid w:val="002A27BD"/>
    <w:rsid w:val="002A297E"/>
    <w:rsid w:val="002A31B4"/>
    <w:rsid w:val="002A3E26"/>
    <w:rsid w:val="002A3FC1"/>
    <w:rsid w:val="002A4466"/>
    <w:rsid w:val="002A45AF"/>
    <w:rsid w:val="002A4902"/>
    <w:rsid w:val="002A4CBD"/>
    <w:rsid w:val="002A4DB7"/>
    <w:rsid w:val="002A55CC"/>
    <w:rsid w:val="002A5952"/>
    <w:rsid w:val="002A6726"/>
    <w:rsid w:val="002A6BF3"/>
    <w:rsid w:val="002A7220"/>
    <w:rsid w:val="002A73D6"/>
    <w:rsid w:val="002A786C"/>
    <w:rsid w:val="002B04D1"/>
    <w:rsid w:val="002B0A72"/>
    <w:rsid w:val="002B0FCF"/>
    <w:rsid w:val="002B20F6"/>
    <w:rsid w:val="002B2537"/>
    <w:rsid w:val="002B2721"/>
    <w:rsid w:val="002B2D68"/>
    <w:rsid w:val="002B32F8"/>
    <w:rsid w:val="002B34E5"/>
    <w:rsid w:val="002B43A2"/>
    <w:rsid w:val="002B46F7"/>
    <w:rsid w:val="002B6129"/>
    <w:rsid w:val="002B7352"/>
    <w:rsid w:val="002B7BDF"/>
    <w:rsid w:val="002B7C72"/>
    <w:rsid w:val="002C113B"/>
    <w:rsid w:val="002C3957"/>
    <w:rsid w:val="002C489F"/>
    <w:rsid w:val="002C5D04"/>
    <w:rsid w:val="002C5FFE"/>
    <w:rsid w:val="002C633D"/>
    <w:rsid w:val="002C6A3C"/>
    <w:rsid w:val="002C6D07"/>
    <w:rsid w:val="002C73EE"/>
    <w:rsid w:val="002D0B4A"/>
    <w:rsid w:val="002D0E6E"/>
    <w:rsid w:val="002D113D"/>
    <w:rsid w:val="002D1777"/>
    <w:rsid w:val="002D1FA0"/>
    <w:rsid w:val="002D24AE"/>
    <w:rsid w:val="002D2620"/>
    <w:rsid w:val="002D2C2C"/>
    <w:rsid w:val="002D39EC"/>
    <w:rsid w:val="002D4162"/>
    <w:rsid w:val="002D503C"/>
    <w:rsid w:val="002D5092"/>
    <w:rsid w:val="002D5476"/>
    <w:rsid w:val="002D5C1C"/>
    <w:rsid w:val="002D5D82"/>
    <w:rsid w:val="002D5E83"/>
    <w:rsid w:val="002D6385"/>
    <w:rsid w:val="002D63BE"/>
    <w:rsid w:val="002D6D5D"/>
    <w:rsid w:val="002D7498"/>
    <w:rsid w:val="002D7C68"/>
    <w:rsid w:val="002E0CB0"/>
    <w:rsid w:val="002E0E26"/>
    <w:rsid w:val="002E17DE"/>
    <w:rsid w:val="002E1F2E"/>
    <w:rsid w:val="002E2248"/>
    <w:rsid w:val="002E252E"/>
    <w:rsid w:val="002E2791"/>
    <w:rsid w:val="002E2B53"/>
    <w:rsid w:val="002E3D2D"/>
    <w:rsid w:val="002E433D"/>
    <w:rsid w:val="002E5AF2"/>
    <w:rsid w:val="002E5F52"/>
    <w:rsid w:val="002E61A5"/>
    <w:rsid w:val="002E6AC0"/>
    <w:rsid w:val="002E791F"/>
    <w:rsid w:val="002E7AD2"/>
    <w:rsid w:val="002F011B"/>
    <w:rsid w:val="002F07A6"/>
    <w:rsid w:val="002F08B2"/>
    <w:rsid w:val="002F0D0D"/>
    <w:rsid w:val="002F17EE"/>
    <w:rsid w:val="002F2062"/>
    <w:rsid w:val="002F2958"/>
    <w:rsid w:val="002F30D0"/>
    <w:rsid w:val="002F3E63"/>
    <w:rsid w:val="002F43D7"/>
    <w:rsid w:val="002F45D0"/>
    <w:rsid w:val="002F48D2"/>
    <w:rsid w:val="002F5F09"/>
    <w:rsid w:val="002F6056"/>
    <w:rsid w:val="002F694E"/>
    <w:rsid w:val="002F6B21"/>
    <w:rsid w:val="002F6F7F"/>
    <w:rsid w:val="002F70F1"/>
    <w:rsid w:val="002F76A1"/>
    <w:rsid w:val="002F7D1A"/>
    <w:rsid w:val="00300124"/>
    <w:rsid w:val="00301B84"/>
    <w:rsid w:val="00302772"/>
    <w:rsid w:val="003027E7"/>
    <w:rsid w:val="00302AAD"/>
    <w:rsid w:val="0030473A"/>
    <w:rsid w:val="00305182"/>
    <w:rsid w:val="003052E4"/>
    <w:rsid w:val="003058E9"/>
    <w:rsid w:val="00305A97"/>
    <w:rsid w:val="00306286"/>
    <w:rsid w:val="00306969"/>
    <w:rsid w:val="00306A87"/>
    <w:rsid w:val="00306B2A"/>
    <w:rsid w:val="00306D88"/>
    <w:rsid w:val="0030709D"/>
    <w:rsid w:val="003072DA"/>
    <w:rsid w:val="00307902"/>
    <w:rsid w:val="00310328"/>
    <w:rsid w:val="0031091F"/>
    <w:rsid w:val="0031122B"/>
    <w:rsid w:val="00311B74"/>
    <w:rsid w:val="003120AA"/>
    <w:rsid w:val="003128BF"/>
    <w:rsid w:val="0031353E"/>
    <w:rsid w:val="003135F6"/>
    <w:rsid w:val="00313FE9"/>
    <w:rsid w:val="00315B8A"/>
    <w:rsid w:val="00315D82"/>
    <w:rsid w:val="00315E8C"/>
    <w:rsid w:val="0031722E"/>
    <w:rsid w:val="00317479"/>
    <w:rsid w:val="00317653"/>
    <w:rsid w:val="00317666"/>
    <w:rsid w:val="003178AC"/>
    <w:rsid w:val="00317BB2"/>
    <w:rsid w:val="0032105F"/>
    <w:rsid w:val="0032107B"/>
    <w:rsid w:val="003213CC"/>
    <w:rsid w:val="00322151"/>
    <w:rsid w:val="00323693"/>
    <w:rsid w:val="00323847"/>
    <w:rsid w:val="00324452"/>
    <w:rsid w:val="003247E8"/>
    <w:rsid w:val="00324AA2"/>
    <w:rsid w:val="00325E8D"/>
    <w:rsid w:val="003265DE"/>
    <w:rsid w:val="00327055"/>
    <w:rsid w:val="00330C41"/>
    <w:rsid w:val="00331491"/>
    <w:rsid w:val="0033152C"/>
    <w:rsid w:val="00331B89"/>
    <w:rsid w:val="00332A6F"/>
    <w:rsid w:val="00332E17"/>
    <w:rsid w:val="00333994"/>
    <w:rsid w:val="00334160"/>
    <w:rsid w:val="00334495"/>
    <w:rsid w:val="0033465D"/>
    <w:rsid w:val="00334840"/>
    <w:rsid w:val="00334AC9"/>
    <w:rsid w:val="00336184"/>
    <w:rsid w:val="00337230"/>
    <w:rsid w:val="00337ED2"/>
    <w:rsid w:val="00337EDC"/>
    <w:rsid w:val="00340363"/>
    <w:rsid w:val="00341282"/>
    <w:rsid w:val="00341A4C"/>
    <w:rsid w:val="0034248F"/>
    <w:rsid w:val="00342D0D"/>
    <w:rsid w:val="0034379B"/>
    <w:rsid w:val="00343AAE"/>
    <w:rsid w:val="00344A5D"/>
    <w:rsid w:val="00345731"/>
    <w:rsid w:val="00347065"/>
    <w:rsid w:val="00347657"/>
    <w:rsid w:val="00350550"/>
    <w:rsid w:val="00350DB9"/>
    <w:rsid w:val="00351184"/>
    <w:rsid w:val="0035149B"/>
    <w:rsid w:val="00351E4D"/>
    <w:rsid w:val="00352034"/>
    <w:rsid w:val="0035303D"/>
    <w:rsid w:val="0035447A"/>
    <w:rsid w:val="003551CF"/>
    <w:rsid w:val="003556D2"/>
    <w:rsid w:val="00355E07"/>
    <w:rsid w:val="003566E5"/>
    <w:rsid w:val="00356F0E"/>
    <w:rsid w:val="00356FDD"/>
    <w:rsid w:val="00357B21"/>
    <w:rsid w:val="00360466"/>
    <w:rsid w:val="00360503"/>
    <w:rsid w:val="00360A35"/>
    <w:rsid w:val="00360B12"/>
    <w:rsid w:val="00361FCE"/>
    <w:rsid w:val="00362151"/>
    <w:rsid w:val="003642C2"/>
    <w:rsid w:val="003644C7"/>
    <w:rsid w:val="003645AD"/>
    <w:rsid w:val="00364F2E"/>
    <w:rsid w:val="0036525F"/>
    <w:rsid w:val="0036527E"/>
    <w:rsid w:val="00365678"/>
    <w:rsid w:val="00365CAD"/>
    <w:rsid w:val="003665F0"/>
    <w:rsid w:val="00367840"/>
    <w:rsid w:val="0036795F"/>
    <w:rsid w:val="003713A1"/>
    <w:rsid w:val="0037175D"/>
    <w:rsid w:val="00371995"/>
    <w:rsid w:val="00371EAD"/>
    <w:rsid w:val="003724A2"/>
    <w:rsid w:val="003724F4"/>
    <w:rsid w:val="00372976"/>
    <w:rsid w:val="00372A83"/>
    <w:rsid w:val="00373692"/>
    <w:rsid w:val="003748DB"/>
    <w:rsid w:val="00374E04"/>
    <w:rsid w:val="0037568D"/>
    <w:rsid w:val="00375971"/>
    <w:rsid w:val="00375AB6"/>
    <w:rsid w:val="00375CD1"/>
    <w:rsid w:val="00375CEC"/>
    <w:rsid w:val="00375DC6"/>
    <w:rsid w:val="00375E2C"/>
    <w:rsid w:val="00376021"/>
    <w:rsid w:val="0037632B"/>
    <w:rsid w:val="00377745"/>
    <w:rsid w:val="00380836"/>
    <w:rsid w:val="00380E17"/>
    <w:rsid w:val="0038105D"/>
    <w:rsid w:val="00381927"/>
    <w:rsid w:val="00381B2F"/>
    <w:rsid w:val="00382208"/>
    <w:rsid w:val="00383735"/>
    <w:rsid w:val="003838BE"/>
    <w:rsid w:val="00384116"/>
    <w:rsid w:val="00384138"/>
    <w:rsid w:val="00384FEF"/>
    <w:rsid w:val="003852EC"/>
    <w:rsid w:val="003853BC"/>
    <w:rsid w:val="00385A79"/>
    <w:rsid w:val="00386A9B"/>
    <w:rsid w:val="00386CA9"/>
    <w:rsid w:val="00387D35"/>
    <w:rsid w:val="00390494"/>
    <w:rsid w:val="00390955"/>
    <w:rsid w:val="00390D1B"/>
    <w:rsid w:val="003917D3"/>
    <w:rsid w:val="003923D2"/>
    <w:rsid w:val="00392A8A"/>
    <w:rsid w:val="00392C36"/>
    <w:rsid w:val="00392D25"/>
    <w:rsid w:val="00392DF8"/>
    <w:rsid w:val="003932C5"/>
    <w:rsid w:val="003949D4"/>
    <w:rsid w:val="00394B9B"/>
    <w:rsid w:val="003958F8"/>
    <w:rsid w:val="00395B6F"/>
    <w:rsid w:val="003962F3"/>
    <w:rsid w:val="00396C03"/>
    <w:rsid w:val="00396C9C"/>
    <w:rsid w:val="0039707B"/>
    <w:rsid w:val="003975D7"/>
    <w:rsid w:val="003A116C"/>
    <w:rsid w:val="003A12D3"/>
    <w:rsid w:val="003A14AD"/>
    <w:rsid w:val="003A17CA"/>
    <w:rsid w:val="003A1DFD"/>
    <w:rsid w:val="003A2384"/>
    <w:rsid w:val="003A28B4"/>
    <w:rsid w:val="003A34AD"/>
    <w:rsid w:val="003A4237"/>
    <w:rsid w:val="003A4986"/>
    <w:rsid w:val="003A4CC8"/>
    <w:rsid w:val="003A540F"/>
    <w:rsid w:val="003A6E7A"/>
    <w:rsid w:val="003B0BF3"/>
    <w:rsid w:val="003B0C7A"/>
    <w:rsid w:val="003B2784"/>
    <w:rsid w:val="003B28E1"/>
    <w:rsid w:val="003B3C3C"/>
    <w:rsid w:val="003B3DC7"/>
    <w:rsid w:val="003B47DA"/>
    <w:rsid w:val="003B4B5E"/>
    <w:rsid w:val="003B4F90"/>
    <w:rsid w:val="003B4FF0"/>
    <w:rsid w:val="003B5008"/>
    <w:rsid w:val="003B5694"/>
    <w:rsid w:val="003B6396"/>
    <w:rsid w:val="003B69A8"/>
    <w:rsid w:val="003B72A6"/>
    <w:rsid w:val="003B7784"/>
    <w:rsid w:val="003B7A1C"/>
    <w:rsid w:val="003B7C77"/>
    <w:rsid w:val="003C07D0"/>
    <w:rsid w:val="003C14CA"/>
    <w:rsid w:val="003C1E09"/>
    <w:rsid w:val="003C26A8"/>
    <w:rsid w:val="003C4343"/>
    <w:rsid w:val="003C460A"/>
    <w:rsid w:val="003C4B53"/>
    <w:rsid w:val="003C50D5"/>
    <w:rsid w:val="003C5EB8"/>
    <w:rsid w:val="003C6024"/>
    <w:rsid w:val="003C6562"/>
    <w:rsid w:val="003C6B63"/>
    <w:rsid w:val="003C6C91"/>
    <w:rsid w:val="003C76EA"/>
    <w:rsid w:val="003C7D93"/>
    <w:rsid w:val="003C7F27"/>
    <w:rsid w:val="003D1169"/>
    <w:rsid w:val="003D2032"/>
    <w:rsid w:val="003D2D0C"/>
    <w:rsid w:val="003D3144"/>
    <w:rsid w:val="003D324B"/>
    <w:rsid w:val="003D449C"/>
    <w:rsid w:val="003D474F"/>
    <w:rsid w:val="003D51E4"/>
    <w:rsid w:val="003D6266"/>
    <w:rsid w:val="003D749E"/>
    <w:rsid w:val="003D79C0"/>
    <w:rsid w:val="003E016C"/>
    <w:rsid w:val="003E1319"/>
    <w:rsid w:val="003E16B6"/>
    <w:rsid w:val="003E16BD"/>
    <w:rsid w:val="003E2651"/>
    <w:rsid w:val="003E2653"/>
    <w:rsid w:val="003E2A07"/>
    <w:rsid w:val="003E3003"/>
    <w:rsid w:val="003E3569"/>
    <w:rsid w:val="003E3BCD"/>
    <w:rsid w:val="003E49FA"/>
    <w:rsid w:val="003E4C53"/>
    <w:rsid w:val="003E5CD0"/>
    <w:rsid w:val="003E5EA8"/>
    <w:rsid w:val="003E5ED0"/>
    <w:rsid w:val="003E6025"/>
    <w:rsid w:val="003E64D7"/>
    <w:rsid w:val="003E68C1"/>
    <w:rsid w:val="003E7BFC"/>
    <w:rsid w:val="003F1604"/>
    <w:rsid w:val="003F243E"/>
    <w:rsid w:val="003F2EFD"/>
    <w:rsid w:val="003F301A"/>
    <w:rsid w:val="003F34B6"/>
    <w:rsid w:val="003F3944"/>
    <w:rsid w:val="003F3FC5"/>
    <w:rsid w:val="003F409C"/>
    <w:rsid w:val="003F447E"/>
    <w:rsid w:val="003F45F3"/>
    <w:rsid w:val="003F4DE8"/>
    <w:rsid w:val="003F5130"/>
    <w:rsid w:val="003F5AAD"/>
    <w:rsid w:val="003F5FAC"/>
    <w:rsid w:val="003F66DD"/>
    <w:rsid w:val="003F69CE"/>
    <w:rsid w:val="003F7B2B"/>
    <w:rsid w:val="0040178E"/>
    <w:rsid w:val="00405DB3"/>
    <w:rsid w:val="00405F7F"/>
    <w:rsid w:val="00405FBF"/>
    <w:rsid w:val="00406305"/>
    <w:rsid w:val="0040642E"/>
    <w:rsid w:val="00406AE8"/>
    <w:rsid w:val="00407177"/>
    <w:rsid w:val="00407630"/>
    <w:rsid w:val="00407BF1"/>
    <w:rsid w:val="00407BF9"/>
    <w:rsid w:val="00411C4F"/>
    <w:rsid w:val="00411E6E"/>
    <w:rsid w:val="0041273D"/>
    <w:rsid w:val="00413D0D"/>
    <w:rsid w:val="00414263"/>
    <w:rsid w:val="0041445D"/>
    <w:rsid w:val="00414912"/>
    <w:rsid w:val="00414E12"/>
    <w:rsid w:val="00416071"/>
    <w:rsid w:val="0041676C"/>
    <w:rsid w:val="0041687F"/>
    <w:rsid w:val="004172AF"/>
    <w:rsid w:val="00417F80"/>
    <w:rsid w:val="00420A4C"/>
    <w:rsid w:val="004213E5"/>
    <w:rsid w:val="00421D5A"/>
    <w:rsid w:val="00421FDF"/>
    <w:rsid w:val="004222ED"/>
    <w:rsid w:val="00422647"/>
    <w:rsid w:val="00422A48"/>
    <w:rsid w:val="00424857"/>
    <w:rsid w:val="00424860"/>
    <w:rsid w:val="00424E41"/>
    <w:rsid w:val="0042522F"/>
    <w:rsid w:val="004257AB"/>
    <w:rsid w:val="00426CE3"/>
    <w:rsid w:val="0042737D"/>
    <w:rsid w:val="00430B97"/>
    <w:rsid w:val="00430F4C"/>
    <w:rsid w:val="004311C2"/>
    <w:rsid w:val="004316B9"/>
    <w:rsid w:val="00432550"/>
    <w:rsid w:val="00432E1C"/>
    <w:rsid w:val="00433064"/>
    <w:rsid w:val="00433513"/>
    <w:rsid w:val="004348E5"/>
    <w:rsid w:val="00434ADC"/>
    <w:rsid w:val="00434B83"/>
    <w:rsid w:val="004352B5"/>
    <w:rsid w:val="0043626E"/>
    <w:rsid w:val="00436856"/>
    <w:rsid w:val="00437ABC"/>
    <w:rsid w:val="00437FF9"/>
    <w:rsid w:val="00441619"/>
    <w:rsid w:val="00441FD6"/>
    <w:rsid w:val="00443E9A"/>
    <w:rsid w:val="0044428A"/>
    <w:rsid w:val="00444412"/>
    <w:rsid w:val="00444C5B"/>
    <w:rsid w:val="00445DCE"/>
    <w:rsid w:val="00446A78"/>
    <w:rsid w:val="00446B27"/>
    <w:rsid w:val="00446F0F"/>
    <w:rsid w:val="0044784A"/>
    <w:rsid w:val="00447A1D"/>
    <w:rsid w:val="004506EB"/>
    <w:rsid w:val="00452C4D"/>
    <w:rsid w:val="004533B9"/>
    <w:rsid w:val="00453758"/>
    <w:rsid w:val="00454062"/>
    <w:rsid w:val="004547AB"/>
    <w:rsid w:val="00454D43"/>
    <w:rsid w:val="00454EA5"/>
    <w:rsid w:val="004558D8"/>
    <w:rsid w:val="00455BBD"/>
    <w:rsid w:val="004564E8"/>
    <w:rsid w:val="0045738D"/>
    <w:rsid w:val="00457619"/>
    <w:rsid w:val="00457CC8"/>
    <w:rsid w:val="00457D63"/>
    <w:rsid w:val="00457E8F"/>
    <w:rsid w:val="004600AF"/>
    <w:rsid w:val="0046064C"/>
    <w:rsid w:val="0046080F"/>
    <w:rsid w:val="00461327"/>
    <w:rsid w:val="00461BF2"/>
    <w:rsid w:val="004629C0"/>
    <w:rsid w:val="004632B4"/>
    <w:rsid w:val="004638EF"/>
    <w:rsid w:val="004649A6"/>
    <w:rsid w:val="00465089"/>
    <w:rsid w:val="00465ABC"/>
    <w:rsid w:val="004662B8"/>
    <w:rsid w:val="004667E1"/>
    <w:rsid w:val="00466A18"/>
    <w:rsid w:val="00466C9E"/>
    <w:rsid w:val="0046778F"/>
    <w:rsid w:val="0046786A"/>
    <w:rsid w:val="004701BC"/>
    <w:rsid w:val="00470B3C"/>
    <w:rsid w:val="00471551"/>
    <w:rsid w:val="004715F2"/>
    <w:rsid w:val="00471AF2"/>
    <w:rsid w:val="00472A19"/>
    <w:rsid w:val="00473671"/>
    <w:rsid w:val="00473C8A"/>
    <w:rsid w:val="00473D20"/>
    <w:rsid w:val="00473DE1"/>
    <w:rsid w:val="00473DFD"/>
    <w:rsid w:val="004743C3"/>
    <w:rsid w:val="00475282"/>
    <w:rsid w:val="004766C7"/>
    <w:rsid w:val="004768CF"/>
    <w:rsid w:val="00477386"/>
    <w:rsid w:val="004803D8"/>
    <w:rsid w:val="00481460"/>
    <w:rsid w:val="0048177B"/>
    <w:rsid w:val="00481AD0"/>
    <w:rsid w:val="00481B0F"/>
    <w:rsid w:val="00481D6F"/>
    <w:rsid w:val="00481EA0"/>
    <w:rsid w:val="00481EA9"/>
    <w:rsid w:val="00482384"/>
    <w:rsid w:val="0048446B"/>
    <w:rsid w:val="00486149"/>
    <w:rsid w:val="0048676A"/>
    <w:rsid w:val="00486950"/>
    <w:rsid w:val="00487200"/>
    <w:rsid w:val="00487360"/>
    <w:rsid w:val="00491424"/>
    <w:rsid w:val="0049399E"/>
    <w:rsid w:val="0049446B"/>
    <w:rsid w:val="0049449D"/>
    <w:rsid w:val="0049466A"/>
    <w:rsid w:val="004948FE"/>
    <w:rsid w:val="0049518A"/>
    <w:rsid w:val="004952B1"/>
    <w:rsid w:val="00495378"/>
    <w:rsid w:val="0049584F"/>
    <w:rsid w:val="00496E63"/>
    <w:rsid w:val="004977ED"/>
    <w:rsid w:val="004A09E1"/>
    <w:rsid w:val="004A1848"/>
    <w:rsid w:val="004A1CFA"/>
    <w:rsid w:val="004A2D4D"/>
    <w:rsid w:val="004A2F1B"/>
    <w:rsid w:val="004A3130"/>
    <w:rsid w:val="004A36E5"/>
    <w:rsid w:val="004A399F"/>
    <w:rsid w:val="004A3B8B"/>
    <w:rsid w:val="004A3F42"/>
    <w:rsid w:val="004A546E"/>
    <w:rsid w:val="004A656F"/>
    <w:rsid w:val="004A7176"/>
    <w:rsid w:val="004A71E4"/>
    <w:rsid w:val="004A7404"/>
    <w:rsid w:val="004A7D57"/>
    <w:rsid w:val="004A7EED"/>
    <w:rsid w:val="004B035B"/>
    <w:rsid w:val="004B0D5E"/>
    <w:rsid w:val="004B1056"/>
    <w:rsid w:val="004B1BEA"/>
    <w:rsid w:val="004B243B"/>
    <w:rsid w:val="004B44FD"/>
    <w:rsid w:val="004B4F8C"/>
    <w:rsid w:val="004B5256"/>
    <w:rsid w:val="004B620C"/>
    <w:rsid w:val="004C016B"/>
    <w:rsid w:val="004C0FDC"/>
    <w:rsid w:val="004C21BB"/>
    <w:rsid w:val="004C2348"/>
    <w:rsid w:val="004C23AC"/>
    <w:rsid w:val="004C2FAA"/>
    <w:rsid w:val="004C4133"/>
    <w:rsid w:val="004C4472"/>
    <w:rsid w:val="004C58A7"/>
    <w:rsid w:val="004C6643"/>
    <w:rsid w:val="004D054B"/>
    <w:rsid w:val="004D105F"/>
    <w:rsid w:val="004D11C0"/>
    <w:rsid w:val="004D11F9"/>
    <w:rsid w:val="004D19A8"/>
    <w:rsid w:val="004D2452"/>
    <w:rsid w:val="004D3714"/>
    <w:rsid w:val="004D3775"/>
    <w:rsid w:val="004D44B6"/>
    <w:rsid w:val="004D484A"/>
    <w:rsid w:val="004D4C98"/>
    <w:rsid w:val="004D4F16"/>
    <w:rsid w:val="004D5137"/>
    <w:rsid w:val="004D61CD"/>
    <w:rsid w:val="004D6636"/>
    <w:rsid w:val="004D6894"/>
    <w:rsid w:val="004D7808"/>
    <w:rsid w:val="004E0330"/>
    <w:rsid w:val="004E136E"/>
    <w:rsid w:val="004E2A3C"/>
    <w:rsid w:val="004E2A42"/>
    <w:rsid w:val="004E2CFF"/>
    <w:rsid w:val="004E31A9"/>
    <w:rsid w:val="004E3DB5"/>
    <w:rsid w:val="004E3F1F"/>
    <w:rsid w:val="004E55F3"/>
    <w:rsid w:val="004E6BD5"/>
    <w:rsid w:val="004E6C3D"/>
    <w:rsid w:val="004E6EEB"/>
    <w:rsid w:val="004E7E77"/>
    <w:rsid w:val="004F0268"/>
    <w:rsid w:val="004F075D"/>
    <w:rsid w:val="004F11FC"/>
    <w:rsid w:val="004F166A"/>
    <w:rsid w:val="004F1823"/>
    <w:rsid w:val="004F21C5"/>
    <w:rsid w:val="004F249C"/>
    <w:rsid w:val="004F2C70"/>
    <w:rsid w:val="004F2DD6"/>
    <w:rsid w:val="004F2E65"/>
    <w:rsid w:val="004F33A5"/>
    <w:rsid w:val="004F3E9B"/>
    <w:rsid w:val="004F4AEC"/>
    <w:rsid w:val="004F5C28"/>
    <w:rsid w:val="004F62F6"/>
    <w:rsid w:val="004F6B83"/>
    <w:rsid w:val="004F6CB1"/>
    <w:rsid w:val="004F7C46"/>
    <w:rsid w:val="00500406"/>
    <w:rsid w:val="00500E47"/>
    <w:rsid w:val="0050175C"/>
    <w:rsid w:val="0050187A"/>
    <w:rsid w:val="00501C9C"/>
    <w:rsid w:val="00501FB5"/>
    <w:rsid w:val="005027E7"/>
    <w:rsid w:val="00502D47"/>
    <w:rsid w:val="00502D4C"/>
    <w:rsid w:val="00502E15"/>
    <w:rsid w:val="00504162"/>
    <w:rsid w:val="00504909"/>
    <w:rsid w:val="00505985"/>
    <w:rsid w:val="00505B81"/>
    <w:rsid w:val="00505FBC"/>
    <w:rsid w:val="005063F0"/>
    <w:rsid w:val="0050754C"/>
    <w:rsid w:val="005078A1"/>
    <w:rsid w:val="00507ED9"/>
    <w:rsid w:val="00510087"/>
    <w:rsid w:val="00510244"/>
    <w:rsid w:val="005110EB"/>
    <w:rsid w:val="005115CF"/>
    <w:rsid w:val="005122DD"/>
    <w:rsid w:val="005128A7"/>
    <w:rsid w:val="00512963"/>
    <w:rsid w:val="00512CCD"/>
    <w:rsid w:val="00513178"/>
    <w:rsid w:val="005138D7"/>
    <w:rsid w:val="00513F41"/>
    <w:rsid w:val="00514098"/>
    <w:rsid w:val="00514998"/>
    <w:rsid w:val="005150A5"/>
    <w:rsid w:val="00515651"/>
    <w:rsid w:val="00515A36"/>
    <w:rsid w:val="005165E8"/>
    <w:rsid w:val="0051687C"/>
    <w:rsid w:val="005168DE"/>
    <w:rsid w:val="00516A59"/>
    <w:rsid w:val="00516D42"/>
    <w:rsid w:val="005175D0"/>
    <w:rsid w:val="00517BFA"/>
    <w:rsid w:val="00517FCC"/>
    <w:rsid w:val="00520161"/>
    <w:rsid w:val="00521B43"/>
    <w:rsid w:val="00522D84"/>
    <w:rsid w:val="00522DCB"/>
    <w:rsid w:val="00524206"/>
    <w:rsid w:val="0052457E"/>
    <w:rsid w:val="00524B1A"/>
    <w:rsid w:val="0052651C"/>
    <w:rsid w:val="00526859"/>
    <w:rsid w:val="00530D73"/>
    <w:rsid w:val="0053187A"/>
    <w:rsid w:val="00531918"/>
    <w:rsid w:val="00531959"/>
    <w:rsid w:val="00531D46"/>
    <w:rsid w:val="00532668"/>
    <w:rsid w:val="00532787"/>
    <w:rsid w:val="0053285B"/>
    <w:rsid w:val="00532B7E"/>
    <w:rsid w:val="0053332C"/>
    <w:rsid w:val="0053369D"/>
    <w:rsid w:val="00533B4B"/>
    <w:rsid w:val="00534012"/>
    <w:rsid w:val="005342A2"/>
    <w:rsid w:val="0053439A"/>
    <w:rsid w:val="00534A2B"/>
    <w:rsid w:val="00536A3B"/>
    <w:rsid w:val="00536B3A"/>
    <w:rsid w:val="005373E4"/>
    <w:rsid w:val="00537444"/>
    <w:rsid w:val="005375E4"/>
    <w:rsid w:val="005400BE"/>
    <w:rsid w:val="005401D7"/>
    <w:rsid w:val="00540663"/>
    <w:rsid w:val="00540C67"/>
    <w:rsid w:val="005430A8"/>
    <w:rsid w:val="005435BC"/>
    <w:rsid w:val="0054450C"/>
    <w:rsid w:val="00545F4B"/>
    <w:rsid w:val="00546493"/>
    <w:rsid w:val="00546FA7"/>
    <w:rsid w:val="00547042"/>
    <w:rsid w:val="00547B88"/>
    <w:rsid w:val="00550014"/>
    <w:rsid w:val="005516E3"/>
    <w:rsid w:val="00552400"/>
    <w:rsid w:val="005527B4"/>
    <w:rsid w:val="00552CCA"/>
    <w:rsid w:val="00552D41"/>
    <w:rsid w:val="00553779"/>
    <w:rsid w:val="005539A4"/>
    <w:rsid w:val="00553BF4"/>
    <w:rsid w:val="005545EE"/>
    <w:rsid w:val="00554E89"/>
    <w:rsid w:val="00555052"/>
    <w:rsid w:val="00555302"/>
    <w:rsid w:val="00555661"/>
    <w:rsid w:val="00556074"/>
    <w:rsid w:val="005566C8"/>
    <w:rsid w:val="005569DB"/>
    <w:rsid w:val="00561835"/>
    <w:rsid w:val="00561E18"/>
    <w:rsid w:val="005627C5"/>
    <w:rsid w:val="00563173"/>
    <w:rsid w:val="0056332C"/>
    <w:rsid w:val="00563696"/>
    <w:rsid w:val="00563BD3"/>
    <w:rsid w:val="00564502"/>
    <w:rsid w:val="00564D56"/>
    <w:rsid w:val="0056500A"/>
    <w:rsid w:val="00565CD2"/>
    <w:rsid w:val="00567350"/>
    <w:rsid w:val="00570001"/>
    <w:rsid w:val="005704C7"/>
    <w:rsid w:val="0057088A"/>
    <w:rsid w:val="00570F66"/>
    <w:rsid w:val="00570FED"/>
    <w:rsid w:val="005713F7"/>
    <w:rsid w:val="00571EFE"/>
    <w:rsid w:val="00572A01"/>
    <w:rsid w:val="005734C5"/>
    <w:rsid w:val="0057384E"/>
    <w:rsid w:val="00573EAC"/>
    <w:rsid w:val="00574439"/>
    <w:rsid w:val="005753C2"/>
    <w:rsid w:val="00575F73"/>
    <w:rsid w:val="00576192"/>
    <w:rsid w:val="0057711C"/>
    <w:rsid w:val="005801F7"/>
    <w:rsid w:val="00580782"/>
    <w:rsid w:val="00582796"/>
    <w:rsid w:val="00583E17"/>
    <w:rsid w:val="00583E1D"/>
    <w:rsid w:val="00583FDD"/>
    <w:rsid w:val="00585760"/>
    <w:rsid w:val="00586AE4"/>
    <w:rsid w:val="00586E75"/>
    <w:rsid w:val="00590562"/>
    <w:rsid w:val="0059123A"/>
    <w:rsid w:val="00591761"/>
    <w:rsid w:val="00592046"/>
    <w:rsid w:val="005924C9"/>
    <w:rsid w:val="00592B3C"/>
    <w:rsid w:val="00593258"/>
    <w:rsid w:val="0059356D"/>
    <w:rsid w:val="005947CD"/>
    <w:rsid w:val="00594906"/>
    <w:rsid w:val="005949BA"/>
    <w:rsid w:val="00594AED"/>
    <w:rsid w:val="0059574A"/>
    <w:rsid w:val="0059580C"/>
    <w:rsid w:val="0059700B"/>
    <w:rsid w:val="00597CB8"/>
    <w:rsid w:val="005A00D8"/>
    <w:rsid w:val="005A112C"/>
    <w:rsid w:val="005A2C00"/>
    <w:rsid w:val="005A4F79"/>
    <w:rsid w:val="005A5AA4"/>
    <w:rsid w:val="005A61D5"/>
    <w:rsid w:val="005A6449"/>
    <w:rsid w:val="005A67C4"/>
    <w:rsid w:val="005A6F5B"/>
    <w:rsid w:val="005A75FC"/>
    <w:rsid w:val="005B0ECD"/>
    <w:rsid w:val="005B22AC"/>
    <w:rsid w:val="005B2582"/>
    <w:rsid w:val="005B2727"/>
    <w:rsid w:val="005B33EE"/>
    <w:rsid w:val="005B3F2E"/>
    <w:rsid w:val="005B4A74"/>
    <w:rsid w:val="005B4BBF"/>
    <w:rsid w:val="005B5027"/>
    <w:rsid w:val="005B675A"/>
    <w:rsid w:val="005B6D07"/>
    <w:rsid w:val="005B7005"/>
    <w:rsid w:val="005C1732"/>
    <w:rsid w:val="005C1E0F"/>
    <w:rsid w:val="005C25B8"/>
    <w:rsid w:val="005C268B"/>
    <w:rsid w:val="005C279B"/>
    <w:rsid w:val="005C2DBB"/>
    <w:rsid w:val="005C45DC"/>
    <w:rsid w:val="005C4B34"/>
    <w:rsid w:val="005C5397"/>
    <w:rsid w:val="005C5FEB"/>
    <w:rsid w:val="005C653F"/>
    <w:rsid w:val="005C66D5"/>
    <w:rsid w:val="005C672C"/>
    <w:rsid w:val="005C6C25"/>
    <w:rsid w:val="005C6EE7"/>
    <w:rsid w:val="005C7364"/>
    <w:rsid w:val="005C786E"/>
    <w:rsid w:val="005C78E1"/>
    <w:rsid w:val="005C7B99"/>
    <w:rsid w:val="005C7CFF"/>
    <w:rsid w:val="005D0547"/>
    <w:rsid w:val="005D0A77"/>
    <w:rsid w:val="005D0CCC"/>
    <w:rsid w:val="005D0CD1"/>
    <w:rsid w:val="005D0E8A"/>
    <w:rsid w:val="005D1599"/>
    <w:rsid w:val="005D2471"/>
    <w:rsid w:val="005D26BF"/>
    <w:rsid w:val="005D2754"/>
    <w:rsid w:val="005D2E16"/>
    <w:rsid w:val="005D2E1D"/>
    <w:rsid w:val="005D3A86"/>
    <w:rsid w:val="005D43BA"/>
    <w:rsid w:val="005D4E69"/>
    <w:rsid w:val="005D5B62"/>
    <w:rsid w:val="005D5D15"/>
    <w:rsid w:val="005D707D"/>
    <w:rsid w:val="005D72BC"/>
    <w:rsid w:val="005E007F"/>
    <w:rsid w:val="005E03C7"/>
    <w:rsid w:val="005E0A0A"/>
    <w:rsid w:val="005E1279"/>
    <w:rsid w:val="005E1677"/>
    <w:rsid w:val="005E1F58"/>
    <w:rsid w:val="005E256A"/>
    <w:rsid w:val="005E28C6"/>
    <w:rsid w:val="005E2C51"/>
    <w:rsid w:val="005E2D42"/>
    <w:rsid w:val="005E34DA"/>
    <w:rsid w:val="005E3ACA"/>
    <w:rsid w:val="005E69EB"/>
    <w:rsid w:val="005E6E99"/>
    <w:rsid w:val="005F2296"/>
    <w:rsid w:val="005F255C"/>
    <w:rsid w:val="005F3184"/>
    <w:rsid w:val="005F3329"/>
    <w:rsid w:val="005F42A6"/>
    <w:rsid w:val="005F4554"/>
    <w:rsid w:val="005F48E8"/>
    <w:rsid w:val="005F4FB3"/>
    <w:rsid w:val="005F5EF8"/>
    <w:rsid w:val="00600F05"/>
    <w:rsid w:val="00602089"/>
    <w:rsid w:val="006024F0"/>
    <w:rsid w:val="00602772"/>
    <w:rsid w:val="00602A88"/>
    <w:rsid w:val="0060422E"/>
    <w:rsid w:val="00604466"/>
    <w:rsid w:val="00604545"/>
    <w:rsid w:val="00604E18"/>
    <w:rsid w:val="00605A3C"/>
    <w:rsid w:val="00606623"/>
    <w:rsid w:val="00606897"/>
    <w:rsid w:val="00606C5B"/>
    <w:rsid w:val="0060706D"/>
    <w:rsid w:val="00607418"/>
    <w:rsid w:val="00610050"/>
    <w:rsid w:val="006107FA"/>
    <w:rsid w:val="00610856"/>
    <w:rsid w:val="00610B36"/>
    <w:rsid w:val="00610E0F"/>
    <w:rsid w:val="00610E74"/>
    <w:rsid w:val="00610F12"/>
    <w:rsid w:val="00611144"/>
    <w:rsid w:val="006111F7"/>
    <w:rsid w:val="00611B7C"/>
    <w:rsid w:val="00611E9F"/>
    <w:rsid w:val="00612909"/>
    <w:rsid w:val="00613676"/>
    <w:rsid w:val="00613714"/>
    <w:rsid w:val="00613C61"/>
    <w:rsid w:val="00613FE5"/>
    <w:rsid w:val="00614F18"/>
    <w:rsid w:val="00615E3B"/>
    <w:rsid w:val="00615EBC"/>
    <w:rsid w:val="0061624E"/>
    <w:rsid w:val="0061679A"/>
    <w:rsid w:val="00616BCF"/>
    <w:rsid w:val="00616C36"/>
    <w:rsid w:val="006172C3"/>
    <w:rsid w:val="0062094E"/>
    <w:rsid w:val="00621682"/>
    <w:rsid w:val="00621AE9"/>
    <w:rsid w:val="00622293"/>
    <w:rsid w:val="006225D4"/>
    <w:rsid w:val="0062496B"/>
    <w:rsid w:val="00624A16"/>
    <w:rsid w:val="00624AF9"/>
    <w:rsid w:val="00625393"/>
    <w:rsid w:val="006253AA"/>
    <w:rsid w:val="00625980"/>
    <w:rsid w:val="006259B1"/>
    <w:rsid w:val="00625C7B"/>
    <w:rsid w:val="00626709"/>
    <w:rsid w:val="00626B8F"/>
    <w:rsid w:val="00626B9B"/>
    <w:rsid w:val="00626E37"/>
    <w:rsid w:val="00627499"/>
    <w:rsid w:val="006301E7"/>
    <w:rsid w:val="0063076B"/>
    <w:rsid w:val="00630CA0"/>
    <w:rsid w:val="00631A3A"/>
    <w:rsid w:val="00632D1F"/>
    <w:rsid w:val="0063373D"/>
    <w:rsid w:val="00634A68"/>
    <w:rsid w:val="00637738"/>
    <w:rsid w:val="0063784C"/>
    <w:rsid w:val="0064100C"/>
    <w:rsid w:val="00641C8F"/>
    <w:rsid w:val="00641D46"/>
    <w:rsid w:val="0064219E"/>
    <w:rsid w:val="00643BAD"/>
    <w:rsid w:val="00645075"/>
    <w:rsid w:val="006451EA"/>
    <w:rsid w:val="0064544E"/>
    <w:rsid w:val="0064664F"/>
    <w:rsid w:val="006467CB"/>
    <w:rsid w:val="00646C16"/>
    <w:rsid w:val="00647051"/>
    <w:rsid w:val="00647348"/>
    <w:rsid w:val="00647A56"/>
    <w:rsid w:val="00647CDA"/>
    <w:rsid w:val="0065029D"/>
    <w:rsid w:val="006507D0"/>
    <w:rsid w:val="00650C4F"/>
    <w:rsid w:val="00652691"/>
    <w:rsid w:val="00652A70"/>
    <w:rsid w:val="00653158"/>
    <w:rsid w:val="00653A69"/>
    <w:rsid w:val="00655AC1"/>
    <w:rsid w:val="00656656"/>
    <w:rsid w:val="00656997"/>
    <w:rsid w:val="00656CA3"/>
    <w:rsid w:val="006607F5"/>
    <w:rsid w:val="0066229E"/>
    <w:rsid w:val="00662356"/>
    <w:rsid w:val="006628F8"/>
    <w:rsid w:val="00662C4F"/>
    <w:rsid w:val="00662EEB"/>
    <w:rsid w:val="006638EA"/>
    <w:rsid w:val="006643F8"/>
    <w:rsid w:val="00664547"/>
    <w:rsid w:val="00664A91"/>
    <w:rsid w:val="00664B7B"/>
    <w:rsid w:val="0066578E"/>
    <w:rsid w:val="0066642B"/>
    <w:rsid w:val="006666B1"/>
    <w:rsid w:val="00666CC1"/>
    <w:rsid w:val="00667C7D"/>
    <w:rsid w:val="00670659"/>
    <w:rsid w:val="006709C4"/>
    <w:rsid w:val="00670C22"/>
    <w:rsid w:val="0067128C"/>
    <w:rsid w:val="00671FCB"/>
    <w:rsid w:val="006726FA"/>
    <w:rsid w:val="00672B27"/>
    <w:rsid w:val="00672C85"/>
    <w:rsid w:val="0067358E"/>
    <w:rsid w:val="0067385A"/>
    <w:rsid w:val="00674465"/>
    <w:rsid w:val="00674584"/>
    <w:rsid w:val="0067580E"/>
    <w:rsid w:val="00675CF5"/>
    <w:rsid w:val="00675FCF"/>
    <w:rsid w:val="006762AC"/>
    <w:rsid w:val="00676356"/>
    <w:rsid w:val="00676893"/>
    <w:rsid w:val="00676E62"/>
    <w:rsid w:val="00677254"/>
    <w:rsid w:val="006773D8"/>
    <w:rsid w:val="00677B35"/>
    <w:rsid w:val="00680C59"/>
    <w:rsid w:val="00681011"/>
    <w:rsid w:val="00681341"/>
    <w:rsid w:val="00681990"/>
    <w:rsid w:val="00682580"/>
    <w:rsid w:val="0068277C"/>
    <w:rsid w:val="0068347B"/>
    <w:rsid w:val="006834A2"/>
    <w:rsid w:val="00683CFA"/>
    <w:rsid w:val="00685709"/>
    <w:rsid w:val="006878E1"/>
    <w:rsid w:val="006902D9"/>
    <w:rsid w:val="00690598"/>
    <w:rsid w:val="00690866"/>
    <w:rsid w:val="00692A55"/>
    <w:rsid w:val="006931E7"/>
    <w:rsid w:val="00693B93"/>
    <w:rsid w:val="00693E6E"/>
    <w:rsid w:val="00694136"/>
    <w:rsid w:val="00694A26"/>
    <w:rsid w:val="00694CD4"/>
    <w:rsid w:val="00695645"/>
    <w:rsid w:val="00695AED"/>
    <w:rsid w:val="00695B44"/>
    <w:rsid w:val="00695BD9"/>
    <w:rsid w:val="00696154"/>
    <w:rsid w:val="00696C23"/>
    <w:rsid w:val="00697222"/>
    <w:rsid w:val="006974AE"/>
    <w:rsid w:val="006A05B0"/>
    <w:rsid w:val="006A0B62"/>
    <w:rsid w:val="006A0FE3"/>
    <w:rsid w:val="006A1020"/>
    <w:rsid w:val="006A1048"/>
    <w:rsid w:val="006A1770"/>
    <w:rsid w:val="006A2347"/>
    <w:rsid w:val="006A242A"/>
    <w:rsid w:val="006A2FA0"/>
    <w:rsid w:val="006A3BC5"/>
    <w:rsid w:val="006A47FE"/>
    <w:rsid w:val="006A4F24"/>
    <w:rsid w:val="006A578E"/>
    <w:rsid w:val="006A60DF"/>
    <w:rsid w:val="006A6563"/>
    <w:rsid w:val="006A67D4"/>
    <w:rsid w:val="006A6DC4"/>
    <w:rsid w:val="006A6F44"/>
    <w:rsid w:val="006A7E49"/>
    <w:rsid w:val="006B0B90"/>
    <w:rsid w:val="006B1458"/>
    <w:rsid w:val="006B1653"/>
    <w:rsid w:val="006B1A50"/>
    <w:rsid w:val="006B2597"/>
    <w:rsid w:val="006B290A"/>
    <w:rsid w:val="006B2BE0"/>
    <w:rsid w:val="006B3247"/>
    <w:rsid w:val="006B355D"/>
    <w:rsid w:val="006B464B"/>
    <w:rsid w:val="006B472E"/>
    <w:rsid w:val="006B5481"/>
    <w:rsid w:val="006B5812"/>
    <w:rsid w:val="006B6889"/>
    <w:rsid w:val="006B736E"/>
    <w:rsid w:val="006B7B41"/>
    <w:rsid w:val="006C00DC"/>
    <w:rsid w:val="006C08DD"/>
    <w:rsid w:val="006C2506"/>
    <w:rsid w:val="006C254D"/>
    <w:rsid w:val="006C29CC"/>
    <w:rsid w:val="006C3438"/>
    <w:rsid w:val="006C3CF7"/>
    <w:rsid w:val="006C417A"/>
    <w:rsid w:val="006C4754"/>
    <w:rsid w:val="006C4D31"/>
    <w:rsid w:val="006C5097"/>
    <w:rsid w:val="006C5CD5"/>
    <w:rsid w:val="006C6773"/>
    <w:rsid w:val="006C76CA"/>
    <w:rsid w:val="006D009B"/>
    <w:rsid w:val="006D0DB5"/>
    <w:rsid w:val="006D0FC6"/>
    <w:rsid w:val="006D1A64"/>
    <w:rsid w:val="006D27C8"/>
    <w:rsid w:val="006D2C50"/>
    <w:rsid w:val="006D2CB3"/>
    <w:rsid w:val="006D4870"/>
    <w:rsid w:val="006D4982"/>
    <w:rsid w:val="006D544D"/>
    <w:rsid w:val="006D5D58"/>
    <w:rsid w:val="006D5DDC"/>
    <w:rsid w:val="006E34FE"/>
    <w:rsid w:val="006E36B0"/>
    <w:rsid w:val="006E38D1"/>
    <w:rsid w:val="006E48F7"/>
    <w:rsid w:val="006E594A"/>
    <w:rsid w:val="006E6330"/>
    <w:rsid w:val="006E6763"/>
    <w:rsid w:val="006E6EDA"/>
    <w:rsid w:val="006E72F8"/>
    <w:rsid w:val="006E759F"/>
    <w:rsid w:val="006E7C47"/>
    <w:rsid w:val="006F065E"/>
    <w:rsid w:val="006F0968"/>
    <w:rsid w:val="006F0BC9"/>
    <w:rsid w:val="006F1459"/>
    <w:rsid w:val="006F214D"/>
    <w:rsid w:val="006F3788"/>
    <w:rsid w:val="006F4CE8"/>
    <w:rsid w:val="006F51BD"/>
    <w:rsid w:val="006F528F"/>
    <w:rsid w:val="006F5E15"/>
    <w:rsid w:val="006F64A8"/>
    <w:rsid w:val="006F6605"/>
    <w:rsid w:val="006F687E"/>
    <w:rsid w:val="006F767A"/>
    <w:rsid w:val="00700A0B"/>
    <w:rsid w:val="00700D08"/>
    <w:rsid w:val="00701FAE"/>
    <w:rsid w:val="00702213"/>
    <w:rsid w:val="007027CA"/>
    <w:rsid w:val="007039FB"/>
    <w:rsid w:val="00703C4E"/>
    <w:rsid w:val="007040CE"/>
    <w:rsid w:val="007046D0"/>
    <w:rsid w:val="007052CE"/>
    <w:rsid w:val="0070565D"/>
    <w:rsid w:val="00705C7F"/>
    <w:rsid w:val="00710001"/>
    <w:rsid w:val="007106BC"/>
    <w:rsid w:val="00710E51"/>
    <w:rsid w:val="00710E60"/>
    <w:rsid w:val="007110CF"/>
    <w:rsid w:val="007112F3"/>
    <w:rsid w:val="00711A01"/>
    <w:rsid w:val="00711DDA"/>
    <w:rsid w:val="007129BF"/>
    <w:rsid w:val="00713167"/>
    <w:rsid w:val="00713696"/>
    <w:rsid w:val="00713E40"/>
    <w:rsid w:val="00714AFC"/>
    <w:rsid w:val="00714B84"/>
    <w:rsid w:val="00715862"/>
    <w:rsid w:val="0071642A"/>
    <w:rsid w:val="00717EAF"/>
    <w:rsid w:val="00720CD6"/>
    <w:rsid w:val="007213D3"/>
    <w:rsid w:val="007217F0"/>
    <w:rsid w:val="00721D5C"/>
    <w:rsid w:val="00722143"/>
    <w:rsid w:val="00722CFF"/>
    <w:rsid w:val="00723037"/>
    <w:rsid w:val="007238B3"/>
    <w:rsid w:val="00724527"/>
    <w:rsid w:val="00724E50"/>
    <w:rsid w:val="0072516A"/>
    <w:rsid w:val="007254B7"/>
    <w:rsid w:val="00725B18"/>
    <w:rsid w:val="00725B4A"/>
    <w:rsid w:val="00725DF4"/>
    <w:rsid w:val="00726716"/>
    <w:rsid w:val="0072687A"/>
    <w:rsid w:val="0072746E"/>
    <w:rsid w:val="00727569"/>
    <w:rsid w:val="00727DF7"/>
    <w:rsid w:val="00727F27"/>
    <w:rsid w:val="00730694"/>
    <w:rsid w:val="0073091F"/>
    <w:rsid w:val="00730EB8"/>
    <w:rsid w:val="00731452"/>
    <w:rsid w:val="00732535"/>
    <w:rsid w:val="007325CA"/>
    <w:rsid w:val="0073274D"/>
    <w:rsid w:val="0073308F"/>
    <w:rsid w:val="007331C1"/>
    <w:rsid w:val="00734510"/>
    <w:rsid w:val="00734954"/>
    <w:rsid w:val="0073539C"/>
    <w:rsid w:val="00735658"/>
    <w:rsid w:val="00736335"/>
    <w:rsid w:val="007364E5"/>
    <w:rsid w:val="00736779"/>
    <w:rsid w:val="00736C86"/>
    <w:rsid w:val="00737449"/>
    <w:rsid w:val="00740234"/>
    <w:rsid w:val="0074070A"/>
    <w:rsid w:val="00740CD5"/>
    <w:rsid w:val="00741A60"/>
    <w:rsid w:val="00741ACB"/>
    <w:rsid w:val="007431E1"/>
    <w:rsid w:val="0074515F"/>
    <w:rsid w:val="00745356"/>
    <w:rsid w:val="00745A29"/>
    <w:rsid w:val="00745BB0"/>
    <w:rsid w:val="00745D50"/>
    <w:rsid w:val="007462E4"/>
    <w:rsid w:val="0074652C"/>
    <w:rsid w:val="007466C4"/>
    <w:rsid w:val="00747015"/>
    <w:rsid w:val="00747061"/>
    <w:rsid w:val="00747AA1"/>
    <w:rsid w:val="007504E1"/>
    <w:rsid w:val="00750B14"/>
    <w:rsid w:val="0075119B"/>
    <w:rsid w:val="0075161B"/>
    <w:rsid w:val="00751DFD"/>
    <w:rsid w:val="0075203F"/>
    <w:rsid w:val="00753D78"/>
    <w:rsid w:val="007540BD"/>
    <w:rsid w:val="007543DD"/>
    <w:rsid w:val="007551A8"/>
    <w:rsid w:val="00755821"/>
    <w:rsid w:val="00756ECB"/>
    <w:rsid w:val="00756F53"/>
    <w:rsid w:val="007571AA"/>
    <w:rsid w:val="007576D1"/>
    <w:rsid w:val="007578C0"/>
    <w:rsid w:val="0075793E"/>
    <w:rsid w:val="00760FE9"/>
    <w:rsid w:val="00761483"/>
    <w:rsid w:val="00761F3B"/>
    <w:rsid w:val="00762051"/>
    <w:rsid w:val="00762837"/>
    <w:rsid w:val="00762897"/>
    <w:rsid w:val="00762E9F"/>
    <w:rsid w:val="0076326E"/>
    <w:rsid w:val="007632E0"/>
    <w:rsid w:val="0076346B"/>
    <w:rsid w:val="007634B1"/>
    <w:rsid w:val="0076359A"/>
    <w:rsid w:val="00764131"/>
    <w:rsid w:val="007659DA"/>
    <w:rsid w:val="00766173"/>
    <w:rsid w:val="00766BA7"/>
    <w:rsid w:val="00766E8A"/>
    <w:rsid w:val="007671B4"/>
    <w:rsid w:val="007673C2"/>
    <w:rsid w:val="0076780F"/>
    <w:rsid w:val="007720BD"/>
    <w:rsid w:val="007722B6"/>
    <w:rsid w:val="00772308"/>
    <w:rsid w:val="0077241D"/>
    <w:rsid w:val="0077246A"/>
    <w:rsid w:val="0077253B"/>
    <w:rsid w:val="00773932"/>
    <w:rsid w:val="007745BA"/>
    <w:rsid w:val="00774BB0"/>
    <w:rsid w:val="0077522B"/>
    <w:rsid w:val="00775266"/>
    <w:rsid w:val="00775394"/>
    <w:rsid w:val="00775B46"/>
    <w:rsid w:val="00775B85"/>
    <w:rsid w:val="00775FC7"/>
    <w:rsid w:val="00776CA2"/>
    <w:rsid w:val="00777693"/>
    <w:rsid w:val="00780D18"/>
    <w:rsid w:val="00781568"/>
    <w:rsid w:val="00781676"/>
    <w:rsid w:val="00781E28"/>
    <w:rsid w:val="00782C4E"/>
    <w:rsid w:val="007831D4"/>
    <w:rsid w:val="00783586"/>
    <w:rsid w:val="00783E10"/>
    <w:rsid w:val="007840E4"/>
    <w:rsid w:val="0078491B"/>
    <w:rsid w:val="00785E95"/>
    <w:rsid w:val="007864C8"/>
    <w:rsid w:val="0078734E"/>
    <w:rsid w:val="0079014C"/>
    <w:rsid w:val="0079021D"/>
    <w:rsid w:val="007903CE"/>
    <w:rsid w:val="007908A5"/>
    <w:rsid w:val="0079144E"/>
    <w:rsid w:val="00791EC9"/>
    <w:rsid w:val="00791F60"/>
    <w:rsid w:val="0079224C"/>
    <w:rsid w:val="00792600"/>
    <w:rsid w:val="00792EA4"/>
    <w:rsid w:val="00792F2F"/>
    <w:rsid w:val="00792F97"/>
    <w:rsid w:val="00793CC7"/>
    <w:rsid w:val="007944F2"/>
    <w:rsid w:val="007952B6"/>
    <w:rsid w:val="00795371"/>
    <w:rsid w:val="00796432"/>
    <w:rsid w:val="00796B8E"/>
    <w:rsid w:val="00797A64"/>
    <w:rsid w:val="00797DB3"/>
    <w:rsid w:val="007A02F5"/>
    <w:rsid w:val="007A06F7"/>
    <w:rsid w:val="007A227E"/>
    <w:rsid w:val="007A230A"/>
    <w:rsid w:val="007A3A99"/>
    <w:rsid w:val="007A3BDE"/>
    <w:rsid w:val="007A3D3A"/>
    <w:rsid w:val="007A3F0B"/>
    <w:rsid w:val="007A4CAE"/>
    <w:rsid w:val="007A4DBA"/>
    <w:rsid w:val="007A5D88"/>
    <w:rsid w:val="007A603E"/>
    <w:rsid w:val="007A638E"/>
    <w:rsid w:val="007B024A"/>
    <w:rsid w:val="007B0520"/>
    <w:rsid w:val="007B0628"/>
    <w:rsid w:val="007B08A4"/>
    <w:rsid w:val="007B0DF8"/>
    <w:rsid w:val="007B119B"/>
    <w:rsid w:val="007B1541"/>
    <w:rsid w:val="007B2625"/>
    <w:rsid w:val="007B26C3"/>
    <w:rsid w:val="007B37B2"/>
    <w:rsid w:val="007B3E56"/>
    <w:rsid w:val="007B3E84"/>
    <w:rsid w:val="007B4E9E"/>
    <w:rsid w:val="007B5C2B"/>
    <w:rsid w:val="007B63CB"/>
    <w:rsid w:val="007B6B0F"/>
    <w:rsid w:val="007B73F0"/>
    <w:rsid w:val="007B7CA9"/>
    <w:rsid w:val="007C0A79"/>
    <w:rsid w:val="007C2802"/>
    <w:rsid w:val="007C3073"/>
    <w:rsid w:val="007C33AF"/>
    <w:rsid w:val="007C352A"/>
    <w:rsid w:val="007C385D"/>
    <w:rsid w:val="007C3A72"/>
    <w:rsid w:val="007C4328"/>
    <w:rsid w:val="007C471A"/>
    <w:rsid w:val="007C53B0"/>
    <w:rsid w:val="007C5808"/>
    <w:rsid w:val="007C5E51"/>
    <w:rsid w:val="007C63BA"/>
    <w:rsid w:val="007C6643"/>
    <w:rsid w:val="007C6B98"/>
    <w:rsid w:val="007C6CC7"/>
    <w:rsid w:val="007C6F3E"/>
    <w:rsid w:val="007C7D26"/>
    <w:rsid w:val="007D0C11"/>
    <w:rsid w:val="007D1989"/>
    <w:rsid w:val="007D4023"/>
    <w:rsid w:val="007D4253"/>
    <w:rsid w:val="007D474F"/>
    <w:rsid w:val="007D4996"/>
    <w:rsid w:val="007D49B9"/>
    <w:rsid w:val="007D4F92"/>
    <w:rsid w:val="007E05F2"/>
    <w:rsid w:val="007E0C79"/>
    <w:rsid w:val="007E1D77"/>
    <w:rsid w:val="007E209B"/>
    <w:rsid w:val="007E20F6"/>
    <w:rsid w:val="007E250D"/>
    <w:rsid w:val="007E2D9B"/>
    <w:rsid w:val="007E2EEB"/>
    <w:rsid w:val="007E4292"/>
    <w:rsid w:val="007E5143"/>
    <w:rsid w:val="007E52BB"/>
    <w:rsid w:val="007E61B5"/>
    <w:rsid w:val="007E6223"/>
    <w:rsid w:val="007E62EB"/>
    <w:rsid w:val="007E7335"/>
    <w:rsid w:val="007E77D9"/>
    <w:rsid w:val="007F10D3"/>
    <w:rsid w:val="007F121F"/>
    <w:rsid w:val="007F133D"/>
    <w:rsid w:val="007F1A2C"/>
    <w:rsid w:val="007F2FF9"/>
    <w:rsid w:val="007F30A9"/>
    <w:rsid w:val="007F30DF"/>
    <w:rsid w:val="007F338E"/>
    <w:rsid w:val="007F4808"/>
    <w:rsid w:val="007F485E"/>
    <w:rsid w:val="007F5DC7"/>
    <w:rsid w:val="007F5EA1"/>
    <w:rsid w:val="007F641F"/>
    <w:rsid w:val="007F735A"/>
    <w:rsid w:val="007F761C"/>
    <w:rsid w:val="007F7A58"/>
    <w:rsid w:val="007F7EDC"/>
    <w:rsid w:val="00800263"/>
    <w:rsid w:val="00800AE6"/>
    <w:rsid w:val="008010F8"/>
    <w:rsid w:val="0080226A"/>
    <w:rsid w:val="0080283C"/>
    <w:rsid w:val="008029AA"/>
    <w:rsid w:val="00802A44"/>
    <w:rsid w:val="00802E6C"/>
    <w:rsid w:val="008031A8"/>
    <w:rsid w:val="00803235"/>
    <w:rsid w:val="0080332D"/>
    <w:rsid w:val="008039F3"/>
    <w:rsid w:val="008047BA"/>
    <w:rsid w:val="00804817"/>
    <w:rsid w:val="0080582D"/>
    <w:rsid w:val="00805EBB"/>
    <w:rsid w:val="00806099"/>
    <w:rsid w:val="008068C0"/>
    <w:rsid w:val="008069F6"/>
    <w:rsid w:val="00806D07"/>
    <w:rsid w:val="008079B6"/>
    <w:rsid w:val="008079F9"/>
    <w:rsid w:val="00810D8C"/>
    <w:rsid w:val="008116F5"/>
    <w:rsid w:val="0081177F"/>
    <w:rsid w:val="00812123"/>
    <w:rsid w:val="00812591"/>
    <w:rsid w:val="0081315E"/>
    <w:rsid w:val="008133B6"/>
    <w:rsid w:val="008140A9"/>
    <w:rsid w:val="00814AF6"/>
    <w:rsid w:val="008151C3"/>
    <w:rsid w:val="00815AB8"/>
    <w:rsid w:val="00816873"/>
    <w:rsid w:val="00816B31"/>
    <w:rsid w:val="00816CA6"/>
    <w:rsid w:val="008171F9"/>
    <w:rsid w:val="00817435"/>
    <w:rsid w:val="00817503"/>
    <w:rsid w:val="00820085"/>
    <w:rsid w:val="00820D38"/>
    <w:rsid w:val="00821A2F"/>
    <w:rsid w:val="00821AF5"/>
    <w:rsid w:val="00821D34"/>
    <w:rsid w:val="008225A5"/>
    <w:rsid w:val="00822E0D"/>
    <w:rsid w:val="0082347B"/>
    <w:rsid w:val="00823BDB"/>
    <w:rsid w:val="00824310"/>
    <w:rsid w:val="00825B81"/>
    <w:rsid w:val="00826268"/>
    <w:rsid w:val="008268A5"/>
    <w:rsid w:val="008268C4"/>
    <w:rsid w:val="00827318"/>
    <w:rsid w:val="0082758D"/>
    <w:rsid w:val="0082760A"/>
    <w:rsid w:val="00827945"/>
    <w:rsid w:val="008310E5"/>
    <w:rsid w:val="008310F3"/>
    <w:rsid w:val="008315B0"/>
    <w:rsid w:val="00832EE7"/>
    <w:rsid w:val="00833304"/>
    <w:rsid w:val="00833926"/>
    <w:rsid w:val="00834412"/>
    <w:rsid w:val="008347B8"/>
    <w:rsid w:val="008349B6"/>
    <w:rsid w:val="00834A5A"/>
    <w:rsid w:val="008353A7"/>
    <w:rsid w:val="00837B06"/>
    <w:rsid w:val="008400F4"/>
    <w:rsid w:val="008401AF"/>
    <w:rsid w:val="00840303"/>
    <w:rsid w:val="00840D2A"/>
    <w:rsid w:val="00840EB7"/>
    <w:rsid w:val="00841575"/>
    <w:rsid w:val="008421E6"/>
    <w:rsid w:val="008425D0"/>
    <w:rsid w:val="00843352"/>
    <w:rsid w:val="00843D31"/>
    <w:rsid w:val="00844552"/>
    <w:rsid w:val="008445D0"/>
    <w:rsid w:val="00844B47"/>
    <w:rsid w:val="008463DD"/>
    <w:rsid w:val="00846440"/>
    <w:rsid w:val="00846EE6"/>
    <w:rsid w:val="008477AF"/>
    <w:rsid w:val="00847CE3"/>
    <w:rsid w:val="0085048D"/>
    <w:rsid w:val="00850776"/>
    <w:rsid w:val="00850817"/>
    <w:rsid w:val="00850F9E"/>
    <w:rsid w:val="0085131D"/>
    <w:rsid w:val="008516C8"/>
    <w:rsid w:val="00851A11"/>
    <w:rsid w:val="00851F55"/>
    <w:rsid w:val="00852A2D"/>
    <w:rsid w:val="00853923"/>
    <w:rsid w:val="00853C04"/>
    <w:rsid w:val="00855E55"/>
    <w:rsid w:val="00860A1D"/>
    <w:rsid w:val="0086101A"/>
    <w:rsid w:val="008611C3"/>
    <w:rsid w:val="00861B18"/>
    <w:rsid w:val="00862C40"/>
    <w:rsid w:val="00862EA3"/>
    <w:rsid w:val="00863888"/>
    <w:rsid w:val="0086440C"/>
    <w:rsid w:val="00864D58"/>
    <w:rsid w:val="00865258"/>
    <w:rsid w:val="0086527B"/>
    <w:rsid w:val="008654BB"/>
    <w:rsid w:val="0086617D"/>
    <w:rsid w:val="00866D63"/>
    <w:rsid w:val="008670F8"/>
    <w:rsid w:val="008673D9"/>
    <w:rsid w:val="00867464"/>
    <w:rsid w:val="008678F6"/>
    <w:rsid w:val="00870C27"/>
    <w:rsid w:val="00872388"/>
    <w:rsid w:val="00872DDF"/>
    <w:rsid w:val="00872E78"/>
    <w:rsid w:val="0087363F"/>
    <w:rsid w:val="00874649"/>
    <w:rsid w:val="0087476E"/>
    <w:rsid w:val="0087550F"/>
    <w:rsid w:val="00875E74"/>
    <w:rsid w:val="008769A8"/>
    <w:rsid w:val="00876A1A"/>
    <w:rsid w:val="00876B01"/>
    <w:rsid w:val="008773FA"/>
    <w:rsid w:val="00877487"/>
    <w:rsid w:val="008775AC"/>
    <w:rsid w:val="008775B9"/>
    <w:rsid w:val="0087770D"/>
    <w:rsid w:val="008777C4"/>
    <w:rsid w:val="0087787D"/>
    <w:rsid w:val="00877C3D"/>
    <w:rsid w:val="008807C7"/>
    <w:rsid w:val="00880E49"/>
    <w:rsid w:val="008817B1"/>
    <w:rsid w:val="00882C2B"/>
    <w:rsid w:val="008837A6"/>
    <w:rsid w:val="008838F3"/>
    <w:rsid w:val="00883FB3"/>
    <w:rsid w:val="00886102"/>
    <w:rsid w:val="008864DB"/>
    <w:rsid w:val="00886D12"/>
    <w:rsid w:val="00886FA8"/>
    <w:rsid w:val="0088725B"/>
    <w:rsid w:val="00887364"/>
    <w:rsid w:val="0088749B"/>
    <w:rsid w:val="0088766C"/>
    <w:rsid w:val="00887824"/>
    <w:rsid w:val="00887869"/>
    <w:rsid w:val="00887C11"/>
    <w:rsid w:val="008912E5"/>
    <w:rsid w:val="008913A1"/>
    <w:rsid w:val="00891D5B"/>
    <w:rsid w:val="00892753"/>
    <w:rsid w:val="00893823"/>
    <w:rsid w:val="008939B9"/>
    <w:rsid w:val="00893CB8"/>
    <w:rsid w:val="00893F3C"/>
    <w:rsid w:val="0089457E"/>
    <w:rsid w:val="008960C6"/>
    <w:rsid w:val="0089630F"/>
    <w:rsid w:val="00896559"/>
    <w:rsid w:val="00896751"/>
    <w:rsid w:val="00896F55"/>
    <w:rsid w:val="0089767C"/>
    <w:rsid w:val="008978FB"/>
    <w:rsid w:val="008A0379"/>
    <w:rsid w:val="008A0FDA"/>
    <w:rsid w:val="008A1FDE"/>
    <w:rsid w:val="008A2185"/>
    <w:rsid w:val="008A2793"/>
    <w:rsid w:val="008A2993"/>
    <w:rsid w:val="008A38DE"/>
    <w:rsid w:val="008A3E56"/>
    <w:rsid w:val="008A4047"/>
    <w:rsid w:val="008A508F"/>
    <w:rsid w:val="008A5A72"/>
    <w:rsid w:val="008A5DBF"/>
    <w:rsid w:val="008A5DC2"/>
    <w:rsid w:val="008A6629"/>
    <w:rsid w:val="008A686C"/>
    <w:rsid w:val="008A7686"/>
    <w:rsid w:val="008A76A9"/>
    <w:rsid w:val="008B09F9"/>
    <w:rsid w:val="008B0BE6"/>
    <w:rsid w:val="008B20DE"/>
    <w:rsid w:val="008B2181"/>
    <w:rsid w:val="008B29DC"/>
    <w:rsid w:val="008B2CD4"/>
    <w:rsid w:val="008B2D3A"/>
    <w:rsid w:val="008B2F48"/>
    <w:rsid w:val="008B3650"/>
    <w:rsid w:val="008B395B"/>
    <w:rsid w:val="008B423E"/>
    <w:rsid w:val="008B449B"/>
    <w:rsid w:val="008B44FA"/>
    <w:rsid w:val="008B4FF0"/>
    <w:rsid w:val="008B616E"/>
    <w:rsid w:val="008B788D"/>
    <w:rsid w:val="008B7AED"/>
    <w:rsid w:val="008B7C3C"/>
    <w:rsid w:val="008B7EFA"/>
    <w:rsid w:val="008C065E"/>
    <w:rsid w:val="008C0D1F"/>
    <w:rsid w:val="008C1071"/>
    <w:rsid w:val="008C25C7"/>
    <w:rsid w:val="008C28F3"/>
    <w:rsid w:val="008C2D7C"/>
    <w:rsid w:val="008C4559"/>
    <w:rsid w:val="008C4ED9"/>
    <w:rsid w:val="008C505E"/>
    <w:rsid w:val="008C6BC3"/>
    <w:rsid w:val="008C71EA"/>
    <w:rsid w:val="008C762C"/>
    <w:rsid w:val="008D026F"/>
    <w:rsid w:val="008D02CF"/>
    <w:rsid w:val="008D094F"/>
    <w:rsid w:val="008D17CD"/>
    <w:rsid w:val="008D1E92"/>
    <w:rsid w:val="008D1F7E"/>
    <w:rsid w:val="008D24DD"/>
    <w:rsid w:val="008D2793"/>
    <w:rsid w:val="008D3A79"/>
    <w:rsid w:val="008D3EB4"/>
    <w:rsid w:val="008D4220"/>
    <w:rsid w:val="008D47D7"/>
    <w:rsid w:val="008D4D31"/>
    <w:rsid w:val="008D58DF"/>
    <w:rsid w:val="008D5FC2"/>
    <w:rsid w:val="008D6200"/>
    <w:rsid w:val="008D649D"/>
    <w:rsid w:val="008D79D5"/>
    <w:rsid w:val="008D7F6F"/>
    <w:rsid w:val="008E02E0"/>
    <w:rsid w:val="008E0C31"/>
    <w:rsid w:val="008E0E87"/>
    <w:rsid w:val="008E134D"/>
    <w:rsid w:val="008E1754"/>
    <w:rsid w:val="008E2800"/>
    <w:rsid w:val="008E2F37"/>
    <w:rsid w:val="008E3173"/>
    <w:rsid w:val="008E35D1"/>
    <w:rsid w:val="008E40C3"/>
    <w:rsid w:val="008E44FA"/>
    <w:rsid w:val="008E47E4"/>
    <w:rsid w:val="008E4AE8"/>
    <w:rsid w:val="008E4B70"/>
    <w:rsid w:val="008E5489"/>
    <w:rsid w:val="008E55BD"/>
    <w:rsid w:val="008E5B91"/>
    <w:rsid w:val="008E61F3"/>
    <w:rsid w:val="008E6D12"/>
    <w:rsid w:val="008E734B"/>
    <w:rsid w:val="008F0044"/>
    <w:rsid w:val="008F061F"/>
    <w:rsid w:val="008F0E54"/>
    <w:rsid w:val="008F1668"/>
    <w:rsid w:val="008F30E1"/>
    <w:rsid w:val="008F3AA9"/>
    <w:rsid w:val="008F6941"/>
    <w:rsid w:val="008F7060"/>
    <w:rsid w:val="008F77C6"/>
    <w:rsid w:val="009008D8"/>
    <w:rsid w:val="00900A0C"/>
    <w:rsid w:val="00902F17"/>
    <w:rsid w:val="0090372F"/>
    <w:rsid w:val="0090386E"/>
    <w:rsid w:val="00903BD8"/>
    <w:rsid w:val="00903C15"/>
    <w:rsid w:val="009049FC"/>
    <w:rsid w:val="00905BD8"/>
    <w:rsid w:val="009061E3"/>
    <w:rsid w:val="0090674D"/>
    <w:rsid w:val="00906A93"/>
    <w:rsid w:val="00906E50"/>
    <w:rsid w:val="0090716E"/>
    <w:rsid w:val="00907267"/>
    <w:rsid w:val="0090763B"/>
    <w:rsid w:val="009077BA"/>
    <w:rsid w:val="0091021E"/>
    <w:rsid w:val="00910509"/>
    <w:rsid w:val="00911B42"/>
    <w:rsid w:val="00911F71"/>
    <w:rsid w:val="0091215C"/>
    <w:rsid w:val="00913DC1"/>
    <w:rsid w:val="00913F60"/>
    <w:rsid w:val="00913FD1"/>
    <w:rsid w:val="00914F28"/>
    <w:rsid w:val="00915ABE"/>
    <w:rsid w:val="00917786"/>
    <w:rsid w:val="00917CEE"/>
    <w:rsid w:val="00917D65"/>
    <w:rsid w:val="00917E06"/>
    <w:rsid w:val="0092028D"/>
    <w:rsid w:val="0092087F"/>
    <w:rsid w:val="00920FC8"/>
    <w:rsid w:val="00921224"/>
    <w:rsid w:val="009215C5"/>
    <w:rsid w:val="0092169A"/>
    <w:rsid w:val="00921C02"/>
    <w:rsid w:val="009230DE"/>
    <w:rsid w:val="00923339"/>
    <w:rsid w:val="00923466"/>
    <w:rsid w:val="00923A94"/>
    <w:rsid w:val="00923D5C"/>
    <w:rsid w:val="00924111"/>
    <w:rsid w:val="0092417B"/>
    <w:rsid w:val="009243BB"/>
    <w:rsid w:val="00924AFD"/>
    <w:rsid w:val="00926CD8"/>
    <w:rsid w:val="00927689"/>
    <w:rsid w:val="00931398"/>
    <w:rsid w:val="00931F88"/>
    <w:rsid w:val="009320E6"/>
    <w:rsid w:val="009323BD"/>
    <w:rsid w:val="00932583"/>
    <w:rsid w:val="00932C83"/>
    <w:rsid w:val="00932EF2"/>
    <w:rsid w:val="00934053"/>
    <w:rsid w:val="00934A86"/>
    <w:rsid w:val="00935211"/>
    <w:rsid w:val="009356A6"/>
    <w:rsid w:val="00935A5F"/>
    <w:rsid w:val="00937530"/>
    <w:rsid w:val="009418F7"/>
    <w:rsid w:val="00941D20"/>
    <w:rsid w:val="009427B4"/>
    <w:rsid w:val="00942E92"/>
    <w:rsid w:val="00943D8E"/>
    <w:rsid w:val="00943EE7"/>
    <w:rsid w:val="009449A1"/>
    <w:rsid w:val="00945564"/>
    <w:rsid w:val="00945D93"/>
    <w:rsid w:val="0094640F"/>
    <w:rsid w:val="009465B4"/>
    <w:rsid w:val="00947091"/>
    <w:rsid w:val="009471D5"/>
    <w:rsid w:val="00947869"/>
    <w:rsid w:val="00947CA0"/>
    <w:rsid w:val="009502D5"/>
    <w:rsid w:val="009502FB"/>
    <w:rsid w:val="00950353"/>
    <w:rsid w:val="00950E49"/>
    <w:rsid w:val="0095146A"/>
    <w:rsid w:val="00951C44"/>
    <w:rsid w:val="00951CCD"/>
    <w:rsid w:val="009520EE"/>
    <w:rsid w:val="009522D5"/>
    <w:rsid w:val="009527FF"/>
    <w:rsid w:val="0095437A"/>
    <w:rsid w:val="009548CC"/>
    <w:rsid w:val="009549AC"/>
    <w:rsid w:val="00955843"/>
    <w:rsid w:val="00955877"/>
    <w:rsid w:val="009563EE"/>
    <w:rsid w:val="009576FB"/>
    <w:rsid w:val="00957E74"/>
    <w:rsid w:val="0096049E"/>
    <w:rsid w:val="009608CC"/>
    <w:rsid w:val="00960981"/>
    <w:rsid w:val="009613E3"/>
    <w:rsid w:val="009629A8"/>
    <w:rsid w:val="009629AE"/>
    <w:rsid w:val="00962F08"/>
    <w:rsid w:val="00963074"/>
    <w:rsid w:val="009637CF"/>
    <w:rsid w:val="009637DD"/>
    <w:rsid w:val="00963DF1"/>
    <w:rsid w:val="009664A0"/>
    <w:rsid w:val="00966ED3"/>
    <w:rsid w:val="009670E3"/>
    <w:rsid w:val="009673CF"/>
    <w:rsid w:val="00967461"/>
    <w:rsid w:val="00967AE5"/>
    <w:rsid w:val="0097083F"/>
    <w:rsid w:val="0097159F"/>
    <w:rsid w:val="00971B69"/>
    <w:rsid w:val="00971DC3"/>
    <w:rsid w:val="00972241"/>
    <w:rsid w:val="00972817"/>
    <w:rsid w:val="00972A3B"/>
    <w:rsid w:val="00972F42"/>
    <w:rsid w:val="00973041"/>
    <w:rsid w:val="00973D10"/>
    <w:rsid w:val="009744C5"/>
    <w:rsid w:val="009745FC"/>
    <w:rsid w:val="0097533E"/>
    <w:rsid w:val="009754EF"/>
    <w:rsid w:val="00975703"/>
    <w:rsid w:val="00975A6B"/>
    <w:rsid w:val="0097619B"/>
    <w:rsid w:val="00976CAE"/>
    <w:rsid w:val="009772D7"/>
    <w:rsid w:val="00977550"/>
    <w:rsid w:val="00977ADA"/>
    <w:rsid w:val="009806D3"/>
    <w:rsid w:val="00980737"/>
    <w:rsid w:val="009807C8"/>
    <w:rsid w:val="00980CED"/>
    <w:rsid w:val="00981EC9"/>
    <w:rsid w:val="00981F3F"/>
    <w:rsid w:val="009821FA"/>
    <w:rsid w:val="00982FEA"/>
    <w:rsid w:val="009831E6"/>
    <w:rsid w:val="009838BC"/>
    <w:rsid w:val="00983F29"/>
    <w:rsid w:val="0098402F"/>
    <w:rsid w:val="0098490B"/>
    <w:rsid w:val="00984CE4"/>
    <w:rsid w:val="00985909"/>
    <w:rsid w:val="00985D89"/>
    <w:rsid w:val="00986C78"/>
    <w:rsid w:val="00986EE2"/>
    <w:rsid w:val="00987808"/>
    <w:rsid w:val="0099009C"/>
    <w:rsid w:val="00990BF3"/>
    <w:rsid w:val="00990D12"/>
    <w:rsid w:val="009918C6"/>
    <w:rsid w:val="009925D2"/>
    <w:rsid w:val="0099331C"/>
    <w:rsid w:val="009934D2"/>
    <w:rsid w:val="00993979"/>
    <w:rsid w:val="00993D98"/>
    <w:rsid w:val="00994077"/>
    <w:rsid w:val="0099480C"/>
    <w:rsid w:val="00994CD7"/>
    <w:rsid w:val="00995197"/>
    <w:rsid w:val="00995BF1"/>
    <w:rsid w:val="0099600D"/>
    <w:rsid w:val="00996225"/>
    <w:rsid w:val="00996811"/>
    <w:rsid w:val="00996BCF"/>
    <w:rsid w:val="009976D8"/>
    <w:rsid w:val="00997AEF"/>
    <w:rsid w:val="00997FDE"/>
    <w:rsid w:val="009A01A0"/>
    <w:rsid w:val="009A1EA3"/>
    <w:rsid w:val="009A23B9"/>
    <w:rsid w:val="009A275E"/>
    <w:rsid w:val="009A3A78"/>
    <w:rsid w:val="009A3DA1"/>
    <w:rsid w:val="009A3E17"/>
    <w:rsid w:val="009A4C5C"/>
    <w:rsid w:val="009A5660"/>
    <w:rsid w:val="009A5A8F"/>
    <w:rsid w:val="009A662F"/>
    <w:rsid w:val="009A6AD9"/>
    <w:rsid w:val="009A72E6"/>
    <w:rsid w:val="009B0393"/>
    <w:rsid w:val="009B0EC8"/>
    <w:rsid w:val="009B1593"/>
    <w:rsid w:val="009B1834"/>
    <w:rsid w:val="009B1EEC"/>
    <w:rsid w:val="009B280C"/>
    <w:rsid w:val="009B34C5"/>
    <w:rsid w:val="009B3ACE"/>
    <w:rsid w:val="009B45A9"/>
    <w:rsid w:val="009B4B7E"/>
    <w:rsid w:val="009B4EC7"/>
    <w:rsid w:val="009B6573"/>
    <w:rsid w:val="009B6662"/>
    <w:rsid w:val="009B6BDE"/>
    <w:rsid w:val="009B6ED0"/>
    <w:rsid w:val="009B7E09"/>
    <w:rsid w:val="009C0D6F"/>
    <w:rsid w:val="009C1130"/>
    <w:rsid w:val="009C1607"/>
    <w:rsid w:val="009C2B33"/>
    <w:rsid w:val="009C2DE8"/>
    <w:rsid w:val="009C3952"/>
    <w:rsid w:val="009C3A3D"/>
    <w:rsid w:val="009C3C5B"/>
    <w:rsid w:val="009C3DCE"/>
    <w:rsid w:val="009C3EBF"/>
    <w:rsid w:val="009C5D9F"/>
    <w:rsid w:val="009C615C"/>
    <w:rsid w:val="009C66C6"/>
    <w:rsid w:val="009C69A5"/>
    <w:rsid w:val="009C6D67"/>
    <w:rsid w:val="009C7206"/>
    <w:rsid w:val="009C7629"/>
    <w:rsid w:val="009C778E"/>
    <w:rsid w:val="009C78E0"/>
    <w:rsid w:val="009D1319"/>
    <w:rsid w:val="009D1748"/>
    <w:rsid w:val="009D23CC"/>
    <w:rsid w:val="009D2941"/>
    <w:rsid w:val="009D2B31"/>
    <w:rsid w:val="009D3605"/>
    <w:rsid w:val="009D41DC"/>
    <w:rsid w:val="009D455E"/>
    <w:rsid w:val="009D4E36"/>
    <w:rsid w:val="009D4EC3"/>
    <w:rsid w:val="009D4F1A"/>
    <w:rsid w:val="009D50A8"/>
    <w:rsid w:val="009D50C8"/>
    <w:rsid w:val="009D64C2"/>
    <w:rsid w:val="009E00A7"/>
    <w:rsid w:val="009E0B79"/>
    <w:rsid w:val="009E0C18"/>
    <w:rsid w:val="009E1CD8"/>
    <w:rsid w:val="009E2B22"/>
    <w:rsid w:val="009E4BAF"/>
    <w:rsid w:val="009E4DBA"/>
    <w:rsid w:val="009E55ED"/>
    <w:rsid w:val="009E570F"/>
    <w:rsid w:val="009E6048"/>
    <w:rsid w:val="009E6D33"/>
    <w:rsid w:val="009E703B"/>
    <w:rsid w:val="009F0D61"/>
    <w:rsid w:val="009F37EA"/>
    <w:rsid w:val="009F3E08"/>
    <w:rsid w:val="009F3F5C"/>
    <w:rsid w:val="009F4B9B"/>
    <w:rsid w:val="009F4BA4"/>
    <w:rsid w:val="009F4E1A"/>
    <w:rsid w:val="009F5038"/>
    <w:rsid w:val="009F545A"/>
    <w:rsid w:val="009F62C9"/>
    <w:rsid w:val="009F65DA"/>
    <w:rsid w:val="009F679B"/>
    <w:rsid w:val="009F6917"/>
    <w:rsid w:val="009F6B53"/>
    <w:rsid w:val="009F713E"/>
    <w:rsid w:val="00A027BF"/>
    <w:rsid w:val="00A02B0C"/>
    <w:rsid w:val="00A03312"/>
    <w:rsid w:val="00A03CF5"/>
    <w:rsid w:val="00A044B6"/>
    <w:rsid w:val="00A04C12"/>
    <w:rsid w:val="00A053CB"/>
    <w:rsid w:val="00A06A7E"/>
    <w:rsid w:val="00A071F6"/>
    <w:rsid w:val="00A07B3C"/>
    <w:rsid w:val="00A1112F"/>
    <w:rsid w:val="00A1122E"/>
    <w:rsid w:val="00A11861"/>
    <w:rsid w:val="00A138FD"/>
    <w:rsid w:val="00A146A5"/>
    <w:rsid w:val="00A1509E"/>
    <w:rsid w:val="00A1628B"/>
    <w:rsid w:val="00A16C13"/>
    <w:rsid w:val="00A1724C"/>
    <w:rsid w:val="00A17252"/>
    <w:rsid w:val="00A1749B"/>
    <w:rsid w:val="00A17FA2"/>
    <w:rsid w:val="00A20392"/>
    <w:rsid w:val="00A20D12"/>
    <w:rsid w:val="00A21190"/>
    <w:rsid w:val="00A214A8"/>
    <w:rsid w:val="00A214D7"/>
    <w:rsid w:val="00A23031"/>
    <w:rsid w:val="00A23429"/>
    <w:rsid w:val="00A2354C"/>
    <w:rsid w:val="00A236C3"/>
    <w:rsid w:val="00A23948"/>
    <w:rsid w:val="00A2547C"/>
    <w:rsid w:val="00A25EB8"/>
    <w:rsid w:val="00A26D1B"/>
    <w:rsid w:val="00A26F5F"/>
    <w:rsid w:val="00A26FBF"/>
    <w:rsid w:val="00A273D2"/>
    <w:rsid w:val="00A307B4"/>
    <w:rsid w:val="00A30847"/>
    <w:rsid w:val="00A30AD5"/>
    <w:rsid w:val="00A30FB7"/>
    <w:rsid w:val="00A3110B"/>
    <w:rsid w:val="00A31121"/>
    <w:rsid w:val="00A31130"/>
    <w:rsid w:val="00A31199"/>
    <w:rsid w:val="00A31279"/>
    <w:rsid w:val="00A3142E"/>
    <w:rsid w:val="00A31F27"/>
    <w:rsid w:val="00A32609"/>
    <w:rsid w:val="00A34190"/>
    <w:rsid w:val="00A344B2"/>
    <w:rsid w:val="00A34B67"/>
    <w:rsid w:val="00A34EB7"/>
    <w:rsid w:val="00A36604"/>
    <w:rsid w:val="00A37320"/>
    <w:rsid w:val="00A37A71"/>
    <w:rsid w:val="00A401DB"/>
    <w:rsid w:val="00A40A5A"/>
    <w:rsid w:val="00A40F02"/>
    <w:rsid w:val="00A41D51"/>
    <w:rsid w:val="00A4221B"/>
    <w:rsid w:val="00A4236E"/>
    <w:rsid w:val="00A424C3"/>
    <w:rsid w:val="00A43944"/>
    <w:rsid w:val="00A43A64"/>
    <w:rsid w:val="00A44862"/>
    <w:rsid w:val="00A45332"/>
    <w:rsid w:val="00A45E9A"/>
    <w:rsid w:val="00A461A4"/>
    <w:rsid w:val="00A472CD"/>
    <w:rsid w:val="00A47D3F"/>
    <w:rsid w:val="00A50162"/>
    <w:rsid w:val="00A50468"/>
    <w:rsid w:val="00A5117A"/>
    <w:rsid w:val="00A5233D"/>
    <w:rsid w:val="00A52F7A"/>
    <w:rsid w:val="00A5486B"/>
    <w:rsid w:val="00A5577F"/>
    <w:rsid w:val="00A55C1E"/>
    <w:rsid w:val="00A55D09"/>
    <w:rsid w:val="00A55E06"/>
    <w:rsid w:val="00A55F5D"/>
    <w:rsid w:val="00A56895"/>
    <w:rsid w:val="00A57629"/>
    <w:rsid w:val="00A57A31"/>
    <w:rsid w:val="00A57DEB"/>
    <w:rsid w:val="00A60BEA"/>
    <w:rsid w:val="00A615B6"/>
    <w:rsid w:val="00A62510"/>
    <w:rsid w:val="00A629A6"/>
    <w:rsid w:val="00A63A74"/>
    <w:rsid w:val="00A63D6A"/>
    <w:rsid w:val="00A64352"/>
    <w:rsid w:val="00A6488C"/>
    <w:rsid w:val="00A64975"/>
    <w:rsid w:val="00A65161"/>
    <w:rsid w:val="00A66E0E"/>
    <w:rsid w:val="00A6784E"/>
    <w:rsid w:val="00A67A36"/>
    <w:rsid w:val="00A707FD"/>
    <w:rsid w:val="00A71245"/>
    <w:rsid w:val="00A72632"/>
    <w:rsid w:val="00A73332"/>
    <w:rsid w:val="00A74194"/>
    <w:rsid w:val="00A7446B"/>
    <w:rsid w:val="00A744ED"/>
    <w:rsid w:val="00A7495A"/>
    <w:rsid w:val="00A74A67"/>
    <w:rsid w:val="00A74BB2"/>
    <w:rsid w:val="00A74EED"/>
    <w:rsid w:val="00A75461"/>
    <w:rsid w:val="00A767A3"/>
    <w:rsid w:val="00A777FB"/>
    <w:rsid w:val="00A803BD"/>
    <w:rsid w:val="00A80C4B"/>
    <w:rsid w:val="00A818F5"/>
    <w:rsid w:val="00A82245"/>
    <w:rsid w:val="00A82DEA"/>
    <w:rsid w:val="00A830DE"/>
    <w:rsid w:val="00A832FD"/>
    <w:rsid w:val="00A8455D"/>
    <w:rsid w:val="00A846A1"/>
    <w:rsid w:val="00A849BB"/>
    <w:rsid w:val="00A853F6"/>
    <w:rsid w:val="00A90D03"/>
    <w:rsid w:val="00A93770"/>
    <w:rsid w:val="00A93E0B"/>
    <w:rsid w:val="00A93E30"/>
    <w:rsid w:val="00A951A7"/>
    <w:rsid w:val="00A967A5"/>
    <w:rsid w:val="00A96CE8"/>
    <w:rsid w:val="00AA0410"/>
    <w:rsid w:val="00AA053A"/>
    <w:rsid w:val="00AA096D"/>
    <w:rsid w:val="00AA0FE1"/>
    <w:rsid w:val="00AA14D0"/>
    <w:rsid w:val="00AA2668"/>
    <w:rsid w:val="00AA2E7B"/>
    <w:rsid w:val="00AA3427"/>
    <w:rsid w:val="00AA3A92"/>
    <w:rsid w:val="00AA3F9C"/>
    <w:rsid w:val="00AA45E2"/>
    <w:rsid w:val="00AA4A10"/>
    <w:rsid w:val="00AA5766"/>
    <w:rsid w:val="00AA6C75"/>
    <w:rsid w:val="00AA6DC3"/>
    <w:rsid w:val="00AA7AB3"/>
    <w:rsid w:val="00AB04A7"/>
    <w:rsid w:val="00AB055B"/>
    <w:rsid w:val="00AB0B1C"/>
    <w:rsid w:val="00AB0E88"/>
    <w:rsid w:val="00AB13F3"/>
    <w:rsid w:val="00AB1410"/>
    <w:rsid w:val="00AB1BA5"/>
    <w:rsid w:val="00AB1E0A"/>
    <w:rsid w:val="00AB25A9"/>
    <w:rsid w:val="00AB2FA6"/>
    <w:rsid w:val="00AB333C"/>
    <w:rsid w:val="00AB3520"/>
    <w:rsid w:val="00AB3E9E"/>
    <w:rsid w:val="00AB4E0B"/>
    <w:rsid w:val="00AB4E5F"/>
    <w:rsid w:val="00AB6390"/>
    <w:rsid w:val="00AB723A"/>
    <w:rsid w:val="00AB78D2"/>
    <w:rsid w:val="00AB7B27"/>
    <w:rsid w:val="00AC04BF"/>
    <w:rsid w:val="00AC1BF5"/>
    <w:rsid w:val="00AC202D"/>
    <w:rsid w:val="00AC2255"/>
    <w:rsid w:val="00AC4145"/>
    <w:rsid w:val="00AC4F08"/>
    <w:rsid w:val="00AC51EB"/>
    <w:rsid w:val="00AC53F5"/>
    <w:rsid w:val="00AC5D59"/>
    <w:rsid w:val="00AC5DB6"/>
    <w:rsid w:val="00AC6459"/>
    <w:rsid w:val="00AC6EA6"/>
    <w:rsid w:val="00AD00CF"/>
    <w:rsid w:val="00AD0980"/>
    <w:rsid w:val="00AD09A4"/>
    <w:rsid w:val="00AD0B73"/>
    <w:rsid w:val="00AD1137"/>
    <w:rsid w:val="00AD1399"/>
    <w:rsid w:val="00AD1DFC"/>
    <w:rsid w:val="00AD1E9B"/>
    <w:rsid w:val="00AD252F"/>
    <w:rsid w:val="00AD27EE"/>
    <w:rsid w:val="00AD2CD9"/>
    <w:rsid w:val="00AD307F"/>
    <w:rsid w:val="00AD3B49"/>
    <w:rsid w:val="00AD4B3A"/>
    <w:rsid w:val="00AD6487"/>
    <w:rsid w:val="00AD67A1"/>
    <w:rsid w:val="00AD70EE"/>
    <w:rsid w:val="00AD7AC8"/>
    <w:rsid w:val="00AD7EF1"/>
    <w:rsid w:val="00AE0B49"/>
    <w:rsid w:val="00AE0CB9"/>
    <w:rsid w:val="00AE197F"/>
    <w:rsid w:val="00AE19BB"/>
    <w:rsid w:val="00AE2BEE"/>
    <w:rsid w:val="00AE3978"/>
    <w:rsid w:val="00AE42B8"/>
    <w:rsid w:val="00AE4436"/>
    <w:rsid w:val="00AE4F82"/>
    <w:rsid w:val="00AE5534"/>
    <w:rsid w:val="00AE56CB"/>
    <w:rsid w:val="00AE6D92"/>
    <w:rsid w:val="00AE7083"/>
    <w:rsid w:val="00AE77DE"/>
    <w:rsid w:val="00AE7B8A"/>
    <w:rsid w:val="00AF0261"/>
    <w:rsid w:val="00AF04F6"/>
    <w:rsid w:val="00AF1CD1"/>
    <w:rsid w:val="00AF2096"/>
    <w:rsid w:val="00AF238A"/>
    <w:rsid w:val="00AF2CC8"/>
    <w:rsid w:val="00AF30AD"/>
    <w:rsid w:val="00AF3CAF"/>
    <w:rsid w:val="00AF5C3C"/>
    <w:rsid w:val="00AF6224"/>
    <w:rsid w:val="00AF651B"/>
    <w:rsid w:val="00AF6C5B"/>
    <w:rsid w:val="00AF7507"/>
    <w:rsid w:val="00AF77E3"/>
    <w:rsid w:val="00AF7820"/>
    <w:rsid w:val="00AF7AB7"/>
    <w:rsid w:val="00B0039F"/>
    <w:rsid w:val="00B007E3"/>
    <w:rsid w:val="00B00CD1"/>
    <w:rsid w:val="00B0150D"/>
    <w:rsid w:val="00B01AF0"/>
    <w:rsid w:val="00B03085"/>
    <w:rsid w:val="00B030F6"/>
    <w:rsid w:val="00B03388"/>
    <w:rsid w:val="00B04511"/>
    <w:rsid w:val="00B05956"/>
    <w:rsid w:val="00B05A50"/>
    <w:rsid w:val="00B05CEB"/>
    <w:rsid w:val="00B05EB5"/>
    <w:rsid w:val="00B063D7"/>
    <w:rsid w:val="00B0721B"/>
    <w:rsid w:val="00B07774"/>
    <w:rsid w:val="00B1078C"/>
    <w:rsid w:val="00B10D6B"/>
    <w:rsid w:val="00B11130"/>
    <w:rsid w:val="00B116FE"/>
    <w:rsid w:val="00B11739"/>
    <w:rsid w:val="00B11BDD"/>
    <w:rsid w:val="00B12A29"/>
    <w:rsid w:val="00B13622"/>
    <w:rsid w:val="00B1414C"/>
    <w:rsid w:val="00B16BF5"/>
    <w:rsid w:val="00B17D52"/>
    <w:rsid w:val="00B20334"/>
    <w:rsid w:val="00B205AF"/>
    <w:rsid w:val="00B20B2E"/>
    <w:rsid w:val="00B20F16"/>
    <w:rsid w:val="00B220E1"/>
    <w:rsid w:val="00B2238B"/>
    <w:rsid w:val="00B2277D"/>
    <w:rsid w:val="00B22D6D"/>
    <w:rsid w:val="00B233F2"/>
    <w:rsid w:val="00B2476D"/>
    <w:rsid w:val="00B24EFE"/>
    <w:rsid w:val="00B24FC4"/>
    <w:rsid w:val="00B25465"/>
    <w:rsid w:val="00B25B7E"/>
    <w:rsid w:val="00B27008"/>
    <w:rsid w:val="00B27926"/>
    <w:rsid w:val="00B27A5E"/>
    <w:rsid w:val="00B27DD6"/>
    <w:rsid w:val="00B30643"/>
    <w:rsid w:val="00B30651"/>
    <w:rsid w:val="00B310BB"/>
    <w:rsid w:val="00B31A6A"/>
    <w:rsid w:val="00B31D2D"/>
    <w:rsid w:val="00B320E3"/>
    <w:rsid w:val="00B3236F"/>
    <w:rsid w:val="00B3244F"/>
    <w:rsid w:val="00B329E8"/>
    <w:rsid w:val="00B32B2E"/>
    <w:rsid w:val="00B332C0"/>
    <w:rsid w:val="00B33A84"/>
    <w:rsid w:val="00B33B4B"/>
    <w:rsid w:val="00B33D8C"/>
    <w:rsid w:val="00B34009"/>
    <w:rsid w:val="00B34378"/>
    <w:rsid w:val="00B344E0"/>
    <w:rsid w:val="00B354D5"/>
    <w:rsid w:val="00B360AF"/>
    <w:rsid w:val="00B36912"/>
    <w:rsid w:val="00B374E8"/>
    <w:rsid w:val="00B37A4E"/>
    <w:rsid w:val="00B37E6C"/>
    <w:rsid w:val="00B40705"/>
    <w:rsid w:val="00B41B1C"/>
    <w:rsid w:val="00B41B23"/>
    <w:rsid w:val="00B41BF0"/>
    <w:rsid w:val="00B42041"/>
    <w:rsid w:val="00B423FD"/>
    <w:rsid w:val="00B42973"/>
    <w:rsid w:val="00B43EB7"/>
    <w:rsid w:val="00B455F2"/>
    <w:rsid w:val="00B45834"/>
    <w:rsid w:val="00B47893"/>
    <w:rsid w:val="00B47C0D"/>
    <w:rsid w:val="00B50949"/>
    <w:rsid w:val="00B50FD0"/>
    <w:rsid w:val="00B51766"/>
    <w:rsid w:val="00B527F8"/>
    <w:rsid w:val="00B53358"/>
    <w:rsid w:val="00B54355"/>
    <w:rsid w:val="00B54893"/>
    <w:rsid w:val="00B55D32"/>
    <w:rsid w:val="00B5673D"/>
    <w:rsid w:val="00B577E5"/>
    <w:rsid w:val="00B603B2"/>
    <w:rsid w:val="00B60648"/>
    <w:rsid w:val="00B60885"/>
    <w:rsid w:val="00B608A9"/>
    <w:rsid w:val="00B608E3"/>
    <w:rsid w:val="00B60BAD"/>
    <w:rsid w:val="00B60CB1"/>
    <w:rsid w:val="00B618D9"/>
    <w:rsid w:val="00B61B13"/>
    <w:rsid w:val="00B62346"/>
    <w:rsid w:val="00B6304D"/>
    <w:rsid w:val="00B644E1"/>
    <w:rsid w:val="00B64F77"/>
    <w:rsid w:val="00B65992"/>
    <w:rsid w:val="00B663DF"/>
    <w:rsid w:val="00B666E0"/>
    <w:rsid w:val="00B66AB5"/>
    <w:rsid w:val="00B66C82"/>
    <w:rsid w:val="00B66D01"/>
    <w:rsid w:val="00B671D1"/>
    <w:rsid w:val="00B67767"/>
    <w:rsid w:val="00B67875"/>
    <w:rsid w:val="00B67FC5"/>
    <w:rsid w:val="00B7009A"/>
    <w:rsid w:val="00B702FA"/>
    <w:rsid w:val="00B707AC"/>
    <w:rsid w:val="00B709E5"/>
    <w:rsid w:val="00B71408"/>
    <w:rsid w:val="00B71443"/>
    <w:rsid w:val="00B71666"/>
    <w:rsid w:val="00B7226F"/>
    <w:rsid w:val="00B72838"/>
    <w:rsid w:val="00B73550"/>
    <w:rsid w:val="00B736CF"/>
    <w:rsid w:val="00B74BE7"/>
    <w:rsid w:val="00B75293"/>
    <w:rsid w:val="00B75AA9"/>
    <w:rsid w:val="00B762BC"/>
    <w:rsid w:val="00B7767D"/>
    <w:rsid w:val="00B77B47"/>
    <w:rsid w:val="00B77EFF"/>
    <w:rsid w:val="00B80440"/>
    <w:rsid w:val="00B80D21"/>
    <w:rsid w:val="00B839AA"/>
    <w:rsid w:val="00B83ED0"/>
    <w:rsid w:val="00B842DA"/>
    <w:rsid w:val="00B844BB"/>
    <w:rsid w:val="00B845EB"/>
    <w:rsid w:val="00B846B1"/>
    <w:rsid w:val="00B85340"/>
    <w:rsid w:val="00B85476"/>
    <w:rsid w:val="00B85CAB"/>
    <w:rsid w:val="00B85ECC"/>
    <w:rsid w:val="00B87262"/>
    <w:rsid w:val="00B876D3"/>
    <w:rsid w:val="00B87AC5"/>
    <w:rsid w:val="00B87C5E"/>
    <w:rsid w:val="00B87DC1"/>
    <w:rsid w:val="00B9292F"/>
    <w:rsid w:val="00B936A6"/>
    <w:rsid w:val="00B93A72"/>
    <w:rsid w:val="00B94DA4"/>
    <w:rsid w:val="00B9538C"/>
    <w:rsid w:val="00B9541C"/>
    <w:rsid w:val="00B95B2D"/>
    <w:rsid w:val="00B95F5E"/>
    <w:rsid w:val="00B95F87"/>
    <w:rsid w:val="00B969AB"/>
    <w:rsid w:val="00B96AE5"/>
    <w:rsid w:val="00B96C3F"/>
    <w:rsid w:val="00B96EA9"/>
    <w:rsid w:val="00B979D1"/>
    <w:rsid w:val="00B97FD3"/>
    <w:rsid w:val="00B97FD6"/>
    <w:rsid w:val="00BA0626"/>
    <w:rsid w:val="00BA1DF4"/>
    <w:rsid w:val="00BA1E5F"/>
    <w:rsid w:val="00BA1F45"/>
    <w:rsid w:val="00BA2B73"/>
    <w:rsid w:val="00BA2EF0"/>
    <w:rsid w:val="00BA383B"/>
    <w:rsid w:val="00BA4182"/>
    <w:rsid w:val="00BA4746"/>
    <w:rsid w:val="00BA47C8"/>
    <w:rsid w:val="00BA507A"/>
    <w:rsid w:val="00BA5DAF"/>
    <w:rsid w:val="00BA6A7D"/>
    <w:rsid w:val="00BA706C"/>
    <w:rsid w:val="00BA7222"/>
    <w:rsid w:val="00BA784B"/>
    <w:rsid w:val="00BB0B6E"/>
    <w:rsid w:val="00BB13BD"/>
    <w:rsid w:val="00BB1744"/>
    <w:rsid w:val="00BB24BF"/>
    <w:rsid w:val="00BB27B0"/>
    <w:rsid w:val="00BB290F"/>
    <w:rsid w:val="00BB2D97"/>
    <w:rsid w:val="00BB319C"/>
    <w:rsid w:val="00BB3CE7"/>
    <w:rsid w:val="00BB3DB1"/>
    <w:rsid w:val="00BB4336"/>
    <w:rsid w:val="00BB485E"/>
    <w:rsid w:val="00BB4E37"/>
    <w:rsid w:val="00BB526D"/>
    <w:rsid w:val="00BB56E9"/>
    <w:rsid w:val="00BB6BDA"/>
    <w:rsid w:val="00BB7A82"/>
    <w:rsid w:val="00BC091E"/>
    <w:rsid w:val="00BC0AF7"/>
    <w:rsid w:val="00BC1A64"/>
    <w:rsid w:val="00BC29A4"/>
    <w:rsid w:val="00BC29D8"/>
    <w:rsid w:val="00BC3229"/>
    <w:rsid w:val="00BC44AE"/>
    <w:rsid w:val="00BC636F"/>
    <w:rsid w:val="00BC646F"/>
    <w:rsid w:val="00BC7CAA"/>
    <w:rsid w:val="00BD055F"/>
    <w:rsid w:val="00BD0843"/>
    <w:rsid w:val="00BD14A5"/>
    <w:rsid w:val="00BD19BC"/>
    <w:rsid w:val="00BD23F9"/>
    <w:rsid w:val="00BD2499"/>
    <w:rsid w:val="00BD2BE0"/>
    <w:rsid w:val="00BD2EAB"/>
    <w:rsid w:val="00BD381D"/>
    <w:rsid w:val="00BD39AB"/>
    <w:rsid w:val="00BD3D49"/>
    <w:rsid w:val="00BD3D98"/>
    <w:rsid w:val="00BD3E1D"/>
    <w:rsid w:val="00BD42F9"/>
    <w:rsid w:val="00BD455F"/>
    <w:rsid w:val="00BD50BC"/>
    <w:rsid w:val="00BD5673"/>
    <w:rsid w:val="00BD6447"/>
    <w:rsid w:val="00BD657E"/>
    <w:rsid w:val="00BD6F62"/>
    <w:rsid w:val="00BD72EE"/>
    <w:rsid w:val="00BD796D"/>
    <w:rsid w:val="00BD7A31"/>
    <w:rsid w:val="00BD7E0F"/>
    <w:rsid w:val="00BE0003"/>
    <w:rsid w:val="00BE089C"/>
    <w:rsid w:val="00BE151C"/>
    <w:rsid w:val="00BE17E9"/>
    <w:rsid w:val="00BE180D"/>
    <w:rsid w:val="00BE193D"/>
    <w:rsid w:val="00BE1D63"/>
    <w:rsid w:val="00BE2D27"/>
    <w:rsid w:val="00BE3695"/>
    <w:rsid w:val="00BE3CDE"/>
    <w:rsid w:val="00BE3D31"/>
    <w:rsid w:val="00BE4DB1"/>
    <w:rsid w:val="00BE4E6E"/>
    <w:rsid w:val="00BE4FFB"/>
    <w:rsid w:val="00BE5299"/>
    <w:rsid w:val="00BE667C"/>
    <w:rsid w:val="00BE6AA3"/>
    <w:rsid w:val="00BE7252"/>
    <w:rsid w:val="00BE72B5"/>
    <w:rsid w:val="00BE7E12"/>
    <w:rsid w:val="00BF00D4"/>
    <w:rsid w:val="00BF148F"/>
    <w:rsid w:val="00BF151B"/>
    <w:rsid w:val="00BF157F"/>
    <w:rsid w:val="00BF2FD3"/>
    <w:rsid w:val="00BF3562"/>
    <w:rsid w:val="00BF3703"/>
    <w:rsid w:val="00BF399E"/>
    <w:rsid w:val="00BF44ED"/>
    <w:rsid w:val="00BF605C"/>
    <w:rsid w:val="00BF619C"/>
    <w:rsid w:val="00BF6274"/>
    <w:rsid w:val="00BF7024"/>
    <w:rsid w:val="00BF74B4"/>
    <w:rsid w:val="00BF7951"/>
    <w:rsid w:val="00BF7B45"/>
    <w:rsid w:val="00BF7E12"/>
    <w:rsid w:val="00BF7F41"/>
    <w:rsid w:val="00C008BC"/>
    <w:rsid w:val="00C01BB0"/>
    <w:rsid w:val="00C02CAA"/>
    <w:rsid w:val="00C03488"/>
    <w:rsid w:val="00C03DC8"/>
    <w:rsid w:val="00C05FC1"/>
    <w:rsid w:val="00C0619C"/>
    <w:rsid w:val="00C06DAA"/>
    <w:rsid w:val="00C07225"/>
    <w:rsid w:val="00C0727F"/>
    <w:rsid w:val="00C10943"/>
    <w:rsid w:val="00C120FA"/>
    <w:rsid w:val="00C12F6F"/>
    <w:rsid w:val="00C135AB"/>
    <w:rsid w:val="00C13B89"/>
    <w:rsid w:val="00C13BFB"/>
    <w:rsid w:val="00C13FE5"/>
    <w:rsid w:val="00C14AC8"/>
    <w:rsid w:val="00C15031"/>
    <w:rsid w:val="00C151AE"/>
    <w:rsid w:val="00C1529C"/>
    <w:rsid w:val="00C1551E"/>
    <w:rsid w:val="00C156C8"/>
    <w:rsid w:val="00C1575A"/>
    <w:rsid w:val="00C16294"/>
    <w:rsid w:val="00C16A4A"/>
    <w:rsid w:val="00C17080"/>
    <w:rsid w:val="00C17D35"/>
    <w:rsid w:val="00C213CD"/>
    <w:rsid w:val="00C21916"/>
    <w:rsid w:val="00C21B8E"/>
    <w:rsid w:val="00C21E92"/>
    <w:rsid w:val="00C22658"/>
    <w:rsid w:val="00C22E4A"/>
    <w:rsid w:val="00C230D8"/>
    <w:rsid w:val="00C23B33"/>
    <w:rsid w:val="00C23D22"/>
    <w:rsid w:val="00C24AD8"/>
    <w:rsid w:val="00C25235"/>
    <w:rsid w:val="00C258C5"/>
    <w:rsid w:val="00C25FF6"/>
    <w:rsid w:val="00C268C1"/>
    <w:rsid w:val="00C27265"/>
    <w:rsid w:val="00C31392"/>
    <w:rsid w:val="00C31644"/>
    <w:rsid w:val="00C31756"/>
    <w:rsid w:val="00C31A4A"/>
    <w:rsid w:val="00C31C4B"/>
    <w:rsid w:val="00C31EC5"/>
    <w:rsid w:val="00C32C50"/>
    <w:rsid w:val="00C33FEE"/>
    <w:rsid w:val="00C343E7"/>
    <w:rsid w:val="00C345A1"/>
    <w:rsid w:val="00C34DA8"/>
    <w:rsid w:val="00C34DB8"/>
    <w:rsid w:val="00C34F28"/>
    <w:rsid w:val="00C35B80"/>
    <w:rsid w:val="00C363B3"/>
    <w:rsid w:val="00C37B59"/>
    <w:rsid w:val="00C37C97"/>
    <w:rsid w:val="00C405C6"/>
    <w:rsid w:val="00C40858"/>
    <w:rsid w:val="00C408E5"/>
    <w:rsid w:val="00C409BB"/>
    <w:rsid w:val="00C41412"/>
    <w:rsid w:val="00C41858"/>
    <w:rsid w:val="00C41918"/>
    <w:rsid w:val="00C41D50"/>
    <w:rsid w:val="00C44499"/>
    <w:rsid w:val="00C45536"/>
    <w:rsid w:val="00C458EB"/>
    <w:rsid w:val="00C46137"/>
    <w:rsid w:val="00C461C1"/>
    <w:rsid w:val="00C4634F"/>
    <w:rsid w:val="00C4644B"/>
    <w:rsid w:val="00C46DC9"/>
    <w:rsid w:val="00C4725C"/>
    <w:rsid w:val="00C47BE8"/>
    <w:rsid w:val="00C47E84"/>
    <w:rsid w:val="00C512B8"/>
    <w:rsid w:val="00C5142D"/>
    <w:rsid w:val="00C51AB1"/>
    <w:rsid w:val="00C51C5B"/>
    <w:rsid w:val="00C52392"/>
    <w:rsid w:val="00C524BC"/>
    <w:rsid w:val="00C52A2B"/>
    <w:rsid w:val="00C5365F"/>
    <w:rsid w:val="00C53C45"/>
    <w:rsid w:val="00C55667"/>
    <w:rsid w:val="00C55878"/>
    <w:rsid w:val="00C55D9B"/>
    <w:rsid w:val="00C56032"/>
    <w:rsid w:val="00C56935"/>
    <w:rsid w:val="00C56C6D"/>
    <w:rsid w:val="00C56F48"/>
    <w:rsid w:val="00C57264"/>
    <w:rsid w:val="00C57682"/>
    <w:rsid w:val="00C576B8"/>
    <w:rsid w:val="00C57D8E"/>
    <w:rsid w:val="00C60F05"/>
    <w:rsid w:val="00C61DEF"/>
    <w:rsid w:val="00C625EF"/>
    <w:rsid w:val="00C63BCD"/>
    <w:rsid w:val="00C63EA4"/>
    <w:rsid w:val="00C64017"/>
    <w:rsid w:val="00C6518C"/>
    <w:rsid w:val="00C65756"/>
    <w:rsid w:val="00C65779"/>
    <w:rsid w:val="00C65884"/>
    <w:rsid w:val="00C65A43"/>
    <w:rsid w:val="00C65E26"/>
    <w:rsid w:val="00C65FF9"/>
    <w:rsid w:val="00C66090"/>
    <w:rsid w:val="00C66540"/>
    <w:rsid w:val="00C66E54"/>
    <w:rsid w:val="00C675E6"/>
    <w:rsid w:val="00C703D7"/>
    <w:rsid w:val="00C7053F"/>
    <w:rsid w:val="00C71590"/>
    <w:rsid w:val="00C719D0"/>
    <w:rsid w:val="00C71C40"/>
    <w:rsid w:val="00C71E1E"/>
    <w:rsid w:val="00C722E3"/>
    <w:rsid w:val="00C73928"/>
    <w:rsid w:val="00C76BE1"/>
    <w:rsid w:val="00C800AD"/>
    <w:rsid w:val="00C80E71"/>
    <w:rsid w:val="00C81C97"/>
    <w:rsid w:val="00C82472"/>
    <w:rsid w:val="00C82C04"/>
    <w:rsid w:val="00C82E55"/>
    <w:rsid w:val="00C82F77"/>
    <w:rsid w:val="00C83AA3"/>
    <w:rsid w:val="00C842AB"/>
    <w:rsid w:val="00C84537"/>
    <w:rsid w:val="00C84FE7"/>
    <w:rsid w:val="00C852D7"/>
    <w:rsid w:val="00C8593B"/>
    <w:rsid w:val="00C85BBE"/>
    <w:rsid w:val="00C86475"/>
    <w:rsid w:val="00C86618"/>
    <w:rsid w:val="00C8687D"/>
    <w:rsid w:val="00C872B5"/>
    <w:rsid w:val="00C875A5"/>
    <w:rsid w:val="00C8785C"/>
    <w:rsid w:val="00C87C22"/>
    <w:rsid w:val="00C87E23"/>
    <w:rsid w:val="00C90230"/>
    <w:rsid w:val="00C90390"/>
    <w:rsid w:val="00C90E6D"/>
    <w:rsid w:val="00C916EB"/>
    <w:rsid w:val="00C91BED"/>
    <w:rsid w:val="00C9329C"/>
    <w:rsid w:val="00C94E2B"/>
    <w:rsid w:val="00C95592"/>
    <w:rsid w:val="00C9611B"/>
    <w:rsid w:val="00C963EB"/>
    <w:rsid w:val="00C96B4A"/>
    <w:rsid w:val="00C97ADE"/>
    <w:rsid w:val="00C97CFB"/>
    <w:rsid w:val="00C97FF2"/>
    <w:rsid w:val="00CA0490"/>
    <w:rsid w:val="00CA0547"/>
    <w:rsid w:val="00CA157C"/>
    <w:rsid w:val="00CA35F7"/>
    <w:rsid w:val="00CA3615"/>
    <w:rsid w:val="00CA3885"/>
    <w:rsid w:val="00CA3DBA"/>
    <w:rsid w:val="00CA403A"/>
    <w:rsid w:val="00CA4C02"/>
    <w:rsid w:val="00CA689C"/>
    <w:rsid w:val="00CA6980"/>
    <w:rsid w:val="00CA69A9"/>
    <w:rsid w:val="00CA6A9F"/>
    <w:rsid w:val="00CA6DA0"/>
    <w:rsid w:val="00CA7138"/>
    <w:rsid w:val="00CA7308"/>
    <w:rsid w:val="00CA76CB"/>
    <w:rsid w:val="00CA7C15"/>
    <w:rsid w:val="00CB057E"/>
    <w:rsid w:val="00CB06BD"/>
    <w:rsid w:val="00CB119C"/>
    <w:rsid w:val="00CB16FB"/>
    <w:rsid w:val="00CB2893"/>
    <w:rsid w:val="00CB2D32"/>
    <w:rsid w:val="00CB2D59"/>
    <w:rsid w:val="00CB2F44"/>
    <w:rsid w:val="00CB4CDA"/>
    <w:rsid w:val="00CB50B3"/>
    <w:rsid w:val="00CB51EA"/>
    <w:rsid w:val="00CB5707"/>
    <w:rsid w:val="00CB642B"/>
    <w:rsid w:val="00CB65DA"/>
    <w:rsid w:val="00CB680F"/>
    <w:rsid w:val="00CB7061"/>
    <w:rsid w:val="00CB7783"/>
    <w:rsid w:val="00CB7D21"/>
    <w:rsid w:val="00CB7FBD"/>
    <w:rsid w:val="00CC021A"/>
    <w:rsid w:val="00CC18DD"/>
    <w:rsid w:val="00CC33BC"/>
    <w:rsid w:val="00CC405B"/>
    <w:rsid w:val="00CC4408"/>
    <w:rsid w:val="00CC4684"/>
    <w:rsid w:val="00CC56CC"/>
    <w:rsid w:val="00CC7793"/>
    <w:rsid w:val="00CD105F"/>
    <w:rsid w:val="00CD11B4"/>
    <w:rsid w:val="00CD1F62"/>
    <w:rsid w:val="00CD233B"/>
    <w:rsid w:val="00CD3388"/>
    <w:rsid w:val="00CD34DD"/>
    <w:rsid w:val="00CD39BB"/>
    <w:rsid w:val="00CD4422"/>
    <w:rsid w:val="00CD49D0"/>
    <w:rsid w:val="00CD5212"/>
    <w:rsid w:val="00CD56F1"/>
    <w:rsid w:val="00CD6847"/>
    <w:rsid w:val="00CD6CF9"/>
    <w:rsid w:val="00CD73FD"/>
    <w:rsid w:val="00CD7946"/>
    <w:rsid w:val="00CE0576"/>
    <w:rsid w:val="00CE065E"/>
    <w:rsid w:val="00CE0FFF"/>
    <w:rsid w:val="00CE2D82"/>
    <w:rsid w:val="00CE354E"/>
    <w:rsid w:val="00CE3B84"/>
    <w:rsid w:val="00CE3CC7"/>
    <w:rsid w:val="00CE4B9B"/>
    <w:rsid w:val="00CE7755"/>
    <w:rsid w:val="00CF090B"/>
    <w:rsid w:val="00CF0DCD"/>
    <w:rsid w:val="00CF1441"/>
    <w:rsid w:val="00CF1A2F"/>
    <w:rsid w:val="00CF2236"/>
    <w:rsid w:val="00CF28FB"/>
    <w:rsid w:val="00CF2B71"/>
    <w:rsid w:val="00CF2CD3"/>
    <w:rsid w:val="00CF2D6F"/>
    <w:rsid w:val="00CF34C2"/>
    <w:rsid w:val="00CF449D"/>
    <w:rsid w:val="00CF5151"/>
    <w:rsid w:val="00CF7694"/>
    <w:rsid w:val="00CF7918"/>
    <w:rsid w:val="00D0045D"/>
    <w:rsid w:val="00D00D97"/>
    <w:rsid w:val="00D00DDA"/>
    <w:rsid w:val="00D00E05"/>
    <w:rsid w:val="00D01F24"/>
    <w:rsid w:val="00D0253F"/>
    <w:rsid w:val="00D02593"/>
    <w:rsid w:val="00D025EC"/>
    <w:rsid w:val="00D026CE"/>
    <w:rsid w:val="00D026F8"/>
    <w:rsid w:val="00D02EBB"/>
    <w:rsid w:val="00D0386D"/>
    <w:rsid w:val="00D04244"/>
    <w:rsid w:val="00D04C9B"/>
    <w:rsid w:val="00D050E5"/>
    <w:rsid w:val="00D0572F"/>
    <w:rsid w:val="00D067A2"/>
    <w:rsid w:val="00D06823"/>
    <w:rsid w:val="00D06F5B"/>
    <w:rsid w:val="00D10C3E"/>
    <w:rsid w:val="00D11516"/>
    <w:rsid w:val="00D11C53"/>
    <w:rsid w:val="00D123E2"/>
    <w:rsid w:val="00D12818"/>
    <w:rsid w:val="00D12FC3"/>
    <w:rsid w:val="00D130D2"/>
    <w:rsid w:val="00D1326B"/>
    <w:rsid w:val="00D1328C"/>
    <w:rsid w:val="00D1378F"/>
    <w:rsid w:val="00D137E5"/>
    <w:rsid w:val="00D1576B"/>
    <w:rsid w:val="00D15A93"/>
    <w:rsid w:val="00D15D93"/>
    <w:rsid w:val="00D16025"/>
    <w:rsid w:val="00D1647D"/>
    <w:rsid w:val="00D16A9E"/>
    <w:rsid w:val="00D16BAB"/>
    <w:rsid w:val="00D1756E"/>
    <w:rsid w:val="00D17B2F"/>
    <w:rsid w:val="00D202B5"/>
    <w:rsid w:val="00D205EC"/>
    <w:rsid w:val="00D20758"/>
    <w:rsid w:val="00D210DE"/>
    <w:rsid w:val="00D21C7D"/>
    <w:rsid w:val="00D21CEE"/>
    <w:rsid w:val="00D22360"/>
    <w:rsid w:val="00D226BE"/>
    <w:rsid w:val="00D22BB2"/>
    <w:rsid w:val="00D22FF1"/>
    <w:rsid w:val="00D24FCE"/>
    <w:rsid w:val="00D25478"/>
    <w:rsid w:val="00D25C57"/>
    <w:rsid w:val="00D26092"/>
    <w:rsid w:val="00D263D3"/>
    <w:rsid w:val="00D26C26"/>
    <w:rsid w:val="00D26E90"/>
    <w:rsid w:val="00D26F00"/>
    <w:rsid w:val="00D270D3"/>
    <w:rsid w:val="00D277C4"/>
    <w:rsid w:val="00D27E4B"/>
    <w:rsid w:val="00D30C93"/>
    <w:rsid w:val="00D31CCE"/>
    <w:rsid w:val="00D31F7B"/>
    <w:rsid w:val="00D3378D"/>
    <w:rsid w:val="00D33872"/>
    <w:rsid w:val="00D33C5E"/>
    <w:rsid w:val="00D348ED"/>
    <w:rsid w:val="00D3502C"/>
    <w:rsid w:val="00D350E3"/>
    <w:rsid w:val="00D35141"/>
    <w:rsid w:val="00D358EE"/>
    <w:rsid w:val="00D35CDB"/>
    <w:rsid w:val="00D35DB6"/>
    <w:rsid w:val="00D35E8A"/>
    <w:rsid w:val="00D36AFB"/>
    <w:rsid w:val="00D371EF"/>
    <w:rsid w:val="00D37C29"/>
    <w:rsid w:val="00D40118"/>
    <w:rsid w:val="00D40A11"/>
    <w:rsid w:val="00D41CC5"/>
    <w:rsid w:val="00D44ACB"/>
    <w:rsid w:val="00D4528F"/>
    <w:rsid w:val="00D454F2"/>
    <w:rsid w:val="00D46887"/>
    <w:rsid w:val="00D46A6E"/>
    <w:rsid w:val="00D46DD0"/>
    <w:rsid w:val="00D46ED3"/>
    <w:rsid w:val="00D47129"/>
    <w:rsid w:val="00D47B06"/>
    <w:rsid w:val="00D47F2B"/>
    <w:rsid w:val="00D50A01"/>
    <w:rsid w:val="00D50EB9"/>
    <w:rsid w:val="00D517AF"/>
    <w:rsid w:val="00D52831"/>
    <w:rsid w:val="00D52A84"/>
    <w:rsid w:val="00D539CA"/>
    <w:rsid w:val="00D55CD1"/>
    <w:rsid w:val="00D620A6"/>
    <w:rsid w:val="00D634D8"/>
    <w:rsid w:val="00D6568B"/>
    <w:rsid w:val="00D65CE6"/>
    <w:rsid w:val="00D65F36"/>
    <w:rsid w:val="00D6638C"/>
    <w:rsid w:val="00D66475"/>
    <w:rsid w:val="00D70CFE"/>
    <w:rsid w:val="00D70D49"/>
    <w:rsid w:val="00D7125B"/>
    <w:rsid w:val="00D712C7"/>
    <w:rsid w:val="00D71634"/>
    <w:rsid w:val="00D7164D"/>
    <w:rsid w:val="00D729D1"/>
    <w:rsid w:val="00D739A2"/>
    <w:rsid w:val="00D74158"/>
    <w:rsid w:val="00D749C7"/>
    <w:rsid w:val="00D74A88"/>
    <w:rsid w:val="00D74B26"/>
    <w:rsid w:val="00D755B0"/>
    <w:rsid w:val="00D76759"/>
    <w:rsid w:val="00D76C52"/>
    <w:rsid w:val="00D775AA"/>
    <w:rsid w:val="00D80155"/>
    <w:rsid w:val="00D802D7"/>
    <w:rsid w:val="00D80358"/>
    <w:rsid w:val="00D803F7"/>
    <w:rsid w:val="00D80F24"/>
    <w:rsid w:val="00D81062"/>
    <w:rsid w:val="00D81818"/>
    <w:rsid w:val="00D81FAC"/>
    <w:rsid w:val="00D82CC0"/>
    <w:rsid w:val="00D846F8"/>
    <w:rsid w:val="00D849A6"/>
    <w:rsid w:val="00D8581E"/>
    <w:rsid w:val="00D85EC7"/>
    <w:rsid w:val="00D860EF"/>
    <w:rsid w:val="00D861E1"/>
    <w:rsid w:val="00D8695D"/>
    <w:rsid w:val="00D87012"/>
    <w:rsid w:val="00D87375"/>
    <w:rsid w:val="00D8766C"/>
    <w:rsid w:val="00D876EA"/>
    <w:rsid w:val="00D90307"/>
    <w:rsid w:val="00D90EB6"/>
    <w:rsid w:val="00D92F44"/>
    <w:rsid w:val="00D9540F"/>
    <w:rsid w:val="00D95CB3"/>
    <w:rsid w:val="00D960EB"/>
    <w:rsid w:val="00D96143"/>
    <w:rsid w:val="00D96978"/>
    <w:rsid w:val="00D975EF"/>
    <w:rsid w:val="00D97771"/>
    <w:rsid w:val="00D977F0"/>
    <w:rsid w:val="00DA01BB"/>
    <w:rsid w:val="00DA1AE6"/>
    <w:rsid w:val="00DA1C71"/>
    <w:rsid w:val="00DA1D8A"/>
    <w:rsid w:val="00DA2175"/>
    <w:rsid w:val="00DA2CFF"/>
    <w:rsid w:val="00DA3851"/>
    <w:rsid w:val="00DA4660"/>
    <w:rsid w:val="00DA560D"/>
    <w:rsid w:val="00DA599A"/>
    <w:rsid w:val="00DA5BD8"/>
    <w:rsid w:val="00DA7EC3"/>
    <w:rsid w:val="00DB010D"/>
    <w:rsid w:val="00DB016D"/>
    <w:rsid w:val="00DB02FE"/>
    <w:rsid w:val="00DB0613"/>
    <w:rsid w:val="00DB0CC3"/>
    <w:rsid w:val="00DB1200"/>
    <w:rsid w:val="00DB2031"/>
    <w:rsid w:val="00DB2BCF"/>
    <w:rsid w:val="00DB57E3"/>
    <w:rsid w:val="00DB6F66"/>
    <w:rsid w:val="00DB6FA6"/>
    <w:rsid w:val="00DC1376"/>
    <w:rsid w:val="00DC14D7"/>
    <w:rsid w:val="00DC15B1"/>
    <w:rsid w:val="00DC198D"/>
    <w:rsid w:val="00DC199A"/>
    <w:rsid w:val="00DC2C9F"/>
    <w:rsid w:val="00DC2ECB"/>
    <w:rsid w:val="00DC3B91"/>
    <w:rsid w:val="00DC40DC"/>
    <w:rsid w:val="00DC42CD"/>
    <w:rsid w:val="00DC5499"/>
    <w:rsid w:val="00DC5B0D"/>
    <w:rsid w:val="00DC5C33"/>
    <w:rsid w:val="00DC6564"/>
    <w:rsid w:val="00DC7443"/>
    <w:rsid w:val="00DC752D"/>
    <w:rsid w:val="00DC7AF0"/>
    <w:rsid w:val="00DC7E08"/>
    <w:rsid w:val="00DC7F81"/>
    <w:rsid w:val="00DD0082"/>
    <w:rsid w:val="00DD047D"/>
    <w:rsid w:val="00DD0708"/>
    <w:rsid w:val="00DD0889"/>
    <w:rsid w:val="00DD17DA"/>
    <w:rsid w:val="00DD3AD2"/>
    <w:rsid w:val="00DD5970"/>
    <w:rsid w:val="00DD5B55"/>
    <w:rsid w:val="00DD6A51"/>
    <w:rsid w:val="00DD6BA7"/>
    <w:rsid w:val="00DD74F7"/>
    <w:rsid w:val="00DD7CE8"/>
    <w:rsid w:val="00DD7E4F"/>
    <w:rsid w:val="00DD7EA0"/>
    <w:rsid w:val="00DE02C6"/>
    <w:rsid w:val="00DE06D6"/>
    <w:rsid w:val="00DE0882"/>
    <w:rsid w:val="00DE09B7"/>
    <w:rsid w:val="00DE112B"/>
    <w:rsid w:val="00DE132E"/>
    <w:rsid w:val="00DE14C6"/>
    <w:rsid w:val="00DE2121"/>
    <w:rsid w:val="00DE2483"/>
    <w:rsid w:val="00DE3813"/>
    <w:rsid w:val="00DE3A39"/>
    <w:rsid w:val="00DE4099"/>
    <w:rsid w:val="00DE40C1"/>
    <w:rsid w:val="00DE4835"/>
    <w:rsid w:val="00DE523D"/>
    <w:rsid w:val="00DE5D98"/>
    <w:rsid w:val="00DE7D56"/>
    <w:rsid w:val="00DF0095"/>
    <w:rsid w:val="00DF02CB"/>
    <w:rsid w:val="00DF04F9"/>
    <w:rsid w:val="00DF10E7"/>
    <w:rsid w:val="00DF1426"/>
    <w:rsid w:val="00DF194A"/>
    <w:rsid w:val="00DF2462"/>
    <w:rsid w:val="00DF2AAA"/>
    <w:rsid w:val="00DF459F"/>
    <w:rsid w:val="00DF4601"/>
    <w:rsid w:val="00DF4AC8"/>
    <w:rsid w:val="00DF503D"/>
    <w:rsid w:val="00DF5450"/>
    <w:rsid w:val="00DF575B"/>
    <w:rsid w:val="00DF6514"/>
    <w:rsid w:val="00DF6889"/>
    <w:rsid w:val="00DF73EF"/>
    <w:rsid w:val="00DF745E"/>
    <w:rsid w:val="00DF7A20"/>
    <w:rsid w:val="00E01328"/>
    <w:rsid w:val="00E0250D"/>
    <w:rsid w:val="00E0273A"/>
    <w:rsid w:val="00E02958"/>
    <w:rsid w:val="00E038AE"/>
    <w:rsid w:val="00E03CEB"/>
    <w:rsid w:val="00E03D7C"/>
    <w:rsid w:val="00E03DC0"/>
    <w:rsid w:val="00E03FD9"/>
    <w:rsid w:val="00E04027"/>
    <w:rsid w:val="00E044AC"/>
    <w:rsid w:val="00E04837"/>
    <w:rsid w:val="00E0534B"/>
    <w:rsid w:val="00E0583C"/>
    <w:rsid w:val="00E05A73"/>
    <w:rsid w:val="00E05E56"/>
    <w:rsid w:val="00E10762"/>
    <w:rsid w:val="00E10827"/>
    <w:rsid w:val="00E1106A"/>
    <w:rsid w:val="00E11A3C"/>
    <w:rsid w:val="00E11B33"/>
    <w:rsid w:val="00E13424"/>
    <w:rsid w:val="00E13B66"/>
    <w:rsid w:val="00E1438A"/>
    <w:rsid w:val="00E14B35"/>
    <w:rsid w:val="00E15011"/>
    <w:rsid w:val="00E1519C"/>
    <w:rsid w:val="00E152F3"/>
    <w:rsid w:val="00E15594"/>
    <w:rsid w:val="00E208C7"/>
    <w:rsid w:val="00E20CD2"/>
    <w:rsid w:val="00E2163B"/>
    <w:rsid w:val="00E225BC"/>
    <w:rsid w:val="00E22FF3"/>
    <w:rsid w:val="00E2333C"/>
    <w:rsid w:val="00E2359B"/>
    <w:rsid w:val="00E24C32"/>
    <w:rsid w:val="00E24D83"/>
    <w:rsid w:val="00E24F37"/>
    <w:rsid w:val="00E25132"/>
    <w:rsid w:val="00E255B7"/>
    <w:rsid w:val="00E25642"/>
    <w:rsid w:val="00E259B5"/>
    <w:rsid w:val="00E25DD5"/>
    <w:rsid w:val="00E2689C"/>
    <w:rsid w:val="00E26970"/>
    <w:rsid w:val="00E26CDA"/>
    <w:rsid w:val="00E315AB"/>
    <w:rsid w:val="00E3241B"/>
    <w:rsid w:val="00E338A4"/>
    <w:rsid w:val="00E339FA"/>
    <w:rsid w:val="00E33DA0"/>
    <w:rsid w:val="00E342D1"/>
    <w:rsid w:val="00E3451B"/>
    <w:rsid w:val="00E34DDE"/>
    <w:rsid w:val="00E35152"/>
    <w:rsid w:val="00E3568C"/>
    <w:rsid w:val="00E35A60"/>
    <w:rsid w:val="00E35C3B"/>
    <w:rsid w:val="00E35C5E"/>
    <w:rsid w:val="00E36008"/>
    <w:rsid w:val="00E36176"/>
    <w:rsid w:val="00E36210"/>
    <w:rsid w:val="00E36839"/>
    <w:rsid w:val="00E374C0"/>
    <w:rsid w:val="00E37E41"/>
    <w:rsid w:val="00E41086"/>
    <w:rsid w:val="00E42187"/>
    <w:rsid w:val="00E422C8"/>
    <w:rsid w:val="00E4231C"/>
    <w:rsid w:val="00E42972"/>
    <w:rsid w:val="00E432FC"/>
    <w:rsid w:val="00E435D7"/>
    <w:rsid w:val="00E43EED"/>
    <w:rsid w:val="00E4405A"/>
    <w:rsid w:val="00E4405C"/>
    <w:rsid w:val="00E45B69"/>
    <w:rsid w:val="00E45F6A"/>
    <w:rsid w:val="00E46A59"/>
    <w:rsid w:val="00E508C0"/>
    <w:rsid w:val="00E50F53"/>
    <w:rsid w:val="00E50F96"/>
    <w:rsid w:val="00E515FD"/>
    <w:rsid w:val="00E517B7"/>
    <w:rsid w:val="00E52ED1"/>
    <w:rsid w:val="00E537FB"/>
    <w:rsid w:val="00E54D12"/>
    <w:rsid w:val="00E5617C"/>
    <w:rsid w:val="00E56854"/>
    <w:rsid w:val="00E56FA2"/>
    <w:rsid w:val="00E56FB9"/>
    <w:rsid w:val="00E57FC3"/>
    <w:rsid w:val="00E60727"/>
    <w:rsid w:val="00E61095"/>
    <w:rsid w:val="00E61A05"/>
    <w:rsid w:val="00E61A2D"/>
    <w:rsid w:val="00E61ECF"/>
    <w:rsid w:val="00E62BF7"/>
    <w:rsid w:val="00E63017"/>
    <w:rsid w:val="00E63C0C"/>
    <w:rsid w:val="00E64555"/>
    <w:rsid w:val="00E649D1"/>
    <w:rsid w:val="00E661C5"/>
    <w:rsid w:val="00E668F4"/>
    <w:rsid w:val="00E67239"/>
    <w:rsid w:val="00E70281"/>
    <w:rsid w:val="00E70589"/>
    <w:rsid w:val="00E70B70"/>
    <w:rsid w:val="00E71FE6"/>
    <w:rsid w:val="00E721BA"/>
    <w:rsid w:val="00E734CD"/>
    <w:rsid w:val="00E73824"/>
    <w:rsid w:val="00E73D3E"/>
    <w:rsid w:val="00E748A0"/>
    <w:rsid w:val="00E74CDF"/>
    <w:rsid w:val="00E76009"/>
    <w:rsid w:val="00E76BD5"/>
    <w:rsid w:val="00E76F26"/>
    <w:rsid w:val="00E77295"/>
    <w:rsid w:val="00E80257"/>
    <w:rsid w:val="00E816CD"/>
    <w:rsid w:val="00E81F2A"/>
    <w:rsid w:val="00E825D0"/>
    <w:rsid w:val="00E8290E"/>
    <w:rsid w:val="00E8296A"/>
    <w:rsid w:val="00E83A4A"/>
    <w:rsid w:val="00E8509E"/>
    <w:rsid w:val="00E85DB0"/>
    <w:rsid w:val="00E861B0"/>
    <w:rsid w:val="00E8691C"/>
    <w:rsid w:val="00E9019B"/>
    <w:rsid w:val="00E90629"/>
    <w:rsid w:val="00E92D3F"/>
    <w:rsid w:val="00E92DC6"/>
    <w:rsid w:val="00E941C6"/>
    <w:rsid w:val="00E942CA"/>
    <w:rsid w:val="00E94557"/>
    <w:rsid w:val="00E947C4"/>
    <w:rsid w:val="00E94B29"/>
    <w:rsid w:val="00E95399"/>
    <w:rsid w:val="00E958A1"/>
    <w:rsid w:val="00E96634"/>
    <w:rsid w:val="00E968D0"/>
    <w:rsid w:val="00E96AB6"/>
    <w:rsid w:val="00E96CF8"/>
    <w:rsid w:val="00E97DDC"/>
    <w:rsid w:val="00E97FF6"/>
    <w:rsid w:val="00EA087A"/>
    <w:rsid w:val="00EA1864"/>
    <w:rsid w:val="00EA244A"/>
    <w:rsid w:val="00EA30AC"/>
    <w:rsid w:val="00EA422B"/>
    <w:rsid w:val="00EA6275"/>
    <w:rsid w:val="00EA65DE"/>
    <w:rsid w:val="00EA7683"/>
    <w:rsid w:val="00EA7CB9"/>
    <w:rsid w:val="00EA7D97"/>
    <w:rsid w:val="00EB0BD7"/>
    <w:rsid w:val="00EB179C"/>
    <w:rsid w:val="00EB1C64"/>
    <w:rsid w:val="00EB2BD8"/>
    <w:rsid w:val="00EB3621"/>
    <w:rsid w:val="00EB5968"/>
    <w:rsid w:val="00EB669F"/>
    <w:rsid w:val="00EB68B6"/>
    <w:rsid w:val="00EB6AAE"/>
    <w:rsid w:val="00EB7241"/>
    <w:rsid w:val="00EB7979"/>
    <w:rsid w:val="00EB7FE4"/>
    <w:rsid w:val="00EC1E50"/>
    <w:rsid w:val="00EC20E7"/>
    <w:rsid w:val="00EC22EA"/>
    <w:rsid w:val="00EC2803"/>
    <w:rsid w:val="00EC304B"/>
    <w:rsid w:val="00EC3765"/>
    <w:rsid w:val="00EC481F"/>
    <w:rsid w:val="00EC4B08"/>
    <w:rsid w:val="00EC4F0C"/>
    <w:rsid w:val="00EC5AA6"/>
    <w:rsid w:val="00EC6064"/>
    <w:rsid w:val="00EC75AE"/>
    <w:rsid w:val="00EC7DF9"/>
    <w:rsid w:val="00ED01DB"/>
    <w:rsid w:val="00ED0665"/>
    <w:rsid w:val="00ED20E6"/>
    <w:rsid w:val="00ED217C"/>
    <w:rsid w:val="00ED38A3"/>
    <w:rsid w:val="00ED3CB9"/>
    <w:rsid w:val="00ED4ECE"/>
    <w:rsid w:val="00ED4EEF"/>
    <w:rsid w:val="00ED5279"/>
    <w:rsid w:val="00ED5843"/>
    <w:rsid w:val="00ED5C60"/>
    <w:rsid w:val="00ED67B6"/>
    <w:rsid w:val="00ED67C2"/>
    <w:rsid w:val="00ED725F"/>
    <w:rsid w:val="00ED7267"/>
    <w:rsid w:val="00ED7379"/>
    <w:rsid w:val="00EE1A50"/>
    <w:rsid w:val="00EE1B29"/>
    <w:rsid w:val="00EE2EC8"/>
    <w:rsid w:val="00EE31D3"/>
    <w:rsid w:val="00EE3473"/>
    <w:rsid w:val="00EE36E7"/>
    <w:rsid w:val="00EE40E1"/>
    <w:rsid w:val="00EE5A7A"/>
    <w:rsid w:val="00EE5D36"/>
    <w:rsid w:val="00EE622B"/>
    <w:rsid w:val="00EE66E0"/>
    <w:rsid w:val="00EE6806"/>
    <w:rsid w:val="00EE76DB"/>
    <w:rsid w:val="00EF0445"/>
    <w:rsid w:val="00EF1AD0"/>
    <w:rsid w:val="00EF29E8"/>
    <w:rsid w:val="00EF2E10"/>
    <w:rsid w:val="00EF4329"/>
    <w:rsid w:val="00EF53D9"/>
    <w:rsid w:val="00EF544C"/>
    <w:rsid w:val="00EF57C7"/>
    <w:rsid w:val="00EF615A"/>
    <w:rsid w:val="00EF68E7"/>
    <w:rsid w:val="00F00FC9"/>
    <w:rsid w:val="00F00FF9"/>
    <w:rsid w:val="00F02F80"/>
    <w:rsid w:val="00F03449"/>
    <w:rsid w:val="00F036AA"/>
    <w:rsid w:val="00F04567"/>
    <w:rsid w:val="00F05B83"/>
    <w:rsid w:val="00F066C2"/>
    <w:rsid w:val="00F078D8"/>
    <w:rsid w:val="00F07A4B"/>
    <w:rsid w:val="00F1016B"/>
    <w:rsid w:val="00F104C3"/>
    <w:rsid w:val="00F10A11"/>
    <w:rsid w:val="00F11417"/>
    <w:rsid w:val="00F12C4B"/>
    <w:rsid w:val="00F12D28"/>
    <w:rsid w:val="00F12F45"/>
    <w:rsid w:val="00F13F2B"/>
    <w:rsid w:val="00F14AA3"/>
    <w:rsid w:val="00F14C16"/>
    <w:rsid w:val="00F1555E"/>
    <w:rsid w:val="00F15A1A"/>
    <w:rsid w:val="00F15E13"/>
    <w:rsid w:val="00F1645C"/>
    <w:rsid w:val="00F16707"/>
    <w:rsid w:val="00F16724"/>
    <w:rsid w:val="00F172FF"/>
    <w:rsid w:val="00F17520"/>
    <w:rsid w:val="00F17A58"/>
    <w:rsid w:val="00F17DFA"/>
    <w:rsid w:val="00F20C03"/>
    <w:rsid w:val="00F21866"/>
    <w:rsid w:val="00F21893"/>
    <w:rsid w:val="00F21D73"/>
    <w:rsid w:val="00F2202D"/>
    <w:rsid w:val="00F22244"/>
    <w:rsid w:val="00F2297B"/>
    <w:rsid w:val="00F229F5"/>
    <w:rsid w:val="00F22D29"/>
    <w:rsid w:val="00F24463"/>
    <w:rsid w:val="00F244AA"/>
    <w:rsid w:val="00F24CC4"/>
    <w:rsid w:val="00F2562C"/>
    <w:rsid w:val="00F25BF3"/>
    <w:rsid w:val="00F2651D"/>
    <w:rsid w:val="00F277BD"/>
    <w:rsid w:val="00F277D4"/>
    <w:rsid w:val="00F27D51"/>
    <w:rsid w:val="00F27E5F"/>
    <w:rsid w:val="00F27EC8"/>
    <w:rsid w:val="00F3011A"/>
    <w:rsid w:val="00F3064E"/>
    <w:rsid w:val="00F30B6C"/>
    <w:rsid w:val="00F31326"/>
    <w:rsid w:val="00F3297A"/>
    <w:rsid w:val="00F329DA"/>
    <w:rsid w:val="00F32CEA"/>
    <w:rsid w:val="00F32DF8"/>
    <w:rsid w:val="00F33054"/>
    <w:rsid w:val="00F33139"/>
    <w:rsid w:val="00F33782"/>
    <w:rsid w:val="00F33A39"/>
    <w:rsid w:val="00F351E8"/>
    <w:rsid w:val="00F35216"/>
    <w:rsid w:val="00F35F5F"/>
    <w:rsid w:val="00F35FD0"/>
    <w:rsid w:val="00F36165"/>
    <w:rsid w:val="00F36E29"/>
    <w:rsid w:val="00F37A3A"/>
    <w:rsid w:val="00F405EF"/>
    <w:rsid w:val="00F40752"/>
    <w:rsid w:val="00F41CB0"/>
    <w:rsid w:val="00F42BBA"/>
    <w:rsid w:val="00F437B1"/>
    <w:rsid w:val="00F43BCC"/>
    <w:rsid w:val="00F44DC5"/>
    <w:rsid w:val="00F46266"/>
    <w:rsid w:val="00F50751"/>
    <w:rsid w:val="00F509B4"/>
    <w:rsid w:val="00F50B34"/>
    <w:rsid w:val="00F50C27"/>
    <w:rsid w:val="00F50D7E"/>
    <w:rsid w:val="00F5157B"/>
    <w:rsid w:val="00F51665"/>
    <w:rsid w:val="00F524F4"/>
    <w:rsid w:val="00F532A1"/>
    <w:rsid w:val="00F53E1E"/>
    <w:rsid w:val="00F54D3A"/>
    <w:rsid w:val="00F5500A"/>
    <w:rsid w:val="00F55231"/>
    <w:rsid w:val="00F552A2"/>
    <w:rsid w:val="00F552E0"/>
    <w:rsid w:val="00F5592F"/>
    <w:rsid w:val="00F55BAF"/>
    <w:rsid w:val="00F568D8"/>
    <w:rsid w:val="00F56A21"/>
    <w:rsid w:val="00F57079"/>
    <w:rsid w:val="00F6007F"/>
    <w:rsid w:val="00F60701"/>
    <w:rsid w:val="00F60C65"/>
    <w:rsid w:val="00F60D64"/>
    <w:rsid w:val="00F60F87"/>
    <w:rsid w:val="00F61C5A"/>
    <w:rsid w:val="00F63277"/>
    <w:rsid w:val="00F638CF"/>
    <w:rsid w:val="00F63FEF"/>
    <w:rsid w:val="00F64FC3"/>
    <w:rsid w:val="00F65B7B"/>
    <w:rsid w:val="00F65F23"/>
    <w:rsid w:val="00F660A9"/>
    <w:rsid w:val="00F660AE"/>
    <w:rsid w:val="00F66114"/>
    <w:rsid w:val="00F661F0"/>
    <w:rsid w:val="00F66DC3"/>
    <w:rsid w:val="00F66F20"/>
    <w:rsid w:val="00F672BB"/>
    <w:rsid w:val="00F67861"/>
    <w:rsid w:val="00F67A24"/>
    <w:rsid w:val="00F700F6"/>
    <w:rsid w:val="00F70623"/>
    <w:rsid w:val="00F716C5"/>
    <w:rsid w:val="00F729D5"/>
    <w:rsid w:val="00F72F5C"/>
    <w:rsid w:val="00F72F85"/>
    <w:rsid w:val="00F733B5"/>
    <w:rsid w:val="00F75F77"/>
    <w:rsid w:val="00F7621A"/>
    <w:rsid w:val="00F76334"/>
    <w:rsid w:val="00F76E33"/>
    <w:rsid w:val="00F76FBB"/>
    <w:rsid w:val="00F777A8"/>
    <w:rsid w:val="00F8038A"/>
    <w:rsid w:val="00F8080B"/>
    <w:rsid w:val="00F8172B"/>
    <w:rsid w:val="00F81974"/>
    <w:rsid w:val="00F81D88"/>
    <w:rsid w:val="00F81E3F"/>
    <w:rsid w:val="00F81E54"/>
    <w:rsid w:val="00F82BEF"/>
    <w:rsid w:val="00F83ABE"/>
    <w:rsid w:val="00F83AE5"/>
    <w:rsid w:val="00F845E8"/>
    <w:rsid w:val="00F853E7"/>
    <w:rsid w:val="00F8649C"/>
    <w:rsid w:val="00F8655C"/>
    <w:rsid w:val="00F879B9"/>
    <w:rsid w:val="00F87B15"/>
    <w:rsid w:val="00F87F4D"/>
    <w:rsid w:val="00F90AD1"/>
    <w:rsid w:val="00F90F89"/>
    <w:rsid w:val="00F913B1"/>
    <w:rsid w:val="00F91D85"/>
    <w:rsid w:val="00F9313F"/>
    <w:rsid w:val="00F93714"/>
    <w:rsid w:val="00F93D1D"/>
    <w:rsid w:val="00F94155"/>
    <w:rsid w:val="00F94212"/>
    <w:rsid w:val="00F94B43"/>
    <w:rsid w:val="00F950C5"/>
    <w:rsid w:val="00F95386"/>
    <w:rsid w:val="00F959A4"/>
    <w:rsid w:val="00F95AA7"/>
    <w:rsid w:val="00F96072"/>
    <w:rsid w:val="00F96344"/>
    <w:rsid w:val="00F968A4"/>
    <w:rsid w:val="00F971F6"/>
    <w:rsid w:val="00F9798A"/>
    <w:rsid w:val="00FA02C7"/>
    <w:rsid w:val="00FA0648"/>
    <w:rsid w:val="00FA0D65"/>
    <w:rsid w:val="00FA1602"/>
    <w:rsid w:val="00FA207F"/>
    <w:rsid w:val="00FA40F4"/>
    <w:rsid w:val="00FA4ED7"/>
    <w:rsid w:val="00FA55E5"/>
    <w:rsid w:val="00FA6257"/>
    <w:rsid w:val="00FA66F2"/>
    <w:rsid w:val="00FA7F20"/>
    <w:rsid w:val="00FB0096"/>
    <w:rsid w:val="00FB0D3A"/>
    <w:rsid w:val="00FB20E5"/>
    <w:rsid w:val="00FB2119"/>
    <w:rsid w:val="00FB2501"/>
    <w:rsid w:val="00FB2B07"/>
    <w:rsid w:val="00FB35D2"/>
    <w:rsid w:val="00FB4F2C"/>
    <w:rsid w:val="00FB5B85"/>
    <w:rsid w:val="00FB6747"/>
    <w:rsid w:val="00FB6BBC"/>
    <w:rsid w:val="00FC00A4"/>
    <w:rsid w:val="00FC0206"/>
    <w:rsid w:val="00FC0326"/>
    <w:rsid w:val="00FC0554"/>
    <w:rsid w:val="00FC070A"/>
    <w:rsid w:val="00FC08A9"/>
    <w:rsid w:val="00FC0F83"/>
    <w:rsid w:val="00FC149E"/>
    <w:rsid w:val="00FC14D0"/>
    <w:rsid w:val="00FC212F"/>
    <w:rsid w:val="00FC3492"/>
    <w:rsid w:val="00FC38AD"/>
    <w:rsid w:val="00FC38D5"/>
    <w:rsid w:val="00FC3ED9"/>
    <w:rsid w:val="00FC417E"/>
    <w:rsid w:val="00FC57B2"/>
    <w:rsid w:val="00FC5A50"/>
    <w:rsid w:val="00FC7C5D"/>
    <w:rsid w:val="00FD0F50"/>
    <w:rsid w:val="00FD18AE"/>
    <w:rsid w:val="00FD1DE9"/>
    <w:rsid w:val="00FD2565"/>
    <w:rsid w:val="00FD2944"/>
    <w:rsid w:val="00FD34AE"/>
    <w:rsid w:val="00FD4070"/>
    <w:rsid w:val="00FD479A"/>
    <w:rsid w:val="00FD4CCF"/>
    <w:rsid w:val="00FD4EA3"/>
    <w:rsid w:val="00FD65C4"/>
    <w:rsid w:val="00FD6F91"/>
    <w:rsid w:val="00FD75C0"/>
    <w:rsid w:val="00FD78FD"/>
    <w:rsid w:val="00FD7A34"/>
    <w:rsid w:val="00FD7B08"/>
    <w:rsid w:val="00FE0410"/>
    <w:rsid w:val="00FE04E8"/>
    <w:rsid w:val="00FE0CC1"/>
    <w:rsid w:val="00FE0CE6"/>
    <w:rsid w:val="00FE0E6D"/>
    <w:rsid w:val="00FE1C9A"/>
    <w:rsid w:val="00FE2254"/>
    <w:rsid w:val="00FE237C"/>
    <w:rsid w:val="00FE27C3"/>
    <w:rsid w:val="00FE2BBB"/>
    <w:rsid w:val="00FE3395"/>
    <w:rsid w:val="00FE3A80"/>
    <w:rsid w:val="00FE3B4E"/>
    <w:rsid w:val="00FE4021"/>
    <w:rsid w:val="00FE41AF"/>
    <w:rsid w:val="00FE4547"/>
    <w:rsid w:val="00FE47AA"/>
    <w:rsid w:val="00FE4A2E"/>
    <w:rsid w:val="00FE50F1"/>
    <w:rsid w:val="00FE6789"/>
    <w:rsid w:val="00FE6CED"/>
    <w:rsid w:val="00FE7142"/>
    <w:rsid w:val="00FE7166"/>
    <w:rsid w:val="00FE73AA"/>
    <w:rsid w:val="00FE744F"/>
    <w:rsid w:val="00FE78F0"/>
    <w:rsid w:val="00FE79D6"/>
    <w:rsid w:val="00FF0BBA"/>
    <w:rsid w:val="00FF16F5"/>
    <w:rsid w:val="00FF1FF0"/>
    <w:rsid w:val="00FF3195"/>
    <w:rsid w:val="00FF3D43"/>
    <w:rsid w:val="00FF4844"/>
    <w:rsid w:val="00FF4E6B"/>
    <w:rsid w:val="00FF4F1F"/>
    <w:rsid w:val="00FF556E"/>
    <w:rsid w:val="00FF5E0E"/>
    <w:rsid w:val="00FF62DB"/>
    <w:rsid w:val="00FF70E8"/>
    <w:rsid w:val="00FF756B"/>
    <w:rsid w:val="00FF7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17AA85E"/>
  <w15:chartTrackingRefBased/>
  <w15:docId w15:val="{9F3795AE-5FB6-4AE7-864F-FE17B957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0D"/>
  </w:style>
  <w:style w:type="paragraph" w:styleId="Heading1">
    <w:name w:val="heading 1"/>
    <w:basedOn w:val="Normal"/>
    <w:link w:val="Heading1Char"/>
    <w:uiPriority w:val="9"/>
    <w:qFormat/>
    <w:rsid w:val="00671FCB"/>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E24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2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nhideWhenUsed/>
    <w:rsid w:val="00020833"/>
    <w:pPr>
      <w:tabs>
        <w:tab w:val="center" w:pos="4153"/>
        <w:tab w:val="right" w:pos="8306"/>
      </w:tabs>
    </w:pPr>
  </w:style>
  <w:style w:type="character" w:customStyle="1" w:styleId="HeaderChar">
    <w:name w:val="Header Char"/>
    <w:basedOn w:val="DefaultParagraphFont"/>
    <w:link w:val="Header"/>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styleId="Strong">
    <w:name w:val="Strong"/>
    <w:basedOn w:val="DefaultParagraphFont"/>
    <w:uiPriority w:val="22"/>
    <w:qFormat/>
    <w:rsid w:val="007B37B2"/>
    <w:rPr>
      <w:b/>
      <w:bCs/>
    </w:rPr>
  </w:style>
  <w:style w:type="character" w:customStyle="1" w:styleId="Heading1Char">
    <w:name w:val="Heading 1 Char"/>
    <w:basedOn w:val="DefaultParagraphFont"/>
    <w:link w:val="Heading1"/>
    <w:uiPriority w:val="9"/>
    <w:rsid w:val="00671FCB"/>
    <w:rPr>
      <w:rFonts w:eastAsia="Times New Roman" w:cs="Times New Roman"/>
      <w:b/>
      <w:bCs/>
      <w:kern w:val="36"/>
      <w:sz w:val="48"/>
      <w:szCs w:val="48"/>
      <w:lang w:val="en-GB" w:eastAsia="en-GB"/>
    </w:rPr>
  </w:style>
  <w:style w:type="paragraph" w:styleId="NormalWeb">
    <w:name w:val="Normal (Web)"/>
    <w:basedOn w:val="Normal"/>
    <w:uiPriority w:val="99"/>
    <w:unhideWhenUsed/>
    <w:rsid w:val="00671FCB"/>
    <w:pPr>
      <w:spacing w:before="100" w:beforeAutospacing="1" w:after="100" w:afterAutospacing="1"/>
    </w:pPr>
    <w:rPr>
      <w:rFonts w:eastAsia="Times New Roman" w:cs="Times New Roman"/>
      <w:szCs w:val="24"/>
      <w:lang w:val="en-GB" w:eastAsia="en-GB"/>
    </w:rPr>
  </w:style>
  <w:style w:type="paragraph" w:customStyle="1" w:styleId="tvhtml">
    <w:name w:val="tv_html"/>
    <w:basedOn w:val="Normal"/>
    <w:rsid w:val="00610E0F"/>
    <w:pPr>
      <w:spacing w:before="100" w:beforeAutospacing="1" w:after="100" w:afterAutospacing="1"/>
    </w:pPr>
    <w:rPr>
      <w:rFonts w:eastAsia="Times New Roman" w:cs="Times New Roman"/>
      <w:szCs w:val="24"/>
      <w:lang w:eastAsia="lv-LV"/>
    </w:rPr>
  </w:style>
  <w:style w:type="paragraph" w:styleId="NoSpacing">
    <w:name w:val="No Spacing"/>
    <w:link w:val="NoSpacingChar"/>
    <w:uiPriority w:val="1"/>
    <w:qFormat/>
    <w:rsid w:val="00A3142E"/>
    <w:rPr>
      <w:rFonts w:asciiTheme="minorHAnsi" w:hAnsiTheme="minorHAnsi"/>
      <w:sz w:val="22"/>
    </w:rPr>
  </w:style>
  <w:style w:type="character" w:customStyle="1" w:styleId="NoSpacingChar">
    <w:name w:val="No Spacing Char"/>
    <w:basedOn w:val="DefaultParagraphFont"/>
    <w:link w:val="NoSpacing"/>
    <w:uiPriority w:val="1"/>
    <w:locked/>
    <w:rsid w:val="00A3142E"/>
    <w:rPr>
      <w:rFonts w:asciiTheme="minorHAnsi" w:hAnsiTheme="minorHAnsi"/>
      <w:sz w:val="22"/>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A3142E"/>
  </w:style>
  <w:style w:type="paragraph" w:styleId="TOCHeading">
    <w:name w:val="TOC Heading"/>
    <w:basedOn w:val="Heading1"/>
    <w:next w:val="Normal"/>
    <w:uiPriority w:val="39"/>
    <w:unhideWhenUsed/>
    <w:qFormat/>
    <w:rsid w:val="00B95F8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95F87"/>
    <w:pPr>
      <w:spacing w:after="100"/>
    </w:pPr>
  </w:style>
  <w:style w:type="character" w:customStyle="1" w:styleId="Heading2Char">
    <w:name w:val="Heading 2 Char"/>
    <w:basedOn w:val="DefaultParagraphFont"/>
    <w:link w:val="Heading2"/>
    <w:uiPriority w:val="9"/>
    <w:rsid w:val="00E24F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B0D3A"/>
    <w:pPr>
      <w:spacing w:after="100"/>
      <w:ind w:left="240"/>
    </w:pPr>
  </w:style>
  <w:style w:type="paragraph" w:customStyle="1" w:styleId="naisf">
    <w:name w:val="naisf"/>
    <w:basedOn w:val="Normal"/>
    <w:rsid w:val="008B2CD4"/>
    <w:pPr>
      <w:spacing w:before="75" w:after="75"/>
      <w:ind w:firstLine="375"/>
      <w:jc w:val="both"/>
    </w:pPr>
    <w:rPr>
      <w:rFonts w:eastAsia="Times New Roman" w:cs="Times New Roman"/>
      <w:szCs w:val="24"/>
      <w:lang w:eastAsia="lv-LV"/>
    </w:rPr>
  </w:style>
  <w:style w:type="character" w:customStyle="1" w:styleId="Bodytext3">
    <w:name w:val="Body text3"/>
    <w:rsid w:val="007659DA"/>
    <w:rPr>
      <w:rFonts w:cs="Times New Roman"/>
      <w:spacing w:val="0"/>
      <w:sz w:val="21"/>
      <w:szCs w:val="21"/>
    </w:rPr>
  </w:style>
  <w:style w:type="paragraph" w:customStyle="1" w:styleId="Body">
    <w:name w:val="Body"/>
    <w:rsid w:val="006E6EDA"/>
    <w:pPr>
      <w:pBdr>
        <w:top w:val="nil"/>
        <w:left w:val="nil"/>
        <w:bottom w:val="nil"/>
        <w:right w:val="nil"/>
        <w:between w:val="nil"/>
        <w:bar w:val="nil"/>
      </w:pBdr>
    </w:pPr>
    <w:rPr>
      <w:rFonts w:eastAsia="Arial Unicode MS" w:cs="Arial Unicode MS"/>
      <w:color w:val="000000"/>
      <w:szCs w:val="24"/>
      <w:u w:color="000000"/>
      <w:bdr w:val="nil"/>
      <w:lang w:eastAsia="lv-LV"/>
    </w:rPr>
  </w:style>
  <w:style w:type="paragraph" w:customStyle="1" w:styleId="Default">
    <w:name w:val="Default"/>
    <w:rsid w:val="006E6EDA"/>
    <w:pPr>
      <w:pBdr>
        <w:top w:val="nil"/>
        <w:left w:val="nil"/>
        <w:bottom w:val="nil"/>
        <w:right w:val="nil"/>
        <w:between w:val="nil"/>
        <w:bar w:val="nil"/>
      </w:pBdr>
    </w:pPr>
    <w:rPr>
      <w:rFonts w:ascii="Helvetica Neue" w:eastAsia="Arial Unicode MS" w:hAnsi="Helvetica Neue" w:cs="Arial Unicode MS"/>
      <w:color w:val="000000"/>
      <w:sz w:val="22"/>
      <w:bdr w:val="nil"/>
      <w:lang w:eastAsia="lv-LV"/>
    </w:rPr>
  </w:style>
  <w:style w:type="table" w:customStyle="1" w:styleId="TableNormal1">
    <w:name w:val="Table Normal1"/>
    <w:rsid w:val="004547AB"/>
    <w:pPr>
      <w:pBdr>
        <w:top w:val="nil"/>
        <w:left w:val="nil"/>
        <w:bottom w:val="nil"/>
        <w:right w:val="nil"/>
        <w:between w:val="nil"/>
        <w:bar w:val="nil"/>
      </w:pBdr>
    </w:pPr>
    <w:rPr>
      <w:rFonts w:eastAsia="Arial Unicode MS" w:cs="Times New Roman"/>
      <w:sz w:val="20"/>
      <w:szCs w:val="20"/>
      <w:bdr w:val="nil"/>
      <w:lang w:eastAsia="lv-LV"/>
    </w:rPr>
    <w:tblPr>
      <w:tblInd w:w="0" w:type="dxa"/>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621682"/>
    <w:rPr>
      <w:rFonts w:asciiTheme="majorHAnsi" w:eastAsiaTheme="majorEastAsia" w:hAnsiTheme="majorHAnsi" w:cstheme="majorBidi"/>
      <w:i/>
      <w:iCs/>
      <w:color w:val="2E74B5" w:themeColor="accent1" w:themeShade="BF"/>
    </w:rPr>
  </w:style>
  <w:style w:type="character" w:styleId="PageNumber">
    <w:name w:val="page number"/>
    <w:semiHidden/>
    <w:rsid w:val="0027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493">
      <w:bodyDiv w:val="1"/>
      <w:marLeft w:val="0"/>
      <w:marRight w:val="0"/>
      <w:marTop w:val="0"/>
      <w:marBottom w:val="0"/>
      <w:divBdr>
        <w:top w:val="none" w:sz="0" w:space="0" w:color="auto"/>
        <w:left w:val="none" w:sz="0" w:space="0" w:color="auto"/>
        <w:bottom w:val="none" w:sz="0" w:space="0" w:color="auto"/>
        <w:right w:val="none" w:sz="0" w:space="0" w:color="auto"/>
      </w:divBdr>
    </w:div>
    <w:div w:id="86730445">
      <w:bodyDiv w:val="1"/>
      <w:marLeft w:val="0"/>
      <w:marRight w:val="0"/>
      <w:marTop w:val="0"/>
      <w:marBottom w:val="0"/>
      <w:divBdr>
        <w:top w:val="none" w:sz="0" w:space="0" w:color="auto"/>
        <w:left w:val="none" w:sz="0" w:space="0" w:color="auto"/>
        <w:bottom w:val="none" w:sz="0" w:space="0" w:color="auto"/>
        <w:right w:val="none" w:sz="0" w:space="0" w:color="auto"/>
      </w:divBdr>
    </w:div>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220749312">
      <w:bodyDiv w:val="1"/>
      <w:marLeft w:val="0"/>
      <w:marRight w:val="0"/>
      <w:marTop w:val="0"/>
      <w:marBottom w:val="0"/>
      <w:divBdr>
        <w:top w:val="none" w:sz="0" w:space="0" w:color="auto"/>
        <w:left w:val="none" w:sz="0" w:space="0" w:color="auto"/>
        <w:bottom w:val="none" w:sz="0" w:space="0" w:color="auto"/>
        <w:right w:val="none" w:sz="0" w:space="0" w:color="auto"/>
      </w:divBdr>
    </w:div>
    <w:div w:id="268507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355">
          <w:marLeft w:val="0"/>
          <w:marRight w:val="0"/>
          <w:marTop w:val="0"/>
          <w:marBottom w:val="0"/>
          <w:divBdr>
            <w:top w:val="none" w:sz="0" w:space="0" w:color="auto"/>
            <w:left w:val="none" w:sz="0" w:space="0" w:color="auto"/>
            <w:bottom w:val="none" w:sz="0" w:space="0" w:color="auto"/>
            <w:right w:val="none" w:sz="0" w:space="0" w:color="auto"/>
          </w:divBdr>
          <w:divsChild>
            <w:div w:id="1541824199">
              <w:marLeft w:val="0"/>
              <w:marRight w:val="0"/>
              <w:marTop w:val="0"/>
              <w:marBottom w:val="0"/>
              <w:divBdr>
                <w:top w:val="none" w:sz="0" w:space="0" w:color="auto"/>
                <w:left w:val="none" w:sz="0" w:space="0" w:color="auto"/>
                <w:bottom w:val="none" w:sz="0" w:space="0" w:color="auto"/>
                <w:right w:val="none" w:sz="0" w:space="0" w:color="auto"/>
              </w:divBdr>
              <w:divsChild>
                <w:div w:id="473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4179">
      <w:bodyDiv w:val="1"/>
      <w:marLeft w:val="0"/>
      <w:marRight w:val="0"/>
      <w:marTop w:val="0"/>
      <w:marBottom w:val="0"/>
      <w:divBdr>
        <w:top w:val="none" w:sz="0" w:space="0" w:color="auto"/>
        <w:left w:val="none" w:sz="0" w:space="0" w:color="auto"/>
        <w:bottom w:val="none" w:sz="0" w:space="0" w:color="auto"/>
        <w:right w:val="none" w:sz="0" w:space="0" w:color="auto"/>
      </w:divBdr>
    </w:div>
    <w:div w:id="410737858">
      <w:bodyDiv w:val="1"/>
      <w:marLeft w:val="0"/>
      <w:marRight w:val="0"/>
      <w:marTop w:val="0"/>
      <w:marBottom w:val="0"/>
      <w:divBdr>
        <w:top w:val="none" w:sz="0" w:space="0" w:color="auto"/>
        <w:left w:val="none" w:sz="0" w:space="0" w:color="auto"/>
        <w:bottom w:val="none" w:sz="0" w:space="0" w:color="auto"/>
        <w:right w:val="none" w:sz="0" w:space="0" w:color="auto"/>
      </w:divBdr>
    </w:div>
    <w:div w:id="418257970">
      <w:bodyDiv w:val="1"/>
      <w:marLeft w:val="0"/>
      <w:marRight w:val="0"/>
      <w:marTop w:val="0"/>
      <w:marBottom w:val="0"/>
      <w:divBdr>
        <w:top w:val="none" w:sz="0" w:space="0" w:color="auto"/>
        <w:left w:val="none" w:sz="0" w:space="0" w:color="auto"/>
        <w:bottom w:val="none" w:sz="0" w:space="0" w:color="auto"/>
        <w:right w:val="none" w:sz="0" w:space="0" w:color="auto"/>
      </w:divBdr>
    </w:div>
    <w:div w:id="489953325">
      <w:bodyDiv w:val="1"/>
      <w:marLeft w:val="0"/>
      <w:marRight w:val="0"/>
      <w:marTop w:val="0"/>
      <w:marBottom w:val="0"/>
      <w:divBdr>
        <w:top w:val="none" w:sz="0" w:space="0" w:color="auto"/>
        <w:left w:val="none" w:sz="0" w:space="0" w:color="auto"/>
        <w:bottom w:val="none" w:sz="0" w:space="0" w:color="auto"/>
        <w:right w:val="none" w:sz="0" w:space="0" w:color="auto"/>
      </w:divBdr>
    </w:div>
    <w:div w:id="501895791">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576598302">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04403679">
      <w:bodyDiv w:val="1"/>
      <w:marLeft w:val="0"/>
      <w:marRight w:val="0"/>
      <w:marTop w:val="0"/>
      <w:marBottom w:val="0"/>
      <w:divBdr>
        <w:top w:val="none" w:sz="0" w:space="0" w:color="auto"/>
        <w:left w:val="none" w:sz="0" w:space="0" w:color="auto"/>
        <w:bottom w:val="none" w:sz="0" w:space="0" w:color="auto"/>
        <w:right w:val="none" w:sz="0" w:space="0" w:color="auto"/>
      </w:divBdr>
    </w:div>
    <w:div w:id="788357557">
      <w:bodyDiv w:val="1"/>
      <w:marLeft w:val="0"/>
      <w:marRight w:val="0"/>
      <w:marTop w:val="0"/>
      <w:marBottom w:val="0"/>
      <w:divBdr>
        <w:top w:val="none" w:sz="0" w:space="0" w:color="auto"/>
        <w:left w:val="none" w:sz="0" w:space="0" w:color="auto"/>
        <w:bottom w:val="none" w:sz="0" w:space="0" w:color="auto"/>
        <w:right w:val="none" w:sz="0" w:space="0" w:color="auto"/>
      </w:divBdr>
      <w:divsChild>
        <w:div w:id="1445034013">
          <w:marLeft w:val="0"/>
          <w:marRight w:val="0"/>
          <w:marTop w:val="0"/>
          <w:marBottom w:val="567"/>
          <w:divBdr>
            <w:top w:val="none" w:sz="0" w:space="0" w:color="auto"/>
            <w:left w:val="none" w:sz="0" w:space="0" w:color="auto"/>
            <w:bottom w:val="none" w:sz="0" w:space="0" w:color="auto"/>
            <w:right w:val="none" w:sz="0" w:space="0" w:color="auto"/>
          </w:divBdr>
        </w:div>
        <w:div w:id="1763530890">
          <w:marLeft w:val="0"/>
          <w:marRight w:val="0"/>
          <w:marTop w:val="480"/>
          <w:marBottom w:val="240"/>
          <w:divBdr>
            <w:top w:val="none" w:sz="0" w:space="0" w:color="auto"/>
            <w:left w:val="none" w:sz="0" w:space="0" w:color="auto"/>
            <w:bottom w:val="none" w:sz="0" w:space="0" w:color="auto"/>
            <w:right w:val="none" w:sz="0" w:space="0" w:color="auto"/>
          </w:divBdr>
        </w:div>
      </w:divsChild>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803234804">
      <w:bodyDiv w:val="1"/>
      <w:marLeft w:val="0"/>
      <w:marRight w:val="0"/>
      <w:marTop w:val="0"/>
      <w:marBottom w:val="0"/>
      <w:divBdr>
        <w:top w:val="none" w:sz="0" w:space="0" w:color="auto"/>
        <w:left w:val="none" w:sz="0" w:space="0" w:color="auto"/>
        <w:bottom w:val="none" w:sz="0" w:space="0" w:color="auto"/>
        <w:right w:val="none" w:sz="0" w:space="0" w:color="auto"/>
      </w:divBdr>
    </w:div>
    <w:div w:id="847796055">
      <w:bodyDiv w:val="1"/>
      <w:marLeft w:val="0"/>
      <w:marRight w:val="0"/>
      <w:marTop w:val="0"/>
      <w:marBottom w:val="0"/>
      <w:divBdr>
        <w:top w:val="none" w:sz="0" w:space="0" w:color="auto"/>
        <w:left w:val="none" w:sz="0" w:space="0" w:color="auto"/>
        <w:bottom w:val="none" w:sz="0" w:space="0" w:color="auto"/>
        <w:right w:val="none" w:sz="0" w:space="0" w:color="auto"/>
      </w:divBdr>
    </w:div>
    <w:div w:id="849217977">
      <w:bodyDiv w:val="1"/>
      <w:marLeft w:val="0"/>
      <w:marRight w:val="0"/>
      <w:marTop w:val="0"/>
      <w:marBottom w:val="0"/>
      <w:divBdr>
        <w:top w:val="none" w:sz="0" w:space="0" w:color="auto"/>
        <w:left w:val="none" w:sz="0" w:space="0" w:color="auto"/>
        <w:bottom w:val="none" w:sz="0" w:space="0" w:color="auto"/>
        <w:right w:val="none" w:sz="0" w:space="0" w:color="auto"/>
      </w:divBdr>
    </w:div>
    <w:div w:id="851066482">
      <w:bodyDiv w:val="1"/>
      <w:marLeft w:val="0"/>
      <w:marRight w:val="0"/>
      <w:marTop w:val="0"/>
      <w:marBottom w:val="0"/>
      <w:divBdr>
        <w:top w:val="none" w:sz="0" w:space="0" w:color="auto"/>
        <w:left w:val="none" w:sz="0" w:space="0" w:color="auto"/>
        <w:bottom w:val="none" w:sz="0" w:space="0" w:color="auto"/>
        <w:right w:val="none" w:sz="0" w:space="0" w:color="auto"/>
      </w:divBdr>
    </w:div>
    <w:div w:id="854073450">
      <w:bodyDiv w:val="1"/>
      <w:marLeft w:val="0"/>
      <w:marRight w:val="0"/>
      <w:marTop w:val="0"/>
      <w:marBottom w:val="0"/>
      <w:divBdr>
        <w:top w:val="none" w:sz="0" w:space="0" w:color="auto"/>
        <w:left w:val="none" w:sz="0" w:space="0" w:color="auto"/>
        <w:bottom w:val="none" w:sz="0" w:space="0" w:color="auto"/>
        <w:right w:val="none" w:sz="0" w:space="0" w:color="auto"/>
      </w:divBdr>
    </w:div>
    <w:div w:id="1103574402">
      <w:bodyDiv w:val="1"/>
      <w:marLeft w:val="0"/>
      <w:marRight w:val="0"/>
      <w:marTop w:val="0"/>
      <w:marBottom w:val="0"/>
      <w:divBdr>
        <w:top w:val="none" w:sz="0" w:space="0" w:color="auto"/>
        <w:left w:val="none" w:sz="0" w:space="0" w:color="auto"/>
        <w:bottom w:val="none" w:sz="0" w:space="0" w:color="auto"/>
        <w:right w:val="none" w:sz="0" w:space="0" w:color="auto"/>
      </w:divBdr>
    </w:div>
    <w:div w:id="1103845852">
      <w:bodyDiv w:val="1"/>
      <w:marLeft w:val="0"/>
      <w:marRight w:val="0"/>
      <w:marTop w:val="0"/>
      <w:marBottom w:val="0"/>
      <w:divBdr>
        <w:top w:val="none" w:sz="0" w:space="0" w:color="auto"/>
        <w:left w:val="none" w:sz="0" w:space="0" w:color="auto"/>
        <w:bottom w:val="none" w:sz="0" w:space="0" w:color="auto"/>
        <w:right w:val="none" w:sz="0" w:space="0" w:color="auto"/>
      </w:divBdr>
    </w:div>
    <w:div w:id="1120950708">
      <w:bodyDiv w:val="1"/>
      <w:marLeft w:val="0"/>
      <w:marRight w:val="0"/>
      <w:marTop w:val="0"/>
      <w:marBottom w:val="0"/>
      <w:divBdr>
        <w:top w:val="none" w:sz="0" w:space="0" w:color="auto"/>
        <w:left w:val="none" w:sz="0" w:space="0" w:color="auto"/>
        <w:bottom w:val="none" w:sz="0" w:space="0" w:color="auto"/>
        <w:right w:val="none" w:sz="0" w:space="0" w:color="auto"/>
      </w:divBdr>
    </w:div>
    <w:div w:id="1139609502">
      <w:bodyDiv w:val="1"/>
      <w:marLeft w:val="0"/>
      <w:marRight w:val="0"/>
      <w:marTop w:val="0"/>
      <w:marBottom w:val="0"/>
      <w:divBdr>
        <w:top w:val="none" w:sz="0" w:space="0" w:color="auto"/>
        <w:left w:val="none" w:sz="0" w:space="0" w:color="auto"/>
        <w:bottom w:val="none" w:sz="0" w:space="0" w:color="auto"/>
        <w:right w:val="none" w:sz="0" w:space="0" w:color="auto"/>
      </w:divBdr>
    </w:div>
    <w:div w:id="1143156921">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542282717">
      <w:bodyDiv w:val="1"/>
      <w:marLeft w:val="0"/>
      <w:marRight w:val="0"/>
      <w:marTop w:val="0"/>
      <w:marBottom w:val="0"/>
      <w:divBdr>
        <w:top w:val="none" w:sz="0" w:space="0" w:color="auto"/>
        <w:left w:val="none" w:sz="0" w:space="0" w:color="auto"/>
        <w:bottom w:val="none" w:sz="0" w:space="0" w:color="auto"/>
        <w:right w:val="none" w:sz="0" w:space="0" w:color="auto"/>
      </w:divBdr>
    </w:div>
    <w:div w:id="1557350217">
      <w:bodyDiv w:val="1"/>
      <w:marLeft w:val="0"/>
      <w:marRight w:val="0"/>
      <w:marTop w:val="0"/>
      <w:marBottom w:val="0"/>
      <w:divBdr>
        <w:top w:val="none" w:sz="0" w:space="0" w:color="auto"/>
        <w:left w:val="none" w:sz="0" w:space="0" w:color="auto"/>
        <w:bottom w:val="none" w:sz="0" w:space="0" w:color="auto"/>
        <w:right w:val="none" w:sz="0" w:space="0" w:color="auto"/>
      </w:divBdr>
    </w:div>
    <w:div w:id="1561208157">
      <w:bodyDiv w:val="1"/>
      <w:marLeft w:val="0"/>
      <w:marRight w:val="0"/>
      <w:marTop w:val="0"/>
      <w:marBottom w:val="0"/>
      <w:divBdr>
        <w:top w:val="none" w:sz="0" w:space="0" w:color="auto"/>
        <w:left w:val="none" w:sz="0" w:space="0" w:color="auto"/>
        <w:bottom w:val="none" w:sz="0" w:space="0" w:color="auto"/>
        <w:right w:val="none" w:sz="0" w:space="0" w:color="auto"/>
      </w:divBdr>
    </w:div>
    <w:div w:id="1614752934">
      <w:bodyDiv w:val="1"/>
      <w:marLeft w:val="0"/>
      <w:marRight w:val="0"/>
      <w:marTop w:val="0"/>
      <w:marBottom w:val="0"/>
      <w:divBdr>
        <w:top w:val="none" w:sz="0" w:space="0" w:color="auto"/>
        <w:left w:val="none" w:sz="0" w:space="0" w:color="auto"/>
        <w:bottom w:val="none" w:sz="0" w:space="0" w:color="auto"/>
        <w:right w:val="none" w:sz="0" w:space="0" w:color="auto"/>
      </w:divBdr>
    </w:div>
    <w:div w:id="1625966918">
      <w:bodyDiv w:val="1"/>
      <w:marLeft w:val="0"/>
      <w:marRight w:val="0"/>
      <w:marTop w:val="0"/>
      <w:marBottom w:val="0"/>
      <w:divBdr>
        <w:top w:val="none" w:sz="0" w:space="0" w:color="auto"/>
        <w:left w:val="none" w:sz="0" w:space="0" w:color="auto"/>
        <w:bottom w:val="none" w:sz="0" w:space="0" w:color="auto"/>
        <w:right w:val="none" w:sz="0" w:space="0" w:color="auto"/>
      </w:divBdr>
    </w:div>
    <w:div w:id="1745101976">
      <w:bodyDiv w:val="1"/>
      <w:marLeft w:val="0"/>
      <w:marRight w:val="0"/>
      <w:marTop w:val="0"/>
      <w:marBottom w:val="0"/>
      <w:divBdr>
        <w:top w:val="none" w:sz="0" w:space="0" w:color="auto"/>
        <w:left w:val="none" w:sz="0" w:space="0" w:color="auto"/>
        <w:bottom w:val="none" w:sz="0" w:space="0" w:color="auto"/>
        <w:right w:val="none" w:sz="0" w:space="0" w:color="auto"/>
      </w:divBdr>
    </w:div>
    <w:div w:id="1759253294">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890451930">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 w:id="1972326549">
      <w:bodyDiv w:val="1"/>
      <w:marLeft w:val="0"/>
      <w:marRight w:val="0"/>
      <w:marTop w:val="0"/>
      <w:marBottom w:val="0"/>
      <w:divBdr>
        <w:top w:val="none" w:sz="0" w:space="0" w:color="auto"/>
        <w:left w:val="none" w:sz="0" w:space="0" w:color="auto"/>
        <w:bottom w:val="none" w:sz="0" w:space="0" w:color="auto"/>
        <w:right w:val="none" w:sz="0" w:space="0" w:color="auto"/>
      </w:divBdr>
    </w:div>
    <w:div w:id="1977374753">
      <w:bodyDiv w:val="1"/>
      <w:marLeft w:val="0"/>
      <w:marRight w:val="0"/>
      <w:marTop w:val="0"/>
      <w:marBottom w:val="0"/>
      <w:divBdr>
        <w:top w:val="none" w:sz="0" w:space="0" w:color="auto"/>
        <w:left w:val="none" w:sz="0" w:space="0" w:color="auto"/>
        <w:bottom w:val="none" w:sz="0" w:space="0" w:color="auto"/>
        <w:right w:val="none" w:sz="0" w:space="0" w:color="auto"/>
      </w:divBdr>
    </w:div>
    <w:div w:id="2059812302">
      <w:bodyDiv w:val="1"/>
      <w:marLeft w:val="0"/>
      <w:marRight w:val="0"/>
      <w:marTop w:val="0"/>
      <w:marBottom w:val="0"/>
      <w:divBdr>
        <w:top w:val="none" w:sz="0" w:space="0" w:color="auto"/>
        <w:left w:val="none" w:sz="0" w:space="0" w:color="auto"/>
        <w:bottom w:val="none" w:sz="0" w:space="0" w:color="auto"/>
        <w:right w:val="none" w:sz="0" w:space="0" w:color="auto"/>
      </w:divBdr>
    </w:div>
    <w:div w:id="2069379364">
      <w:bodyDiv w:val="1"/>
      <w:marLeft w:val="0"/>
      <w:marRight w:val="0"/>
      <w:marTop w:val="0"/>
      <w:marBottom w:val="0"/>
      <w:divBdr>
        <w:top w:val="none" w:sz="0" w:space="0" w:color="auto"/>
        <w:left w:val="none" w:sz="0" w:space="0" w:color="auto"/>
        <w:bottom w:val="none" w:sz="0" w:space="0" w:color="auto"/>
        <w:right w:val="none" w:sz="0" w:space="0" w:color="auto"/>
      </w:divBdr>
    </w:div>
    <w:div w:id="2072801801">
      <w:bodyDiv w:val="1"/>
      <w:marLeft w:val="0"/>
      <w:marRight w:val="0"/>
      <w:marTop w:val="0"/>
      <w:marBottom w:val="0"/>
      <w:divBdr>
        <w:top w:val="none" w:sz="0" w:space="0" w:color="auto"/>
        <w:left w:val="none" w:sz="0" w:space="0" w:color="auto"/>
        <w:bottom w:val="none" w:sz="0" w:space="0" w:color="auto"/>
        <w:right w:val="none" w:sz="0" w:space="0" w:color="auto"/>
      </w:divBdr>
    </w:div>
    <w:div w:id="2121758450">
      <w:bodyDiv w:val="1"/>
      <w:marLeft w:val="0"/>
      <w:marRight w:val="0"/>
      <w:marTop w:val="0"/>
      <w:marBottom w:val="0"/>
      <w:divBdr>
        <w:top w:val="none" w:sz="0" w:space="0" w:color="auto"/>
        <w:left w:val="none" w:sz="0" w:space="0" w:color="auto"/>
        <w:bottom w:val="none" w:sz="0" w:space="0" w:color="auto"/>
        <w:right w:val="none" w:sz="0" w:space="0" w:color="auto"/>
      </w:divBdr>
    </w:div>
    <w:div w:id="21401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7EC0-B6A9-4C35-B30B-E0AFC028347D}">
  <ds:schemaRefs>
    <ds:schemaRef ds:uri="http://schemas.openxmlformats.org/officeDocument/2006/bibliography"/>
  </ds:schemaRefs>
</ds:datastoreItem>
</file>

<file path=customXml/itemProps2.xml><?xml version="1.0" encoding="utf-8"?>
<ds:datastoreItem xmlns:ds="http://schemas.openxmlformats.org/officeDocument/2006/customXml" ds:itemID="{8ABBAF25-05E5-4BA1-945E-BCEBD38E9A14}">
  <ds:schemaRefs>
    <ds:schemaRef ds:uri="http://schemas.openxmlformats.org/officeDocument/2006/bibliography"/>
  </ds:schemaRefs>
</ds:datastoreItem>
</file>

<file path=customXml/itemProps3.xml><?xml version="1.0" encoding="utf-8"?>
<ds:datastoreItem xmlns:ds="http://schemas.openxmlformats.org/officeDocument/2006/customXml" ds:itemID="{1391ADD0-CC76-4567-8EFD-A823BED5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73287</Words>
  <Characters>41774</Characters>
  <Application>Microsoft Office Word</Application>
  <DocSecurity>0</DocSecurity>
  <Lines>348</Lines>
  <Paragraphs>229</Paragraphs>
  <ScaleCrop>false</ScaleCrop>
  <HeadingPairs>
    <vt:vector size="2" baseType="variant">
      <vt:variant>
        <vt:lpstr>Title</vt:lpstr>
      </vt:variant>
      <vt:variant>
        <vt:i4>1</vt:i4>
      </vt:variant>
    </vt:vector>
  </HeadingPairs>
  <TitlesOfParts>
    <vt:vector size="1" baseType="lpstr">
      <vt:lpstr>Pasākumu plāns noziedzīgi iegūtu līdzekļu legalizācijas, terorisma un proliferācijas finansēšanas novēršanai laikposmam no 2020. līdz 2022. gadam</vt:lpstr>
    </vt:vector>
  </TitlesOfParts>
  <Company>Finanšu ministrija</Company>
  <LinksUpToDate>false</LinksUpToDate>
  <CharactersWithSpaces>114832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terorisma un proliferācijas finansēšanas novēršanai laikposmam no 2020. līdz 2022. gadam</dc:title>
  <dc:subject>Pasākumu plāns</dc:subject>
  <dc:creator>Raimonds Grīnbergs</dc:creator>
  <cp:keywords>Pasākumu plāns</cp:keywords>
  <dc:description/>
  <cp:lastModifiedBy>Raimonds Grīnbergs</cp:lastModifiedBy>
  <cp:revision>3</cp:revision>
  <cp:lastPrinted>2020-03-18T07:32:00Z</cp:lastPrinted>
  <dcterms:created xsi:type="dcterms:W3CDTF">2020-06-04T07:26:00Z</dcterms:created>
  <dcterms:modified xsi:type="dcterms:W3CDTF">2020-06-04T08:36:00Z</dcterms:modified>
</cp:coreProperties>
</file>