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065BFC" w:rsidRPr="00065BFC">
        <w:rPr>
          <w:b/>
          <w:bCs/>
          <w:lang w:val="lv-LV"/>
        </w:rPr>
        <w:t>Par valsts nekustamā īpašuma „Trīsstūris” Cīravas pagastā, Aizputes novadā, nodošanu bez atlīdzības Aizputes novada pašvaldības īpašumā</w:t>
      </w:r>
      <w:r w:rsidR="00886294" w:rsidRPr="00886294">
        <w:rPr>
          <w:b/>
          <w:bCs/>
          <w:lang w:val="lv-LV"/>
        </w:rPr>
        <w:t>”</w:t>
      </w:r>
      <w:r w:rsidR="00886294" w:rsidRPr="00886294">
        <w:rPr>
          <w:b/>
          <w:lang w:val="lv-LV"/>
        </w:rPr>
        <w:t xml:space="preserve"> </w:t>
      </w:r>
      <w:r w:rsidR="00380FA9" w:rsidRPr="00A113B8">
        <w:rPr>
          <w:b/>
          <w:lang w:val="lv-LV"/>
        </w:rPr>
        <w:t>(VSS-</w:t>
      </w:r>
      <w:r w:rsidR="00065BFC">
        <w:rPr>
          <w:b/>
          <w:lang w:val="lv-LV"/>
        </w:rPr>
        <w:t>330</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065BFC">
            <w:pPr>
              <w:spacing w:after="75"/>
              <w:jc w:val="both"/>
              <w:rPr>
                <w:lang w:val="lv-LV" w:eastAsia="lv-LV"/>
              </w:rPr>
            </w:pPr>
            <w:r w:rsidRPr="00A113B8">
              <w:rPr>
                <w:lang w:val="lv-LV" w:eastAsia="lv-LV"/>
              </w:rPr>
              <w:t>Datums:</w:t>
            </w:r>
            <w:r w:rsidR="00CC07C2">
              <w:rPr>
                <w:lang w:val="lv-LV" w:eastAsia="lv-LV"/>
              </w:rPr>
              <w:t xml:space="preserve"> </w:t>
            </w:r>
            <w:r w:rsidR="00DA3C6C">
              <w:rPr>
                <w:lang w:val="lv-LV" w:eastAsia="lv-LV"/>
              </w:rPr>
              <w:t>1</w:t>
            </w:r>
            <w:r w:rsidR="00065BFC">
              <w:rPr>
                <w:lang w:val="lv-LV" w:eastAsia="lv-LV"/>
              </w:rPr>
              <w:t>2.05</w:t>
            </w:r>
            <w:r w:rsidR="000F49AA">
              <w:rPr>
                <w:lang w:val="lv-LV" w:eastAsia="lv-LV"/>
              </w:rPr>
              <w:t>.2020</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065BFC">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r w:rsidR="00642A6C">
              <w:rPr>
                <w:lang w:val="lv-LV" w:eastAsia="lv-LV"/>
              </w:rPr>
              <w:t xml:space="preserve">, </w:t>
            </w:r>
            <w:r w:rsidR="00065BFC">
              <w:rPr>
                <w:lang w:val="lv-LV" w:eastAsia="lv-LV"/>
              </w:rPr>
              <w:t>Vides aizsardzības un reģionālās attīstības ministrija, Latvijas Pašvaldību savienība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D32773" w:rsidP="00D32773">
            <w:pPr>
              <w:spacing w:after="75"/>
              <w:ind w:left="262"/>
              <w:jc w:val="both"/>
              <w:rPr>
                <w:lang w:val="lv-LV" w:eastAsia="lv-LV"/>
              </w:rPr>
            </w:pPr>
            <w:r>
              <w:rPr>
                <w:lang w:val="lv-LV"/>
              </w:rPr>
              <w:t>Finanšu</w:t>
            </w:r>
            <w:r w:rsidR="00472C42">
              <w:rPr>
                <w:lang w:val="lv-LV"/>
              </w:rPr>
              <w:t xml:space="preserve">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472C42" w:rsidP="00455450">
            <w:pPr>
              <w:ind w:right="-1" w:firstLine="284"/>
              <w:jc w:val="both"/>
              <w:rPr>
                <w:rFonts w:eastAsia="Calibri"/>
                <w:lang w:val="lv-LV"/>
              </w:rPr>
            </w:pPr>
            <w:r>
              <w:rPr>
                <w:rFonts w:eastAsia="Calibri"/>
                <w:b/>
                <w:u w:val="single"/>
                <w:lang w:val="lv-LV"/>
              </w:rPr>
              <w:t>Finanšu</w:t>
            </w:r>
            <w:r w:rsidR="006E16BD">
              <w:rPr>
                <w:rFonts w:eastAsia="Calibri"/>
                <w:b/>
                <w:u w:val="single"/>
                <w:lang w:val="lv-LV"/>
              </w:rPr>
              <w:t xml:space="preserve"> </w:t>
            </w:r>
            <w:r w:rsidR="00C965DB">
              <w:rPr>
                <w:rFonts w:eastAsia="Calibri"/>
                <w:b/>
                <w:u w:val="single"/>
                <w:lang w:val="lv-LV"/>
              </w:rPr>
              <w:t>ministrijas izteiktie</w:t>
            </w:r>
            <w:r w:rsidR="00EF59F0">
              <w:rPr>
                <w:rFonts w:eastAsia="Calibri"/>
                <w:b/>
                <w:u w:val="single"/>
                <w:lang w:val="lv-LV"/>
              </w:rPr>
              <w:t xml:space="preserve"> iebildum</w:t>
            </w:r>
            <w:r w:rsidR="00C965DB">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bookmarkStart w:id="0" w:name="_GoBack"/>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065BFC" w:rsidRPr="00065BFC" w:rsidRDefault="00065BFC" w:rsidP="00065BFC">
            <w:pPr>
              <w:ind w:left="34" w:firstLine="284"/>
              <w:jc w:val="both"/>
              <w:rPr>
                <w:lang w:val="lv-LV"/>
              </w:rPr>
            </w:pPr>
            <w:r w:rsidRPr="00065BFC">
              <w:rPr>
                <w:lang w:val="lv-LV"/>
              </w:rPr>
              <w:t xml:space="preserve">Rīkojuma projekts paredz nodot bez atlīdzības Aizputes novada pašvaldības īpašumā valsts nekustamo īpašumu - zemes vienību (zemes vienības kadastra apzīmējums 6448 005 0095) 1,01 ha platībā, Cīravas pagastā, Aizputes novadā, lai  saskaņā ar likuma “Par pašvaldībām” 15.panta pirmās daļas 2.punktu to izmantotu pašvaldības autonomo funkciju īstenošanai – gādāt par savas administratīvās teritorijas labiekārtošanu un sanitāro tīrību (ielu, ceļu un laukumu būvniecība, rekonstruēšana un </w:t>
            </w:r>
            <w:r w:rsidRPr="00065BFC">
              <w:rPr>
                <w:lang w:val="lv-LV"/>
              </w:rPr>
              <w:lastRenderedPageBreak/>
              <w:t xml:space="preserve">uzturēšana; ielu, laukumu un citu publiskai lietošanai paredzēto teritoriju apgaismošana; parku, skvēru un zaļo zonu ierīkošana un uzturēšana; atkritumu savākšanas un izvešanas kontrole; </w:t>
            </w:r>
            <w:proofErr w:type="spellStart"/>
            <w:r w:rsidRPr="00065BFC">
              <w:rPr>
                <w:lang w:val="lv-LV"/>
              </w:rPr>
              <w:t>pretplūdu</w:t>
            </w:r>
            <w:proofErr w:type="spellEnd"/>
            <w:r w:rsidRPr="00065BFC">
              <w:rPr>
                <w:lang w:val="lv-LV"/>
              </w:rPr>
              <w:t xml:space="preserve"> pasākumi; kapsētu un beigto dzīvnieku apbedīšanas vietu izveidošana un uzturēšana).</w:t>
            </w:r>
          </w:p>
          <w:p w:rsidR="004A5CEB" w:rsidRPr="007C711C" w:rsidRDefault="00065BFC" w:rsidP="00065BFC">
            <w:pPr>
              <w:ind w:left="34" w:firstLine="284"/>
              <w:jc w:val="both"/>
              <w:rPr>
                <w:lang w:val="lv-LV"/>
              </w:rPr>
            </w:pPr>
            <w:r w:rsidRPr="00065BFC">
              <w:rPr>
                <w:lang w:val="lv-LV"/>
              </w:rPr>
              <w:t>Ievērojot minēto, lūdzam papildināt rīkojuma projekta anotāciju ar detalizētāku skaidrojumu par Aizputes novada pašvaldības plānotajām darbībām nekustamajā īpašumā, tostarp norādīt, vai pašvaldība nekustamo īpašumu neplāno izmantot saimnieciskai darbībai.</w:t>
            </w:r>
          </w:p>
        </w:tc>
        <w:tc>
          <w:tcPr>
            <w:tcW w:w="3402" w:type="dxa"/>
            <w:tcBorders>
              <w:top w:val="single" w:sz="4" w:space="0" w:color="auto"/>
              <w:left w:val="single" w:sz="4" w:space="0" w:color="auto"/>
              <w:bottom w:val="single" w:sz="4" w:space="0" w:color="auto"/>
              <w:right w:val="single" w:sz="4" w:space="0" w:color="auto"/>
            </w:tcBorders>
          </w:tcPr>
          <w:p w:rsidR="009B3636" w:rsidRPr="000319AE" w:rsidRDefault="007F1A74" w:rsidP="00472C42">
            <w:pPr>
              <w:pStyle w:val="NormalWeb"/>
              <w:ind w:firstLine="0"/>
              <w:rPr>
                <w:lang w:eastAsia="lv-LV"/>
              </w:rPr>
            </w:pPr>
            <w:r>
              <w:rPr>
                <w:b/>
                <w:u w:val="single"/>
                <w:lang w:eastAsia="lv-LV"/>
              </w:rPr>
              <w:lastRenderedPageBreak/>
              <w:t>I</w:t>
            </w:r>
            <w:r w:rsidR="007A2F23" w:rsidRPr="007A2F23">
              <w:rPr>
                <w:b/>
                <w:u w:val="single"/>
                <w:lang w:eastAsia="lv-LV"/>
              </w:rPr>
              <w:t xml:space="preserve">ebildums </w:t>
            </w:r>
            <w:r w:rsidR="00E568D2">
              <w:rPr>
                <w:b/>
                <w:u w:val="single"/>
                <w:lang w:eastAsia="lv-LV"/>
              </w:rPr>
              <w:t>ņemts vērā</w:t>
            </w:r>
            <w:r w:rsidR="000319AE">
              <w:rPr>
                <w:b/>
                <w:u w:val="single"/>
                <w:lang w:eastAsia="lv-LV"/>
              </w:rPr>
              <w:t>,</w:t>
            </w:r>
            <w:r w:rsidR="000319AE">
              <w:rPr>
                <w:lang w:eastAsia="lv-LV"/>
              </w:rPr>
              <w:t xml:space="preserve"> anotācija precizēta.</w:t>
            </w:r>
          </w:p>
          <w:p w:rsidR="000E3062" w:rsidRPr="000107F5" w:rsidRDefault="000E3062" w:rsidP="006A2090">
            <w:pPr>
              <w:pStyle w:val="NormalWeb"/>
              <w:spacing w:after="0"/>
              <w:ind w:firstLine="459"/>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C56710" w:rsidRPr="004A310E" w:rsidRDefault="00147523" w:rsidP="00A55803">
            <w:pPr>
              <w:pStyle w:val="BodyText"/>
              <w:tabs>
                <w:tab w:val="left" w:pos="318"/>
              </w:tabs>
              <w:spacing w:after="0"/>
              <w:ind w:right="34"/>
              <w:jc w:val="both"/>
              <w:rPr>
                <w:lang w:val="lv-LV" w:eastAsia="lv-LV"/>
              </w:rPr>
            </w:pPr>
            <w:r w:rsidRPr="00147523">
              <w:rPr>
                <w:lang w:val="lv-LV" w:eastAsia="lv-LV"/>
              </w:rPr>
              <w:t xml:space="preserve">Kā norādīts minētajā lēmumā, nekustamais īpašums pašvaldībai nepieciešams, lai labiekārtotu un attīstītu iedzīvotājiem un bērniem pieejamu pastaigu, rotaļu un atpūtas vietu. Blakus nekustamajam īpašumam atrodas trīs daudzdzīvokļu mājas, Kandavas Lauksaimniecības tehnikuma Cīravas teritoriālās struktūrvienības administratīvās ēkas un dienesta viesnīca, un </w:t>
            </w:r>
            <w:r w:rsidRPr="00147523">
              <w:rPr>
                <w:lang w:val="lv-LV" w:eastAsia="lv-LV"/>
              </w:rPr>
              <w:lastRenderedPageBreak/>
              <w:t>individuālo dzīvojamo māju rajons. Zemes vienība veido trīsstūra formu, kuru no divām pusēm norobežo valsts ceļš ar īpaši aizsargājamu dabas teritoriju – Cīravas liepu aleju, un no vienas puses pašvaldības ceļš.</w:t>
            </w:r>
            <w:r w:rsidR="00436F98">
              <w:t xml:space="preserve"> </w:t>
            </w:r>
            <w:r w:rsidR="00436F98">
              <w:rPr>
                <w:lang w:val="lv-LV" w:eastAsia="lv-LV"/>
              </w:rPr>
              <w:t>P</w:t>
            </w:r>
            <w:r w:rsidR="00436F98" w:rsidRPr="00436F98">
              <w:rPr>
                <w:lang w:val="lv-LV" w:eastAsia="lv-LV"/>
              </w:rPr>
              <w:t>ašvaldība nekustamo īpašumu neplāno izmantot saimnieciskai darbībai</w:t>
            </w:r>
            <w:r w:rsidR="00436F98">
              <w:rPr>
                <w:lang w:val="lv-LV" w:eastAsia="lv-LV"/>
              </w:rPr>
              <w:t>.</w:t>
            </w:r>
            <w:r w:rsidR="003A0C57">
              <w:rPr>
                <w:lang w:val="lv-LV" w:eastAsia="lv-LV"/>
              </w:rPr>
              <w:t xml:space="preserve"> Nekustamais īpašums nav apbūvēts.</w:t>
            </w:r>
          </w:p>
        </w:tc>
      </w:tr>
    </w:tbl>
    <w:bookmarkEnd w:id="0"/>
    <w:p w:rsidR="00FD4FB1" w:rsidRPr="00FD4FB1" w:rsidRDefault="00FD4FB1" w:rsidP="00FD4FB1">
      <w:pPr>
        <w:ind w:firstLine="709"/>
        <w:jc w:val="both"/>
        <w:rPr>
          <w:lang w:val="lv-LV"/>
        </w:rPr>
      </w:pPr>
      <w:r w:rsidRPr="00FD4FB1">
        <w:rPr>
          <w:lang w:val="lv-LV"/>
        </w:rPr>
        <w:lastRenderedPageBreak/>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7239D6">
        <w:rPr>
          <w:noProof/>
          <w:sz w:val="22"/>
          <w:szCs w:val="22"/>
          <w:lang w:val="lv-LV"/>
        </w:rPr>
        <w:t>11.05.2020 14:20</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2B4576">
        <w:rPr>
          <w:noProof/>
          <w:sz w:val="22"/>
          <w:szCs w:val="22"/>
          <w:lang w:val="lv-LV"/>
        </w:rPr>
        <w:t>1578</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8"/>
      <w:headerReference w:type="default" r:id="rId9"/>
      <w:footerReference w:type="default" r:id="rId10"/>
      <w:footerReference w:type="first" r:id="rId11"/>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71" w:rsidRDefault="00957971" w:rsidP="007357F6">
      <w:r>
        <w:separator/>
      </w:r>
    </w:p>
  </w:endnote>
  <w:endnote w:type="continuationSeparator" w:id="0">
    <w:p w:rsidR="00957971" w:rsidRDefault="00957971"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7239D6">
      <w:rPr>
        <w:noProof/>
        <w:lang w:val="lv-LV"/>
      </w:rPr>
      <w:t>IZMIzz_110520_VSS330</w:t>
    </w:r>
    <w:r>
      <w:rPr>
        <w:noProof/>
        <w:lang w:val="lv-LV"/>
      </w:rPr>
      <w:fldChar w:fldCharType="end"/>
    </w:r>
    <w:r w:rsidR="006F5D92" w:rsidRPr="00ED0A4B">
      <w:rPr>
        <w:lang w:val="lv-LV"/>
      </w:rPr>
      <w:t>;</w:t>
    </w:r>
    <w:r w:rsidR="006F5D92" w:rsidRPr="007B4FA4">
      <w:rPr>
        <w:lang w:val="lv-LV"/>
      </w:rPr>
      <w:t xml:space="preserve"> </w:t>
    </w:r>
    <w:r w:rsidR="00E5781D" w:rsidRPr="00E5781D">
      <w:rPr>
        <w:lang w:val="lv-LV"/>
      </w:rPr>
      <w:t xml:space="preserve">Izziņa par atzinumos sniegtajiem iebildumiem par Ministru kabineta rīkojuma projektu </w:t>
    </w:r>
    <w:r w:rsidR="00B26BD0" w:rsidRPr="00B26BD0">
      <w:rPr>
        <w:lang w:val="lv-LV"/>
      </w:rPr>
      <w:t>Par valsts nekustamā īpašuma „Trīsstūris” Cīravas pagastā, Aizputes novadā, nodošanu bez atlīdzības Aizputes novada pašvaldības īpašumā” (VSS-330)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7239D6">
      <w:rPr>
        <w:noProof/>
        <w:lang w:val="lv-LV"/>
      </w:rPr>
      <w:t>IZMIzz_110520_VSS330</w:t>
    </w:r>
    <w:r>
      <w:rPr>
        <w:noProof/>
        <w:lang w:val="lv-LV"/>
      </w:rPr>
      <w:fldChar w:fldCharType="end"/>
    </w:r>
    <w:r w:rsidR="00E5781D">
      <w:t xml:space="preserve">; </w:t>
    </w:r>
    <w:r w:rsidR="00D00534" w:rsidRPr="00D00534">
      <w:rPr>
        <w:lang w:val="lv-LV"/>
      </w:rPr>
      <w:t xml:space="preserve">Izziņa par atzinumos sniegtajiem iebildumiem par Ministru kabineta rīkojuma projektu </w:t>
    </w:r>
    <w:r w:rsidR="00B26BD0" w:rsidRPr="00B26BD0">
      <w:rPr>
        <w:lang w:val="lv-LV"/>
      </w:rPr>
      <w:t>Par valsts nekustamā īpašuma „Trīsstūris” Cīravas pagastā, Aizputes novadā, nodošanu bez atlīdzības Aizputes novada pašvaldības īpašumā” (VSS-330)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71" w:rsidRDefault="00957971" w:rsidP="007357F6">
      <w:r>
        <w:separator/>
      </w:r>
    </w:p>
  </w:footnote>
  <w:footnote w:type="continuationSeparator" w:id="0">
    <w:p w:rsidR="00957971" w:rsidRDefault="00957971"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BBB">
      <w:rPr>
        <w:rStyle w:val="PageNumber"/>
        <w:noProof/>
      </w:rPr>
      <w:t>2</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5BFC"/>
    <w:rsid w:val="00066187"/>
    <w:rsid w:val="000664D7"/>
    <w:rsid w:val="00066965"/>
    <w:rsid w:val="0006698B"/>
    <w:rsid w:val="00074ED3"/>
    <w:rsid w:val="00075086"/>
    <w:rsid w:val="00076A62"/>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1137"/>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47523"/>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288"/>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AAF"/>
    <w:rsid w:val="002645EA"/>
    <w:rsid w:val="002657D5"/>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468"/>
    <w:rsid w:val="002B7D0E"/>
    <w:rsid w:val="002C0157"/>
    <w:rsid w:val="002C14D9"/>
    <w:rsid w:val="002C1613"/>
    <w:rsid w:val="002C18C8"/>
    <w:rsid w:val="002C36F1"/>
    <w:rsid w:val="002C4724"/>
    <w:rsid w:val="002C6762"/>
    <w:rsid w:val="002C6CF9"/>
    <w:rsid w:val="002D03DB"/>
    <w:rsid w:val="002D11C8"/>
    <w:rsid w:val="002D1D2F"/>
    <w:rsid w:val="002D1F3C"/>
    <w:rsid w:val="002D310C"/>
    <w:rsid w:val="002D4144"/>
    <w:rsid w:val="002D462E"/>
    <w:rsid w:val="002D5A7B"/>
    <w:rsid w:val="002D6BB1"/>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30456"/>
    <w:rsid w:val="00330C0E"/>
    <w:rsid w:val="00333185"/>
    <w:rsid w:val="003340BC"/>
    <w:rsid w:val="00334630"/>
    <w:rsid w:val="00335848"/>
    <w:rsid w:val="00336289"/>
    <w:rsid w:val="00341317"/>
    <w:rsid w:val="00342DA4"/>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0C57"/>
    <w:rsid w:val="003A1668"/>
    <w:rsid w:val="003A2944"/>
    <w:rsid w:val="003A7882"/>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36F98"/>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5CF4"/>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39D6"/>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3AB1"/>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471"/>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B7BBB"/>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377"/>
    <w:rsid w:val="00B1374D"/>
    <w:rsid w:val="00B144A9"/>
    <w:rsid w:val="00B157C6"/>
    <w:rsid w:val="00B15C56"/>
    <w:rsid w:val="00B17A2B"/>
    <w:rsid w:val="00B22378"/>
    <w:rsid w:val="00B229CC"/>
    <w:rsid w:val="00B23ED8"/>
    <w:rsid w:val="00B26BD0"/>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0782-F33A-40DA-A901-005A00B2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2192</Words>
  <Characters>1251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„Trīsstūris” Cīravas pagastā, Aizputes novadā, nodošanu bez atlīdzības Aizputes novada pašvaldības īpašumā” (VSS-330) </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„Trīsstūris” Cīravas pagastā, Aizputes novadā, nodošanu bez atlīdzības Aizputes novada pašvaldības īpašumā” (VSS-330) </dc:title>
  <dc:subject>IZMizz_110520_VSS330</dc:subject>
  <dc:creator>I.Rozenštoka</dc:creator>
  <cp:keywords>VSS330</cp:keywords>
  <dc:description>ilze.rozenstoka@izm.gov.lv_x000d_
67047765</dc:description>
  <cp:lastModifiedBy>Ilze Rozenštoka</cp:lastModifiedBy>
  <cp:revision>12</cp:revision>
  <cp:lastPrinted>2017-04-19T13:41:00Z</cp:lastPrinted>
  <dcterms:created xsi:type="dcterms:W3CDTF">2020-05-11T10:26:00Z</dcterms:created>
  <dcterms:modified xsi:type="dcterms:W3CDTF">2020-05-11T11:24:00Z</dcterms:modified>
  <cp:category>Izziņa</cp:category>
</cp:coreProperties>
</file>