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018CBA3E"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B67BFB" w:rsidRPr="00FD75C9">
        <w:rPr>
          <w:rFonts w:ascii="Times New Roman" w:hAnsi="Times New Roman"/>
          <w:sz w:val="26"/>
          <w:szCs w:val="26"/>
        </w:rPr>
        <w:t>„</w:t>
      </w:r>
      <w:r w:rsidR="00FD75C9" w:rsidRPr="00FD75C9">
        <w:rPr>
          <w:rFonts w:ascii="Times New Roman" w:hAnsi="Times New Roman"/>
          <w:sz w:val="26"/>
          <w:szCs w:val="26"/>
        </w:rPr>
        <w:t xml:space="preserve"> </w:t>
      </w:r>
      <w:r w:rsidR="00FD75C9" w:rsidRPr="00FD75C9">
        <w:rPr>
          <w:rFonts w:ascii="Times New Roman" w:hAnsi="Times New Roman"/>
          <w:bCs w:val="0"/>
          <w:sz w:val="26"/>
          <w:szCs w:val="26"/>
        </w:rPr>
        <w:t xml:space="preserve">Grozījumi Ministru kabineta 2016. gada </w:t>
      </w:r>
      <w:r w:rsidR="004823AA">
        <w:rPr>
          <w:rFonts w:ascii="Times New Roman" w:hAnsi="Times New Roman"/>
          <w:bCs w:val="0"/>
          <w:sz w:val="26"/>
          <w:szCs w:val="26"/>
        </w:rPr>
        <w:t xml:space="preserve">15. jūlija noteikumos Nr. 477 </w:t>
      </w:r>
      <w:r w:rsidR="004823AA" w:rsidRPr="004823AA">
        <w:rPr>
          <w:rFonts w:ascii="Times New Roman" w:hAnsi="Times New Roman"/>
          <w:bCs w:val="0"/>
          <w:sz w:val="26"/>
          <w:szCs w:val="26"/>
        </w:rPr>
        <w:t>“Speciālās izglītības iestāžu un vispārējās izglītības iestāžu speciālās izglītības klašu (grupu) finansēšanas kārtība”</w:t>
      </w:r>
      <w:r w:rsidR="00B67BFB" w:rsidRPr="00FD75C9">
        <w:rPr>
          <w:rFonts w:ascii="Times New Roman" w:hAnsi="Times New Roman"/>
          <w:sz w:val="26"/>
          <w:szCs w:val="26"/>
        </w:rPr>
        <w:t xml:space="preserve">” </w:t>
      </w:r>
      <w:r w:rsidRPr="00BC65C7">
        <w:rPr>
          <w:rFonts w:ascii="Times New Roman" w:hAnsi="Times New Roman"/>
          <w:sz w:val="26"/>
          <w:szCs w:val="26"/>
        </w:rPr>
        <w:t>un tam pievienoto sākotnējās ietekmes novērtējuma ziņojumu (anotācija)</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bl>
    <w:p w14:paraId="3C26C24F" w14:textId="77777777" w:rsidR="00D7667F" w:rsidRPr="009F5AFE" w:rsidRDefault="00D7667F" w:rsidP="00D7667F">
      <w:pPr>
        <w:jc w:val="center"/>
      </w:pPr>
    </w:p>
    <w:p w14:paraId="35F92CA3" w14:textId="77777777" w:rsidR="00D56974" w:rsidRPr="00D56974" w:rsidRDefault="00D56974" w:rsidP="00D56974">
      <w:pPr>
        <w:ind w:firstLine="375"/>
        <w:jc w:val="both"/>
        <w:rPr>
          <w:b/>
        </w:rPr>
      </w:pPr>
    </w:p>
    <w:p w14:paraId="33323E2F" w14:textId="77777777" w:rsidR="00D56974" w:rsidRPr="00D56974" w:rsidRDefault="00D56974" w:rsidP="00D56974">
      <w:pPr>
        <w:ind w:firstLine="375"/>
        <w:jc w:val="center"/>
        <w:rPr>
          <w:b/>
        </w:rPr>
      </w:pPr>
      <w:r w:rsidRPr="00D56974">
        <w:rPr>
          <w:b/>
        </w:rPr>
        <w:t xml:space="preserve">Informācija par </w:t>
      </w:r>
      <w:proofErr w:type="spellStart"/>
      <w:r w:rsidRPr="00D56974">
        <w:rPr>
          <w:b/>
        </w:rPr>
        <w:t>starpministriju</w:t>
      </w:r>
      <w:proofErr w:type="spellEnd"/>
      <w:r w:rsidRPr="00D56974">
        <w:rPr>
          <w:b/>
        </w:rPr>
        <w:t xml:space="preserve">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31AF1F5D" w:rsidR="00D56974" w:rsidRPr="00D56974" w:rsidRDefault="00457D84" w:rsidP="003A316E">
            <w:r>
              <w:t xml:space="preserve">2020. gada </w:t>
            </w:r>
            <w:r w:rsidR="00C10D29">
              <w:t>8. jūnijā izsūtīts elektroniskai saskaņošanai.</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37AF8440" w:rsidR="00D56974" w:rsidRPr="00D56974" w:rsidRDefault="00457D84" w:rsidP="00A72807">
            <w:pPr>
              <w:jc w:val="both"/>
            </w:pPr>
            <w:r>
              <w:t>Finanšu ministrija, Tieslietu ministrija</w:t>
            </w:r>
            <w:r w:rsidRPr="00457D84">
              <w:t>, Latvijas Izglītības un z</w:t>
            </w:r>
            <w:r>
              <w:t>inātnes darbinieku arodbiedrība, Latvijas Pašvaldību savienība</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61BA3FBA" w:rsidR="00D56974" w:rsidRPr="00D56974" w:rsidRDefault="006372B1" w:rsidP="00E43B52">
            <w:pPr>
              <w:autoSpaceDE w:val="0"/>
              <w:autoSpaceDN w:val="0"/>
              <w:adjustRightInd w:val="0"/>
              <w:jc w:val="both"/>
              <w:rPr>
                <w:color w:val="000000"/>
              </w:rPr>
            </w:pPr>
            <w:r>
              <w:rPr>
                <w:color w:val="000000"/>
              </w:rPr>
              <w:t xml:space="preserve">Tieslietu ministrijas, </w:t>
            </w:r>
            <w:r w:rsidRPr="006372B1">
              <w:rPr>
                <w:color w:val="000000"/>
              </w:rPr>
              <w:t>Latvijas Izglītības un zinātnes</w:t>
            </w:r>
            <w:r>
              <w:rPr>
                <w:color w:val="000000"/>
              </w:rPr>
              <w:t xml:space="preserve"> darbinieku arodbiedrības</w:t>
            </w:r>
            <w:r w:rsidR="00C10D29">
              <w:rPr>
                <w:color w:val="000000"/>
              </w:rPr>
              <w:t>, Latvijas Lielo pilsētu asociācijas</w:t>
            </w: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54D40203" w:rsidR="00D56974" w:rsidRPr="003055E0" w:rsidRDefault="00D56974" w:rsidP="00D56974">
            <w:pPr>
              <w:autoSpaceDE w:val="0"/>
              <w:autoSpaceDN w:val="0"/>
              <w:adjustRightInd w:val="0"/>
              <w:jc w:val="both"/>
              <w:rPr>
                <w:u w:val="single"/>
              </w:rPr>
            </w:pPr>
          </w:p>
        </w:tc>
      </w:tr>
    </w:tbl>
    <w:p w14:paraId="389F92EA" w14:textId="77777777" w:rsidR="004A3DE9" w:rsidRDefault="004A3DE9"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4B2B5194" w14:textId="77777777" w:rsidR="00C052AE" w:rsidRPr="0052064D" w:rsidRDefault="00C052AE" w:rsidP="00C052AE">
      <w:pPr>
        <w:pStyle w:val="naisf"/>
        <w:numPr>
          <w:ilvl w:val="0"/>
          <w:numId w:val="1"/>
        </w:numPr>
        <w:shd w:val="clear" w:color="auto" w:fill="FFFFFF"/>
        <w:spacing w:before="0" w:after="0"/>
        <w:jc w:val="center"/>
        <w:rPr>
          <w:b/>
        </w:rPr>
      </w:pPr>
      <w:r w:rsidRPr="0052064D">
        <w:rPr>
          <w:b/>
        </w:rPr>
        <w:t xml:space="preserve">Jautājumi, par kuriem saskaņošanā vienošanās </w:t>
      </w:r>
      <w:r>
        <w:rPr>
          <w:b/>
        </w:rPr>
        <w:t xml:space="preserve">ir </w:t>
      </w:r>
      <w:r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431"/>
        <w:gridCol w:w="3402"/>
        <w:gridCol w:w="3823"/>
        <w:gridCol w:w="3123"/>
      </w:tblGrid>
      <w:tr w:rsidR="00C052AE" w:rsidRPr="0052064D" w14:paraId="5ADBAB37" w14:textId="77777777" w:rsidTr="002A454A">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3431"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402"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823"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123"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2A454A">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3431"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402"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3823"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3123"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bl>
    <w:p w14:paraId="375E61EF" w14:textId="3C01B1D6" w:rsidR="00E826D7" w:rsidRPr="00D85559" w:rsidRDefault="00D85559" w:rsidP="00E826D7">
      <w:pPr>
        <w:jc w:val="center"/>
        <w:rPr>
          <w:b/>
        </w:rPr>
      </w:pPr>
      <w:r w:rsidRPr="00D85559">
        <w:rPr>
          <w:b/>
        </w:rPr>
        <w:t>Tieslietu ministrija</w:t>
      </w: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3827"/>
        <w:gridCol w:w="3261"/>
        <w:gridCol w:w="3260"/>
      </w:tblGrid>
      <w:tr w:rsidR="008D1463" w:rsidRPr="0052064D" w14:paraId="4EA74BE5"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ADFD54E" w14:textId="77777777" w:rsidR="008D1463" w:rsidRPr="00CF624B" w:rsidRDefault="00CF624B" w:rsidP="008D1463">
            <w:pPr>
              <w:shd w:val="clear" w:color="auto" w:fill="FFFFFF"/>
              <w:jc w:val="center"/>
              <w:rPr>
                <w:b/>
              </w:rPr>
            </w:pPr>
            <w:r w:rsidRPr="00CF624B">
              <w:rPr>
                <w:b/>
              </w:rPr>
              <w:t>1.</w:t>
            </w:r>
          </w:p>
        </w:tc>
        <w:tc>
          <w:tcPr>
            <w:tcW w:w="3431" w:type="dxa"/>
            <w:tcBorders>
              <w:top w:val="single" w:sz="4" w:space="0" w:color="000000"/>
              <w:left w:val="single" w:sz="4" w:space="0" w:color="000000"/>
              <w:bottom w:val="single" w:sz="4" w:space="0" w:color="000000"/>
              <w:right w:val="single" w:sz="4" w:space="0" w:color="000000"/>
            </w:tcBorders>
          </w:tcPr>
          <w:p w14:paraId="3806F61E" w14:textId="77777777" w:rsidR="008D1463" w:rsidRPr="0052064D" w:rsidRDefault="008D1463" w:rsidP="008D1463">
            <w:pPr>
              <w:shd w:val="clear" w:color="auto" w:fill="FFFFFF"/>
              <w:jc w:val="both"/>
              <w:rPr>
                <w:b/>
              </w:rPr>
            </w:pPr>
          </w:p>
        </w:tc>
        <w:tc>
          <w:tcPr>
            <w:tcW w:w="3827" w:type="dxa"/>
            <w:tcBorders>
              <w:top w:val="single" w:sz="4" w:space="0" w:color="000000"/>
              <w:left w:val="single" w:sz="4" w:space="0" w:color="000000"/>
              <w:bottom w:val="single" w:sz="4" w:space="0" w:color="000000"/>
              <w:right w:val="single" w:sz="4" w:space="0" w:color="000000"/>
            </w:tcBorders>
          </w:tcPr>
          <w:p w14:paraId="7E1C9C22" w14:textId="6EB53DBC" w:rsidR="008D1463" w:rsidRPr="005A6E3A" w:rsidRDefault="00D85559" w:rsidP="008D1463">
            <w:pPr>
              <w:shd w:val="clear" w:color="auto" w:fill="FFFFFF"/>
              <w:jc w:val="both"/>
            </w:pPr>
            <w:r w:rsidRPr="00D85559">
              <w:t>Ņemot vērā to, ka uz šīm trim izglītības iestādēm būs nepieciešams piemērot izglītības iestāžu finansēšanas noteikumus, ir pamatoti attiecīgo pārejas regulējumu iekļaut izglītības iestāžu finansēšanas noteikumos, līdz ar to šādu regulējumu nav nepieciešams dublēt speciālo izglītības iestāžu noteikumos. Ņemot vērā minēto, lūdzam svītrot projekta par speciālo izglītības iestāžu finansēšanu 1.10. apakšpunktu un attiecīgi precizēt projekta par speciālo izglītības iestāžu finansēšanu anotāciju.</w:t>
            </w:r>
          </w:p>
        </w:tc>
        <w:tc>
          <w:tcPr>
            <w:tcW w:w="3261" w:type="dxa"/>
            <w:tcBorders>
              <w:top w:val="single" w:sz="4" w:space="0" w:color="000000"/>
              <w:left w:val="single" w:sz="4" w:space="0" w:color="000000"/>
              <w:bottom w:val="single" w:sz="4" w:space="0" w:color="000000"/>
              <w:right w:val="single" w:sz="4" w:space="0" w:color="000000"/>
            </w:tcBorders>
          </w:tcPr>
          <w:p w14:paraId="17CF874E" w14:textId="77777777" w:rsidR="008D1463" w:rsidRDefault="00D85559" w:rsidP="003A316E">
            <w:pPr>
              <w:shd w:val="clear" w:color="auto" w:fill="FFFFFF"/>
              <w:jc w:val="both"/>
              <w:rPr>
                <w:b/>
              </w:rPr>
            </w:pPr>
            <w:r>
              <w:rPr>
                <w:b/>
              </w:rPr>
              <w:t>Ņemts vērā.</w:t>
            </w:r>
          </w:p>
          <w:p w14:paraId="695235B4" w14:textId="4B0F90DA" w:rsidR="00D85559" w:rsidRDefault="00D85559" w:rsidP="00D85559">
            <w:pPr>
              <w:shd w:val="clear" w:color="auto" w:fill="FFFFFF"/>
              <w:jc w:val="both"/>
            </w:pPr>
            <w:r w:rsidRPr="00D85559">
              <w:t xml:space="preserve">No noteikumu projekta svītrots 1.10. apakšpunkts, kurā </w:t>
            </w:r>
            <w:r>
              <w:t xml:space="preserve"> bija plānots papildināt noteikumus ar 22.</w:t>
            </w:r>
            <w:r w:rsidRPr="00D85559">
              <w:rPr>
                <w:vertAlign w:val="superscript"/>
              </w:rPr>
              <w:t>3</w:t>
            </w:r>
            <w:r>
              <w:t xml:space="preserve"> punktu šādā redakcijā:</w:t>
            </w:r>
          </w:p>
          <w:p w14:paraId="11E3271D" w14:textId="77777777" w:rsidR="00D85559" w:rsidRDefault="00D85559" w:rsidP="00D85559">
            <w:pPr>
              <w:shd w:val="clear" w:color="auto" w:fill="FFFFFF"/>
              <w:jc w:val="both"/>
            </w:pPr>
          </w:p>
          <w:p w14:paraId="2A9ED03F" w14:textId="52604C84" w:rsidR="00D85559" w:rsidRPr="00D85559" w:rsidRDefault="00D85559" w:rsidP="00D85559">
            <w:pPr>
              <w:shd w:val="clear" w:color="auto" w:fill="FFFFFF"/>
              <w:jc w:val="both"/>
            </w:pPr>
            <w:r>
              <w:t>“22.</w:t>
            </w:r>
            <w:r w:rsidRPr="00D85559">
              <w:rPr>
                <w:vertAlign w:val="superscript"/>
              </w:rPr>
              <w:t>3</w:t>
            </w:r>
            <w:r>
              <w:t xml:space="preserve"> Ja pašvaldība līdz 2020. gada 31. augustam ir pieņēmusi lēmumu par speciālās izglītības iestādes veida maiņu no speciālās izglītības iestādes uz vispārējās izglītības iestādi un izglītības iestāde pēc minētā datuma turpina īstenot speciālās izglītības programmas, tad mērķdotāciju pedagogu darba samaksai no 2020. gada 1. septembra līdz 2023. gada 31. augustam ministrija aprēķina saskaņā ar šo noteikumu 8. </w:t>
            </w:r>
            <w:r>
              <w:lastRenderedPageBreak/>
              <w:t>punktu, 9.2. apakšpunktu un 12. punktu.”;</w:t>
            </w:r>
          </w:p>
        </w:tc>
        <w:tc>
          <w:tcPr>
            <w:tcW w:w="3260" w:type="dxa"/>
            <w:tcBorders>
              <w:top w:val="single" w:sz="4" w:space="0" w:color="000000"/>
              <w:left w:val="single" w:sz="4" w:space="0" w:color="000000"/>
              <w:bottom w:val="single" w:sz="4" w:space="0" w:color="000000"/>
              <w:right w:val="single" w:sz="4" w:space="0" w:color="000000"/>
            </w:tcBorders>
          </w:tcPr>
          <w:p w14:paraId="22771D2F" w14:textId="268881A0" w:rsidR="008D1463" w:rsidRPr="00E826D7" w:rsidRDefault="008D1463" w:rsidP="00063692">
            <w:pPr>
              <w:jc w:val="both"/>
            </w:pPr>
          </w:p>
        </w:tc>
      </w:tr>
      <w:tr w:rsidR="006372B1" w:rsidRPr="0052064D" w14:paraId="5FE6AAB8" w14:textId="77777777" w:rsidTr="00A94F12">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1C220356" w14:textId="31F4B595" w:rsidR="006372B1" w:rsidRPr="006372B1" w:rsidRDefault="006372B1" w:rsidP="006372B1">
            <w:pPr>
              <w:jc w:val="center"/>
              <w:rPr>
                <w:b/>
              </w:rPr>
            </w:pPr>
            <w:r w:rsidRPr="006372B1">
              <w:rPr>
                <w:b/>
              </w:rPr>
              <w:t>Latvijas Izglītības un zinātnes darbinieku arodbiedrība</w:t>
            </w:r>
            <w:r>
              <w:rPr>
                <w:b/>
              </w:rPr>
              <w:t xml:space="preserve"> (LIZDA)</w:t>
            </w:r>
          </w:p>
        </w:tc>
      </w:tr>
      <w:tr w:rsidR="006372B1" w:rsidRPr="0052064D" w14:paraId="28E42E7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BD9790A" w14:textId="15C1056E" w:rsidR="006372B1" w:rsidRPr="00CF624B" w:rsidRDefault="006372B1" w:rsidP="008D1463">
            <w:pPr>
              <w:shd w:val="clear" w:color="auto" w:fill="FFFFFF"/>
              <w:jc w:val="center"/>
              <w:rPr>
                <w:b/>
              </w:rPr>
            </w:pPr>
            <w:r>
              <w:rPr>
                <w:b/>
              </w:rPr>
              <w:t>2.</w:t>
            </w:r>
          </w:p>
        </w:tc>
        <w:tc>
          <w:tcPr>
            <w:tcW w:w="3431" w:type="dxa"/>
            <w:tcBorders>
              <w:top w:val="single" w:sz="4" w:space="0" w:color="000000"/>
              <w:left w:val="single" w:sz="4" w:space="0" w:color="000000"/>
              <w:bottom w:val="single" w:sz="4" w:space="0" w:color="000000"/>
              <w:right w:val="single" w:sz="4" w:space="0" w:color="000000"/>
            </w:tcBorders>
          </w:tcPr>
          <w:p w14:paraId="2ACEDAA2" w14:textId="77777777" w:rsidR="006372B1" w:rsidRPr="006372B1" w:rsidRDefault="006372B1" w:rsidP="006372B1">
            <w:pPr>
              <w:shd w:val="clear" w:color="auto" w:fill="FFFFFF"/>
              <w:jc w:val="both"/>
            </w:pPr>
            <w:r w:rsidRPr="006372B1">
              <w:t>4. Šo noteikumu 2.1. apakšpunktā minēto izglītības iestāžu uzturēšanas izdevumus 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(gadā) vienam speciālās izglītības iestādes izglītojamam atbilstoši šo noteikumu 1. pielikumam, piemērojot šādus koeficientus:</w:t>
            </w:r>
          </w:p>
          <w:p w14:paraId="5CA638B0" w14:textId="77777777" w:rsidR="006372B1" w:rsidRPr="006372B1" w:rsidRDefault="006372B1" w:rsidP="006372B1">
            <w:pPr>
              <w:shd w:val="clear" w:color="auto" w:fill="FFFFFF"/>
              <w:jc w:val="both"/>
            </w:pPr>
            <w:r w:rsidRPr="006372B1">
              <w:t>4.1. izglītojamam, kurš saņem internāta pakalpojumus visu diennakti mācību gada garumā  – 1,35;</w:t>
            </w:r>
          </w:p>
          <w:p w14:paraId="01053094" w14:textId="6FD9AED9" w:rsidR="006372B1" w:rsidRPr="0052064D" w:rsidRDefault="006372B1" w:rsidP="006372B1">
            <w:pPr>
              <w:shd w:val="clear" w:color="auto" w:fill="FFFFFF"/>
              <w:jc w:val="both"/>
              <w:rPr>
                <w:b/>
              </w:rPr>
            </w:pPr>
            <w:r w:rsidRPr="006372B1">
              <w:t>4.2. izglītojamam, kurš nesaņem internāta pakalpojumus, – 0,85.</w:t>
            </w:r>
          </w:p>
        </w:tc>
        <w:tc>
          <w:tcPr>
            <w:tcW w:w="3827" w:type="dxa"/>
            <w:tcBorders>
              <w:top w:val="single" w:sz="4" w:space="0" w:color="000000"/>
              <w:left w:val="single" w:sz="4" w:space="0" w:color="000000"/>
              <w:bottom w:val="single" w:sz="4" w:space="0" w:color="000000"/>
              <w:right w:val="single" w:sz="4" w:space="0" w:color="000000"/>
            </w:tcBorders>
          </w:tcPr>
          <w:p w14:paraId="0DBD4E45" w14:textId="77777777" w:rsidR="006372B1" w:rsidRDefault="006372B1" w:rsidP="006372B1">
            <w:pPr>
              <w:shd w:val="clear" w:color="auto" w:fill="FFFFFF"/>
              <w:jc w:val="both"/>
            </w:pPr>
            <w:r>
              <w:t>LIZDA izskatot grozījumu projektu un anotāciju rosina 1.3. grozījuma 4. punktu izteikt šādā redakcijā:</w:t>
            </w:r>
          </w:p>
          <w:p w14:paraId="32707646" w14:textId="77777777" w:rsidR="006372B1" w:rsidRDefault="006372B1" w:rsidP="006372B1">
            <w:pPr>
              <w:shd w:val="clear" w:color="auto" w:fill="FFFFFF"/>
              <w:jc w:val="both"/>
            </w:pPr>
            <w:r>
              <w:t>“4. Šo noteikumu 2.1. apakšpunktā minēto izglītības iestāžu uzturēšanas izdevumus 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(gadā) vienam speciālās izglītības iestādes izglītojamam atbilstoši šo noteikumu 1. pielikumam, piemērojot šādus koeficientus:</w:t>
            </w:r>
          </w:p>
          <w:p w14:paraId="1F7620AA" w14:textId="77777777" w:rsidR="006372B1" w:rsidRDefault="006372B1" w:rsidP="006372B1">
            <w:pPr>
              <w:shd w:val="clear" w:color="auto" w:fill="FFFFFF"/>
              <w:jc w:val="both"/>
            </w:pPr>
            <w:r>
              <w:t>4.1. izglītojamam, kurš saņem internāta pakalpojumus visu diennakti mācību gada garumā  – 1,35;</w:t>
            </w:r>
          </w:p>
          <w:p w14:paraId="11CFED4E" w14:textId="77777777" w:rsidR="006372B1" w:rsidRDefault="006372B1" w:rsidP="006372B1">
            <w:pPr>
              <w:shd w:val="clear" w:color="auto" w:fill="FFFFFF"/>
              <w:jc w:val="both"/>
            </w:pPr>
            <w:r>
              <w:t>4.2. izglītojamam, kurš nesaņem internāta pakalpojumus – 1,2.”;</w:t>
            </w:r>
          </w:p>
          <w:p w14:paraId="70CF911D" w14:textId="77777777" w:rsidR="006372B1" w:rsidRDefault="006372B1" w:rsidP="006372B1">
            <w:pPr>
              <w:shd w:val="clear" w:color="auto" w:fill="FFFFFF"/>
              <w:jc w:val="both"/>
            </w:pPr>
            <w:r>
              <w:lastRenderedPageBreak/>
              <w:t xml:space="preserve">Anotācijā norādīts, ka grozījumu projekts precizē noteikumu Nr. 477 4. punktu, nosakot, ka speciālo izglītības iestāžu, kas nodrošina internāta pakalpojumus, uzturēšanas izdevumus no valsts budžeta sedz par speciālo izglītības programmu izglītojamiem, finansē, ievērojot uzturēšanas izdevumu normatīvu vienam speciālās izglītības iestādes izglītojamam, atbilstoši noteikumu 1. pielikumam, piemērojot koeficientus. Ja pašvaldības speciālā izglītības iestāde īsteno speciālo izglītības programmu izglītojamiem ar </w:t>
            </w:r>
            <w:proofErr w:type="spellStart"/>
            <w:r>
              <w:t>somatiskām</w:t>
            </w:r>
            <w:proofErr w:type="spellEnd"/>
            <w:r>
              <w:t xml:space="preserve"> saslimšanām, ar kustību traucējumiem, ar valodas traucējumiem vai mācīšanās traucējumiem, tad uzturēšanas izdevumi par minēto speciālo izglītības programmu izglītojamiem tiek segti no pašvaldību budžeta. Grozījumu projektā izglītojamam, kurš saņem internāta pakalpojumus visu diennakti mācību gada garumā  noteikts, ka koeficients ir 1.35, aprēķinot uzturēšanas izdevumus, tiek piemērots tikai tiem pašvaldību speciālo skolu izglītojamiem, kas internāta pakalpojumus izmanto visu </w:t>
            </w:r>
            <w:r>
              <w:lastRenderedPageBreak/>
              <w:t xml:space="preserve">diennakti mācību gada garumā. LIZDA eksperti norāda, ka speciālajās skolās nav pagarinātās grupas, bet skolēni, lielākā daļa pēc stundām paliek internāta grupās. Piemēram., daudzās skolās izglītojamie tiek izņemti pēc vecāku darba laika, ap plkst. 19.00 - 20.00. mazs īpatsvars ir izglītojamo, kurus vecāki var nogādāt  tūlīt pēc stundām uz dzīvesvietu.. Tieši šis laiks ir, kad skolotājs strādā ar visiem vienādi vai viņš nakšņo vai nenakšņo izglītības iestādē. Notiek pasākumi, mācību sagatavošana nākamajai dienai, brīvā laika pavadīšana internāta skolotāja vadībā. Arī tie, kuri dodas mājās plkst. 20.00 saņem izglītības iestādes  pakalpojumus. Ja IZM ieskatā tas nav internāta pakalpojums, tad jālūdz juristiem definēt un aktualizēt internāta pakalpojuma jēdzienu. Eksperti skaidro, ka izglītojamo izmaksas pa nakti  nav nozīmīgas, divas aukles ar minimālo mēneša algu. Eksperti uzskata, ka šīs nakšņošanas izmaksas samazina koeficientu par 0.15, tāpēc LIZDA iesaka izglītojamam, kurš nenakšņo internātā piemērot koeficientu  1,20. </w:t>
            </w:r>
          </w:p>
          <w:p w14:paraId="3F255D3B" w14:textId="65FF062F" w:rsidR="006372B1" w:rsidRPr="00D85559" w:rsidRDefault="006372B1" w:rsidP="006372B1">
            <w:pPr>
              <w:shd w:val="clear" w:color="auto" w:fill="FFFFFF"/>
              <w:jc w:val="both"/>
            </w:pPr>
            <w:r>
              <w:lastRenderedPageBreak/>
              <w:t>Norādām, ka speciālās izglītības iestādes pilda gan izglītošanas funkcijas, gan risina sociāli ekonomiskās situācijas sekas, palīdz integrēties sabiedrībā cilvēkiem ar īpašām vajadzībām, dod iespēju vecākiem apvienot darbu un bērniņa ar īpašām vajadzībām audzināšanu, izglītošanu, tāpēc jo īpaši būtu jānodrošina atbalsts šādām ģimenēm.</w:t>
            </w:r>
          </w:p>
        </w:tc>
        <w:tc>
          <w:tcPr>
            <w:tcW w:w="3261" w:type="dxa"/>
            <w:tcBorders>
              <w:top w:val="single" w:sz="4" w:space="0" w:color="000000"/>
              <w:left w:val="single" w:sz="4" w:space="0" w:color="000000"/>
              <w:bottom w:val="single" w:sz="4" w:space="0" w:color="000000"/>
              <w:right w:val="single" w:sz="4" w:space="0" w:color="000000"/>
            </w:tcBorders>
          </w:tcPr>
          <w:p w14:paraId="7A04DAE6" w14:textId="0BC81457" w:rsidR="006372B1" w:rsidRDefault="006372B1" w:rsidP="003A316E">
            <w:pPr>
              <w:shd w:val="clear" w:color="auto" w:fill="FFFFFF"/>
              <w:jc w:val="both"/>
              <w:rPr>
                <w:b/>
              </w:rPr>
            </w:pPr>
            <w:r>
              <w:rPr>
                <w:b/>
              </w:rPr>
              <w:lastRenderedPageBreak/>
              <w:t>Ņemts vērā, bet piedāvāts cits risinājums, iekļaujot 4.1. apakšpunkta formulējumā pašvaldības saskaņojumu izglītojamiem, kas izmanto internāta pakalpojumu.</w:t>
            </w:r>
          </w:p>
          <w:p w14:paraId="17767482" w14:textId="6F9559A2" w:rsidR="006372B1" w:rsidRPr="006372B1" w:rsidRDefault="006372B1" w:rsidP="00313BA7">
            <w:pPr>
              <w:shd w:val="clear" w:color="auto" w:fill="FFFFFF"/>
              <w:jc w:val="both"/>
            </w:pPr>
            <w:r w:rsidRPr="006372B1">
              <w:t xml:space="preserve">Mainīta attiecīgā punkta redakcija un </w:t>
            </w:r>
            <w:r w:rsidR="00313BA7">
              <w:t>precizēta</w:t>
            </w:r>
            <w:r w:rsidRPr="006372B1">
              <w:t xml:space="preserve"> anotācija</w:t>
            </w:r>
          </w:p>
        </w:tc>
        <w:tc>
          <w:tcPr>
            <w:tcW w:w="3260" w:type="dxa"/>
            <w:tcBorders>
              <w:top w:val="single" w:sz="4" w:space="0" w:color="000000"/>
              <w:left w:val="single" w:sz="4" w:space="0" w:color="000000"/>
              <w:bottom w:val="single" w:sz="4" w:space="0" w:color="000000"/>
              <w:right w:val="single" w:sz="4" w:space="0" w:color="000000"/>
            </w:tcBorders>
          </w:tcPr>
          <w:p w14:paraId="0C21DA51" w14:textId="77777777" w:rsidR="006372B1" w:rsidRDefault="006372B1" w:rsidP="006372B1">
            <w:pPr>
              <w:jc w:val="both"/>
            </w:pPr>
            <w:r>
              <w:t>“4. Šo noteikumu 2.1. apakšpunktā minēto izglītības iestāžu uzturēšanas izdevumus 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(gadā) vienam speciālās izglītības iestādes izglītojamam atbilstoši šo noteikumu 1. pielikumam, piemērojot šādus koeficientus:</w:t>
            </w:r>
          </w:p>
          <w:p w14:paraId="09C112DF" w14:textId="77777777" w:rsidR="006372B1" w:rsidRDefault="006372B1" w:rsidP="006372B1">
            <w:pPr>
              <w:jc w:val="both"/>
            </w:pPr>
            <w:r>
              <w:t xml:space="preserve">4.1. izglītojamam, </w:t>
            </w:r>
            <w:r w:rsidRPr="006372B1">
              <w:rPr>
                <w:b/>
              </w:rPr>
              <w:t xml:space="preserve">kura internāta pakalpojumu saņemšana saskaņota ar izglītības iestādes dibinātāju, </w:t>
            </w:r>
            <w:r>
              <w:t xml:space="preserve"> – 1,35;</w:t>
            </w:r>
          </w:p>
          <w:p w14:paraId="685F04C2" w14:textId="77777777" w:rsidR="006372B1" w:rsidRDefault="006372B1" w:rsidP="006372B1">
            <w:pPr>
              <w:jc w:val="both"/>
            </w:pPr>
            <w:r>
              <w:lastRenderedPageBreak/>
              <w:t>4.2. izglītojamam, kurš nesaņem internāta pakalpojumus, – 0,85.”;</w:t>
            </w:r>
          </w:p>
          <w:p w14:paraId="5A917D7A" w14:textId="77777777" w:rsidR="006372B1" w:rsidRDefault="006372B1" w:rsidP="006372B1">
            <w:pPr>
              <w:jc w:val="both"/>
            </w:pPr>
            <w:r>
              <w:t>Papildinājums anotācijā:</w:t>
            </w:r>
          </w:p>
          <w:p w14:paraId="28DBD026" w14:textId="77777777" w:rsidR="00313BA7" w:rsidRDefault="00313BA7" w:rsidP="00313BA7">
            <w:pPr>
              <w:jc w:val="both"/>
            </w:pPr>
            <w:r>
              <w:t xml:space="preserve">Analizējot Valsts izglītības informācijas sistēmas (turpmāk – VIIS) datus un apmeklējot speciālās skolas, jāsecina, ka vismaz 80% speciālo skolu, kas nodrošina internāta pakalpojumus, pastāv neatbilstība starp atzīmēm VIIS par izglītojamiem, kas izmanto internāta pakalpojumus, un speciālās skolas iespējām nodrošināt atbilstošo vietu skaitu internātā, kā arī izglītojamiem, kas realitātē izmanto internāta pakalpojumus.  Piemēram: Rīgas 1. pamatskolai-attīstības centram VIIS atzīmēts, ka internāta pakalpojumus izmanto 99% no visiem 215 izglītojamiem, Rīgas Daugavas pamatskolā internāta pakalpojumus izmanto 97% no 326 izglītojamiem un Rīgas 5. pamatskolā-attīstības centrā internāta pakalpojumus </w:t>
            </w:r>
            <w:r>
              <w:lastRenderedPageBreak/>
              <w:t xml:space="preserve">izmanto 95% no 295 izglītojamiem. Minēto Rīgas speciālo skolu gadījumā jāsecina, ka, ņemot vērā lielo izglītojamo skaitu, par kuriem VIIS izdarītas atzīmes par internāta pakalpojuma izmantošanu, izglītojamie visu diennakti neizmanto internāta pakalpojumu, t. i. nenakšņo skolas internātā. </w:t>
            </w:r>
          </w:p>
          <w:p w14:paraId="36605686" w14:textId="13CCFC54" w:rsidR="006372B1" w:rsidRPr="00E826D7" w:rsidRDefault="00313BA7" w:rsidP="00313BA7">
            <w:pPr>
              <w:jc w:val="both"/>
            </w:pPr>
            <w:r>
              <w:t xml:space="preserve">Lai stiprinātu izglītības iestādes  un pašvaldības atbildību par valsts finansējuma uzturēšanas izdevumiem efektīvu un mērķim atbilstošu izlietojumu, Projekts paredz precizēt noteikumu Nr. 477 4.1. apakšpunktu, nosakot, ka koeficients 1,35, aprēķinot uzturēšanas izdevumus, tiek piemērots tiem pašvaldību speciālo skolu izglītojamiem, kuru internāta pakalpojumu saņemšana saskaņota ar izglītības iestādes dibinātāju. Pašvaldības deleģētais pārstāvis saskaņošanu veic VIIS, atbilstoši noteikumu Nr. 477 3. punktam saskaņojot izglītojamo </w:t>
            </w:r>
            <w:r>
              <w:lastRenderedPageBreak/>
              <w:t>skaitu izglītības iestādē, tai skaitā arī izglītojamo skaitu, kas izmanto internāta pakalpojumu.</w:t>
            </w:r>
          </w:p>
        </w:tc>
      </w:tr>
      <w:tr w:rsidR="00313BA7" w:rsidRPr="0052064D" w14:paraId="06ABE47A" w14:textId="77777777" w:rsidTr="00D2294D">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0824CBD2" w14:textId="7E1484CE" w:rsidR="00313BA7" w:rsidRPr="00313BA7" w:rsidRDefault="00313BA7" w:rsidP="00313BA7">
            <w:pPr>
              <w:jc w:val="center"/>
              <w:rPr>
                <w:b/>
              </w:rPr>
            </w:pPr>
            <w:r w:rsidRPr="00313BA7">
              <w:rPr>
                <w:b/>
              </w:rPr>
              <w:lastRenderedPageBreak/>
              <w:t>Latvijas Lielo pilsētu asociācija</w:t>
            </w:r>
          </w:p>
        </w:tc>
      </w:tr>
      <w:tr w:rsidR="00313BA7" w:rsidRPr="0052064D" w14:paraId="55A85F07"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6612869" w14:textId="2652EF7B" w:rsidR="00313BA7" w:rsidRDefault="00C10D29" w:rsidP="008D1463">
            <w:pPr>
              <w:shd w:val="clear" w:color="auto" w:fill="FFFFFF"/>
              <w:jc w:val="center"/>
              <w:rPr>
                <w:b/>
              </w:rPr>
            </w:pPr>
            <w:r>
              <w:rPr>
                <w:b/>
              </w:rPr>
              <w:t>2.</w:t>
            </w:r>
          </w:p>
        </w:tc>
        <w:tc>
          <w:tcPr>
            <w:tcW w:w="3431" w:type="dxa"/>
            <w:tcBorders>
              <w:top w:val="single" w:sz="4" w:space="0" w:color="000000"/>
              <w:left w:val="single" w:sz="4" w:space="0" w:color="000000"/>
              <w:bottom w:val="single" w:sz="4" w:space="0" w:color="000000"/>
              <w:right w:val="single" w:sz="4" w:space="0" w:color="000000"/>
            </w:tcBorders>
          </w:tcPr>
          <w:p w14:paraId="4F825EF1" w14:textId="77777777" w:rsidR="00313BA7" w:rsidRDefault="00313BA7" w:rsidP="00313BA7">
            <w:pPr>
              <w:shd w:val="clear" w:color="auto" w:fill="FFFFFF"/>
              <w:jc w:val="both"/>
            </w:pPr>
            <w:r>
              <w:t>1.3. izteikt 4. punktu šādā redakcijā:</w:t>
            </w:r>
          </w:p>
          <w:p w14:paraId="5781160C" w14:textId="77777777" w:rsidR="00313BA7" w:rsidRDefault="00313BA7" w:rsidP="00313BA7">
            <w:pPr>
              <w:shd w:val="clear" w:color="auto" w:fill="FFFFFF"/>
              <w:jc w:val="both"/>
            </w:pPr>
            <w:r>
              <w:t xml:space="preserve">“4. Šo noteikumu 2.1. apakšpunktā minēto izglītības iestāžu uzturēšanas izdevumus 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(gadā) vienam speciālās izglītības </w:t>
            </w:r>
            <w:r>
              <w:lastRenderedPageBreak/>
              <w:t>iestādes izglītojamam atbilstoši šo noteikumu 1. pielikumam, piemērojot šādus koeficientus:</w:t>
            </w:r>
          </w:p>
          <w:p w14:paraId="0E37A3AD" w14:textId="77777777" w:rsidR="00313BA7" w:rsidRDefault="00313BA7" w:rsidP="00313BA7">
            <w:pPr>
              <w:shd w:val="clear" w:color="auto" w:fill="FFFFFF"/>
              <w:jc w:val="both"/>
            </w:pPr>
            <w:r>
              <w:t>4.1. izglītojamam, kura internāta pakalpojumu saņemšana saskaņota ar izglītības iestādes dibinātāju,  – 1,35;</w:t>
            </w:r>
          </w:p>
          <w:p w14:paraId="18582DF2" w14:textId="078EEB1C" w:rsidR="00313BA7" w:rsidRPr="006372B1" w:rsidRDefault="00313BA7" w:rsidP="00313BA7">
            <w:pPr>
              <w:shd w:val="clear" w:color="auto" w:fill="FFFFFF"/>
              <w:jc w:val="both"/>
            </w:pPr>
            <w:r>
              <w:t>4.2. izglītojamam, kurš nesaņem internāta pakalpojumus, – 0,85.”;</w:t>
            </w:r>
          </w:p>
        </w:tc>
        <w:tc>
          <w:tcPr>
            <w:tcW w:w="3827" w:type="dxa"/>
            <w:tcBorders>
              <w:top w:val="single" w:sz="4" w:space="0" w:color="000000"/>
              <w:left w:val="single" w:sz="4" w:space="0" w:color="000000"/>
              <w:bottom w:val="single" w:sz="4" w:space="0" w:color="000000"/>
              <w:right w:val="single" w:sz="4" w:space="0" w:color="000000"/>
            </w:tcBorders>
          </w:tcPr>
          <w:p w14:paraId="17F93DBF" w14:textId="77777777" w:rsidR="00313BA7" w:rsidRDefault="00313BA7" w:rsidP="00313BA7">
            <w:pPr>
              <w:shd w:val="clear" w:color="auto" w:fill="FFFFFF"/>
              <w:jc w:val="both"/>
            </w:pPr>
            <w:r>
              <w:lastRenderedPageBreak/>
              <w:t xml:space="preserve">Iebilstam pret piedāvāto redakciju. Internāts nenozīmē tikai </w:t>
            </w:r>
            <w:proofErr w:type="spellStart"/>
            <w:r>
              <w:t>naksņošanas</w:t>
            </w:r>
            <w:proofErr w:type="spellEnd"/>
            <w:r>
              <w:t xml:space="preserve"> un vakara pieskatīšanas nodrošināšanu un speciālajās iestādēs darbs ar skolēnu pēc mācību stundām nav uzskatāms par pagarinātās darba dienas grupām - bērnu pieskatīšana, mājas darbu sagatavošana.</w:t>
            </w:r>
          </w:p>
          <w:p w14:paraId="4FC274AB" w14:textId="77777777" w:rsidR="00313BA7" w:rsidRDefault="00313BA7" w:rsidP="00313BA7">
            <w:pPr>
              <w:shd w:val="clear" w:color="auto" w:fill="FFFFFF"/>
              <w:jc w:val="both"/>
            </w:pPr>
            <w:r>
              <w:t>Speciālajās iestādēs internāta grupas nozīmē mācību darba stundās turpinājumu, kurš notiek  tikai pedagogu organizētu un vadītu  nodarbību veidā, nodrošinot mērķtiecīgu audzināšanas darbu. Zināms, ka katrai mācību stundai ir savs audzināšanas mērķis un uzdevumi un to īstenošana turpinās internāta grupu darba laikā.</w:t>
            </w:r>
          </w:p>
          <w:p w14:paraId="7202AB5F" w14:textId="77777777" w:rsidR="00313BA7" w:rsidRDefault="00313BA7" w:rsidP="00313BA7">
            <w:pPr>
              <w:shd w:val="clear" w:color="auto" w:fill="FFFFFF"/>
              <w:jc w:val="both"/>
            </w:pPr>
            <w:r>
              <w:lastRenderedPageBreak/>
              <w:t>Ja darbam ar skolēniem, kas nenakšņos internātā, pēc mācību stundām papildus finansējums vairs netiks piešķirts, (līdz šim skolniekiem pēc mācību stundām tika nodrošināta mācību stundās uzdotās vielas nostiprināšana, interešu izglītības pulciņi un individuālās nodarbības, tika nodrošinātas ēdienreizes: brokastis, pusdienas, launags un vakariņas, pamatojoties uz saņemtajiem vecāku iesniegumiem katra mācību gadu sākumā; atrodoties skolas telpās, tika nodrošināta pedagoģiskā, sociālā un medicīniskā aprūpe, pēc vajadzības skolēnus arī aprūpējot (higiēna) un nomainot pamperus u.t.t.), tad būtiskais finansējuma samazinājums un atbalsta pasākumu samazinājums, pēc mācību stundām radīs spriedzi gan skolēniem, gan viņu vecākiem. Vēršam uzmanību, ka  tiks ietekmēts finansējums arī atbalsta personālam un atbalsta pasākumi un to sniegšanas periods bērnam tiks mazināti.</w:t>
            </w:r>
          </w:p>
          <w:p w14:paraId="6B7540E3" w14:textId="77777777" w:rsidR="00313BA7" w:rsidRDefault="00313BA7" w:rsidP="00313BA7">
            <w:pPr>
              <w:shd w:val="clear" w:color="auto" w:fill="FFFFFF"/>
              <w:jc w:val="both"/>
            </w:pPr>
            <w:r>
              <w:t xml:space="preserve">Uzskatām, ka papildus būtu jāievieš 4. punkta jauns apakšpunkts ar papildus noteiktu koeficientu 1,2 </w:t>
            </w:r>
            <w:r>
              <w:lastRenderedPageBreak/>
              <w:t xml:space="preserve">anotācijā norādot skaidrojumu, kas ir daļēji internāta pakalpojumi. </w:t>
            </w:r>
          </w:p>
          <w:p w14:paraId="0C473B88" w14:textId="77777777" w:rsidR="00313BA7" w:rsidRDefault="00313BA7" w:rsidP="00313BA7">
            <w:pPr>
              <w:shd w:val="clear" w:color="auto" w:fill="FFFFFF"/>
              <w:jc w:val="both"/>
            </w:pPr>
            <w:r>
              <w:t xml:space="preserve">Priekšlikums izteikt šādā redakcijā: </w:t>
            </w:r>
          </w:p>
          <w:p w14:paraId="23C375A6" w14:textId="77777777" w:rsidR="00313BA7" w:rsidRDefault="00313BA7" w:rsidP="00313BA7">
            <w:pPr>
              <w:shd w:val="clear" w:color="auto" w:fill="FFFFFF"/>
              <w:jc w:val="both"/>
            </w:pPr>
            <w:r>
              <w:t xml:space="preserve">“4.1. izglītojamam, kurš saņem internāta pakalpojumus visu diennakti  – 1,35; </w:t>
            </w:r>
          </w:p>
          <w:p w14:paraId="1C851F59" w14:textId="77777777" w:rsidR="00313BA7" w:rsidRDefault="00313BA7" w:rsidP="00313BA7">
            <w:pPr>
              <w:shd w:val="clear" w:color="auto" w:fill="FFFFFF"/>
              <w:jc w:val="both"/>
            </w:pPr>
            <w:r>
              <w:t xml:space="preserve">4.2. izglītojamam, kurš saņem internāta pakalpojumus daļēji – 1,2;  </w:t>
            </w:r>
          </w:p>
          <w:p w14:paraId="09E762AD" w14:textId="3A105C18" w:rsidR="00313BA7" w:rsidRDefault="00313BA7" w:rsidP="00313BA7">
            <w:pPr>
              <w:shd w:val="clear" w:color="auto" w:fill="FFFFFF"/>
              <w:jc w:val="both"/>
            </w:pPr>
            <w:r>
              <w:t>4.3. izglītojamam, kurš nesaņem internāta pakalpojumus, – 0,85.”.</w:t>
            </w:r>
          </w:p>
        </w:tc>
        <w:tc>
          <w:tcPr>
            <w:tcW w:w="3261" w:type="dxa"/>
            <w:tcBorders>
              <w:top w:val="single" w:sz="4" w:space="0" w:color="000000"/>
              <w:left w:val="single" w:sz="4" w:space="0" w:color="000000"/>
              <w:bottom w:val="single" w:sz="4" w:space="0" w:color="000000"/>
              <w:right w:val="single" w:sz="4" w:space="0" w:color="000000"/>
            </w:tcBorders>
          </w:tcPr>
          <w:p w14:paraId="6ED70FBB" w14:textId="77777777" w:rsidR="00313BA7" w:rsidRPr="00313BA7" w:rsidRDefault="00313BA7" w:rsidP="00313BA7">
            <w:pPr>
              <w:shd w:val="clear" w:color="auto" w:fill="FFFFFF"/>
              <w:jc w:val="both"/>
              <w:rPr>
                <w:b/>
              </w:rPr>
            </w:pPr>
            <w:r w:rsidRPr="00313BA7">
              <w:rPr>
                <w:b/>
              </w:rPr>
              <w:lastRenderedPageBreak/>
              <w:t>Ņemts vērā, bet piedāvāts cits risinājums, iekļaujot 4.1. apakšpunkta formulējumā pašvaldības saskaņojumu izglītojamiem, kas izmanto internāta pakalpojumu.</w:t>
            </w:r>
          </w:p>
          <w:p w14:paraId="0CC13E73" w14:textId="4B835FE2" w:rsidR="00313BA7" w:rsidRDefault="00313BA7" w:rsidP="00313BA7">
            <w:pPr>
              <w:shd w:val="clear" w:color="auto" w:fill="FFFFFF"/>
              <w:jc w:val="both"/>
              <w:rPr>
                <w:b/>
              </w:rPr>
            </w:pPr>
            <w:r w:rsidRPr="00313BA7">
              <w:rPr>
                <w:b/>
              </w:rPr>
              <w:t>Mainīta attiecīgā punkta redakcija un precizēta anotācija</w:t>
            </w:r>
          </w:p>
        </w:tc>
        <w:tc>
          <w:tcPr>
            <w:tcW w:w="3260" w:type="dxa"/>
            <w:tcBorders>
              <w:top w:val="single" w:sz="4" w:space="0" w:color="000000"/>
              <w:left w:val="single" w:sz="4" w:space="0" w:color="000000"/>
              <w:bottom w:val="single" w:sz="4" w:space="0" w:color="000000"/>
              <w:right w:val="single" w:sz="4" w:space="0" w:color="000000"/>
            </w:tcBorders>
          </w:tcPr>
          <w:p w14:paraId="0165588C" w14:textId="77777777" w:rsidR="00313BA7" w:rsidRDefault="00313BA7" w:rsidP="00313BA7">
            <w:pPr>
              <w:jc w:val="both"/>
            </w:pPr>
            <w:r>
              <w:t xml:space="preserve">“4. Šo noteikumu 2.1. apakšpunktā minēto izglītības iestāžu uzturēšanas izdevumus 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(gadā) vienam speciālās izglītības iestādes izglītojamam atbilstoši šo </w:t>
            </w:r>
            <w:r>
              <w:lastRenderedPageBreak/>
              <w:t>noteikumu 1. pielikumam, piemērojot šādus koeficientus:</w:t>
            </w:r>
          </w:p>
          <w:p w14:paraId="2802AF54" w14:textId="77777777" w:rsidR="00313BA7" w:rsidRDefault="00313BA7" w:rsidP="00313BA7">
            <w:pPr>
              <w:jc w:val="both"/>
            </w:pPr>
            <w:r>
              <w:t>4.1. izglītojamam, kura internāta pakalpojumu saņemšana saskaņota ar izglītības iestādes dibinātāju,  – 1,35;</w:t>
            </w:r>
          </w:p>
          <w:p w14:paraId="6C856CB5" w14:textId="0A0CF366" w:rsidR="00313BA7" w:rsidRDefault="00313BA7" w:rsidP="00313BA7">
            <w:pPr>
              <w:jc w:val="both"/>
            </w:pPr>
            <w:r>
              <w:t>4.2. izglītojamam, kurš nesaņem internāta pakalpojumus, – 0,85.”;</w:t>
            </w:r>
          </w:p>
        </w:tc>
      </w:tr>
      <w:tr w:rsidR="00313BA7" w:rsidRPr="0052064D" w14:paraId="54242CD4"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449BE51" w14:textId="56B9FA1B" w:rsidR="00313BA7" w:rsidRDefault="00C10D29" w:rsidP="008D1463">
            <w:pPr>
              <w:shd w:val="clear" w:color="auto" w:fill="FFFFFF"/>
              <w:jc w:val="center"/>
              <w:rPr>
                <w:b/>
              </w:rPr>
            </w:pPr>
            <w:r>
              <w:rPr>
                <w:b/>
              </w:rPr>
              <w:lastRenderedPageBreak/>
              <w:t>3.</w:t>
            </w:r>
          </w:p>
        </w:tc>
        <w:tc>
          <w:tcPr>
            <w:tcW w:w="3431" w:type="dxa"/>
            <w:tcBorders>
              <w:top w:val="single" w:sz="4" w:space="0" w:color="000000"/>
              <w:left w:val="single" w:sz="4" w:space="0" w:color="000000"/>
              <w:bottom w:val="single" w:sz="4" w:space="0" w:color="000000"/>
              <w:right w:val="single" w:sz="4" w:space="0" w:color="000000"/>
            </w:tcBorders>
          </w:tcPr>
          <w:p w14:paraId="0C00F86D" w14:textId="77777777" w:rsidR="00313BA7" w:rsidRDefault="00313BA7" w:rsidP="00313BA7">
            <w:pPr>
              <w:shd w:val="clear" w:color="auto" w:fill="FFFFFF"/>
              <w:jc w:val="both"/>
            </w:pPr>
            <w:r>
              <w:t>Noteikumu projekta anotācija</w:t>
            </w:r>
          </w:p>
          <w:p w14:paraId="0C170810" w14:textId="1C47122A" w:rsidR="00313BA7" w:rsidRDefault="00313BA7" w:rsidP="00313BA7">
            <w:pPr>
              <w:shd w:val="clear" w:color="auto" w:fill="FFFFFF"/>
              <w:jc w:val="both"/>
            </w:pPr>
            <w:r>
              <w:t xml:space="preserve">“[..] Ņemot vērā to, ka speciālo skolu vadībai un pašvaldībām kā minēto izglītības iestāžu dibinātājām nav vienotas izpratnes par to, kas jānodrošina izglītojamam, kas saņem internāta pakalpojumus, skaidrojam, ka noteikumu Nr. 477 izpratnē internāta pakalpojums ir, ja izglītojamais visu diennakti mācību gada garumā  mācību dienās nakšņo internātā, saņem </w:t>
            </w:r>
            <w:proofErr w:type="spellStart"/>
            <w:r>
              <w:t>četreizēju</w:t>
            </w:r>
            <w:proofErr w:type="spellEnd"/>
            <w:r>
              <w:t xml:space="preserve"> ēdināšanu, kā arī vakara stundās saņem pedagoģisku atbalstu mācību vielas atkārtošanā. Savukārt izglītojamiem, kas nesaņem internāta pakalpojumus, </w:t>
            </w:r>
            <w:r>
              <w:lastRenderedPageBreak/>
              <w:t xml:space="preserve">izglītības iestāde nodrošina pagarinātās darba dienas grupu darbu, nodrošinot izglītojamo iesaistīšanos interešu izglītības pulciņos, korekcijas un individuālā darba nodarbībās, kā arī  izglītojamie saņem pedagoģisku atbalstu mācību vielas atkārtošanā, līdz laikam, kad pēc viņiem ierodas vecāki. Lai stiprinātu izglītības iestādes  un pašvaldības atbildību par valsts finansējuma uzturēšanas izdevumiem efektīvu un mērķim atbilstošu izlietojumu, Projekts paredz precizēt noteikumu Nr. 477 4.1. apakšpunktu, nosakot, ka koeficients 1,35, aprēķinot uzturēšanas izdevumus, tiek piemērots tiem pašvaldību speciālo skolu izglītojamiem, kuru internāta pakalpojumu saņemšana saskaņota ar izglītības iestādes dibinātāju. Pašvaldības deleģētais pārstāvis saskaņošanu veic VIIS, atbilstoši noteikumu Nr. 477 3. punktam saskaņojot izglītojamo skaitu izglītības iestādē, tai skaitā arī izglītojamo skaitu, kas izmanto internāta </w:t>
            </w:r>
            <w:r>
              <w:lastRenderedPageBreak/>
              <w:t>pakalpojumu, ņemot vērā reāli pieejamās gultasvietas internātā un reāli internātā nakšņojošo izglītojamo skaitu.”</w:t>
            </w:r>
          </w:p>
        </w:tc>
        <w:tc>
          <w:tcPr>
            <w:tcW w:w="3827" w:type="dxa"/>
            <w:tcBorders>
              <w:top w:val="single" w:sz="4" w:space="0" w:color="000000"/>
              <w:left w:val="single" w:sz="4" w:space="0" w:color="000000"/>
              <w:bottom w:val="single" w:sz="4" w:space="0" w:color="000000"/>
              <w:right w:val="single" w:sz="4" w:space="0" w:color="000000"/>
            </w:tcBorders>
          </w:tcPr>
          <w:p w14:paraId="00DCA796" w14:textId="77777777" w:rsidR="00EB7E20" w:rsidRDefault="00EB7E20" w:rsidP="00EB7E20">
            <w:pPr>
              <w:shd w:val="clear" w:color="auto" w:fill="FFFFFF"/>
              <w:jc w:val="both"/>
            </w:pPr>
            <w:r>
              <w:lastRenderedPageBreak/>
              <w:t xml:space="preserve">Iebilstam pret piedāvāto redakciju. </w:t>
            </w:r>
          </w:p>
          <w:p w14:paraId="2C15DD17" w14:textId="77777777" w:rsidR="00EB7E20" w:rsidRDefault="00EB7E20" w:rsidP="00EB7E20">
            <w:pPr>
              <w:shd w:val="clear" w:color="auto" w:fill="FFFFFF"/>
              <w:jc w:val="both"/>
            </w:pPr>
            <w:r>
              <w:t xml:space="preserve">Vēlamies informēt par vienu speciālās skolas situāciju, norādot, ka analoga situācija veidojas arī citās speciālās skolās: Rīgas </w:t>
            </w:r>
            <w:proofErr w:type="spellStart"/>
            <w:r>
              <w:t>Strazdumuižas</w:t>
            </w:r>
            <w:proofErr w:type="spellEnd"/>
            <w:r>
              <w:t xml:space="preserve"> vidusskolā- attīstības centrā nav iespējams organizēt pagarinātās dienas grupu, jo visiem skolēniem pēc stundām tiek organizētas individuālās un grupu speciālās nodarbības, interešu izglītības nodarbības, 3x nedēļā baseina apmeklējumi, uz kuriem audzēkņus pavada pedagogi, citi ārpusskolas pasākumi, uz kuriem skolēnus pavada internāta skolotāji. Līdz ar to lielākā daļa izglītojamo skolā uzturas līdz plkst. 19.00. Bez tam, skolēni patstāvīgi nevar doties </w:t>
            </w:r>
            <w:r>
              <w:lastRenderedPageBreak/>
              <w:t xml:space="preserve">mājās, daudzi rīdzinieki dzīvo attālos pilsētas rajonos, piemēram, Bolderājā, un vecāki pēc darba var atbraukt tikai aptuveni šajā laikā, daudziem no šiem bērniem nepieciešama nepārtraukta uzraudzība. Tāpēc atšķirība starp šiem bērniem un tiem, kas saņem internāta pakalpojumus ir tikai nakšņošanā. Līdz ar to domājam, ka koeficientu atšķirība varētu izpausties kā internāta pakalpojumi “ar nakšņošanu” un “bez nakšņošanas”. Skola ir vienīgā šāda tipa izglītības iestāde valstī, skolēni nāk no 50 dažādiem novadiem. Līdz ar to, strādā 7 dienas nedēļā - ir izglītojamie, kas dodas mājās 1x 2 nedēļās vai citā režīmā. Noteikumi nepasaka, kādā statusā skolēni un internāta skolotāji ir brīvdienās. Brīvdienās ir pilns internāta pakalpojums, nenotiek mācību process, taču internāta skolotāji nodrošina bērnu brīvā laika aktivitātes skolā un ārpus skolas. Pagarinātās darba dienas grupas skolotāja amata ieviešana speciālās izglītības iestādēs ar internātiem, nodrošinot pagarinātās darba dienas grupu darbu, nav skaidra, jo, kas </w:t>
            </w:r>
            <w:r>
              <w:lastRenderedPageBreak/>
              <w:t>notiks ar pārējiem pagarinātās darba dienas grupas skolēniem, kamēr vienu vedīs uz individuālām nodarbībām, citu uz citām individuālām nodarbībām, kurš tikmēr pieskatīs un izglītos pārējos. Jāsecina, ka uz katru grupu tad būs nepieciešami vismaz divi pagarinātās darba dienas grupu skolotāji. Nav arī pamatotu aprēķinu, ka ar koeficientu 0,85 varēs nodrošināt šo amata vienību finansēšanu nepieciešamā apjomā.</w:t>
            </w:r>
          </w:p>
          <w:p w14:paraId="5DCF8CA7" w14:textId="77777777" w:rsidR="00EB7E20" w:rsidRDefault="00EB7E20" w:rsidP="00EB7E20">
            <w:pPr>
              <w:shd w:val="clear" w:color="auto" w:fill="FFFFFF"/>
              <w:jc w:val="both"/>
            </w:pPr>
            <w:r>
              <w:t xml:space="preserve">Priekšlikums: </w:t>
            </w:r>
          </w:p>
          <w:p w14:paraId="6A9D1119" w14:textId="7E53CB14" w:rsidR="00313BA7" w:rsidRDefault="00EB7E20" w:rsidP="00EB7E20">
            <w:pPr>
              <w:shd w:val="clear" w:color="auto" w:fill="FFFFFF"/>
              <w:jc w:val="both"/>
            </w:pPr>
            <w:r>
              <w:t xml:space="preserve">Ieviešot papildus noteiktu koeficientu 1,2 un anotācijā norādot skaidrojumu, kas ir daļēji internāta pakalpojumi, kurus nodrošina pēcpusdienā vai līdz vakaram, kad vecāki brauc pakaļ bērniem, uzskatām, ka skolas varēs piešķirtā finansējuma ietvaros tos nodrošināt. Saprotam, ka, turpinot izmantot internāta skolotāju darbu,  finansējuma apjoms speciālām skolām ar internātiem nedaudz samazināsies un skolām būs jāpārskata internāta skolotāju likmju efektīvs izmantojums.  </w:t>
            </w:r>
          </w:p>
        </w:tc>
        <w:tc>
          <w:tcPr>
            <w:tcW w:w="3261" w:type="dxa"/>
            <w:tcBorders>
              <w:top w:val="single" w:sz="4" w:space="0" w:color="000000"/>
              <w:left w:val="single" w:sz="4" w:space="0" w:color="000000"/>
              <w:bottom w:val="single" w:sz="4" w:space="0" w:color="000000"/>
              <w:right w:val="single" w:sz="4" w:space="0" w:color="000000"/>
            </w:tcBorders>
          </w:tcPr>
          <w:p w14:paraId="26A5CA45" w14:textId="25CEBAC9" w:rsidR="00313BA7" w:rsidRPr="00313BA7" w:rsidRDefault="00C10D29" w:rsidP="00C10D29">
            <w:pPr>
              <w:shd w:val="clear" w:color="auto" w:fill="FFFFFF"/>
              <w:jc w:val="both"/>
              <w:rPr>
                <w:b/>
              </w:rPr>
            </w:pPr>
            <w:r>
              <w:rPr>
                <w:b/>
              </w:rPr>
              <w:lastRenderedPageBreak/>
              <w:t xml:space="preserve">Ņemts vērā. </w:t>
            </w:r>
            <w:bookmarkStart w:id="0" w:name="_GoBack"/>
            <w:bookmarkEnd w:id="0"/>
            <w:r w:rsidR="00EB7E20" w:rsidRPr="00EB7E20">
              <w:rPr>
                <w:b/>
              </w:rPr>
              <w:t>Mainīta attiecīgā punkta redakcija un precizēta anotācija</w:t>
            </w:r>
          </w:p>
        </w:tc>
        <w:tc>
          <w:tcPr>
            <w:tcW w:w="3260" w:type="dxa"/>
            <w:tcBorders>
              <w:top w:val="single" w:sz="4" w:space="0" w:color="000000"/>
              <w:left w:val="single" w:sz="4" w:space="0" w:color="000000"/>
              <w:bottom w:val="single" w:sz="4" w:space="0" w:color="000000"/>
              <w:right w:val="single" w:sz="4" w:space="0" w:color="000000"/>
            </w:tcBorders>
          </w:tcPr>
          <w:p w14:paraId="32429CDF" w14:textId="77777777" w:rsidR="00EB7E20" w:rsidRDefault="00EB7E20" w:rsidP="00EB7E20">
            <w:pPr>
              <w:jc w:val="both"/>
            </w:pPr>
            <w:r>
              <w:t xml:space="preserve">Analizējot Valsts izglītības informācijas sistēmas (turpmāk – VIIS) datus un apmeklējot speciālās skolas, jāsecina, ka vismaz 80% speciālo skolu, kas nodrošina internāta pakalpojumus, pastāv neatbilstība starp atzīmēm VIIS par izglītojamiem, kas izmanto internāta pakalpojumus, un speciālās skolas iespējām nodrošināt atbilstošo vietu skaitu internātā, kā arī izglītojamiem, kas realitātē izmanto internāta pakalpojumus.  Piemēram: Rīgas 1. pamatskolai-attīstības centram VIIS atzīmēts, ka internāta pakalpojumus </w:t>
            </w:r>
            <w:r>
              <w:lastRenderedPageBreak/>
              <w:t xml:space="preserve">izmanto 99% no visiem 215 izglītojamiem, Rīgas Daugavas pamatskolā internāta pakalpojumus izmanto 97% no 326 izglītojamiem un Rīgas 5. pamatskolā-attīstības centrā internāta pakalpojumus izmanto 95% no 295 izglītojamiem. Minēto Rīgas speciālo skolu gadījumā jāsecina, ka, ņemot vērā lielo izglītojamo skaitu, par kuriem VIIS izdarītas atzīmes par internāta pakalpojuma izmantošanu, izglītojamie visu diennakti neizmanto internāta pakalpojumu, t. i. nenakšņo skolas internātā. </w:t>
            </w:r>
          </w:p>
          <w:p w14:paraId="414D78E8" w14:textId="4088F5CC" w:rsidR="00313BA7" w:rsidRDefault="00EB7E20" w:rsidP="00EB7E20">
            <w:pPr>
              <w:jc w:val="both"/>
            </w:pPr>
            <w:r>
              <w:t xml:space="preserve">Lai stiprinātu izglītības iestādes  un pašvaldības atbildību par valsts finansējuma uzturēšanas izdevumiem efektīvu un mērķim atbilstošu izlietojumu, Projekts paredz precizēt noteikumu Nr. 477 4.1. apakšpunktu, nosakot, ka koeficients 1,35, aprēķinot uzturēšanas izdevumus, tiek piemērots tiem pašvaldību speciālo skolu izglītojamiem, </w:t>
            </w:r>
            <w:r>
              <w:lastRenderedPageBreak/>
              <w:t>kuru internāta pakalpojumu saņemšana saskaņota ar izglītības iestādes dibinātāju. Pašvaldības deleģētais pārstāvis saskaņošanu veic VIIS, atbilstoši noteikumu Nr. 477 3. punktam saskaņojot izglītojamo skaitu izglītības iestādē, tai skaitā arī izglītojamo skaitu, kas izmanto internāta pakalpojumu</w:t>
            </w:r>
          </w:p>
        </w:tc>
      </w:tr>
    </w:tbl>
    <w:p w14:paraId="4B4DC561" w14:textId="1A879B92" w:rsidR="009638EA" w:rsidRDefault="009638EA" w:rsidP="000A605C">
      <w:pPr>
        <w:rPr>
          <w:b/>
        </w:rPr>
      </w:pPr>
    </w:p>
    <w:p w14:paraId="384984FE" w14:textId="77777777" w:rsidR="00A6789F" w:rsidRDefault="00A6789F" w:rsidP="000A605C">
      <w:pPr>
        <w:rPr>
          <w:b/>
        </w:rPr>
      </w:pPr>
    </w:p>
    <w:p w14:paraId="5522EF77" w14:textId="77777777" w:rsidR="00A6789F" w:rsidRPr="009638EA" w:rsidRDefault="00A6789F" w:rsidP="000A605C">
      <w:pPr>
        <w:rPr>
          <w:b/>
        </w:rPr>
      </w:pPr>
    </w:p>
    <w:p w14:paraId="019A0637" w14:textId="77777777" w:rsidR="005607AE" w:rsidRDefault="005607AE"/>
    <w:p w14:paraId="0CED15A5" w14:textId="77777777"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14:paraId="7E640E1D" w14:textId="77777777" w:rsidR="00D43340" w:rsidRPr="00D43340" w:rsidRDefault="00D43340" w:rsidP="00D43340">
      <w:pPr>
        <w:shd w:val="clear" w:color="auto" w:fill="FFFFFF"/>
        <w:tabs>
          <w:tab w:val="left" w:pos="240"/>
          <w:tab w:val="left" w:pos="720"/>
        </w:tabs>
      </w:pPr>
      <w:r w:rsidRPr="00D43340">
        <w:tab/>
      </w:r>
    </w:p>
    <w:p w14:paraId="5F7E7C8F" w14:textId="77777777" w:rsidR="00D43340" w:rsidRPr="00D43340" w:rsidRDefault="00D43340" w:rsidP="00D43340">
      <w:pPr>
        <w:shd w:val="clear" w:color="auto" w:fill="FFFFFF"/>
        <w:tabs>
          <w:tab w:val="left" w:pos="240"/>
          <w:tab w:val="left" w:pos="720"/>
        </w:tabs>
      </w:pPr>
      <w:r w:rsidRPr="00D43340">
        <w:tab/>
      </w:r>
      <w:r w:rsidRPr="00D43340">
        <w:tab/>
      </w:r>
      <w:r w:rsidRPr="00D43340">
        <w:tab/>
      </w:r>
      <w:r w:rsidRPr="00D43340">
        <w:tab/>
      </w:r>
      <w:r w:rsidRPr="00D43340">
        <w:tab/>
      </w:r>
      <w:r w:rsidRPr="00D43340">
        <w:tab/>
      </w:r>
      <w:r w:rsidRPr="00D43340">
        <w:tab/>
      </w:r>
      <w:r w:rsidRPr="00D43340">
        <w:tab/>
      </w:r>
      <w:r w:rsidRPr="00D43340">
        <w:tab/>
      </w:r>
      <w:r w:rsidRPr="00D43340">
        <w:tab/>
        <w:t>(paraksts)</w:t>
      </w:r>
    </w:p>
    <w:p w14:paraId="127D7283" w14:textId="77777777" w:rsidR="009B3135" w:rsidRDefault="009B3135"/>
    <w:p w14:paraId="719EC907" w14:textId="77777777" w:rsidR="009B3135" w:rsidRDefault="009B3135"/>
    <w:p w14:paraId="73930FA5" w14:textId="7DF7E6D1" w:rsidR="009B3135" w:rsidRPr="009B3135" w:rsidRDefault="00EB7E20" w:rsidP="00A046AC">
      <w:pPr>
        <w:tabs>
          <w:tab w:val="left" w:pos="4155"/>
        </w:tabs>
        <w:rPr>
          <w:rFonts w:eastAsiaTheme="minorHAnsi"/>
          <w:sz w:val="20"/>
          <w:szCs w:val="20"/>
          <w:lang w:eastAsia="en-US"/>
        </w:rPr>
      </w:pPr>
      <w:r>
        <w:rPr>
          <w:rFonts w:eastAsiaTheme="minorHAnsi"/>
          <w:sz w:val="20"/>
          <w:szCs w:val="20"/>
          <w:lang w:eastAsia="en-US"/>
        </w:rPr>
        <w:t>11</w:t>
      </w:r>
      <w:r w:rsidR="00D85559">
        <w:rPr>
          <w:rFonts w:eastAsiaTheme="minorHAnsi"/>
          <w:sz w:val="20"/>
          <w:szCs w:val="20"/>
          <w:lang w:eastAsia="en-US"/>
        </w:rPr>
        <w:t>.06</w:t>
      </w:r>
      <w:r w:rsidR="00A72807">
        <w:rPr>
          <w:rFonts w:eastAsiaTheme="minorHAnsi"/>
          <w:sz w:val="20"/>
          <w:szCs w:val="20"/>
          <w:lang w:eastAsia="en-US"/>
        </w:rPr>
        <w:t>.2020.</w:t>
      </w:r>
      <w:r w:rsidR="00A046AC">
        <w:rPr>
          <w:rFonts w:eastAsiaTheme="minorHAnsi"/>
          <w:sz w:val="20"/>
          <w:szCs w:val="20"/>
          <w:lang w:eastAsia="en-US"/>
        </w:rPr>
        <w:tab/>
      </w:r>
    </w:p>
    <w:p w14:paraId="6BCC21C1" w14:textId="77777777" w:rsidR="009B3135" w:rsidRPr="009B3135" w:rsidRDefault="009B3135" w:rsidP="009B3135">
      <w:pPr>
        <w:rPr>
          <w:rFonts w:eastAsiaTheme="minorHAnsi"/>
          <w:sz w:val="20"/>
          <w:szCs w:val="20"/>
          <w:lang w:eastAsia="en-US"/>
        </w:rPr>
      </w:pPr>
      <w:proofErr w:type="spellStart"/>
      <w:r w:rsidRPr="009B3135">
        <w:rPr>
          <w:rFonts w:eastAsiaTheme="minorHAnsi"/>
          <w:sz w:val="20"/>
          <w:szCs w:val="20"/>
          <w:lang w:eastAsia="en-US"/>
        </w:rPr>
        <w:t>M.Jansone</w:t>
      </w:r>
      <w:proofErr w:type="spellEnd"/>
      <w:r w:rsidRPr="009B3135">
        <w:rPr>
          <w:rFonts w:eastAsiaTheme="minorHAnsi"/>
          <w:sz w:val="20"/>
          <w:szCs w:val="20"/>
          <w:lang w:eastAsia="en-US"/>
        </w:rPr>
        <w:t xml:space="preserve">, </w:t>
      </w:r>
    </w:p>
    <w:p w14:paraId="1137C9D9" w14:textId="77777777" w:rsidR="009B3135" w:rsidRPr="009B3135" w:rsidRDefault="009B3135" w:rsidP="009B3135">
      <w:pPr>
        <w:rPr>
          <w:rFonts w:asciiTheme="minorHAnsi" w:eastAsiaTheme="minorHAnsi" w:hAnsiTheme="minorHAnsi" w:cstheme="minorBidi"/>
          <w:color w:val="0000FF"/>
          <w:sz w:val="22"/>
          <w:szCs w:val="22"/>
          <w:u w:val="single"/>
          <w:lang w:eastAsia="en-US"/>
        </w:rPr>
      </w:pPr>
      <w:r w:rsidRPr="009B3135">
        <w:rPr>
          <w:rFonts w:eastAsiaTheme="minorHAnsi"/>
          <w:sz w:val="20"/>
          <w:szCs w:val="20"/>
          <w:lang w:eastAsia="en-US"/>
        </w:rPr>
        <w:t xml:space="preserve">67047973, </w:t>
      </w:r>
      <w:hyperlink r:id="rId7" w:history="1">
        <w:r w:rsidRPr="009B3135">
          <w:rPr>
            <w:rFonts w:eastAsiaTheme="minorHAnsi"/>
            <w:color w:val="0000FF"/>
            <w:sz w:val="20"/>
            <w:szCs w:val="20"/>
            <w:u w:val="single"/>
            <w:lang w:eastAsia="en-US"/>
          </w:rPr>
          <w:t>modra.jansone@izm.gov.lv</w:t>
        </w:r>
      </w:hyperlink>
    </w:p>
    <w:p w14:paraId="2447507E" w14:textId="77777777" w:rsidR="009B3135" w:rsidRPr="00D43340" w:rsidRDefault="00D43340" w:rsidP="00D43340">
      <w:pPr>
        <w:tabs>
          <w:tab w:val="left" w:pos="5595"/>
        </w:tabs>
      </w:pPr>
      <w:r>
        <w:tab/>
      </w:r>
    </w:p>
    <w:sectPr w:rsidR="009B3135" w:rsidRPr="00D43340" w:rsidSect="00B349FB">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EF157" w14:textId="77777777" w:rsidR="000E25EF" w:rsidRDefault="000E25EF" w:rsidP="00B67BFB">
      <w:r>
        <w:separator/>
      </w:r>
    </w:p>
  </w:endnote>
  <w:endnote w:type="continuationSeparator" w:id="0">
    <w:p w14:paraId="1EFAEB10" w14:textId="77777777" w:rsidR="000E25EF" w:rsidRDefault="000E25EF"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7AAAEF94"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EB7E20">
      <w:rPr>
        <w:rFonts w:ascii="Times New Roman" w:hAnsi="Times New Roman"/>
        <w:b w:val="0"/>
        <w:sz w:val="24"/>
        <w:szCs w:val="24"/>
      </w:rPr>
      <w:t>11</w:t>
    </w:r>
    <w:r w:rsidR="004823AA">
      <w:rPr>
        <w:rFonts w:ascii="Times New Roman" w:hAnsi="Times New Roman"/>
        <w:b w:val="0"/>
        <w:sz w:val="24"/>
        <w:szCs w:val="24"/>
      </w:rPr>
      <w:t>06</w:t>
    </w:r>
    <w:r w:rsidR="007C6BFB">
      <w:rPr>
        <w:rFonts w:ascii="Times New Roman" w:hAnsi="Times New Roman"/>
        <w:b w:val="0"/>
        <w:sz w:val="24"/>
        <w:szCs w:val="24"/>
      </w:rPr>
      <w:t>20</w:t>
    </w:r>
    <w:r w:rsidRPr="00FD75C9">
      <w:rPr>
        <w:rFonts w:ascii="Times New Roman" w:hAnsi="Times New Roman"/>
        <w:b w:val="0"/>
        <w:sz w:val="24"/>
        <w:szCs w:val="24"/>
      </w:rPr>
      <w:t xml:space="preserve">_ </w:t>
    </w:r>
    <w:r w:rsidR="00FD75C9">
      <w:rPr>
        <w:rFonts w:ascii="Times New Roman" w:hAnsi="Times New Roman"/>
        <w:b w:val="0"/>
        <w:sz w:val="24"/>
        <w:szCs w:val="24"/>
      </w:rPr>
      <w:t>G</w:t>
    </w:r>
    <w:r w:rsidR="004823AA">
      <w:rPr>
        <w:rFonts w:ascii="Times New Roman" w:hAnsi="Times New Roman"/>
        <w:b w:val="0"/>
        <w:sz w:val="24"/>
        <w:szCs w:val="24"/>
      </w:rPr>
      <w:t>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D279" w14:textId="77777777" w:rsidR="000E25EF" w:rsidRDefault="000E25EF" w:rsidP="00B67BFB">
      <w:r>
        <w:separator/>
      </w:r>
    </w:p>
  </w:footnote>
  <w:footnote w:type="continuationSeparator" w:id="0">
    <w:p w14:paraId="22CE3ACA" w14:textId="77777777" w:rsidR="000E25EF" w:rsidRDefault="000E25EF"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C10D29">
          <w:rPr>
            <w:noProof/>
          </w:rPr>
          <w:t>7</w:t>
        </w:r>
        <w:r>
          <w:rPr>
            <w:noProof/>
          </w:rPr>
          <w:fldChar w:fldCharType="end"/>
        </w:r>
      </w:p>
    </w:sdtContent>
  </w:sdt>
  <w:p w14:paraId="3A148851" w14:textId="77777777"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6"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17BD8"/>
    <w:rsid w:val="00023E8F"/>
    <w:rsid w:val="00035730"/>
    <w:rsid w:val="00036E42"/>
    <w:rsid w:val="000503FA"/>
    <w:rsid w:val="000566FF"/>
    <w:rsid w:val="00061890"/>
    <w:rsid w:val="00063692"/>
    <w:rsid w:val="000641E6"/>
    <w:rsid w:val="00081AAC"/>
    <w:rsid w:val="000A605C"/>
    <w:rsid w:val="000C23D4"/>
    <w:rsid w:val="000D0CC0"/>
    <w:rsid w:val="000D174E"/>
    <w:rsid w:val="000D7BCC"/>
    <w:rsid w:val="000E25EF"/>
    <w:rsid w:val="000E2A6B"/>
    <w:rsid w:val="000E412E"/>
    <w:rsid w:val="000F1B84"/>
    <w:rsid w:val="00104846"/>
    <w:rsid w:val="001263C5"/>
    <w:rsid w:val="00134453"/>
    <w:rsid w:val="00136A1F"/>
    <w:rsid w:val="00140396"/>
    <w:rsid w:val="00140710"/>
    <w:rsid w:val="0014267A"/>
    <w:rsid w:val="00193287"/>
    <w:rsid w:val="001B56AB"/>
    <w:rsid w:val="001C1466"/>
    <w:rsid w:val="001E04B0"/>
    <w:rsid w:val="001E5681"/>
    <w:rsid w:val="001E6B04"/>
    <w:rsid w:val="001F7F42"/>
    <w:rsid w:val="00206A80"/>
    <w:rsid w:val="002102DC"/>
    <w:rsid w:val="00210349"/>
    <w:rsid w:val="00217065"/>
    <w:rsid w:val="00223E9F"/>
    <w:rsid w:val="002240AC"/>
    <w:rsid w:val="00241133"/>
    <w:rsid w:val="00263236"/>
    <w:rsid w:val="002909BE"/>
    <w:rsid w:val="002A454A"/>
    <w:rsid w:val="002A5C42"/>
    <w:rsid w:val="002D00F5"/>
    <w:rsid w:val="002E714B"/>
    <w:rsid w:val="002F22DE"/>
    <w:rsid w:val="00303C73"/>
    <w:rsid w:val="003055E0"/>
    <w:rsid w:val="00313BA7"/>
    <w:rsid w:val="00315F1C"/>
    <w:rsid w:val="003162EA"/>
    <w:rsid w:val="00332BB7"/>
    <w:rsid w:val="003358F2"/>
    <w:rsid w:val="00344BEF"/>
    <w:rsid w:val="00361BA6"/>
    <w:rsid w:val="00371121"/>
    <w:rsid w:val="003873F4"/>
    <w:rsid w:val="00394EDA"/>
    <w:rsid w:val="003A316E"/>
    <w:rsid w:val="003D2797"/>
    <w:rsid w:val="003D4EA3"/>
    <w:rsid w:val="003E71FE"/>
    <w:rsid w:val="003F4681"/>
    <w:rsid w:val="00400C23"/>
    <w:rsid w:val="00410257"/>
    <w:rsid w:val="00441FF4"/>
    <w:rsid w:val="0044591F"/>
    <w:rsid w:val="0045448D"/>
    <w:rsid w:val="00457D84"/>
    <w:rsid w:val="004667FF"/>
    <w:rsid w:val="004823AA"/>
    <w:rsid w:val="0049798D"/>
    <w:rsid w:val="00497BA3"/>
    <w:rsid w:val="004A3DE9"/>
    <w:rsid w:val="004A3F20"/>
    <w:rsid w:val="004B160E"/>
    <w:rsid w:val="004B3DF7"/>
    <w:rsid w:val="004B632D"/>
    <w:rsid w:val="00500840"/>
    <w:rsid w:val="00511A03"/>
    <w:rsid w:val="00514AC9"/>
    <w:rsid w:val="005607AE"/>
    <w:rsid w:val="005631B6"/>
    <w:rsid w:val="0057052D"/>
    <w:rsid w:val="005765B6"/>
    <w:rsid w:val="00593425"/>
    <w:rsid w:val="005A6E3A"/>
    <w:rsid w:val="005B5415"/>
    <w:rsid w:val="005B7F02"/>
    <w:rsid w:val="005C7C30"/>
    <w:rsid w:val="005E297A"/>
    <w:rsid w:val="005E2DF7"/>
    <w:rsid w:val="00616151"/>
    <w:rsid w:val="0061659C"/>
    <w:rsid w:val="006372B1"/>
    <w:rsid w:val="00637D54"/>
    <w:rsid w:val="00641F44"/>
    <w:rsid w:val="00646C73"/>
    <w:rsid w:val="006561AD"/>
    <w:rsid w:val="00670292"/>
    <w:rsid w:val="00680995"/>
    <w:rsid w:val="00683281"/>
    <w:rsid w:val="00692204"/>
    <w:rsid w:val="006933A9"/>
    <w:rsid w:val="00697DED"/>
    <w:rsid w:val="006A5981"/>
    <w:rsid w:val="006B3852"/>
    <w:rsid w:val="006D1860"/>
    <w:rsid w:val="006D6776"/>
    <w:rsid w:val="006E62BE"/>
    <w:rsid w:val="006E6656"/>
    <w:rsid w:val="006E6FE0"/>
    <w:rsid w:val="006E7927"/>
    <w:rsid w:val="006F4451"/>
    <w:rsid w:val="006F6289"/>
    <w:rsid w:val="00700393"/>
    <w:rsid w:val="007410A2"/>
    <w:rsid w:val="00741CE0"/>
    <w:rsid w:val="00762AB3"/>
    <w:rsid w:val="00777918"/>
    <w:rsid w:val="007A29F3"/>
    <w:rsid w:val="007A61BC"/>
    <w:rsid w:val="007A6F9C"/>
    <w:rsid w:val="007B1230"/>
    <w:rsid w:val="007B77B6"/>
    <w:rsid w:val="007C6BFB"/>
    <w:rsid w:val="007D075E"/>
    <w:rsid w:val="007D30A3"/>
    <w:rsid w:val="007E6BA6"/>
    <w:rsid w:val="00810098"/>
    <w:rsid w:val="00814882"/>
    <w:rsid w:val="00824EF9"/>
    <w:rsid w:val="0083073F"/>
    <w:rsid w:val="008337C2"/>
    <w:rsid w:val="00836B5C"/>
    <w:rsid w:val="008508DE"/>
    <w:rsid w:val="00857AAB"/>
    <w:rsid w:val="00886C3C"/>
    <w:rsid w:val="00891721"/>
    <w:rsid w:val="008A47F5"/>
    <w:rsid w:val="008C3ECD"/>
    <w:rsid w:val="008D1463"/>
    <w:rsid w:val="008D4746"/>
    <w:rsid w:val="008E0B5C"/>
    <w:rsid w:val="008F197F"/>
    <w:rsid w:val="008F26F1"/>
    <w:rsid w:val="009175D2"/>
    <w:rsid w:val="00937495"/>
    <w:rsid w:val="00950152"/>
    <w:rsid w:val="009553D7"/>
    <w:rsid w:val="00956F1E"/>
    <w:rsid w:val="00962735"/>
    <w:rsid w:val="009638EA"/>
    <w:rsid w:val="0097272B"/>
    <w:rsid w:val="00974951"/>
    <w:rsid w:val="009751C2"/>
    <w:rsid w:val="00984853"/>
    <w:rsid w:val="00991ABE"/>
    <w:rsid w:val="009958E3"/>
    <w:rsid w:val="009A3BC6"/>
    <w:rsid w:val="009A5B28"/>
    <w:rsid w:val="009B3135"/>
    <w:rsid w:val="009B3725"/>
    <w:rsid w:val="009E7FF4"/>
    <w:rsid w:val="009F5AFE"/>
    <w:rsid w:val="00A046AC"/>
    <w:rsid w:val="00A063FC"/>
    <w:rsid w:val="00A41C8B"/>
    <w:rsid w:val="00A6789F"/>
    <w:rsid w:val="00A72807"/>
    <w:rsid w:val="00A80744"/>
    <w:rsid w:val="00A9470B"/>
    <w:rsid w:val="00A9474E"/>
    <w:rsid w:val="00A96C83"/>
    <w:rsid w:val="00AB12A0"/>
    <w:rsid w:val="00AB7271"/>
    <w:rsid w:val="00AE42BA"/>
    <w:rsid w:val="00AF2B3B"/>
    <w:rsid w:val="00AF6C5F"/>
    <w:rsid w:val="00AF730F"/>
    <w:rsid w:val="00B16C9B"/>
    <w:rsid w:val="00B242CE"/>
    <w:rsid w:val="00B349FB"/>
    <w:rsid w:val="00B41C3B"/>
    <w:rsid w:val="00B42ED7"/>
    <w:rsid w:val="00B65F5B"/>
    <w:rsid w:val="00B67BFB"/>
    <w:rsid w:val="00B70F09"/>
    <w:rsid w:val="00B711D0"/>
    <w:rsid w:val="00BA05C7"/>
    <w:rsid w:val="00BA504F"/>
    <w:rsid w:val="00BB2E5D"/>
    <w:rsid w:val="00BC65C7"/>
    <w:rsid w:val="00BD5F83"/>
    <w:rsid w:val="00BD789B"/>
    <w:rsid w:val="00BF4E10"/>
    <w:rsid w:val="00C052AE"/>
    <w:rsid w:val="00C10D29"/>
    <w:rsid w:val="00C13A8F"/>
    <w:rsid w:val="00C5785E"/>
    <w:rsid w:val="00C63EAC"/>
    <w:rsid w:val="00C65740"/>
    <w:rsid w:val="00C67246"/>
    <w:rsid w:val="00C67EFE"/>
    <w:rsid w:val="00C76A0C"/>
    <w:rsid w:val="00C7796A"/>
    <w:rsid w:val="00C82457"/>
    <w:rsid w:val="00C931D0"/>
    <w:rsid w:val="00CA7592"/>
    <w:rsid w:val="00CA7D33"/>
    <w:rsid w:val="00CB38D9"/>
    <w:rsid w:val="00CB4FC8"/>
    <w:rsid w:val="00CD554C"/>
    <w:rsid w:val="00CE7C6F"/>
    <w:rsid w:val="00CF5945"/>
    <w:rsid w:val="00CF624B"/>
    <w:rsid w:val="00D3511A"/>
    <w:rsid w:val="00D3555E"/>
    <w:rsid w:val="00D43340"/>
    <w:rsid w:val="00D46589"/>
    <w:rsid w:val="00D56974"/>
    <w:rsid w:val="00D57116"/>
    <w:rsid w:val="00D73B70"/>
    <w:rsid w:val="00D75C3C"/>
    <w:rsid w:val="00D7667F"/>
    <w:rsid w:val="00D85559"/>
    <w:rsid w:val="00DA622D"/>
    <w:rsid w:val="00DB6C9A"/>
    <w:rsid w:val="00DC30BD"/>
    <w:rsid w:val="00DC66D2"/>
    <w:rsid w:val="00DC76C6"/>
    <w:rsid w:val="00DD128B"/>
    <w:rsid w:val="00DD2983"/>
    <w:rsid w:val="00DD437F"/>
    <w:rsid w:val="00DD4381"/>
    <w:rsid w:val="00DE237C"/>
    <w:rsid w:val="00DE5A4C"/>
    <w:rsid w:val="00DF65EB"/>
    <w:rsid w:val="00E05877"/>
    <w:rsid w:val="00E0621C"/>
    <w:rsid w:val="00E123D8"/>
    <w:rsid w:val="00E16AC0"/>
    <w:rsid w:val="00E303A9"/>
    <w:rsid w:val="00E43B52"/>
    <w:rsid w:val="00E52DC2"/>
    <w:rsid w:val="00E55C24"/>
    <w:rsid w:val="00E826D7"/>
    <w:rsid w:val="00E91C52"/>
    <w:rsid w:val="00E97C6E"/>
    <w:rsid w:val="00EB20F5"/>
    <w:rsid w:val="00EB3F04"/>
    <w:rsid w:val="00EB7E20"/>
    <w:rsid w:val="00EC1EB6"/>
    <w:rsid w:val="00ED065F"/>
    <w:rsid w:val="00ED07A4"/>
    <w:rsid w:val="00ED674B"/>
    <w:rsid w:val="00EE1344"/>
    <w:rsid w:val="00EE1A57"/>
    <w:rsid w:val="00EE254E"/>
    <w:rsid w:val="00F05ADD"/>
    <w:rsid w:val="00F10EFA"/>
    <w:rsid w:val="00F146DA"/>
    <w:rsid w:val="00F360C0"/>
    <w:rsid w:val="00F40429"/>
    <w:rsid w:val="00F419E2"/>
    <w:rsid w:val="00F502EF"/>
    <w:rsid w:val="00F515DF"/>
    <w:rsid w:val="00F65AFF"/>
    <w:rsid w:val="00F74600"/>
    <w:rsid w:val="00F776E6"/>
    <w:rsid w:val="00F9293C"/>
    <w:rsid w:val="00F97840"/>
    <w:rsid w:val="00FB245F"/>
    <w:rsid w:val="00FC0071"/>
    <w:rsid w:val="00FD15E8"/>
    <w:rsid w:val="00FD3EA2"/>
    <w:rsid w:val="00FD4237"/>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dra.jansoen@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12335</Words>
  <Characters>7031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4</cp:revision>
  <cp:lastPrinted>2019-06-10T07:01:00Z</cp:lastPrinted>
  <dcterms:created xsi:type="dcterms:W3CDTF">2020-06-11T05:09:00Z</dcterms:created>
  <dcterms:modified xsi:type="dcterms:W3CDTF">2020-06-11T05:23:00Z</dcterms:modified>
</cp:coreProperties>
</file>