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D98F" w14:textId="1A4ACB1F" w:rsidR="005F6E36" w:rsidRPr="00355C20" w:rsidRDefault="00E477C2" w:rsidP="00C339F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5F6E36" w:rsidRPr="00355C20">
        <w:rPr>
          <w:b/>
          <w:color w:val="000000"/>
        </w:rPr>
        <w:t xml:space="preserve">Ministru kabineta noteikumu projekta </w:t>
      </w:r>
    </w:p>
    <w:p w14:paraId="2AA3087C" w14:textId="77777777" w:rsidR="005F6E36" w:rsidRPr="00355C20" w:rsidRDefault="005F6E36" w:rsidP="00C339F2">
      <w:pPr>
        <w:spacing w:line="276" w:lineRule="auto"/>
        <w:jc w:val="center"/>
        <w:rPr>
          <w:b/>
          <w:color w:val="000000"/>
        </w:rPr>
      </w:pPr>
      <w:r w:rsidRPr="00355C20">
        <w:rPr>
          <w:b/>
          <w:color w:val="000000"/>
        </w:rPr>
        <w:t>„Grozījumi M</w:t>
      </w:r>
      <w:r w:rsidR="00E1162E" w:rsidRPr="00355C20">
        <w:rPr>
          <w:b/>
          <w:color w:val="000000"/>
        </w:rPr>
        <w:t>inistru kabineta 201</w:t>
      </w:r>
      <w:r w:rsidR="00CB6FD6" w:rsidRPr="00355C20">
        <w:rPr>
          <w:b/>
          <w:color w:val="000000"/>
        </w:rPr>
        <w:t>4</w:t>
      </w:r>
      <w:r w:rsidR="00E1162E" w:rsidRPr="00355C20">
        <w:rPr>
          <w:b/>
          <w:color w:val="000000"/>
        </w:rPr>
        <w:t>.</w:t>
      </w:r>
      <w:r w:rsidR="00CB6FD6" w:rsidRPr="00355C20">
        <w:rPr>
          <w:b/>
          <w:color w:val="000000"/>
        </w:rPr>
        <w:t xml:space="preserve"> </w:t>
      </w:r>
      <w:r w:rsidR="00E1162E" w:rsidRPr="00355C20">
        <w:rPr>
          <w:b/>
          <w:color w:val="000000"/>
        </w:rPr>
        <w:t>gada 25.</w:t>
      </w:r>
      <w:r w:rsidR="00CB6FD6" w:rsidRPr="00355C20">
        <w:rPr>
          <w:b/>
          <w:color w:val="000000"/>
        </w:rPr>
        <w:t xml:space="preserve"> novembra</w:t>
      </w:r>
      <w:r w:rsidRPr="00355C20">
        <w:rPr>
          <w:b/>
          <w:color w:val="000000"/>
        </w:rPr>
        <w:t xml:space="preserve"> noteikumos </w:t>
      </w:r>
    </w:p>
    <w:p w14:paraId="4B89461A" w14:textId="77777777" w:rsidR="005F6E36" w:rsidRPr="00355C20" w:rsidRDefault="00E1162E" w:rsidP="009F4A5C">
      <w:pPr>
        <w:spacing w:line="276" w:lineRule="auto"/>
        <w:ind w:left="-284" w:right="140"/>
        <w:jc w:val="center"/>
        <w:rPr>
          <w:b/>
          <w:color w:val="000000"/>
        </w:rPr>
      </w:pPr>
      <w:r w:rsidRPr="00355C20">
        <w:rPr>
          <w:b/>
          <w:color w:val="000000"/>
        </w:rPr>
        <w:t>Nr.</w:t>
      </w:r>
      <w:r w:rsidR="005F6E36" w:rsidRPr="00355C20">
        <w:rPr>
          <w:b/>
          <w:color w:val="000000"/>
        </w:rPr>
        <w:t>7</w:t>
      </w:r>
      <w:r w:rsidR="00CB6FD6" w:rsidRPr="00355C20">
        <w:rPr>
          <w:b/>
          <w:color w:val="000000"/>
        </w:rPr>
        <w:t>27</w:t>
      </w:r>
      <w:r w:rsidR="005F6E36" w:rsidRPr="00355C20">
        <w:rPr>
          <w:b/>
          <w:color w:val="000000"/>
        </w:rPr>
        <w:t xml:space="preserve"> „</w:t>
      </w:r>
      <w:r w:rsidR="00CB6FD6" w:rsidRPr="00355C20">
        <w:rPr>
          <w:b/>
          <w:color w:val="000000"/>
        </w:rPr>
        <w:t>Darbības programmas ”Pārtikas un pamata materiālās palīdzības sniegšana vistrūcīgākajām personām 2014.-2020. gada plānošanas periodā” īstenošanas noteikumi</w:t>
      </w:r>
      <w:r w:rsidR="005F6E36" w:rsidRPr="00355C20">
        <w:rPr>
          <w:b/>
          <w:color w:val="000000"/>
        </w:rPr>
        <w:t>””</w:t>
      </w:r>
    </w:p>
    <w:p w14:paraId="6C53311A" w14:textId="77777777" w:rsidR="00B445F0" w:rsidRPr="00355C20" w:rsidRDefault="00B76D85" w:rsidP="00C339F2">
      <w:pPr>
        <w:spacing w:line="276" w:lineRule="auto"/>
        <w:jc w:val="center"/>
        <w:rPr>
          <w:b/>
        </w:rPr>
      </w:pPr>
      <w:r w:rsidRPr="00355C20">
        <w:rPr>
          <w:b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355C20">
          <w:rPr>
            <w:b/>
          </w:rPr>
          <w:t>ziņojums</w:t>
        </w:r>
      </w:smartTag>
      <w:r w:rsidRPr="00355C20">
        <w:rPr>
          <w:b/>
        </w:rPr>
        <w:t xml:space="preserve"> (anotācija)</w:t>
      </w:r>
    </w:p>
    <w:tbl>
      <w:tblPr>
        <w:tblW w:w="4858" w:type="pct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1859"/>
        <w:gridCol w:w="80"/>
        <w:gridCol w:w="6284"/>
      </w:tblGrid>
      <w:tr w:rsidR="00953A9E" w:rsidRPr="00355C20" w14:paraId="44ECEE2C" w14:textId="77777777" w:rsidTr="009F4A5C">
        <w:trPr>
          <w:cantSplit/>
        </w:trPr>
        <w:tc>
          <w:tcPr>
            <w:tcW w:w="8804" w:type="dxa"/>
            <w:gridSpan w:val="4"/>
            <w:shd w:val="clear" w:color="auto" w:fill="FFFFFF"/>
            <w:vAlign w:val="center"/>
            <w:hideMark/>
          </w:tcPr>
          <w:p w14:paraId="65F6B790" w14:textId="77777777" w:rsidR="00487B6F" w:rsidRPr="00355C20" w:rsidRDefault="00487B6F" w:rsidP="00365CA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355C20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953A9E" w:rsidRPr="00355C20" w14:paraId="21123EF3" w14:textId="77777777" w:rsidTr="009F4A5C">
        <w:trPr>
          <w:cantSplit/>
          <w:trHeight w:val="3741"/>
        </w:trPr>
        <w:tc>
          <w:tcPr>
            <w:tcW w:w="2440" w:type="dxa"/>
            <w:gridSpan w:val="2"/>
            <w:shd w:val="clear" w:color="auto" w:fill="auto"/>
            <w:hideMark/>
          </w:tcPr>
          <w:p w14:paraId="5079E62D" w14:textId="77777777" w:rsidR="00487B6F" w:rsidRPr="00355C20" w:rsidRDefault="00487B6F" w:rsidP="009F4A5C">
            <w:pPr>
              <w:spacing w:line="276" w:lineRule="auto"/>
              <w:ind w:left="128"/>
              <w:rPr>
                <w:iCs/>
                <w:lang w:eastAsia="en-US"/>
              </w:rPr>
            </w:pPr>
            <w:r w:rsidRPr="00355C20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364" w:type="dxa"/>
            <w:gridSpan w:val="2"/>
            <w:shd w:val="clear" w:color="auto" w:fill="auto"/>
            <w:hideMark/>
          </w:tcPr>
          <w:p w14:paraId="58FF50FB" w14:textId="5FA0971C" w:rsidR="00B56469" w:rsidRPr="00355C20" w:rsidRDefault="00487B6F" w:rsidP="00E87385">
            <w:pPr>
              <w:spacing w:line="276" w:lineRule="auto"/>
              <w:ind w:left="96" w:right="110"/>
              <w:jc w:val="both"/>
              <w:rPr>
                <w:bCs/>
              </w:rPr>
            </w:pPr>
            <w:r w:rsidRPr="00355C20">
              <w:rPr>
                <w:bCs/>
              </w:rPr>
              <w:t>Ministru kabineta noteikumu projekta „Grozījumi Ministru kabineta 2014.</w:t>
            </w:r>
            <w:r w:rsidR="00804D95">
              <w:rPr>
                <w:bCs/>
              </w:rPr>
              <w:t> </w:t>
            </w:r>
            <w:r w:rsidRPr="00355C20">
              <w:rPr>
                <w:bCs/>
              </w:rPr>
              <w:t>gada 25.</w:t>
            </w:r>
            <w:r w:rsidR="00804D95">
              <w:rPr>
                <w:bCs/>
              </w:rPr>
              <w:t> </w:t>
            </w:r>
            <w:r w:rsidRPr="00355C20">
              <w:rPr>
                <w:bCs/>
              </w:rPr>
              <w:t>novembra noteikumos Nr.</w:t>
            </w:r>
            <w:r w:rsidR="00804D95">
              <w:rPr>
                <w:bCs/>
              </w:rPr>
              <w:t> </w:t>
            </w:r>
            <w:r w:rsidRPr="00355C20">
              <w:rPr>
                <w:bCs/>
              </w:rPr>
              <w:t>727 „Darbības programmas ”Pārtikas un pamata materiālās palīdzības sniegšana vistrūcīgākajām personām 2014.-2020.</w:t>
            </w:r>
            <w:r w:rsidR="00804D95">
              <w:rPr>
                <w:bCs/>
              </w:rPr>
              <w:t> </w:t>
            </w:r>
            <w:r w:rsidRPr="00355C20">
              <w:rPr>
                <w:bCs/>
              </w:rPr>
              <w:t>gada plānošanas periodā”</w:t>
            </w:r>
            <w:r w:rsidR="00A66DC2">
              <w:rPr>
                <w:bCs/>
              </w:rPr>
              <w:t xml:space="preserve"> (</w:t>
            </w:r>
            <w:r w:rsidR="00E87385">
              <w:rPr>
                <w:bCs/>
              </w:rPr>
              <w:t>turpmāk – d</w:t>
            </w:r>
            <w:r w:rsidR="00A66DC2">
              <w:rPr>
                <w:bCs/>
              </w:rPr>
              <w:t>arbības program</w:t>
            </w:r>
            <w:r w:rsidR="00121682">
              <w:rPr>
                <w:bCs/>
              </w:rPr>
              <w:t>ma</w:t>
            </w:r>
            <w:r w:rsidR="00213694">
              <w:rPr>
                <w:bCs/>
              </w:rPr>
              <w:t>)</w:t>
            </w:r>
            <w:r w:rsidRPr="00355C20">
              <w:rPr>
                <w:bCs/>
              </w:rPr>
              <w:t xml:space="preserve"> īstenošanas noteikumi”” (turpmāk – Noteikumu projekts) </w:t>
            </w:r>
            <w:r w:rsidR="00B14D1D" w:rsidRPr="00355C20">
              <w:rPr>
                <w:bCs/>
              </w:rPr>
              <w:t xml:space="preserve">izstrādes </w:t>
            </w:r>
            <w:r w:rsidRPr="00355C20">
              <w:rPr>
                <w:bCs/>
              </w:rPr>
              <w:t>mērķis</w:t>
            </w:r>
            <w:r w:rsidR="00B14D1D" w:rsidRPr="00355C20">
              <w:rPr>
                <w:bCs/>
              </w:rPr>
              <w:t xml:space="preserve"> ir</w:t>
            </w:r>
            <w:r w:rsidR="00AC7362" w:rsidRPr="00355C20">
              <w:rPr>
                <w:bCs/>
              </w:rPr>
              <w:t xml:space="preserve"> nodrošināt Eiropas Atbalsta fonda vistrūcīgākajām personām (turpmāk - Fonds) atbalsta nepārtrauktību un sasniedzamību </w:t>
            </w:r>
            <w:proofErr w:type="spellStart"/>
            <w:proofErr w:type="gramStart"/>
            <w:r w:rsidR="00AC7362" w:rsidRPr="00355C20">
              <w:rPr>
                <w:bCs/>
              </w:rPr>
              <w:t>Covid</w:t>
            </w:r>
            <w:proofErr w:type="spellEnd"/>
            <w:r w:rsidR="001C4D41">
              <w:rPr>
                <w:bCs/>
              </w:rPr>
              <w:t xml:space="preserve"> </w:t>
            </w:r>
            <w:r w:rsidR="00AC7362" w:rsidRPr="00355C20">
              <w:rPr>
                <w:bCs/>
              </w:rPr>
              <w:t>-1</w:t>
            </w:r>
            <w:proofErr w:type="gramEnd"/>
            <w:r w:rsidR="00AC7362" w:rsidRPr="00355C20">
              <w:rPr>
                <w:bCs/>
              </w:rPr>
              <w:t xml:space="preserve">9 </w:t>
            </w:r>
            <w:r w:rsidR="00D9718E">
              <w:rPr>
                <w:bCs/>
              </w:rPr>
              <w:t>izplatības</w:t>
            </w:r>
            <w:r w:rsidR="00AC7362" w:rsidRPr="00355C20">
              <w:rPr>
                <w:bCs/>
              </w:rPr>
              <w:t xml:space="preserve"> laik</w:t>
            </w:r>
            <w:r w:rsidR="00B56469" w:rsidRPr="00355C20">
              <w:rPr>
                <w:bCs/>
              </w:rPr>
              <w:t>ā</w:t>
            </w:r>
            <w:r w:rsidR="00E87385">
              <w:rPr>
                <w:bCs/>
              </w:rPr>
              <w:t>:</w:t>
            </w:r>
          </w:p>
          <w:p w14:paraId="3860FAF4" w14:textId="244972BC" w:rsidR="0025257E" w:rsidRPr="00E87385" w:rsidRDefault="0025257E" w:rsidP="00E87385">
            <w:pPr>
              <w:pStyle w:val="ListParagraph"/>
              <w:numPr>
                <w:ilvl w:val="0"/>
                <w:numId w:val="13"/>
              </w:numPr>
              <w:ind w:left="379" w:right="11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385">
              <w:rPr>
                <w:rFonts w:ascii="Times New Roman" w:hAnsi="Times New Roman"/>
                <w:bCs/>
                <w:sz w:val="24"/>
                <w:szCs w:val="24"/>
              </w:rPr>
              <w:t>ieviešot attālinātu pieeju Fonda atbalsta nodrošināšanā</w:t>
            </w:r>
            <w:r w:rsidR="00E8738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07A51FF" w14:textId="2CA60388" w:rsidR="00AC7362" w:rsidRPr="00E87385" w:rsidRDefault="0025257E" w:rsidP="00E87385">
            <w:pPr>
              <w:pStyle w:val="ListParagraph"/>
              <w:numPr>
                <w:ilvl w:val="0"/>
                <w:numId w:val="13"/>
              </w:numPr>
              <w:ind w:left="379" w:right="11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385">
              <w:rPr>
                <w:rFonts w:ascii="Times New Roman" w:eastAsiaTheme="minorHAnsi" w:hAnsi="Times New Roman"/>
                <w:bCs/>
                <w:sz w:val="24"/>
                <w:szCs w:val="24"/>
              </w:rPr>
              <w:t>atbalstot drošas vides</w:t>
            </w:r>
            <w:r w:rsidR="00343C6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E87385">
              <w:rPr>
                <w:rFonts w:ascii="Times New Roman" w:eastAsiaTheme="minorHAnsi" w:hAnsi="Times New Roman"/>
                <w:bCs/>
                <w:sz w:val="24"/>
                <w:szCs w:val="24"/>
              </w:rPr>
              <w:t>izveidi, tostarp individuālās aizsardzības līdzekļu izmantošanu Fonda vadībā un īstenošanā iesaistītajiem</w:t>
            </w:r>
            <w:r w:rsidR="00B56469" w:rsidRPr="00E8738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F801E2B" w14:textId="594D2C86" w:rsidR="0025257E" w:rsidRPr="00121682" w:rsidRDefault="00E87385" w:rsidP="00D9718E">
            <w:pPr>
              <w:pStyle w:val="ListParagraph"/>
              <w:numPr>
                <w:ilvl w:val="0"/>
                <w:numId w:val="13"/>
              </w:numPr>
              <w:spacing w:after="0"/>
              <w:ind w:left="379" w:right="108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385">
              <w:rPr>
                <w:rFonts w:ascii="Times New Roman" w:hAnsi="Times New Roman"/>
                <w:bCs/>
                <w:sz w:val="24"/>
                <w:szCs w:val="24"/>
              </w:rPr>
              <w:t xml:space="preserve">veicot izmaiņas izdevumu attiecināmības nosacījumos </w:t>
            </w:r>
            <w:proofErr w:type="spellStart"/>
            <w:r w:rsidRPr="00E87385">
              <w:rPr>
                <w:rFonts w:ascii="Times New Roman" w:hAnsi="Times New Roman"/>
                <w:bCs/>
                <w:sz w:val="24"/>
                <w:szCs w:val="24"/>
              </w:rPr>
              <w:t>Covid-19</w:t>
            </w:r>
            <w:proofErr w:type="spellEnd"/>
            <w:r w:rsidRPr="00E873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718E">
              <w:rPr>
                <w:rFonts w:ascii="Times New Roman" w:hAnsi="Times New Roman"/>
                <w:bCs/>
                <w:sz w:val="24"/>
                <w:szCs w:val="24"/>
              </w:rPr>
              <w:t>izplatības</w:t>
            </w:r>
            <w:r w:rsidRPr="00E87385">
              <w:rPr>
                <w:rFonts w:ascii="Times New Roman" w:hAnsi="Times New Roman"/>
                <w:bCs/>
                <w:sz w:val="24"/>
                <w:szCs w:val="24"/>
              </w:rPr>
              <w:t>, ar to saistītās krīzes un tā</w:t>
            </w:r>
            <w:r w:rsidR="00D9718E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E87385">
              <w:rPr>
                <w:rFonts w:ascii="Times New Roman" w:hAnsi="Times New Roman"/>
                <w:bCs/>
                <w:sz w:val="24"/>
                <w:szCs w:val="24"/>
              </w:rPr>
              <w:t xml:space="preserve"> seku likvidēšanas laikā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10837" w:rsidRPr="00355C20" w14:paraId="3E5D314B" w14:textId="77777777" w:rsidTr="009F4A5C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804" w:type="dxa"/>
            <w:gridSpan w:val="4"/>
            <w:vAlign w:val="center"/>
            <w:hideMark/>
          </w:tcPr>
          <w:p w14:paraId="7A30D4B6" w14:textId="7226101D" w:rsidR="00487B6F" w:rsidRPr="00355C20" w:rsidRDefault="00487B6F" w:rsidP="00365CAA">
            <w:pPr>
              <w:spacing w:line="276" w:lineRule="auto"/>
              <w:jc w:val="center"/>
              <w:rPr>
                <w:b/>
                <w:bCs/>
              </w:rPr>
            </w:pPr>
            <w:r w:rsidRPr="00355C20">
              <w:rPr>
                <w:b/>
                <w:bCs/>
              </w:rPr>
              <w:t>I. Tiesību akta projekta izstrādes nepieciešamība</w:t>
            </w:r>
          </w:p>
        </w:tc>
      </w:tr>
      <w:tr w:rsidR="00810837" w:rsidRPr="00355C20" w14:paraId="1927B7FA" w14:textId="77777777" w:rsidTr="009F4A5C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1" w:type="dxa"/>
            <w:hideMark/>
          </w:tcPr>
          <w:p w14:paraId="1838E8BC" w14:textId="77777777" w:rsidR="00487B6F" w:rsidRPr="00355C20" w:rsidRDefault="00487B6F" w:rsidP="00365CAA">
            <w:pPr>
              <w:spacing w:line="276" w:lineRule="auto"/>
              <w:jc w:val="center"/>
            </w:pPr>
            <w:r w:rsidRPr="00355C20">
              <w:t>1.</w:t>
            </w:r>
          </w:p>
        </w:tc>
        <w:tc>
          <w:tcPr>
            <w:tcW w:w="1939" w:type="dxa"/>
            <w:gridSpan w:val="2"/>
            <w:hideMark/>
          </w:tcPr>
          <w:p w14:paraId="5A4529A5" w14:textId="77777777" w:rsidR="00487B6F" w:rsidRPr="00355C20" w:rsidRDefault="00487B6F" w:rsidP="00365CAA">
            <w:pPr>
              <w:spacing w:line="276" w:lineRule="auto"/>
            </w:pPr>
            <w:r w:rsidRPr="00355C20">
              <w:t>Pamatojums</w:t>
            </w:r>
          </w:p>
          <w:p w14:paraId="2A5B855F" w14:textId="77777777" w:rsidR="00487B6F" w:rsidRPr="00355C20" w:rsidRDefault="00487B6F" w:rsidP="00365CAA">
            <w:pPr>
              <w:spacing w:line="276" w:lineRule="auto"/>
            </w:pPr>
          </w:p>
        </w:tc>
        <w:tc>
          <w:tcPr>
            <w:tcW w:w="6284" w:type="dxa"/>
            <w:hideMark/>
          </w:tcPr>
          <w:p w14:paraId="217A9339" w14:textId="31AE1712" w:rsidR="00821348" w:rsidRPr="00355C20" w:rsidRDefault="00821348" w:rsidP="0040739D">
            <w:pPr>
              <w:spacing w:line="276" w:lineRule="auto"/>
              <w:ind w:left="94" w:right="112"/>
              <w:jc w:val="both"/>
            </w:pPr>
            <w:r w:rsidRPr="00355C20">
              <w:t>Noteikumu projekts izstrādāts</w:t>
            </w:r>
            <w:r w:rsidR="00A66DC2">
              <w:t xml:space="preserve"> </w:t>
            </w:r>
            <w:r w:rsidR="00A66DC2" w:rsidRPr="00A66DC2">
              <w:rPr>
                <w:bCs/>
              </w:rPr>
              <w:t>saistībā ar</w:t>
            </w:r>
          </w:p>
          <w:p w14:paraId="147374C8" w14:textId="300FAD8D" w:rsidR="00121682" w:rsidRDefault="00A66DC2" w:rsidP="0040739D">
            <w:pPr>
              <w:spacing w:line="276" w:lineRule="auto"/>
              <w:ind w:left="377" w:right="110" w:hanging="283"/>
              <w:jc w:val="both"/>
              <w:rPr>
                <w:bCs/>
              </w:rPr>
            </w:pPr>
            <w:r w:rsidRPr="007B6589">
              <w:rPr>
                <w:bCs/>
              </w:rPr>
              <w:t xml:space="preserve">1.1. </w:t>
            </w:r>
            <w:r w:rsidR="002E4F37" w:rsidRPr="007B6589">
              <w:rPr>
                <w:bCs/>
              </w:rPr>
              <w:t>Pasaules Veselības organizācijas</w:t>
            </w:r>
            <w:r w:rsidR="004E0F80" w:rsidRPr="007B6589">
              <w:rPr>
                <w:bCs/>
              </w:rPr>
              <w:t xml:space="preserve"> 2020.</w:t>
            </w:r>
            <w:r w:rsidR="002E4F37" w:rsidRPr="007B6589">
              <w:rPr>
                <w:bCs/>
              </w:rPr>
              <w:t> </w:t>
            </w:r>
            <w:r w:rsidR="004E0F80" w:rsidRPr="007B6589">
              <w:rPr>
                <w:bCs/>
              </w:rPr>
              <w:t>gada 11.</w:t>
            </w:r>
            <w:r w:rsidR="002E4F37" w:rsidRPr="007B6589">
              <w:rPr>
                <w:bCs/>
              </w:rPr>
              <w:t> </w:t>
            </w:r>
            <w:r w:rsidR="004E0F80" w:rsidRPr="007B6589">
              <w:rPr>
                <w:bCs/>
              </w:rPr>
              <w:t xml:space="preserve">marta </w:t>
            </w:r>
            <w:r w:rsidR="00EF2A35" w:rsidRPr="007B6589">
              <w:rPr>
                <w:bCs/>
              </w:rPr>
              <w:t>paziņojumu</w:t>
            </w:r>
            <w:r w:rsidR="00213694" w:rsidRPr="007B6589">
              <w:rPr>
                <w:bCs/>
              </w:rPr>
              <w:t xml:space="preserve"> par to,</w:t>
            </w:r>
            <w:r w:rsidR="00EF2A35" w:rsidRPr="007B6589">
              <w:rPr>
                <w:bCs/>
              </w:rPr>
              <w:t xml:space="preserve"> ka </w:t>
            </w:r>
            <w:proofErr w:type="spellStart"/>
            <w:r w:rsidR="004E0F80" w:rsidRPr="007B6589">
              <w:rPr>
                <w:bCs/>
              </w:rPr>
              <w:t>koronavīrusa</w:t>
            </w:r>
            <w:proofErr w:type="spellEnd"/>
            <w:r w:rsidR="004E0F80" w:rsidRPr="007B6589">
              <w:rPr>
                <w:bCs/>
              </w:rPr>
              <w:t xml:space="preserve"> izraisītā slimība (</w:t>
            </w:r>
            <w:proofErr w:type="spellStart"/>
            <w:r w:rsidR="001C4D41" w:rsidRPr="007B6589">
              <w:rPr>
                <w:bCs/>
              </w:rPr>
              <w:t>Covid-19</w:t>
            </w:r>
            <w:r w:rsidR="004E0F80" w:rsidRPr="007B6589">
              <w:rPr>
                <w:bCs/>
              </w:rPr>
              <w:t>)</w:t>
            </w:r>
            <w:proofErr w:type="spellEnd"/>
            <w:r w:rsidR="004E0F80" w:rsidRPr="007B6589">
              <w:rPr>
                <w:bCs/>
              </w:rPr>
              <w:t xml:space="preserve"> ir sasniegusi pandēmijas apmērus</w:t>
            </w:r>
            <w:r w:rsidR="0004460D" w:rsidRPr="007B6589">
              <w:rPr>
                <w:bCs/>
              </w:rPr>
              <w:t xml:space="preserve"> un </w:t>
            </w:r>
            <w:r w:rsidR="004E0F80" w:rsidRPr="007B6589">
              <w:rPr>
                <w:bCs/>
              </w:rPr>
              <w:t xml:space="preserve">Ministru </w:t>
            </w:r>
            <w:r w:rsidRPr="007B6589">
              <w:rPr>
                <w:bCs/>
              </w:rPr>
              <w:t xml:space="preserve">kabineta </w:t>
            </w:r>
            <w:r w:rsidR="004E0F80" w:rsidRPr="007B6589">
              <w:rPr>
                <w:bCs/>
              </w:rPr>
              <w:t>2020.</w:t>
            </w:r>
            <w:r w:rsidR="002E4F37" w:rsidRPr="007B6589">
              <w:rPr>
                <w:bCs/>
              </w:rPr>
              <w:t> </w:t>
            </w:r>
            <w:r w:rsidR="004E0F80" w:rsidRPr="007B6589">
              <w:rPr>
                <w:bCs/>
              </w:rPr>
              <w:t>gada 12.</w:t>
            </w:r>
            <w:r w:rsidR="002E4F37" w:rsidRPr="007B6589">
              <w:rPr>
                <w:bCs/>
              </w:rPr>
              <w:t> </w:t>
            </w:r>
            <w:r w:rsidR="004E0F80" w:rsidRPr="007B6589">
              <w:rPr>
                <w:bCs/>
              </w:rPr>
              <w:t>martā iz</w:t>
            </w:r>
            <w:r w:rsidR="002E4F37" w:rsidRPr="007B6589">
              <w:rPr>
                <w:bCs/>
              </w:rPr>
              <w:t>sludinā</w:t>
            </w:r>
            <w:r w:rsidR="0004460D" w:rsidRPr="007B6589">
              <w:rPr>
                <w:bCs/>
              </w:rPr>
              <w:t>to</w:t>
            </w:r>
            <w:r w:rsidR="002E4F37" w:rsidRPr="007B6589">
              <w:rPr>
                <w:bCs/>
              </w:rPr>
              <w:t xml:space="preserve"> ārkārtēju situāciju valstī</w:t>
            </w:r>
            <w:r w:rsidR="00121682">
              <w:rPr>
                <w:rStyle w:val="FootnoteReference"/>
                <w:bCs/>
              </w:rPr>
              <w:footnoteReference w:id="1"/>
            </w:r>
            <w:r w:rsidR="005F21C7" w:rsidRPr="007B6589">
              <w:rPr>
                <w:bCs/>
              </w:rPr>
              <w:t>;</w:t>
            </w:r>
          </w:p>
          <w:p w14:paraId="0C03DB4E" w14:textId="276A0E42" w:rsidR="00A66DC2" w:rsidRPr="007B6589" w:rsidRDefault="00121682" w:rsidP="0040739D">
            <w:pPr>
              <w:spacing w:line="276" w:lineRule="auto"/>
              <w:ind w:left="377" w:right="110" w:hanging="283"/>
              <w:jc w:val="both"/>
              <w:rPr>
                <w:bCs/>
              </w:rPr>
            </w:pPr>
            <w:r>
              <w:rPr>
                <w:bCs/>
              </w:rPr>
              <w:t>1.2. 2020.</w:t>
            </w:r>
            <w:r>
              <w:t> </w:t>
            </w:r>
            <w:r w:rsidR="00A66DC2" w:rsidRPr="007B6589">
              <w:rPr>
                <w:bCs/>
              </w:rPr>
              <w:t>gada 23. aprīlī pieņemto Eiropas Parlamenta un Padomes regulu (ES) 2020/</w:t>
            </w:r>
            <w:r w:rsidR="00314F84" w:rsidRPr="007B6589">
              <w:rPr>
                <w:bCs/>
              </w:rPr>
              <w:t>559</w:t>
            </w:r>
            <w:r w:rsidR="00A66DC2" w:rsidRPr="007B6589">
              <w:rPr>
                <w:bCs/>
              </w:rPr>
              <w:t xml:space="preserve">, ar ko Regulu (ES) 223/2014 groza attiecībā uz īpašu pasākumu ieviešanu </w:t>
            </w:r>
            <w:proofErr w:type="spellStart"/>
            <w:r w:rsidR="00A66DC2" w:rsidRPr="007B6589">
              <w:rPr>
                <w:bCs/>
              </w:rPr>
              <w:t>Covid-19</w:t>
            </w:r>
            <w:proofErr w:type="spellEnd"/>
            <w:r w:rsidR="00A66DC2" w:rsidRPr="007B6589">
              <w:rPr>
                <w:bCs/>
              </w:rPr>
              <w:t xml:space="preserve"> </w:t>
            </w:r>
            <w:r w:rsidR="00213694" w:rsidRPr="007B6589">
              <w:rPr>
                <w:bCs/>
              </w:rPr>
              <w:t>uzliesmojum</w:t>
            </w:r>
            <w:r w:rsidR="00BD10BC" w:rsidRPr="007B6589">
              <w:rPr>
                <w:bCs/>
              </w:rPr>
              <w:t>a</w:t>
            </w:r>
            <w:r w:rsidR="00A66DC2" w:rsidRPr="007B6589">
              <w:rPr>
                <w:bCs/>
              </w:rPr>
              <w:t xml:space="preserve"> risināšanai</w:t>
            </w:r>
            <w:r w:rsidR="00213694" w:rsidRPr="007B6589">
              <w:rPr>
                <w:bCs/>
              </w:rPr>
              <w:t>;</w:t>
            </w:r>
          </w:p>
          <w:p w14:paraId="373F7992" w14:textId="61CDF9C2" w:rsidR="009F7D0E" w:rsidRPr="00121682" w:rsidRDefault="00A66DC2" w:rsidP="00D9718E">
            <w:pPr>
              <w:spacing w:line="276" w:lineRule="auto"/>
              <w:ind w:left="377" w:right="110" w:hanging="283"/>
              <w:jc w:val="both"/>
              <w:rPr>
                <w:bCs/>
              </w:rPr>
            </w:pPr>
            <w:r w:rsidRPr="007B6589">
              <w:rPr>
                <w:bCs/>
              </w:rPr>
              <w:t>1.3. pēc Labklājības ministrijas uz</w:t>
            </w:r>
            <w:r w:rsidR="00213694" w:rsidRPr="007B6589">
              <w:rPr>
                <w:bCs/>
              </w:rPr>
              <w:t xml:space="preserve"> darbības programmas ieviešanas </w:t>
            </w:r>
            <w:r w:rsidRPr="007B6589">
              <w:rPr>
                <w:bCs/>
              </w:rPr>
              <w:t xml:space="preserve">atsevišķu gadījumu izvērtējuma balstītas iniciatīvas, kuras nozīmība palielinājusies </w:t>
            </w:r>
            <w:proofErr w:type="spellStart"/>
            <w:r w:rsidRPr="007B6589">
              <w:rPr>
                <w:bCs/>
                <w:iCs/>
              </w:rPr>
              <w:t>C</w:t>
            </w:r>
            <w:r w:rsidR="00455E21" w:rsidRPr="007B6589">
              <w:rPr>
                <w:bCs/>
                <w:iCs/>
              </w:rPr>
              <w:t>ovid</w:t>
            </w:r>
            <w:r w:rsidRPr="007B6589">
              <w:rPr>
                <w:bCs/>
              </w:rPr>
              <w:t>-19</w:t>
            </w:r>
            <w:proofErr w:type="spellEnd"/>
            <w:r w:rsidRPr="007B6589">
              <w:rPr>
                <w:bCs/>
              </w:rPr>
              <w:t xml:space="preserve"> </w:t>
            </w:r>
            <w:r w:rsidR="00D9718E">
              <w:rPr>
                <w:bCs/>
              </w:rPr>
              <w:t>izplatības</w:t>
            </w:r>
            <w:r w:rsidRPr="007B6589">
              <w:rPr>
                <w:bCs/>
              </w:rPr>
              <w:t xml:space="preserve"> laikā</w:t>
            </w:r>
            <w:r w:rsidR="005F21C7" w:rsidRPr="007B6589">
              <w:rPr>
                <w:bCs/>
              </w:rPr>
              <w:t>.</w:t>
            </w:r>
          </w:p>
        </w:tc>
      </w:tr>
      <w:tr w:rsidR="00953A9E" w:rsidRPr="00355C20" w14:paraId="6A28CE3F" w14:textId="77777777" w:rsidTr="009F4A5C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1" w:type="dxa"/>
          </w:tcPr>
          <w:p w14:paraId="23C9A573" w14:textId="134F0EC8" w:rsidR="00487B6F" w:rsidRPr="00355C20" w:rsidRDefault="00487B6F" w:rsidP="00365CAA">
            <w:pPr>
              <w:spacing w:line="276" w:lineRule="auto"/>
              <w:jc w:val="center"/>
            </w:pPr>
            <w:r w:rsidRPr="00355C20">
              <w:t>2.</w:t>
            </w:r>
          </w:p>
        </w:tc>
        <w:tc>
          <w:tcPr>
            <w:tcW w:w="1939" w:type="dxa"/>
            <w:gridSpan w:val="2"/>
          </w:tcPr>
          <w:p w14:paraId="09DCE607" w14:textId="77777777" w:rsidR="00487B6F" w:rsidRPr="00355C20" w:rsidRDefault="00487B6F" w:rsidP="00365CAA">
            <w:pPr>
              <w:spacing w:line="276" w:lineRule="auto"/>
            </w:pPr>
            <w:r w:rsidRPr="00355C20">
              <w:t>Pašreizējā situācija un problēmas, kuru risināšanai tiesību akta projekts izstrādāts, tiesiskā regulējuma mērķis un būtība</w:t>
            </w:r>
          </w:p>
        </w:tc>
        <w:tc>
          <w:tcPr>
            <w:tcW w:w="6284" w:type="dxa"/>
          </w:tcPr>
          <w:p w14:paraId="07B16A27" w14:textId="4942651E" w:rsidR="001F6885" w:rsidRPr="00355C20" w:rsidRDefault="00121682" w:rsidP="0040739D">
            <w:pPr>
              <w:spacing w:line="276" w:lineRule="auto"/>
              <w:ind w:left="94" w:right="112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bCs/>
              </w:rPr>
              <w:t xml:space="preserve">Darbības programmas </w:t>
            </w:r>
            <w:r w:rsidR="004552C4" w:rsidRPr="007B6589">
              <w:rPr>
                <w:rFonts w:eastAsiaTheme="minorHAnsi" w:cstheme="minorBidi"/>
                <w:lang w:eastAsia="en-US"/>
              </w:rPr>
              <w:t>mērķis</w:t>
            </w:r>
            <w:r w:rsidR="004552C4" w:rsidRPr="00355C20">
              <w:rPr>
                <w:rFonts w:eastAsiaTheme="minorHAnsi" w:cstheme="minorBidi"/>
                <w:lang w:eastAsia="en-US"/>
              </w:rPr>
              <w:t xml:space="preserve"> ir – mazināt pārtikas un pamata materiālo nenodrošinātību, vienlaikus mazinot vistrūcīgāko iedzīvotāju sociālo atstumtību.</w:t>
            </w:r>
          </w:p>
          <w:p w14:paraId="60232544" w14:textId="77777777" w:rsidR="00121682" w:rsidRDefault="0017416D" w:rsidP="0040739D">
            <w:pPr>
              <w:spacing w:line="276" w:lineRule="auto"/>
              <w:ind w:left="94" w:right="112"/>
              <w:jc w:val="both"/>
              <w:rPr>
                <w:rFonts w:eastAsiaTheme="minorHAnsi" w:cstheme="minorBidi"/>
                <w:lang w:eastAsia="en-US"/>
              </w:rPr>
            </w:pPr>
            <w:r w:rsidRPr="00355C20">
              <w:t xml:space="preserve">Labklājības ministrija kā Fonda vadošā iestāde </w:t>
            </w:r>
            <w:r w:rsidR="00B16DF2">
              <w:t xml:space="preserve">atbild par </w:t>
            </w:r>
            <w:r w:rsidR="00DD6176">
              <w:t xml:space="preserve">Fonda </w:t>
            </w:r>
            <w:r w:rsidRPr="00D541B6">
              <w:t>nefinansiāl</w:t>
            </w:r>
            <w:r w:rsidR="00B16DF2" w:rsidRPr="00D541B6">
              <w:t>a</w:t>
            </w:r>
            <w:r w:rsidRPr="00D541B6">
              <w:t xml:space="preserve"> atbalst</w:t>
            </w:r>
            <w:r w:rsidR="00B16DF2" w:rsidRPr="00D541B6">
              <w:t>a</w:t>
            </w:r>
            <w:r w:rsidRPr="00D541B6">
              <w:t xml:space="preserve"> un sociālās iekļaušanas papildpasākumu </w:t>
            </w:r>
            <w:r w:rsidR="00B16DF2" w:rsidRPr="007B6589">
              <w:t>nodrošin</w:t>
            </w:r>
            <w:r w:rsidR="00B16DF2" w:rsidRPr="00D541B6">
              <w:t xml:space="preserve">āšanu </w:t>
            </w:r>
            <w:r w:rsidRPr="00D541B6">
              <w:t>trūcīgām</w:t>
            </w:r>
            <w:r w:rsidRPr="00355C20">
              <w:t xml:space="preserve">, krīzes situācijā nonākušām ģimenēm (personām), kā arī maznodrošinātām ģimenēm (personām), </w:t>
            </w:r>
            <w:r w:rsidR="003630B8" w:rsidRPr="0046501F">
              <w:t>kuru ie</w:t>
            </w:r>
            <w:r w:rsidR="003630B8">
              <w:t xml:space="preserve">nākumi personai nepārsniedz </w:t>
            </w:r>
            <w:r w:rsidRPr="00355C20">
              <w:t>242 </w:t>
            </w:r>
            <w:r w:rsidRPr="00355C20">
              <w:rPr>
                <w:i/>
              </w:rPr>
              <w:t>euro</w:t>
            </w:r>
            <w:r w:rsidRPr="00355C20">
              <w:t xml:space="preserve"> (turpmāk – atbalst</w:t>
            </w:r>
            <w:r w:rsidR="00F02EB3" w:rsidRPr="00355C20">
              <w:t>a</w:t>
            </w:r>
            <w:r w:rsidR="00E41753" w:rsidRPr="00355C20">
              <w:t xml:space="preserve"> saņēmēji</w:t>
            </w:r>
            <w:r w:rsidRPr="00355C20">
              <w:t>)</w:t>
            </w:r>
            <w:r w:rsidR="00B16DF2">
              <w:t xml:space="preserve"> visā </w:t>
            </w:r>
            <w:r w:rsidR="00121682">
              <w:t>valstī.</w:t>
            </w:r>
            <w:r w:rsidR="00121682" w:rsidRPr="00355C20">
              <w:rPr>
                <w:rFonts w:eastAsiaTheme="minorHAnsi" w:cstheme="minorBidi"/>
                <w:lang w:eastAsia="en-US"/>
              </w:rPr>
              <w:t xml:space="preserve"> </w:t>
            </w:r>
          </w:p>
          <w:p w14:paraId="09CF5BD4" w14:textId="3F599B9D" w:rsidR="003630B8" w:rsidRDefault="00121682" w:rsidP="0040739D">
            <w:pPr>
              <w:spacing w:line="276" w:lineRule="auto"/>
              <w:ind w:left="94" w:right="112"/>
              <w:jc w:val="both"/>
              <w:rPr>
                <w:rFonts w:eastAsiaTheme="minorHAnsi" w:cstheme="minorBidi"/>
                <w:lang w:eastAsia="en-US"/>
              </w:rPr>
            </w:pPr>
            <w:r w:rsidRPr="00355C20">
              <w:rPr>
                <w:rFonts w:eastAsiaTheme="minorHAnsi" w:cstheme="minorBidi"/>
                <w:lang w:eastAsia="en-US"/>
              </w:rPr>
              <w:t>Latvijā</w:t>
            </w:r>
            <w:r w:rsidR="003630B8" w:rsidRPr="00355C20">
              <w:rPr>
                <w:rFonts w:eastAsiaTheme="minorHAnsi" w:cstheme="minorBidi"/>
                <w:lang w:eastAsia="en-US"/>
              </w:rPr>
              <w:t xml:space="preserve"> Fonda atbalstu (pārtiku un pamata materiālo palīdzību) </w:t>
            </w:r>
            <w:r w:rsidR="00C64838">
              <w:rPr>
                <w:rFonts w:eastAsiaTheme="minorHAnsi" w:cstheme="minorBidi"/>
                <w:lang w:eastAsia="en-US"/>
              </w:rPr>
              <w:t xml:space="preserve">no </w:t>
            </w:r>
            <w:r w:rsidR="002445F8">
              <w:rPr>
                <w:rFonts w:eastAsiaTheme="minorHAnsi" w:cstheme="minorBidi"/>
                <w:lang w:eastAsia="en-US"/>
              </w:rPr>
              <w:t>2015</w:t>
            </w:r>
            <w:r w:rsidR="004D40B3">
              <w:rPr>
                <w:rFonts w:eastAsiaTheme="minorHAnsi" w:cstheme="minorBidi"/>
                <w:lang w:eastAsia="en-US"/>
              </w:rPr>
              <w:t>.</w:t>
            </w:r>
            <w:r w:rsidR="00FC2A44">
              <w:rPr>
                <w:rFonts w:eastAsiaTheme="minorHAnsi" w:cstheme="minorBidi"/>
                <w:lang w:eastAsia="en-US"/>
              </w:rPr>
              <w:t> </w:t>
            </w:r>
            <w:r w:rsidR="004D40B3">
              <w:rPr>
                <w:rFonts w:eastAsiaTheme="minorHAnsi" w:cstheme="minorBidi"/>
                <w:lang w:eastAsia="en-US"/>
              </w:rPr>
              <w:t>g</w:t>
            </w:r>
            <w:r w:rsidR="00C64838">
              <w:rPr>
                <w:rFonts w:eastAsiaTheme="minorHAnsi" w:cstheme="minorBidi"/>
                <w:lang w:eastAsia="en-US"/>
              </w:rPr>
              <w:t xml:space="preserve">ada </w:t>
            </w:r>
            <w:r w:rsidR="002445F8">
              <w:rPr>
                <w:rFonts w:eastAsiaTheme="minorHAnsi" w:cstheme="minorBidi"/>
                <w:lang w:eastAsia="en-US"/>
              </w:rPr>
              <w:t>līdz 2019.</w:t>
            </w:r>
            <w:r w:rsidR="008236F1">
              <w:rPr>
                <w:rFonts w:eastAsiaTheme="minorHAnsi" w:cstheme="minorBidi"/>
                <w:lang w:eastAsia="en-US"/>
              </w:rPr>
              <w:t> </w:t>
            </w:r>
            <w:r w:rsidR="002445F8">
              <w:rPr>
                <w:rFonts w:eastAsiaTheme="minorHAnsi" w:cstheme="minorBidi"/>
                <w:lang w:eastAsia="en-US"/>
              </w:rPr>
              <w:t>gad</w:t>
            </w:r>
            <w:r w:rsidR="00C64838">
              <w:rPr>
                <w:rFonts w:eastAsiaTheme="minorHAnsi" w:cstheme="minorBidi"/>
                <w:lang w:eastAsia="en-US"/>
              </w:rPr>
              <w:t xml:space="preserve">am </w:t>
            </w:r>
            <w:r w:rsidR="003630B8" w:rsidRPr="00355C20">
              <w:rPr>
                <w:rFonts w:eastAsiaTheme="minorHAnsi" w:cstheme="minorBidi"/>
                <w:lang w:eastAsia="en-US"/>
              </w:rPr>
              <w:t>ikgad</w:t>
            </w:r>
            <w:r w:rsidR="002445F8">
              <w:rPr>
                <w:rFonts w:eastAsiaTheme="minorHAnsi" w:cstheme="minorBidi"/>
                <w:lang w:eastAsia="en-US"/>
              </w:rPr>
              <w:t>ēji</w:t>
            </w:r>
            <w:r w:rsidR="003630B8" w:rsidRPr="00355C20">
              <w:rPr>
                <w:rFonts w:eastAsiaTheme="minorHAnsi" w:cstheme="minorBidi"/>
                <w:lang w:eastAsia="en-US"/>
              </w:rPr>
              <w:t xml:space="preserve"> </w:t>
            </w:r>
            <w:r w:rsidR="002445F8">
              <w:rPr>
                <w:rFonts w:eastAsiaTheme="minorHAnsi" w:cstheme="minorBidi"/>
                <w:lang w:eastAsia="en-US"/>
              </w:rPr>
              <w:t>saņēma</w:t>
            </w:r>
            <w:r w:rsidR="002445F8" w:rsidRPr="00355C20">
              <w:rPr>
                <w:rFonts w:eastAsiaTheme="minorHAnsi" w:cstheme="minorBidi"/>
                <w:lang w:eastAsia="en-US"/>
              </w:rPr>
              <w:t xml:space="preserve"> </w:t>
            </w:r>
            <w:r w:rsidR="00C64838">
              <w:rPr>
                <w:rFonts w:eastAsiaTheme="minorHAnsi" w:cstheme="minorBidi"/>
                <w:lang w:eastAsia="en-US"/>
              </w:rPr>
              <w:t>vidēji 67,2</w:t>
            </w:r>
            <w:r w:rsidR="003630B8" w:rsidRPr="00355C20">
              <w:rPr>
                <w:rFonts w:eastAsiaTheme="minorHAnsi" w:cstheme="minorBidi"/>
                <w:lang w:eastAsia="en-US"/>
              </w:rPr>
              <w:t> tū</w:t>
            </w:r>
            <w:r>
              <w:rPr>
                <w:rFonts w:eastAsiaTheme="minorHAnsi" w:cstheme="minorBidi"/>
                <w:lang w:eastAsia="en-US"/>
              </w:rPr>
              <w:t>kst. unikālo atbalsta saņēmēju.</w:t>
            </w:r>
          </w:p>
          <w:p w14:paraId="61C96307" w14:textId="75292D03" w:rsidR="002E348D" w:rsidRDefault="00BD10BC" w:rsidP="0040739D">
            <w:pPr>
              <w:spacing w:after="120" w:line="276" w:lineRule="auto"/>
              <w:ind w:left="96" w:right="113"/>
              <w:jc w:val="both"/>
              <w:rPr>
                <w:bCs/>
              </w:rPr>
            </w:pPr>
            <w:proofErr w:type="spellStart"/>
            <w:r w:rsidRPr="00BD10BC">
              <w:rPr>
                <w:rFonts w:eastAsiaTheme="minorHAnsi" w:cstheme="minorBidi"/>
                <w:bCs/>
                <w:iCs/>
                <w:lang w:eastAsia="en-US"/>
              </w:rPr>
              <w:t>Covid</w:t>
            </w:r>
            <w:r w:rsidRPr="00BD10BC">
              <w:rPr>
                <w:rFonts w:eastAsiaTheme="minorHAnsi" w:cstheme="minorBidi"/>
                <w:bCs/>
                <w:lang w:eastAsia="en-US"/>
              </w:rPr>
              <w:t>-19</w:t>
            </w:r>
            <w:proofErr w:type="spellEnd"/>
            <w:r w:rsidRPr="00BD10BC">
              <w:rPr>
                <w:rFonts w:eastAsiaTheme="minorHAnsi" w:cstheme="minorBidi"/>
                <w:bCs/>
                <w:lang w:eastAsia="en-US"/>
              </w:rPr>
              <w:t xml:space="preserve"> </w:t>
            </w:r>
            <w:r w:rsidR="00D9718E">
              <w:rPr>
                <w:rFonts w:eastAsiaTheme="minorHAnsi" w:cstheme="minorBidi"/>
                <w:bCs/>
                <w:lang w:eastAsia="en-US"/>
              </w:rPr>
              <w:t>izplatība</w:t>
            </w:r>
            <w:r w:rsidRPr="004D40B3">
              <w:rPr>
                <w:rFonts w:eastAsiaTheme="minorHAnsi" w:cstheme="minorBidi"/>
                <w:bCs/>
                <w:lang w:eastAsia="en-US"/>
              </w:rPr>
              <w:t xml:space="preserve"> </w:t>
            </w:r>
            <w:r w:rsidR="00DC50F1" w:rsidRPr="004D40B3">
              <w:rPr>
                <w:rFonts w:eastAsiaTheme="minorHAnsi" w:cstheme="minorBidi"/>
                <w:lang w:eastAsia="en-US"/>
              </w:rPr>
              <w:t>atbalsta saņēmējiem</w:t>
            </w:r>
            <w:r w:rsidR="00333086" w:rsidRPr="004D40B3">
              <w:rPr>
                <w:rFonts w:eastAsiaTheme="minorHAnsi" w:cstheme="minorBidi"/>
                <w:lang w:eastAsia="en-US"/>
              </w:rPr>
              <w:t>, kas ir visneaizsargātākās sabiedrīb</w:t>
            </w:r>
            <w:r w:rsidR="000F2B9E" w:rsidRPr="004D40B3">
              <w:rPr>
                <w:rFonts w:eastAsiaTheme="minorHAnsi" w:cstheme="minorBidi"/>
                <w:lang w:eastAsia="en-US"/>
              </w:rPr>
              <w:t>as daļa</w:t>
            </w:r>
            <w:r w:rsidR="0017416D" w:rsidRPr="004D40B3">
              <w:rPr>
                <w:rFonts w:eastAsiaTheme="minorHAnsi" w:cstheme="minorBidi"/>
                <w:lang w:eastAsia="en-US"/>
              </w:rPr>
              <w:t>, rada īpašus riskus</w:t>
            </w:r>
            <w:r w:rsidR="00333086" w:rsidRPr="004D40B3">
              <w:rPr>
                <w:rFonts w:eastAsiaTheme="minorHAnsi" w:cstheme="minorBidi"/>
                <w:lang w:eastAsia="en-US"/>
              </w:rPr>
              <w:t xml:space="preserve">. </w:t>
            </w:r>
            <w:r w:rsidR="002445F8" w:rsidRPr="004D40B3">
              <w:rPr>
                <w:rFonts w:eastAsiaTheme="minorHAnsi" w:cstheme="minorBidi"/>
                <w:lang w:eastAsia="en-US"/>
              </w:rPr>
              <w:t>P</w:t>
            </w:r>
            <w:r w:rsidR="002445F8">
              <w:rPr>
                <w:rFonts w:eastAsiaTheme="minorHAnsi" w:cstheme="minorBidi"/>
                <w:lang w:eastAsia="en-US"/>
              </w:rPr>
              <w:t>alielinās krīzes situācijā nonākušu personu skaits. Prognozēts, ka unikālo Fonda atbalsta saņēmēju skaits 2020.</w:t>
            </w:r>
            <w:r w:rsidR="004B7274">
              <w:rPr>
                <w:rFonts w:eastAsiaTheme="minorHAnsi" w:cstheme="minorBidi"/>
                <w:lang w:eastAsia="en-US"/>
              </w:rPr>
              <w:t> </w:t>
            </w:r>
            <w:r w:rsidR="002445F8">
              <w:rPr>
                <w:rFonts w:eastAsiaTheme="minorHAnsi" w:cstheme="minorBidi"/>
                <w:lang w:eastAsia="en-US"/>
              </w:rPr>
              <w:t xml:space="preserve">gadā sasniegs 90 tūkstošus. </w:t>
            </w:r>
            <w:r w:rsidR="00264BF9">
              <w:rPr>
                <w:rFonts w:eastAsiaTheme="minorHAnsi" w:cstheme="minorBidi"/>
                <w:lang w:eastAsia="en-US"/>
              </w:rPr>
              <w:t>Nepieciešami</w:t>
            </w:r>
            <w:r w:rsidR="00333086" w:rsidRPr="00355C20">
              <w:rPr>
                <w:rFonts w:eastAsiaTheme="minorHAnsi" w:cstheme="minorBidi"/>
                <w:lang w:eastAsia="en-US"/>
              </w:rPr>
              <w:t xml:space="preserve"> pasākumi </w:t>
            </w:r>
            <w:r w:rsidR="00C64838" w:rsidRPr="00355C20">
              <w:rPr>
                <w:rFonts w:eastAsiaTheme="minorHAnsi" w:cstheme="minorBidi"/>
                <w:lang w:eastAsia="en-US"/>
              </w:rPr>
              <w:t>š</w:t>
            </w:r>
            <w:r w:rsidR="00C64838">
              <w:rPr>
                <w:rFonts w:eastAsiaTheme="minorHAnsi" w:cstheme="minorBidi"/>
                <w:lang w:eastAsia="en-US"/>
              </w:rPr>
              <w:t>o</w:t>
            </w:r>
            <w:r w:rsidR="00C64838" w:rsidRPr="00355C20">
              <w:rPr>
                <w:rFonts w:eastAsiaTheme="minorHAnsi" w:cstheme="minorBidi"/>
                <w:lang w:eastAsia="en-US"/>
              </w:rPr>
              <w:t xml:space="preserve"> person</w:t>
            </w:r>
            <w:r w:rsidR="00C64838">
              <w:rPr>
                <w:rFonts w:eastAsiaTheme="minorHAnsi" w:cstheme="minorBidi"/>
                <w:lang w:eastAsia="en-US"/>
              </w:rPr>
              <w:t>u</w:t>
            </w:r>
            <w:r w:rsidR="00C64838" w:rsidRPr="00355C20">
              <w:rPr>
                <w:rFonts w:eastAsiaTheme="minorHAnsi" w:cstheme="minorBidi"/>
                <w:lang w:eastAsia="en-US"/>
              </w:rPr>
              <w:t xml:space="preserve"> </w:t>
            </w:r>
            <w:r w:rsidR="00C64838">
              <w:rPr>
                <w:rFonts w:eastAsiaTheme="minorHAnsi" w:cstheme="minorBidi"/>
                <w:lang w:eastAsia="en-US"/>
              </w:rPr>
              <w:t>aizsardzībai</w:t>
            </w:r>
            <w:r w:rsidR="00333086" w:rsidRPr="00355C20">
              <w:rPr>
                <w:rFonts w:eastAsiaTheme="minorHAnsi" w:cstheme="minorBidi"/>
                <w:lang w:eastAsia="en-US"/>
              </w:rPr>
              <w:t>,</w:t>
            </w:r>
            <w:r w:rsidR="00264BF9">
              <w:rPr>
                <w:rFonts w:eastAsiaTheme="minorHAnsi" w:cstheme="minorBidi"/>
                <w:lang w:eastAsia="en-US"/>
              </w:rPr>
              <w:t xml:space="preserve"> maksimāli ierobežojot</w:t>
            </w:r>
            <w:r w:rsidR="00264BF9" w:rsidRPr="007F7FE6">
              <w:rPr>
                <w:rFonts w:eastAsiaTheme="minorHAnsi" w:cstheme="minorBidi"/>
                <w:color w:val="FF0000"/>
                <w:lang w:eastAsia="en-US"/>
              </w:rPr>
              <w:t xml:space="preserve"> </w:t>
            </w:r>
            <w:r w:rsidR="00264BF9" w:rsidRPr="007B6589">
              <w:rPr>
                <w:rFonts w:eastAsiaTheme="minorHAnsi" w:cstheme="minorBidi"/>
                <w:lang w:eastAsia="en-US"/>
              </w:rPr>
              <w:t>risku tām inficēties</w:t>
            </w:r>
            <w:r w:rsidR="00C64838" w:rsidRPr="00264BF9">
              <w:rPr>
                <w:rFonts w:eastAsiaTheme="minorHAnsi" w:cstheme="minorBidi"/>
                <w:lang w:eastAsia="en-US"/>
              </w:rPr>
              <w:t xml:space="preserve">, vienlaikus </w:t>
            </w:r>
            <w:r w:rsidR="00C64838">
              <w:rPr>
                <w:rFonts w:eastAsiaTheme="minorHAnsi" w:cstheme="minorBidi"/>
                <w:lang w:eastAsia="en-US"/>
              </w:rPr>
              <w:t>nodrošinot,</w:t>
            </w:r>
            <w:r w:rsidR="00333086" w:rsidRPr="00355C20">
              <w:rPr>
                <w:rFonts w:eastAsiaTheme="minorHAnsi" w:cstheme="minorBidi"/>
                <w:lang w:eastAsia="en-US"/>
              </w:rPr>
              <w:t xml:space="preserve"> ka</w:t>
            </w:r>
            <w:r w:rsidR="002270AB" w:rsidRPr="00355C20">
              <w:rPr>
                <w:rFonts w:eastAsiaTheme="minorHAnsi" w:cstheme="minorBidi"/>
                <w:lang w:eastAsia="en-US"/>
              </w:rPr>
              <w:t xml:space="preserve"> </w:t>
            </w:r>
            <w:r w:rsidR="00B05608" w:rsidRPr="00355C20">
              <w:rPr>
                <w:rFonts w:eastAsiaTheme="minorHAnsi" w:cstheme="minorBidi"/>
                <w:lang w:eastAsia="en-US"/>
              </w:rPr>
              <w:t>Fonda</w:t>
            </w:r>
            <w:r w:rsidR="00333086" w:rsidRPr="00355C20">
              <w:rPr>
                <w:rFonts w:eastAsiaTheme="minorHAnsi" w:cstheme="minorBidi"/>
                <w:lang w:eastAsia="en-US"/>
              </w:rPr>
              <w:t xml:space="preserve"> </w:t>
            </w:r>
            <w:r w:rsidR="00BC252C" w:rsidRPr="00355C20">
              <w:rPr>
                <w:rFonts w:eastAsiaTheme="minorHAnsi" w:cstheme="minorBidi"/>
                <w:lang w:eastAsia="en-US"/>
              </w:rPr>
              <w:t>atbalsts</w:t>
            </w:r>
            <w:r w:rsidR="00264BF9">
              <w:rPr>
                <w:rFonts w:eastAsiaTheme="minorHAnsi" w:cstheme="minorBidi"/>
                <w:lang w:eastAsia="en-US"/>
              </w:rPr>
              <w:t xml:space="preserve"> ir</w:t>
            </w:r>
            <w:r w:rsidR="00333086" w:rsidRPr="00355C20">
              <w:rPr>
                <w:rFonts w:eastAsiaTheme="minorHAnsi" w:cstheme="minorBidi"/>
                <w:lang w:eastAsia="en-US"/>
              </w:rPr>
              <w:t xml:space="preserve"> </w:t>
            </w:r>
            <w:r w:rsidR="00264BF9" w:rsidRPr="00355C20">
              <w:rPr>
                <w:bCs/>
              </w:rPr>
              <w:t>sasniedzam</w:t>
            </w:r>
            <w:r w:rsidR="00264BF9">
              <w:rPr>
                <w:bCs/>
              </w:rPr>
              <w:t>s un</w:t>
            </w:r>
            <w:r w:rsidR="00264BF9" w:rsidRPr="00355C20" w:rsidDel="00264BF9">
              <w:rPr>
                <w:rFonts w:eastAsiaTheme="minorHAnsi" w:cstheme="minorBidi"/>
                <w:lang w:eastAsia="en-US"/>
              </w:rPr>
              <w:t xml:space="preserve"> </w:t>
            </w:r>
            <w:r w:rsidR="00264BF9">
              <w:rPr>
                <w:rFonts w:eastAsiaTheme="minorHAnsi" w:cstheme="minorBidi"/>
                <w:lang w:eastAsia="en-US"/>
              </w:rPr>
              <w:t>netiek pārtraukts.</w:t>
            </w:r>
          </w:p>
          <w:p w14:paraId="5AC3AF3F" w14:textId="05D76E18" w:rsidR="00010840" w:rsidRDefault="00430C11" w:rsidP="0040739D">
            <w:pPr>
              <w:spacing w:line="276" w:lineRule="auto"/>
              <w:ind w:left="94" w:right="112"/>
              <w:jc w:val="both"/>
              <w:rPr>
                <w:bCs/>
              </w:rPr>
            </w:pPr>
            <w:r w:rsidRPr="007B6589">
              <w:rPr>
                <w:rFonts w:eastAsiaTheme="minorHAnsi"/>
                <w:b/>
                <w:lang w:eastAsia="en-US"/>
              </w:rPr>
              <w:t>2.1.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B44C7" w:rsidRPr="006B44C7">
              <w:rPr>
                <w:bCs/>
                <w:u w:val="single"/>
              </w:rPr>
              <w:t>Ieviešot attālinātu pieeju, Fonda</w:t>
            </w:r>
            <w:r w:rsidR="00D60F44" w:rsidRPr="007B6589">
              <w:rPr>
                <w:bCs/>
                <w:u w:val="single"/>
              </w:rPr>
              <w:t xml:space="preserve"> atbalsta nodrošināšanā</w:t>
            </w:r>
            <w:r w:rsidR="006B44C7">
              <w:rPr>
                <w:bCs/>
              </w:rPr>
              <w:t>,</w:t>
            </w:r>
          </w:p>
          <w:p w14:paraId="5ED8D386" w14:textId="734FB24B" w:rsidR="00EF7ED3" w:rsidRPr="007B6589" w:rsidRDefault="00010840" w:rsidP="0040739D">
            <w:pPr>
              <w:spacing w:line="276" w:lineRule="auto"/>
              <w:ind w:left="94" w:right="11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N</w:t>
            </w:r>
            <w:r w:rsidR="00D60F44" w:rsidRPr="004B63D9">
              <w:rPr>
                <w:rFonts w:eastAsiaTheme="minorHAnsi" w:cstheme="minorBidi"/>
                <w:lang w:eastAsia="en-US"/>
              </w:rPr>
              <w:t xml:space="preserve">oteikumu projekts paredz papildināt </w:t>
            </w:r>
            <w:r w:rsidR="00D60F44" w:rsidRPr="004B63D9">
              <w:rPr>
                <w:rFonts w:eastAsiaTheme="minorHAnsi"/>
                <w:lang w:eastAsia="en-US"/>
              </w:rPr>
              <w:t>spēkā esoš</w:t>
            </w:r>
            <w:r>
              <w:rPr>
                <w:rFonts w:eastAsiaTheme="minorHAnsi"/>
                <w:lang w:eastAsia="en-US"/>
              </w:rPr>
              <w:t>ajo</w:t>
            </w:r>
            <w:r w:rsidR="00D60F44" w:rsidRPr="004B63D9">
              <w:rPr>
                <w:rFonts w:eastAsiaTheme="minorHAnsi"/>
                <w:lang w:eastAsia="en-US"/>
              </w:rPr>
              <w:t xml:space="preserve">s Ministru kabineta </w:t>
            </w:r>
            <w:r w:rsidR="00D60F44">
              <w:rPr>
                <w:rFonts w:eastAsiaTheme="minorHAnsi"/>
                <w:lang w:eastAsia="en-US"/>
              </w:rPr>
              <w:t>noteikumos</w:t>
            </w:r>
            <w:r w:rsidR="00F07853">
              <w:rPr>
                <w:rFonts w:eastAsiaTheme="minorHAnsi"/>
                <w:lang w:eastAsia="en-US"/>
              </w:rPr>
              <w:t xml:space="preserve"> (28. un 29. punkts)</w:t>
            </w:r>
            <w:r w:rsidR="00D60F44">
              <w:rPr>
                <w:rFonts w:eastAsiaTheme="minorHAnsi"/>
                <w:lang w:eastAsia="en-US"/>
              </w:rPr>
              <w:t xml:space="preserve"> noteikto par </w:t>
            </w:r>
            <w:r w:rsidR="00D60F44" w:rsidRPr="0024215A">
              <w:rPr>
                <w:rFonts w:eastAsiaTheme="minorHAnsi"/>
                <w:lang w:eastAsia="en-US"/>
              </w:rPr>
              <w:t>personu tiešu iesaisti</w:t>
            </w:r>
            <w:r w:rsidR="00D60F44" w:rsidRPr="0024215A">
              <w:rPr>
                <w:rFonts w:eastAsiaTheme="minorHAnsi"/>
              </w:rPr>
              <w:t xml:space="preserve"> </w:t>
            </w:r>
            <w:r w:rsidR="00D60F44" w:rsidRPr="0024215A">
              <w:rPr>
                <w:rFonts w:eastAsiaTheme="minorHAnsi"/>
                <w:lang w:eastAsia="en-US"/>
              </w:rPr>
              <w:t>atbalsta saņemšanā</w:t>
            </w:r>
            <w:r w:rsidR="00D60F44" w:rsidRPr="0024215A">
              <w:rPr>
                <w:rFonts w:eastAsiaTheme="minorHAnsi"/>
              </w:rPr>
              <w:t xml:space="preserve"> (sociālā dienesta izsniegtas rakstiskas izziņas uzrādīšanu, atbalsta komplektu izsniegšanu izziņā norādītajai personai)</w:t>
            </w:r>
            <w:r w:rsidR="00D60F44" w:rsidRPr="00181FD6">
              <w:rPr>
                <w:rFonts w:eastAsiaTheme="minorHAnsi"/>
              </w:rPr>
              <w:t xml:space="preserve"> </w:t>
            </w:r>
            <w:r w:rsidR="00D60F44">
              <w:rPr>
                <w:rFonts w:eastAsiaTheme="minorHAnsi"/>
              </w:rPr>
              <w:t xml:space="preserve">un </w:t>
            </w:r>
            <w:r w:rsidR="00D60F44" w:rsidRPr="00181FD6">
              <w:rPr>
                <w:rFonts w:eastAsiaTheme="minorHAnsi"/>
              </w:rPr>
              <w:t>izsniegtā atbalsta komplektu uzskaites nodrošināšanu, izziņā veicot atzīmi</w:t>
            </w:r>
            <w:r w:rsidR="00D60F44">
              <w:rPr>
                <w:rFonts w:eastAsiaTheme="minorHAnsi"/>
                <w:lang w:eastAsia="en-US"/>
              </w:rPr>
              <w:t xml:space="preserve">, </w:t>
            </w:r>
            <w:r w:rsidR="00C40EB6" w:rsidRPr="007B6589">
              <w:rPr>
                <w:rFonts w:eastAsiaTheme="minorHAnsi" w:cstheme="minorBidi"/>
                <w:lang w:eastAsia="en-US"/>
              </w:rPr>
              <w:t xml:space="preserve">ar </w:t>
            </w:r>
            <w:r w:rsidR="008F4FA3" w:rsidRPr="008842EC">
              <w:rPr>
                <w:rFonts w:eastAsiaTheme="minorHAnsi" w:cstheme="minorBidi"/>
                <w:lang w:eastAsia="en-US"/>
              </w:rPr>
              <w:t>iespēju</w:t>
            </w:r>
            <w:r w:rsidR="008F4FA3" w:rsidRPr="00346E56">
              <w:rPr>
                <w:rFonts w:eastAsiaTheme="minorHAnsi" w:cstheme="minorBidi"/>
                <w:iCs/>
              </w:rPr>
              <w:t xml:space="preserve"> </w:t>
            </w:r>
            <w:r w:rsidR="00F07853">
              <w:rPr>
                <w:rFonts w:eastAsiaTheme="minorHAnsi" w:cstheme="minorBidi"/>
                <w:iCs/>
              </w:rPr>
              <w:t xml:space="preserve">pēc personas pieprasījuma </w:t>
            </w:r>
            <w:r w:rsidR="00C40EB6" w:rsidRPr="007B6589">
              <w:rPr>
                <w:rFonts w:eastAsiaTheme="minorHAnsi" w:cstheme="minorBidi"/>
              </w:rPr>
              <w:t xml:space="preserve">informāciju par sociālā dienesta </w:t>
            </w:r>
            <w:r w:rsidR="00F07853" w:rsidRPr="00671D6A">
              <w:rPr>
                <w:rFonts w:eastAsiaTheme="minorHAnsi" w:cstheme="minorBidi"/>
              </w:rPr>
              <w:t xml:space="preserve">sagatavoto </w:t>
            </w:r>
            <w:r w:rsidR="00C40EB6" w:rsidRPr="00671D6A">
              <w:rPr>
                <w:rFonts w:eastAsiaTheme="minorHAnsi" w:cstheme="minorBidi"/>
              </w:rPr>
              <w:t xml:space="preserve">izziņu saņemt </w:t>
            </w:r>
            <w:proofErr w:type="spellStart"/>
            <w:r w:rsidR="00C40EB6" w:rsidRPr="00671D6A">
              <w:rPr>
                <w:rFonts w:eastAsiaTheme="minorHAnsi" w:cstheme="minorBidi"/>
              </w:rPr>
              <w:t>attālināti</w:t>
            </w:r>
            <w:r w:rsidR="0034599B">
              <w:rPr>
                <w:rFonts w:eastAsiaTheme="minorHAnsi" w:cstheme="minorBidi"/>
              </w:rPr>
              <w:t>.</w:t>
            </w:r>
            <w:proofErr w:type="gramStart"/>
            <w:r w:rsidR="0034599B">
              <w:rPr>
                <w:rFonts w:eastAsiaTheme="minorHAnsi" w:cstheme="minorBidi"/>
              </w:rPr>
              <w:t>K</w:t>
            </w:r>
            <w:r w:rsidR="00212D19" w:rsidRPr="00671D6A">
              <w:rPr>
                <w:rFonts w:eastAsiaTheme="minorHAnsi" w:cstheme="minorBidi"/>
              </w:rPr>
              <w:t>ā</w:t>
            </w:r>
            <w:proofErr w:type="spellEnd"/>
            <w:r w:rsidR="00212D19" w:rsidRPr="00671D6A">
              <w:rPr>
                <w:rFonts w:eastAsiaTheme="minorHAnsi" w:cstheme="minorBidi"/>
              </w:rPr>
              <w:t xml:space="preserve"> arī pieļauj</w:t>
            </w:r>
            <w:r w:rsidR="00C40EB6" w:rsidRPr="00671D6A">
              <w:rPr>
                <w:rFonts w:eastAsiaTheme="minorHAnsi" w:cstheme="minorBidi"/>
              </w:rPr>
              <w:t xml:space="preserve"> a</w:t>
            </w:r>
            <w:r w:rsidR="00C40EB6" w:rsidRPr="00671D6A">
              <w:rPr>
                <w:bCs/>
              </w:rPr>
              <w:t>tbalsta komplektu saņem</w:t>
            </w:r>
            <w:r w:rsidR="00346E56" w:rsidRPr="00671D6A">
              <w:rPr>
                <w:bCs/>
              </w:rPr>
              <w:t>šanu un nogādāšanu līdz personas dzīvesvietai arī</w:t>
            </w:r>
            <w:r w:rsidR="00C40EB6" w:rsidRPr="00671D6A">
              <w:rPr>
                <w:bCs/>
              </w:rPr>
              <w:t xml:space="preserve"> atbalsta s</w:t>
            </w:r>
            <w:r w:rsidR="00346E56" w:rsidRPr="00671D6A">
              <w:rPr>
                <w:bCs/>
              </w:rPr>
              <w:t>aņēmēja vai pašvaldības nozīmētam pārstāvim</w:t>
            </w:r>
            <w:r w:rsidR="00671D6A" w:rsidRPr="00671D6A">
              <w:rPr>
                <w:bCs/>
              </w:rPr>
              <w:t>,</w:t>
            </w:r>
            <w:r w:rsidR="00671D6A">
              <w:rPr>
                <w:bCs/>
              </w:rPr>
              <w:t xml:space="preserve"> par </w:t>
            </w:r>
            <w:r w:rsidR="0034599B">
              <w:rPr>
                <w:bCs/>
              </w:rPr>
              <w:t>to</w:t>
            </w:r>
            <w:proofErr w:type="gramEnd"/>
            <w:r w:rsidR="00671D6A">
              <w:rPr>
                <w:bCs/>
              </w:rPr>
              <w:t xml:space="preserve"> inform</w:t>
            </w:r>
            <w:r w:rsidR="00737EBB">
              <w:rPr>
                <w:bCs/>
              </w:rPr>
              <w:t>ē</w:t>
            </w:r>
            <w:r w:rsidR="0034599B">
              <w:rPr>
                <w:bCs/>
              </w:rPr>
              <w:t>jot</w:t>
            </w:r>
            <w:r w:rsidR="00671D6A">
              <w:rPr>
                <w:bCs/>
              </w:rPr>
              <w:t xml:space="preserve"> </w:t>
            </w:r>
            <w:r w:rsidR="0034599B">
              <w:rPr>
                <w:bCs/>
              </w:rPr>
              <w:t xml:space="preserve">komplektu </w:t>
            </w:r>
            <w:r w:rsidR="00671D6A">
              <w:rPr>
                <w:bCs/>
              </w:rPr>
              <w:t>izdales viet</w:t>
            </w:r>
            <w:r w:rsidR="00737EBB">
              <w:rPr>
                <w:bCs/>
              </w:rPr>
              <w:t>u</w:t>
            </w:r>
            <w:r w:rsidR="00F07853">
              <w:rPr>
                <w:bCs/>
              </w:rPr>
              <w:t>. Minētajā gadījumā partnerorganizācija nodrošina atsevišķu uzskaiti</w:t>
            </w:r>
            <w:r w:rsidR="00BE6746">
              <w:rPr>
                <w:bCs/>
              </w:rPr>
              <w:t xml:space="preserve"> </w:t>
            </w:r>
            <w:r w:rsidR="00BE6621">
              <w:rPr>
                <w:bCs/>
              </w:rPr>
              <w:t xml:space="preserve">(Noteikumu projekta </w:t>
            </w:r>
            <w:r w:rsidR="0014680B">
              <w:rPr>
                <w:bCs/>
              </w:rPr>
              <w:t xml:space="preserve">3. un </w:t>
            </w:r>
            <w:r w:rsidR="00355782">
              <w:rPr>
                <w:bCs/>
              </w:rPr>
              <w:t>13</w:t>
            </w:r>
            <w:r w:rsidR="0014680B">
              <w:rPr>
                <w:bCs/>
              </w:rPr>
              <w:t>. punkts)</w:t>
            </w:r>
            <w:r w:rsidR="00BE6746">
              <w:rPr>
                <w:bCs/>
              </w:rPr>
              <w:t>.</w:t>
            </w:r>
            <w:r w:rsidR="008F4FA3" w:rsidRPr="008842EC">
              <w:rPr>
                <w:rFonts w:eastAsiaTheme="minorHAnsi" w:cstheme="minorBidi"/>
                <w:lang w:eastAsia="en-US"/>
              </w:rPr>
              <w:t xml:space="preserve"> </w:t>
            </w:r>
          </w:p>
          <w:p w14:paraId="68ACD696" w14:textId="18DEB959" w:rsidR="00E16D82" w:rsidRPr="00121682" w:rsidRDefault="00E16D82" w:rsidP="0040739D">
            <w:pPr>
              <w:spacing w:after="120" w:line="276" w:lineRule="auto"/>
              <w:ind w:left="96" w:right="113"/>
              <w:jc w:val="both"/>
            </w:pPr>
            <w:r>
              <w:rPr>
                <w:rFonts w:eastAsiaTheme="minorHAnsi" w:cstheme="minorBidi"/>
              </w:rPr>
              <w:t xml:space="preserve">Saistībā ar </w:t>
            </w:r>
            <w:r w:rsidRPr="00355C20">
              <w:rPr>
                <w:rFonts w:eastAsiaTheme="minorHAnsi" w:cstheme="minorBidi"/>
              </w:rPr>
              <w:t>normatīvajā regulējumā</w:t>
            </w:r>
            <w:r w:rsidR="009F2298">
              <w:rPr>
                <w:rStyle w:val="FootnoteReference"/>
                <w:rFonts w:eastAsiaTheme="minorHAnsi" w:cstheme="minorBidi"/>
              </w:rPr>
              <w:footnoteReference w:id="2"/>
            </w:r>
            <w:r w:rsidRPr="00355C20">
              <w:rPr>
                <w:rFonts w:eastAsiaTheme="minorHAnsi" w:cstheme="minorBidi"/>
              </w:rPr>
              <w:t xml:space="preserve"> noteikt</w:t>
            </w:r>
            <w:r>
              <w:rPr>
                <w:rFonts w:eastAsiaTheme="minorHAnsi" w:cstheme="minorBidi"/>
              </w:rPr>
              <w:t>o par</w:t>
            </w:r>
            <w:r w:rsidRPr="00355C20">
              <w:rPr>
                <w:rFonts w:eastAsiaTheme="minorHAnsi" w:cstheme="minorBidi"/>
              </w:rPr>
              <w:t xml:space="preserve"> </w:t>
            </w:r>
            <w:proofErr w:type="gramStart"/>
            <w:r w:rsidRPr="00355C20">
              <w:rPr>
                <w:rFonts w:eastAsiaTheme="minorHAnsi" w:cstheme="minorBidi"/>
              </w:rPr>
              <w:t>trūcīgas un maznodrošinātas ģimenes izziņas derīguma termiņa automātisk</w:t>
            </w:r>
            <w:r>
              <w:rPr>
                <w:rFonts w:eastAsiaTheme="minorHAnsi" w:cstheme="minorBidi"/>
              </w:rPr>
              <w:t>u</w:t>
            </w:r>
            <w:proofErr w:type="gramEnd"/>
            <w:r w:rsidRPr="00355C20">
              <w:rPr>
                <w:rFonts w:eastAsiaTheme="minorHAnsi" w:cstheme="minorBidi"/>
              </w:rPr>
              <w:t xml:space="preserve"> pagarināšana līdz mēnesim pēc ārkārt</w:t>
            </w:r>
            <w:r w:rsidR="00804D95">
              <w:rPr>
                <w:rFonts w:eastAsiaTheme="minorHAnsi" w:cstheme="minorBidi"/>
              </w:rPr>
              <w:t>ējās</w:t>
            </w:r>
            <w:r w:rsidRPr="00355C20">
              <w:rPr>
                <w:rFonts w:eastAsiaTheme="minorHAnsi" w:cstheme="minorBidi"/>
              </w:rPr>
              <w:t xml:space="preserve"> situācijas beigām</w:t>
            </w:r>
            <w:r>
              <w:t>, Noteikumu projekts papildināts ar nosacījumu par kopējam termiņam atbilstošu atbalsta komplektu apjomu (</w:t>
            </w:r>
            <w:r w:rsidRPr="00355C20">
              <w:t xml:space="preserve">Noteikumu projekta </w:t>
            </w:r>
            <w:r w:rsidR="00355782">
              <w:t>13</w:t>
            </w:r>
            <w:r w:rsidR="00804D95">
              <w:t> </w:t>
            </w:r>
            <w:r w:rsidRPr="00121682">
              <w:t>punkts).</w:t>
            </w:r>
          </w:p>
          <w:p w14:paraId="6DE3D852" w14:textId="58990405" w:rsidR="00672319" w:rsidRPr="007B6589" w:rsidRDefault="00672319" w:rsidP="0040739D">
            <w:pPr>
              <w:spacing w:line="276" w:lineRule="auto"/>
              <w:ind w:left="94" w:right="112"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7B6589">
              <w:rPr>
                <w:rFonts w:eastAsiaTheme="minorHAnsi" w:cstheme="minorBidi"/>
                <w:b/>
                <w:bCs/>
                <w:lang w:eastAsia="en-US"/>
              </w:rPr>
              <w:t>2.2.</w:t>
            </w:r>
            <w:r w:rsidRPr="007B6589">
              <w:rPr>
                <w:rFonts w:eastAsiaTheme="minorHAnsi" w:cstheme="minorBidi"/>
                <w:bCs/>
                <w:lang w:eastAsia="en-US"/>
              </w:rPr>
              <w:t xml:space="preserve"> </w:t>
            </w:r>
            <w:r w:rsidRPr="007B6589">
              <w:rPr>
                <w:rFonts w:eastAsiaTheme="minorHAnsi" w:cstheme="minorBidi"/>
                <w:bCs/>
                <w:u w:val="single"/>
                <w:lang w:eastAsia="en-US"/>
              </w:rPr>
              <w:t xml:space="preserve">Atbalstot drošas vides izveidi, tostarp </w:t>
            </w:r>
            <w:r w:rsidR="00343C6D" w:rsidRPr="006E6724">
              <w:rPr>
                <w:color w:val="414142"/>
                <w:shd w:val="clear" w:color="auto" w:fill="FFFFFF"/>
              </w:rPr>
              <w:t>epidemioloģiskās drošības</w:t>
            </w:r>
            <w:r w:rsidR="006E6724" w:rsidRPr="006E6724">
              <w:rPr>
                <w:color w:val="414142"/>
                <w:shd w:val="clear" w:color="auto" w:fill="FFFFFF"/>
              </w:rPr>
              <w:t xml:space="preserve"> pasākumu organizēšanu</w:t>
            </w:r>
            <w:r w:rsidR="00343C6D" w:rsidRPr="006E6724">
              <w:rPr>
                <w:color w:val="414142"/>
                <w:shd w:val="clear" w:color="auto" w:fill="FFFFFF"/>
              </w:rPr>
              <w:t>,</w:t>
            </w:r>
            <w:r w:rsidR="00343C6D" w:rsidRPr="006E6724">
              <w:rPr>
                <w:rFonts w:eastAsiaTheme="minorHAnsi"/>
                <w:bCs/>
                <w:u w:val="single"/>
                <w:lang w:eastAsia="en-US"/>
              </w:rPr>
              <w:t xml:space="preserve"> </w:t>
            </w:r>
            <w:r w:rsidRPr="007B6589">
              <w:rPr>
                <w:rFonts w:eastAsiaTheme="minorHAnsi" w:cstheme="minorBidi"/>
                <w:bCs/>
                <w:u w:val="single"/>
                <w:lang w:eastAsia="en-US"/>
              </w:rPr>
              <w:t xml:space="preserve">individuālās aizsardzības līdzekļu izmantošanu </w:t>
            </w:r>
            <w:r w:rsidR="006E6724">
              <w:rPr>
                <w:rFonts w:eastAsiaTheme="minorHAnsi" w:cstheme="minorBidi"/>
                <w:bCs/>
                <w:u w:val="single"/>
                <w:lang w:eastAsia="en-US"/>
              </w:rPr>
              <w:t xml:space="preserve">un citu pasākumu nodrošināšanu </w:t>
            </w:r>
            <w:r w:rsidRPr="007B6589">
              <w:rPr>
                <w:rFonts w:eastAsiaTheme="minorHAnsi" w:cstheme="minorBidi"/>
                <w:bCs/>
                <w:u w:val="single"/>
                <w:lang w:eastAsia="en-US"/>
              </w:rPr>
              <w:t>Fonda vadībā un īstenošanā iesaistītajiem</w:t>
            </w:r>
            <w:r w:rsidR="008136F5" w:rsidRPr="007B6589">
              <w:rPr>
                <w:rFonts w:eastAsiaTheme="minorHAnsi" w:cstheme="minorBidi"/>
                <w:bCs/>
                <w:lang w:eastAsia="en-US"/>
              </w:rPr>
              <w:t>,</w:t>
            </w:r>
          </w:p>
          <w:p w14:paraId="2A361E78" w14:textId="50FD3DF1" w:rsidR="00C352C8" w:rsidRDefault="00672319" w:rsidP="0040739D">
            <w:pPr>
              <w:spacing w:after="120" w:line="276" w:lineRule="auto"/>
              <w:ind w:left="96" w:right="113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Noteikumu projekts papildu</w:t>
            </w:r>
            <w:r w:rsidR="008136F5">
              <w:rPr>
                <w:rFonts w:eastAsiaTheme="minorHAnsi" w:cstheme="minorBidi"/>
                <w:lang w:eastAsia="en-US"/>
              </w:rPr>
              <w:t>s</w:t>
            </w:r>
            <w:r w:rsidR="008136F5" w:rsidRPr="004B63D9">
              <w:rPr>
                <w:rFonts w:eastAsiaTheme="minorHAnsi"/>
                <w:lang w:eastAsia="en-US"/>
              </w:rPr>
              <w:t xml:space="preserve"> spēkā esoš</w:t>
            </w:r>
            <w:r w:rsidR="008136F5">
              <w:rPr>
                <w:rFonts w:eastAsiaTheme="minorHAnsi"/>
                <w:lang w:eastAsia="en-US"/>
              </w:rPr>
              <w:t>ajo</w:t>
            </w:r>
            <w:r w:rsidR="008136F5" w:rsidRPr="004B63D9">
              <w:rPr>
                <w:rFonts w:eastAsiaTheme="minorHAnsi"/>
                <w:lang w:eastAsia="en-US"/>
              </w:rPr>
              <w:t xml:space="preserve">s Ministru kabineta </w:t>
            </w:r>
            <w:r w:rsidR="008136F5">
              <w:rPr>
                <w:rFonts w:eastAsiaTheme="minorHAnsi"/>
                <w:lang w:eastAsia="en-US"/>
              </w:rPr>
              <w:t>noteikumos noteiktajam</w:t>
            </w:r>
            <w:r w:rsidR="008136F5">
              <w:rPr>
                <w:rFonts w:eastAsiaTheme="minorHAnsi" w:cstheme="minorBidi"/>
                <w:lang w:eastAsia="en-US"/>
              </w:rPr>
              <w:t xml:space="preserve"> par </w:t>
            </w:r>
            <w:r>
              <w:rPr>
                <w:rFonts w:eastAsiaTheme="minorHAnsi" w:cstheme="minorBidi"/>
                <w:lang w:eastAsia="en-US"/>
              </w:rPr>
              <w:t>ties</w:t>
            </w:r>
            <w:r w:rsidR="008136F5">
              <w:rPr>
                <w:rFonts w:eastAsiaTheme="minorHAnsi" w:cstheme="minorBidi"/>
                <w:lang w:eastAsia="en-US"/>
              </w:rPr>
              <w:t>ībām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="008136F5">
              <w:rPr>
                <w:rFonts w:eastAsiaTheme="minorHAnsi" w:cstheme="minorBidi"/>
                <w:lang w:eastAsia="en-US"/>
              </w:rPr>
              <w:t>pārtikas preču un pamata materiālās palīdzības preču iegādei</w:t>
            </w:r>
            <w:r w:rsidR="004B7274">
              <w:rPr>
                <w:rFonts w:eastAsiaTheme="minorHAnsi" w:cstheme="minorBidi"/>
                <w:lang w:eastAsia="en-US"/>
              </w:rPr>
              <w:t xml:space="preserve"> un</w:t>
            </w:r>
            <w:r w:rsidR="008136F5">
              <w:rPr>
                <w:rFonts w:eastAsiaTheme="minorHAnsi" w:cstheme="minorBidi"/>
                <w:lang w:eastAsia="en-US"/>
              </w:rPr>
              <w:t xml:space="preserve"> izdalei atbalsta saņēmējiem</w:t>
            </w:r>
            <w:r w:rsidR="004B7274">
              <w:rPr>
                <w:rFonts w:eastAsiaTheme="minorHAnsi" w:cstheme="minorBidi"/>
                <w:lang w:eastAsia="en-US"/>
              </w:rPr>
              <w:t>,</w:t>
            </w:r>
            <w:r w:rsidR="008136F5">
              <w:rPr>
                <w:rFonts w:eastAsiaTheme="minorHAnsi" w:cstheme="minorBidi"/>
                <w:lang w:eastAsia="en-US"/>
              </w:rPr>
              <w:t xml:space="preserve"> un Fonda vadības un kontroles nodrošināšanai, paredz </w:t>
            </w:r>
            <w:r w:rsidR="007C0433">
              <w:rPr>
                <w:rFonts w:eastAsiaTheme="minorHAnsi" w:cstheme="minorBidi"/>
                <w:lang w:eastAsia="en-US"/>
              </w:rPr>
              <w:t xml:space="preserve">Fonda finansējuma saņemšanu arī </w:t>
            </w:r>
            <w:r>
              <w:rPr>
                <w:rFonts w:eastAsiaTheme="minorHAnsi" w:cstheme="minorBidi"/>
                <w:lang w:eastAsia="en-US"/>
              </w:rPr>
              <w:t xml:space="preserve">par </w:t>
            </w:r>
            <w:r w:rsidRPr="00672319">
              <w:rPr>
                <w:rFonts w:eastAsiaTheme="minorHAnsi" w:cstheme="minorBidi"/>
                <w:bCs/>
                <w:lang w:eastAsia="en-US"/>
              </w:rPr>
              <w:t xml:space="preserve">partnerorganizācijām paredzēto </w:t>
            </w:r>
            <w:r w:rsidRPr="00F24B50">
              <w:rPr>
                <w:rFonts w:eastAsiaTheme="minorHAnsi" w:cstheme="minorBidi"/>
                <w:bCs/>
                <w:lang w:eastAsia="en-US"/>
              </w:rPr>
              <w:t>individuālo aizsardzības līdzekļu</w:t>
            </w:r>
            <w:r w:rsidR="004111D3" w:rsidRPr="00F24B50">
              <w:rPr>
                <w:rFonts w:eastAsiaTheme="minorHAnsi" w:cstheme="minorBidi"/>
                <w:bCs/>
                <w:lang w:eastAsia="en-US"/>
              </w:rPr>
              <w:t xml:space="preserve"> un materiālu (piemēram,</w:t>
            </w:r>
            <w:r w:rsidR="006E6724" w:rsidRPr="00F24B50">
              <w:rPr>
                <w:rFonts w:eastAsiaTheme="minorHAnsi" w:cstheme="minorBidi"/>
                <w:bCs/>
                <w:lang w:eastAsia="en-US"/>
              </w:rPr>
              <w:t xml:space="preserve"> </w:t>
            </w:r>
            <w:r w:rsidR="00F24B50" w:rsidRPr="00F24B50">
              <w:rPr>
                <w:rFonts w:eastAsiaTheme="minorHAnsi" w:cstheme="minorBidi"/>
                <w:bCs/>
                <w:lang w:eastAsia="en-US"/>
              </w:rPr>
              <w:t xml:space="preserve">sejas </w:t>
            </w:r>
            <w:r w:rsidR="006E6724" w:rsidRPr="00F24B50">
              <w:rPr>
                <w:rFonts w:eastAsiaTheme="minorHAnsi" w:cstheme="minorBidi"/>
                <w:bCs/>
                <w:lang w:eastAsia="en-US"/>
              </w:rPr>
              <w:t>maska, cimdi,</w:t>
            </w:r>
            <w:r w:rsidR="00F24B50" w:rsidRPr="00F24B50">
              <w:rPr>
                <w:rFonts w:eastAsiaTheme="minorHAnsi" w:cstheme="minorBidi"/>
                <w:bCs/>
                <w:lang w:eastAsia="en-US"/>
              </w:rPr>
              <w:t xml:space="preserve"> dezinfekcijas līdzek</w:t>
            </w:r>
            <w:r w:rsidR="00F24B50">
              <w:rPr>
                <w:rFonts w:eastAsiaTheme="minorHAnsi" w:cstheme="minorBidi"/>
                <w:bCs/>
                <w:lang w:eastAsia="en-US"/>
              </w:rPr>
              <w:t>lis</w:t>
            </w:r>
            <w:r w:rsidR="00F24B50" w:rsidRPr="00F24B50">
              <w:rPr>
                <w:rFonts w:eastAsiaTheme="minorHAnsi" w:cstheme="minorBidi"/>
                <w:bCs/>
                <w:lang w:eastAsia="en-US"/>
              </w:rPr>
              <w:t xml:space="preserve"> u.c.</w:t>
            </w:r>
            <w:r w:rsidR="00343C6D" w:rsidRPr="00F24B50">
              <w:rPr>
                <w:rFonts w:eastAsiaTheme="minorHAnsi" w:cstheme="minorBidi"/>
                <w:bCs/>
                <w:lang w:eastAsia="en-US"/>
              </w:rPr>
              <w:t>)</w:t>
            </w:r>
            <w:r w:rsidRPr="00F24B50">
              <w:rPr>
                <w:rFonts w:eastAsiaTheme="minorHAnsi" w:cstheme="minorBidi"/>
                <w:bCs/>
                <w:lang w:eastAsia="en-US"/>
              </w:rPr>
              <w:t xml:space="preserve"> nodrošināšan</w:t>
            </w:r>
            <w:r w:rsidR="008136F5" w:rsidRPr="00F24B50">
              <w:rPr>
                <w:rFonts w:eastAsiaTheme="minorHAnsi" w:cstheme="minorBidi"/>
                <w:bCs/>
                <w:lang w:eastAsia="en-US"/>
              </w:rPr>
              <w:t>u</w:t>
            </w:r>
            <w:r w:rsidR="007C0433">
              <w:rPr>
                <w:rFonts w:eastAsiaTheme="minorHAnsi" w:cstheme="minorBidi"/>
                <w:bCs/>
                <w:lang w:eastAsia="en-US"/>
              </w:rPr>
              <w:t xml:space="preserve"> (</w:t>
            </w:r>
            <w:r w:rsidR="007C0433" w:rsidRPr="00355C20">
              <w:t>Not</w:t>
            </w:r>
            <w:r w:rsidR="007C0433">
              <w:t>eikumu projekta 1.</w:t>
            </w:r>
            <w:r w:rsidR="008126EA">
              <w:t xml:space="preserve"> </w:t>
            </w:r>
            <w:r w:rsidR="00E46C80">
              <w:t xml:space="preserve">un </w:t>
            </w:r>
            <w:r w:rsidR="000320B2">
              <w:t>2.</w:t>
            </w:r>
            <w:r w:rsidR="007C0433">
              <w:t> punkts)</w:t>
            </w:r>
            <w:r w:rsidR="004B7274">
              <w:t>.</w:t>
            </w:r>
            <w:r w:rsidR="00343C6D">
              <w:rPr>
                <w:rFonts w:eastAsiaTheme="minorHAnsi"/>
                <w:bCs/>
              </w:rPr>
              <w:t xml:space="preserve"> </w:t>
            </w:r>
          </w:p>
          <w:p w14:paraId="71BE22A1" w14:textId="6EC6CDDD" w:rsidR="00475C23" w:rsidRPr="00121682" w:rsidRDefault="000320B2" w:rsidP="0040739D">
            <w:pPr>
              <w:spacing w:line="276" w:lineRule="auto"/>
              <w:ind w:left="94" w:right="112"/>
              <w:jc w:val="both"/>
              <w:rPr>
                <w:rFonts w:eastAsiaTheme="minorHAnsi"/>
                <w:lang w:eastAsia="en-US"/>
              </w:rPr>
            </w:pPr>
            <w:r w:rsidRPr="00121682">
              <w:rPr>
                <w:rFonts w:eastAsiaTheme="minorHAnsi" w:cstheme="minorBidi"/>
                <w:b/>
                <w:lang w:eastAsia="en-US"/>
              </w:rPr>
              <w:t>2</w:t>
            </w:r>
            <w:r w:rsidRPr="00121682">
              <w:rPr>
                <w:rFonts w:eastAsiaTheme="minorHAnsi" w:cstheme="minorBidi"/>
                <w:lang w:eastAsia="en-US"/>
              </w:rPr>
              <w:t>.</w:t>
            </w:r>
            <w:r w:rsidRPr="00121682">
              <w:rPr>
                <w:rFonts w:eastAsiaTheme="minorHAnsi" w:cstheme="minorBidi"/>
                <w:b/>
                <w:lang w:eastAsia="en-US"/>
              </w:rPr>
              <w:t xml:space="preserve">3. </w:t>
            </w:r>
            <w:r w:rsidR="0047179E" w:rsidRPr="00121682">
              <w:rPr>
                <w:bCs/>
                <w:u w:val="single"/>
              </w:rPr>
              <w:t xml:space="preserve">Veicot izmaiņas izdevumu attiecināmības nosacījumos </w:t>
            </w:r>
            <w:proofErr w:type="spellStart"/>
            <w:r w:rsidR="0047179E" w:rsidRPr="00121682">
              <w:rPr>
                <w:bCs/>
                <w:u w:val="single"/>
              </w:rPr>
              <w:t>Covid-19</w:t>
            </w:r>
            <w:proofErr w:type="spellEnd"/>
            <w:r w:rsidR="0047179E" w:rsidRPr="00121682">
              <w:rPr>
                <w:bCs/>
                <w:u w:val="single"/>
              </w:rPr>
              <w:t xml:space="preserve"> </w:t>
            </w:r>
            <w:r w:rsidR="00D9718E">
              <w:rPr>
                <w:bCs/>
                <w:u w:val="single"/>
              </w:rPr>
              <w:t>izplatības</w:t>
            </w:r>
            <w:r w:rsidR="0047179E" w:rsidRPr="00121682">
              <w:rPr>
                <w:bCs/>
                <w:u w:val="single"/>
              </w:rPr>
              <w:t>, ar to saistītās krīzes un tā</w:t>
            </w:r>
            <w:r w:rsidR="00D9718E">
              <w:rPr>
                <w:bCs/>
                <w:u w:val="single"/>
              </w:rPr>
              <w:t>s</w:t>
            </w:r>
            <w:r w:rsidR="0047179E" w:rsidRPr="00121682">
              <w:rPr>
                <w:bCs/>
                <w:u w:val="single"/>
              </w:rPr>
              <w:t xml:space="preserve"> seku likvidēšanas laikā</w:t>
            </w:r>
            <w:r w:rsidR="00E87385">
              <w:rPr>
                <w:bCs/>
              </w:rPr>
              <w:t xml:space="preserve">, Noteikumu projekts </w:t>
            </w:r>
            <w:r w:rsidR="00E87385">
              <w:rPr>
                <w:rFonts w:eastAsiaTheme="minorHAnsi" w:cstheme="minorBidi"/>
                <w:lang w:eastAsia="en-US"/>
              </w:rPr>
              <w:t>papildus</w:t>
            </w:r>
            <w:r w:rsidR="00E87385" w:rsidRPr="004B63D9">
              <w:rPr>
                <w:rFonts w:eastAsiaTheme="minorHAnsi"/>
                <w:lang w:eastAsia="en-US"/>
              </w:rPr>
              <w:t xml:space="preserve"> spēkā esoš</w:t>
            </w:r>
            <w:r w:rsidR="00E87385">
              <w:rPr>
                <w:rFonts w:eastAsiaTheme="minorHAnsi"/>
                <w:lang w:eastAsia="en-US"/>
              </w:rPr>
              <w:t>ajo</w:t>
            </w:r>
            <w:r w:rsidR="00E87385" w:rsidRPr="004B63D9">
              <w:rPr>
                <w:rFonts w:eastAsiaTheme="minorHAnsi"/>
                <w:lang w:eastAsia="en-US"/>
              </w:rPr>
              <w:t xml:space="preserve">s Ministru kabineta </w:t>
            </w:r>
            <w:r w:rsidR="00E87385" w:rsidRPr="00121682">
              <w:rPr>
                <w:rFonts w:eastAsiaTheme="minorHAnsi"/>
                <w:lang w:eastAsia="en-US"/>
              </w:rPr>
              <w:t>noteikumos noteiktajam par izmaksu attiecināmību no Fonda</w:t>
            </w:r>
            <w:r w:rsidR="00BA64DE" w:rsidRPr="00121682">
              <w:rPr>
                <w:rFonts w:eastAsiaTheme="minorHAnsi"/>
                <w:lang w:eastAsia="en-US"/>
              </w:rPr>
              <w:t>,</w:t>
            </w:r>
            <w:r w:rsidR="007F679B" w:rsidRPr="00121682">
              <w:rPr>
                <w:rFonts w:eastAsiaTheme="minorHAnsi"/>
                <w:lang w:eastAsia="en-US"/>
              </w:rPr>
              <w:t xml:space="preserve"> </w:t>
            </w:r>
          </w:p>
          <w:p w14:paraId="403092DC" w14:textId="3536DCA9" w:rsidR="0040739D" w:rsidRDefault="00475C23" w:rsidP="0040739D">
            <w:pPr>
              <w:spacing w:line="276" w:lineRule="auto"/>
              <w:ind w:left="94" w:right="112"/>
              <w:jc w:val="both"/>
              <w:rPr>
                <w:rFonts w:eastAsiaTheme="minorHAnsi"/>
                <w:lang w:eastAsia="en-US"/>
              </w:rPr>
            </w:pPr>
            <w:r w:rsidRPr="00121682">
              <w:rPr>
                <w:rFonts w:eastAsiaTheme="minorHAnsi"/>
                <w:lang w:eastAsia="en-US"/>
              </w:rPr>
              <w:t xml:space="preserve">1) </w:t>
            </w:r>
            <w:r w:rsidR="00BA64DE" w:rsidRPr="00121682">
              <w:rPr>
                <w:rFonts w:eastAsiaTheme="minorHAnsi"/>
                <w:lang w:eastAsia="en-US"/>
              </w:rPr>
              <w:t xml:space="preserve">nosaka papildu </w:t>
            </w:r>
            <w:r w:rsidR="000359EC">
              <w:rPr>
                <w:rFonts w:eastAsiaTheme="minorHAnsi"/>
                <w:lang w:eastAsia="en-US"/>
              </w:rPr>
              <w:t xml:space="preserve">šādas </w:t>
            </w:r>
            <w:r w:rsidR="007F679B" w:rsidRPr="00121682">
              <w:rPr>
                <w:rFonts w:eastAsiaTheme="minorHAnsi"/>
                <w:lang w:eastAsia="en-US"/>
              </w:rPr>
              <w:t>tiešās attiecināmās izmaksas</w:t>
            </w:r>
            <w:r w:rsidR="0040739D">
              <w:rPr>
                <w:rFonts w:eastAsiaTheme="minorHAnsi"/>
                <w:lang w:eastAsia="en-US"/>
              </w:rPr>
              <w:t>:</w:t>
            </w:r>
          </w:p>
          <w:p w14:paraId="77B8F9E6" w14:textId="76BCE870" w:rsidR="0040739D" w:rsidRDefault="0040739D" w:rsidP="009F4A5C">
            <w:pPr>
              <w:spacing w:line="276" w:lineRule="auto"/>
              <w:ind w:left="377" w:right="112" w:hanging="2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bookmarkStart w:id="0" w:name="_GoBack"/>
            <w:r w:rsidR="00B64F44">
              <w:rPr>
                <w:rFonts w:eastAsiaTheme="minorHAnsi"/>
                <w:lang w:eastAsia="en-US"/>
              </w:rPr>
              <w:t>izmaksas</w:t>
            </w:r>
            <w:r w:rsidR="009D101D">
              <w:rPr>
                <w:rFonts w:eastAsiaTheme="minorHAnsi"/>
                <w:lang w:eastAsia="en-US"/>
              </w:rPr>
              <w:t xml:space="preserve"> par </w:t>
            </w:r>
            <w:r w:rsidR="00350D64" w:rsidRPr="00121682">
              <w:rPr>
                <w:rFonts w:eastAsiaTheme="minorHAnsi"/>
                <w:lang w:eastAsia="en-US"/>
              </w:rPr>
              <w:t>p</w:t>
            </w:r>
            <w:r w:rsidR="00B37B95" w:rsidRPr="00121682">
              <w:rPr>
                <w:rFonts w:eastAsiaTheme="minorHAnsi"/>
                <w:lang w:eastAsia="en-US"/>
              </w:rPr>
              <w:t>artnerorganizācijām paredzētajiem individuālās aizsardzības līdzekļiem un materiāliem</w:t>
            </w:r>
            <w:r w:rsidR="00475C23" w:rsidRPr="00121682">
              <w:rPr>
                <w:rFonts w:eastAsiaTheme="minorHAnsi"/>
                <w:lang w:eastAsia="en-US"/>
              </w:rPr>
              <w:t>;</w:t>
            </w:r>
          </w:p>
          <w:p w14:paraId="1CBC0960" w14:textId="210ACD64" w:rsidR="0040739D" w:rsidRDefault="0040739D" w:rsidP="009F4A5C">
            <w:pPr>
              <w:spacing w:line="276" w:lineRule="auto"/>
              <w:ind w:left="377" w:right="112" w:hanging="2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7F679B" w:rsidRPr="00121682">
              <w:rPr>
                <w:rFonts w:eastAsiaTheme="minorHAnsi"/>
                <w:lang w:eastAsia="en-US"/>
              </w:rPr>
              <w:t xml:space="preserve">finansējuma saņēmēja </w:t>
            </w:r>
            <w:r w:rsidR="000359EC" w:rsidRPr="00121682">
              <w:rPr>
                <w:rFonts w:eastAsiaTheme="minorHAnsi"/>
                <w:lang w:eastAsia="en-US"/>
              </w:rPr>
              <w:t>norēķin</w:t>
            </w:r>
            <w:r w:rsidR="000359EC">
              <w:rPr>
                <w:rFonts w:eastAsiaTheme="minorHAnsi"/>
                <w:lang w:eastAsia="en-US"/>
              </w:rPr>
              <w:t>i</w:t>
            </w:r>
            <w:r w:rsidR="000359EC" w:rsidRPr="00121682">
              <w:rPr>
                <w:rFonts w:eastAsiaTheme="minorHAnsi"/>
                <w:lang w:eastAsia="en-US"/>
              </w:rPr>
              <w:t xml:space="preserve"> </w:t>
            </w:r>
            <w:r w:rsidR="007F679B" w:rsidRPr="00121682">
              <w:rPr>
                <w:rFonts w:eastAsiaTheme="minorHAnsi"/>
                <w:lang w:eastAsia="en-US"/>
              </w:rPr>
              <w:t xml:space="preserve">par </w:t>
            </w:r>
            <w:r w:rsidR="007F679B" w:rsidRPr="00121682">
              <w:rPr>
                <w:rFonts w:eastAsia="Calibri"/>
                <w:bCs/>
                <w:lang w:eastAsia="en-US"/>
              </w:rPr>
              <w:t>pārtikas un pamata materiālo palīdzību, izmantojot kuponus vai kartes</w:t>
            </w:r>
            <w:r w:rsidR="00475C23" w:rsidRPr="00121682">
              <w:rPr>
                <w:rFonts w:eastAsiaTheme="minorHAnsi"/>
                <w:lang w:eastAsia="en-US"/>
              </w:rPr>
              <w:t>;</w:t>
            </w:r>
          </w:p>
          <w:p w14:paraId="6CAA99DB" w14:textId="573C1333" w:rsidR="00107E38" w:rsidRDefault="0040739D" w:rsidP="009F4A5C">
            <w:pPr>
              <w:spacing w:line="276" w:lineRule="auto"/>
              <w:ind w:left="377" w:right="112" w:hanging="22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="009D101D">
              <w:rPr>
                <w:rFonts w:eastAsia="Calibri"/>
                <w:bCs/>
                <w:lang w:eastAsia="en-US"/>
              </w:rPr>
              <w:t>tehniskās palīdzības izmaksas</w:t>
            </w:r>
            <w:r w:rsidR="00107E38">
              <w:rPr>
                <w:rFonts w:eastAsia="Calibri"/>
                <w:bCs/>
                <w:lang w:eastAsia="en-US"/>
              </w:rPr>
              <w:t>:</w:t>
            </w:r>
          </w:p>
          <w:bookmarkEnd w:id="0"/>
          <w:p w14:paraId="11DBD370" w14:textId="5377E9D8" w:rsidR="00B64F44" w:rsidRPr="00633DEB" w:rsidRDefault="004111D3" w:rsidP="00B64F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111D3">
              <w:rPr>
                <w:rFonts w:ascii="Times New Roman" w:hAnsi="Times New Roman"/>
                <w:bCs/>
                <w:sz w:val="24"/>
                <w:szCs w:val="24"/>
              </w:rPr>
              <w:t xml:space="preserve">individuālo aizsardzības līdzekļu un materiālu </w:t>
            </w:r>
            <w:r w:rsidR="00B64F44" w:rsidRPr="00633DEB">
              <w:rPr>
                <w:rFonts w:ascii="Times New Roman" w:hAnsi="Times New Roman"/>
                <w:bCs/>
                <w:sz w:val="24"/>
                <w:szCs w:val="24"/>
              </w:rPr>
              <w:t>drošas vides nodrošināšanai iegādei;</w:t>
            </w:r>
          </w:p>
          <w:p w14:paraId="08213D2E" w14:textId="77777777" w:rsidR="000335A4" w:rsidRPr="00EA37CB" w:rsidRDefault="00B64F44" w:rsidP="00EA37CB">
            <w:pPr>
              <w:pStyle w:val="ListParagraph"/>
              <w:numPr>
                <w:ilvl w:val="0"/>
                <w:numId w:val="15"/>
              </w:numPr>
              <w:spacing w:after="0"/>
              <w:ind w:left="714" w:right="113" w:hanging="357"/>
              <w:jc w:val="both"/>
              <w:rPr>
                <w:bCs/>
              </w:rPr>
            </w:pPr>
            <w:r w:rsidRPr="00EA37CB">
              <w:rPr>
                <w:rFonts w:ascii="Times New Roman" w:hAnsi="Times New Roman"/>
                <w:bCs/>
                <w:sz w:val="24"/>
                <w:szCs w:val="24"/>
              </w:rPr>
              <w:t>par datu ieguves paplašināšanu no sociālās palīdzības administrēšanas lietojumprogrammas SOPA par Fonda atbalsta saņēmējiem - personām, par kurām izsniegta izziņa, kas apliecina, ka ģimene (persona) ir nonākusi krīzes situācijā;</w:t>
            </w:r>
          </w:p>
          <w:p w14:paraId="085A648F" w14:textId="39CD9BA2" w:rsidR="00392C31" w:rsidRPr="00392C31" w:rsidRDefault="00392C31" w:rsidP="009F4A5C">
            <w:pPr>
              <w:spacing w:after="120" w:line="276" w:lineRule="auto"/>
              <w:ind w:left="663" w:right="113"/>
              <w:jc w:val="both"/>
              <w:rPr>
                <w:bCs/>
                <w:highlight w:val="yellow"/>
              </w:rPr>
            </w:pPr>
            <w:r w:rsidRPr="008C013C">
              <w:t>Līdz šim sociālās palīdzības administrēšanas lietojumprogrammā SOPA</w:t>
            </w:r>
            <w:r>
              <w:t xml:space="preserve">, pašvaldību griezumā, tiek uzkrāti dati par personu, kurām piešķirts trūcīgas personas vai maznodrošinātas personas statuss skaitu. Par </w:t>
            </w:r>
            <w:r w:rsidRPr="008C013C">
              <w:t>person</w:t>
            </w:r>
            <w:r>
              <w:t>u,</w:t>
            </w:r>
            <w:r w:rsidRPr="008C013C">
              <w:t xml:space="preserve"> par kurām izsniegta izziņa, kas apliecina, ka ģimene (persona) ir nonākusi krīzes situācijā</w:t>
            </w:r>
            <w:r>
              <w:t xml:space="preserve">, </w:t>
            </w:r>
            <w:r w:rsidRPr="008C013C">
              <w:t xml:space="preserve">kas atbilst </w:t>
            </w:r>
            <w:r w:rsidR="00F37C33">
              <w:t>Fonda</w:t>
            </w:r>
            <w:r w:rsidRPr="008C013C">
              <w:t xml:space="preserve"> nosacījumiem,</w:t>
            </w:r>
            <w:r>
              <w:t xml:space="preserve"> skaitu dati </w:t>
            </w:r>
            <w:r w:rsidRPr="008C013C">
              <w:t xml:space="preserve">netiek </w:t>
            </w:r>
            <w:r>
              <w:t>atspoguļoti.</w:t>
            </w:r>
            <w:r w:rsidR="00F37C33">
              <w:t xml:space="preserve"> </w:t>
            </w:r>
            <w:r w:rsidRPr="008C013C">
              <w:t xml:space="preserve">Lai nodrošinātu pilnīgu </w:t>
            </w:r>
            <w:r>
              <w:t xml:space="preserve">datu </w:t>
            </w:r>
            <w:r w:rsidRPr="008C013C">
              <w:t>uzskaiti</w:t>
            </w:r>
            <w:r>
              <w:t xml:space="preserve"> un atspoguļošanu</w:t>
            </w:r>
            <w:r w:rsidRPr="008C013C">
              <w:t xml:space="preserve">, </w:t>
            </w:r>
            <w:r>
              <w:t>ir pilnveidota</w:t>
            </w:r>
            <w:r w:rsidRPr="008C013C">
              <w:t xml:space="preserve"> sociālās palīdzības</w:t>
            </w:r>
            <w:r w:rsidRPr="00DB6918">
              <w:t xml:space="preserve"> administrēšanas lietojumprogrammā SOPA</w:t>
            </w:r>
            <w:r>
              <w:t xml:space="preserve"> esošā </w:t>
            </w:r>
            <w:r w:rsidR="00F37C33">
              <w:t>Fonda tehniskās palīdzības</w:t>
            </w:r>
            <w:r>
              <w:t xml:space="preserve"> finansējuma ietvaros.</w:t>
            </w:r>
          </w:p>
          <w:p w14:paraId="67A125B8" w14:textId="42B637E9" w:rsidR="00B37B95" w:rsidRPr="00EA37CB" w:rsidRDefault="00475C23" w:rsidP="00EA37CB">
            <w:pPr>
              <w:pStyle w:val="ListParagraph"/>
              <w:numPr>
                <w:ilvl w:val="0"/>
                <w:numId w:val="15"/>
              </w:numPr>
              <w:spacing w:after="120"/>
              <w:ind w:left="714" w:right="113" w:hanging="3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37CB">
              <w:rPr>
                <w:rFonts w:ascii="Times New Roman" w:hAnsi="Times New Roman"/>
                <w:bCs/>
                <w:sz w:val="24"/>
                <w:szCs w:val="24"/>
              </w:rPr>
              <w:t xml:space="preserve">par tām darbībām, kas tika pārtrauktas, vai nevar tikt turpinātas </w:t>
            </w:r>
            <w:proofErr w:type="spellStart"/>
            <w:r w:rsidRPr="00EA37CB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804D95" w:rsidRPr="00EA37CB">
              <w:rPr>
                <w:rFonts w:ascii="Times New Roman" w:hAnsi="Times New Roman"/>
                <w:bCs/>
                <w:sz w:val="24"/>
                <w:szCs w:val="24"/>
              </w:rPr>
              <w:t>ovid</w:t>
            </w:r>
            <w:r w:rsidRPr="00EA37CB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  <w:proofErr w:type="spellEnd"/>
            <w:r w:rsidRPr="00EA37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718E" w:rsidRPr="00EA37CB">
              <w:rPr>
                <w:rFonts w:ascii="Times New Roman" w:hAnsi="Times New Roman"/>
                <w:bCs/>
                <w:sz w:val="24"/>
                <w:szCs w:val="24"/>
              </w:rPr>
              <w:t>izplatības</w:t>
            </w:r>
            <w:r w:rsidRPr="00EA37CB">
              <w:rPr>
                <w:rFonts w:ascii="Times New Roman" w:hAnsi="Times New Roman"/>
                <w:bCs/>
                <w:sz w:val="24"/>
                <w:szCs w:val="24"/>
              </w:rPr>
              <w:t xml:space="preserve"> dē</w:t>
            </w:r>
            <w:r w:rsidR="0040739D" w:rsidRPr="00EA37CB">
              <w:rPr>
                <w:rFonts w:ascii="Times New Roman" w:hAnsi="Times New Roman"/>
                <w:bCs/>
                <w:sz w:val="24"/>
                <w:szCs w:val="24"/>
              </w:rPr>
              <w:t>ļ</w:t>
            </w:r>
            <w:r w:rsidR="00392C31" w:rsidRPr="00EA37CB">
              <w:rPr>
                <w:rFonts w:ascii="Times New Roman" w:hAnsi="Times New Roman"/>
                <w:bCs/>
                <w:sz w:val="24"/>
                <w:szCs w:val="24"/>
              </w:rPr>
              <w:t xml:space="preserve">. Minēto darbību pārtraukšana izriet no </w:t>
            </w:r>
            <w:r w:rsidR="00F37C33" w:rsidRPr="00EA37CB">
              <w:rPr>
                <w:rFonts w:ascii="Times New Roman" w:hAnsi="Times New Roman"/>
                <w:bCs/>
                <w:sz w:val="24"/>
                <w:szCs w:val="24"/>
              </w:rPr>
              <w:t xml:space="preserve">2014. gada 11. marta Eiropas Parlamenta un Padomes regulas (ES) 223/2014 par Eiropas atbalsta fondu vistrūcīgākajām personām </w:t>
            </w:r>
            <w:r w:rsidR="00392C31" w:rsidRPr="00EA37CB">
              <w:rPr>
                <w:rFonts w:ascii="Times New Roman" w:hAnsi="Times New Roman"/>
                <w:bCs/>
                <w:sz w:val="24"/>
                <w:szCs w:val="24"/>
              </w:rPr>
              <w:t>26 b) apakšpunkta</w:t>
            </w:r>
            <w:r w:rsidR="00F37C33" w:rsidRPr="00EA37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A37CB" w:rsidRPr="00EA37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4F44" w:rsidRPr="00EA37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64F44" w:rsidRPr="00EA37CB">
              <w:rPr>
                <w:rFonts w:ascii="Times New Roman" w:hAnsi="Times New Roman"/>
                <w:sz w:val="24"/>
                <w:szCs w:val="24"/>
              </w:rPr>
              <w:t>N</w:t>
            </w:r>
            <w:r w:rsidR="004B7274" w:rsidRPr="00EA37CB">
              <w:rPr>
                <w:rFonts w:ascii="Times New Roman" w:hAnsi="Times New Roman"/>
                <w:sz w:val="24"/>
                <w:szCs w:val="24"/>
              </w:rPr>
              <w:t xml:space="preserve">oteikumu projekta </w:t>
            </w:r>
            <w:r w:rsidR="00355782" w:rsidRPr="00EA37CB">
              <w:rPr>
                <w:rFonts w:ascii="Times New Roman" w:hAnsi="Times New Roman"/>
                <w:sz w:val="24"/>
                <w:szCs w:val="24"/>
              </w:rPr>
              <w:t>6</w:t>
            </w:r>
            <w:r w:rsidR="00E46C80" w:rsidRPr="00EA37CB">
              <w:rPr>
                <w:rFonts w:ascii="Times New Roman" w:hAnsi="Times New Roman"/>
                <w:sz w:val="24"/>
                <w:szCs w:val="24"/>
              </w:rPr>
              <w:t>. – </w:t>
            </w:r>
            <w:r w:rsidR="00355782" w:rsidRPr="00EA37CB">
              <w:rPr>
                <w:rFonts w:ascii="Times New Roman" w:hAnsi="Times New Roman"/>
                <w:sz w:val="24"/>
                <w:szCs w:val="24"/>
              </w:rPr>
              <w:t>10</w:t>
            </w:r>
            <w:r w:rsidR="004B7274" w:rsidRPr="00EA37CB">
              <w:rPr>
                <w:rFonts w:ascii="Times New Roman" w:hAnsi="Times New Roman"/>
                <w:sz w:val="24"/>
                <w:szCs w:val="24"/>
              </w:rPr>
              <w:t xml:space="preserve">. un </w:t>
            </w:r>
            <w:r w:rsidR="00355782" w:rsidRPr="00EA37CB">
              <w:rPr>
                <w:rFonts w:ascii="Times New Roman" w:hAnsi="Times New Roman"/>
                <w:sz w:val="24"/>
                <w:szCs w:val="24"/>
              </w:rPr>
              <w:t>13</w:t>
            </w:r>
            <w:r w:rsidR="004B7274" w:rsidRPr="00EA37CB">
              <w:rPr>
                <w:rFonts w:ascii="Times New Roman" w:hAnsi="Times New Roman"/>
                <w:sz w:val="24"/>
                <w:szCs w:val="24"/>
              </w:rPr>
              <w:t>.</w:t>
            </w:r>
            <w:r w:rsidR="00804D95" w:rsidRPr="00EA37CB">
              <w:rPr>
                <w:rFonts w:ascii="Times New Roman" w:hAnsi="Times New Roman"/>
                <w:sz w:val="24"/>
                <w:szCs w:val="24"/>
              </w:rPr>
              <w:t> </w:t>
            </w:r>
            <w:r w:rsidR="004B7274" w:rsidRPr="00EA37CB">
              <w:rPr>
                <w:rFonts w:ascii="Times New Roman" w:hAnsi="Times New Roman"/>
                <w:sz w:val="24"/>
                <w:szCs w:val="24"/>
              </w:rPr>
              <w:t>punkts)</w:t>
            </w:r>
          </w:p>
          <w:p w14:paraId="20E1C33E" w14:textId="0F43A903" w:rsidR="00333086" w:rsidRPr="00121682" w:rsidRDefault="00475C23" w:rsidP="0040739D">
            <w:pPr>
              <w:spacing w:line="276" w:lineRule="auto"/>
              <w:ind w:left="94" w:right="112"/>
              <w:jc w:val="both"/>
              <w:rPr>
                <w:rFonts w:eastAsiaTheme="minorHAnsi"/>
                <w:b/>
                <w:lang w:eastAsia="en-US"/>
              </w:rPr>
            </w:pPr>
            <w:r w:rsidRPr="00121682">
              <w:rPr>
                <w:rFonts w:eastAsiaTheme="minorHAnsi"/>
                <w:lang w:eastAsia="en-US"/>
              </w:rPr>
              <w:t xml:space="preserve">2) </w:t>
            </w:r>
            <w:r w:rsidR="00BA64DE" w:rsidRPr="00121682">
              <w:rPr>
                <w:rFonts w:eastAsiaTheme="minorHAnsi"/>
                <w:lang w:eastAsia="en-US"/>
              </w:rPr>
              <w:t xml:space="preserve">nosaka papildu </w:t>
            </w:r>
            <w:r w:rsidR="007F679B" w:rsidRPr="00121682">
              <w:rPr>
                <w:rFonts w:eastAsiaTheme="minorHAnsi"/>
                <w:lang w:eastAsia="en-US"/>
              </w:rPr>
              <w:t>netiešās attiecināmās izmaksas</w:t>
            </w:r>
            <w:r w:rsidRPr="00121682">
              <w:rPr>
                <w:rFonts w:eastAsiaTheme="minorHAnsi"/>
                <w:b/>
                <w:lang w:eastAsia="en-US"/>
              </w:rPr>
              <w:t xml:space="preserve"> </w:t>
            </w:r>
            <w:r w:rsidR="00B37B95" w:rsidRPr="00121682">
              <w:rPr>
                <w:rFonts w:eastAsiaTheme="minorHAnsi"/>
                <w:lang w:eastAsia="en-US"/>
              </w:rPr>
              <w:t>par atbalsta komplektu uzglabāšanas un izdalīšanas administrēšanu un papildpasākumu īstenošanu drošā vidē</w:t>
            </w:r>
            <w:r w:rsidRPr="00121682">
              <w:rPr>
                <w:rFonts w:eastAsiaTheme="minorHAnsi"/>
                <w:bCs/>
                <w:lang w:eastAsia="en-US"/>
              </w:rPr>
              <w:t xml:space="preserve"> </w:t>
            </w:r>
            <w:r w:rsidR="004B7274" w:rsidRPr="004B7274">
              <w:rPr>
                <w:rFonts w:eastAsiaTheme="minorHAnsi"/>
                <w:bCs/>
                <w:lang w:eastAsia="en-US"/>
              </w:rPr>
              <w:t>(</w:t>
            </w:r>
            <w:r w:rsidR="004B7274" w:rsidRPr="004B7274">
              <w:t xml:space="preserve">Noteikumu projekta </w:t>
            </w:r>
            <w:r w:rsidR="00355782">
              <w:t>11</w:t>
            </w:r>
            <w:r w:rsidR="004B7274">
              <w:t>. </w:t>
            </w:r>
            <w:r w:rsidR="004B7274" w:rsidRPr="004B7274">
              <w:t>punkts)</w:t>
            </w:r>
            <w:r w:rsidR="004B7274">
              <w:t>;</w:t>
            </w:r>
          </w:p>
          <w:p w14:paraId="5FEBC96B" w14:textId="4FD3C6F2" w:rsidR="00010840" w:rsidRPr="004B7274" w:rsidRDefault="00BA64DE" w:rsidP="0040739D">
            <w:pPr>
              <w:pStyle w:val="ListParagraph"/>
              <w:spacing w:after="120"/>
              <w:ind w:left="9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82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121682">
              <w:rPr>
                <w:rFonts w:ascii="Times New Roman" w:eastAsiaTheme="minorHAnsi" w:hAnsi="Times New Roman"/>
                <w:sz w:val="24"/>
                <w:szCs w:val="24"/>
              </w:rPr>
              <w:t xml:space="preserve">paredz </w:t>
            </w:r>
            <w:r w:rsidRPr="00121682">
              <w:rPr>
                <w:rFonts w:ascii="Times New Roman" w:hAnsi="Times New Roman"/>
                <w:bCs/>
                <w:sz w:val="24"/>
                <w:szCs w:val="24"/>
              </w:rPr>
              <w:t xml:space="preserve">nosacījumu par izdevumu par </w:t>
            </w:r>
            <w:proofErr w:type="spellStart"/>
            <w:r w:rsidR="00B64F44" w:rsidRPr="00121682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B64F44">
              <w:rPr>
                <w:rFonts w:ascii="Times New Roman" w:hAnsi="Times New Roman"/>
                <w:bCs/>
                <w:sz w:val="24"/>
                <w:szCs w:val="24"/>
              </w:rPr>
              <w:t>ovid</w:t>
            </w:r>
            <w:proofErr w:type="spellEnd"/>
            <w:r w:rsidRPr="00121682">
              <w:rPr>
                <w:rFonts w:ascii="Times New Roman" w:hAnsi="Times New Roman"/>
                <w:bCs/>
                <w:sz w:val="24"/>
                <w:szCs w:val="24"/>
              </w:rPr>
              <w:t xml:space="preserve">–19 </w:t>
            </w:r>
            <w:r w:rsidR="00A14BF4">
              <w:rPr>
                <w:rFonts w:ascii="Times New Roman" w:hAnsi="Times New Roman"/>
                <w:bCs/>
                <w:sz w:val="24"/>
                <w:szCs w:val="24"/>
              </w:rPr>
              <w:t>izplatības</w:t>
            </w:r>
            <w:r w:rsidRPr="00121682">
              <w:rPr>
                <w:rFonts w:ascii="Times New Roman" w:hAnsi="Times New Roman"/>
                <w:bCs/>
                <w:sz w:val="24"/>
                <w:szCs w:val="24"/>
              </w:rPr>
              <w:t xml:space="preserve"> seku mazināšanas pasākumiem attiecināmību </w:t>
            </w:r>
            <w:r w:rsidRPr="004B7274">
              <w:rPr>
                <w:rFonts w:ascii="Times New Roman" w:hAnsi="Times New Roman"/>
                <w:bCs/>
                <w:sz w:val="24"/>
                <w:szCs w:val="24"/>
              </w:rPr>
              <w:t>no 2020. gada 1. februāra</w:t>
            </w:r>
            <w:r w:rsidR="004B7274">
              <w:rPr>
                <w:rFonts w:ascii="Times New Roman" w:hAnsi="Times New Roman"/>
                <w:sz w:val="24"/>
                <w:szCs w:val="24"/>
              </w:rPr>
              <w:t>.</w:t>
            </w:r>
            <w:r w:rsidR="00510A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Minēto darbību pārtraukšana izriet no </w:t>
            </w:r>
            <w:r w:rsidR="00F37C33" w:rsidRPr="00EA37CB">
              <w:rPr>
                <w:rFonts w:ascii="Times New Roman" w:hAnsi="Times New Roman"/>
                <w:bCs/>
                <w:sz w:val="24"/>
                <w:szCs w:val="24"/>
              </w:rPr>
              <w:t xml:space="preserve">2014. gada 11. marta Eiropas Parlamenta un Padomes regulas (ES) 223/2014 par Eiropas atbalsta fondu vistrūcīgākajām personām </w:t>
            </w:r>
            <w:r w:rsidR="00F67BA9" w:rsidRPr="00EA37CB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  <w:r w:rsidR="00606A11" w:rsidRPr="00EA37C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67BA9" w:rsidRPr="00EA37CB">
              <w:rPr>
                <w:rFonts w:ascii="Times New Roman" w:hAnsi="Times New Roman"/>
                <w:bCs/>
                <w:sz w:val="24"/>
                <w:szCs w:val="24"/>
              </w:rPr>
              <w:t xml:space="preserve">panta </w:t>
            </w:r>
            <w:r w:rsidR="00510A21" w:rsidRPr="00EA37C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F67BA9" w:rsidRPr="00EA37CB">
              <w:rPr>
                <w:rFonts w:ascii="Times New Roman" w:hAnsi="Times New Roman"/>
                <w:bCs/>
                <w:sz w:val="24"/>
                <w:szCs w:val="24"/>
              </w:rPr>
              <w:t>daļa</w:t>
            </w:r>
            <w:r w:rsidR="00F37C33" w:rsidRPr="00EA37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37C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7C33" w:rsidRPr="004B7274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="00F37C33" w:rsidRPr="004B7274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F37C33">
              <w:rPr>
                <w:rFonts w:ascii="Times New Roman" w:hAnsi="Times New Roman"/>
                <w:sz w:val="24"/>
                <w:szCs w:val="24"/>
              </w:rPr>
              <w:t>12</w:t>
            </w:r>
            <w:r w:rsidR="00F37C33" w:rsidRPr="004B7274">
              <w:rPr>
                <w:rFonts w:ascii="Times New Roman" w:hAnsi="Times New Roman"/>
                <w:sz w:val="24"/>
                <w:szCs w:val="24"/>
              </w:rPr>
              <w:t>.</w:t>
            </w:r>
            <w:r w:rsidR="00F37C33">
              <w:rPr>
                <w:rFonts w:ascii="Times New Roman" w:hAnsi="Times New Roman"/>
                <w:sz w:val="24"/>
                <w:szCs w:val="24"/>
              </w:rPr>
              <w:t> </w:t>
            </w:r>
            <w:r w:rsidR="00F37C33" w:rsidRPr="004B7274">
              <w:rPr>
                <w:rFonts w:ascii="Times New Roman" w:hAnsi="Times New Roman"/>
                <w:sz w:val="24"/>
                <w:szCs w:val="24"/>
              </w:rPr>
              <w:t>punkts)</w:t>
            </w:r>
            <w:r w:rsidR="00F37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F90785" w14:textId="4662D851" w:rsidR="0025257E" w:rsidRDefault="008126EA" w:rsidP="0040739D">
            <w:pPr>
              <w:spacing w:line="276" w:lineRule="auto"/>
              <w:ind w:left="96" w:right="255"/>
              <w:jc w:val="both"/>
            </w:pPr>
            <w:r>
              <w:t xml:space="preserve">2.4. </w:t>
            </w:r>
            <w:r w:rsidR="0025257E" w:rsidRPr="007B6589">
              <w:rPr>
                <w:u w:val="single"/>
              </w:rPr>
              <w:t>Citi precizējumi</w:t>
            </w:r>
          </w:p>
          <w:p w14:paraId="4357B289" w14:textId="1A83BF65" w:rsidR="00355782" w:rsidRDefault="005D0365" w:rsidP="00D9718E">
            <w:pPr>
              <w:spacing w:line="276" w:lineRule="auto"/>
              <w:ind w:left="96" w:right="255"/>
              <w:jc w:val="both"/>
            </w:pPr>
            <w:r w:rsidRPr="00355C20">
              <w:t>Īstenojot darbības programmas mērķi</w:t>
            </w:r>
            <w:r w:rsidR="00F709E5" w:rsidRPr="00355C20">
              <w:t xml:space="preserve"> un uz atsevišķu gadījumu izvērtējuma balstītas iniciatīvas, kuras nozīmība palielinājusies</w:t>
            </w:r>
            <w:r w:rsidRPr="00355C20">
              <w:t xml:space="preserve"> </w:t>
            </w:r>
            <w:proofErr w:type="spellStart"/>
            <w:r w:rsidR="00B64F44" w:rsidRPr="00355C20">
              <w:rPr>
                <w:rFonts w:eastAsiaTheme="minorHAnsi" w:cstheme="minorBidi"/>
                <w:iCs/>
              </w:rPr>
              <w:t>C</w:t>
            </w:r>
            <w:r w:rsidR="00B64F44">
              <w:rPr>
                <w:rFonts w:eastAsiaTheme="minorHAnsi" w:cstheme="minorBidi"/>
                <w:iCs/>
              </w:rPr>
              <w:t>ovid</w:t>
            </w:r>
            <w:r w:rsidR="00F709E5" w:rsidRPr="00355C20">
              <w:rPr>
                <w:rFonts w:eastAsiaTheme="minorHAnsi" w:cstheme="minorBidi"/>
              </w:rPr>
              <w:t>-19</w:t>
            </w:r>
            <w:proofErr w:type="spellEnd"/>
            <w:r w:rsidR="00F709E5" w:rsidRPr="00355C20">
              <w:rPr>
                <w:rFonts w:eastAsiaTheme="minorHAnsi" w:cstheme="minorBidi"/>
              </w:rPr>
              <w:t xml:space="preserve"> </w:t>
            </w:r>
            <w:r w:rsidR="00D9718E">
              <w:rPr>
                <w:rFonts w:eastAsiaTheme="minorHAnsi" w:cstheme="minorBidi"/>
              </w:rPr>
              <w:t>izplatības</w:t>
            </w:r>
            <w:r w:rsidR="00F709E5" w:rsidRPr="00355C20">
              <w:rPr>
                <w:rFonts w:eastAsiaTheme="minorHAnsi" w:cstheme="minorBidi"/>
              </w:rPr>
              <w:t xml:space="preserve"> laikā,</w:t>
            </w:r>
            <w:r w:rsidR="00F709E5" w:rsidRPr="00355C20">
              <w:t xml:space="preserve"> </w:t>
            </w:r>
            <w:r w:rsidRPr="00355C20">
              <w:t>Noteikumu projektā iekļaut</w:t>
            </w:r>
            <w:r w:rsidR="0047179E">
              <w:t>s</w:t>
            </w:r>
            <w:r w:rsidR="00355782">
              <w:t>:</w:t>
            </w:r>
          </w:p>
          <w:p w14:paraId="696F068C" w14:textId="40801876" w:rsidR="00355782" w:rsidRPr="00CA44B1" w:rsidRDefault="00355782" w:rsidP="009F4A5C">
            <w:pPr>
              <w:pStyle w:val="ListParagraph"/>
              <w:numPr>
                <w:ilvl w:val="0"/>
                <w:numId w:val="16"/>
              </w:numPr>
              <w:ind w:left="377" w:right="255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782">
              <w:rPr>
                <w:rFonts w:ascii="Times New Roman" w:hAnsi="Times New Roman"/>
                <w:sz w:val="24"/>
                <w:szCs w:val="24"/>
              </w:rPr>
              <w:t>papildinājums</w:t>
            </w:r>
            <w:r w:rsidR="00FE087A" w:rsidRPr="00355782">
              <w:rPr>
                <w:rFonts w:ascii="Times New Roman" w:hAnsi="Times New Roman"/>
                <w:sz w:val="24"/>
                <w:szCs w:val="24"/>
              </w:rPr>
              <w:t>, kas nosaka</w:t>
            </w:r>
            <w:r w:rsidR="005D0365" w:rsidRPr="003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365" w:rsidRPr="00355782">
              <w:rPr>
                <w:rFonts w:ascii="Times New Roman" w:hAnsi="Times New Roman"/>
                <w:bCs/>
                <w:sz w:val="24"/>
                <w:szCs w:val="24"/>
              </w:rPr>
              <w:t>iespēj</w:t>
            </w:r>
            <w:r w:rsidR="00FE087A" w:rsidRPr="00355782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5D0365" w:rsidRPr="00355782">
              <w:rPr>
                <w:rFonts w:ascii="Times New Roman" w:hAnsi="Times New Roman"/>
                <w:bCs/>
                <w:sz w:val="24"/>
                <w:szCs w:val="24"/>
              </w:rPr>
              <w:t xml:space="preserve"> ģimenēm ar bērniem vecumā no pieciem līdz 10 gadiem (ieskaitot) vai vecumā no 11 līdz 16 gadiem (ieskaitot), izņēmuma gadījumā pēc ģimenes izvēles saņemt vienu no individuālo mācību piederumu komplektiem </w:t>
            </w:r>
            <w:r w:rsidR="005D0365" w:rsidRPr="00CA44B1">
              <w:rPr>
                <w:rFonts w:ascii="Times New Roman" w:hAnsi="Times New Roman"/>
                <w:bCs/>
                <w:sz w:val="24"/>
                <w:szCs w:val="24"/>
              </w:rPr>
              <w:t xml:space="preserve">atbilstoši klasei (sākumskolā vai pamatskolā), kuru skolēns apmeklē </w:t>
            </w:r>
            <w:r w:rsidR="00BA64DE" w:rsidRPr="00CA44B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B3F36" w:rsidRPr="00CA44B1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F709E5" w:rsidRPr="00CA44B1">
              <w:rPr>
                <w:rFonts w:ascii="Times New Roman" w:hAnsi="Times New Roman"/>
                <w:sz w:val="24"/>
                <w:szCs w:val="24"/>
              </w:rPr>
              <w:t>4</w:t>
            </w:r>
            <w:r w:rsidR="001B3F36" w:rsidRPr="00CA44B1">
              <w:rPr>
                <w:rFonts w:ascii="Times New Roman" w:hAnsi="Times New Roman"/>
                <w:sz w:val="24"/>
                <w:szCs w:val="24"/>
              </w:rPr>
              <w:t>. punkts</w:t>
            </w:r>
            <w:r w:rsidR="0025257E" w:rsidRPr="00CA44B1">
              <w:rPr>
                <w:rFonts w:ascii="Times New Roman" w:hAnsi="Times New Roman"/>
                <w:sz w:val="24"/>
                <w:szCs w:val="24"/>
              </w:rPr>
              <w:t>)</w:t>
            </w:r>
            <w:r w:rsidRPr="00CA4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1D2533" w14:textId="698ECA0D" w:rsidR="006964DD" w:rsidRPr="00E27F62" w:rsidRDefault="00C56422" w:rsidP="009F4A5C">
            <w:pPr>
              <w:pStyle w:val="ListParagraph"/>
              <w:numPr>
                <w:ilvl w:val="0"/>
                <w:numId w:val="16"/>
              </w:numPr>
              <w:spacing w:after="0"/>
              <w:ind w:left="377" w:right="255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papildinājums, kas nosaka </w:t>
            </w:r>
            <w:r w:rsidRPr="00CA44B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iespēju atvērt papildus komplektu un gatavo maltīšu izsniegšanas vietas arī tajās teritorijās, kur šāds atbalsts jau ir daļēji nodrošināts.</w:t>
            </w:r>
            <w:r w:rsidRPr="00CA44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55BED" w:rsidRPr="00CA44B1">
              <w:rPr>
                <w:rFonts w:ascii="Times New Roman" w:hAnsi="Times New Roman"/>
                <w:sz w:val="24"/>
                <w:szCs w:val="24"/>
              </w:rPr>
              <w:t xml:space="preserve">(Noteikumu 5. punkts). </w:t>
            </w:r>
          </w:p>
        </w:tc>
      </w:tr>
      <w:tr w:rsidR="00953A9E" w:rsidRPr="00355C20" w14:paraId="3D1AB37F" w14:textId="77777777" w:rsidTr="009F4A5C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8"/>
        </w:trPr>
        <w:tc>
          <w:tcPr>
            <w:tcW w:w="581" w:type="dxa"/>
            <w:hideMark/>
          </w:tcPr>
          <w:p w14:paraId="3A7D33FC" w14:textId="635B071E" w:rsidR="00487B6F" w:rsidRPr="00355C20" w:rsidRDefault="00487B6F" w:rsidP="00FF06AF">
            <w:pPr>
              <w:spacing w:line="276" w:lineRule="auto"/>
              <w:jc w:val="center"/>
            </w:pPr>
            <w:r w:rsidRPr="00355C20">
              <w:t>3.</w:t>
            </w:r>
          </w:p>
        </w:tc>
        <w:tc>
          <w:tcPr>
            <w:tcW w:w="1939" w:type="dxa"/>
            <w:gridSpan w:val="2"/>
            <w:hideMark/>
          </w:tcPr>
          <w:p w14:paraId="70401001" w14:textId="77777777" w:rsidR="00487B6F" w:rsidRPr="00355C20" w:rsidRDefault="00487B6F" w:rsidP="00FF06AF">
            <w:pPr>
              <w:spacing w:line="276" w:lineRule="auto"/>
            </w:pPr>
            <w:r w:rsidRPr="00355C20">
              <w:t>Projekta izstrādē iesaistītās institūcijas un publiskas personas kapitālsabiedrības</w:t>
            </w:r>
          </w:p>
        </w:tc>
        <w:tc>
          <w:tcPr>
            <w:tcW w:w="6284" w:type="dxa"/>
            <w:hideMark/>
          </w:tcPr>
          <w:p w14:paraId="64B2DED0" w14:textId="7834D796" w:rsidR="00487B6F" w:rsidRPr="00355C20" w:rsidRDefault="00F21DDE" w:rsidP="00FF06AF">
            <w:pPr>
              <w:spacing w:line="276" w:lineRule="auto"/>
              <w:jc w:val="both"/>
            </w:pPr>
            <w:r w:rsidRPr="00355C20">
              <w:rPr>
                <w:bCs/>
              </w:rPr>
              <w:t>Sabiedrības integrācijas fonds</w:t>
            </w:r>
          </w:p>
        </w:tc>
      </w:tr>
      <w:tr w:rsidR="00953A9E" w:rsidRPr="00355C20" w14:paraId="524B8AA3" w14:textId="77777777" w:rsidTr="009F4A5C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1" w:type="dxa"/>
            <w:hideMark/>
          </w:tcPr>
          <w:p w14:paraId="4464D21F" w14:textId="77777777" w:rsidR="00487B6F" w:rsidRPr="00355C20" w:rsidRDefault="00487B6F" w:rsidP="00FF06AF">
            <w:pPr>
              <w:spacing w:line="276" w:lineRule="auto"/>
              <w:jc w:val="center"/>
            </w:pPr>
            <w:r w:rsidRPr="00355C20">
              <w:t>4.</w:t>
            </w:r>
          </w:p>
        </w:tc>
        <w:tc>
          <w:tcPr>
            <w:tcW w:w="1939" w:type="dxa"/>
            <w:gridSpan w:val="2"/>
            <w:hideMark/>
          </w:tcPr>
          <w:p w14:paraId="6ADDD7EF" w14:textId="77777777" w:rsidR="00487B6F" w:rsidRPr="00355C20" w:rsidRDefault="00487B6F" w:rsidP="00FF06AF">
            <w:pPr>
              <w:spacing w:line="276" w:lineRule="auto"/>
            </w:pPr>
            <w:r w:rsidRPr="00355C20">
              <w:t>Cita informācija</w:t>
            </w:r>
          </w:p>
        </w:tc>
        <w:tc>
          <w:tcPr>
            <w:tcW w:w="6284" w:type="dxa"/>
            <w:hideMark/>
          </w:tcPr>
          <w:p w14:paraId="5BB1E282" w14:textId="71869DC8" w:rsidR="00487B6F" w:rsidRPr="00355C20" w:rsidRDefault="00487B6F" w:rsidP="00F427BF">
            <w:pPr>
              <w:spacing w:line="276" w:lineRule="auto"/>
            </w:pPr>
            <w:r w:rsidRPr="00355C20">
              <w:t>Nav</w:t>
            </w:r>
          </w:p>
        </w:tc>
      </w:tr>
    </w:tbl>
    <w:p w14:paraId="25663990" w14:textId="77777777" w:rsidR="00011607" w:rsidRDefault="00011607"/>
    <w:tbl>
      <w:tblPr>
        <w:tblW w:w="489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0"/>
        <w:gridCol w:w="78"/>
      </w:tblGrid>
      <w:tr w:rsidR="00956B8A" w:rsidRPr="00355C20" w14:paraId="10B111A3" w14:textId="77777777" w:rsidTr="009F4A5C">
        <w:trPr>
          <w:gridAfter w:val="1"/>
          <w:wAfter w:w="78" w:type="dxa"/>
          <w:cantSplit/>
          <w:trHeight w:val="527"/>
        </w:trPr>
        <w:tc>
          <w:tcPr>
            <w:tcW w:w="8789" w:type="dxa"/>
            <w:gridSpan w:val="3"/>
            <w:vAlign w:val="center"/>
            <w:hideMark/>
          </w:tcPr>
          <w:p w14:paraId="509574DD" w14:textId="77777777" w:rsidR="00956B8A" w:rsidRPr="00355C20" w:rsidRDefault="00956B8A" w:rsidP="008B3221">
            <w:pPr>
              <w:spacing w:line="276" w:lineRule="auto"/>
              <w:ind w:left="-313"/>
              <w:jc w:val="center"/>
              <w:rPr>
                <w:b/>
                <w:bCs/>
              </w:rPr>
            </w:pPr>
            <w:r w:rsidRPr="00355C20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9F4A5C" w:rsidRPr="00355C20" w14:paraId="10B9B95C" w14:textId="77777777" w:rsidTr="009F4A5C">
        <w:trPr>
          <w:gridAfter w:val="1"/>
          <w:wAfter w:w="78" w:type="dxa"/>
          <w:cantSplit/>
          <w:trHeight w:val="527"/>
        </w:trPr>
        <w:tc>
          <w:tcPr>
            <w:tcW w:w="567" w:type="dxa"/>
          </w:tcPr>
          <w:p w14:paraId="4F7BE298" w14:textId="4AA3E2C2" w:rsidR="009F4A5C" w:rsidRPr="00355C20" w:rsidRDefault="009F4A5C" w:rsidP="009F4A5C">
            <w:pPr>
              <w:spacing w:line="276" w:lineRule="auto"/>
              <w:ind w:left="-313"/>
              <w:jc w:val="center"/>
              <w:rPr>
                <w:b/>
                <w:bCs/>
              </w:rPr>
            </w:pPr>
            <w:r w:rsidRPr="004B7274">
              <w:rPr>
                <w:bCs/>
              </w:rPr>
              <w:t>1.</w:t>
            </w:r>
          </w:p>
        </w:tc>
        <w:tc>
          <w:tcPr>
            <w:tcW w:w="2552" w:type="dxa"/>
          </w:tcPr>
          <w:p w14:paraId="5EB0AE78" w14:textId="0C3EFAA2" w:rsidR="009F4A5C" w:rsidRPr="00355C20" w:rsidRDefault="009F4A5C" w:rsidP="009F4A5C">
            <w:pPr>
              <w:spacing w:line="276" w:lineRule="auto"/>
              <w:ind w:left="112"/>
              <w:rPr>
                <w:b/>
                <w:bCs/>
              </w:rPr>
            </w:pPr>
            <w:r w:rsidRPr="00355C20">
              <w:t>Sabiedrības mērķgrupas, kuras tiesiskais regulējums ietekmē vai varētu ietekmēt</w:t>
            </w:r>
          </w:p>
        </w:tc>
        <w:tc>
          <w:tcPr>
            <w:tcW w:w="5670" w:type="dxa"/>
            <w:vAlign w:val="center"/>
          </w:tcPr>
          <w:p w14:paraId="6FE2CBAE" w14:textId="77777777" w:rsidR="009F4A5C" w:rsidRPr="00355C20" w:rsidRDefault="009F4A5C" w:rsidP="009F4A5C">
            <w:pPr>
              <w:pStyle w:val="ListParagraph"/>
              <w:spacing w:after="0"/>
              <w:ind w:left="318" w:right="113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0">
              <w:rPr>
                <w:rFonts w:ascii="Times New Roman" w:hAnsi="Times New Roman"/>
                <w:sz w:val="24"/>
                <w:szCs w:val="24"/>
              </w:rPr>
              <w:t>Tiešās mērķgrupas:</w:t>
            </w:r>
          </w:p>
          <w:p w14:paraId="6AACC107" w14:textId="77777777" w:rsidR="009F4A5C" w:rsidRPr="00355C20" w:rsidRDefault="009F4A5C" w:rsidP="009F4A5C">
            <w:pPr>
              <w:pStyle w:val="ListParagraph"/>
              <w:numPr>
                <w:ilvl w:val="0"/>
                <w:numId w:val="1"/>
              </w:numPr>
              <w:spacing w:after="0"/>
              <w:ind w:left="360" w:right="11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0">
              <w:rPr>
                <w:rFonts w:ascii="Times New Roman" w:hAnsi="Times New Roman"/>
                <w:sz w:val="24"/>
                <w:szCs w:val="24"/>
              </w:rPr>
              <w:t>ģimenes (personas), kuras</w:t>
            </w:r>
          </w:p>
          <w:p w14:paraId="00761C43" w14:textId="77777777" w:rsidR="009F4A5C" w:rsidRPr="00355C20" w:rsidRDefault="009F4A5C" w:rsidP="009F4A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113" w:hanging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0">
              <w:rPr>
                <w:rFonts w:ascii="Times New Roman" w:hAnsi="Times New Roman"/>
                <w:sz w:val="24"/>
                <w:szCs w:val="24"/>
              </w:rPr>
              <w:t>atzītas par trūcīgām;</w:t>
            </w:r>
          </w:p>
          <w:p w14:paraId="4E26ED56" w14:textId="77777777" w:rsidR="009F4A5C" w:rsidRPr="00355C20" w:rsidRDefault="009F4A5C" w:rsidP="009F4A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113" w:hanging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0">
              <w:rPr>
                <w:rFonts w:ascii="Times New Roman" w:hAnsi="Times New Roman"/>
                <w:sz w:val="24"/>
                <w:szCs w:val="24"/>
              </w:rPr>
              <w:t>atzītas par maznodrošinātām un atbilstošām Fonda atbalsta saņemšanai;</w:t>
            </w:r>
          </w:p>
          <w:p w14:paraId="466BE285" w14:textId="77777777" w:rsidR="009F4A5C" w:rsidRDefault="009F4A5C" w:rsidP="009F4A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right="113" w:hanging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0">
              <w:rPr>
                <w:rFonts w:ascii="Times New Roman" w:hAnsi="Times New Roman"/>
                <w:sz w:val="24"/>
                <w:szCs w:val="24"/>
              </w:rPr>
              <w:t>nonākušas krīzes situācijā;</w:t>
            </w:r>
          </w:p>
          <w:p w14:paraId="5F9A7F5B" w14:textId="77777777" w:rsidR="009F4A5C" w:rsidRPr="009F4A5C" w:rsidRDefault="009F4A5C" w:rsidP="009F4A5C">
            <w:pPr>
              <w:pStyle w:val="ListParagraph"/>
              <w:numPr>
                <w:ilvl w:val="0"/>
                <w:numId w:val="1"/>
              </w:numPr>
              <w:spacing w:after="0"/>
              <w:ind w:left="360" w:right="112" w:hanging="283"/>
              <w:jc w:val="both"/>
              <w:rPr>
                <w:b/>
                <w:bCs/>
              </w:rPr>
            </w:pPr>
            <w:r w:rsidRPr="00355C20">
              <w:rPr>
                <w:rFonts w:ascii="Times New Roman" w:hAnsi="Times New Roman"/>
                <w:sz w:val="24"/>
                <w:szCs w:val="24"/>
              </w:rPr>
              <w:t>pašvaldību sociālie dienesti, kuri izsniedz izziņu par trūcīgas ģimenes</w:t>
            </w:r>
            <w:r w:rsidRPr="00355C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355C20">
              <w:rPr>
                <w:rFonts w:ascii="Times New Roman" w:hAnsi="Times New Roman"/>
                <w:sz w:val="24"/>
                <w:szCs w:val="24"/>
              </w:rPr>
              <w:t>personas) statusu, maznodrošinātas ģimenes (personas) statusu un atbilstību Fonda atbalsta s</w:t>
            </w:r>
            <w:r>
              <w:rPr>
                <w:rFonts w:ascii="Times New Roman" w:hAnsi="Times New Roman"/>
                <w:sz w:val="24"/>
                <w:szCs w:val="24"/>
              </w:rPr>
              <w:t>aņemšanai vai krīzes situāciju;</w:t>
            </w:r>
          </w:p>
          <w:p w14:paraId="5F4C6489" w14:textId="4514B387" w:rsidR="009F4A5C" w:rsidRPr="009F4A5C" w:rsidRDefault="009F4A5C" w:rsidP="009F4A5C">
            <w:pPr>
              <w:pStyle w:val="ListParagraph"/>
              <w:numPr>
                <w:ilvl w:val="0"/>
                <w:numId w:val="1"/>
              </w:numPr>
              <w:spacing w:after="0"/>
              <w:ind w:left="360" w:right="112" w:hanging="283"/>
              <w:jc w:val="both"/>
              <w:rPr>
                <w:b/>
                <w:bCs/>
              </w:rPr>
            </w:pPr>
            <w:r w:rsidRPr="009F4A5C">
              <w:rPr>
                <w:rFonts w:ascii="Times New Roman" w:hAnsi="Times New Roman"/>
                <w:sz w:val="24"/>
                <w:szCs w:val="24"/>
              </w:rPr>
              <w:t>nevalstiskas un reliģiskas</w:t>
            </w:r>
            <w:r w:rsidRPr="009F4A5C">
              <w:rPr>
                <w:rFonts w:ascii="Times New Roman" w:hAnsi="Times New Roman"/>
              </w:rPr>
              <w:t xml:space="preserve"> organizācijas</w:t>
            </w:r>
            <w:r w:rsidRPr="009F4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A5C">
              <w:rPr>
                <w:rFonts w:ascii="Times New Roman" w:hAnsi="Times New Roman"/>
                <w:sz w:val="24"/>
                <w:szCs w:val="24"/>
              </w:rPr>
              <w:t>pašvaldības</w:t>
            </w:r>
            <w:r w:rsidRPr="009F4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A5C">
              <w:rPr>
                <w:rFonts w:ascii="Times New Roman" w:hAnsi="Times New Roman"/>
                <w:sz w:val="24"/>
                <w:szCs w:val="24"/>
              </w:rPr>
              <w:t>vai pašvaldību</w:t>
            </w:r>
            <w:r w:rsidRPr="009F4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A5C">
              <w:rPr>
                <w:rFonts w:ascii="Times New Roman" w:hAnsi="Times New Roman"/>
                <w:sz w:val="24"/>
                <w:szCs w:val="24"/>
              </w:rPr>
              <w:t>iestādes,</w:t>
            </w:r>
            <w:r w:rsidRPr="009F4A5C">
              <w:t xml:space="preserve"> </w:t>
            </w:r>
            <w:r w:rsidRPr="009F4A5C">
              <w:rPr>
                <w:rFonts w:ascii="Times New Roman" w:hAnsi="Times New Roman"/>
                <w:sz w:val="24"/>
                <w:szCs w:val="24"/>
              </w:rPr>
              <w:t>kuras ir partnerorganizācijas.</w:t>
            </w:r>
          </w:p>
        </w:tc>
      </w:tr>
      <w:tr w:rsidR="009F4A5C" w:rsidRPr="00355C20" w14:paraId="44BCEAB9" w14:textId="77777777" w:rsidTr="009F4A5C">
        <w:trPr>
          <w:cantSplit/>
          <w:trHeight w:val="527"/>
        </w:trPr>
        <w:tc>
          <w:tcPr>
            <w:tcW w:w="567" w:type="dxa"/>
          </w:tcPr>
          <w:p w14:paraId="3227693E" w14:textId="4F7F2C35" w:rsidR="009F4A5C" w:rsidRPr="004B7274" w:rsidRDefault="009F4A5C" w:rsidP="009F4A5C">
            <w:pPr>
              <w:spacing w:line="276" w:lineRule="auto"/>
              <w:ind w:left="-65"/>
              <w:jc w:val="center"/>
              <w:rPr>
                <w:bCs/>
              </w:rPr>
            </w:pPr>
          </w:p>
        </w:tc>
        <w:tc>
          <w:tcPr>
            <w:tcW w:w="2552" w:type="dxa"/>
          </w:tcPr>
          <w:p w14:paraId="2CFD32F6" w14:textId="2A8871B6" w:rsidR="009F4A5C" w:rsidRPr="004B7274" w:rsidRDefault="009F4A5C" w:rsidP="009F4A5C">
            <w:pPr>
              <w:spacing w:line="276" w:lineRule="auto"/>
              <w:ind w:left="112"/>
              <w:rPr>
                <w:bCs/>
              </w:rPr>
            </w:pPr>
          </w:p>
        </w:tc>
        <w:tc>
          <w:tcPr>
            <w:tcW w:w="5748" w:type="dxa"/>
            <w:gridSpan w:val="2"/>
            <w:vAlign w:val="center"/>
          </w:tcPr>
          <w:p w14:paraId="0FE44F25" w14:textId="6CE62FF1" w:rsidR="009F4A5C" w:rsidRPr="00C36749" w:rsidRDefault="009F4A5C" w:rsidP="009F4A5C">
            <w:pPr>
              <w:spacing w:line="276" w:lineRule="auto"/>
              <w:ind w:left="169" w:right="112"/>
              <w:jc w:val="both"/>
            </w:pPr>
            <w:r w:rsidRPr="00C36749">
              <w:t>Netiešā mērķgrupa – pārtikas vai pamata materiālās palīdzības preču piegādātāji, kuri izvēlēti atbilstoši publisko iepirkumu normatīvam regulējumam.</w:t>
            </w:r>
          </w:p>
        </w:tc>
      </w:tr>
      <w:tr w:rsidR="009F4A5C" w:rsidRPr="00355C20" w14:paraId="43F35FA5" w14:textId="77777777" w:rsidTr="009F4A5C">
        <w:trPr>
          <w:cantSplit/>
        </w:trPr>
        <w:tc>
          <w:tcPr>
            <w:tcW w:w="567" w:type="dxa"/>
          </w:tcPr>
          <w:p w14:paraId="56301F27" w14:textId="77777777" w:rsidR="009F4A5C" w:rsidRPr="00355C20" w:rsidRDefault="009F4A5C" w:rsidP="009F4A5C">
            <w:pPr>
              <w:spacing w:line="276" w:lineRule="auto"/>
              <w:jc w:val="center"/>
            </w:pPr>
            <w:r w:rsidRPr="00355C20">
              <w:t xml:space="preserve">2. </w:t>
            </w:r>
          </w:p>
        </w:tc>
        <w:tc>
          <w:tcPr>
            <w:tcW w:w="2552" w:type="dxa"/>
          </w:tcPr>
          <w:p w14:paraId="0F27EF64" w14:textId="77777777" w:rsidR="009F4A5C" w:rsidRPr="00355C20" w:rsidRDefault="009F4A5C" w:rsidP="009F4A5C">
            <w:pPr>
              <w:spacing w:line="276" w:lineRule="auto"/>
            </w:pPr>
            <w:r w:rsidRPr="00355C20">
              <w:t>Tiesiskā regulējuma ietekme uz tautsaimniecību un administratīvo slogu</w:t>
            </w:r>
          </w:p>
        </w:tc>
        <w:tc>
          <w:tcPr>
            <w:tcW w:w="5748" w:type="dxa"/>
            <w:gridSpan w:val="2"/>
          </w:tcPr>
          <w:p w14:paraId="0A17891A" w14:textId="11BE1CA4" w:rsidR="009F4A5C" w:rsidRPr="00355C20" w:rsidRDefault="009F4A5C" w:rsidP="009F4A5C">
            <w:pPr>
              <w:pStyle w:val="ListParagraph"/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0">
              <w:rPr>
                <w:rFonts w:ascii="Times New Roman" w:hAnsi="Times New Roman"/>
                <w:sz w:val="24"/>
                <w:szCs w:val="24"/>
              </w:rPr>
              <w:t xml:space="preserve">Tiesiskais regulējums neparedz tiešu ietekmi uz tautsaimniecību, bet tas saistīts ar ieguldījumiem nabadzības mazināšanas un sociālās iekļaušanas jomā. </w:t>
            </w:r>
          </w:p>
        </w:tc>
      </w:tr>
      <w:tr w:rsidR="009F4A5C" w:rsidRPr="00355C20" w14:paraId="70C149EE" w14:textId="77777777" w:rsidTr="009F4A5C">
        <w:trPr>
          <w:cantSplit/>
        </w:trPr>
        <w:tc>
          <w:tcPr>
            <w:tcW w:w="567" w:type="dxa"/>
            <w:hideMark/>
          </w:tcPr>
          <w:p w14:paraId="6AA9156E" w14:textId="77777777" w:rsidR="009F4A5C" w:rsidRPr="00355C20" w:rsidRDefault="009F4A5C" w:rsidP="009F4A5C">
            <w:pPr>
              <w:spacing w:line="276" w:lineRule="auto"/>
              <w:jc w:val="center"/>
            </w:pPr>
            <w:r w:rsidRPr="00355C20">
              <w:t>3.</w:t>
            </w:r>
          </w:p>
        </w:tc>
        <w:tc>
          <w:tcPr>
            <w:tcW w:w="2552" w:type="dxa"/>
            <w:hideMark/>
          </w:tcPr>
          <w:p w14:paraId="73A80AA7" w14:textId="77777777" w:rsidR="009F4A5C" w:rsidRPr="00355C20" w:rsidRDefault="009F4A5C" w:rsidP="009F4A5C">
            <w:pPr>
              <w:spacing w:line="276" w:lineRule="auto"/>
            </w:pPr>
            <w:r w:rsidRPr="00355C20">
              <w:t>Administratīvo izmaksu monetārs novērtējums</w:t>
            </w:r>
          </w:p>
        </w:tc>
        <w:tc>
          <w:tcPr>
            <w:tcW w:w="5748" w:type="dxa"/>
            <w:gridSpan w:val="2"/>
            <w:hideMark/>
          </w:tcPr>
          <w:p w14:paraId="10ADA5E0" w14:textId="77777777" w:rsidR="009F4A5C" w:rsidRPr="00355C20" w:rsidRDefault="009F4A5C" w:rsidP="009F4A5C">
            <w:pPr>
              <w:spacing w:line="276" w:lineRule="auto"/>
            </w:pPr>
            <w:r w:rsidRPr="00355C20">
              <w:t>Projekts šo jomu neskar.</w:t>
            </w:r>
          </w:p>
        </w:tc>
      </w:tr>
      <w:tr w:rsidR="009F4A5C" w:rsidRPr="00355C20" w14:paraId="4FEA4659" w14:textId="77777777" w:rsidTr="009F4A5C">
        <w:trPr>
          <w:cantSplit/>
        </w:trPr>
        <w:tc>
          <w:tcPr>
            <w:tcW w:w="567" w:type="dxa"/>
          </w:tcPr>
          <w:p w14:paraId="423E1B35" w14:textId="77777777" w:rsidR="009F4A5C" w:rsidRPr="00355C20" w:rsidRDefault="009F4A5C" w:rsidP="009F4A5C">
            <w:pPr>
              <w:spacing w:line="276" w:lineRule="auto"/>
              <w:jc w:val="center"/>
            </w:pPr>
            <w:r w:rsidRPr="00355C20">
              <w:t>4.</w:t>
            </w:r>
          </w:p>
        </w:tc>
        <w:tc>
          <w:tcPr>
            <w:tcW w:w="2552" w:type="dxa"/>
          </w:tcPr>
          <w:p w14:paraId="63A6A1E2" w14:textId="77777777" w:rsidR="009F4A5C" w:rsidRPr="00355C20" w:rsidRDefault="009F4A5C" w:rsidP="009F4A5C">
            <w:pPr>
              <w:spacing w:line="276" w:lineRule="auto"/>
            </w:pPr>
            <w:r w:rsidRPr="00355C20">
              <w:t>Atbilstības izmaksu monetārs novērtējums</w:t>
            </w:r>
          </w:p>
        </w:tc>
        <w:tc>
          <w:tcPr>
            <w:tcW w:w="5748" w:type="dxa"/>
            <w:gridSpan w:val="2"/>
          </w:tcPr>
          <w:p w14:paraId="0A9D4EF2" w14:textId="77777777" w:rsidR="009F4A5C" w:rsidRPr="00355C20" w:rsidRDefault="009F4A5C" w:rsidP="009F4A5C">
            <w:pPr>
              <w:spacing w:line="276" w:lineRule="auto"/>
            </w:pPr>
            <w:r w:rsidRPr="00355C20">
              <w:t>Projekts šo jomu neskar.</w:t>
            </w:r>
          </w:p>
        </w:tc>
      </w:tr>
      <w:tr w:rsidR="009F4A5C" w:rsidRPr="00355C20" w14:paraId="7331A4A6" w14:textId="77777777" w:rsidTr="009F4A5C">
        <w:trPr>
          <w:cantSplit/>
        </w:trPr>
        <w:tc>
          <w:tcPr>
            <w:tcW w:w="567" w:type="dxa"/>
            <w:hideMark/>
          </w:tcPr>
          <w:p w14:paraId="69999328" w14:textId="77777777" w:rsidR="009F4A5C" w:rsidRPr="00355C20" w:rsidRDefault="009F4A5C" w:rsidP="009F4A5C">
            <w:pPr>
              <w:spacing w:line="276" w:lineRule="auto"/>
              <w:jc w:val="center"/>
            </w:pPr>
            <w:r w:rsidRPr="00355C20">
              <w:t>5.</w:t>
            </w:r>
          </w:p>
        </w:tc>
        <w:tc>
          <w:tcPr>
            <w:tcW w:w="2552" w:type="dxa"/>
            <w:hideMark/>
          </w:tcPr>
          <w:p w14:paraId="43AF42AB" w14:textId="77777777" w:rsidR="009F4A5C" w:rsidRPr="00355C20" w:rsidRDefault="009F4A5C" w:rsidP="009F4A5C">
            <w:pPr>
              <w:spacing w:line="276" w:lineRule="auto"/>
            </w:pPr>
            <w:r w:rsidRPr="00355C20">
              <w:t>Cita informācija</w:t>
            </w:r>
          </w:p>
        </w:tc>
        <w:tc>
          <w:tcPr>
            <w:tcW w:w="5748" w:type="dxa"/>
            <w:gridSpan w:val="2"/>
          </w:tcPr>
          <w:p w14:paraId="359D6B7F" w14:textId="77777777" w:rsidR="009F4A5C" w:rsidRPr="00355C20" w:rsidRDefault="009F4A5C" w:rsidP="009F4A5C">
            <w:pPr>
              <w:spacing w:line="276" w:lineRule="auto"/>
              <w:ind w:right="215"/>
              <w:jc w:val="both"/>
              <w:rPr>
                <w:iCs/>
              </w:rPr>
            </w:pPr>
            <w:r w:rsidRPr="00355C20">
              <w:rPr>
                <w:iCs/>
              </w:rPr>
              <w:t>Nav</w:t>
            </w:r>
          </w:p>
        </w:tc>
      </w:tr>
    </w:tbl>
    <w:p w14:paraId="65205ACA" w14:textId="77777777" w:rsidR="00956B8A" w:rsidRPr="00355C20" w:rsidRDefault="00956B8A"/>
    <w:tbl>
      <w:tblPr>
        <w:tblW w:w="48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9"/>
      </w:tblGrid>
      <w:tr w:rsidR="00F3231A" w:rsidRPr="00355C20" w14:paraId="60DBB512" w14:textId="77777777" w:rsidTr="009F4A5C">
        <w:trPr>
          <w:cantSplit/>
        </w:trPr>
        <w:tc>
          <w:tcPr>
            <w:tcW w:w="8789" w:type="dxa"/>
            <w:vAlign w:val="center"/>
            <w:hideMark/>
          </w:tcPr>
          <w:p w14:paraId="5EEA62C3" w14:textId="77777777" w:rsidR="00F3231A" w:rsidRPr="00355C20" w:rsidRDefault="00F3231A" w:rsidP="008846D2">
            <w:pPr>
              <w:spacing w:line="276" w:lineRule="auto"/>
              <w:jc w:val="center"/>
              <w:rPr>
                <w:b/>
                <w:bCs/>
              </w:rPr>
            </w:pPr>
            <w:r w:rsidRPr="00355C20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F3231A" w:rsidRPr="00355C20" w14:paraId="0B6BEB40" w14:textId="77777777" w:rsidTr="009F4A5C">
        <w:trPr>
          <w:cantSplit/>
        </w:trPr>
        <w:tc>
          <w:tcPr>
            <w:tcW w:w="8789" w:type="dxa"/>
            <w:vAlign w:val="center"/>
          </w:tcPr>
          <w:p w14:paraId="67BE5265" w14:textId="1979D295" w:rsidR="00F3231A" w:rsidRPr="00355C20" w:rsidRDefault="00F3231A" w:rsidP="00606A11">
            <w:pPr>
              <w:spacing w:line="276" w:lineRule="auto"/>
              <w:jc w:val="center"/>
              <w:rPr>
                <w:b/>
                <w:bCs/>
              </w:rPr>
            </w:pPr>
            <w:r w:rsidRPr="00355C20">
              <w:t>Projekts šo jomu neskar</w:t>
            </w:r>
            <w:r w:rsidR="00606A11">
              <w:t xml:space="preserve"> </w:t>
            </w:r>
          </w:p>
        </w:tc>
      </w:tr>
    </w:tbl>
    <w:p w14:paraId="1F1B61F2" w14:textId="77777777" w:rsidR="00F3231A" w:rsidRPr="00355C20" w:rsidRDefault="00F3231A"/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2"/>
        <w:gridCol w:w="5301"/>
      </w:tblGrid>
      <w:tr w:rsidR="0058490F" w:rsidRPr="00355C20" w14:paraId="3CE00662" w14:textId="77777777" w:rsidTr="009F4A5C">
        <w:trPr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5343" w14:textId="55F396E0" w:rsidR="0058490F" w:rsidRPr="00355C20" w:rsidRDefault="0058490F" w:rsidP="0058490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5C20">
              <w:rPr>
                <w:b/>
              </w:rPr>
              <w:t>IV. Tiesību akta projekta ietekme uz spēkā esošo tiesību normu sistēmu</w:t>
            </w:r>
          </w:p>
        </w:tc>
      </w:tr>
      <w:tr w:rsidR="006F5141" w:rsidRPr="00355C20" w14:paraId="1B1F5699" w14:textId="77777777" w:rsidTr="009F4A5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2B2" w14:textId="24929B4F" w:rsidR="006F5141" w:rsidRPr="00355C20" w:rsidRDefault="006F5141" w:rsidP="006F5141">
            <w:pPr>
              <w:spacing w:line="276" w:lineRule="auto"/>
              <w:jc w:val="center"/>
            </w:pPr>
            <w:r w:rsidRPr="00355C20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DA8" w14:textId="6AA617CE" w:rsidR="006F5141" w:rsidRPr="00355C20" w:rsidRDefault="006F5141" w:rsidP="006F5141">
            <w:pPr>
              <w:spacing w:line="276" w:lineRule="auto"/>
            </w:pPr>
            <w:r w:rsidRPr="00355C20">
              <w:t>Saistītie tiesību aktu projekti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0FD" w14:textId="4C97647E" w:rsidR="006F5141" w:rsidRPr="00355C20" w:rsidRDefault="006F5141" w:rsidP="006F5141">
            <w:pPr>
              <w:spacing w:line="276" w:lineRule="auto"/>
            </w:pPr>
            <w:r>
              <w:t>N</w:t>
            </w:r>
            <w:r w:rsidRPr="00355C20">
              <w:t>av</w:t>
            </w:r>
          </w:p>
        </w:tc>
      </w:tr>
      <w:tr w:rsidR="006F5141" w:rsidRPr="00355C20" w14:paraId="5BCBC60E" w14:textId="77777777" w:rsidTr="009F4A5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92F" w14:textId="275CED42" w:rsidR="006F5141" w:rsidRPr="00355C20" w:rsidRDefault="006F5141" w:rsidP="006F5141">
            <w:pPr>
              <w:spacing w:line="276" w:lineRule="auto"/>
              <w:jc w:val="center"/>
            </w:pPr>
            <w:r w:rsidRPr="00355C20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983" w14:textId="63E4351B" w:rsidR="006F5141" w:rsidRPr="00355C20" w:rsidRDefault="006F5141" w:rsidP="006F5141">
            <w:pPr>
              <w:spacing w:line="276" w:lineRule="auto"/>
            </w:pPr>
            <w:r w:rsidRPr="00355C20">
              <w:t>Atbildīgā institūcija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678" w14:textId="66F725B7" w:rsidR="006F5141" w:rsidRPr="00355C20" w:rsidRDefault="006F5141" w:rsidP="006F5141">
            <w:pPr>
              <w:spacing w:line="276" w:lineRule="auto"/>
            </w:pPr>
            <w:r>
              <w:t>N</w:t>
            </w:r>
            <w:r w:rsidRPr="00355C20">
              <w:t>av</w:t>
            </w:r>
          </w:p>
        </w:tc>
      </w:tr>
      <w:tr w:rsidR="006F5141" w:rsidRPr="00355C20" w14:paraId="0DC2BBDE" w14:textId="77777777" w:rsidTr="009F4A5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85F" w14:textId="3306C25C" w:rsidR="006F5141" w:rsidRPr="00355C20" w:rsidRDefault="006F5141" w:rsidP="006F5141">
            <w:pPr>
              <w:spacing w:line="276" w:lineRule="auto"/>
              <w:jc w:val="center"/>
            </w:pPr>
            <w:r w:rsidRPr="00355C20"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679" w14:textId="31F4C1A9" w:rsidR="006F5141" w:rsidRPr="00355C20" w:rsidRDefault="006F5141" w:rsidP="006F5141">
            <w:pPr>
              <w:spacing w:line="276" w:lineRule="auto"/>
            </w:pPr>
            <w:r w:rsidRPr="00355C20">
              <w:t>Cita informācija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C33" w14:textId="326EDC8F" w:rsidR="006F5141" w:rsidRPr="00355C20" w:rsidRDefault="006F5141" w:rsidP="006F5141">
            <w:pPr>
              <w:spacing w:line="276" w:lineRule="auto"/>
            </w:pPr>
            <w:r>
              <w:t>N</w:t>
            </w:r>
            <w:r w:rsidRPr="00355C20">
              <w:t>av</w:t>
            </w:r>
          </w:p>
        </w:tc>
      </w:tr>
    </w:tbl>
    <w:p w14:paraId="462CA1B5" w14:textId="77777777" w:rsidR="00F3231A" w:rsidRPr="00355C20" w:rsidRDefault="00F3231A"/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259"/>
      </w:tblGrid>
      <w:tr w:rsidR="00F3231A" w:rsidRPr="00355C20" w14:paraId="09C20DC0" w14:textId="77777777" w:rsidTr="009F4A5C">
        <w:trPr>
          <w:jc w:val="center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F5D0" w14:textId="77777777" w:rsidR="00F3231A" w:rsidRPr="00355C20" w:rsidRDefault="00F3231A" w:rsidP="008846D2">
            <w:pPr>
              <w:spacing w:line="276" w:lineRule="auto"/>
              <w:jc w:val="center"/>
              <w:rPr>
                <w:b/>
              </w:rPr>
            </w:pPr>
            <w:r w:rsidRPr="00355C20">
              <w:rPr>
                <w:b/>
              </w:rPr>
              <w:t>V. Tiesību akta projekta atbilstība Latvijas Republikas starptautiskajām saistībām</w:t>
            </w:r>
          </w:p>
        </w:tc>
      </w:tr>
      <w:tr w:rsidR="00CA2A46" w:rsidRPr="00355C20" w14:paraId="7A13878E" w14:textId="77777777" w:rsidTr="009F4A5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226A" w14:textId="77777777" w:rsidR="00F3231A" w:rsidRPr="00355C20" w:rsidRDefault="00F3231A" w:rsidP="008846D2">
            <w:pPr>
              <w:spacing w:line="276" w:lineRule="auto"/>
            </w:pPr>
            <w:r w:rsidRPr="00355C20">
              <w:t>Saistības pret Eiropas Savienību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2808" w14:textId="069D8750" w:rsidR="00F3231A" w:rsidRPr="00355C20" w:rsidRDefault="00C246F6" w:rsidP="006F5141">
            <w:pPr>
              <w:spacing w:line="276" w:lineRule="auto"/>
            </w:pPr>
            <w:r>
              <w:t>N</w:t>
            </w:r>
            <w:r w:rsidR="00F3231A" w:rsidRPr="00355C20">
              <w:t>av</w:t>
            </w:r>
          </w:p>
        </w:tc>
      </w:tr>
      <w:tr w:rsidR="00CA2A46" w:rsidRPr="00355C20" w14:paraId="4DBFF762" w14:textId="77777777" w:rsidTr="009F4A5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4BD2" w14:textId="77777777" w:rsidR="00F3231A" w:rsidRPr="00355C20" w:rsidRDefault="00F3231A" w:rsidP="008846D2">
            <w:pPr>
              <w:spacing w:line="276" w:lineRule="auto"/>
            </w:pPr>
            <w:r w:rsidRPr="00355C20">
              <w:t>Citas starptautiskās saistības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8D3C" w14:textId="55A1A2A6" w:rsidR="00F3231A" w:rsidRPr="00355C20" w:rsidRDefault="00C246F6" w:rsidP="006F5141">
            <w:pPr>
              <w:spacing w:line="276" w:lineRule="auto"/>
            </w:pPr>
            <w:r>
              <w:t>N</w:t>
            </w:r>
            <w:r w:rsidR="00F3231A" w:rsidRPr="00355C20">
              <w:t>av</w:t>
            </w:r>
          </w:p>
        </w:tc>
      </w:tr>
      <w:tr w:rsidR="00CA2A46" w:rsidRPr="00355C20" w14:paraId="6AD05273" w14:textId="77777777" w:rsidTr="009F4A5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5A78" w14:textId="77777777" w:rsidR="00F3231A" w:rsidRPr="00355C20" w:rsidRDefault="00F3231A" w:rsidP="008846D2">
            <w:pPr>
              <w:spacing w:line="276" w:lineRule="auto"/>
            </w:pPr>
            <w:r w:rsidRPr="00355C20">
              <w:t>Cita informācija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8EB4" w14:textId="7F44285A" w:rsidR="00F3231A" w:rsidRPr="00355C20" w:rsidRDefault="00C246F6" w:rsidP="006F5141">
            <w:pPr>
              <w:spacing w:line="276" w:lineRule="auto"/>
            </w:pPr>
            <w:r>
              <w:t>N</w:t>
            </w:r>
            <w:r w:rsidR="00F3231A" w:rsidRPr="00355C20">
              <w:t>av</w:t>
            </w:r>
          </w:p>
        </w:tc>
      </w:tr>
    </w:tbl>
    <w:p w14:paraId="2B8B322D" w14:textId="77777777" w:rsidR="00F3231A" w:rsidRDefault="00F3231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8490F" w:rsidRPr="00355C20" w14:paraId="00A54AAA" w14:textId="77777777" w:rsidTr="009F4A5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1489" w14:textId="77777777" w:rsidR="00F3231A" w:rsidRPr="00355C20" w:rsidRDefault="00F3231A" w:rsidP="008846D2">
            <w:pPr>
              <w:spacing w:line="276" w:lineRule="auto"/>
              <w:jc w:val="center"/>
              <w:rPr>
                <w:b/>
                <w:bCs/>
              </w:rPr>
            </w:pPr>
            <w:r w:rsidRPr="00355C20">
              <w:rPr>
                <w:b/>
                <w:bCs/>
              </w:rPr>
              <w:t xml:space="preserve">1.tabula </w:t>
            </w:r>
          </w:p>
          <w:p w14:paraId="0BE58ED5" w14:textId="77777777" w:rsidR="00F3231A" w:rsidRPr="00355C20" w:rsidRDefault="00F3231A" w:rsidP="008846D2">
            <w:pPr>
              <w:spacing w:line="276" w:lineRule="auto"/>
              <w:jc w:val="center"/>
              <w:rPr>
                <w:b/>
              </w:rPr>
            </w:pPr>
            <w:r w:rsidRPr="00355C20">
              <w:rPr>
                <w:b/>
              </w:rPr>
              <w:t>Tiesību akta projekta atbilstība ES tiesību aktiem</w:t>
            </w:r>
          </w:p>
        </w:tc>
      </w:tr>
      <w:tr w:rsidR="00896464" w:rsidRPr="00355C20" w14:paraId="6A9E3510" w14:textId="77777777" w:rsidTr="009F4A5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4E0" w14:textId="491BC286" w:rsidR="00896464" w:rsidRPr="00355C20" w:rsidRDefault="00A22A57" w:rsidP="00EA37C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2014. gada 11. marta </w:t>
            </w:r>
            <w:r w:rsidRPr="008000D8">
              <w:rPr>
                <w:bCs/>
              </w:rPr>
              <w:t>Eiropas Parlamenta un Padomes regula</w:t>
            </w:r>
            <w:r>
              <w:rPr>
                <w:bCs/>
              </w:rPr>
              <w:t>s</w:t>
            </w:r>
            <w:r w:rsidRPr="008000D8">
              <w:rPr>
                <w:bCs/>
              </w:rPr>
              <w:t xml:space="preserve"> (ES) </w:t>
            </w:r>
            <w:r w:rsidR="00896464" w:rsidRPr="008000D8">
              <w:rPr>
                <w:bCs/>
              </w:rPr>
              <w:t>223/2014</w:t>
            </w:r>
            <w:r>
              <w:rPr>
                <w:bCs/>
              </w:rPr>
              <w:t xml:space="preserve"> par Eiropas atbalsta fondu vistrūcīgākajām personām</w:t>
            </w:r>
            <w:r w:rsidR="00896464">
              <w:rPr>
                <w:bCs/>
              </w:rPr>
              <w:t xml:space="preserve"> un</w:t>
            </w:r>
            <w:r>
              <w:rPr>
                <w:bCs/>
              </w:rPr>
              <w:t xml:space="preserve"> </w:t>
            </w:r>
            <w:r w:rsidR="00896464" w:rsidRPr="008000D8">
              <w:rPr>
                <w:bCs/>
              </w:rPr>
              <w:t>2020.</w:t>
            </w:r>
            <w:r w:rsidR="00896464">
              <w:rPr>
                <w:bCs/>
              </w:rPr>
              <w:t> </w:t>
            </w:r>
            <w:r w:rsidR="00896464" w:rsidRPr="008000D8">
              <w:rPr>
                <w:bCs/>
              </w:rPr>
              <w:t>gada 23. aprīļa Eiropas Parlamenta un Padomes regula</w:t>
            </w:r>
            <w:r w:rsidR="00896464">
              <w:rPr>
                <w:bCs/>
              </w:rPr>
              <w:t>s</w:t>
            </w:r>
            <w:r w:rsidR="00896464" w:rsidRPr="008000D8">
              <w:rPr>
                <w:bCs/>
              </w:rPr>
              <w:t xml:space="preserve"> (ES) 2020/559, ar ko Regulu (ES) 223/2014 groza attiecībā uz īpašu pasākumu ieviešanu </w:t>
            </w:r>
            <w:proofErr w:type="spellStart"/>
            <w:r w:rsidR="00896464" w:rsidRPr="008000D8">
              <w:rPr>
                <w:bCs/>
              </w:rPr>
              <w:t>Covid-19</w:t>
            </w:r>
            <w:proofErr w:type="spellEnd"/>
            <w:r w:rsidR="00896464" w:rsidRPr="008000D8">
              <w:rPr>
                <w:bCs/>
              </w:rPr>
              <w:t xml:space="preserve"> uzliesmojuma risināšanai</w:t>
            </w:r>
            <w:r w:rsidR="00896464" w:rsidRPr="00121682">
              <w:t xml:space="preserve"> </w:t>
            </w:r>
            <w:r w:rsidR="00896464">
              <w:t xml:space="preserve">normas pārņemtas </w:t>
            </w:r>
            <w:r>
              <w:t>Eiropas atbalsta fonda vistrūcīgākajām personām 2014.-2020. gada plānošanas perioda vadības l</w:t>
            </w:r>
            <w:r w:rsidR="00896464">
              <w:t>ikumā</w:t>
            </w:r>
          </w:p>
        </w:tc>
      </w:tr>
    </w:tbl>
    <w:p w14:paraId="15282EC8" w14:textId="77777777" w:rsidR="00F3231A" w:rsidRDefault="00F3231A"/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5386"/>
      </w:tblGrid>
      <w:tr w:rsidR="00487B6F" w:rsidRPr="00355C20" w14:paraId="1C2FE745" w14:textId="77777777" w:rsidTr="009F4A5C">
        <w:trPr>
          <w:cantSplit/>
        </w:trPr>
        <w:tc>
          <w:tcPr>
            <w:tcW w:w="9072" w:type="dxa"/>
            <w:gridSpan w:val="3"/>
            <w:vAlign w:val="center"/>
            <w:hideMark/>
          </w:tcPr>
          <w:p w14:paraId="461805CD" w14:textId="7C78A4C1" w:rsidR="00487B6F" w:rsidRPr="00355C20" w:rsidRDefault="00487B6F" w:rsidP="005949CB">
            <w:pPr>
              <w:spacing w:line="276" w:lineRule="auto"/>
              <w:jc w:val="center"/>
              <w:rPr>
                <w:b/>
                <w:bCs/>
              </w:rPr>
            </w:pPr>
            <w:r w:rsidRPr="00355C20">
              <w:rPr>
                <w:b/>
                <w:bCs/>
              </w:rPr>
              <w:t>VI. Sabiedrības līdzdalība un komunikācijas aktivitātes</w:t>
            </w:r>
          </w:p>
        </w:tc>
      </w:tr>
      <w:tr w:rsidR="00BA32AA" w:rsidRPr="00355C20" w14:paraId="5E5948EF" w14:textId="77777777" w:rsidTr="009F4A5C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7FF0E" w14:textId="0746BF63" w:rsidR="00BA32AA" w:rsidRPr="00355C20" w:rsidRDefault="00BA32AA" w:rsidP="00BA32AA">
            <w:pPr>
              <w:spacing w:line="276" w:lineRule="auto"/>
              <w:jc w:val="center"/>
            </w:pPr>
            <w:r w:rsidRPr="00355C20">
              <w:rPr>
                <w:iCs/>
                <w:lang w:val="en-US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0B6BF" w14:textId="4028E360" w:rsidR="00BA32AA" w:rsidRPr="00355C20" w:rsidRDefault="00BA32AA" w:rsidP="00BA32AA">
            <w:pPr>
              <w:spacing w:line="276" w:lineRule="auto"/>
            </w:pPr>
            <w:r w:rsidRPr="00355C20">
              <w:rPr>
                <w:iCs/>
              </w:rPr>
              <w:t>Plānotās sabiedrības līdzdalības un komunikācijas aktivitātes saistībā ar projektu</w:t>
            </w:r>
          </w:p>
        </w:tc>
        <w:tc>
          <w:tcPr>
            <w:tcW w:w="5386" w:type="dxa"/>
            <w:shd w:val="clear" w:color="auto" w:fill="auto"/>
          </w:tcPr>
          <w:p w14:paraId="42A24285" w14:textId="2EAA90C1" w:rsidR="00BA32AA" w:rsidRPr="00355C20" w:rsidRDefault="00BA32AA" w:rsidP="00BA32AA">
            <w:pPr>
              <w:ind w:right="252"/>
              <w:jc w:val="both"/>
              <w:rPr>
                <w:iCs/>
              </w:rPr>
            </w:pPr>
            <w:r w:rsidRPr="00355C20">
              <w:rPr>
                <w:iCs/>
              </w:rPr>
              <w:t>Nav</w:t>
            </w:r>
          </w:p>
        </w:tc>
      </w:tr>
      <w:tr w:rsidR="00BA32AA" w:rsidRPr="00355C20" w14:paraId="1928289C" w14:textId="77777777" w:rsidTr="009F4A5C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FF3EF" w14:textId="7BA7AC5E" w:rsidR="00BA32AA" w:rsidRPr="00355C20" w:rsidRDefault="00BA32AA" w:rsidP="00BA32AA">
            <w:pPr>
              <w:spacing w:line="276" w:lineRule="auto"/>
              <w:jc w:val="center"/>
            </w:pPr>
            <w:r w:rsidRPr="00355C20">
              <w:rPr>
                <w:iCs/>
                <w:lang w:val="en-US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DDC02" w14:textId="6A8C91D3" w:rsidR="00BA32AA" w:rsidRPr="00AD7A63" w:rsidRDefault="00BA32AA" w:rsidP="00BA32AA">
            <w:pPr>
              <w:spacing w:line="276" w:lineRule="auto"/>
            </w:pPr>
            <w:r w:rsidRPr="00633DEB">
              <w:rPr>
                <w:iCs/>
              </w:rPr>
              <w:t>Sabiedrības līdzdalība projekta izstrādē</w:t>
            </w:r>
          </w:p>
        </w:tc>
        <w:tc>
          <w:tcPr>
            <w:tcW w:w="5386" w:type="dxa"/>
            <w:shd w:val="clear" w:color="auto" w:fill="auto"/>
          </w:tcPr>
          <w:p w14:paraId="3D3AD371" w14:textId="2D0DA0DB" w:rsidR="00BA32AA" w:rsidRPr="00355C20" w:rsidRDefault="00BA32AA" w:rsidP="00BA32AA">
            <w:pPr>
              <w:ind w:left="26" w:right="249"/>
              <w:jc w:val="both"/>
            </w:pPr>
            <w:r w:rsidRPr="00355C20">
              <w:t>Nav</w:t>
            </w:r>
          </w:p>
        </w:tc>
      </w:tr>
      <w:tr w:rsidR="00BA32AA" w:rsidRPr="00355C20" w14:paraId="2FACC7D4" w14:textId="77777777" w:rsidTr="009F4A5C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AB985" w14:textId="2DC33946" w:rsidR="00BA32AA" w:rsidRPr="00355C20" w:rsidRDefault="00BA32AA" w:rsidP="00BA32AA">
            <w:pPr>
              <w:spacing w:line="276" w:lineRule="auto"/>
              <w:jc w:val="center"/>
            </w:pPr>
            <w:r w:rsidRPr="00355C20">
              <w:rPr>
                <w:iCs/>
                <w:lang w:val="en-US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BFCC9" w14:textId="3579024E" w:rsidR="00BA32AA" w:rsidRPr="00AD7A63" w:rsidRDefault="00BA32AA" w:rsidP="00BA32AA">
            <w:pPr>
              <w:spacing w:line="276" w:lineRule="auto"/>
            </w:pPr>
            <w:r w:rsidRPr="00633DEB">
              <w:rPr>
                <w:iCs/>
              </w:rPr>
              <w:t>Sabiedrības līdzdalības rezultāti</w:t>
            </w:r>
          </w:p>
        </w:tc>
        <w:tc>
          <w:tcPr>
            <w:tcW w:w="5386" w:type="dxa"/>
            <w:shd w:val="clear" w:color="auto" w:fill="auto"/>
          </w:tcPr>
          <w:p w14:paraId="3F3D59DA" w14:textId="109A3D39" w:rsidR="00BA32AA" w:rsidRPr="00355C20" w:rsidRDefault="00BA32AA" w:rsidP="00BA32AA">
            <w:pPr>
              <w:spacing w:line="276" w:lineRule="auto"/>
              <w:jc w:val="both"/>
            </w:pPr>
            <w:r w:rsidRPr="00355C20">
              <w:t>Nav</w:t>
            </w:r>
          </w:p>
        </w:tc>
      </w:tr>
      <w:tr w:rsidR="00BA32AA" w:rsidRPr="00355C20" w14:paraId="6B1F8061" w14:textId="77777777" w:rsidTr="009F4A5C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ADC5F" w14:textId="7E5A35EF" w:rsidR="00BA32AA" w:rsidRPr="00355C20" w:rsidRDefault="00BA32AA" w:rsidP="00BA32AA">
            <w:pPr>
              <w:spacing w:line="276" w:lineRule="auto"/>
              <w:jc w:val="center"/>
            </w:pPr>
            <w:r w:rsidRPr="00355C20">
              <w:rPr>
                <w:iCs/>
                <w:lang w:val="en-US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DF83" w14:textId="65D41C97" w:rsidR="00BA32AA" w:rsidRPr="00AD7A63" w:rsidRDefault="00BA32AA" w:rsidP="00BA32AA">
            <w:pPr>
              <w:spacing w:line="276" w:lineRule="auto"/>
            </w:pPr>
            <w:r w:rsidRPr="00633DEB">
              <w:rPr>
                <w:iCs/>
              </w:rPr>
              <w:t>Cita informācija</w:t>
            </w:r>
          </w:p>
        </w:tc>
        <w:tc>
          <w:tcPr>
            <w:tcW w:w="5386" w:type="dxa"/>
            <w:shd w:val="clear" w:color="auto" w:fill="auto"/>
          </w:tcPr>
          <w:p w14:paraId="4EDF6481" w14:textId="03814EFE" w:rsidR="00BA32AA" w:rsidRPr="00355C20" w:rsidRDefault="00BA32AA" w:rsidP="00BA32AA">
            <w:pPr>
              <w:spacing w:line="276" w:lineRule="auto"/>
            </w:pPr>
            <w:r w:rsidRPr="00355C20">
              <w:t>Nav</w:t>
            </w:r>
          </w:p>
        </w:tc>
      </w:tr>
    </w:tbl>
    <w:p w14:paraId="6193CFDD" w14:textId="77777777" w:rsidR="009B3141" w:rsidRPr="00355C20" w:rsidRDefault="009B3141">
      <w:pPr>
        <w:spacing w:line="276" w:lineRule="auto"/>
        <w:ind w:firstLine="720"/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58490F" w:rsidRPr="00355C20" w14:paraId="50B7E6B4" w14:textId="77777777" w:rsidTr="009F4A5C">
        <w:trPr>
          <w:cantSplit/>
        </w:trPr>
        <w:tc>
          <w:tcPr>
            <w:tcW w:w="9072" w:type="dxa"/>
            <w:gridSpan w:val="3"/>
            <w:vAlign w:val="center"/>
            <w:hideMark/>
          </w:tcPr>
          <w:p w14:paraId="6DD99F0F" w14:textId="77777777" w:rsidR="0058490F" w:rsidRPr="00355C20" w:rsidRDefault="0058490F" w:rsidP="008846D2">
            <w:pPr>
              <w:spacing w:line="276" w:lineRule="auto"/>
              <w:jc w:val="center"/>
              <w:rPr>
                <w:b/>
                <w:bCs/>
              </w:rPr>
            </w:pPr>
            <w:r w:rsidRPr="00355C20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58490F" w:rsidRPr="00355C20" w14:paraId="7E6D403E" w14:textId="77777777" w:rsidTr="009F4A5C">
        <w:trPr>
          <w:cantSplit/>
        </w:trPr>
        <w:tc>
          <w:tcPr>
            <w:tcW w:w="709" w:type="dxa"/>
            <w:hideMark/>
          </w:tcPr>
          <w:p w14:paraId="3A1A62BB" w14:textId="77777777" w:rsidR="0058490F" w:rsidRPr="00355C20" w:rsidRDefault="0058490F" w:rsidP="008846D2">
            <w:pPr>
              <w:spacing w:line="276" w:lineRule="auto"/>
              <w:jc w:val="center"/>
            </w:pPr>
            <w:r w:rsidRPr="00355C20">
              <w:t>1.</w:t>
            </w:r>
          </w:p>
        </w:tc>
        <w:tc>
          <w:tcPr>
            <w:tcW w:w="2977" w:type="dxa"/>
            <w:hideMark/>
          </w:tcPr>
          <w:p w14:paraId="214A6385" w14:textId="77777777" w:rsidR="0058490F" w:rsidRPr="00355C20" w:rsidRDefault="0058490F" w:rsidP="008846D2">
            <w:pPr>
              <w:spacing w:line="276" w:lineRule="auto"/>
            </w:pPr>
            <w:r w:rsidRPr="00355C20">
              <w:t>Projekta izpildē iesaistītās institūcijas</w:t>
            </w:r>
          </w:p>
        </w:tc>
        <w:tc>
          <w:tcPr>
            <w:tcW w:w="5386" w:type="dxa"/>
            <w:hideMark/>
          </w:tcPr>
          <w:p w14:paraId="3E3E7DCF" w14:textId="326A4353" w:rsidR="0058490F" w:rsidRPr="00355C20" w:rsidRDefault="0058490F" w:rsidP="0061177B">
            <w:pPr>
              <w:spacing w:line="276" w:lineRule="auto"/>
              <w:jc w:val="both"/>
            </w:pPr>
            <w:r w:rsidRPr="00355C20">
              <w:t>L</w:t>
            </w:r>
            <w:r w:rsidR="00AD7A63">
              <w:t>abklājības ministrija</w:t>
            </w:r>
            <w:r w:rsidR="0061177B">
              <w:t xml:space="preserve">, </w:t>
            </w:r>
            <w:r w:rsidRPr="00355C20">
              <w:t>Sabiedrības integrācijas fonds</w:t>
            </w:r>
          </w:p>
        </w:tc>
      </w:tr>
      <w:tr w:rsidR="0058490F" w:rsidRPr="00355C20" w14:paraId="70FD7A6A" w14:textId="77777777" w:rsidTr="009F4A5C">
        <w:trPr>
          <w:cantSplit/>
        </w:trPr>
        <w:tc>
          <w:tcPr>
            <w:tcW w:w="709" w:type="dxa"/>
            <w:hideMark/>
          </w:tcPr>
          <w:p w14:paraId="404686C1" w14:textId="77777777" w:rsidR="0058490F" w:rsidRPr="00355C20" w:rsidRDefault="0058490F" w:rsidP="008846D2">
            <w:pPr>
              <w:spacing w:line="276" w:lineRule="auto"/>
              <w:jc w:val="center"/>
            </w:pPr>
            <w:r w:rsidRPr="00355C20">
              <w:t>2.</w:t>
            </w:r>
          </w:p>
        </w:tc>
        <w:tc>
          <w:tcPr>
            <w:tcW w:w="2977" w:type="dxa"/>
            <w:hideMark/>
          </w:tcPr>
          <w:p w14:paraId="6CAC7A3E" w14:textId="77777777" w:rsidR="0058490F" w:rsidRPr="00355C20" w:rsidRDefault="0058490F" w:rsidP="008846D2">
            <w:pPr>
              <w:spacing w:line="276" w:lineRule="auto"/>
            </w:pPr>
            <w:r w:rsidRPr="00355C20">
              <w:t>Projekta izpildes ietekme uz pārvaldes funkcijām un institucionālo struktūru.</w:t>
            </w:r>
            <w:r w:rsidRPr="00355C20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386" w:type="dxa"/>
            <w:hideMark/>
          </w:tcPr>
          <w:p w14:paraId="2FDA9E73" w14:textId="77777777" w:rsidR="0058490F" w:rsidRPr="00355C20" w:rsidRDefault="0058490F" w:rsidP="008846D2">
            <w:pPr>
              <w:pStyle w:val="ListParagraph"/>
              <w:shd w:val="clear" w:color="auto" w:fill="FFFFFF"/>
              <w:spacing w:after="0"/>
              <w:ind w:left="0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0">
              <w:rPr>
                <w:rFonts w:ascii="Times New Roman" w:hAnsi="Times New Roman"/>
                <w:sz w:val="24"/>
                <w:szCs w:val="24"/>
              </w:rPr>
              <w:t>Noteikumu projekts neparedz funkciju paplašināšanu vai sašaurināšanu, kā arī neietekmē pieejamos cilvēkresursus, neparedz veidot jaunas institūcijas vai reorganizēt esošās.</w:t>
            </w:r>
          </w:p>
        </w:tc>
      </w:tr>
      <w:tr w:rsidR="0058490F" w:rsidRPr="00355C20" w14:paraId="61422A91" w14:textId="77777777" w:rsidTr="009F4A5C">
        <w:trPr>
          <w:cantSplit/>
        </w:trPr>
        <w:tc>
          <w:tcPr>
            <w:tcW w:w="709" w:type="dxa"/>
            <w:hideMark/>
          </w:tcPr>
          <w:p w14:paraId="474E3024" w14:textId="77777777" w:rsidR="0058490F" w:rsidRPr="00355C20" w:rsidRDefault="0058490F" w:rsidP="008846D2">
            <w:pPr>
              <w:spacing w:line="276" w:lineRule="auto"/>
              <w:jc w:val="center"/>
            </w:pPr>
            <w:r w:rsidRPr="00355C20">
              <w:t>3.</w:t>
            </w:r>
          </w:p>
        </w:tc>
        <w:tc>
          <w:tcPr>
            <w:tcW w:w="2977" w:type="dxa"/>
            <w:hideMark/>
          </w:tcPr>
          <w:p w14:paraId="1D99A3D5" w14:textId="77777777" w:rsidR="0058490F" w:rsidRPr="00355C20" w:rsidRDefault="0058490F" w:rsidP="008846D2">
            <w:pPr>
              <w:spacing w:line="276" w:lineRule="auto"/>
            </w:pPr>
            <w:r w:rsidRPr="00355C20">
              <w:t>Cita informācija</w:t>
            </w:r>
          </w:p>
        </w:tc>
        <w:tc>
          <w:tcPr>
            <w:tcW w:w="5386" w:type="dxa"/>
            <w:hideMark/>
          </w:tcPr>
          <w:p w14:paraId="2A2ED22F" w14:textId="46A7122B" w:rsidR="0058490F" w:rsidRPr="00355C20" w:rsidRDefault="00606A11" w:rsidP="008846D2">
            <w:pPr>
              <w:spacing w:line="276" w:lineRule="auto"/>
            </w:pPr>
            <w:r>
              <w:t>Noteikumu projekts tiks īstenots Sabiedrības integrācijas fonda esošo līdzekļu ietvaros</w:t>
            </w:r>
          </w:p>
        </w:tc>
      </w:tr>
    </w:tbl>
    <w:p w14:paraId="13137E1B" w14:textId="77777777" w:rsidR="0058490F" w:rsidRDefault="0058490F">
      <w:pPr>
        <w:spacing w:line="276" w:lineRule="auto"/>
        <w:ind w:firstLine="720"/>
      </w:pPr>
    </w:p>
    <w:p w14:paraId="2BE5BA2F" w14:textId="77777777" w:rsidR="00EA37CB" w:rsidRDefault="00EA37CB">
      <w:pPr>
        <w:spacing w:line="276" w:lineRule="auto"/>
        <w:ind w:firstLine="720"/>
      </w:pPr>
    </w:p>
    <w:p w14:paraId="1190179C" w14:textId="77777777" w:rsidR="009F4A5C" w:rsidRDefault="009F4A5C">
      <w:pPr>
        <w:spacing w:line="276" w:lineRule="auto"/>
        <w:ind w:firstLine="720"/>
      </w:pPr>
    </w:p>
    <w:p w14:paraId="571CE249" w14:textId="77777777" w:rsidR="008B3221" w:rsidRDefault="008B3221">
      <w:pPr>
        <w:spacing w:line="276" w:lineRule="auto"/>
        <w:ind w:firstLine="720"/>
      </w:pPr>
    </w:p>
    <w:p w14:paraId="5B8256CB" w14:textId="77777777" w:rsidR="008B3221" w:rsidRDefault="008B3221">
      <w:pPr>
        <w:spacing w:line="276" w:lineRule="auto"/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6758E" w:rsidRPr="00355C20" w14:paraId="7CABB940" w14:textId="77777777" w:rsidTr="0026758E">
        <w:tc>
          <w:tcPr>
            <w:tcW w:w="4530" w:type="dxa"/>
          </w:tcPr>
          <w:p w14:paraId="2D93DF3B" w14:textId="2F66DA5C" w:rsidR="0026758E" w:rsidRPr="00355C20" w:rsidRDefault="0026758E" w:rsidP="00206A21">
            <w:pPr>
              <w:spacing w:line="276" w:lineRule="auto"/>
            </w:pPr>
            <w:r w:rsidRPr="00355C20">
              <w:t>Labklājības ministr</w:t>
            </w:r>
            <w:r w:rsidR="00206A21" w:rsidRPr="00355C20">
              <w:t>e</w:t>
            </w:r>
          </w:p>
        </w:tc>
        <w:tc>
          <w:tcPr>
            <w:tcW w:w="4531" w:type="dxa"/>
          </w:tcPr>
          <w:p w14:paraId="1CE79E2C" w14:textId="1CF932F3" w:rsidR="0026758E" w:rsidRPr="00355C20" w:rsidRDefault="00206A21" w:rsidP="0026758E">
            <w:pPr>
              <w:spacing w:line="276" w:lineRule="auto"/>
              <w:jc w:val="right"/>
            </w:pPr>
            <w:proofErr w:type="spellStart"/>
            <w:r w:rsidRPr="00355C20">
              <w:t>R.Petraviča</w:t>
            </w:r>
            <w:proofErr w:type="spellEnd"/>
          </w:p>
        </w:tc>
      </w:tr>
    </w:tbl>
    <w:p w14:paraId="218EE059" w14:textId="77777777" w:rsidR="00E26FD9" w:rsidRDefault="00E26FD9">
      <w:pPr>
        <w:spacing w:line="276" w:lineRule="auto"/>
        <w:ind w:firstLine="720"/>
        <w:rPr>
          <w:sz w:val="20"/>
          <w:szCs w:val="20"/>
        </w:rPr>
      </w:pPr>
    </w:p>
    <w:p w14:paraId="0EF1F0CA" w14:textId="77777777" w:rsidR="0061177B" w:rsidRDefault="0061177B">
      <w:pPr>
        <w:spacing w:line="276" w:lineRule="auto"/>
        <w:ind w:firstLine="720"/>
        <w:rPr>
          <w:sz w:val="20"/>
          <w:szCs w:val="20"/>
        </w:rPr>
      </w:pPr>
    </w:p>
    <w:p w14:paraId="74C90FB1" w14:textId="77777777" w:rsidR="008B3221" w:rsidRDefault="008B3221">
      <w:pPr>
        <w:spacing w:line="276" w:lineRule="auto"/>
        <w:ind w:firstLine="720"/>
        <w:rPr>
          <w:sz w:val="20"/>
          <w:szCs w:val="20"/>
        </w:rPr>
      </w:pPr>
    </w:p>
    <w:p w14:paraId="5FE667A7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25236369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59A982A4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5705C311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131935D3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4932A08A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3645B383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2B047937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65AAF78A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6AE74AB0" w14:textId="77777777" w:rsidR="009F4A5C" w:rsidRDefault="009F4A5C">
      <w:pPr>
        <w:spacing w:line="276" w:lineRule="auto"/>
        <w:ind w:firstLine="720"/>
        <w:rPr>
          <w:sz w:val="20"/>
          <w:szCs w:val="20"/>
        </w:rPr>
      </w:pPr>
    </w:p>
    <w:p w14:paraId="606BDE01" w14:textId="77777777" w:rsidR="008B3221" w:rsidRDefault="008B3221">
      <w:pPr>
        <w:spacing w:line="276" w:lineRule="auto"/>
        <w:ind w:firstLine="720"/>
        <w:rPr>
          <w:sz w:val="20"/>
          <w:szCs w:val="20"/>
        </w:rPr>
      </w:pPr>
    </w:p>
    <w:p w14:paraId="23853416" w14:textId="77777777" w:rsidR="00E64C9B" w:rsidRPr="00355C20" w:rsidRDefault="00E64C9B">
      <w:pPr>
        <w:spacing w:line="276" w:lineRule="auto"/>
        <w:ind w:firstLine="720"/>
        <w:rPr>
          <w:sz w:val="20"/>
          <w:szCs w:val="20"/>
        </w:rPr>
      </w:pPr>
    </w:p>
    <w:p w14:paraId="4E5CDA95" w14:textId="4E74B311" w:rsidR="003B7D11" w:rsidRPr="00355C20" w:rsidRDefault="003B7D11">
      <w:pPr>
        <w:spacing w:line="276" w:lineRule="auto"/>
        <w:rPr>
          <w:sz w:val="20"/>
          <w:szCs w:val="20"/>
        </w:rPr>
      </w:pPr>
      <w:r w:rsidRPr="00355C20">
        <w:rPr>
          <w:sz w:val="20"/>
          <w:szCs w:val="20"/>
        </w:rPr>
        <w:fldChar w:fldCharType="begin"/>
      </w:r>
      <w:r w:rsidRPr="00355C20">
        <w:rPr>
          <w:sz w:val="20"/>
          <w:szCs w:val="20"/>
        </w:rPr>
        <w:instrText xml:space="preserve"> TIME \@ "dd.MM.yyyy H:mm" </w:instrText>
      </w:r>
      <w:r w:rsidRPr="00355C20">
        <w:rPr>
          <w:sz w:val="20"/>
          <w:szCs w:val="20"/>
        </w:rPr>
        <w:fldChar w:fldCharType="separate"/>
      </w:r>
      <w:r w:rsidR="009F4A5C">
        <w:rPr>
          <w:noProof/>
          <w:sz w:val="20"/>
          <w:szCs w:val="20"/>
        </w:rPr>
        <w:t>18.05.2020 10:57</w:t>
      </w:r>
      <w:r w:rsidRPr="00355C20">
        <w:rPr>
          <w:sz w:val="20"/>
          <w:szCs w:val="20"/>
        </w:rPr>
        <w:fldChar w:fldCharType="end"/>
      </w:r>
      <w:r w:rsidR="006A609A" w:rsidRPr="00355C20">
        <w:rPr>
          <w:sz w:val="20"/>
          <w:szCs w:val="20"/>
        </w:rPr>
        <w:t>.</w:t>
      </w:r>
    </w:p>
    <w:p w14:paraId="5B3A5F11" w14:textId="262696E9" w:rsidR="00134B13" w:rsidRPr="00355C20" w:rsidRDefault="006C576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A37CB">
        <w:rPr>
          <w:sz w:val="20"/>
          <w:szCs w:val="20"/>
        </w:rPr>
        <w:t>377</w:t>
      </w:r>
    </w:p>
    <w:p w14:paraId="1E19C17E" w14:textId="3A857D4A" w:rsidR="009F5A5E" w:rsidRPr="00355C20" w:rsidRDefault="00CA2A46">
      <w:pPr>
        <w:spacing w:line="276" w:lineRule="auto"/>
        <w:rPr>
          <w:sz w:val="20"/>
          <w:szCs w:val="20"/>
        </w:rPr>
      </w:pPr>
      <w:r w:rsidRPr="00355C20">
        <w:rPr>
          <w:sz w:val="20"/>
          <w:szCs w:val="20"/>
        </w:rPr>
        <w:t>I.Latviete</w:t>
      </w:r>
      <w:r w:rsidR="0061177B">
        <w:rPr>
          <w:sz w:val="20"/>
          <w:szCs w:val="20"/>
        </w:rPr>
        <w:t xml:space="preserve"> </w:t>
      </w:r>
      <w:r w:rsidR="009F5A5E" w:rsidRPr="00355C20">
        <w:rPr>
          <w:sz w:val="20"/>
          <w:szCs w:val="20"/>
        </w:rPr>
        <w:t>Tāl.</w:t>
      </w:r>
      <w:r w:rsidR="009B3141" w:rsidRPr="00355C20">
        <w:rPr>
          <w:sz w:val="20"/>
          <w:szCs w:val="20"/>
        </w:rPr>
        <w:t>67201653</w:t>
      </w:r>
      <w:r w:rsidR="00E477C2" w:rsidRPr="00355C20">
        <w:rPr>
          <w:sz w:val="20"/>
          <w:szCs w:val="20"/>
        </w:rPr>
        <w:t xml:space="preserve">, </w:t>
      </w:r>
      <w:hyperlink r:id="rId8" w:history="1">
        <w:r w:rsidRPr="00355C20">
          <w:rPr>
            <w:rStyle w:val="Hyperlink"/>
            <w:sz w:val="20"/>
            <w:szCs w:val="20"/>
          </w:rPr>
          <w:t>Ilze.Latviete@lm.gov.lv</w:t>
        </w:r>
      </w:hyperlink>
    </w:p>
    <w:p w14:paraId="7C364285" w14:textId="13E580A4" w:rsidR="007F5AA0" w:rsidRPr="007F5AA0" w:rsidRDefault="007F5AA0" w:rsidP="007F5AA0">
      <w:pPr>
        <w:spacing w:line="276" w:lineRule="auto"/>
        <w:rPr>
          <w:sz w:val="20"/>
          <w:szCs w:val="20"/>
        </w:rPr>
      </w:pPr>
      <w:r w:rsidRPr="00355C20">
        <w:rPr>
          <w:sz w:val="20"/>
          <w:szCs w:val="20"/>
        </w:rPr>
        <w:t>L.Grafa</w:t>
      </w:r>
      <w:r w:rsidR="0061177B">
        <w:rPr>
          <w:sz w:val="20"/>
          <w:szCs w:val="20"/>
        </w:rPr>
        <w:t xml:space="preserve"> </w:t>
      </w:r>
      <w:r w:rsidRPr="00355C20">
        <w:rPr>
          <w:sz w:val="20"/>
          <w:szCs w:val="20"/>
        </w:rPr>
        <w:t>Tāl.67021679</w:t>
      </w:r>
      <w:r w:rsidR="00E477C2" w:rsidRPr="00355C20">
        <w:rPr>
          <w:sz w:val="20"/>
          <w:szCs w:val="20"/>
        </w:rPr>
        <w:t xml:space="preserve">, </w:t>
      </w:r>
      <w:hyperlink r:id="rId9" w:history="1">
        <w:r w:rsidR="00CA2A46" w:rsidRPr="00355C20">
          <w:rPr>
            <w:rStyle w:val="Hyperlink"/>
            <w:sz w:val="20"/>
            <w:szCs w:val="20"/>
          </w:rPr>
          <w:t>Lauma.Grafa@lm.gov.lv</w:t>
        </w:r>
      </w:hyperlink>
      <w:r>
        <w:rPr>
          <w:sz w:val="20"/>
          <w:szCs w:val="20"/>
        </w:rPr>
        <w:t xml:space="preserve"> </w:t>
      </w:r>
    </w:p>
    <w:sectPr w:rsidR="007F5AA0" w:rsidRPr="007F5AA0" w:rsidSect="009F4A5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4B20" w14:textId="77777777" w:rsidR="00370150" w:rsidRDefault="00370150">
      <w:r>
        <w:separator/>
      </w:r>
    </w:p>
  </w:endnote>
  <w:endnote w:type="continuationSeparator" w:id="0">
    <w:p w14:paraId="3F86FD60" w14:textId="77777777" w:rsidR="00370150" w:rsidRDefault="003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5B67" w14:textId="77777777" w:rsidR="000907B2" w:rsidRDefault="000907B2" w:rsidP="00B370AB">
    <w:pPr>
      <w:pStyle w:val="Footer"/>
      <w:jc w:val="both"/>
      <w:rPr>
        <w:sz w:val="20"/>
        <w:szCs w:val="20"/>
      </w:rPr>
    </w:pPr>
  </w:p>
  <w:p w14:paraId="68C697CE" w14:textId="5E33AB6A" w:rsidR="000907B2" w:rsidRPr="00F96165" w:rsidRDefault="000907B2" w:rsidP="0041616F">
    <w:pPr>
      <w:pStyle w:val="Footer"/>
      <w:jc w:val="center"/>
    </w:pPr>
    <w:r>
      <w:rPr>
        <w:bCs/>
        <w:sz w:val="20"/>
        <w:szCs w:val="20"/>
        <w:lang w:eastAsia="ar-SA"/>
      </w:rPr>
      <w:fldChar w:fldCharType="begin"/>
    </w:r>
    <w:r>
      <w:rPr>
        <w:bCs/>
        <w:sz w:val="20"/>
        <w:szCs w:val="20"/>
        <w:lang w:eastAsia="ar-SA"/>
      </w:rPr>
      <w:instrText xml:space="preserve"> FILENAME \* MERGEFORMAT </w:instrText>
    </w:r>
    <w:r>
      <w:rPr>
        <w:bCs/>
        <w:sz w:val="20"/>
        <w:szCs w:val="20"/>
        <w:lang w:eastAsia="ar-SA"/>
      </w:rPr>
      <w:fldChar w:fldCharType="separate"/>
    </w:r>
    <w:r w:rsidR="009F4A5C">
      <w:rPr>
        <w:bCs/>
        <w:noProof/>
        <w:sz w:val="20"/>
        <w:szCs w:val="20"/>
        <w:lang w:eastAsia="ar-SA"/>
      </w:rPr>
      <w:t>LMAnot_08052020_MKN727groz</w:t>
    </w:r>
    <w:r>
      <w:rPr>
        <w:bCs/>
        <w:sz w:val="20"/>
        <w:szCs w:val="20"/>
        <w:lang w:eastAsia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62CB" w14:textId="1631E0EE" w:rsidR="000907B2" w:rsidRPr="0041616F" w:rsidRDefault="0041616F" w:rsidP="0041616F">
    <w:pPr>
      <w:pStyle w:val="Footer"/>
      <w:jc w:val="center"/>
    </w:pPr>
    <w:r>
      <w:rPr>
        <w:bCs/>
        <w:sz w:val="20"/>
        <w:szCs w:val="20"/>
        <w:lang w:eastAsia="ar-SA"/>
      </w:rPr>
      <w:fldChar w:fldCharType="begin"/>
    </w:r>
    <w:r>
      <w:rPr>
        <w:bCs/>
        <w:sz w:val="20"/>
        <w:szCs w:val="20"/>
        <w:lang w:eastAsia="ar-SA"/>
      </w:rPr>
      <w:instrText xml:space="preserve"> FILENAME \* MERGEFORMAT </w:instrText>
    </w:r>
    <w:r>
      <w:rPr>
        <w:bCs/>
        <w:sz w:val="20"/>
        <w:szCs w:val="20"/>
        <w:lang w:eastAsia="ar-SA"/>
      </w:rPr>
      <w:fldChar w:fldCharType="separate"/>
    </w:r>
    <w:r w:rsidR="009F4A5C">
      <w:rPr>
        <w:bCs/>
        <w:noProof/>
        <w:sz w:val="20"/>
        <w:szCs w:val="20"/>
        <w:lang w:eastAsia="ar-SA"/>
      </w:rPr>
      <w:t>LMAnot_08052020_MKN727groz</w:t>
    </w:r>
    <w:r>
      <w:rPr>
        <w:bCs/>
        <w:sz w:val="20"/>
        <w:szCs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C3618" w14:textId="77777777" w:rsidR="00370150" w:rsidRDefault="00370150">
      <w:r>
        <w:separator/>
      </w:r>
    </w:p>
  </w:footnote>
  <w:footnote w:type="continuationSeparator" w:id="0">
    <w:p w14:paraId="1FADFDFB" w14:textId="77777777" w:rsidR="00370150" w:rsidRDefault="00370150">
      <w:r>
        <w:continuationSeparator/>
      </w:r>
    </w:p>
  </w:footnote>
  <w:footnote w:id="1">
    <w:p w14:paraId="6481C8AC" w14:textId="2B70D2A5" w:rsidR="00121682" w:rsidRDefault="00121682">
      <w:pPr>
        <w:pStyle w:val="FootnoteText"/>
      </w:pPr>
      <w:r>
        <w:rPr>
          <w:rStyle w:val="FootnoteReference"/>
        </w:rPr>
        <w:footnoteRef/>
      </w:r>
      <w:r>
        <w:t xml:space="preserve"> Ministru kabineta </w:t>
      </w:r>
      <w:proofErr w:type="gramStart"/>
      <w:r>
        <w:t>2020.gada</w:t>
      </w:r>
      <w:proofErr w:type="gramEnd"/>
      <w:r>
        <w:t xml:space="preserve"> 12.marta rīkojums Nr.103 “Par ārkārtējās situācijas izsludināšanu” </w:t>
      </w:r>
      <w:hyperlink r:id="rId1" w:history="1">
        <w:r w:rsidR="00DA7F82" w:rsidRPr="00DA7F82">
          <w:rPr>
            <w:rStyle w:val="Hyperlink"/>
          </w:rPr>
          <w:t>https://likumi.lv/ta/id/313191-par-arkartejas-situacijas-izsludinasanu</w:t>
        </w:r>
      </w:hyperlink>
    </w:p>
  </w:footnote>
  <w:footnote w:id="2">
    <w:p w14:paraId="33794B66" w14:textId="1AD8A283" w:rsidR="009F2298" w:rsidRDefault="009F2298">
      <w:pPr>
        <w:pStyle w:val="FootnoteText"/>
      </w:pPr>
      <w:r>
        <w:rPr>
          <w:rStyle w:val="FootnoteReference"/>
        </w:rPr>
        <w:footnoteRef/>
      </w:r>
      <w:r>
        <w:t xml:space="preserve"> Sociālo pakalpojumu un sociālās palīdzības likuma pārejas noteikumu 36.punkts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2AC7" w14:textId="77777777" w:rsidR="000907B2" w:rsidRDefault="000907B2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7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2EF7F4" w14:textId="77777777" w:rsidR="000907B2" w:rsidRDefault="00090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CF3F" w14:textId="77777777" w:rsidR="000907B2" w:rsidRDefault="000907B2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A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3593D5" w14:textId="77777777" w:rsidR="000907B2" w:rsidRDefault="00090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40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428"/>
    <w:multiLevelType w:val="hybridMultilevel"/>
    <w:tmpl w:val="A36E304A"/>
    <w:lvl w:ilvl="0" w:tplc="027EF0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AA0"/>
    <w:multiLevelType w:val="hybridMultilevel"/>
    <w:tmpl w:val="3ECA2776"/>
    <w:lvl w:ilvl="0" w:tplc="0E2AB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3F58"/>
    <w:multiLevelType w:val="hybridMultilevel"/>
    <w:tmpl w:val="8A1A811C"/>
    <w:lvl w:ilvl="0" w:tplc="473C59F4">
      <w:start w:val="28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482D2867"/>
    <w:multiLevelType w:val="hybridMultilevel"/>
    <w:tmpl w:val="68C238C6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6EF46C9"/>
    <w:multiLevelType w:val="hybridMultilevel"/>
    <w:tmpl w:val="A1585B7E"/>
    <w:lvl w:ilvl="0" w:tplc="473C59F4">
      <w:start w:val="28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59293756"/>
    <w:multiLevelType w:val="hybridMultilevel"/>
    <w:tmpl w:val="17E8A0FC"/>
    <w:lvl w:ilvl="0" w:tplc="473C59F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187F"/>
    <w:multiLevelType w:val="hybridMultilevel"/>
    <w:tmpl w:val="116219E4"/>
    <w:lvl w:ilvl="0" w:tplc="473C59F4">
      <w:start w:val="28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5AC462A1"/>
    <w:multiLevelType w:val="hybridMultilevel"/>
    <w:tmpl w:val="14DED2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F6E6E"/>
    <w:multiLevelType w:val="hybridMultilevel"/>
    <w:tmpl w:val="A6128AB6"/>
    <w:lvl w:ilvl="0" w:tplc="473C59F4">
      <w:start w:val="28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5DA00941"/>
    <w:multiLevelType w:val="hybridMultilevel"/>
    <w:tmpl w:val="452E77BE"/>
    <w:lvl w:ilvl="0" w:tplc="32B80916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5EDE31A3"/>
    <w:multiLevelType w:val="multilevel"/>
    <w:tmpl w:val="00004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12" w15:restartNumberingAfterBreak="0">
    <w:nsid w:val="6B765A91"/>
    <w:multiLevelType w:val="hybridMultilevel"/>
    <w:tmpl w:val="854053D2"/>
    <w:lvl w:ilvl="0" w:tplc="BFF00A5A">
      <w:start w:val="28"/>
      <w:numFmt w:val="bullet"/>
      <w:lvlText w:val="-"/>
      <w:lvlJc w:val="left"/>
      <w:pPr>
        <w:ind w:left="55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3" w15:restartNumberingAfterBreak="0">
    <w:nsid w:val="6D6622C5"/>
    <w:multiLevelType w:val="hybridMultilevel"/>
    <w:tmpl w:val="EE060BDE"/>
    <w:lvl w:ilvl="0" w:tplc="309661D6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7208771F"/>
    <w:multiLevelType w:val="hybridMultilevel"/>
    <w:tmpl w:val="4D761C86"/>
    <w:lvl w:ilvl="0" w:tplc="32B80916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7770667F"/>
    <w:multiLevelType w:val="hybridMultilevel"/>
    <w:tmpl w:val="DDCC61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B37642"/>
    <w:multiLevelType w:val="hybridMultilevel"/>
    <w:tmpl w:val="3538349A"/>
    <w:lvl w:ilvl="0" w:tplc="473C59F4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3"/>
  </w:num>
  <w:num w:numId="13">
    <w:abstractNumId w:val="16"/>
  </w:num>
  <w:num w:numId="14">
    <w:abstractNumId w:val="4"/>
  </w:num>
  <w:num w:numId="15">
    <w:abstractNumId w:val="8"/>
  </w:num>
  <w:num w:numId="16">
    <w:abstractNumId w:val="10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85"/>
    <w:rsid w:val="00000186"/>
    <w:rsid w:val="000003CB"/>
    <w:rsid w:val="000010EF"/>
    <w:rsid w:val="000016C4"/>
    <w:rsid w:val="00003724"/>
    <w:rsid w:val="00004277"/>
    <w:rsid w:val="000046B2"/>
    <w:rsid w:val="000049FD"/>
    <w:rsid w:val="00004BE3"/>
    <w:rsid w:val="00010840"/>
    <w:rsid w:val="00010C24"/>
    <w:rsid w:val="00011607"/>
    <w:rsid w:val="0001203B"/>
    <w:rsid w:val="00012BCF"/>
    <w:rsid w:val="00014889"/>
    <w:rsid w:val="0001555F"/>
    <w:rsid w:val="00015C39"/>
    <w:rsid w:val="000162FD"/>
    <w:rsid w:val="000179FA"/>
    <w:rsid w:val="00017E5D"/>
    <w:rsid w:val="00020B4F"/>
    <w:rsid w:val="0002117E"/>
    <w:rsid w:val="000232EB"/>
    <w:rsid w:val="000251D9"/>
    <w:rsid w:val="000260C1"/>
    <w:rsid w:val="000264C9"/>
    <w:rsid w:val="000272D7"/>
    <w:rsid w:val="00027414"/>
    <w:rsid w:val="000279CC"/>
    <w:rsid w:val="0003124C"/>
    <w:rsid w:val="00031FE4"/>
    <w:rsid w:val="000320B2"/>
    <w:rsid w:val="00032166"/>
    <w:rsid w:val="00032FCA"/>
    <w:rsid w:val="000335A4"/>
    <w:rsid w:val="000344C0"/>
    <w:rsid w:val="00034970"/>
    <w:rsid w:val="00035116"/>
    <w:rsid w:val="000359EC"/>
    <w:rsid w:val="00036081"/>
    <w:rsid w:val="00036245"/>
    <w:rsid w:val="00036804"/>
    <w:rsid w:val="000368D3"/>
    <w:rsid w:val="000371BA"/>
    <w:rsid w:val="0003757E"/>
    <w:rsid w:val="00037BB3"/>
    <w:rsid w:val="00042D67"/>
    <w:rsid w:val="00043389"/>
    <w:rsid w:val="0004460D"/>
    <w:rsid w:val="000448A6"/>
    <w:rsid w:val="00044D68"/>
    <w:rsid w:val="000450B6"/>
    <w:rsid w:val="00046760"/>
    <w:rsid w:val="00046EAC"/>
    <w:rsid w:val="000476FC"/>
    <w:rsid w:val="000479B0"/>
    <w:rsid w:val="00047A2F"/>
    <w:rsid w:val="0005009C"/>
    <w:rsid w:val="000509A8"/>
    <w:rsid w:val="00051DFE"/>
    <w:rsid w:val="00052CEB"/>
    <w:rsid w:val="000541CB"/>
    <w:rsid w:val="00054675"/>
    <w:rsid w:val="00056345"/>
    <w:rsid w:val="00056C34"/>
    <w:rsid w:val="00057176"/>
    <w:rsid w:val="0006002A"/>
    <w:rsid w:val="000601A9"/>
    <w:rsid w:val="0006076A"/>
    <w:rsid w:val="00060968"/>
    <w:rsid w:val="00061004"/>
    <w:rsid w:val="00062FB2"/>
    <w:rsid w:val="000652F4"/>
    <w:rsid w:val="00065FDF"/>
    <w:rsid w:val="00067067"/>
    <w:rsid w:val="0007050B"/>
    <w:rsid w:val="000713E1"/>
    <w:rsid w:val="00072ADC"/>
    <w:rsid w:val="000736E1"/>
    <w:rsid w:val="00073EED"/>
    <w:rsid w:val="00076D11"/>
    <w:rsid w:val="00076F4B"/>
    <w:rsid w:val="00076FAA"/>
    <w:rsid w:val="00080296"/>
    <w:rsid w:val="000827F3"/>
    <w:rsid w:val="000829C1"/>
    <w:rsid w:val="00082DB1"/>
    <w:rsid w:val="0008362C"/>
    <w:rsid w:val="00084CB0"/>
    <w:rsid w:val="000902BF"/>
    <w:rsid w:val="000904CC"/>
    <w:rsid w:val="000907B2"/>
    <w:rsid w:val="0009279B"/>
    <w:rsid w:val="00092A3D"/>
    <w:rsid w:val="00093744"/>
    <w:rsid w:val="000937D2"/>
    <w:rsid w:val="0009450F"/>
    <w:rsid w:val="000951F3"/>
    <w:rsid w:val="00095D94"/>
    <w:rsid w:val="0009784B"/>
    <w:rsid w:val="000A1073"/>
    <w:rsid w:val="000A1D01"/>
    <w:rsid w:val="000A1D1F"/>
    <w:rsid w:val="000A35D2"/>
    <w:rsid w:val="000A38B2"/>
    <w:rsid w:val="000A4343"/>
    <w:rsid w:val="000A4827"/>
    <w:rsid w:val="000A4A8D"/>
    <w:rsid w:val="000A5509"/>
    <w:rsid w:val="000A7827"/>
    <w:rsid w:val="000B2B50"/>
    <w:rsid w:val="000B39CE"/>
    <w:rsid w:val="000B67FC"/>
    <w:rsid w:val="000B6A7F"/>
    <w:rsid w:val="000B78EC"/>
    <w:rsid w:val="000C1623"/>
    <w:rsid w:val="000C1D63"/>
    <w:rsid w:val="000C23D3"/>
    <w:rsid w:val="000C29B0"/>
    <w:rsid w:val="000C2B2C"/>
    <w:rsid w:val="000C4D05"/>
    <w:rsid w:val="000C4DFE"/>
    <w:rsid w:val="000C608E"/>
    <w:rsid w:val="000C70AC"/>
    <w:rsid w:val="000D0DA0"/>
    <w:rsid w:val="000D0EC0"/>
    <w:rsid w:val="000D1449"/>
    <w:rsid w:val="000D53DD"/>
    <w:rsid w:val="000D62DD"/>
    <w:rsid w:val="000D709C"/>
    <w:rsid w:val="000D740B"/>
    <w:rsid w:val="000D7C1A"/>
    <w:rsid w:val="000E0762"/>
    <w:rsid w:val="000E0C7D"/>
    <w:rsid w:val="000E1F9F"/>
    <w:rsid w:val="000E384F"/>
    <w:rsid w:val="000E3F26"/>
    <w:rsid w:val="000E421B"/>
    <w:rsid w:val="000E4E15"/>
    <w:rsid w:val="000E678C"/>
    <w:rsid w:val="000F2ADA"/>
    <w:rsid w:val="000F2B9E"/>
    <w:rsid w:val="000F2C0D"/>
    <w:rsid w:val="000F305C"/>
    <w:rsid w:val="000F3932"/>
    <w:rsid w:val="000F40BD"/>
    <w:rsid w:val="000F4E87"/>
    <w:rsid w:val="000F5F6B"/>
    <w:rsid w:val="000F5FAE"/>
    <w:rsid w:val="000F632C"/>
    <w:rsid w:val="0010003E"/>
    <w:rsid w:val="001000FA"/>
    <w:rsid w:val="00102682"/>
    <w:rsid w:val="00104C47"/>
    <w:rsid w:val="0010559C"/>
    <w:rsid w:val="0010720E"/>
    <w:rsid w:val="00107E38"/>
    <w:rsid w:val="00111137"/>
    <w:rsid w:val="001121F2"/>
    <w:rsid w:val="00112DEA"/>
    <w:rsid w:val="001137ED"/>
    <w:rsid w:val="001141FC"/>
    <w:rsid w:val="001149F8"/>
    <w:rsid w:val="00115437"/>
    <w:rsid w:val="00116098"/>
    <w:rsid w:val="0012151E"/>
    <w:rsid w:val="00121682"/>
    <w:rsid w:val="0012268B"/>
    <w:rsid w:val="00122F3D"/>
    <w:rsid w:val="00124853"/>
    <w:rsid w:val="00125907"/>
    <w:rsid w:val="00125B86"/>
    <w:rsid w:val="00126C64"/>
    <w:rsid w:val="00126F3E"/>
    <w:rsid w:val="001272CE"/>
    <w:rsid w:val="00130C31"/>
    <w:rsid w:val="00131478"/>
    <w:rsid w:val="0013206C"/>
    <w:rsid w:val="00133BF5"/>
    <w:rsid w:val="001349F4"/>
    <w:rsid w:val="00134B13"/>
    <w:rsid w:val="00134B34"/>
    <w:rsid w:val="001350F4"/>
    <w:rsid w:val="00136093"/>
    <w:rsid w:val="001377FA"/>
    <w:rsid w:val="001401BD"/>
    <w:rsid w:val="00140FCC"/>
    <w:rsid w:val="00140FE6"/>
    <w:rsid w:val="00141C78"/>
    <w:rsid w:val="00142012"/>
    <w:rsid w:val="00143584"/>
    <w:rsid w:val="001435A8"/>
    <w:rsid w:val="00143B5C"/>
    <w:rsid w:val="001443DF"/>
    <w:rsid w:val="00144759"/>
    <w:rsid w:val="00144C2C"/>
    <w:rsid w:val="0014680B"/>
    <w:rsid w:val="00147461"/>
    <w:rsid w:val="00147E93"/>
    <w:rsid w:val="00152425"/>
    <w:rsid w:val="00152E95"/>
    <w:rsid w:val="0015554F"/>
    <w:rsid w:val="001559A5"/>
    <w:rsid w:val="00156285"/>
    <w:rsid w:val="00160901"/>
    <w:rsid w:val="00160D17"/>
    <w:rsid w:val="00167021"/>
    <w:rsid w:val="00167401"/>
    <w:rsid w:val="00170E63"/>
    <w:rsid w:val="00171437"/>
    <w:rsid w:val="001730D2"/>
    <w:rsid w:val="0017347A"/>
    <w:rsid w:val="0017416D"/>
    <w:rsid w:val="00174A87"/>
    <w:rsid w:val="00175BDF"/>
    <w:rsid w:val="00176664"/>
    <w:rsid w:val="00180EE4"/>
    <w:rsid w:val="00181FF1"/>
    <w:rsid w:val="0018200B"/>
    <w:rsid w:val="0018309A"/>
    <w:rsid w:val="00183CF3"/>
    <w:rsid w:val="00184012"/>
    <w:rsid w:val="00184125"/>
    <w:rsid w:val="00184B14"/>
    <w:rsid w:val="00184EB5"/>
    <w:rsid w:val="00185E65"/>
    <w:rsid w:val="001869A8"/>
    <w:rsid w:val="0018705E"/>
    <w:rsid w:val="0018742F"/>
    <w:rsid w:val="00187C77"/>
    <w:rsid w:val="00191899"/>
    <w:rsid w:val="00191E0E"/>
    <w:rsid w:val="00192694"/>
    <w:rsid w:val="00194614"/>
    <w:rsid w:val="00194B05"/>
    <w:rsid w:val="00196738"/>
    <w:rsid w:val="00196E2C"/>
    <w:rsid w:val="00196EF2"/>
    <w:rsid w:val="001978E1"/>
    <w:rsid w:val="00197FE2"/>
    <w:rsid w:val="001A0496"/>
    <w:rsid w:val="001A262E"/>
    <w:rsid w:val="001A354E"/>
    <w:rsid w:val="001A360B"/>
    <w:rsid w:val="001A3673"/>
    <w:rsid w:val="001A4E2D"/>
    <w:rsid w:val="001A51E6"/>
    <w:rsid w:val="001B3809"/>
    <w:rsid w:val="001B3F36"/>
    <w:rsid w:val="001B42A2"/>
    <w:rsid w:val="001B6A2D"/>
    <w:rsid w:val="001B7328"/>
    <w:rsid w:val="001B7922"/>
    <w:rsid w:val="001C0089"/>
    <w:rsid w:val="001C0D90"/>
    <w:rsid w:val="001C0E6E"/>
    <w:rsid w:val="001C13D7"/>
    <w:rsid w:val="001C2D55"/>
    <w:rsid w:val="001C4A67"/>
    <w:rsid w:val="001C4D41"/>
    <w:rsid w:val="001C509E"/>
    <w:rsid w:val="001C5FEB"/>
    <w:rsid w:val="001C67A0"/>
    <w:rsid w:val="001C67A6"/>
    <w:rsid w:val="001C7301"/>
    <w:rsid w:val="001D0050"/>
    <w:rsid w:val="001D0AEA"/>
    <w:rsid w:val="001D0B42"/>
    <w:rsid w:val="001D1950"/>
    <w:rsid w:val="001D1952"/>
    <w:rsid w:val="001D1C3C"/>
    <w:rsid w:val="001D2167"/>
    <w:rsid w:val="001D27FC"/>
    <w:rsid w:val="001D3BDF"/>
    <w:rsid w:val="001D42CD"/>
    <w:rsid w:val="001D5567"/>
    <w:rsid w:val="001D76B1"/>
    <w:rsid w:val="001D7806"/>
    <w:rsid w:val="001D7AD1"/>
    <w:rsid w:val="001E1307"/>
    <w:rsid w:val="001E184A"/>
    <w:rsid w:val="001E19A9"/>
    <w:rsid w:val="001E2D7E"/>
    <w:rsid w:val="001E32B4"/>
    <w:rsid w:val="001E50B0"/>
    <w:rsid w:val="001E5828"/>
    <w:rsid w:val="001E5C57"/>
    <w:rsid w:val="001F2420"/>
    <w:rsid w:val="001F25D9"/>
    <w:rsid w:val="001F3077"/>
    <w:rsid w:val="001F40FF"/>
    <w:rsid w:val="001F59DB"/>
    <w:rsid w:val="001F5D7D"/>
    <w:rsid w:val="001F6885"/>
    <w:rsid w:val="001F6C96"/>
    <w:rsid w:val="00200652"/>
    <w:rsid w:val="00201973"/>
    <w:rsid w:val="00201AFF"/>
    <w:rsid w:val="002026FA"/>
    <w:rsid w:val="0020489F"/>
    <w:rsid w:val="00205A93"/>
    <w:rsid w:val="00205DBE"/>
    <w:rsid w:val="00206A21"/>
    <w:rsid w:val="00206FB6"/>
    <w:rsid w:val="002075C5"/>
    <w:rsid w:val="00211ACF"/>
    <w:rsid w:val="00212D19"/>
    <w:rsid w:val="00213694"/>
    <w:rsid w:val="002142DC"/>
    <w:rsid w:val="00214B96"/>
    <w:rsid w:val="002157A8"/>
    <w:rsid w:val="00215A6B"/>
    <w:rsid w:val="0021616E"/>
    <w:rsid w:val="00216591"/>
    <w:rsid w:val="002175D9"/>
    <w:rsid w:val="0021789A"/>
    <w:rsid w:val="00221232"/>
    <w:rsid w:val="00221298"/>
    <w:rsid w:val="00223647"/>
    <w:rsid w:val="00223A63"/>
    <w:rsid w:val="00224061"/>
    <w:rsid w:val="002242CB"/>
    <w:rsid w:val="0022698A"/>
    <w:rsid w:val="00226F75"/>
    <w:rsid w:val="002270AB"/>
    <w:rsid w:val="00227DEA"/>
    <w:rsid w:val="00227FDF"/>
    <w:rsid w:val="00230358"/>
    <w:rsid w:val="00230730"/>
    <w:rsid w:val="00230EAC"/>
    <w:rsid w:val="00231FB8"/>
    <w:rsid w:val="0023232C"/>
    <w:rsid w:val="00232C33"/>
    <w:rsid w:val="00232C58"/>
    <w:rsid w:val="00232DCB"/>
    <w:rsid w:val="00234048"/>
    <w:rsid w:val="0023478C"/>
    <w:rsid w:val="00234C48"/>
    <w:rsid w:val="002354DF"/>
    <w:rsid w:val="00235A69"/>
    <w:rsid w:val="00236797"/>
    <w:rsid w:val="00237649"/>
    <w:rsid w:val="002378ED"/>
    <w:rsid w:val="00242D7D"/>
    <w:rsid w:val="002432E7"/>
    <w:rsid w:val="002445F8"/>
    <w:rsid w:val="002448FD"/>
    <w:rsid w:val="00246A7C"/>
    <w:rsid w:val="00247529"/>
    <w:rsid w:val="00247DF0"/>
    <w:rsid w:val="002500CB"/>
    <w:rsid w:val="00250408"/>
    <w:rsid w:val="0025171C"/>
    <w:rsid w:val="00252213"/>
    <w:rsid w:val="0025257E"/>
    <w:rsid w:val="00252F69"/>
    <w:rsid w:val="00257250"/>
    <w:rsid w:val="00257DD4"/>
    <w:rsid w:val="002607A6"/>
    <w:rsid w:val="00261071"/>
    <w:rsid w:val="00261EF0"/>
    <w:rsid w:val="00261F5F"/>
    <w:rsid w:val="00262EBA"/>
    <w:rsid w:val="00263CEB"/>
    <w:rsid w:val="002640D9"/>
    <w:rsid w:val="00264BF9"/>
    <w:rsid w:val="002650BA"/>
    <w:rsid w:val="002654CD"/>
    <w:rsid w:val="002662E3"/>
    <w:rsid w:val="0026758E"/>
    <w:rsid w:val="002700EF"/>
    <w:rsid w:val="00270E4A"/>
    <w:rsid w:val="00271F7F"/>
    <w:rsid w:val="00273F99"/>
    <w:rsid w:val="002747BA"/>
    <w:rsid w:val="0027527C"/>
    <w:rsid w:val="00275E90"/>
    <w:rsid w:val="00276E78"/>
    <w:rsid w:val="00277E18"/>
    <w:rsid w:val="00280120"/>
    <w:rsid w:val="0028162B"/>
    <w:rsid w:val="00284191"/>
    <w:rsid w:val="00286F60"/>
    <w:rsid w:val="00287190"/>
    <w:rsid w:val="00290EEF"/>
    <w:rsid w:val="002914FF"/>
    <w:rsid w:val="00291783"/>
    <w:rsid w:val="00291AC6"/>
    <w:rsid w:val="00292D80"/>
    <w:rsid w:val="00293013"/>
    <w:rsid w:val="002930C8"/>
    <w:rsid w:val="002937C6"/>
    <w:rsid w:val="00294074"/>
    <w:rsid w:val="0029408F"/>
    <w:rsid w:val="00294671"/>
    <w:rsid w:val="00294E7C"/>
    <w:rsid w:val="00295C52"/>
    <w:rsid w:val="00296A90"/>
    <w:rsid w:val="002A1B5B"/>
    <w:rsid w:val="002A2700"/>
    <w:rsid w:val="002A30EF"/>
    <w:rsid w:val="002A4530"/>
    <w:rsid w:val="002A583E"/>
    <w:rsid w:val="002A62F4"/>
    <w:rsid w:val="002A6FD7"/>
    <w:rsid w:val="002B0A9D"/>
    <w:rsid w:val="002B167B"/>
    <w:rsid w:val="002B1867"/>
    <w:rsid w:val="002B264A"/>
    <w:rsid w:val="002B333B"/>
    <w:rsid w:val="002B457B"/>
    <w:rsid w:val="002B4ECF"/>
    <w:rsid w:val="002B615F"/>
    <w:rsid w:val="002B6A76"/>
    <w:rsid w:val="002B6ABC"/>
    <w:rsid w:val="002C1139"/>
    <w:rsid w:val="002C234A"/>
    <w:rsid w:val="002C3104"/>
    <w:rsid w:val="002C5F4C"/>
    <w:rsid w:val="002C6ABF"/>
    <w:rsid w:val="002C7C67"/>
    <w:rsid w:val="002C7EAA"/>
    <w:rsid w:val="002D175B"/>
    <w:rsid w:val="002D1A84"/>
    <w:rsid w:val="002D2124"/>
    <w:rsid w:val="002D35DB"/>
    <w:rsid w:val="002D37AB"/>
    <w:rsid w:val="002D529C"/>
    <w:rsid w:val="002D5363"/>
    <w:rsid w:val="002D78E9"/>
    <w:rsid w:val="002E11C5"/>
    <w:rsid w:val="002E1265"/>
    <w:rsid w:val="002E1514"/>
    <w:rsid w:val="002E21AC"/>
    <w:rsid w:val="002E224D"/>
    <w:rsid w:val="002E2ABC"/>
    <w:rsid w:val="002E348D"/>
    <w:rsid w:val="002E3B40"/>
    <w:rsid w:val="002E4F37"/>
    <w:rsid w:val="002E50C4"/>
    <w:rsid w:val="002E5400"/>
    <w:rsid w:val="002E605C"/>
    <w:rsid w:val="002E6C28"/>
    <w:rsid w:val="002E721A"/>
    <w:rsid w:val="002F062E"/>
    <w:rsid w:val="002F06AC"/>
    <w:rsid w:val="002F1F3D"/>
    <w:rsid w:val="002F2FD3"/>
    <w:rsid w:val="002F42A2"/>
    <w:rsid w:val="002F482A"/>
    <w:rsid w:val="00301FF8"/>
    <w:rsid w:val="00302138"/>
    <w:rsid w:val="003023A0"/>
    <w:rsid w:val="003027C8"/>
    <w:rsid w:val="00302CB3"/>
    <w:rsid w:val="003042AF"/>
    <w:rsid w:val="00304562"/>
    <w:rsid w:val="0030494C"/>
    <w:rsid w:val="00304D08"/>
    <w:rsid w:val="003053F0"/>
    <w:rsid w:val="003068BD"/>
    <w:rsid w:val="00307F36"/>
    <w:rsid w:val="0031035D"/>
    <w:rsid w:val="003116BA"/>
    <w:rsid w:val="003125A1"/>
    <w:rsid w:val="0031341B"/>
    <w:rsid w:val="00314565"/>
    <w:rsid w:val="00314F84"/>
    <w:rsid w:val="0031524C"/>
    <w:rsid w:val="00316BC4"/>
    <w:rsid w:val="003175E6"/>
    <w:rsid w:val="003201D7"/>
    <w:rsid w:val="00322167"/>
    <w:rsid w:val="00323B18"/>
    <w:rsid w:val="00323B2B"/>
    <w:rsid w:val="00324BB1"/>
    <w:rsid w:val="003251E6"/>
    <w:rsid w:val="00327684"/>
    <w:rsid w:val="00330A50"/>
    <w:rsid w:val="00330B59"/>
    <w:rsid w:val="00330E6E"/>
    <w:rsid w:val="00331033"/>
    <w:rsid w:val="00333086"/>
    <w:rsid w:val="003344FB"/>
    <w:rsid w:val="00334F02"/>
    <w:rsid w:val="0033776D"/>
    <w:rsid w:val="00337E07"/>
    <w:rsid w:val="003408CE"/>
    <w:rsid w:val="00340DB2"/>
    <w:rsid w:val="003412D7"/>
    <w:rsid w:val="0034331F"/>
    <w:rsid w:val="00343C6D"/>
    <w:rsid w:val="0034599B"/>
    <w:rsid w:val="00345AC3"/>
    <w:rsid w:val="00346A87"/>
    <w:rsid w:val="00346E56"/>
    <w:rsid w:val="00350D64"/>
    <w:rsid w:val="00350F7B"/>
    <w:rsid w:val="003521F3"/>
    <w:rsid w:val="003524CD"/>
    <w:rsid w:val="0035261B"/>
    <w:rsid w:val="003529E8"/>
    <w:rsid w:val="003532CC"/>
    <w:rsid w:val="003536D1"/>
    <w:rsid w:val="003539EE"/>
    <w:rsid w:val="00354249"/>
    <w:rsid w:val="00354D6D"/>
    <w:rsid w:val="00355782"/>
    <w:rsid w:val="00355C20"/>
    <w:rsid w:val="00356D5B"/>
    <w:rsid w:val="00357C5A"/>
    <w:rsid w:val="00357E36"/>
    <w:rsid w:val="003624B0"/>
    <w:rsid w:val="003626E2"/>
    <w:rsid w:val="003630B8"/>
    <w:rsid w:val="00363534"/>
    <w:rsid w:val="00363857"/>
    <w:rsid w:val="0036402F"/>
    <w:rsid w:val="00364178"/>
    <w:rsid w:val="00364388"/>
    <w:rsid w:val="003658BA"/>
    <w:rsid w:val="00365CAA"/>
    <w:rsid w:val="003668DA"/>
    <w:rsid w:val="003670FB"/>
    <w:rsid w:val="003675BC"/>
    <w:rsid w:val="003675F1"/>
    <w:rsid w:val="003679AE"/>
    <w:rsid w:val="00370150"/>
    <w:rsid w:val="003706C0"/>
    <w:rsid w:val="00370933"/>
    <w:rsid w:val="00372BBA"/>
    <w:rsid w:val="0037326D"/>
    <w:rsid w:val="00373934"/>
    <w:rsid w:val="00374332"/>
    <w:rsid w:val="00375296"/>
    <w:rsid w:val="0037630A"/>
    <w:rsid w:val="00376F8D"/>
    <w:rsid w:val="003803BC"/>
    <w:rsid w:val="003804C1"/>
    <w:rsid w:val="00380F5C"/>
    <w:rsid w:val="003819E0"/>
    <w:rsid w:val="00383D22"/>
    <w:rsid w:val="0038455F"/>
    <w:rsid w:val="003857EF"/>
    <w:rsid w:val="00385EC9"/>
    <w:rsid w:val="0038652B"/>
    <w:rsid w:val="00386C06"/>
    <w:rsid w:val="00386CC2"/>
    <w:rsid w:val="00391C74"/>
    <w:rsid w:val="00392C31"/>
    <w:rsid w:val="0039354F"/>
    <w:rsid w:val="003942D5"/>
    <w:rsid w:val="0039443B"/>
    <w:rsid w:val="003948D6"/>
    <w:rsid w:val="00394A97"/>
    <w:rsid w:val="003962C4"/>
    <w:rsid w:val="00396DA2"/>
    <w:rsid w:val="00397F93"/>
    <w:rsid w:val="003A2C83"/>
    <w:rsid w:val="003A5ADD"/>
    <w:rsid w:val="003A6E33"/>
    <w:rsid w:val="003A774C"/>
    <w:rsid w:val="003A77CA"/>
    <w:rsid w:val="003A7CD2"/>
    <w:rsid w:val="003B212C"/>
    <w:rsid w:val="003B306A"/>
    <w:rsid w:val="003B32A7"/>
    <w:rsid w:val="003B36C0"/>
    <w:rsid w:val="003B4106"/>
    <w:rsid w:val="003B5452"/>
    <w:rsid w:val="003B59A0"/>
    <w:rsid w:val="003B5ADB"/>
    <w:rsid w:val="003B5D70"/>
    <w:rsid w:val="003B629D"/>
    <w:rsid w:val="003B6467"/>
    <w:rsid w:val="003B7898"/>
    <w:rsid w:val="003B7D11"/>
    <w:rsid w:val="003C0FC2"/>
    <w:rsid w:val="003C16D5"/>
    <w:rsid w:val="003C361A"/>
    <w:rsid w:val="003C4869"/>
    <w:rsid w:val="003C650F"/>
    <w:rsid w:val="003C66CE"/>
    <w:rsid w:val="003C6948"/>
    <w:rsid w:val="003C6985"/>
    <w:rsid w:val="003D0A12"/>
    <w:rsid w:val="003D164C"/>
    <w:rsid w:val="003D2E74"/>
    <w:rsid w:val="003D329B"/>
    <w:rsid w:val="003D367E"/>
    <w:rsid w:val="003D44D0"/>
    <w:rsid w:val="003D536E"/>
    <w:rsid w:val="003D5E86"/>
    <w:rsid w:val="003D6AB9"/>
    <w:rsid w:val="003D7396"/>
    <w:rsid w:val="003E07C8"/>
    <w:rsid w:val="003E1947"/>
    <w:rsid w:val="003E289E"/>
    <w:rsid w:val="003E412C"/>
    <w:rsid w:val="003E5101"/>
    <w:rsid w:val="003E619B"/>
    <w:rsid w:val="003E63A1"/>
    <w:rsid w:val="003E6618"/>
    <w:rsid w:val="003F1078"/>
    <w:rsid w:val="003F1E2F"/>
    <w:rsid w:val="003F27FC"/>
    <w:rsid w:val="003F2A68"/>
    <w:rsid w:val="003F2D05"/>
    <w:rsid w:val="003F31D2"/>
    <w:rsid w:val="003F489F"/>
    <w:rsid w:val="003F49D7"/>
    <w:rsid w:val="003F4BB4"/>
    <w:rsid w:val="003F5050"/>
    <w:rsid w:val="003F7EB1"/>
    <w:rsid w:val="00400423"/>
    <w:rsid w:val="00401BFE"/>
    <w:rsid w:val="00402D13"/>
    <w:rsid w:val="004041F2"/>
    <w:rsid w:val="00404BBC"/>
    <w:rsid w:val="0040663A"/>
    <w:rsid w:val="0040739D"/>
    <w:rsid w:val="00410E77"/>
    <w:rsid w:val="004111D3"/>
    <w:rsid w:val="004111DD"/>
    <w:rsid w:val="0041151B"/>
    <w:rsid w:val="00412A83"/>
    <w:rsid w:val="00413919"/>
    <w:rsid w:val="00413C5F"/>
    <w:rsid w:val="00413DA5"/>
    <w:rsid w:val="0041616F"/>
    <w:rsid w:val="0041662A"/>
    <w:rsid w:val="00417F39"/>
    <w:rsid w:val="00420520"/>
    <w:rsid w:val="00421529"/>
    <w:rsid w:val="00422841"/>
    <w:rsid w:val="00424246"/>
    <w:rsid w:val="00425DFD"/>
    <w:rsid w:val="00426662"/>
    <w:rsid w:val="004302F9"/>
    <w:rsid w:val="00430A23"/>
    <w:rsid w:val="00430C11"/>
    <w:rsid w:val="0043259A"/>
    <w:rsid w:val="00433352"/>
    <w:rsid w:val="004365EC"/>
    <w:rsid w:val="004373E9"/>
    <w:rsid w:val="004374DE"/>
    <w:rsid w:val="00437D93"/>
    <w:rsid w:val="00440A1F"/>
    <w:rsid w:val="00441361"/>
    <w:rsid w:val="00441E67"/>
    <w:rsid w:val="0044216A"/>
    <w:rsid w:val="004429DA"/>
    <w:rsid w:val="00443853"/>
    <w:rsid w:val="00443E52"/>
    <w:rsid w:val="00446C72"/>
    <w:rsid w:val="00447838"/>
    <w:rsid w:val="00447FA7"/>
    <w:rsid w:val="004506E8"/>
    <w:rsid w:val="004513E4"/>
    <w:rsid w:val="00452E08"/>
    <w:rsid w:val="00453716"/>
    <w:rsid w:val="00454F86"/>
    <w:rsid w:val="004551D6"/>
    <w:rsid w:val="004552C4"/>
    <w:rsid w:val="00455BED"/>
    <w:rsid w:val="00455E21"/>
    <w:rsid w:val="00456442"/>
    <w:rsid w:val="0045648D"/>
    <w:rsid w:val="004570AE"/>
    <w:rsid w:val="004615A2"/>
    <w:rsid w:val="00461821"/>
    <w:rsid w:val="00461B31"/>
    <w:rsid w:val="004638EB"/>
    <w:rsid w:val="00463FE3"/>
    <w:rsid w:val="004644D0"/>
    <w:rsid w:val="00465A9E"/>
    <w:rsid w:val="00466487"/>
    <w:rsid w:val="00466776"/>
    <w:rsid w:val="00467E20"/>
    <w:rsid w:val="0047038B"/>
    <w:rsid w:val="004707DB"/>
    <w:rsid w:val="0047179E"/>
    <w:rsid w:val="00473F06"/>
    <w:rsid w:val="00475C23"/>
    <w:rsid w:val="0047603C"/>
    <w:rsid w:val="004768FB"/>
    <w:rsid w:val="00476E57"/>
    <w:rsid w:val="0048071D"/>
    <w:rsid w:val="00481101"/>
    <w:rsid w:val="004811B1"/>
    <w:rsid w:val="00484660"/>
    <w:rsid w:val="00484F0F"/>
    <w:rsid w:val="00484F8D"/>
    <w:rsid w:val="00485069"/>
    <w:rsid w:val="0048523A"/>
    <w:rsid w:val="00485B50"/>
    <w:rsid w:val="0048663C"/>
    <w:rsid w:val="00486B0B"/>
    <w:rsid w:val="00487B6F"/>
    <w:rsid w:val="00490CF9"/>
    <w:rsid w:val="00491216"/>
    <w:rsid w:val="00491392"/>
    <w:rsid w:val="00492E35"/>
    <w:rsid w:val="00493119"/>
    <w:rsid w:val="00494320"/>
    <w:rsid w:val="00494652"/>
    <w:rsid w:val="00494D7F"/>
    <w:rsid w:val="00496FDE"/>
    <w:rsid w:val="004A0240"/>
    <w:rsid w:val="004A1651"/>
    <w:rsid w:val="004A4A5B"/>
    <w:rsid w:val="004A69BB"/>
    <w:rsid w:val="004A7568"/>
    <w:rsid w:val="004B0C0C"/>
    <w:rsid w:val="004B1AE5"/>
    <w:rsid w:val="004B27DC"/>
    <w:rsid w:val="004B2C33"/>
    <w:rsid w:val="004B2F3F"/>
    <w:rsid w:val="004B4C1B"/>
    <w:rsid w:val="004B6518"/>
    <w:rsid w:val="004B6541"/>
    <w:rsid w:val="004B7274"/>
    <w:rsid w:val="004C07EB"/>
    <w:rsid w:val="004C129A"/>
    <w:rsid w:val="004C22FE"/>
    <w:rsid w:val="004C289C"/>
    <w:rsid w:val="004C3D0C"/>
    <w:rsid w:val="004C4FE3"/>
    <w:rsid w:val="004C5574"/>
    <w:rsid w:val="004D044A"/>
    <w:rsid w:val="004D050D"/>
    <w:rsid w:val="004D2D92"/>
    <w:rsid w:val="004D39AB"/>
    <w:rsid w:val="004D40B3"/>
    <w:rsid w:val="004D4815"/>
    <w:rsid w:val="004D51B8"/>
    <w:rsid w:val="004D6A07"/>
    <w:rsid w:val="004D71C0"/>
    <w:rsid w:val="004E0F80"/>
    <w:rsid w:val="004E0FE8"/>
    <w:rsid w:val="004E1B32"/>
    <w:rsid w:val="004E1C7C"/>
    <w:rsid w:val="004E24B8"/>
    <w:rsid w:val="004E27CE"/>
    <w:rsid w:val="004E3377"/>
    <w:rsid w:val="004E34D2"/>
    <w:rsid w:val="004E3D80"/>
    <w:rsid w:val="004E3EF8"/>
    <w:rsid w:val="004E65EB"/>
    <w:rsid w:val="004E772A"/>
    <w:rsid w:val="004F0953"/>
    <w:rsid w:val="004F1D5A"/>
    <w:rsid w:val="004F1DE6"/>
    <w:rsid w:val="004F2C3E"/>
    <w:rsid w:val="004F42E2"/>
    <w:rsid w:val="004F4524"/>
    <w:rsid w:val="004F4F50"/>
    <w:rsid w:val="004F6A87"/>
    <w:rsid w:val="0050039B"/>
    <w:rsid w:val="00500860"/>
    <w:rsid w:val="00502F62"/>
    <w:rsid w:val="00502FAE"/>
    <w:rsid w:val="00503DD7"/>
    <w:rsid w:val="00504640"/>
    <w:rsid w:val="00505FAE"/>
    <w:rsid w:val="0050641F"/>
    <w:rsid w:val="00510A21"/>
    <w:rsid w:val="00510F83"/>
    <w:rsid w:val="0051235A"/>
    <w:rsid w:val="005123AF"/>
    <w:rsid w:val="005131D9"/>
    <w:rsid w:val="0051686C"/>
    <w:rsid w:val="00516A1D"/>
    <w:rsid w:val="00520165"/>
    <w:rsid w:val="0052064B"/>
    <w:rsid w:val="0052272B"/>
    <w:rsid w:val="00524303"/>
    <w:rsid w:val="00524443"/>
    <w:rsid w:val="00524C52"/>
    <w:rsid w:val="0052554F"/>
    <w:rsid w:val="0052683A"/>
    <w:rsid w:val="005269A3"/>
    <w:rsid w:val="00526AAF"/>
    <w:rsid w:val="00526DD0"/>
    <w:rsid w:val="00527714"/>
    <w:rsid w:val="00530882"/>
    <w:rsid w:val="00530CD1"/>
    <w:rsid w:val="005324DA"/>
    <w:rsid w:val="0053295A"/>
    <w:rsid w:val="0053299C"/>
    <w:rsid w:val="00537432"/>
    <w:rsid w:val="0054074A"/>
    <w:rsid w:val="00542C64"/>
    <w:rsid w:val="005438FE"/>
    <w:rsid w:val="005439E6"/>
    <w:rsid w:val="00544FF7"/>
    <w:rsid w:val="00546228"/>
    <w:rsid w:val="00546425"/>
    <w:rsid w:val="0054664E"/>
    <w:rsid w:val="00551014"/>
    <w:rsid w:val="00551EF6"/>
    <w:rsid w:val="00552B24"/>
    <w:rsid w:val="00552F6F"/>
    <w:rsid w:val="00552FC1"/>
    <w:rsid w:val="00555E7F"/>
    <w:rsid w:val="00555F29"/>
    <w:rsid w:val="00556139"/>
    <w:rsid w:val="00556E5C"/>
    <w:rsid w:val="0055736D"/>
    <w:rsid w:val="00560E21"/>
    <w:rsid w:val="00561FA5"/>
    <w:rsid w:val="00562A32"/>
    <w:rsid w:val="00565220"/>
    <w:rsid w:val="0056713F"/>
    <w:rsid w:val="005674DC"/>
    <w:rsid w:val="0057031B"/>
    <w:rsid w:val="0057037E"/>
    <w:rsid w:val="00571268"/>
    <w:rsid w:val="005720CD"/>
    <w:rsid w:val="00572343"/>
    <w:rsid w:val="005727D7"/>
    <w:rsid w:val="00572F13"/>
    <w:rsid w:val="00573CCB"/>
    <w:rsid w:val="00575052"/>
    <w:rsid w:val="00575812"/>
    <w:rsid w:val="005774A7"/>
    <w:rsid w:val="00577DC2"/>
    <w:rsid w:val="005805BC"/>
    <w:rsid w:val="005816D7"/>
    <w:rsid w:val="00582B65"/>
    <w:rsid w:val="0058386D"/>
    <w:rsid w:val="0058490F"/>
    <w:rsid w:val="00587020"/>
    <w:rsid w:val="005871EA"/>
    <w:rsid w:val="005919CE"/>
    <w:rsid w:val="00591B70"/>
    <w:rsid w:val="0059313D"/>
    <w:rsid w:val="005949CB"/>
    <w:rsid w:val="005955D0"/>
    <w:rsid w:val="00596130"/>
    <w:rsid w:val="00596450"/>
    <w:rsid w:val="0059781B"/>
    <w:rsid w:val="00597923"/>
    <w:rsid w:val="00597C63"/>
    <w:rsid w:val="005A06ED"/>
    <w:rsid w:val="005A193A"/>
    <w:rsid w:val="005A2892"/>
    <w:rsid w:val="005A4C43"/>
    <w:rsid w:val="005A5741"/>
    <w:rsid w:val="005A7AA2"/>
    <w:rsid w:val="005A7D98"/>
    <w:rsid w:val="005B3D35"/>
    <w:rsid w:val="005B4397"/>
    <w:rsid w:val="005B50C2"/>
    <w:rsid w:val="005B7B1E"/>
    <w:rsid w:val="005B7E07"/>
    <w:rsid w:val="005B7FE4"/>
    <w:rsid w:val="005C01A9"/>
    <w:rsid w:val="005C0B7B"/>
    <w:rsid w:val="005C12AD"/>
    <w:rsid w:val="005C1AD8"/>
    <w:rsid w:val="005C1C3F"/>
    <w:rsid w:val="005C20E5"/>
    <w:rsid w:val="005C23CC"/>
    <w:rsid w:val="005C2725"/>
    <w:rsid w:val="005C3A67"/>
    <w:rsid w:val="005C56C0"/>
    <w:rsid w:val="005C7308"/>
    <w:rsid w:val="005C7D74"/>
    <w:rsid w:val="005D0147"/>
    <w:rsid w:val="005D0365"/>
    <w:rsid w:val="005D1A6A"/>
    <w:rsid w:val="005D585F"/>
    <w:rsid w:val="005D6371"/>
    <w:rsid w:val="005D6D0B"/>
    <w:rsid w:val="005D721F"/>
    <w:rsid w:val="005E03A8"/>
    <w:rsid w:val="005E1597"/>
    <w:rsid w:val="005E344B"/>
    <w:rsid w:val="005E56BA"/>
    <w:rsid w:val="005F128A"/>
    <w:rsid w:val="005F1649"/>
    <w:rsid w:val="005F1668"/>
    <w:rsid w:val="005F1E99"/>
    <w:rsid w:val="005F21C7"/>
    <w:rsid w:val="005F23F9"/>
    <w:rsid w:val="005F2445"/>
    <w:rsid w:val="005F36A1"/>
    <w:rsid w:val="005F3ABB"/>
    <w:rsid w:val="005F3CF6"/>
    <w:rsid w:val="005F5484"/>
    <w:rsid w:val="005F5FAC"/>
    <w:rsid w:val="005F6E36"/>
    <w:rsid w:val="005F703D"/>
    <w:rsid w:val="005F7552"/>
    <w:rsid w:val="006013A1"/>
    <w:rsid w:val="00603936"/>
    <w:rsid w:val="00603A97"/>
    <w:rsid w:val="00605089"/>
    <w:rsid w:val="00606886"/>
    <w:rsid w:val="00606A11"/>
    <w:rsid w:val="00606F3D"/>
    <w:rsid w:val="006072C8"/>
    <w:rsid w:val="00610130"/>
    <w:rsid w:val="00610790"/>
    <w:rsid w:val="0061177B"/>
    <w:rsid w:val="00611828"/>
    <w:rsid w:val="0061186A"/>
    <w:rsid w:val="00611A3B"/>
    <w:rsid w:val="00611B34"/>
    <w:rsid w:val="006135A0"/>
    <w:rsid w:val="0061393B"/>
    <w:rsid w:val="0061475F"/>
    <w:rsid w:val="00614AAD"/>
    <w:rsid w:val="00614F38"/>
    <w:rsid w:val="00617341"/>
    <w:rsid w:val="00620CE1"/>
    <w:rsid w:val="00621B75"/>
    <w:rsid w:val="00622B16"/>
    <w:rsid w:val="00623392"/>
    <w:rsid w:val="0062529F"/>
    <w:rsid w:val="00626053"/>
    <w:rsid w:val="00626D1A"/>
    <w:rsid w:val="00627371"/>
    <w:rsid w:val="0062749E"/>
    <w:rsid w:val="00627593"/>
    <w:rsid w:val="006300EE"/>
    <w:rsid w:val="006309E9"/>
    <w:rsid w:val="00630B60"/>
    <w:rsid w:val="00631C59"/>
    <w:rsid w:val="00631C8A"/>
    <w:rsid w:val="00632558"/>
    <w:rsid w:val="0063336A"/>
    <w:rsid w:val="00633DEB"/>
    <w:rsid w:val="006346B4"/>
    <w:rsid w:val="00634A1B"/>
    <w:rsid w:val="00634DB9"/>
    <w:rsid w:val="0063566C"/>
    <w:rsid w:val="0063621D"/>
    <w:rsid w:val="006364F3"/>
    <w:rsid w:val="00641621"/>
    <w:rsid w:val="0064295C"/>
    <w:rsid w:val="006437E9"/>
    <w:rsid w:val="00643C2F"/>
    <w:rsid w:val="006462CD"/>
    <w:rsid w:val="00646EEF"/>
    <w:rsid w:val="00652EBD"/>
    <w:rsid w:val="006539B1"/>
    <w:rsid w:val="00653B3B"/>
    <w:rsid w:val="00653D7B"/>
    <w:rsid w:val="00655A75"/>
    <w:rsid w:val="006577ED"/>
    <w:rsid w:val="00665040"/>
    <w:rsid w:val="00665429"/>
    <w:rsid w:val="00665574"/>
    <w:rsid w:val="00665E6D"/>
    <w:rsid w:val="00666E50"/>
    <w:rsid w:val="00667051"/>
    <w:rsid w:val="00667716"/>
    <w:rsid w:val="0067045B"/>
    <w:rsid w:val="006716F6"/>
    <w:rsid w:val="00671D6A"/>
    <w:rsid w:val="00672129"/>
    <w:rsid w:val="00672319"/>
    <w:rsid w:val="0067300A"/>
    <w:rsid w:val="006745B7"/>
    <w:rsid w:val="00680E17"/>
    <w:rsid w:val="006814CC"/>
    <w:rsid w:val="00681C17"/>
    <w:rsid w:val="00681D55"/>
    <w:rsid w:val="00681EF1"/>
    <w:rsid w:val="006826A6"/>
    <w:rsid w:val="006843B4"/>
    <w:rsid w:val="00684571"/>
    <w:rsid w:val="0068598D"/>
    <w:rsid w:val="0068651F"/>
    <w:rsid w:val="006870B0"/>
    <w:rsid w:val="0069030A"/>
    <w:rsid w:val="00691F33"/>
    <w:rsid w:val="0069252C"/>
    <w:rsid w:val="00692939"/>
    <w:rsid w:val="00693AFA"/>
    <w:rsid w:val="00693F47"/>
    <w:rsid w:val="00694A74"/>
    <w:rsid w:val="00694DC1"/>
    <w:rsid w:val="00695209"/>
    <w:rsid w:val="00695242"/>
    <w:rsid w:val="00695D0B"/>
    <w:rsid w:val="006964DD"/>
    <w:rsid w:val="006978FC"/>
    <w:rsid w:val="006A0299"/>
    <w:rsid w:val="006A0595"/>
    <w:rsid w:val="006A0C6E"/>
    <w:rsid w:val="006A1718"/>
    <w:rsid w:val="006A261A"/>
    <w:rsid w:val="006A2786"/>
    <w:rsid w:val="006A27E7"/>
    <w:rsid w:val="006A3479"/>
    <w:rsid w:val="006A43A6"/>
    <w:rsid w:val="006A4903"/>
    <w:rsid w:val="006A609A"/>
    <w:rsid w:val="006A694C"/>
    <w:rsid w:val="006A6AD8"/>
    <w:rsid w:val="006A7824"/>
    <w:rsid w:val="006A7826"/>
    <w:rsid w:val="006A7D0B"/>
    <w:rsid w:val="006B05E5"/>
    <w:rsid w:val="006B1842"/>
    <w:rsid w:val="006B1EA1"/>
    <w:rsid w:val="006B44C7"/>
    <w:rsid w:val="006B5C11"/>
    <w:rsid w:val="006B6496"/>
    <w:rsid w:val="006B70AB"/>
    <w:rsid w:val="006B73F1"/>
    <w:rsid w:val="006B7AAD"/>
    <w:rsid w:val="006C0077"/>
    <w:rsid w:val="006C0CCD"/>
    <w:rsid w:val="006C1DF6"/>
    <w:rsid w:val="006C215F"/>
    <w:rsid w:val="006C2F16"/>
    <w:rsid w:val="006C4A58"/>
    <w:rsid w:val="006C5768"/>
    <w:rsid w:val="006D0230"/>
    <w:rsid w:val="006D03FF"/>
    <w:rsid w:val="006D07BF"/>
    <w:rsid w:val="006D1046"/>
    <w:rsid w:val="006D3874"/>
    <w:rsid w:val="006D3A0C"/>
    <w:rsid w:val="006D51DB"/>
    <w:rsid w:val="006D58CF"/>
    <w:rsid w:val="006D6455"/>
    <w:rsid w:val="006D7ACC"/>
    <w:rsid w:val="006E0BBE"/>
    <w:rsid w:val="006E23BC"/>
    <w:rsid w:val="006E258A"/>
    <w:rsid w:val="006E3120"/>
    <w:rsid w:val="006E3312"/>
    <w:rsid w:val="006E3369"/>
    <w:rsid w:val="006E4BC8"/>
    <w:rsid w:val="006E51FE"/>
    <w:rsid w:val="006E668F"/>
    <w:rsid w:val="006E6724"/>
    <w:rsid w:val="006F120D"/>
    <w:rsid w:val="006F1D11"/>
    <w:rsid w:val="006F2C2C"/>
    <w:rsid w:val="006F40D5"/>
    <w:rsid w:val="006F4B62"/>
    <w:rsid w:val="006F5141"/>
    <w:rsid w:val="006F76E1"/>
    <w:rsid w:val="00700EAF"/>
    <w:rsid w:val="0070315C"/>
    <w:rsid w:val="00703FD6"/>
    <w:rsid w:val="00704C57"/>
    <w:rsid w:val="00705263"/>
    <w:rsid w:val="00707863"/>
    <w:rsid w:val="0071113B"/>
    <w:rsid w:val="0071151B"/>
    <w:rsid w:val="0071178B"/>
    <w:rsid w:val="00711C5D"/>
    <w:rsid w:val="00712FBD"/>
    <w:rsid w:val="00713059"/>
    <w:rsid w:val="00714465"/>
    <w:rsid w:val="0071557F"/>
    <w:rsid w:val="00715FE2"/>
    <w:rsid w:val="00716DE7"/>
    <w:rsid w:val="00717395"/>
    <w:rsid w:val="007204CA"/>
    <w:rsid w:val="0072078B"/>
    <w:rsid w:val="0072181A"/>
    <w:rsid w:val="007218D4"/>
    <w:rsid w:val="00722AE8"/>
    <w:rsid w:val="00724239"/>
    <w:rsid w:val="00724BC7"/>
    <w:rsid w:val="007259D5"/>
    <w:rsid w:val="00726958"/>
    <w:rsid w:val="00730409"/>
    <w:rsid w:val="00732734"/>
    <w:rsid w:val="007337A1"/>
    <w:rsid w:val="0073415E"/>
    <w:rsid w:val="00734A90"/>
    <w:rsid w:val="00734D90"/>
    <w:rsid w:val="00735B9C"/>
    <w:rsid w:val="0073684E"/>
    <w:rsid w:val="00737143"/>
    <w:rsid w:val="00737EBB"/>
    <w:rsid w:val="0074072C"/>
    <w:rsid w:val="0074118D"/>
    <w:rsid w:val="00741AC9"/>
    <w:rsid w:val="00742310"/>
    <w:rsid w:val="0074308C"/>
    <w:rsid w:val="00743C4D"/>
    <w:rsid w:val="007450F9"/>
    <w:rsid w:val="00746479"/>
    <w:rsid w:val="00746A9C"/>
    <w:rsid w:val="0074722B"/>
    <w:rsid w:val="007474B9"/>
    <w:rsid w:val="007500F0"/>
    <w:rsid w:val="00750273"/>
    <w:rsid w:val="007513BD"/>
    <w:rsid w:val="00751744"/>
    <w:rsid w:val="007522E3"/>
    <w:rsid w:val="007529BA"/>
    <w:rsid w:val="00753269"/>
    <w:rsid w:val="00753F26"/>
    <w:rsid w:val="0075441A"/>
    <w:rsid w:val="00755242"/>
    <w:rsid w:val="0076033E"/>
    <w:rsid w:val="0076105D"/>
    <w:rsid w:val="00762A81"/>
    <w:rsid w:val="007648F5"/>
    <w:rsid w:val="007663EE"/>
    <w:rsid w:val="00766D37"/>
    <w:rsid w:val="007676EF"/>
    <w:rsid w:val="00767873"/>
    <w:rsid w:val="00773110"/>
    <w:rsid w:val="007747A5"/>
    <w:rsid w:val="00774C0D"/>
    <w:rsid w:val="00775436"/>
    <w:rsid w:val="0077652F"/>
    <w:rsid w:val="0077751C"/>
    <w:rsid w:val="0078039C"/>
    <w:rsid w:val="00780539"/>
    <w:rsid w:val="00781BA3"/>
    <w:rsid w:val="007821D3"/>
    <w:rsid w:val="007827C4"/>
    <w:rsid w:val="00783E57"/>
    <w:rsid w:val="00784868"/>
    <w:rsid w:val="00784FA2"/>
    <w:rsid w:val="00785DED"/>
    <w:rsid w:val="007873B6"/>
    <w:rsid w:val="00787771"/>
    <w:rsid w:val="00787CD7"/>
    <w:rsid w:val="00790C04"/>
    <w:rsid w:val="00790EFB"/>
    <w:rsid w:val="00792B1A"/>
    <w:rsid w:val="00794B21"/>
    <w:rsid w:val="00794DC7"/>
    <w:rsid w:val="00795FAC"/>
    <w:rsid w:val="007974A9"/>
    <w:rsid w:val="007979E7"/>
    <w:rsid w:val="00797B5D"/>
    <w:rsid w:val="007A0939"/>
    <w:rsid w:val="007A138C"/>
    <w:rsid w:val="007A2C82"/>
    <w:rsid w:val="007A322F"/>
    <w:rsid w:val="007A54D2"/>
    <w:rsid w:val="007A6706"/>
    <w:rsid w:val="007A684D"/>
    <w:rsid w:val="007A6A56"/>
    <w:rsid w:val="007A6F6F"/>
    <w:rsid w:val="007A6FEA"/>
    <w:rsid w:val="007A7792"/>
    <w:rsid w:val="007B0E2A"/>
    <w:rsid w:val="007B37AB"/>
    <w:rsid w:val="007B4CF9"/>
    <w:rsid w:val="007B614D"/>
    <w:rsid w:val="007B6589"/>
    <w:rsid w:val="007B76F6"/>
    <w:rsid w:val="007C02BE"/>
    <w:rsid w:val="007C0433"/>
    <w:rsid w:val="007C0E0C"/>
    <w:rsid w:val="007C26E2"/>
    <w:rsid w:val="007C2CC8"/>
    <w:rsid w:val="007C3224"/>
    <w:rsid w:val="007C37CD"/>
    <w:rsid w:val="007C3D03"/>
    <w:rsid w:val="007C4B9C"/>
    <w:rsid w:val="007C5497"/>
    <w:rsid w:val="007C59AD"/>
    <w:rsid w:val="007C5EAB"/>
    <w:rsid w:val="007C60DF"/>
    <w:rsid w:val="007C6887"/>
    <w:rsid w:val="007C6CD2"/>
    <w:rsid w:val="007C74B4"/>
    <w:rsid w:val="007C7628"/>
    <w:rsid w:val="007D1033"/>
    <w:rsid w:val="007D3181"/>
    <w:rsid w:val="007D59CD"/>
    <w:rsid w:val="007D5CD5"/>
    <w:rsid w:val="007D6967"/>
    <w:rsid w:val="007D69C2"/>
    <w:rsid w:val="007E6348"/>
    <w:rsid w:val="007E7678"/>
    <w:rsid w:val="007E7854"/>
    <w:rsid w:val="007F0699"/>
    <w:rsid w:val="007F09E1"/>
    <w:rsid w:val="007F0CF6"/>
    <w:rsid w:val="007F1528"/>
    <w:rsid w:val="007F1969"/>
    <w:rsid w:val="007F1E46"/>
    <w:rsid w:val="007F2251"/>
    <w:rsid w:val="007F2580"/>
    <w:rsid w:val="007F25C7"/>
    <w:rsid w:val="007F3FE7"/>
    <w:rsid w:val="007F4850"/>
    <w:rsid w:val="007F4F96"/>
    <w:rsid w:val="007F5AA0"/>
    <w:rsid w:val="007F5EE5"/>
    <w:rsid w:val="007F679B"/>
    <w:rsid w:val="007F777B"/>
    <w:rsid w:val="007F7A08"/>
    <w:rsid w:val="007F7AD1"/>
    <w:rsid w:val="008000B6"/>
    <w:rsid w:val="008000D8"/>
    <w:rsid w:val="00800BD6"/>
    <w:rsid w:val="00800E35"/>
    <w:rsid w:val="00800E5F"/>
    <w:rsid w:val="00800F76"/>
    <w:rsid w:val="008010AE"/>
    <w:rsid w:val="00801123"/>
    <w:rsid w:val="008011D6"/>
    <w:rsid w:val="008013C7"/>
    <w:rsid w:val="008028B0"/>
    <w:rsid w:val="00803015"/>
    <w:rsid w:val="00803D85"/>
    <w:rsid w:val="0080412D"/>
    <w:rsid w:val="008048D9"/>
    <w:rsid w:val="00804BFE"/>
    <w:rsid w:val="00804D95"/>
    <w:rsid w:val="00805592"/>
    <w:rsid w:val="00807340"/>
    <w:rsid w:val="0080774E"/>
    <w:rsid w:val="00810837"/>
    <w:rsid w:val="00811C7B"/>
    <w:rsid w:val="00811F61"/>
    <w:rsid w:val="008126EA"/>
    <w:rsid w:val="008136F5"/>
    <w:rsid w:val="00814C54"/>
    <w:rsid w:val="008152F0"/>
    <w:rsid w:val="008163BB"/>
    <w:rsid w:val="008168A8"/>
    <w:rsid w:val="00820049"/>
    <w:rsid w:val="00821348"/>
    <w:rsid w:val="00821AAF"/>
    <w:rsid w:val="008236F1"/>
    <w:rsid w:val="008237F8"/>
    <w:rsid w:val="00824647"/>
    <w:rsid w:val="00825330"/>
    <w:rsid w:val="00825D03"/>
    <w:rsid w:val="008277D6"/>
    <w:rsid w:val="00827930"/>
    <w:rsid w:val="00832AD8"/>
    <w:rsid w:val="00836821"/>
    <w:rsid w:val="00840698"/>
    <w:rsid w:val="008413E0"/>
    <w:rsid w:val="00845145"/>
    <w:rsid w:val="0084516D"/>
    <w:rsid w:val="00846301"/>
    <w:rsid w:val="0084656D"/>
    <w:rsid w:val="008506BD"/>
    <w:rsid w:val="00850EA8"/>
    <w:rsid w:val="00852D2F"/>
    <w:rsid w:val="00852F2B"/>
    <w:rsid w:val="008548A1"/>
    <w:rsid w:val="008548FC"/>
    <w:rsid w:val="00854A02"/>
    <w:rsid w:val="00855004"/>
    <w:rsid w:val="0085599A"/>
    <w:rsid w:val="00856CD4"/>
    <w:rsid w:val="00857C43"/>
    <w:rsid w:val="00861302"/>
    <w:rsid w:val="0086232E"/>
    <w:rsid w:val="0086268F"/>
    <w:rsid w:val="0086288F"/>
    <w:rsid w:val="0086295C"/>
    <w:rsid w:val="00862B01"/>
    <w:rsid w:val="0086347A"/>
    <w:rsid w:val="0086409C"/>
    <w:rsid w:val="008643E8"/>
    <w:rsid w:val="008649C0"/>
    <w:rsid w:val="00864B05"/>
    <w:rsid w:val="00865A0F"/>
    <w:rsid w:val="008660C5"/>
    <w:rsid w:val="008667F9"/>
    <w:rsid w:val="00866E80"/>
    <w:rsid w:val="00866EEB"/>
    <w:rsid w:val="00866F51"/>
    <w:rsid w:val="00867326"/>
    <w:rsid w:val="00870749"/>
    <w:rsid w:val="00870C13"/>
    <w:rsid w:val="008710FF"/>
    <w:rsid w:val="008722AA"/>
    <w:rsid w:val="00873BDD"/>
    <w:rsid w:val="00874B41"/>
    <w:rsid w:val="00874F46"/>
    <w:rsid w:val="00881E55"/>
    <w:rsid w:val="00883A3C"/>
    <w:rsid w:val="00884674"/>
    <w:rsid w:val="0088548C"/>
    <w:rsid w:val="0088548E"/>
    <w:rsid w:val="00885D44"/>
    <w:rsid w:val="008877FE"/>
    <w:rsid w:val="00887BC2"/>
    <w:rsid w:val="00890003"/>
    <w:rsid w:val="00891CDB"/>
    <w:rsid w:val="00892E0D"/>
    <w:rsid w:val="00893319"/>
    <w:rsid w:val="00893A09"/>
    <w:rsid w:val="00894AA4"/>
    <w:rsid w:val="00895B62"/>
    <w:rsid w:val="00896464"/>
    <w:rsid w:val="00896551"/>
    <w:rsid w:val="008971DD"/>
    <w:rsid w:val="00897327"/>
    <w:rsid w:val="0089775A"/>
    <w:rsid w:val="00897AEF"/>
    <w:rsid w:val="008A1531"/>
    <w:rsid w:val="008A1556"/>
    <w:rsid w:val="008A1E2A"/>
    <w:rsid w:val="008A2BD9"/>
    <w:rsid w:val="008A33AD"/>
    <w:rsid w:val="008A3C0C"/>
    <w:rsid w:val="008A4FA0"/>
    <w:rsid w:val="008A56CB"/>
    <w:rsid w:val="008A59D2"/>
    <w:rsid w:val="008A60B5"/>
    <w:rsid w:val="008A6A60"/>
    <w:rsid w:val="008B0302"/>
    <w:rsid w:val="008B0AD5"/>
    <w:rsid w:val="008B0CB5"/>
    <w:rsid w:val="008B13D8"/>
    <w:rsid w:val="008B3221"/>
    <w:rsid w:val="008B41C2"/>
    <w:rsid w:val="008B4EB0"/>
    <w:rsid w:val="008B5F72"/>
    <w:rsid w:val="008B7535"/>
    <w:rsid w:val="008B78E5"/>
    <w:rsid w:val="008B79E4"/>
    <w:rsid w:val="008C0B62"/>
    <w:rsid w:val="008C1A5B"/>
    <w:rsid w:val="008C1B9D"/>
    <w:rsid w:val="008C2922"/>
    <w:rsid w:val="008C38F1"/>
    <w:rsid w:val="008C58E1"/>
    <w:rsid w:val="008C5FDF"/>
    <w:rsid w:val="008C7291"/>
    <w:rsid w:val="008D17BA"/>
    <w:rsid w:val="008D3A8A"/>
    <w:rsid w:val="008D5565"/>
    <w:rsid w:val="008D5B54"/>
    <w:rsid w:val="008D6436"/>
    <w:rsid w:val="008D6A1C"/>
    <w:rsid w:val="008D73C7"/>
    <w:rsid w:val="008E0618"/>
    <w:rsid w:val="008E0E87"/>
    <w:rsid w:val="008E1C68"/>
    <w:rsid w:val="008E336C"/>
    <w:rsid w:val="008E4709"/>
    <w:rsid w:val="008E4C40"/>
    <w:rsid w:val="008E69EF"/>
    <w:rsid w:val="008E6F07"/>
    <w:rsid w:val="008E7889"/>
    <w:rsid w:val="008E797B"/>
    <w:rsid w:val="008F039A"/>
    <w:rsid w:val="008F1097"/>
    <w:rsid w:val="008F10A1"/>
    <w:rsid w:val="008F126F"/>
    <w:rsid w:val="008F1691"/>
    <w:rsid w:val="008F1CB6"/>
    <w:rsid w:val="008F1F84"/>
    <w:rsid w:val="008F2FD0"/>
    <w:rsid w:val="008F33D9"/>
    <w:rsid w:val="008F3555"/>
    <w:rsid w:val="008F4FA3"/>
    <w:rsid w:val="008F594F"/>
    <w:rsid w:val="008F5995"/>
    <w:rsid w:val="008F61D5"/>
    <w:rsid w:val="008F6B05"/>
    <w:rsid w:val="008F7BA3"/>
    <w:rsid w:val="009019EB"/>
    <w:rsid w:val="00902789"/>
    <w:rsid w:val="0090292B"/>
    <w:rsid w:val="009030B0"/>
    <w:rsid w:val="00904BF8"/>
    <w:rsid w:val="00905103"/>
    <w:rsid w:val="00906126"/>
    <w:rsid w:val="00906323"/>
    <w:rsid w:val="00906632"/>
    <w:rsid w:val="00907D80"/>
    <w:rsid w:val="00911344"/>
    <w:rsid w:val="00912EBD"/>
    <w:rsid w:val="00912FC6"/>
    <w:rsid w:val="0091403B"/>
    <w:rsid w:val="00914CC5"/>
    <w:rsid w:val="00915838"/>
    <w:rsid w:val="009159E6"/>
    <w:rsid w:val="00916CDB"/>
    <w:rsid w:val="009175FF"/>
    <w:rsid w:val="00917B30"/>
    <w:rsid w:val="00917CF6"/>
    <w:rsid w:val="00917DC9"/>
    <w:rsid w:val="009212A0"/>
    <w:rsid w:val="00923C70"/>
    <w:rsid w:val="009250EC"/>
    <w:rsid w:val="00926193"/>
    <w:rsid w:val="009275D4"/>
    <w:rsid w:val="00930176"/>
    <w:rsid w:val="009321E1"/>
    <w:rsid w:val="00932D58"/>
    <w:rsid w:val="009333B3"/>
    <w:rsid w:val="00934DCB"/>
    <w:rsid w:val="00935337"/>
    <w:rsid w:val="00935AFC"/>
    <w:rsid w:val="00936769"/>
    <w:rsid w:val="009367D8"/>
    <w:rsid w:val="009368EA"/>
    <w:rsid w:val="00936AC0"/>
    <w:rsid w:val="009417C4"/>
    <w:rsid w:val="00941E90"/>
    <w:rsid w:val="009431A2"/>
    <w:rsid w:val="00943896"/>
    <w:rsid w:val="00943EA9"/>
    <w:rsid w:val="00944630"/>
    <w:rsid w:val="00945D81"/>
    <w:rsid w:val="00945FFA"/>
    <w:rsid w:val="00946311"/>
    <w:rsid w:val="00946A86"/>
    <w:rsid w:val="00947FCE"/>
    <w:rsid w:val="00950568"/>
    <w:rsid w:val="00951E0F"/>
    <w:rsid w:val="009521F4"/>
    <w:rsid w:val="009524BB"/>
    <w:rsid w:val="00952814"/>
    <w:rsid w:val="00952E2D"/>
    <w:rsid w:val="00953258"/>
    <w:rsid w:val="00953A9E"/>
    <w:rsid w:val="00953C07"/>
    <w:rsid w:val="00955669"/>
    <w:rsid w:val="0095588D"/>
    <w:rsid w:val="00956B8A"/>
    <w:rsid w:val="0095728B"/>
    <w:rsid w:val="00961F2C"/>
    <w:rsid w:val="0096372A"/>
    <w:rsid w:val="00964074"/>
    <w:rsid w:val="009659CF"/>
    <w:rsid w:val="00966185"/>
    <w:rsid w:val="00966480"/>
    <w:rsid w:val="00967917"/>
    <w:rsid w:val="00970AFC"/>
    <w:rsid w:val="00970B8C"/>
    <w:rsid w:val="009711AB"/>
    <w:rsid w:val="00972F05"/>
    <w:rsid w:val="009758D3"/>
    <w:rsid w:val="00977757"/>
    <w:rsid w:val="00977B46"/>
    <w:rsid w:val="00980EF1"/>
    <w:rsid w:val="0098113F"/>
    <w:rsid w:val="009816D9"/>
    <w:rsid w:val="009823A4"/>
    <w:rsid w:val="009834BB"/>
    <w:rsid w:val="00985112"/>
    <w:rsid w:val="00990CE7"/>
    <w:rsid w:val="009919DC"/>
    <w:rsid w:val="00995BEB"/>
    <w:rsid w:val="00997A62"/>
    <w:rsid w:val="009A0980"/>
    <w:rsid w:val="009A186A"/>
    <w:rsid w:val="009A2119"/>
    <w:rsid w:val="009A28B9"/>
    <w:rsid w:val="009A28DE"/>
    <w:rsid w:val="009A3081"/>
    <w:rsid w:val="009A33BF"/>
    <w:rsid w:val="009A3E8A"/>
    <w:rsid w:val="009A47DE"/>
    <w:rsid w:val="009A518E"/>
    <w:rsid w:val="009A5ECB"/>
    <w:rsid w:val="009A65F3"/>
    <w:rsid w:val="009A69D2"/>
    <w:rsid w:val="009B01C4"/>
    <w:rsid w:val="009B0739"/>
    <w:rsid w:val="009B13BA"/>
    <w:rsid w:val="009B20CD"/>
    <w:rsid w:val="009B3141"/>
    <w:rsid w:val="009B38D5"/>
    <w:rsid w:val="009B39BF"/>
    <w:rsid w:val="009B60AC"/>
    <w:rsid w:val="009B64D4"/>
    <w:rsid w:val="009B7085"/>
    <w:rsid w:val="009B76F8"/>
    <w:rsid w:val="009C1E46"/>
    <w:rsid w:val="009C49BF"/>
    <w:rsid w:val="009C51EA"/>
    <w:rsid w:val="009C5DA7"/>
    <w:rsid w:val="009C68C2"/>
    <w:rsid w:val="009C6B42"/>
    <w:rsid w:val="009D024D"/>
    <w:rsid w:val="009D0B26"/>
    <w:rsid w:val="009D101D"/>
    <w:rsid w:val="009D1BDE"/>
    <w:rsid w:val="009D206A"/>
    <w:rsid w:val="009D2D52"/>
    <w:rsid w:val="009D375C"/>
    <w:rsid w:val="009D39BD"/>
    <w:rsid w:val="009D4901"/>
    <w:rsid w:val="009D6253"/>
    <w:rsid w:val="009D641C"/>
    <w:rsid w:val="009D691A"/>
    <w:rsid w:val="009D72F8"/>
    <w:rsid w:val="009D7FE8"/>
    <w:rsid w:val="009E19E9"/>
    <w:rsid w:val="009E2A09"/>
    <w:rsid w:val="009E2B68"/>
    <w:rsid w:val="009E2C0B"/>
    <w:rsid w:val="009E3F2D"/>
    <w:rsid w:val="009E514D"/>
    <w:rsid w:val="009E6A42"/>
    <w:rsid w:val="009F0464"/>
    <w:rsid w:val="009F15AA"/>
    <w:rsid w:val="009F2298"/>
    <w:rsid w:val="009F3688"/>
    <w:rsid w:val="009F3B6F"/>
    <w:rsid w:val="009F475A"/>
    <w:rsid w:val="009F4884"/>
    <w:rsid w:val="009F4A5C"/>
    <w:rsid w:val="009F5A5E"/>
    <w:rsid w:val="009F5B90"/>
    <w:rsid w:val="009F5F90"/>
    <w:rsid w:val="009F7D0E"/>
    <w:rsid w:val="009F7DF6"/>
    <w:rsid w:val="00A00DBC"/>
    <w:rsid w:val="00A01E6F"/>
    <w:rsid w:val="00A05C39"/>
    <w:rsid w:val="00A05F80"/>
    <w:rsid w:val="00A06ACD"/>
    <w:rsid w:val="00A07DA0"/>
    <w:rsid w:val="00A1029B"/>
    <w:rsid w:val="00A108E8"/>
    <w:rsid w:val="00A11FE2"/>
    <w:rsid w:val="00A148CC"/>
    <w:rsid w:val="00A14BF4"/>
    <w:rsid w:val="00A14F15"/>
    <w:rsid w:val="00A17115"/>
    <w:rsid w:val="00A171B8"/>
    <w:rsid w:val="00A20925"/>
    <w:rsid w:val="00A22A57"/>
    <w:rsid w:val="00A24503"/>
    <w:rsid w:val="00A24845"/>
    <w:rsid w:val="00A26BDE"/>
    <w:rsid w:val="00A26D8B"/>
    <w:rsid w:val="00A279E3"/>
    <w:rsid w:val="00A3154F"/>
    <w:rsid w:val="00A32E82"/>
    <w:rsid w:val="00A338F3"/>
    <w:rsid w:val="00A36882"/>
    <w:rsid w:val="00A36979"/>
    <w:rsid w:val="00A37061"/>
    <w:rsid w:val="00A37589"/>
    <w:rsid w:val="00A40632"/>
    <w:rsid w:val="00A40DB6"/>
    <w:rsid w:val="00A426BD"/>
    <w:rsid w:val="00A42B4E"/>
    <w:rsid w:val="00A4307F"/>
    <w:rsid w:val="00A4382A"/>
    <w:rsid w:val="00A4498A"/>
    <w:rsid w:val="00A453A9"/>
    <w:rsid w:val="00A45A20"/>
    <w:rsid w:val="00A46967"/>
    <w:rsid w:val="00A46FD8"/>
    <w:rsid w:val="00A4726E"/>
    <w:rsid w:val="00A5283D"/>
    <w:rsid w:val="00A550C3"/>
    <w:rsid w:val="00A5510A"/>
    <w:rsid w:val="00A5537E"/>
    <w:rsid w:val="00A55A48"/>
    <w:rsid w:val="00A565FF"/>
    <w:rsid w:val="00A5688E"/>
    <w:rsid w:val="00A568E7"/>
    <w:rsid w:val="00A56E2C"/>
    <w:rsid w:val="00A61913"/>
    <w:rsid w:val="00A6276C"/>
    <w:rsid w:val="00A62B86"/>
    <w:rsid w:val="00A63A89"/>
    <w:rsid w:val="00A63D50"/>
    <w:rsid w:val="00A6407A"/>
    <w:rsid w:val="00A6445C"/>
    <w:rsid w:val="00A66C76"/>
    <w:rsid w:val="00A66DC2"/>
    <w:rsid w:val="00A72976"/>
    <w:rsid w:val="00A7497F"/>
    <w:rsid w:val="00A74ABE"/>
    <w:rsid w:val="00A75348"/>
    <w:rsid w:val="00A75A87"/>
    <w:rsid w:val="00A7666F"/>
    <w:rsid w:val="00A77011"/>
    <w:rsid w:val="00A77540"/>
    <w:rsid w:val="00A77F94"/>
    <w:rsid w:val="00A80097"/>
    <w:rsid w:val="00A813DC"/>
    <w:rsid w:val="00A81499"/>
    <w:rsid w:val="00A826BF"/>
    <w:rsid w:val="00A84460"/>
    <w:rsid w:val="00A84932"/>
    <w:rsid w:val="00A8517D"/>
    <w:rsid w:val="00A85778"/>
    <w:rsid w:val="00A862E3"/>
    <w:rsid w:val="00A86740"/>
    <w:rsid w:val="00A86889"/>
    <w:rsid w:val="00A8697F"/>
    <w:rsid w:val="00A86F57"/>
    <w:rsid w:val="00A87C96"/>
    <w:rsid w:val="00A9222C"/>
    <w:rsid w:val="00A93F85"/>
    <w:rsid w:val="00A94F56"/>
    <w:rsid w:val="00A96D6E"/>
    <w:rsid w:val="00A9761D"/>
    <w:rsid w:val="00AA0475"/>
    <w:rsid w:val="00AA1C53"/>
    <w:rsid w:val="00AA393B"/>
    <w:rsid w:val="00AA63A5"/>
    <w:rsid w:val="00AA6B1E"/>
    <w:rsid w:val="00AA7165"/>
    <w:rsid w:val="00AA759D"/>
    <w:rsid w:val="00AB0FF7"/>
    <w:rsid w:val="00AB1E26"/>
    <w:rsid w:val="00AB2740"/>
    <w:rsid w:val="00AB478F"/>
    <w:rsid w:val="00AB4F5B"/>
    <w:rsid w:val="00AB63BF"/>
    <w:rsid w:val="00AB75C7"/>
    <w:rsid w:val="00AB780A"/>
    <w:rsid w:val="00AB7A33"/>
    <w:rsid w:val="00AB7A8F"/>
    <w:rsid w:val="00AB7E26"/>
    <w:rsid w:val="00AC2862"/>
    <w:rsid w:val="00AC2C8A"/>
    <w:rsid w:val="00AC2DE8"/>
    <w:rsid w:val="00AC31ED"/>
    <w:rsid w:val="00AC36BF"/>
    <w:rsid w:val="00AC3944"/>
    <w:rsid w:val="00AC3B03"/>
    <w:rsid w:val="00AC404C"/>
    <w:rsid w:val="00AC5455"/>
    <w:rsid w:val="00AC61C3"/>
    <w:rsid w:val="00AC7362"/>
    <w:rsid w:val="00AC73A4"/>
    <w:rsid w:val="00AD19EC"/>
    <w:rsid w:val="00AD25DA"/>
    <w:rsid w:val="00AD2999"/>
    <w:rsid w:val="00AD31D2"/>
    <w:rsid w:val="00AD3F01"/>
    <w:rsid w:val="00AD49BA"/>
    <w:rsid w:val="00AD4C91"/>
    <w:rsid w:val="00AD5603"/>
    <w:rsid w:val="00AD6D31"/>
    <w:rsid w:val="00AD7547"/>
    <w:rsid w:val="00AD7A63"/>
    <w:rsid w:val="00AE0B2E"/>
    <w:rsid w:val="00AE0BBB"/>
    <w:rsid w:val="00AE22C5"/>
    <w:rsid w:val="00AE626D"/>
    <w:rsid w:val="00AE657E"/>
    <w:rsid w:val="00AE75CD"/>
    <w:rsid w:val="00AE768A"/>
    <w:rsid w:val="00AF2AA3"/>
    <w:rsid w:val="00AF3BAC"/>
    <w:rsid w:val="00AF4AB2"/>
    <w:rsid w:val="00AF4E96"/>
    <w:rsid w:val="00AF5644"/>
    <w:rsid w:val="00AF706B"/>
    <w:rsid w:val="00AF7FB9"/>
    <w:rsid w:val="00B006A4"/>
    <w:rsid w:val="00B007D7"/>
    <w:rsid w:val="00B00D42"/>
    <w:rsid w:val="00B00EB5"/>
    <w:rsid w:val="00B037D5"/>
    <w:rsid w:val="00B05608"/>
    <w:rsid w:val="00B06472"/>
    <w:rsid w:val="00B06831"/>
    <w:rsid w:val="00B10007"/>
    <w:rsid w:val="00B100D6"/>
    <w:rsid w:val="00B10115"/>
    <w:rsid w:val="00B10B5D"/>
    <w:rsid w:val="00B10EDB"/>
    <w:rsid w:val="00B11963"/>
    <w:rsid w:val="00B11BC4"/>
    <w:rsid w:val="00B12065"/>
    <w:rsid w:val="00B12838"/>
    <w:rsid w:val="00B14D1D"/>
    <w:rsid w:val="00B1518D"/>
    <w:rsid w:val="00B16DF2"/>
    <w:rsid w:val="00B21287"/>
    <w:rsid w:val="00B23557"/>
    <w:rsid w:val="00B26604"/>
    <w:rsid w:val="00B268A9"/>
    <w:rsid w:val="00B303BD"/>
    <w:rsid w:val="00B3081B"/>
    <w:rsid w:val="00B31DF8"/>
    <w:rsid w:val="00B320F5"/>
    <w:rsid w:val="00B32F74"/>
    <w:rsid w:val="00B34947"/>
    <w:rsid w:val="00B35796"/>
    <w:rsid w:val="00B36E83"/>
    <w:rsid w:val="00B370AB"/>
    <w:rsid w:val="00B3741F"/>
    <w:rsid w:val="00B37B95"/>
    <w:rsid w:val="00B40E80"/>
    <w:rsid w:val="00B434CA"/>
    <w:rsid w:val="00B445F0"/>
    <w:rsid w:val="00B44E4F"/>
    <w:rsid w:val="00B46A91"/>
    <w:rsid w:val="00B47384"/>
    <w:rsid w:val="00B502EE"/>
    <w:rsid w:val="00B511AA"/>
    <w:rsid w:val="00B51229"/>
    <w:rsid w:val="00B515B6"/>
    <w:rsid w:val="00B52687"/>
    <w:rsid w:val="00B53295"/>
    <w:rsid w:val="00B53D7D"/>
    <w:rsid w:val="00B5405A"/>
    <w:rsid w:val="00B54170"/>
    <w:rsid w:val="00B54D14"/>
    <w:rsid w:val="00B56469"/>
    <w:rsid w:val="00B61470"/>
    <w:rsid w:val="00B61D11"/>
    <w:rsid w:val="00B63AA4"/>
    <w:rsid w:val="00B63B03"/>
    <w:rsid w:val="00B6462C"/>
    <w:rsid w:val="00B64F44"/>
    <w:rsid w:val="00B66232"/>
    <w:rsid w:val="00B66863"/>
    <w:rsid w:val="00B6734D"/>
    <w:rsid w:val="00B67995"/>
    <w:rsid w:val="00B702A6"/>
    <w:rsid w:val="00B70D19"/>
    <w:rsid w:val="00B726DA"/>
    <w:rsid w:val="00B72985"/>
    <w:rsid w:val="00B75B3B"/>
    <w:rsid w:val="00B76392"/>
    <w:rsid w:val="00B7658C"/>
    <w:rsid w:val="00B76D85"/>
    <w:rsid w:val="00B76EBD"/>
    <w:rsid w:val="00B7785F"/>
    <w:rsid w:val="00B77883"/>
    <w:rsid w:val="00B81629"/>
    <w:rsid w:val="00B81B48"/>
    <w:rsid w:val="00B8295E"/>
    <w:rsid w:val="00B835FF"/>
    <w:rsid w:val="00B8560D"/>
    <w:rsid w:val="00B86491"/>
    <w:rsid w:val="00B86F9E"/>
    <w:rsid w:val="00B87C96"/>
    <w:rsid w:val="00B9114A"/>
    <w:rsid w:val="00B93731"/>
    <w:rsid w:val="00B96328"/>
    <w:rsid w:val="00B97923"/>
    <w:rsid w:val="00B97C72"/>
    <w:rsid w:val="00BA32AA"/>
    <w:rsid w:val="00BA32DF"/>
    <w:rsid w:val="00BA4523"/>
    <w:rsid w:val="00BA4F1A"/>
    <w:rsid w:val="00BA575E"/>
    <w:rsid w:val="00BA5DCD"/>
    <w:rsid w:val="00BA64DE"/>
    <w:rsid w:val="00BA772B"/>
    <w:rsid w:val="00BA7BC8"/>
    <w:rsid w:val="00BB0113"/>
    <w:rsid w:val="00BB0E5B"/>
    <w:rsid w:val="00BB0FDF"/>
    <w:rsid w:val="00BB10C3"/>
    <w:rsid w:val="00BB1B3B"/>
    <w:rsid w:val="00BB50B2"/>
    <w:rsid w:val="00BB5482"/>
    <w:rsid w:val="00BB6C1D"/>
    <w:rsid w:val="00BC06A0"/>
    <w:rsid w:val="00BC252C"/>
    <w:rsid w:val="00BC2B61"/>
    <w:rsid w:val="00BC34DF"/>
    <w:rsid w:val="00BC4041"/>
    <w:rsid w:val="00BC55A2"/>
    <w:rsid w:val="00BC6902"/>
    <w:rsid w:val="00BC7920"/>
    <w:rsid w:val="00BD02C4"/>
    <w:rsid w:val="00BD0940"/>
    <w:rsid w:val="00BD10BC"/>
    <w:rsid w:val="00BD2D06"/>
    <w:rsid w:val="00BD2E0D"/>
    <w:rsid w:val="00BD2EB6"/>
    <w:rsid w:val="00BD392F"/>
    <w:rsid w:val="00BD3C65"/>
    <w:rsid w:val="00BD43D3"/>
    <w:rsid w:val="00BD4AB8"/>
    <w:rsid w:val="00BD4AE4"/>
    <w:rsid w:val="00BD75C4"/>
    <w:rsid w:val="00BE2B07"/>
    <w:rsid w:val="00BE368A"/>
    <w:rsid w:val="00BE5117"/>
    <w:rsid w:val="00BE52B1"/>
    <w:rsid w:val="00BE56AC"/>
    <w:rsid w:val="00BE6621"/>
    <w:rsid w:val="00BE6746"/>
    <w:rsid w:val="00BE68C6"/>
    <w:rsid w:val="00BE6E0F"/>
    <w:rsid w:val="00BE710B"/>
    <w:rsid w:val="00BE7750"/>
    <w:rsid w:val="00BF0154"/>
    <w:rsid w:val="00BF1A20"/>
    <w:rsid w:val="00BF2092"/>
    <w:rsid w:val="00BF22D0"/>
    <w:rsid w:val="00BF43E1"/>
    <w:rsid w:val="00BF50AE"/>
    <w:rsid w:val="00BF5335"/>
    <w:rsid w:val="00BF5EA2"/>
    <w:rsid w:val="00C0083B"/>
    <w:rsid w:val="00C01716"/>
    <w:rsid w:val="00C03426"/>
    <w:rsid w:val="00C057D3"/>
    <w:rsid w:val="00C07711"/>
    <w:rsid w:val="00C11CD2"/>
    <w:rsid w:val="00C12ED3"/>
    <w:rsid w:val="00C147C0"/>
    <w:rsid w:val="00C17418"/>
    <w:rsid w:val="00C179F8"/>
    <w:rsid w:val="00C17B93"/>
    <w:rsid w:val="00C17EFB"/>
    <w:rsid w:val="00C20C46"/>
    <w:rsid w:val="00C219E4"/>
    <w:rsid w:val="00C22008"/>
    <w:rsid w:val="00C246F6"/>
    <w:rsid w:val="00C31DAD"/>
    <w:rsid w:val="00C322DC"/>
    <w:rsid w:val="00C324C0"/>
    <w:rsid w:val="00C339F2"/>
    <w:rsid w:val="00C352C8"/>
    <w:rsid w:val="00C356CB"/>
    <w:rsid w:val="00C36749"/>
    <w:rsid w:val="00C40B5B"/>
    <w:rsid w:val="00C40EB6"/>
    <w:rsid w:val="00C41EC6"/>
    <w:rsid w:val="00C421FF"/>
    <w:rsid w:val="00C453FD"/>
    <w:rsid w:val="00C46D1C"/>
    <w:rsid w:val="00C50FE2"/>
    <w:rsid w:val="00C51021"/>
    <w:rsid w:val="00C52552"/>
    <w:rsid w:val="00C52A6E"/>
    <w:rsid w:val="00C53B4A"/>
    <w:rsid w:val="00C54AF2"/>
    <w:rsid w:val="00C54AF4"/>
    <w:rsid w:val="00C5638B"/>
    <w:rsid w:val="00C56422"/>
    <w:rsid w:val="00C57BA2"/>
    <w:rsid w:val="00C57FF1"/>
    <w:rsid w:val="00C60642"/>
    <w:rsid w:val="00C60704"/>
    <w:rsid w:val="00C608F8"/>
    <w:rsid w:val="00C61919"/>
    <w:rsid w:val="00C647D0"/>
    <w:rsid w:val="00C64838"/>
    <w:rsid w:val="00C657FB"/>
    <w:rsid w:val="00C658C9"/>
    <w:rsid w:val="00C668A8"/>
    <w:rsid w:val="00C66BD4"/>
    <w:rsid w:val="00C70B2D"/>
    <w:rsid w:val="00C71966"/>
    <w:rsid w:val="00C7462C"/>
    <w:rsid w:val="00C75B7E"/>
    <w:rsid w:val="00C76661"/>
    <w:rsid w:val="00C7680B"/>
    <w:rsid w:val="00C76E86"/>
    <w:rsid w:val="00C775B7"/>
    <w:rsid w:val="00C775F1"/>
    <w:rsid w:val="00C77ECB"/>
    <w:rsid w:val="00C80934"/>
    <w:rsid w:val="00C809D2"/>
    <w:rsid w:val="00C80E3B"/>
    <w:rsid w:val="00C8186E"/>
    <w:rsid w:val="00C81D43"/>
    <w:rsid w:val="00C858EC"/>
    <w:rsid w:val="00C879CA"/>
    <w:rsid w:val="00C90476"/>
    <w:rsid w:val="00C90E96"/>
    <w:rsid w:val="00C91328"/>
    <w:rsid w:val="00C9578E"/>
    <w:rsid w:val="00C957EF"/>
    <w:rsid w:val="00C97816"/>
    <w:rsid w:val="00CA06E6"/>
    <w:rsid w:val="00CA07F1"/>
    <w:rsid w:val="00CA2A46"/>
    <w:rsid w:val="00CA2DD6"/>
    <w:rsid w:val="00CA3A4A"/>
    <w:rsid w:val="00CA4318"/>
    <w:rsid w:val="00CA44B1"/>
    <w:rsid w:val="00CA4D7F"/>
    <w:rsid w:val="00CA5031"/>
    <w:rsid w:val="00CB44F2"/>
    <w:rsid w:val="00CB5019"/>
    <w:rsid w:val="00CB5109"/>
    <w:rsid w:val="00CB5378"/>
    <w:rsid w:val="00CB6FD6"/>
    <w:rsid w:val="00CB70EB"/>
    <w:rsid w:val="00CB7609"/>
    <w:rsid w:val="00CC006B"/>
    <w:rsid w:val="00CC11E3"/>
    <w:rsid w:val="00CC225C"/>
    <w:rsid w:val="00CC35E5"/>
    <w:rsid w:val="00CC48CF"/>
    <w:rsid w:val="00CC4C23"/>
    <w:rsid w:val="00CC4CFE"/>
    <w:rsid w:val="00CC5EA2"/>
    <w:rsid w:val="00CC60B0"/>
    <w:rsid w:val="00CC7253"/>
    <w:rsid w:val="00CD0DEC"/>
    <w:rsid w:val="00CD1DE4"/>
    <w:rsid w:val="00CD33C7"/>
    <w:rsid w:val="00CD4CD8"/>
    <w:rsid w:val="00CD5210"/>
    <w:rsid w:val="00CD526F"/>
    <w:rsid w:val="00CD6908"/>
    <w:rsid w:val="00CD74BA"/>
    <w:rsid w:val="00CD7874"/>
    <w:rsid w:val="00CE2C32"/>
    <w:rsid w:val="00CE2D64"/>
    <w:rsid w:val="00CE3E52"/>
    <w:rsid w:val="00CE48D0"/>
    <w:rsid w:val="00CE5963"/>
    <w:rsid w:val="00CE5B20"/>
    <w:rsid w:val="00CE7B31"/>
    <w:rsid w:val="00CF1C0C"/>
    <w:rsid w:val="00CF4EB2"/>
    <w:rsid w:val="00CF4F20"/>
    <w:rsid w:val="00CF5FB7"/>
    <w:rsid w:val="00CF62A8"/>
    <w:rsid w:val="00D0203A"/>
    <w:rsid w:val="00D0280C"/>
    <w:rsid w:val="00D03785"/>
    <w:rsid w:val="00D049EB"/>
    <w:rsid w:val="00D057C9"/>
    <w:rsid w:val="00D05E91"/>
    <w:rsid w:val="00D06247"/>
    <w:rsid w:val="00D0665B"/>
    <w:rsid w:val="00D0766C"/>
    <w:rsid w:val="00D077A1"/>
    <w:rsid w:val="00D10773"/>
    <w:rsid w:val="00D1113A"/>
    <w:rsid w:val="00D11F1B"/>
    <w:rsid w:val="00D12C2E"/>
    <w:rsid w:val="00D15BB9"/>
    <w:rsid w:val="00D15D97"/>
    <w:rsid w:val="00D16060"/>
    <w:rsid w:val="00D161E1"/>
    <w:rsid w:val="00D174AE"/>
    <w:rsid w:val="00D17C39"/>
    <w:rsid w:val="00D20127"/>
    <w:rsid w:val="00D2119B"/>
    <w:rsid w:val="00D22CD3"/>
    <w:rsid w:val="00D23542"/>
    <w:rsid w:val="00D24663"/>
    <w:rsid w:val="00D24B0F"/>
    <w:rsid w:val="00D24F66"/>
    <w:rsid w:val="00D259C0"/>
    <w:rsid w:val="00D259EF"/>
    <w:rsid w:val="00D25CD8"/>
    <w:rsid w:val="00D25D1F"/>
    <w:rsid w:val="00D266F6"/>
    <w:rsid w:val="00D26856"/>
    <w:rsid w:val="00D30998"/>
    <w:rsid w:val="00D30B48"/>
    <w:rsid w:val="00D30EA3"/>
    <w:rsid w:val="00D31630"/>
    <w:rsid w:val="00D323E0"/>
    <w:rsid w:val="00D32C64"/>
    <w:rsid w:val="00D335CE"/>
    <w:rsid w:val="00D338F6"/>
    <w:rsid w:val="00D33DA4"/>
    <w:rsid w:val="00D340F2"/>
    <w:rsid w:val="00D35A01"/>
    <w:rsid w:val="00D42001"/>
    <w:rsid w:val="00D422CD"/>
    <w:rsid w:val="00D42481"/>
    <w:rsid w:val="00D43B25"/>
    <w:rsid w:val="00D4440C"/>
    <w:rsid w:val="00D46945"/>
    <w:rsid w:val="00D46A70"/>
    <w:rsid w:val="00D50697"/>
    <w:rsid w:val="00D508CB"/>
    <w:rsid w:val="00D51C49"/>
    <w:rsid w:val="00D52B89"/>
    <w:rsid w:val="00D5358F"/>
    <w:rsid w:val="00D541B6"/>
    <w:rsid w:val="00D5430A"/>
    <w:rsid w:val="00D54B5C"/>
    <w:rsid w:val="00D55346"/>
    <w:rsid w:val="00D55C5F"/>
    <w:rsid w:val="00D56ADF"/>
    <w:rsid w:val="00D57874"/>
    <w:rsid w:val="00D6053F"/>
    <w:rsid w:val="00D60F44"/>
    <w:rsid w:val="00D612C4"/>
    <w:rsid w:val="00D61739"/>
    <w:rsid w:val="00D61BAE"/>
    <w:rsid w:val="00D62A34"/>
    <w:rsid w:val="00D6361A"/>
    <w:rsid w:val="00D6613B"/>
    <w:rsid w:val="00D67089"/>
    <w:rsid w:val="00D67D4C"/>
    <w:rsid w:val="00D67EE5"/>
    <w:rsid w:val="00D71454"/>
    <w:rsid w:val="00D72028"/>
    <w:rsid w:val="00D720B1"/>
    <w:rsid w:val="00D743A6"/>
    <w:rsid w:val="00D7481C"/>
    <w:rsid w:val="00D7538F"/>
    <w:rsid w:val="00D75712"/>
    <w:rsid w:val="00D76399"/>
    <w:rsid w:val="00D77D3E"/>
    <w:rsid w:val="00D80CE6"/>
    <w:rsid w:val="00D80CFB"/>
    <w:rsid w:val="00D8265D"/>
    <w:rsid w:val="00D827E3"/>
    <w:rsid w:val="00D82864"/>
    <w:rsid w:val="00D832C0"/>
    <w:rsid w:val="00D84463"/>
    <w:rsid w:val="00D847C7"/>
    <w:rsid w:val="00D848E1"/>
    <w:rsid w:val="00D85C44"/>
    <w:rsid w:val="00D860E1"/>
    <w:rsid w:val="00D87023"/>
    <w:rsid w:val="00D90238"/>
    <w:rsid w:val="00D92A9E"/>
    <w:rsid w:val="00D92F24"/>
    <w:rsid w:val="00D9322F"/>
    <w:rsid w:val="00D94595"/>
    <w:rsid w:val="00D9485A"/>
    <w:rsid w:val="00D94C88"/>
    <w:rsid w:val="00D95119"/>
    <w:rsid w:val="00D96FB3"/>
    <w:rsid w:val="00D9718E"/>
    <w:rsid w:val="00D97305"/>
    <w:rsid w:val="00DA14E4"/>
    <w:rsid w:val="00DA1EA0"/>
    <w:rsid w:val="00DA270D"/>
    <w:rsid w:val="00DA33F7"/>
    <w:rsid w:val="00DA6C41"/>
    <w:rsid w:val="00DA6C76"/>
    <w:rsid w:val="00DA7AAE"/>
    <w:rsid w:val="00DA7F82"/>
    <w:rsid w:val="00DB10A6"/>
    <w:rsid w:val="00DB11D9"/>
    <w:rsid w:val="00DB13DB"/>
    <w:rsid w:val="00DB2E33"/>
    <w:rsid w:val="00DB3435"/>
    <w:rsid w:val="00DB3C44"/>
    <w:rsid w:val="00DB4297"/>
    <w:rsid w:val="00DB4594"/>
    <w:rsid w:val="00DB4D0A"/>
    <w:rsid w:val="00DB4DD4"/>
    <w:rsid w:val="00DB59AB"/>
    <w:rsid w:val="00DB64DD"/>
    <w:rsid w:val="00DB65A1"/>
    <w:rsid w:val="00DB67EF"/>
    <w:rsid w:val="00DC0D21"/>
    <w:rsid w:val="00DC17E4"/>
    <w:rsid w:val="00DC1B24"/>
    <w:rsid w:val="00DC1D36"/>
    <w:rsid w:val="00DC254B"/>
    <w:rsid w:val="00DC2FF4"/>
    <w:rsid w:val="00DC37D9"/>
    <w:rsid w:val="00DC38A9"/>
    <w:rsid w:val="00DC40B0"/>
    <w:rsid w:val="00DC4381"/>
    <w:rsid w:val="00DC4660"/>
    <w:rsid w:val="00DC50F1"/>
    <w:rsid w:val="00DC7A27"/>
    <w:rsid w:val="00DD0296"/>
    <w:rsid w:val="00DD0AD2"/>
    <w:rsid w:val="00DD0B19"/>
    <w:rsid w:val="00DD37F8"/>
    <w:rsid w:val="00DD3DAC"/>
    <w:rsid w:val="00DD45DE"/>
    <w:rsid w:val="00DD461A"/>
    <w:rsid w:val="00DD566B"/>
    <w:rsid w:val="00DD6176"/>
    <w:rsid w:val="00DD6719"/>
    <w:rsid w:val="00DD6FE1"/>
    <w:rsid w:val="00DE1A69"/>
    <w:rsid w:val="00DE1E7E"/>
    <w:rsid w:val="00DE3983"/>
    <w:rsid w:val="00DE3BE9"/>
    <w:rsid w:val="00DE3EC5"/>
    <w:rsid w:val="00DE42E3"/>
    <w:rsid w:val="00DE4DDC"/>
    <w:rsid w:val="00DE50BB"/>
    <w:rsid w:val="00DE59D6"/>
    <w:rsid w:val="00DE5F03"/>
    <w:rsid w:val="00DE672D"/>
    <w:rsid w:val="00DE6797"/>
    <w:rsid w:val="00DE6C6B"/>
    <w:rsid w:val="00DE7C61"/>
    <w:rsid w:val="00DF08EC"/>
    <w:rsid w:val="00DF13EE"/>
    <w:rsid w:val="00DF2A52"/>
    <w:rsid w:val="00DF476E"/>
    <w:rsid w:val="00DF4A3E"/>
    <w:rsid w:val="00DF4D5C"/>
    <w:rsid w:val="00DF6A0A"/>
    <w:rsid w:val="00DF6BE2"/>
    <w:rsid w:val="00E0093D"/>
    <w:rsid w:val="00E00992"/>
    <w:rsid w:val="00E00B04"/>
    <w:rsid w:val="00E02446"/>
    <w:rsid w:val="00E0446C"/>
    <w:rsid w:val="00E05AC3"/>
    <w:rsid w:val="00E0677F"/>
    <w:rsid w:val="00E100EE"/>
    <w:rsid w:val="00E1013D"/>
    <w:rsid w:val="00E1061E"/>
    <w:rsid w:val="00E10F98"/>
    <w:rsid w:val="00E1162E"/>
    <w:rsid w:val="00E1252B"/>
    <w:rsid w:val="00E13C97"/>
    <w:rsid w:val="00E16155"/>
    <w:rsid w:val="00E16D82"/>
    <w:rsid w:val="00E16E8F"/>
    <w:rsid w:val="00E17963"/>
    <w:rsid w:val="00E2008A"/>
    <w:rsid w:val="00E20CC2"/>
    <w:rsid w:val="00E2157B"/>
    <w:rsid w:val="00E21679"/>
    <w:rsid w:val="00E21DFF"/>
    <w:rsid w:val="00E223C9"/>
    <w:rsid w:val="00E2415E"/>
    <w:rsid w:val="00E24720"/>
    <w:rsid w:val="00E2524F"/>
    <w:rsid w:val="00E26FD9"/>
    <w:rsid w:val="00E27F62"/>
    <w:rsid w:val="00E30A6D"/>
    <w:rsid w:val="00E31481"/>
    <w:rsid w:val="00E32CC8"/>
    <w:rsid w:val="00E335C8"/>
    <w:rsid w:val="00E33A04"/>
    <w:rsid w:val="00E342B1"/>
    <w:rsid w:val="00E37DB0"/>
    <w:rsid w:val="00E40160"/>
    <w:rsid w:val="00E4018E"/>
    <w:rsid w:val="00E41753"/>
    <w:rsid w:val="00E41DC1"/>
    <w:rsid w:val="00E42388"/>
    <w:rsid w:val="00E428EB"/>
    <w:rsid w:val="00E431E4"/>
    <w:rsid w:val="00E448E3"/>
    <w:rsid w:val="00E4509D"/>
    <w:rsid w:val="00E46C80"/>
    <w:rsid w:val="00E477C2"/>
    <w:rsid w:val="00E47AD9"/>
    <w:rsid w:val="00E5108E"/>
    <w:rsid w:val="00E52083"/>
    <w:rsid w:val="00E520D6"/>
    <w:rsid w:val="00E532BA"/>
    <w:rsid w:val="00E54341"/>
    <w:rsid w:val="00E560F4"/>
    <w:rsid w:val="00E57173"/>
    <w:rsid w:val="00E57849"/>
    <w:rsid w:val="00E57C15"/>
    <w:rsid w:val="00E61EFE"/>
    <w:rsid w:val="00E63231"/>
    <w:rsid w:val="00E64801"/>
    <w:rsid w:val="00E64C9B"/>
    <w:rsid w:val="00E65863"/>
    <w:rsid w:val="00E67F36"/>
    <w:rsid w:val="00E72FAB"/>
    <w:rsid w:val="00E80579"/>
    <w:rsid w:val="00E80D1B"/>
    <w:rsid w:val="00E827C0"/>
    <w:rsid w:val="00E8291C"/>
    <w:rsid w:val="00E8315F"/>
    <w:rsid w:val="00E83C51"/>
    <w:rsid w:val="00E83E73"/>
    <w:rsid w:val="00E842A4"/>
    <w:rsid w:val="00E842AB"/>
    <w:rsid w:val="00E85268"/>
    <w:rsid w:val="00E85415"/>
    <w:rsid w:val="00E85C09"/>
    <w:rsid w:val="00E85E02"/>
    <w:rsid w:val="00E8666B"/>
    <w:rsid w:val="00E87385"/>
    <w:rsid w:val="00E87C4A"/>
    <w:rsid w:val="00E908AD"/>
    <w:rsid w:val="00E91398"/>
    <w:rsid w:val="00E9447B"/>
    <w:rsid w:val="00E960EB"/>
    <w:rsid w:val="00E97DE6"/>
    <w:rsid w:val="00EA0AA5"/>
    <w:rsid w:val="00EA109D"/>
    <w:rsid w:val="00EA16B5"/>
    <w:rsid w:val="00EA20A6"/>
    <w:rsid w:val="00EA2A84"/>
    <w:rsid w:val="00EA2BDC"/>
    <w:rsid w:val="00EA2D19"/>
    <w:rsid w:val="00EA316B"/>
    <w:rsid w:val="00EA37CB"/>
    <w:rsid w:val="00EA42F6"/>
    <w:rsid w:val="00EB03B7"/>
    <w:rsid w:val="00EB0F03"/>
    <w:rsid w:val="00EB11D4"/>
    <w:rsid w:val="00EB13FB"/>
    <w:rsid w:val="00EB17CB"/>
    <w:rsid w:val="00EB2C5D"/>
    <w:rsid w:val="00EB2C79"/>
    <w:rsid w:val="00EB33D7"/>
    <w:rsid w:val="00EB3892"/>
    <w:rsid w:val="00EB3DD2"/>
    <w:rsid w:val="00EB7FDB"/>
    <w:rsid w:val="00EC01E4"/>
    <w:rsid w:val="00EC0548"/>
    <w:rsid w:val="00EC0A32"/>
    <w:rsid w:val="00EC263A"/>
    <w:rsid w:val="00EC3FF5"/>
    <w:rsid w:val="00EC40F7"/>
    <w:rsid w:val="00EC474E"/>
    <w:rsid w:val="00EC6491"/>
    <w:rsid w:val="00EC6C6C"/>
    <w:rsid w:val="00EC70F1"/>
    <w:rsid w:val="00EC7B70"/>
    <w:rsid w:val="00ED550E"/>
    <w:rsid w:val="00ED5D34"/>
    <w:rsid w:val="00ED6284"/>
    <w:rsid w:val="00ED62ED"/>
    <w:rsid w:val="00ED63BD"/>
    <w:rsid w:val="00ED6EDF"/>
    <w:rsid w:val="00ED7ABB"/>
    <w:rsid w:val="00ED7E0C"/>
    <w:rsid w:val="00EE0272"/>
    <w:rsid w:val="00EE02E6"/>
    <w:rsid w:val="00EE1E2D"/>
    <w:rsid w:val="00EE28C5"/>
    <w:rsid w:val="00EE4087"/>
    <w:rsid w:val="00EE42ED"/>
    <w:rsid w:val="00EE51C2"/>
    <w:rsid w:val="00EE592D"/>
    <w:rsid w:val="00EE64A9"/>
    <w:rsid w:val="00EE67FE"/>
    <w:rsid w:val="00EE6861"/>
    <w:rsid w:val="00EE6B1B"/>
    <w:rsid w:val="00EE6F8F"/>
    <w:rsid w:val="00EE7953"/>
    <w:rsid w:val="00EF0617"/>
    <w:rsid w:val="00EF1873"/>
    <w:rsid w:val="00EF2A35"/>
    <w:rsid w:val="00EF418E"/>
    <w:rsid w:val="00EF4771"/>
    <w:rsid w:val="00EF4D0A"/>
    <w:rsid w:val="00EF5285"/>
    <w:rsid w:val="00EF5D0C"/>
    <w:rsid w:val="00EF5D9D"/>
    <w:rsid w:val="00EF68D0"/>
    <w:rsid w:val="00EF7ED3"/>
    <w:rsid w:val="00F00096"/>
    <w:rsid w:val="00F0025D"/>
    <w:rsid w:val="00F01847"/>
    <w:rsid w:val="00F02645"/>
    <w:rsid w:val="00F02EB3"/>
    <w:rsid w:val="00F03087"/>
    <w:rsid w:val="00F03772"/>
    <w:rsid w:val="00F04A78"/>
    <w:rsid w:val="00F04BE4"/>
    <w:rsid w:val="00F0742D"/>
    <w:rsid w:val="00F075AD"/>
    <w:rsid w:val="00F075CC"/>
    <w:rsid w:val="00F07853"/>
    <w:rsid w:val="00F07D2A"/>
    <w:rsid w:val="00F111F3"/>
    <w:rsid w:val="00F13195"/>
    <w:rsid w:val="00F13AE7"/>
    <w:rsid w:val="00F14670"/>
    <w:rsid w:val="00F15334"/>
    <w:rsid w:val="00F157B8"/>
    <w:rsid w:val="00F169FA"/>
    <w:rsid w:val="00F17210"/>
    <w:rsid w:val="00F2143F"/>
    <w:rsid w:val="00F21DDE"/>
    <w:rsid w:val="00F21F04"/>
    <w:rsid w:val="00F2273E"/>
    <w:rsid w:val="00F23E23"/>
    <w:rsid w:val="00F242A2"/>
    <w:rsid w:val="00F24B50"/>
    <w:rsid w:val="00F25FC2"/>
    <w:rsid w:val="00F2767A"/>
    <w:rsid w:val="00F27C1E"/>
    <w:rsid w:val="00F27CB4"/>
    <w:rsid w:val="00F27FA0"/>
    <w:rsid w:val="00F31547"/>
    <w:rsid w:val="00F31A97"/>
    <w:rsid w:val="00F3231A"/>
    <w:rsid w:val="00F32D78"/>
    <w:rsid w:val="00F3308B"/>
    <w:rsid w:val="00F33A51"/>
    <w:rsid w:val="00F33D16"/>
    <w:rsid w:val="00F33D35"/>
    <w:rsid w:val="00F34B0F"/>
    <w:rsid w:val="00F34F15"/>
    <w:rsid w:val="00F3556B"/>
    <w:rsid w:val="00F370CB"/>
    <w:rsid w:val="00F37220"/>
    <w:rsid w:val="00F3743E"/>
    <w:rsid w:val="00F37904"/>
    <w:rsid w:val="00F37C33"/>
    <w:rsid w:val="00F40E5A"/>
    <w:rsid w:val="00F40F2D"/>
    <w:rsid w:val="00F41AAE"/>
    <w:rsid w:val="00F423F6"/>
    <w:rsid w:val="00F427BF"/>
    <w:rsid w:val="00F4446B"/>
    <w:rsid w:val="00F44E64"/>
    <w:rsid w:val="00F45647"/>
    <w:rsid w:val="00F47DD9"/>
    <w:rsid w:val="00F501C1"/>
    <w:rsid w:val="00F51676"/>
    <w:rsid w:val="00F55EC2"/>
    <w:rsid w:val="00F56140"/>
    <w:rsid w:val="00F5672D"/>
    <w:rsid w:val="00F570E6"/>
    <w:rsid w:val="00F576C7"/>
    <w:rsid w:val="00F60E13"/>
    <w:rsid w:val="00F62431"/>
    <w:rsid w:val="00F62DAB"/>
    <w:rsid w:val="00F642E4"/>
    <w:rsid w:val="00F6452E"/>
    <w:rsid w:val="00F65647"/>
    <w:rsid w:val="00F6628F"/>
    <w:rsid w:val="00F66B8A"/>
    <w:rsid w:val="00F6713B"/>
    <w:rsid w:val="00F6739E"/>
    <w:rsid w:val="00F67BA9"/>
    <w:rsid w:val="00F709E5"/>
    <w:rsid w:val="00F71B4A"/>
    <w:rsid w:val="00F76110"/>
    <w:rsid w:val="00F761DD"/>
    <w:rsid w:val="00F76439"/>
    <w:rsid w:val="00F808F1"/>
    <w:rsid w:val="00F80AB4"/>
    <w:rsid w:val="00F80B4B"/>
    <w:rsid w:val="00F81547"/>
    <w:rsid w:val="00F82791"/>
    <w:rsid w:val="00F82E8F"/>
    <w:rsid w:val="00F833A7"/>
    <w:rsid w:val="00F8389D"/>
    <w:rsid w:val="00F847CB"/>
    <w:rsid w:val="00F84DB2"/>
    <w:rsid w:val="00F852BD"/>
    <w:rsid w:val="00F85304"/>
    <w:rsid w:val="00F85D98"/>
    <w:rsid w:val="00F86DB7"/>
    <w:rsid w:val="00F87231"/>
    <w:rsid w:val="00F921EE"/>
    <w:rsid w:val="00F9252F"/>
    <w:rsid w:val="00F926D7"/>
    <w:rsid w:val="00F93389"/>
    <w:rsid w:val="00F94A0F"/>
    <w:rsid w:val="00F95E08"/>
    <w:rsid w:val="00F96154"/>
    <w:rsid w:val="00F96165"/>
    <w:rsid w:val="00F97FC2"/>
    <w:rsid w:val="00FA0228"/>
    <w:rsid w:val="00FA02E4"/>
    <w:rsid w:val="00FA0679"/>
    <w:rsid w:val="00FA19D1"/>
    <w:rsid w:val="00FA24F1"/>
    <w:rsid w:val="00FA3FB3"/>
    <w:rsid w:val="00FA589C"/>
    <w:rsid w:val="00FB112E"/>
    <w:rsid w:val="00FB1391"/>
    <w:rsid w:val="00FB14BA"/>
    <w:rsid w:val="00FB2419"/>
    <w:rsid w:val="00FB27BF"/>
    <w:rsid w:val="00FB39D9"/>
    <w:rsid w:val="00FB3CE8"/>
    <w:rsid w:val="00FB407D"/>
    <w:rsid w:val="00FB4A7C"/>
    <w:rsid w:val="00FB5A0F"/>
    <w:rsid w:val="00FB62D5"/>
    <w:rsid w:val="00FB79EC"/>
    <w:rsid w:val="00FB7F6D"/>
    <w:rsid w:val="00FC1153"/>
    <w:rsid w:val="00FC26F6"/>
    <w:rsid w:val="00FC2A44"/>
    <w:rsid w:val="00FC4119"/>
    <w:rsid w:val="00FC4A8F"/>
    <w:rsid w:val="00FC797D"/>
    <w:rsid w:val="00FD16A3"/>
    <w:rsid w:val="00FD2204"/>
    <w:rsid w:val="00FD2A2C"/>
    <w:rsid w:val="00FD34AB"/>
    <w:rsid w:val="00FD3531"/>
    <w:rsid w:val="00FD3B25"/>
    <w:rsid w:val="00FD3DAB"/>
    <w:rsid w:val="00FD40E3"/>
    <w:rsid w:val="00FD4453"/>
    <w:rsid w:val="00FD4626"/>
    <w:rsid w:val="00FD754B"/>
    <w:rsid w:val="00FD7714"/>
    <w:rsid w:val="00FE087A"/>
    <w:rsid w:val="00FE1CB8"/>
    <w:rsid w:val="00FE33B7"/>
    <w:rsid w:val="00FE4096"/>
    <w:rsid w:val="00FE5D00"/>
    <w:rsid w:val="00FE5FD7"/>
    <w:rsid w:val="00FE60F5"/>
    <w:rsid w:val="00FE65DB"/>
    <w:rsid w:val="00FE6832"/>
    <w:rsid w:val="00FE6F51"/>
    <w:rsid w:val="00FF0471"/>
    <w:rsid w:val="00FF06AF"/>
    <w:rsid w:val="00FF1422"/>
    <w:rsid w:val="00FF50CB"/>
    <w:rsid w:val="00FF573B"/>
    <w:rsid w:val="00FF6771"/>
    <w:rsid w:val="00FF7224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5297"/>
    <o:shapelayout v:ext="edit">
      <o:idmap v:ext="edit" data="1"/>
    </o:shapelayout>
  </w:shapeDefaults>
  <w:decimalSymbol w:val="."/>
  <w:listSeparator w:val=";"/>
  <w14:docId w14:val="7AB05FB1"/>
  <w15:docId w15:val="{DB3F9B8F-A798-4BBF-9B79-EF60D66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2C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autoRedefine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4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rsid w:val="00014889"/>
    <w:rPr>
      <w:b/>
    </w:rPr>
  </w:style>
  <w:style w:type="paragraph" w:customStyle="1" w:styleId="Style7">
    <w:name w:val="Style7"/>
    <w:basedOn w:val="Heading4"/>
    <w:autoRedefine/>
    <w:rsid w:val="00014889"/>
    <w:rPr>
      <w:b/>
    </w:rPr>
  </w:style>
  <w:style w:type="paragraph" w:customStyle="1" w:styleId="Style8">
    <w:name w:val="Style8"/>
    <w:basedOn w:val="Heading3"/>
    <w:autoRedefine/>
    <w:rsid w:val="00014889"/>
    <w:rPr>
      <w:i w:val="0"/>
      <w:sz w:val="28"/>
    </w:rPr>
  </w:style>
  <w:style w:type="paragraph" w:customStyle="1" w:styleId="Virsraksts1">
    <w:name w:val="Virsraksts 1"/>
    <w:rsid w:val="00DC1D36"/>
    <w:rPr>
      <w:b/>
      <w:i/>
      <w:sz w:val="24"/>
      <w:szCs w:val="28"/>
    </w:rPr>
  </w:style>
  <w:style w:type="paragraph" w:customStyle="1" w:styleId="Virsraksts2">
    <w:name w:val="Virsraksts 2"/>
    <w:rsid w:val="00DC1D36"/>
    <w:rPr>
      <w:b/>
      <w:i/>
      <w:sz w:val="22"/>
      <w:szCs w:val="28"/>
    </w:rPr>
  </w:style>
  <w:style w:type="paragraph" w:customStyle="1" w:styleId="Virsraksts3">
    <w:name w:val="Virsraksts 3"/>
    <w:basedOn w:val="Heading4"/>
    <w:rsid w:val="00DC1D36"/>
    <w:rPr>
      <w:b/>
    </w:rPr>
  </w:style>
  <w:style w:type="paragraph" w:customStyle="1" w:styleId="Style1">
    <w:name w:val="Style1"/>
    <w:basedOn w:val="Heading2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rsid w:val="005805BC"/>
    <w:rPr>
      <w:bCs/>
      <w:i w:val="0"/>
      <w:iCs/>
    </w:rPr>
  </w:style>
  <w:style w:type="table" w:styleId="TableGrid">
    <w:name w:val="Table Grid"/>
    <w:basedOn w:val="TableNormal"/>
    <w:rsid w:val="00B7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76D85"/>
    <w:pPr>
      <w:spacing w:before="75" w:after="75"/>
    </w:pPr>
  </w:style>
  <w:style w:type="paragraph" w:styleId="Header">
    <w:name w:val="header"/>
    <w:basedOn w:val="Normal"/>
    <w:link w:val="HeaderChar"/>
    <w:rsid w:val="001946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4614"/>
  </w:style>
  <w:style w:type="paragraph" w:styleId="Footer">
    <w:name w:val="footer"/>
    <w:basedOn w:val="Normal"/>
    <w:link w:val="FooterChar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194614"/>
    <w:rPr>
      <w:sz w:val="24"/>
      <w:szCs w:val="24"/>
      <w:lang w:val="lv-LV" w:eastAsia="lv-LV" w:bidi="ar-SA"/>
    </w:rPr>
  </w:style>
  <w:style w:type="paragraph" w:customStyle="1" w:styleId="naisnod">
    <w:name w:val="naisnod"/>
    <w:basedOn w:val="Normal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3B629D"/>
    <w:pPr>
      <w:spacing w:before="75" w:after="75"/>
      <w:ind w:firstLine="375"/>
      <w:jc w:val="both"/>
    </w:pPr>
  </w:style>
  <w:style w:type="paragraph" w:styleId="Subtitle">
    <w:name w:val="Subtitle"/>
    <w:basedOn w:val="Normal"/>
    <w:qFormat/>
    <w:rsid w:val="003B629D"/>
    <w:pPr>
      <w:jc w:val="center"/>
    </w:pPr>
    <w:rPr>
      <w:b/>
      <w:szCs w:val="20"/>
    </w:rPr>
  </w:style>
  <w:style w:type="character" w:customStyle="1" w:styleId="HeaderChar">
    <w:name w:val="Header Char"/>
    <w:link w:val="Header"/>
    <w:semiHidden/>
    <w:locked/>
    <w:rsid w:val="00273F99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2522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94"/>
    <w:rPr>
      <w:lang w:val="lv-LV" w:eastAsia="lv-LV" w:bidi="ar-SA"/>
    </w:rPr>
  </w:style>
  <w:style w:type="paragraph" w:customStyle="1" w:styleId="CharChar7">
    <w:name w:val="Char Char7"/>
    <w:basedOn w:val="Normal"/>
    <w:rsid w:val="003819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14F15"/>
    <w:rPr>
      <w:color w:val="0000FF"/>
      <w:u w:val="single"/>
    </w:rPr>
  </w:style>
  <w:style w:type="paragraph" w:styleId="NormalWeb">
    <w:name w:val="Normal (Web)"/>
    <w:basedOn w:val="Normal"/>
    <w:uiPriority w:val="99"/>
    <w:rsid w:val="00F2273E"/>
    <w:pPr>
      <w:suppressAutoHyphens/>
      <w:spacing w:before="280" w:after="280"/>
    </w:pPr>
    <w:rPr>
      <w:lang w:eastAsia="ar-SA"/>
    </w:rPr>
  </w:style>
  <w:style w:type="character" w:styleId="CommentReference">
    <w:name w:val="annotation reference"/>
    <w:uiPriority w:val="99"/>
    <w:rsid w:val="009811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8113F"/>
    <w:rPr>
      <w:b/>
      <w:bCs/>
    </w:rPr>
  </w:style>
  <w:style w:type="character" w:customStyle="1" w:styleId="CommentSubjectChar">
    <w:name w:val="Comment Subject Char"/>
    <w:link w:val="CommentSubject"/>
    <w:rsid w:val="0098113F"/>
    <w:rPr>
      <w:b/>
      <w:bCs/>
      <w:lang w:val="lv-LV" w:eastAsia="lv-LV" w:bidi="ar-SA"/>
    </w:rPr>
  </w:style>
  <w:style w:type="character" w:styleId="Strong">
    <w:name w:val="Strong"/>
    <w:uiPriority w:val="99"/>
    <w:qFormat/>
    <w:rsid w:val="00827930"/>
    <w:rPr>
      <w:rFonts w:cs="Times New Roman"/>
      <w:b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782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213">
    <w:name w:val="tv213"/>
    <w:basedOn w:val="Normal"/>
    <w:rsid w:val="007F25C7"/>
    <w:pPr>
      <w:spacing w:before="100" w:beforeAutospacing="1" w:after="100" w:afterAutospacing="1"/>
    </w:pPr>
  </w:style>
  <w:style w:type="character" w:styleId="IntenseEmphasis">
    <w:name w:val="Intense Emphasis"/>
    <w:qFormat/>
    <w:rsid w:val="009159E6"/>
    <w:rPr>
      <w:b/>
      <w:bCs/>
      <w:i/>
      <w:iCs/>
      <w:color w:val="4F81BD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single spa"/>
    <w:basedOn w:val="Normal"/>
    <w:link w:val="FootnoteTextChar"/>
    <w:uiPriority w:val="99"/>
    <w:qFormat/>
    <w:rsid w:val="00762A81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single spa Char"/>
    <w:link w:val="FootnoteText"/>
    <w:uiPriority w:val="99"/>
    <w:rsid w:val="00762A81"/>
    <w:rPr>
      <w:lang w:eastAsia="en-US"/>
    </w:rPr>
  </w:style>
  <w:style w:type="character" w:styleId="FootnoteReference">
    <w:name w:val="footnote reference"/>
    <w:aliases w:val="Footnote Reference Number,SUPERS,Footnote symbol,Footnote Refernece,ftref,Footnote Reference Superscript,Vēres atsauce,stylish,BVI fnr,Fußnotenzeichen_Raxen,callout,Odwołanie przypisu,Footnotes refss,Ref,de nota al pie,E,E FNZ"/>
    <w:link w:val="CharCharCharChar"/>
    <w:uiPriority w:val="99"/>
    <w:rsid w:val="00762A81"/>
    <w:rPr>
      <w:rFonts w:ascii="Times New Roman" w:hAnsi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551D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51D6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qFormat/>
    <w:rsid w:val="008000B6"/>
    <w:rPr>
      <w:i/>
      <w:iCs/>
    </w:rPr>
  </w:style>
  <w:style w:type="paragraph" w:styleId="Revision">
    <w:name w:val="Revision"/>
    <w:hidden/>
    <w:uiPriority w:val="99"/>
    <w:semiHidden/>
    <w:rsid w:val="00D4248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61E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61EFE"/>
  </w:style>
  <w:style w:type="character" w:styleId="EndnoteReference">
    <w:name w:val="endnote reference"/>
    <w:basedOn w:val="DefaultParagraphFont"/>
    <w:semiHidden/>
    <w:unhideWhenUsed/>
    <w:rsid w:val="00E61EFE"/>
    <w:rPr>
      <w:vertAlign w:val="superscript"/>
    </w:rPr>
  </w:style>
  <w:style w:type="paragraph" w:styleId="Title">
    <w:name w:val="Title"/>
    <w:basedOn w:val="Normal"/>
    <w:link w:val="TitleChar"/>
    <w:qFormat/>
    <w:rsid w:val="00487B6F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87B6F"/>
    <w:rPr>
      <w:sz w:val="28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87B6F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87B6F"/>
    <w:pPr>
      <w:spacing w:after="160" w:line="240" w:lineRule="exact"/>
      <w:jc w:val="both"/>
      <w:textAlignment w:val="baseline"/>
    </w:pPr>
    <w:rPr>
      <w:sz w:val="20"/>
      <w:szCs w:val="20"/>
      <w:vertAlign w:val="superscript"/>
    </w:rPr>
  </w:style>
  <w:style w:type="paragraph" w:styleId="ListBullet">
    <w:name w:val="List Bullet"/>
    <w:basedOn w:val="Normal"/>
    <w:semiHidden/>
    <w:unhideWhenUsed/>
    <w:rsid w:val="001C0E6E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89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28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Latviete@l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ma.Grafa@lm.gov.l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13191-par-arkartejas-situacijas-izsludinasa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1FB7-1C85-46C3-BCBF-8ED167C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1377</Words>
  <Characters>10115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25. janvāra noteikumos Nr. 75 „Noteikumi par aktīvo nodarbinātības pasākumu un preventīvo bezdarba samazināšanas pasākumu organizēšanas un finansēšanas kārtību un pasākumu īstenotāju izvēles principiem”</vt:lpstr>
    </vt:vector>
  </TitlesOfParts>
  <Company>LM</Company>
  <LinksUpToDate>false</LinksUpToDate>
  <CharactersWithSpaces>11470</CharactersWithSpaces>
  <SharedDoc>false</SharedDoc>
  <HLinks>
    <vt:vector size="12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mailto:Liga.Emule-Konone@lm.gov.lv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http://www.lm.gov.lv/text/2562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25. janvāra noteikumos Nr. 75 „Noteikumi par aktīvo nodarbinātības pasākumu un preventīvo bezdarba samazināšanas pasākumu organizēšanas un finansēšanas kārtību un pasākumu īstenotāju izvēles principiem”</dc:title>
  <dc:subject>Ministru kabineta noteikumu projekta anotācija</dc:subject>
  <dc:creator>Lauma Grafa</dc:creator>
  <cp:keywords>Anotācija</cp:keywords>
  <cp:lastModifiedBy>Ilze Latviete</cp:lastModifiedBy>
  <cp:revision>58</cp:revision>
  <cp:lastPrinted>2020-05-18T07:57:00Z</cp:lastPrinted>
  <dcterms:created xsi:type="dcterms:W3CDTF">2020-04-28T12:45:00Z</dcterms:created>
  <dcterms:modified xsi:type="dcterms:W3CDTF">2020-05-18T08:09:00Z</dcterms:modified>
</cp:coreProperties>
</file>