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D071" w14:textId="77777777" w:rsidR="00875F63" w:rsidRPr="00712B66" w:rsidRDefault="00875F63" w:rsidP="00875F63">
      <w:pPr>
        <w:pStyle w:val="naisnod"/>
        <w:spacing w:before="0" w:after="0"/>
        <w:rPr>
          <w:sz w:val="28"/>
          <w:szCs w:val="28"/>
        </w:rPr>
      </w:pPr>
      <w:bookmarkStart w:id="0" w:name="_GoBack"/>
      <w:bookmarkEnd w:id="0"/>
      <w:r w:rsidRPr="00712B66">
        <w:rPr>
          <w:sz w:val="28"/>
          <w:szCs w:val="28"/>
        </w:rPr>
        <w:t>Izziņa par atzinumos sniegtajiem iebildumiem</w:t>
      </w:r>
    </w:p>
    <w:p w14:paraId="727636A5" w14:textId="77777777" w:rsidR="00875F63" w:rsidRPr="00D36A37" w:rsidRDefault="00875F63" w:rsidP="00875F63">
      <w:pPr>
        <w:pStyle w:val="naisf"/>
        <w:spacing w:before="0" w:after="0"/>
        <w:ind w:firstLine="720"/>
        <w:rPr>
          <w:sz w:val="16"/>
          <w:szCs w:val="16"/>
        </w:rPr>
      </w:pPr>
    </w:p>
    <w:tbl>
      <w:tblPr>
        <w:tblW w:w="5000" w:type="pct"/>
        <w:tblLook w:val="00A0" w:firstRow="1" w:lastRow="0" w:firstColumn="1" w:lastColumn="0" w:noHBand="0" w:noVBand="0"/>
      </w:tblPr>
      <w:tblGrid>
        <w:gridCol w:w="15136"/>
      </w:tblGrid>
      <w:tr w:rsidR="00875F63" w:rsidRPr="00641881" w14:paraId="7EC9A3EE" w14:textId="77777777" w:rsidTr="00D96DE3">
        <w:tc>
          <w:tcPr>
            <w:tcW w:w="5000" w:type="pct"/>
            <w:tcBorders>
              <w:bottom w:val="single" w:sz="6" w:space="0" w:color="000000"/>
            </w:tcBorders>
          </w:tcPr>
          <w:p w14:paraId="3C1B4F9A" w14:textId="131FDF1C" w:rsidR="00875F63" w:rsidRPr="00641881" w:rsidRDefault="00B07ACA" w:rsidP="00B07ACA">
            <w:pPr>
              <w:jc w:val="center"/>
              <w:rPr>
                <w:b/>
                <w:sz w:val="28"/>
                <w:szCs w:val="28"/>
              </w:rPr>
            </w:pPr>
            <w:r>
              <w:rPr>
                <w:b/>
                <w:sz w:val="28"/>
                <w:szCs w:val="28"/>
              </w:rPr>
              <w:t xml:space="preserve">Ministru kabineta noteikumu </w:t>
            </w:r>
            <w:r w:rsidR="00875F63" w:rsidRPr="006D2B0D">
              <w:rPr>
                <w:b/>
                <w:sz w:val="28"/>
                <w:szCs w:val="28"/>
              </w:rPr>
              <w:t xml:space="preserve">projekts </w:t>
            </w:r>
            <w:r w:rsidR="00DB0388">
              <w:rPr>
                <w:b/>
                <w:sz w:val="28"/>
                <w:szCs w:val="28"/>
              </w:rPr>
              <w:t>“</w:t>
            </w:r>
            <w:r w:rsidR="00DB0388">
              <w:rPr>
                <w:b/>
                <w:bCs/>
                <w:sz w:val="28"/>
                <w:szCs w:val="28"/>
              </w:rPr>
              <w:t>Grozījumi Ministru kabineta 2020.gada 23.aprīļa noteikumos Nr.236 “</w:t>
            </w:r>
            <w:r w:rsidR="00DB0388" w:rsidRPr="00402D0A">
              <w:rPr>
                <w:b/>
                <w:bCs/>
                <w:sz w:val="28"/>
                <w:szCs w:val="28"/>
              </w:rPr>
              <w:t xml:space="preserve">Noteikumi par dīkstāves palīdzības pabalstu darba ņēmējiem un </w:t>
            </w:r>
            <w:proofErr w:type="spellStart"/>
            <w:r w:rsidR="00DB0388" w:rsidRPr="00402D0A">
              <w:rPr>
                <w:b/>
                <w:bCs/>
                <w:sz w:val="28"/>
                <w:szCs w:val="28"/>
              </w:rPr>
              <w:t>pašnodarbinātajām</w:t>
            </w:r>
            <w:proofErr w:type="spellEnd"/>
            <w:r w:rsidR="00DB0388" w:rsidRPr="00402D0A">
              <w:rPr>
                <w:b/>
                <w:bCs/>
                <w:sz w:val="28"/>
                <w:szCs w:val="28"/>
              </w:rPr>
              <w:t xml:space="preserve"> personām, kuras </w:t>
            </w:r>
            <w:proofErr w:type="spellStart"/>
            <w:r w:rsidR="00DB0388" w:rsidRPr="00402D0A">
              <w:rPr>
                <w:b/>
                <w:bCs/>
                <w:sz w:val="28"/>
                <w:szCs w:val="28"/>
              </w:rPr>
              <w:t>skārusi</w:t>
            </w:r>
            <w:proofErr w:type="spellEnd"/>
            <w:r w:rsidR="00DB0388" w:rsidRPr="00402D0A">
              <w:rPr>
                <w:b/>
                <w:bCs/>
                <w:sz w:val="28"/>
                <w:szCs w:val="28"/>
              </w:rPr>
              <w:t xml:space="preserve"> Covid-19 izplatība</w:t>
            </w:r>
            <w:r w:rsidRPr="00B07ACA">
              <w:rPr>
                <w:b/>
                <w:sz w:val="28"/>
                <w:szCs w:val="28"/>
              </w:rPr>
              <w:t>”</w:t>
            </w:r>
            <w:r w:rsidR="00875F63">
              <w:rPr>
                <w:b/>
                <w:sz w:val="28"/>
                <w:szCs w:val="28"/>
              </w:rPr>
              <w:t>”</w:t>
            </w:r>
          </w:p>
        </w:tc>
      </w:tr>
    </w:tbl>
    <w:p w14:paraId="18A2CB43" w14:textId="77777777" w:rsidR="00875F63" w:rsidRPr="00712B66" w:rsidRDefault="00875F63" w:rsidP="00875F63">
      <w:pPr>
        <w:pStyle w:val="naisc"/>
        <w:spacing w:before="0" w:after="0"/>
      </w:pPr>
      <w:r w:rsidRPr="00712B66">
        <w:t>(dokumenta veids un nosaukums)</w:t>
      </w:r>
    </w:p>
    <w:p w14:paraId="385C8F19" w14:textId="51144A1F" w:rsidR="00875F63" w:rsidRDefault="00875F63" w:rsidP="00875F63">
      <w:pPr>
        <w:pStyle w:val="naisf"/>
        <w:spacing w:before="0" w:after="0"/>
        <w:ind w:firstLine="720"/>
      </w:pPr>
    </w:p>
    <w:p w14:paraId="623F0F05" w14:textId="77777777" w:rsidR="00B07ACA" w:rsidRPr="00B07ACA" w:rsidRDefault="00B07ACA" w:rsidP="00B07ACA">
      <w:pPr>
        <w:jc w:val="both"/>
        <w:rPr>
          <w:b/>
        </w:rPr>
      </w:pPr>
    </w:p>
    <w:p w14:paraId="28302C21" w14:textId="77777777" w:rsidR="00B07ACA" w:rsidRPr="00B07ACA" w:rsidRDefault="00B07ACA" w:rsidP="00B07ACA">
      <w:pPr>
        <w:jc w:val="both"/>
        <w:rPr>
          <w:b/>
        </w:rPr>
      </w:pPr>
      <w:r w:rsidRPr="00B07ACA">
        <w:rPr>
          <w:b/>
        </w:rPr>
        <w:t xml:space="preserve">Informācija par </w:t>
      </w:r>
      <w:proofErr w:type="spellStart"/>
      <w:r w:rsidRPr="00B07ACA">
        <w:rPr>
          <w:b/>
        </w:rPr>
        <w:t>starpministriju</w:t>
      </w:r>
      <w:proofErr w:type="spellEnd"/>
      <w:r w:rsidRPr="00B07ACA">
        <w:rPr>
          <w:b/>
        </w:rPr>
        <w:t xml:space="preserve"> (starpinstitūciju) sanāksmi vai elektronisko saskaņošanu:</w:t>
      </w:r>
    </w:p>
    <w:p w14:paraId="5B19A463" w14:textId="77777777" w:rsidR="00B07ACA" w:rsidRPr="00B07ACA" w:rsidRDefault="00B07ACA" w:rsidP="00B07ACA">
      <w:pPr>
        <w:jc w:val="both"/>
        <w:rPr>
          <w:b/>
        </w:rPr>
      </w:pPr>
    </w:p>
    <w:p w14:paraId="01C43EDD" w14:textId="77777777" w:rsidR="00B07ACA" w:rsidRPr="00B07ACA" w:rsidRDefault="00B07ACA" w:rsidP="00B07ACA">
      <w:pPr>
        <w:jc w:val="both"/>
        <w:rPr>
          <w:b/>
        </w:rPr>
      </w:pPr>
    </w:p>
    <w:p w14:paraId="60AC500B" w14:textId="77777777" w:rsidR="00B07ACA" w:rsidRPr="00B07ACA" w:rsidRDefault="00B07ACA" w:rsidP="00B07ACA">
      <w:pPr>
        <w:jc w:val="both"/>
        <w:rPr>
          <w:b/>
          <w:color w:val="FF0000"/>
        </w:rPr>
      </w:pPr>
    </w:p>
    <w:tbl>
      <w:tblPr>
        <w:tblW w:w="5001" w:type="pct"/>
        <w:tblLook w:val="00A0" w:firstRow="1" w:lastRow="0" w:firstColumn="1" w:lastColumn="0" w:noHBand="0" w:noVBand="0"/>
      </w:tblPr>
      <w:tblGrid>
        <w:gridCol w:w="3182"/>
        <w:gridCol w:w="11957"/>
      </w:tblGrid>
      <w:tr w:rsidR="00B07ACA" w:rsidRPr="00B07ACA" w14:paraId="19F1BF54" w14:textId="77777777" w:rsidTr="00851699">
        <w:tc>
          <w:tcPr>
            <w:tcW w:w="1051" w:type="pct"/>
          </w:tcPr>
          <w:p w14:paraId="4D8792D6" w14:textId="77777777" w:rsidR="00B07ACA" w:rsidRPr="00B07ACA" w:rsidRDefault="00B07ACA" w:rsidP="00B07ACA">
            <w:pPr>
              <w:jc w:val="both"/>
            </w:pPr>
            <w:r w:rsidRPr="00B07ACA">
              <w:t>Datums</w:t>
            </w:r>
          </w:p>
        </w:tc>
        <w:tc>
          <w:tcPr>
            <w:tcW w:w="3949" w:type="pct"/>
            <w:tcBorders>
              <w:bottom w:val="single" w:sz="4" w:space="0" w:color="auto"/>
            </w:tcBorders>
          </w:tcPr>
          <w:p w14:paraId="07927DD3" w14:textId="6ADD7F18" w:rsidR="00B07ACA" w:rsidRPr="00B07ACA" w:rsidRDefault="00B07ACA" w:rsidP="00B07ACA">
            <w:r w:rsidRPr="00B07ACA">
              <w:t>20</w:t>
            </w:r>
            <w:r>
              <w:t>20</w:t>
            </w:r>
            <w:r w:rsidRPr="00B07ACA">
              <w:t xml:space="preserve">. gada </w:t>
            </w:r>
            <w:r w:rsidR="00DB0388">
              <w:t>14.maijā</w:t>
            </w:r>
          </w:p>
        </w:tc>
      </w:tr>
      <w:tr w:rsidR="00B07ACA" w:rsidRPr="00B07ACA" w14:paraId="32FC369A" w14:textId="77777777" w:rsidTr="00851699">
        <w:tc>
          <w:tcPr>
            <w:tcW w:w="1051" w:type="pct"/>
          </w:tcPr>
          <w:p w14:paraId="6A45AB6A" w14:textId="77777777" w:rsidR="00B07ACA" w:rsidRPr="00B07ACA" w:rsidRDefault="00B07ACA" w:rsidP="00B07ACA">
            <w:pPr>
              <w:jc w:val="both"/>
            </w:pPr>
          </w:p>
        </w:tc>
        <w:tc>
          <w:tcPr>
            <w:tcW w:w="3949" w:type="pct"/>
            <w:tcBorders>
              <w:top w:val="single" w:sz="4" w:space="0" w:color="auto"/>
            </w:tcBorders>
          </w:tcPr>
          <w:p w14:paraId="0DCE00AA" w14:textId="77777777" w:rsidR="00B07ACA" w:rsidRPr="00B07ACA" w:rsidRDefault="00B07ACA" w:rsidP="00B07ACA">
            <w:pPr>
              <w:ind w:firstLine="720"/>
            </w:pPr>
          </w:p>
        </w:tc>
      </w:tr>
      <w:tr w:rsidR="00B07ACA" w:rsidRPr="00B07ACA" w14:paraId="0D28271F" w14:textId="77777777" w:rsidTr="00851699">
        <w:tc>
          <w:tcPr>
            <w:tcW w:w="1051" w:type="pct"/>
          </w:tcPr>
          <w:p w14:paraId="10C7784E" w14:textId="77777777" w:rsidR="00B07ACA" w:rsidRPr="00B07ACA" w:rsidRDefault="00B07ACA" w:rsidP="00B07ACA">
            <w:r w:rsidRPr="00B07ACA">
              <w:t>Saskaņošanas dalībnieki</w:t>
            </w:r>
          </w:p>
        </w:tc>
        <w:tc>
          <w:tcPr>
            <w:tcW w:w="3949" w:type="pct"/>
          </w:tcPr>
          <w:p w14:paraId="4F5F1151" w14:textId="63F4A028" w:rsidR="00B07ACA" w:rsidRPr="00B07ACA" w:rsidRDefault="00B07ACA" w:rsidP="00B07ACA">
            <w:pPr>
              <w:autoSpaceDE w:val="0"/>
              <w:autoSpaceDN w:val="0"/>
              <w:adjustRightInd w:val="0"/>
              <w:jc w:val="both"/>
              <w:rPr>
                <w:color w:val="000000"/>
              </w:rPr>
            </w:pPr>
            <w:r w:rsidRPr="00B07ACA">
              <w:t xml:space="preserve">Tieslietu ministrija, Finanšu ministrija, </w:t>
            </w:r>
            <w:r w:rsidR="00DB0388">
              <w:t xml:space="preserve">Kultūras ministrija un Ekonomikas ministrija </w:t>
            </w:r>
          </w:p>
        </w:tc>
      </w:tr>
      <w:tr w:rsidR="00B07ACA" w:rsidRPr="00B07ACA" w14:paraId="16C090DC" w14:textId="77777777" w:rsidTr="00851699">
        <w:trPr>
          <w:gridAfter w:val="1"/>
          <w:wAfter w:w="3949" w:type="pct"/>
        </w:trPr>
        <w:tc>
          <w:tcPr>
            <w:tcW w:w="1051" w:type="pct"/>
          </w:tcPr>
          <w:p w14:paraId="587189CE" w14:textId="77777777" w:rsidR="00B07ACA" w:rsidRPr="00B07ACA" w:rsidRDefault="00B07ACA" w:rsidP="00B07ACA"/>
        </w:tc>
      </w:tr>
      <w:tr w:rsidR="00B07ACA" w:rsidRPr="00B07ACA" w14:paraId="28060BF7" w14:textId="77777777" w:rsidTr="00851699">
        <w:trPr>
          <w:trHeight w:val="285"/>
        </w:trPr>
        <w:tc>
          <w:tcPr>
            <w:tcW w:w="1051" w:type="pct"/>
          </w:tcPr>
          <w:p w14:paraId="74820669" w14:textId="77777777" w:rsidR="00B07ACA" w:rsidRPr="00B07ACA" w:rsidRDefault="00B07ACA" w:rsidP="00B07ACA">
            <w:r w:rsidRPr="00B07ACA">
              <w:t>Saskaņošanas dalībnieki izskatīja šādu ministriju (citu institūciju) iebildumus</w:t>
            </w:r>
          </w:p>
        </w:tc>
        <w:tc>
          <w:tcPr>
            <w:tcW w:w="3949" w:type="pct"/>
            <w:tcBorders>
              <w:bottom w:val="single" w:sz="4" w:space="0" w:color="auto"/>
            </w:tcBorders>
          </w:tcPr>
          <w:p w14:paraId="3B3CD6B7" w14:textId="3A16B133" w:rsidR="00B07ACA" w:rsidRPr="00B07ACA" w:rsidRDefault="00B07ACA" w:rsidP="00B07ACA">
            <w:pPr>
              <w:ind w:firstLine="12"/>
            </w:pPr>
            <w:r w:rsidRPr="00B07ACA">
              <w:t>Finanšu ministrijas</w:t>
            </w:r>
          </w:p>
        </w:tc>
      </w:tr>
      <w:tr w:rsidR="00B07ACA" w:rsidRPr="00B07ACA" w14:paraId="09A955E3" w14:textId="77777777" w:rsidTr="00851699">
        <w:trPr>
          <w:trHeight w:val="285"/>
        </w:trPr>
        <w:tc>
          <w:tcPr>
            <w:tcW w:w="1051" w:type="pct"/>
          </w:tcPr>
          <w:p w14:paraId="0B05C246" w14:textId="77777777" w:rsidR="00B07ACA" w:rsidRPr="00B07ACA" w:rsidRDefault="00B07ACA" w:rsidP="00B07ACA"/>
        </w:tc>
        <w:tc>
          <w:tcPr>
            <w:tcW w:w="3949" w:type="pct"/>
            <w:tcBorders>
              <w:top w:val="single" w:sz="4" w:space="0" w:color="auto"/>
            </w:tcBorders>
          </w:tcPr>
          <w:p w14:paraId="76FAAC1A" w14:textId="77777777" w:rsidR="00B07ACA" w:rsidRPr="00B07ACA" w:rsidRDefault="00B07ACA" w:rsidP="00B07ACA">
            <w:pPr>
              <w:ind w:firstLine="12"/>
            </w:pPr>
          </w:p>
        </w:tc>
      </w:tr>
      <w:tr w:rsidR="00B07ACA" w:rsidRPr="00B07ACA" w14:paraId="709A951D" w14:textId="77777777" w:rsidTr="00851699">
        <w:trPr>
          <w:trHeight w:val="465"/>
        </w:trPr>
        <w:tc>
          <w:tcPr>
            <w:tcW w:w="5000" w:type="pct"/>
            <w:gridSpan w:val="2"/>
          </w:tcPr>
          <w:p w14:paraId="4050A36E" w14:textId="77777777" w:rsidR="00B07ACA" w:rsidRPr="00B07ACA" w:rsidRDefault="00B07ACA" w:rsidP="00B07ACA">
            <w:pPr>
              <w:ind w:left="4820" w:firstLine="720"/>
              <w:jc w:val="center"/>
            </w:pPr>
          </w:p>
        </w:tc>
      </w:tr>
      <w:tr w:rsidR="00B07ACA" w:rsidRPr="00B07ACA" w14:paraId="5E42CA0E" w14:textId="77777777" w:rsidTr="00851699">
        <w:tc>
          <w:tcPr>
            <w:tcW w:w="1051" w:type="pct"/>
          </w:tcPr>
          <w:p w14:paraId="755777C9" w14:textId="77777777" w:rsidR="00B07ACA" w:rsidRPr="00B07ACA" w:rsidRDefault="00B07ACA" w:rsidP="00B07ACA">
            <w:r w:rsidRPr="00B07ACA">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379B5CC5" w14:textId="77777777" w:rsidR="00B07ACA" w:rsidRPr="00B07ACA" w:rsidRDefault="00B07ACA" w:rsidP="00B07ACA"/>
        </w:tc>
      </w:tr>
    </w:tbl>
    <w:p w14:paraId="126C6526" w14:textId="434E68C8" w:rsidR="00B07ACA" w:rsidRDefault="00B07ACA" w:rsidP="00875F63">
      <w:pPr>
        <w:pStyle w:val="naisf"/>
        <w:spacing w:before="0" w:after="0"/>
        <w:ind w:firstLine="720"/>
      </w:pPr>
    </w:p>
    <w:p w14:paraId="3215C563" w14:textId="77777777" w:rsidR="00E10115" w:rsidRDefault="00E10115" w:rsidP="00B07ACA">
      <w:pPr>
        <w:ind w:firstLine="375"/>
        <w:jc w:val="center"/>
        <w:rPr>
          <w:b/>
        </w:rPr>
      </w:pPr>
    </w:p>
    <w:p w14:paraId="6F7AFEFD" w14:textId="77777777" w:rsidR="00E10115" w:rsidRDefault="00E10115" w:rsidP="00B07ACA">
      <w:pPr>
        <w:ind w:firstLine="375"/>
        <w:jc w:val="center"/>
        <w:rPr>
          <w:b/>
        </w:rPr>
      </w:pPr>
    </w:p>
    <w:p w14:paraId="67A9C61D" w14:textId="0842386A" w:rsidR="00B07ACA" w:rsidRPr="00B07ACA" w:rsidRDefault="00B07ACA" w:rsidP="00B07ACA">
      <w:pPr>
        <w:ind w:firstLine="375"/>
        <w:jc w:val="center"/>
        <w:rPr>
          <w:b/>
        </w:rPr>
      </w:pPr>
      <w:r w:rsidRPr="00B07ACA">
        <w:rPr>
          <w:b/>
        </w:rPr>
        <w:t>I Jautājumi, par kuriem saskaņošanā vienošanās nav panākta</w:t>
      </w:r>
    </w:p>
    <w:p w14:paraId="77223799" w14:textId="73AFCEB9" w:rsidR="00DB0388" w:rsidRDefault="00DB0388" w:rsidP="00B07ACA">
      <w:pPr>
        <w:ind w:firstLine="375"/>
        <w:jc w:val="center"/>
        <w:rPr>
          <w:b/>
        </w:rPr>
      </w:pPr>
    </w:p>
    <w:p w14:paraId="3A9A7E2D" w14:textId="77777777" w:rsidR="00B07ACA" w:rsidRPr="00DB0388" w:rsidRDefault="00B07ACA" w:rsidP="00DB0388">
      <w:pPr>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3073"/>
        <w:gridCol w:w="4676"/>
        <w:gridCol w:w="3363"/>
        <w:gridCol w:w="3336"/>
      </w:tblGrid>
      <w:tr w:rsidR="00B07ACA" w:rsidRPr="00B07ACA" w14:paraId="68C33D2B" w14:textId="77777777" w:rsidTr="00851699">
        <w:tc>
          <w:tcPr>
            <w:tcW w:w="223" w:type="pct"/>
            <w:tcBorders>
              <w:top w:val="single" w:sz="6" w:space="0" w:color="000000"/>
              <w:left w:val="single" w:sz="6" w:space="0" w:color="000000"/>
              <w:bottom w:val="single" w:sz="6" w:space="0" w:color="000000"/>
              <w:right w:val="single" w:sz="6" w:space="0" w:color="000000"/>
            </w:tcBorders>
            <w:vAlign w:val="center"/>
          </w:tcPr>
          <w:p w14:paraId="76BBEC74" w14:textId="77777777" w:rsidR="00B07ACA" w:rsidRPr="00B07ACA" w:rsidRDefault="00B07ACA" w:rsidP="00B07ACA">
            <w:pPr>
              <w:jc w:val="center"/>
            </w:pPr>
            <w:r w:rsidRPr="00B07ACA">
              <w:lastRenderedPageBreak/>
              <w:t>Nr. p.k.</w:t>
            </w:r>
          </w:p>
        </w:tc>
        <w:tc>
          <w:tcPr>
            <w:tcW w:w="1016" w:type="pct"/>
            <w:tcBorders>
              <w:top w:val="single" w:sz="6" w:space="0" w:color="000000"/>
              <w:left w:val="single" w:sz="6" w:space="0" w:color="000000"/>
              <w:bottom w:val="single" w:sz="6" w:space="0" w:color="000000"/>
              <w:right w:val="single" w:sz="6" w:space="0" w:color="000000"/>
            </w:tcBorders>
            <w:vAlign w:val="center"/>
          </w:tcPr>
          <w:p w14:paraId="226B125B" w14:textId="77777777" w:rsidR="00B07ACA" w:rsidRPr="00B07ACA" w:rsidRDefault="00B07ACA" w:rsidP="00B07ACA">
            <w:pPr>
              <w:ind w:firstLine="12"/>
              <w:jc w:val="center"/>
            </w:pPr>
            <w:r w:rsidRPr="00B07ACA">
              <w:t>Saskaņošanai nosūtītā projekta redakcija (konkrēta punkta (panta) redakcija)</w:t>
            </w:r>
          </w:p>
        </w:tc>
        <w:tc>
          <w:tcPr>
            <w:tcW w:w="1546" w:type="pct"/>
            <w:tcBorders>
              <w:top w:val="single" w:sz="6" w:space="0" w:color="000000"/>
              <w:left w:val="single" w:sz="6" w:space="0" w:color="000000"/>
              <w:bottom w:val="single" w:sz="6" w:space="0" w:color="000000"/>
              <w:right w:val="single" w:sz="6" w:space="0" w:color="000000"/>
            </w:tcBorders>
            <w:vAlign w:val="center"/>
          </w:tcPr>
          <w:p w14:paraId="00ABFC69" w14:textId="77777777" w:rsidR="00B07ACA" w:rsidRPr="00B07ACA" w:rsidRDefault="00B07ACA" w:rsidP="00B07ACA">
            <w:pPr>
              <w:ind w:right="3"/>
              <w:jc w:val="center"/>
            </w:pPr>
            <w:r w:rsidRPr="00B07ACA">
              <w:t>Atzinumā norādītais ministrijas (citas institūcijas) iebildums, kā arī saskaņošanā papildus izteiktais iebildums par projekta konkrēto punktu (pantu)</w:t>
            </w:r>
          </w:p>
        </w:tc>
        <w:tc>
          <w:tcPr>
            <w:tcW w:w="1112" w:type="pct"/>
            <w:tcBorders>
              <w:top w:val="single" w:sz="6" w:space="0" w:color="000000"/>
              <w:left w:val="single" w:sz="6" w:space="0" w:color="000000"/>
              <w:bottom w:val="single" w:sz="6" w:space="0" w:color="000000"/>
              <w:right w:val="single" w:sz="6" w:space="0" w:color="000000"/>
            </w:tcBorders>
            <w:vAlign w:val="center"/>
          </w:tcPr>
          <w:p w14:paraId="60FF0955" w14:textId="77777777" w:rsidR="00B07ACA" w:rsidRPr="00B07ACA" w:rsidRDefault="00B07ACA" w:rsidP="00B07ACA">
            <w:pPr>
              <w:ind w:firstLine="21"/>
              <w:jc w:val="center"/>
            </w:pPr>
            <w:r w:rsidRPr="00B07ACA">
              <w:t>Atbildīgās ministrijas norāde par to, ka iebildums ir ņemts vērā, vai informācija par saskaņošanā panākto alternatīvo risinājumu</w:t>
            </w:r>
          </w:p>
        </w:tc>
        <w:tc>
          <w:tcPr>
            <w:tcW w:w="1103" w:type="pct"/>
            <w:tcBorders>
              <w:top w:val="single" w:sz="4" w:space="0" w:color="auto"/>
              <w:left w:val="single" w:sz="4" w:space="0" w:color="auto"/>
              <w:bottom w:val="single" w:sz="4" w:space="0" w:color="auto"/>
            </w:tcBorders>
            <w:vAlign w:val="center"/>
          </w:tcPr>
          <w:p w14:paraId="3315DCC5" w14:textId="77777777" w:rsidR="00B07ACA" w:rsidRPr="00B07ACA" w:rsidRDefault="00B07ACA" w:rsidP="00B07ACA">
            <w:pPr>
              <w:jc w:val="center"/>
            </w:pPr>
            <w:r w:rsidRPr="00B07ACA">
              <w:t>Projekta attiecīgā punkta (panta) galīgā redakcija</w:t>
            </w:r>
          </w:p>
        </w:tc>
      </w:tr>
      <w:tr w:rsidR="00B07ACA" w:rsidRPr="00B07ACA" w14:paraId="47CB480E" w14:textId="77777777" w:rsidTr="00851699">
        <w:tc>
          <w:tcPr>
            <w:tcW w:w="223" w:type="pct"/>
            <w:tcBorders>
              <w:top w:val="single" w:sz="6" w:space="0" w:color="000000"/>
              <w:left w:val="single" w:sz="6" w:space="0" w:color="000000"/>
              <w:bottom w:val="single" w:sz="6" w:space="0" w:color="000000"/>
              <w:right w:val="single" w:sz="6" w:space="0" w:color="000000"/>
            </w:tcBorders>
          </w:tcPr>
          <w:p w14:paraId="250E7F07" w14:textId="77777777" w:rsidR="00B07ACA" w:rsidRPr="00B07ACA" w:rsidRDefault="00B07ACA" w:rsidP="00B07ACA">
            <w:pPr>
              <w:jc w:val="center"/>
            </w:pPr>
            <w:r w:rsidRPr="00B07ACA">
              <w:t>1</w:t>
            </w:r>
          </w:p>
        </w:tc>
        <w:tc>
          <w:tcPr>
            <w:tcW w:w="1016" w:type="pct"/>
            <w:tcBorders>
              <w:top w:val="single" w:sz="6" w:space="0" w:color="000000"/>
              <w:left w:val="single" w:sz="6" w:space="0" w:color="000000"/>
              <w:bottom w:val="single" w:sz="6" w:space="0" w:color="000000"/>
              <w:right w:val="single" w:sz="6" w:space="0" w:color="000000"/>
            </w:tcBorders>
          </w:tcPr>
          <w:p w14:paraId="382BF24E" w14:textId="77777777" w:rsidR="00B07ACA" w:rsidRPr="00B07ACA" w:rsidRDefault="00B07ACA" w:rsidP="00B07ACA">
            <w:pPr>
              <w:ind w:firstLine="720"/>
              <w:jc w:val="center"/>
            </w:pPr>
            <w:r w:rsidRPr="00B07ACA">
              <w:t>2</w:t>
            </w:r>
          </w:p>
        </w:tc>
        <w:tc>
          <w:tcPr>
            <w:tcW w:w="1546" w:type="pct"/>
            <w:tcBorders>
              <w:top w:val="single" w:sz="6" w:space="0" w:color="000000"/>
              <w:left w:val="single" w:sz="6" w:space="0" w:color="000000"/>
              <w:bottom w:val="single" w:sz="6" w:space="0" w:color="000000"/>
              <w:right w:val="single" w:sz="6" w:space="0" w:color="000000"/>
            </w:tcBorders>
          </w:tcPr>
          <w:p w14:paraId="08FB6E1C" w14:textId="77777777" w:rsidR="00B07ACA" w:rsidRPr="00B07ACA" w:rsidRDefault="00B07ACA" w:rsidP="00B07ACA">
            <w:pPr>
              <w:ind w:firstLine="720"/>
              <w:jc w:val="center"/>
            </w:pPr>
            <w:r w:rsidRPr="00B07ACA">
              <w:t>3</w:t>
            </w:r>
          </w:p>
        </w:tc>
        <w:tc>
          <w:tcPr>
            <w:tcW w:w="1112" w:type="pct"/>
            <w:tcBorders>
              <w:top w:val="single" w:sz="6" w:space="0" w:color="000000"/>
              <w:left w:val="single" w:sz="6" w:space="0" w:color="000000"/>
              <w:bottom w:val="single" w:sz="6" w:space="0" w:color="000000"/>
              <w:right w:val="single" w:sz="6" w:space="0" w:color="000000"/>
            </w:tcBorders>
          </w:tcPr>
          <w:p w14:paraId="30BBDE7F" w14:textId="77777777" w:rsidR="00B07ACA" w:rsidRPr="00B07ACA" w:rsidRDefault="00B07ACA" w:rsidP="00B07ACA">
            <w:pPr>
              <w:ind w:firstLine="720"/>
              <w:jc w:val="center"/>
            </w:pPr>
            <w:r w:rsidRPr="00B07ACA">
              <w:t>4</w:t>
            </w:r>
          </w:p>
        </w:tc>
        <w:tc>
          <w:tcPr>
            <w:tcW w:w="1103" w:type="pct"/>
            <w:tcBorders>
              <w:top w:val="single" w:sz="4" w:space="0" w:color="auto"/>
              <w:left w:val="single" w:sz="4" w:space="0" w:color="auto"/>
              <w:bottom w:val="single" w:sz="4" w:space="0" w:color="auto"/>
            </w:tcBorders>
          </w:tcPr>
          <w:p w14:paraId="32537C10" w14:textId="77777777" w:rsidR="00B07ACA" w:rsidRPr="00B07ACA" w:rsidRDefault="00B07ACA" w:rsidP="00B07ACA">
            <w:pPr>
              <w:jc w:val="center"/>
            </w:pPr>
            <w:r w:rsidRPr="00B07ACA">
              <w:t>5</w:t>
            </w:r>
          </w:p>
        </w:tc>
      </w:tr>
      <w:tr w:rsidR="00B07ACA" w:rsidRPr="00B07ACA" w14:paraId="20962422" w14:textId="77777777" w:rsidTr="00851699">
        <w:trPr>
          <w:trHeight w:val="562"/>
        </w:trPr>
        <w:tc>
          <w:tcPr>
            <w:tcW w:w="5000" w:type="pct"/>
            <w:gridSpan w:val="5"/>
            <w:tcBorders>
              <w:left w:val="single" w:sz="6" w:space="0" w:color="000000"/>
            </w:tcBorders>
          </w:tcPr>
          <w:p w14:paraId="5C981D8C" w14:textId="77777777" w:rsidR="00B07ACA" w:rsidRPr="00B07ACA" w:rsidRDefault="00B07ACA" w:rsidP="00B07ACA">
            <w:pPr>
              <w:jc w:val="center"/>
            </w:pPr>
          </w:p>
          <w:p w14:paraId="52B2633E" w14:textId="77777777" w:rsidR="00B07ACA" w:rsidRPr="00B07ACA" w:rsidRDefault="00B07ACA" w:rsidP="00B07ACA">
            <w:pPr>
              <w:jc w:val="center"/>
            </w:pPr>
            <w:r w:rsidRPr="00B07ACA">
              <w:t>Nav attiecināms</w:t>
            </w:r>
          </w:p>
        </w:tc>
      </w:tr>
    </w:tbl>
    <w:p w14:paraId="32169780" w14:textId="77777777" w:rsidR="00B07ACA" w:rsidRDefault="00B07ACA" w:rsidP="00875F63">
      <w:pPr>
        <w:pStyle w:val="naisf"/>
        <w:spacing w:before="0" w:after="0"/>
        <w:ind w:firstLine="720"/>
      </w:pPr>
    </w:p>
    <w:p w14:paraId="07DD5263" w14:textId="50AE5C0F" w:rsidR="00B07ACA" w:rsidRDefault="00B07ACA" w:rsidP="00875F63">
      <w:pPr>
        <w:pStyle w:val="naisf"/>
        <w:spacing w:before="0" w:after="0"/>
        <w:ind w:firstLine="720"/>
      </w:pPr>
    </w:p>
    <w:p w14:paraId="4C0E78DA" w14:textId="77777777" w:rsidR="00B07ACA" w:rsidRDefault="00B07ACA" w:rsidP="00875F63">
      <w:pPr>
        <w:pStyle w:val="naisf"/>
        <w:spacing w:before="0" w:after="0"/>
        <w:ind w:firstLine="720"/>
      </w:pPr>
    </w:p>
    <w:p w14:paraId="51EA900B" w14:textId="77777777" w:rsidR="00875F63" w:rsidRPr="00712B66" w:rsidRDefault="00875F63" w:rsidP="00875F6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2EA4C74B" w14:textId="77777777" w:rsidR="00875F63" w:rsidRPr="00712B66" w:rsidRDefault="00875F63" w:rsidP="00875F63">
      <w:pPr>
        <w:pStyle w:val="naisf"/>
        <w:spacing w:before="0" w:after="0"/>
        <w:ind w:firstLine="72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467"/>
        <w:gridCol w:w="2510"/>
        <w:gridCol w:w="3173"/>
        <w:gridCol w:w="3212"/>
        <w:gridCol w:w="3185"/>
      </w:tblGrid>
      <w:tr w:rsidR="00875F63" w:rsidRPr="00712B66" w14:paraId="142A9EF9" w14:textId="77777777" w:rsidTr="00DB0388">
        <w:tc>
          <w:tcPr>
            <w:tcW w:w="190" w:type="pct"/>
            <w:tcBorders>
              <w:top w:val="single" w:sz="6" w:space="0" w:color="000000"/>
              <w:left w:val="single" w:sz="6" w:space="0" w:color="000000"/>
              <w:bottom w:val="single" w:sz="6" w:space="0" w:color="000000"/>
              <w:right w:val="single" w:sz="6" w:space="0" w:color="000000"/>
            </w:tcBorders>
            <w:vAlign w:val="center"/>
          </w:tcPr>
          <w:p w14:paraId="027E6529" w14:textId="77777777" w:rsidR="00875F63" w:rsidRPr="00712B66" w:rsidRDefault="00875F63" w:rsidP="00DB0388">
            <w:pPr>
              <w:pStyle w:val="naisc"/>
              <w:spacing w:before="0" w:after="0"/>
            </w:pPr>
            <w:r w:rsidRPr="00712B66">
              <w:t>Nr. p.k.</w:t>
            </w:r>
          </w:p>
        </w:tc>
        <w:tc>
          <w:tcPr>
            <w:tcW w:w="816" w:type="pct"/>
            <w:tcBorders>
              <w:top w:val="single" w:sz="6" w:space="0" w:color="000000"/>
              <w:left w:val="single" w:sz="6" w:space="0" w:color="000000"/>
              <w:bottom w:val="single" w:sz="6" w:space="0" w:color="000000"/>
              <w:right w:val="single" w:sz="6" w:space="0" w:color="000000"/>
            </w:tcBorders>
            <w:vAlign w:val="center"/>
          </w:tcPr>
          <w:p w14:paraId="45FB925D" w14:textId="77777777" w:rsidR="00875F63" w:rsidRPr="00712B66" w:rsidRDefault="00875F63" w:rsidP="00DB0388">
            <w:pPr>
              <w:pStyle w:val="naisc"/>
              <w:spacing w:before="0" w:after="0"/>
              <w:ind w:firstLine="12"/>
            </w:pPr>
            <w:r w:rsidRPr="00712B66">
              <w:t>Saskaņošanai nosūtītā projekta redakcija (konkrēta punkta (panta) redakcija)</w:t>
            </w:r>
          </w:p>
        </w:tc>
        <w:tc>
          <w:tcPr>
            <w:tcW w:w="1879" w:type="pct"/>
            <w:gridSpan w:val="2"/>
            <w:tcBorders>
              <w:top w:val="single" w:sz="6" w:space="0" w:color="000000"/>
              <w:left w:val="single" w:sz="6" w:space="0" w:color="000000"/>
              <w:bottom w:val="single" w:sz="6" w:space="0" w:color="000000"/>
              <w:right w:val="single" w:sz="6" w:space="0" w:color="000000"/>
            </w:tcBorders>
            <w:vAlign w:val="center"/>
          </w:tcPr>
          <w:p w14:paraId="5F2AC3AA" w14:textId="77777777" w:rsidR="00875F63" w:rsidRPr="00712B66" w:rsidRDefault="00875F63" w:rsidP="00DB0388">
            <w:pPr>
              <w:pStyle w:val="naisc"/>
              <w:spacing w:before="0" w:after="0"/>
              <w:ind w:right="3"/>
            </w:pPr>
            <w:r w:rsidRPr="00712B66">
              <w:t>Atzinumā norādītais ministrijas (citas institūcijas) iebildums, kā arī saskaņošanā papildus izteiktais iebildums par projekta konkrēto punktu (pantu)</w:t>
            </w:r>
          </w:p>
        </w:tc>
        <w:tc>
          <w:tcPr>
            <w:tcW w:w="1062" w:type="pct"/>
            <w:tcBorders>
              <w:top w:val="single" w:sz="6" w:space="0" w:color="000000"/>
              <w:left w:val="single" w:sz="6" w:space="0" w:color="000000"/>
              <w:bottom w:val="single" w:sz="6" w:space="0" w:color="000000"/>
              <w:right w:val="single" w:sz="6" w:space="0" w:color="000000"/>
            </w:tcBorders>
            <w:vAlign w:val="center"/>
          </w:tcPr>
          <w:p w14:paraId="06A1455A" w14:textId="77777777" w:rsidR="00875F63" w:rsidRPr="00712B66" w:rsidRDefault="00875F63" w:rsidP="00DB0388">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1053" w:type="pct"/>
            <w:tcBorders>
              <w:top w:val="single" w:sz="4" w:space="0" w:color="auto"/>
              <w:left w:val="single" w:sz="4" w:space="0" w:color="auto"/>
              <w:bottom w:val="single" w:sz="4" w:space="0" w:color="auto"/>
            </w:tcBorders>
            <w:vAlign w:val="center"/>
          </w:tcPr>
          <w:p w14:paraId="73EE3315" w14:textId="77777777" w:rsidR="00875F63" w:rsidRPr="00712B66" w:rsidRDefault="00875F63" w:rsidP="00DB0388">
            <w:pPr>
              <w:jc w:val="center"/>
            </w:pPr>
            <w:r w:rsidRPr="00712B66">
              <w:t>Projekta attiecīgā punkta (panta) galīgā redakcija</w:t>
            </w:r>
          </w:p>
        </w:tc>
      </w:tr>
      <w:tr w:rsidR="00875F63" w:rsidRPr="003B71E0" w14:paraId="75E1A25B" w14:textId="77777777" w:rsidTr="00DB0388">
        <w:tc>
          <w:tcPr>
            <w:tcW w:w="190" w:type="pct"/>
            <w:tcBorders>
              <w:top w:val="single" w:sz="6" w:space="0" w:color="000000"/>
              <w:left w:val="single" w:sz="6" w:space="0" w:color="000000"/>
              <w:bottom w:val="single" w:sz="6" w:space="0" w:color="000000"/>
              <w:right w:val="single" w:sz="6" w:space="0" w:color="000000"/>
            </w:tcBorders>
          </w:tcPr>
          <w:p w14:paraId="42217120" w14:textId="77777777" w:rsidR="00875F63" w:rsidRPr="003B71E0" w:rsidRDefault="00875F63" w:rsidP="00DB0388">
            <w:pPr>
              <w:pStyle w:val="naisc"/>
              <w:spacing w:before="0" w:after="0"/>
              <w:rPr>
                <w:sz w:val="20"/>
                <w:szCs w:val="20"/>
              </w:rPr>
            </w:pPr>
            <w:r w:rsidRPr="003B71E0">
              <w:rPr>
                <w:sz w:val="20"/>
                <w:szCs w:val="20"/>
              </w:rPr>
              <w:t>1</w:t>
            </w:r>
          </w:p>
        </w:tc>
        <w:tc>
          <w:tcPr>
            <w:tcW w:w="816" w:type="pct"/>
            <w:tcBorders>
              <w:top w:val="single" w:sz="6" w:space="0" w:color="000000"/>
              <w:left w:val="single" w:sz="6" w:space="0" w:color="000000"/>
              <w:bottom w:val="single" w:sz="6" w:space="0" w:color="000000"/>
              <w:right w:val="single" w:sz="6" w:space="0" w:color="000000"/>
            </w:tcBorders>
          </w:tcPr>
          <w:p w14:paraId="17FDBB15" w14:textId="77777777" w:rsidR="00875F63" w:rsidRPr="003B71E0" w:rsidRDefault="00875F63" w:rsidP="00DB0388">
            <w:pPr>
              <w:pStyle w:val="naisc"/>
              <w:spacing w:before="0" w:after="0"/>
              <w:ind w:firstLine="720"/>
              <w:rPr>
                <w:sz w:val="20"/>
                <w:szCs w:val="20"/>
              </w:rPr>
            </w:pPr>
            <w:r>
              <w:rPr>
                <w:sz w:val="20"/>
                <w:szCs w:val="20"/>
              </w:rPr>
              <w:t>2</w:t>
            </w:r>
          </w:p>
        </w:tc>
        <w:tc>
          <w:tcPr>
            <w:tcW w:w="1879" w:type="pct"/>
            <w:gridSpan w:val="2"/>
            <w:tcBorders>
              <w:top w:val="single" w:sz="6" w:space="0" w:color="000000"/>
              <w:left w:val="single" w:sz="6" w:space="0" w:color="000000"/>
              <w:bottom w:val="single" w:sz="6" w:space="0" w:color="000000"/>
              <w:right w:val="single" w:sz="6" w:space="0" w:color="000000"/>
            </w:tcBorders>
          </w:tcPr>
          <w:p w14:paraId="7BFEE207" w14:textId="77777777" w:rsidR="00875F63" w:rsidRPr="003B71E0" w:rsidRDefault="00875F63" w:rsidP="00DB0388">
            <w:pPr>
              <w:pStyle w:val="naisc"/>
              <w:spacing w:before="0" w:after="0"/>
              <w:ind w:firstLine="720"/>
              <w:rPr>
                <w:sz w:val="20"/>
                <w:szCs w:val="20"/>
              </w:rPr>
            </w:pPr>
            <w:r w:rsidRPr="003B71E0">
              <w:rPr>
                <w:sz w:val="20"/>
                <w:szCs w:val="20"/>
              </w:rPr>
              <w:t>3</w:t>
            </w:r>
          </w:p>
        </w:tc>
        <w:tc>
          <w:tcPr>
            <w:tcW w:w="1062" w:type="pct"/>
            <w:tcBorders>
              <w:top w:val="single" w:sz="6" w:space="0" w:color="000000"/>
              <w:left w:val="single" w:sz="6" w:space="0" w:color="000000"/>
              <w:bottom w:val="single" w:sz="6" w:space="0" w:color="000000"/>
              <w:right w:val="single" w:sz="6" w:space="0" w:color="000000"/>
            </w:tcBorders>
          </w:tcPr>
          <w:p w14:paraId="7C3218BB" w14:textId="77777777" w:rsidR="00875F63" w:rsidRPr="003B71E0" w:rsidRDefault="00875F63" w:rsidP="00DB0388">
            <w:pPr>
              <w:pStyle w:val="naisc"/>
              <w:spacing w:before="0" w:after="0"/>
              <w:ind w:firstLine="720"/>
              <w:rPr>
                <w:sz w:val="20"/>
                <w:szCs w:val="20"/>
              </w:rPr>
            </w:pPr>
            <w:r w:rsidRPr="003B71E0">
              <w:rPr>
                <w:sz w:val="20"/>
                <w:szCs w:val="20"/>
              </w:rPr>
              <w:t>4</w:t>
            </w:r>
          </w:p>
        </w:tc>
        <w:tc>
          <w:tcPr>
            <w:tcW w:w="1053" w:type="pct"/>
            <w:tcBorders>
              <w:top w:val="single" w:sz="4" w:space="0" w:color="auto"/>
              <w:left w:val="single" w:sz="4" w:space="0" w:color="auto"/>
              <w:bottom w:val="single" w:sz="4" w:space="0" w:color="auto"/>
            </w:tcBorders>
          </w:tcPr>
          <w:p w14:paraId="28EBB73F" w14:textId="77777777" w:rsidR="00875F63" w:rsidRPr="003B71E0" w:rsidRDefault="00875F63" w:rsidP="00DB0388">
            <w:pPr>
              <w:jc w:val="center"/>
              <w:rPr>
                <w:sz w:val="20"/>
                <w:szCs w:val="20"/>
              </w:rPr>
            </w:pPr>
            <w:r w:rsidRPr="003B71E0">
              <w:rPr>
                <w:sz w:val="20"/>
                <w:szCs w:val="20"/>
              </w:rPr>
              <w:t>5</w:t>
            </w:r>
          </w:p>
        </w:tc>
      </w:tr>
      <w:tr w:rsidR="00875F63" w:rsidRPr="001E4006" w14:paraId="21AF4858" w14:textId="77777777" w:rsidTr="00DB0388">
        <w:tc>
          <w:tcPr>
            <w:tcW w:w="5000" w:type="pct"/>
            <w:gridSpan w:val="6"/>
            <w:tcBorders>
              <w:left w:val="single" w:sz="6" w:space="0" w:color="000000"/>
              <w:bottom w:val="single" w:sz="4" w:space="0" w:color="auto"/>
            </w:tcBorders>
          </w:tcPr>
          <w:p w14:paraId="6C1E7F48" w14:textId="77777777" w:rsidR="00875F63" w:rsidRDefault="00875F63" w:rsidP="00DB0388">
            <w:pPr>
              <w:spacing w:before="80" w:after="80"/>
              <w:jc w:val="center"/>
              <w:rPr>
                <w:b/>
              </w:rPr>
            </w:pPr>
          </w:p>
          <w:p w14:paraId="6905E1AB" w14:textId="5EBBF21C" w:rsidR="00875F63" w:rsidRPr="001E4006" w:rsidRDefault="007F70F6" w:rsidP="00DB0388">
            <w:pPr>
              <w:spacing w:before="80" w:after="80"/>
              <w:jc w:val="center"/>
              <w:rPr>
                <w:b/>
              </w:rPr>
            </w:pPr>
            <w:r>
              <w:rPr>
                <w:b/>
              </w:rPr>
              <w:t>Finanšu</w:t>
            </w:r>
            <w:r w:rsidR="00875F63" w:rsidRPr="001E4006">
              <w:rPr>
                <w:b/>
              </w:rPr>
              <w:t xml:space="preserve"> ministrija</w:t>
            </w:r>
          </w:p>
        </w:tc>
      </w:tr>
      <w:tr w:rsidR="00875F63" w:rsidRPr="002F0BF1" w14:paraId="534D8E79" w14:textId="77777777" w:rsidTr="00DB0388">
        <w:tc>
          <w:tcPr>
            <w:tcW w:w="190" w:type="pct"/>
            <w:tcBorders>
              <w:left w:val="single" w:sz="6" w:space="0" w:color="000000"/>
              <w:bottom w:val="single" w:sz="4" w:space="0" w:color="auto"/>
              <w:right w:val="single" w:sz="6" w:space="0" w:color="000000"/>
            </w:tcBorders>
          </w:tcPr>
          <w:p w14:paraId="5C772F09" w14:textId="77777777" w:rsidR="00875F63" w:rsidRDefault="00875F63" w:rsidP="00DB0388">
            <w:pPr>
              <w:pStyle w:val="naisc"/>
              <w:spacing w:before="60" w:after="0"/>
            </w:pPr>
            <w:r>
              <w:t>1.</w:t>
            </w:r>
          </w:p>
        </w:tc>
        <w:tc>
          <w:tcPr>
            <w:tcW w:w="816" w:type="pct"/>
            <w:tcBorders>
              <w:left w:val="single" w:sz="6" w:space="0" w:color="000000"/>
              <w:bottom w:val="single" w:sz="4" w:space="0" w:color="auto"/>
              <w:right w:val="single" w:sz="6" w:space="0" w:color="000000"/>
            </w:tcBorders>
          </w:tcPr>
          <w:p w14:paraId="635448A7" w14:textId="533D652F" w:rsidR="00875F63" w:rsidRPr="00F0547C" w:rsidRDefault="00875F63" w:rsidP="00DB0388">
            <w:pPr>
              <w:pStyle w:val="naisc"/>
              <w:spacing w:before="0" w:after="0"/>
              <w:jc w:val="both"/>
            </w:pPr>
            <w:r w:rsidRPr="00F0547C">
              <w:t xml:space="preserve">Skat. </w:t>
            </w:r>
            <w:r w:rsidR="00E10115">
              <w:t xml:space="preserve">noteikumu </w:t>
            </w:r>
            <w:r w:rsidR="005C14EF">
              <w:t>projekt</w:t>
            </w:r>
            <w:r w:rsidR="00E10115">
              <w:t>u</w:t>
            </w:r>
            <w:r w:rsidR="0096181F">
              <w:t>.</w:t>
            </w:r>
          </w:p>
          <w:p w14:paraId="33742D73" w14:textId="77777777" w:rsidR="00875F63" w:rsidRPr="00F0547C" w:rsidRDefault="00875F63" w:rsidP="00DB0388">
            <w:pPr>
              <w:pStyle w:val="naisc"/>
              <w:spacing w:before="60" w:after="0"/>
              <w:jc w:val="both"/>
            </w:pPr>
          </w:p>
        </w:tc>
        <w:tc>
          <w:tcPr>
            <w:tcW w:w="1879" w:type="pct"/>
            <w:gridSpan w:val="2"/>
            <w:tcBorders>
              <w:left w:val="single" w:sz="6" w:space="0" w:color="000000"/>
              <w:bottom w:val="single" w:sz="4" w:space="0" w:color="auto"/>
              <w:right w:val="single" w:sz="6" w:space="0" w:color="000000"/>
            </w:tcBorders>
          </w:tcPr>
          <w:p w14:paraId="0EBAA991" w14:textId="53492661" w:rsidR="00DB0388" w:rsidRPr="00DB0388" w:rsidRDefault="00DB0388" w:rsidP="00DB0388">
            <w:pPr>
              <w:jc w:val="both"/>
              <w:rPr>
                <w:szCs w:val="20"/>
                <w:lang w:eastAsia="en-US"/>
              </w:rPr>
            </w:pPr>
            <w:r w:rsidRPr="00DB0388">
              <w:rPr>
                <w:szCs w:val="20"/>
                <w:lang w:eastAsia="en-US"/>
              </w:rPr>
              <w:t xml:space="preserve">Saskaņā ar noteikumu projekta 1.punktā ietverto grozījumu paredzēts, ka turpmāk tiesības uz dīkstāves palīdzības pabalstu būs arī </w:t>
            </w:r>
            <w:proofErr w:type="spellStart"/>
            <w:r w:rsidRPr="00DB0388">
              <w:rPr>
                <w:szCs w:val="20"/>
                <w:lang w:eastAsia="en-US"/>
              </w:rPr>
              <w:t>pašnodarbinātajai</w:t>
            </w:r>
            <w:proofErr w:type="spellEnd"/>
            <w:r w:rsidRPr="00DB0388">
              <w:rPr>
                <w:szCs w:val="20"/>
                <w:lang w:eastAsia="en-US"/>
              </w:rPr>
              <w:t xml:space="preserve"> personai, kurai Valsts ieņēmumu dienests ir atteicis piešķirt dīkstāves pabalstu, jo izpildās kritēriji, kas noteikti Ministru kabineta 2020.gada 31.marta noteikumu Nr.179 "Noteikumi par dīkstāves pabalstu </w:t>
            </w:r>
            <w:proofErr w:type="spellStart"/>
            <w:r w:rsidRPr="00DB0388">
              <w:rPr>
                <w:szCs w:val="20"/>
                <w:lang w:eastAsia="en-US"/>
              </w:rPr>
              <w:t>pašnodarbinātām</w:t>
            </w:r>
            <w:proofErr w:type="spellEnd"/>
            <w:r w:rsidRPr="00DB0388">
              <w:rPr>
                <w:szCs w:val="20"/>
                <w:lang w:eastAsia="en-US"/>
              </w:rPr>
              <w:t xml:space="preserve"> personām, kuras </w:t>
            </w:r>
            <w:proofErr w:type="spellStart"/>
            <w:r w:rsidRPr="00DB0388">
              <w:rPr>
                <w:szCs w:val="20"/>
                <w:lang w:eastAsia="en-US"/>
              </w:rPr>
              <w:t>skārusi</w:t>
            </w:r>
            <w:proofErr w:type="spellEnd"/>
            <w:r w:rsidRPr="00DB0388">
              <w:rPr>
                <w:szCs w:val="20"/>
                <w:lang w:eastAsia="en-US"/>
              </w:rPr>
              <w:t xml:space="preserve"> Covid-19 izplatība" (turpmāk – Noteikumi Nr.179) 10.punktā.</w:t>
            </w:r>
          </w:p>
          <w:p w14:paraId="2A07CCDC" w14:textId="77777777" w:rsidR="00DB0388" w:rsidRPr="00DB0388" w:rsidRDefault="00DB0388" w:rsidP="00DB0388">
            <w:pPr>
              <w:ind w:firstLine="720"/>
              <w:jc w:val="both"/>
              <w:rPr>
                <w:szCs w:val="20"/>
                <w:lang w:eastAsia="en-US"/>
              </w:rPr>
            </w:pPr>
            <w:r w:rsidRPr="00DB0388">
              <w:rPr>
                <w:szCs w:val="20"/>
                <w:lang w:eastAsia="en-US"/>
              </w:rPr>
              <w:lastRenderedPageBreak/>
              <w:t xml:space="preserve">Ja salīdzina noteikumu projekta 1.punktā norādītos izņēmumus, kad </w:t>
            </w:r>
            <w:proofErr w:type="spellStart"/>
            <w:r w:rsidRPr="00DB0388">
              <w:rPr>
                <w:szCs w:val="20"/>
                <w:lang w:eastAsia="en-US"/>
              </w:rPr>
              <w:t>pašnodarbinātajai</w:t>
            </w:r>
            <w:proofErr w:type="spellEnd"/>
            <w:r w:rsidRPr="00DB0388">
              <w:rPr>
                <w:szCs w:val="20"/>
                <w:lang w:eastAsia="en-US"/>
              </w:rPr>
              <w:t xml:space="preserve"> personai nav tiesības uz dīkstāves palīdzības pabalstu, ar Noteikumu Nr.179 10.punktā noteiktajiem kritērijiem dīkstāves pabalsta nepiešķiršanai, secināms, ka dīkstāves palīdzības pabalsts </w:t>
            </w:r>
            <w:proofErr w:type="spellStart"/>
            <w:r w:rsidRPr="00DB0388">
              <w:rPr>
                <w:szCs w:val="20"/>
                <w:lang w:eastAsia="en-US"/>
              </w:rPr>
              <w:t>pašnodarbinātai</w:t>
            </w:r>
            <w:proofErr w:type="spellEnd"/>
            <w:r w:rsidRPr="00DB0388">
              <w:rPr>
                <w:szCs w:val="20"/>
                <w:lang w:eastAsia="en-US"/>
              </w:rPr>
              <w:t xml:space="preserve"> personai netiks piešķirts šādos gadījumos</w:t>
            </w:r>
            <w:r w:rsidRPr="00DB0388">
              <w:rPr>
                <w:szCs w:val="20"/>
                <w:shd w:val="clear" w:color="auto" w:fill="FFFFFF"/>
                <w:lang w:eastAsia="en-US"/>
              </w:rPr>
              <w:t>:</w:t>
            </w:r>
          </w:p>
          <w:p w14:paraId="084ADBB5" w14:textId="77777777" w:rsidR="00DB0388" w:rsidRPr="00DB0388" w:rsidRDefault="00DB0388" w:rsidP="00DB0388">
            <w:pPr>
              <w:ind w:firstLine="720"/>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shd w:val="clear" w:color="auto" w:fill="FFFFFF"/>
              </w:rPr>
              <w:t>pašnodarbinātā</w:t>
            </w:r>
            <w:proofErr w:type="spellEnd"/>
            <w:r w:rsidRPr="00DB0388">
              <w:rPr>
                <w:rFonts w:eastAsia="Calibri"/>
                <w:shd w:val="clear" w:color="auto" w:fill="FFFFFF"/>
              </w:rPr>
              <w:t xml:space="preserve"> persona saimniecisko darbību ir reģistrējusi pēc 2020.gada 1.marta;</w:t>
            </w:r>
          </w:p>
          <w:p w14:paraId="3ADB62AE" w14:textId="77777777" w:rsidR="00DB0388" w:rsidRPr="00DB0388" w:rsidRDefault="00DB0388" w:rsidP="00DB0388">
            <w:pPr>
              <w:ind w:firstLine="720"/>
              <w:jc w:val="both"/>
              <w:rPr>
                <w:rFonts w:eastAsia="Calibri"/>
              </w:rPr>
            </w:pPr>
            <w:r w:rsidRPr="00DB0388">
              <w:rPr>
                <w:rFonts w:eastAsia="Calibri"/>
              </w:rPr>
              <w:t>Minētais izņēmuma nosacījums ir Noteikumu Nr.179 10.7.apakšpunktā ietvertais kritērijs, kuru atbalstām kā nosacījumu dīkstāves palīdzības pabalsta nepiešķiršanai;</w:t>
            </w:r>
          </w:p>
          <w:p w14:paraId="0D658255" w14:textId="77777777" w:rsidR="00DB0388" w:rsidRPr="00DB0388" w:rsidRDefault="00DB0388" w:rsidP="00DB0388">
            <w:pPr>
              <w:ind w:firstLine="709"/>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rPr>
              <w:t>pašnodarbinātā</w:t>
            </w:r>
            <w:proofErr w:type="spellEnd"/>
            <w:r w:rsidRPr="00DB0388">
              <w:rPr>
                <w:rFonts w:eastAsia="Calibri"/>
              </w:rPr>
              <w:t xml:space="preserve"> persona vienlaikus ir guvusi ienākumus, kas nav saistīti ar saimniecisko darbību;</w:t>
            </w:r>
          </w:p>
          <w:p w14:paraId="0A45B78C" w14:textId="77777777" w:rsidR="00DB0388" w:rsidRPr="00DB0388" w:rsidRDefault="00DB0388" w:rsidP="00DB0388">
            <w:pPr>
              <w:ind w:firstLine="720"/>
              <w:jc w:val="both"/>
              <w:rPr>
                <w:rFonts w:eastAsia="Calibri"/>
              </w:rPr>
            </w:pPr>
            <w:r w:rsidRPr="00DB0388">
              <w:rPr>
                <w:rFonts w:eastAsia="Calibri"/>
              </w:rPr>
              <w:t>Secināms, ka minētie izņēmuma nosacījumi ir šādi Noteikumu Nr.179 10.punktā ietvertie kritēriji, saskaņā ar kuriem dīkstāves pabalsts netiek piešķirts:</w:t>
            </w:r>
          </w:p>
          <w:p w14:paraId="2F9F1FF8" w14:textId="77777777" w:rsidR="00DB0388" w:rsidRPr="00DB0388" w:rsidRDefault="00DB0388" w:rsidP="00DB0388">
            <w:pPr>
              <w:ind w:firstLine="709"/>
              <w:jc w:val="both"/>
              <w:rPr>
                <w:rFonts w:eastAsia="Calibri"/>
              </w:rPr>
            </w:pPr>
            <w:r w:rsidRPr="00DB0388">
              <w:rPr>
                <w:rFonts w:eastAsia="Calibri"/>
              </w:rPr>
              <w:t>1.</w:t>
            </w:r>
            <w:r w:rsidRPr="00DB0388">
              <w:rPr>
                <w:rFonts w:eastAsia="Calibri"/>
                <w:sz w:val="14"/>
                <w:szCs w:val="14"/>
              </w:rPr>
              <w:t xml:space="preserve">      </w:t>
            </w:r>
            <w:proofErr w:type="spellStart"/>
            <w:r w:rsidRPr="00DB0388">
              <w:rPr>
                <w:rFonts w:eastAsia="Calibri"/>
              </w:rPr>
              <w:t>pašnodarbinātām</w:t>
            </w:r>
            <w:proofErr w:type="spellEnd"/>
            <w:r w:rsidRPr="00DB0388">
              <w:rPr>
                <w:rFonts w:eastAsia="Calibri"/>
              </w:rPr>
              <w:t xml:space="preserve"> personām, kuras vienlaikus ir nodarbinātas valsts un pašvaldību budžeta iestādēs, kā arī valsts un pašvaldību kontrolētos komersantos, izņemot </w:t>
            </w:r>
            <w:proofErr w:type="spellStart"/>
            <w:r w:rsidRPr="00DB0388">
              <w:rPr>
                <w:rFonts w:eastAsia="Calibri"/>
              </w:rPr>
              <w:t>pašnodarbinātās</w:t>
            </w:r>
            <w:proofErr w:type="spellEnd"/>
            <w:r w:rsidRPr="00DB0388">
              <w:rPr>
                <w:rFonts w:eastAsia="Calibri"/>
              </w:rPr>
              <w:t xml:space="preserve">  personas, kuras veic pedagoģisko vai radošo darbu un kuru ienākumi no pedagoģiskā vai radošā darba vidēji mēnesī nepārsniedz 2020. gadā valstī noteikto minimālo mēneša darba algu (10.9.apakšpunkts);</w:t>
            </w:r>
          </w:p>
          <w:p w14:paraId="069A4A15" w14:textId="77777777" w:rsidR="00DB0388" w:rsidRPr="00DB0388" w:rsidRDefault="00DB0388" w:rsidP="00DB0388">
            <w:pPr>
              <w:ind w:firstLine="709"/>
              <w:jc w:val="both"/>
              <w:rPr>
                <w:rFonts w:eastAsia="Calibri"/>
              </w:rPr>
            </w:pPr>
            <w:r w:rsidRPr="00DB0388">
              <w:rPr>
                <w:rFonts w:eastAsia="Calibri"/>
              </w:rPr>
              <w:t>2.</w:t>
            </w:r>
            <w:r w:rsidRPr="00DB0388">
              <w:rPr>
                <w:rFonts w:eastAsia="Calibri"/>
                <w:sz w:val="14"/>
                <w:szCs w:val="14"/>
              </w:rPr>
              <w:t xml:space="preserve">      </w:t>
            </w:r>
            <w:proofErr w:type="spellStart"/>
            <w:r w:rsidRPr="00DB0388">
              <w:rPr>
                <w:rFonts w:eastAsia="Calibri"/>
              </w:rPr>
              <w:t>pašnodarbinātām</w:t>
            </w:r>
            <w:proofErr w:type="spellEnd"/>
            <w:r w:rsidRPr="00DB0388">
              <w:rPr>
                <w:rFonts w:eastAsia="Calibri"/>
              </w:rPr>
              <w:t xml:space="preserve"> personām, kuras vienlaikus ir nodarbinātas pie cita darba devēja pilnu darba laiku (10.10.apakšpunkts);</w:t>
            </w:r>
          </w:p>
          <w:p w14:paraId="6818CB10" w14:textId="77777777" w:rsidR="00DB0388" w:rsidRPr="00DB0388" w:rsidRDefault="00DB0388" w:rsidP="00DB0388">
            <w:pPr>
              <w:ind w:firstLine="709"/>
              <w:jc w:val="both"/>
              <w:rPr>
                <w:rFonts w:eastAsia="Calibri"/>
              </w:rPr>
            </w:pPr>
            <w:r w:rsidRPr="00DB0388">
              <w:rPr>
                <w:rFonts w:eastAsia="Calibri"/>
              </w:rPr>
              <w:t>3.</w:t>
            </w:r>
            <w:r w:rsidRPr="00DB0388">
              <w:rPr>
                <w:rFonts w:eastAsia="Calibri"/>
                <w:sz w:val="14"/>
                <w:szCs w:val="14"/>
              </w:rPr>
              <w:t xml:space="preserve">      </w:t>
            </w:r>
            <w:proofErr w:type="spellStart"/>
            <w:r w:rsidRPr="00DB0388">
              <w:rPr>
                <w:rFonts w:eastAsia="Calibri"/>
              </w:rPr>
              <w:t>pašnodarbinātām</w:t>
            </w:r>
            <w:proofErr w:type="spellEnd"/>
            <w:r w:rsidRPr="00DB0388">
              <w:rPr>
                <w:rFonts w:eastAsia="Calibri"/>
              </w:rPr>
              <w:t xml:space="preserve"> personām, kuras saņēmušas dīkstāves pabalstu pie krīzes skarta darba devēja (10.11.apakšpunkts).</w:t>
            </w:r>
          </w:p>
          <w:p w14:paraId="1A3310F0" w14:textId="77777777" w:rsidR="00DB0388" w:rsidRPr="00DB0388" w:rsidRDefault="00DB0388" w:rsidP="00DB0388">
            <w:pPr>
              <w:ind w:firstLine="720"/>
              <w:jc w:val="both"/>
              <w:rPr>
                <w:szCs w:val="20"/>
                <w:lang w:eastAsia="en-US"/>
              </w:rPr>
            </w:pPr>
            <w:r w:rsidRPr="00DB0388">
              <w:rPr>
                <w:szCs w:val="20"/>
                <w:lang w:eastAsia="en-US"/>
              </w:rPr>
              <w:lastRenderedPageBreak/>
              <w:t>Minētos Noteikumu Nr.179 10.9, 10.10. un 10.11.apakšpunktos ietvertos kritērijus atbalstām kā izņēmuma nosacījumus dīkstāves palīdzības pabalsta nepiešķiršanai;</w:t>
            </w:r>
          </w:p>
          <w:p w14:paraId="341D7EC9" w14:textId="77777777" w:rsidR="00DB0388" w:rsidRPr="00DB0388" w:rsidRDefault="00DB0388" w:rsidP="00DB0388">
            <w:pPr>
              <w:ind w:firstLine="709"/>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shd w:val="clear" w:color="auto" w:fill="FFFFFF"/>
              </w:rPr>
              <w:t>pašnodarbinātā</w:t>
            </w:r>
            <w:proofErr w:type="spellEnd"/>
            <w:r w:rsidRPr="00DB0388">
              <w:rPr>
                <w:rFonts w:eastAsia="Calibri"/>
                <w:shd w:val="clear" w:color="auto" w:fill="FFFFFF"/>
              </w:rPr>
              <w:t xml:space="preserve"> persona </w:t>
            </w:r>
            <w:r w:rsidRPr="00DB0388">
              <w:rPr>
                <w:rFonts w:eastAsia="Calibri"/>
              </w:rPr>
              <w:t xml:space="preserve">ir saņēmusi atbalstu Valsts </w:t>
            </w:r>
            <w:proofErr w:type="spellStart"/>
            <w:r w:rsidRPr="00DB0388">
              <w:rPr>
                <w:rFonts w:eastAsia="Calibri"/>
              </w:rPr>
              <w:t>kultūrkapitāla</w:t>
            </w:r>
            <w:proofErr w:type="spellEnd"/>
            <w:r w:rsidRPr="00DB0388">
              <w:rPr>
                <w:rFonts w:eastAsia="Calibri"/>
              </w:rPr>
              <w:t xml:space="preserve"> fonda radošo personu atbalsta, mūža stipendiju vai radošās jaunrades programmu ietvaros;</w:t>
            </w:r>
          </w:p>
          <w:p w14:paraId="6A95B651" w14:textId="77777777" w:rsidR="00DB0388" w:rsidRPr="00DB0388" w:rsidRDefault="00DB0388" w:rsidP="00DB0388">
            <w:pPr>
              <w:ind w:firstLine="720"/>
              <w:jc w:val="both"/>
              <w:rPr>
                <w:szCs w:val="20"/>
                <w:lang w:eastAsia="en-US"/>
              </w:rPr>
            </w:pPr>
            <w:r w:rsidRPr="00DB0388">
              <w:rPr>
                <w:szCs w:val="20"/>
                <w:lang w:eastAsia="en-US"/>
              </w:rPr>
              <w:t>Minētais izņēmuma nosacījums ir Noteikumu Nr.179 10.13.apakšpunktā ietvertais kritērijs, kuru atbalstām kā nosacījumu dīkstāves palīdzības pabalsta nepiešķiršanai;</w:t>
            </w:r>
          </w:p>
          <w:p w14:paraId="0C801E57" w14:textId="77777777" w:rsidR="00DB0388" w:rsidRPr="00DB0388" w:rsidRDefault="00DB0388" w:rsidP="00DB0388">
            <w:pPr>
              <w:ind w:left="1080" w:hanging="360"/>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shd w:val="clear" w:color="auto" w:fill="FFFFFF"/>
              </w:rPr>
              <w:t>pašnodarbinātā</w:t>
            </w:r>
            <w:proofErr w:type="spellEnd"/>
            <w:r w:rsidRPr="00DB0388">
              <w:rPr>
                <w:rFonts w:eastAsia="Calibri"/>
                <w:shd w:val="clear" w:color="auto" w:fill="FFFFFF"/>
              </w:rPr>
              <w:t xml:space="preserve"> persona </w:t>
            </w:r>
            <w:r w:rsidRPr="00DB0388">
              <w:rPr>
                <w:rFonts w:eastAsia="Calibri"/>
              </w:rPr>
              <w:t>ir saņēmusi slimības pabalstu;</w:t>
            </w:r>
          </w:p>
          <w:p w14:paraId="2A18AC13" w14:textId="77777777" w:rsidR="00DB0388" w:rsidRPr="00DB0388" w:rsidRDefault="00DB0388" w:rsidP="00DB0388">
            <w:pPr>
              <w:ind w:firstLine="720"/>
              <w:jc w:val="both"/>
              <w:rPr>
                <w:rFonts w:eastAsia="Calibri"/>
              </w:rPr>
            </w:pPr>
            <w:r w:rsidRPr="00DB0388">
              <w:rPr>
                <w:rFonts w:eastAsia="Calibri"/>
              </w:rPr>
              <w:t>Minētais izņēmuma nosacījums ir Noteikumu Nr.179 10.8.apakšpunktā ietvertais kritērijs, kuru atbalstām kā nosacījumu dīkstāves palīdzības pabalsta nepiešķiršanai;</w:t>
            </w:r>
          </w:p>
          <w:p w14:paraId="0F8E1EC9" w14:textId="77777777" w:rsidR="00DB0388" w:rsidRPr="00DB0388" w:rsidRDefault="00DB0388" w:rsidP="00DB0388">
            <w:pPr>
              <w:ind w:firstLine="709"/>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shd w:val="clear" w:color="auto" w:fill="FFFFFF"/>
              </w:rPr>
              <w:t>pašnodarbinātā</w:t>
            </w:r>
            <w:proofErr w:type="spellEnd"/>
            <w:r w:rsidRPr="00DB0388">
              <w:rPr>
                <w:rFonts w:eastAsia="Calibri"/>
                <w:shd w:val="clear" w:color="auto" w:fill="FFFFFF"/>
              </w:rPr>
              <w:t xml:space="preserve"> persona </w:t>
            </w:r>
            <w:r w:rsidRPr="00DB0388">
              <w:rPr>
                <w:rFonts w:eastAsia="Calibri"/>
              </w:rPr>
              <w:t xml:space="preserve">nav iesniegusi Valsts ieņēmumu dienestam pamatojumu, ka dīkstāve iestājās saistībā ar </w:t>
            </w:r>
            <w:proofErr w:type="spellStart"/>
            <w:r w:rsidRPr="00DB0388">
              <w:rPr>
                <w:rFonts w:eastAsia="Calibri"/>
              </w:rPr>
              <w:t>Covid</w:t>
            </w:r>
            <w:proofErr w:type="spellEnd"/>
            <w:r w:rsidRPr="00DB0388">
              <w:rPr>
                <w:rFonts w:eastAsia="Calibri"/>
              </w:rPr>
              <w:t xml:space="preserve"> -19 izraisīto krīzi.</w:t>
            </w:r>
          </w:p>
          <w:p w14:paraId="5A3FBC3E" w14:textId="77777777" w:rsidR="00DB0388" w:rsidRPr="00DB0388" w:rsidRDefault="00DB0388" w:rsidP="00DB0388">
            <w:pPr>
              <w:ind w:firstLine="720"/>
              <w:jc w:val="both"/>
              <w:rPr>
                <w:szCs w:val="20"/>
                <w:lang w:eastAsia="en-US"/>
              </w:rPr>
            </w:pPr>
            <w:r w:rsidRPr="00DB0388">
              <w:rPr>
                <w:szCs w:val="20"/>
                <w:lang w:eastAsia="en-US"/>
              </w:rPr>
              <w:t xml:space="preserve">Minētais izņēmuma nosacījums ir Noteikumu Nr.179 10.6.apakšpunktā ietvertais kritērijs, kuru atbalstām kā nosacījumu dīkstāves palīdzības pabalsta nepiešķiršanai. Vienlaikus lūdzam ņemt vērā, ka saskaņā ar Noteikumu Nr.179 10.6.apakšpunktu dīkstāves pabalstu nepiešķir arī gadījumos, ja Valsts ieņēmumu dienests, izvērtējot </w:t>
            </w:r>
            <w:proofErr w:type="spellStart"/>
            <w:r w:rsidRPr="00DB0388">
              <w:rPr>
                <w:szCs w:val="20"/>
                <w:lang w:eastAsia="en-US"/>
              </w:rPr>
              <w:t>pašnodarbinātās</w:t>
            </w:r>
            <w:proofErr w:type="spellEnd"/>
            <w:r w:rsidRPr="00DB0388">
              <w:rPr>
                <w:szCs w:val="20"/>
                <w:lang w:eastAsia="en-US"/>
              </w:rPr>
              <w:t xml:space="preserve"> personas iesniegumu, konstatē, ka </w:t>
            </w:r>
            <w:proofErr w:type="spellStart"/>
            <w:r w:rsidRPr="00DB0388">
              <w:rPr>
                <w:szCs w:val="20"/>
                <w:lang w:eastAsia="en-US"/>
              </w:rPr>
              <w:t>pašnodarbinātās</w:t>
            </w:r>
            <w:proofErr w:type="spellEnd"/>
            <w:r w:rsidRPr="00DB0388">
              <w:rPr>
                <w:szCs w:val="20"/>
                <w:lang w:eastAsia="en-US"/>
              </w:rPr>
              <w:t xml:space="preserve"> personas dīkstāves iestāšanās nav saistīta ar krīzes ietekmē radītajiem apstākļiem. </w:t>
            </w:r>
          </w:p>
          <w:p w14:paraId="6893DA1F" w14:textId="328FC6D2" w:rsidR="00DB0388" w:rsidRPr="00DB0388" w:rsidRDefault="00DB0388" w:rsidP="00DB0388">
            <w:pPr>
              <w:ind w:firstLine="720"/>
              <w:jc w:val="both"/>
              <w:rPr>
                <w:szCs w:val="20"/>
                <w:lang w:eastAsia="en-US"/>
              </w:rPr>
            </w:pPr>
            <w:r w:rsidRPr="00DB0388">
              <w:rPr>
                <w:szCs w:val="20"/>
                <w:lang w:eastAsia="en-US"/>
              </w:rPr>
              <w:t xml:space="preserve">Līdz ar to, tā kā noteikumu projekta 1.punktā ietvertā regulējuma redakcija ir veidota, neminot konkrētus Noteikumu Nr.179 10.punkta kritērijus, </w:t>
            </w:r>
            <w:r w:rsidRPr="00DB0388">
              <w:rPr>
                <w:szCs w:val="20"/>
                <w:lang w:eastAsia="en-US"/>
              </w:rPr>
              <w:lastRenderedPageBreak/>
              <w:t>saskaņā ar kuriem Valsts ieņēmumu dienests ir atteicis piešķirt dīkstāves pabalstu un kuri ir noteikti, kā izņēmuma kritēriji dīkstāves palīdzības pabalsta nepiešķiršanai, attiecīgi lūdzam precizēt noteikumu projekta 1.punktu, lai no tā nepārprotami izrietētu, ka dīkstāves palīdzības pabalsts netiek piešķirts ne tikai gadījumos, kad  </w:t>
            </w:r>
            <w:proofErr w:type="spellStart"/>
            <w:r w:rsidRPr="00DB0388">
              <w:rPr>
                <w:szCs w:val="20"/>
                <w:shd w:val="clear" w:color="auto" w:fill="FFFFFF"/>
                <w:lang w:eastAsia="en-US"/>
              </w:rPr>
              <w:t>pašnodarbinātā</w:t>
            </w:r>
            <w:proofErr w:type="spellEnd"/>
            <w:r w:rsidRPr="00DB0388">
              <w:rPr>
                <w:szCs w:val="20"/>
                <w:shd w:val="clear" w:color="auto" w:fill="FFFFFF"/>
                <w:lang w:eastAsia="en-US"/>
              </w:rPr>
              <w:t xml:space="preserve"> persona </w:t>
            </w:r>
            <w:r w:rsidRPr="00DB0388">
              <w:rPr>
                <w:szCs w:val="20"/>
                <w:lang w:eastAsia="en-US"/>
              </w:rPr>
              <w:t xml:space="preserve">nav iesniegusi Valsts ieņēmumu dienestam pamatojumu, ka dīkstāve iestājās saistībā ar </w:t>
            </w:r>
            <w:proofErr w:type="spellStart"/>
            <w:r w:rsidRPr="00DB0388">
              <w:rPr>
                <w:szCs w:val="20"/>
                <w:lang w:eastAsia="en-US"/>
              </w:rPr>
              <w:t>Covid</w:t>
            </w:r>
            <w:proofErr w:type="spellEnd"/>
            <w:r w:rsidRPr="00DB0388">
              <w:rPr>
                <w:szCs w:val="20"/>
                <w:lang w:eastAsia="en-US"/>
              </w:rPr>
              <w:t xml:space="preserve"> -19 izraisīto krīzi, bet arī gadījumos, kad Valsts ieņēmumu dienests, izvērtējot </w:t>
            </w:r>
            <w:proofErr w:type="spellStart"/>
            <w:r w:rsidRPr="00DB0388">
              <w:rPr>
                <w:szCs w:val="20"/>
                <w:lang w:eastAsia="en-US"/>
              </w:rPr>
              <w:t>pašnodarbinātās</w:t>
            </w:r>
            <w:proofErr w:type="spellEnd"/>
            <w:r w:rsidRPr="00DB0388">
              <w:rPr>
                <w:szCs w:val="20"/>
                <w:lang w:eastAsia="en-US"/>
              </w:rPr>
              <w:t xml:space="preserve"> personas iesniegumu, konstatējis, ka </w:t>
            </w:r>
            <w:proofErr w:type="spellStart"/>
            <w:r w:rsidRPr="00DB0388">
              <w:rPr>
                <w:szCs w:val="20"/>
                <w:lang w:eastAsia="en-US"/>
              </w:rPr>
              <w:t>pašnodarbinātās</w:t>
            </w:r>
            <w:proofErr w:type="spellEnd"/>
            <w:r w:rsidRPr="00DB0388">
              <w:rPr>
                <w:szCs w:val="20"/>
                <w:lang w:eastAsia="en-US"/>
              </w:rPr>
              <w:t xml:space="preserve"> personas dīkstāves iestāšanās nav saistīta ar krīzes ietekmē radītajiem apstākļiem (proti, persona ir sniegusi pamatojumu, ka dīkstāve iestājās saistībā ar Covid-19 izraisīto krīzi, bet šo pamatojumu Valsts ieņēmumu dienests nav atzinis par tādu, kas saistīta ar krīzes ietekmē radītiem apstākļiem). </w:t>
            </w:r>
          </w:p>
          <w:p w14:paraId="0B23B839" w14:textId="77777777" w:rsidR="00DB0388" w:rsidRPr="00DB0388" w:rsidRDefault="00DB0388" w:rsidP="00DB0388">
            <w:pPr>
              <w:ind w:firstLine="720"/>
              <w:jc w:val="both"/>
              <w:rPr>
                <w:szCs w:val="20"/>
                <w:lang w:eastAsia="en-US"/>
              </w:rPr>
            </w:pPr>
            <w:r w:rsidRPr="00DB0388">
              <w:rPr>
                <w:szCs w:val="20"/>
                <w:lang w:eastAsia="en-US"/>
              </w:rPr>
              <w:t xml:space="preserve">Ievērojot iepriekš minētos Noteikumu Nr.179 10.punktā minētos kritērijus, kuri ir noteikti kā izņēmuma nosacījumi dīkstāves pabalsta nepiešķiršanai, secināms, ka ar noteikumu projektu tiek paredzēts, ka </w:t>
            </w:r>
            <w:proofErr w:type="spellStart"/>
            <w:r w:rsidRPr="00DB0388">
              <w:rPr>
                <w:szCs w:val="20"/>
                <w:lang w:eastAsia="en-US"/>
              </w:rPr>
              <w:t>pašnodarbinātajai</w:t>
            </w:r>
            <w:proofErr w:type="spellEnd"/>
            <w:r w:rsidRPr="00DB0388">
              <w:rPr>
                <w:szCs w:val="20"/>
                <w:lang w:eastAsia="en-US"/>
              </w:rPr>
              <w:t xml:space="preserve"> personai būs tiesības uz dīkstāves palīdzības pabalstu, ja dīkstāves pabalsts tai ir atteikts saskaņā ar šādiem Noteikumu Nr.179 10.punktā minētajiem neatbilstības kritērijiem:</w:t>
            </w:r>
          </w:p>
          <w:p w14:paraId="745F17D4" w14:textId="77777777" w:rsidR="00DB0388" w:rsidRPr="00DB0388" w:rsidRDefault="00DB0388" w:rsidP="00DB0388">
            <w:pPr>
              <w:ind w:firstLine="720"/>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rPr>
              <w:t>pašnodarbinātā</w:t>
            </w:r>
            <w:proofErr w:type="spellEnd"/>
            <w:r w:rsidRPr="00DB0388">
              <w:rPr>
                <w:rFonts w:eastAsia="Calibri"/>
              </w:rPr>
              <w:t xml:space="preserve"> persona nav iesniegusi Valsts ieņēmumu dienestā visas nodokļu deklarācijas par pēdējo 12 mēnešu periodu pirms ārkārtējās situācijas (10.1.apakšpunkts);</w:t>
            </w:r>
          </w:p>
          <w:p w14:paraId="7F2217E6" w14:textId="77777777" w:rsidR="00DB0388" w:rsidRPr="00DB0388" w:rsidRDefault="00DB0388" w:rsidP="00DB0388">
            <w:pPr>
              <w:ind w:firstLine="720"/>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rPr>
              <w:t>pašnodarbinātajai</w:t>
            </w:r>
            <w:proofErr w:type="spellEnd"/>
            <w:r w:rsidRPr="00DB0388">
              <w:rPr>
                <w:rFonts w:eastAsia="Calibri"/>
              </w:rPr>
              <w:t xml:space="preserve"> personai iesnieguma iesniegšanas brīdī nodokļu parāds ir lielāks par 1 000 </w:t>
            </w:r>
            <w:proofErr w:type="spellStart"/>
            <w:r w:rsidRPr="00DB0388">
              <w:rPr>
                <w:rFonts w:eastAsia="Calibri"/>
                <w:i/>
                <w:iCs/>
              </w:rPr>
              <w:t>euro</w:t>
            </w:r>
            <w:proofErr w:type="spellEnd"/>
            <w:r w:rsidRPr="00DB0388">
              <w:rPr>
                <w:rFonts w:eastAsia="Calibri"/>
              </w:rPr>
              <w:t xml:space="preserve"> un nav piešķirti samaksas termiņa pagarinājumi vai </w:t>
            </w:r>
            <w:r w:rsidRPr="00DB0388">
              <w:rPr>
                <w:rFonts w:eastAsia="Calibri"/>
              </w:rPr>
              <w:lastRenderedPageBreak/>
              <w:t>nav noslēgta vienošanās par labprātīgu nodokļu samaksu, vai nav noslēgts vienošanās līgums (10.2.apakšpunkts);</w:t>
            </w:r>
          </w:p>
          <w:p w14:paraId="59FBC45F" w14:textId="77777777" w:rsidR="00DB0388" w:rsidRPr="00DB0388" w:rsidRDefault="00DB0388" w:rsidP="00DB0388">
            <w:pPr>
              <w:ind w:firstLine="720"/>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rPr>
              <w:t>pašnodarbinātajai</w:t>
            </w:r>
            <w:proofErr w:type="spellEnd"/>
            <w:r w:rsidRPr="00DB0388">
              <w:rPr>
                <w:rFonts w:eastAsia="Calibri"/>
              </w:rPr>
              <w:t xml:space="preserve"> personai lēmuma pieņemšanas dienā ir aktuāls maksātnespējas process (10.3. apakšpunkts);</w:t>
            </w:r>
          </w:p>
          <w:p w14:paraId="2AA9470E" w14:textId="77777777" w:rsidR="00DB0388" w:rsidRPr="00DB0388" w:rsidRDefault="00DB0388" w:rsidP="00DB0388">
            <w:pPr>
              <w:ind w:firstLine="720"/>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rPr>
              <w:t>pašnodarbinātā</w:t>
            </w:r>
            <w:proofErr w:type="spellEnd"/>
            <w:r w:rsidRPr="00DB0388">
              <w:rPr>
                <w:rFonts w:eastAsia="Calibri"/>
              </w:rPr>
              <w:t xml:space="preserve"> persona 2019. gada pēdējo divu ceturkšņu periodā valsts sociālās apdrošināšanas obligātās iemaksas deklarējusi mazāk nekā vidēji 20 </w:t>
            </w:r>
            <w:proofErr w:type="spellStart"/>
            <w:r w:rsidRPr="00DB0388">
              <w:rPr>
                <w:rFonts w:eastAsia="Calibri"/>
                <w:i/>
                <w:iCs/>
              </w:rPr>
              <w:t>euro</w:t>
            </w:r>
            <w:proofErr w:type="spellEnd"/>
            <w:r w:rsidRPr="00DB0388">
              <w:rPr>
                <w:rFonts w:eastAsia="Calibri"/>
              </w:rPr>
              <w:t xml:space="preserve"> apmērā mēnesī (10.4. apakšpunkts);</w:t>
            </w:r>
          </w:p>
          <w:p w14:paraId="3B17B60F" w14:textId="77777777" w:rsidR="00DB0388" w:rsidRPr="00DB0388" w:rsidRDefault="00DB0388" w:rsidP="00DB0388">
            <w:pPr>
              <w:ind w:firstLine="720"/>
              <w:jc w:val="both"/>
              <w:rPr>
                <w:rFonts w:eastAsia="Calibri"/>
              </w:rPr>
            </w:pPr>
            <w:r w:rsidRPr="00DB0388">
              <w:rPr>
                <w:rFonts w:eastAsia="Calibri"/>
              </w:rPr>
              <w:t>·</w:t>
            </w:r>
            <w:r w:rsidRPr="00DB0388">
              <w:rPr>
                <w:rFonts w:eastAsia="Calibri"/>
                <w:sz w:val="14"/>
                <w:szCs w:val="14"/>
              </w:rPr>
              <w:t xml:space="preserve">         </w:t>
            </w:r>
            <w:proofErr w:type="spellStart"/>
            <w:r w:rsidRPr="00DB0388">
              <w:rPr>
                <w:rFonts w:eastAsia="Calibri"/>
              </w:rPr>
              <w:t>pašnodarbinātām</w:t>
            </w:r>
            <w:proofErr w:type="spellEnd"/>
            <w:r w:rsidRPr="00DB0388">
              <w:rPr>
                <w:rFonts w:eastAsia="Calibri"/>
              </w:rPr>
              <w:t xml:space="preserve"> personām, kuras ir patentmaksas maksātāji (10.15.apakšpunkts);</w:t>
            </w:r>
          </w:p>
          <w:p w14:paraId="17B02C5A" w14:textId="77777777" w:rsidR="00DB0388" w:rsidRPr="00DB0388" w:rsidRDefault="00DB0388" w:rsidP="00DB0388">
            <w:pPr>
              <w:ind w:firstLine="720"/>
              <w:jc w:val="both"/>
              <w:rPr>
                <w:rFonts w:eastAsia="Calibri"/>
              </w:rPr>
            </w:pPr>
            <w:r w:rsidRPr="00DB0388">
              <w:rPr>
                <w:rFonts w:eastAsia="Calibri"/>
              </w:rPr>
              <w:t>·</w:t>
            </w:r>
            <w:r w:rsidRPr="00DB0388">
              <w:rPr>
                <w:rFonts w:eastAsia="Calibri"/>
                <w:sz w:val="14"/>
                <w:szCs w:val="14"/>
              </w:rPr>
              <w:t xml:space="preserve">         </w:t>
            </w:r>
            <w:r w:rsidRPr="00DB0388">
              <w:rPr>
                <w:rFonts w:eastAsia="Calibri"/>
              </w:rPr>
              <w:t xml:space="preserve">ja pēdējā gada laikā nodokļu revīzijas (audita) un datu atbilstības izvērtēšanas rezultātā papildus noteiktie maksājumi </w:t>
            </w:r>
            <w:proofErr w:type="spellStart"/>
            <w:r w:rsidRPr="00DB0388">
              <w:rPr>
                <w:rFonts w:eastAsia="Calibri"/>
              </w:rPr>
              <w:t>pašnodarbinātajam</w:t>
            </w:r>
            <w:proofErr w:type="spellEnd"/>
            <w:r w:rsidRPr="00DB0388">
              <w:rPr>
                <w:rFonts w:eastAsia="Calibri"/>
              </w:rPr>
              <w:t xml:space="preserve"> pārsniedz 1500 </w:t>
            </w:r>
            <w:proofErr w:type="spellStart"/>
            <w:r w:rsidRPr="00DB0388">
              <w:rPr>
                <w:rFonts w:eastAsia="Calibri"/>
                <w:i/>
                <w:iCs/>
              </w:rPr>
              <w:t>euro</w:t>
            </w:r>
            <w:proofErr w:type="spellEnd"/>
            <w:r w:rsidRPr="00DB0388">
              <w:rPr>
                <w:rFonts w:eastAsia="Calibri"/>
                <w:i/>
                <w:iCs/>
              </w:rPr>
              <w:t xml:space="preserve"> (</w:t>
            </w:r>
            <w:r w:rsidRPr="00DB0388">
              <w:rPr>
                <w:rFonts w:eastAsia="Calibri"/>
              </w:rPr>
              <w:t>10.16. apakšpunkts);</w:t>
            </w:r>
          </w:p>
          <w:p w14:paraId="5CA2366F" w14:textId="77777777" w:rsidR="00DB0388" w:rsidRPr="00DB0388" w:rsidRDefault="00DB0388" w:rsidP="00DB0388">
            <w:pPr>
              <w:ind w:firstLine="720"/>
              <w:jc w:val="both"/>
              <w:rPr>
                <w:rFonts w:eastAsia="Calibri"/>
              </w:rPr>
            </w:pPr>
            <w:r w:rsidRPr="00DB0388">
              <w:rPr>
                <w:rFonts w:eastAsia="Calibri"/>
              </w:rPr>
              <w:t>·</w:t>
            </w:r>
            <w:r w:rsidRPr="00DB0388">
              <w:rPr>
                <w:rFonts w:eastAsia="Calibri"/>
                <w:sz w:val="14"/>
                <w:szCs w:val="14"/>
              </w:rPr>
              <w:t xml:space="preserve">         </w:t>
            </w:r>
            <w:r w:rsidRPr="00DB0388">
              <w:rPr>
                <w:rFonts w:eastAsia="Calibri"/>
              </w:rPr>
              <w:t xml:space="preserve">ja pēdējā gada laikā nodokļu revīzijas (audita) un datu atbilstības izvērtēšanas rezultātā </w:t>
            </w:r>
            <w:proofErr w:type="spellStart"/>
            <w:r w:rsidRPr="00DB0388">
              <w:rPr>
                <w:rFonts w:eastAsia="Calibri"/>
              </w:rPr>
              <w:t>pašnodarbinātajam</w:t>
            </w:r>
            <w:proofErr w:type="spellEnd"/>
            <w:r w:rsidRPr="00DB0388">
              <w:rPr>
                <w:rFonts w:eastAsia="Calibri"/>
              </w:rPr>
              <w:t xml:space="preserve"> papildus noteiktie maksājumi nepārsniedz 1500 </w:t>
            </w:r>
            <w:proofErr w:type="spellStart"/>
            <w:r w:rsidRPr="00DB0388">
              <w:rPr>
                <w:rFonts w:eastAsia="Calibri"/>
                <w:i/>
                <w:iCs/>
              </w:rPr>
              <w:t>euro</w:t>
            </w:r>
            <w:proofErr w:type="spellEnd"/>
            <w:r w:rsidRPr="00DB0388">
              <w:rPr>
                <w:rFonts w:eastAsia="Calibri"/>
              </w:rPr>
              <w:t>, bet iesnieguma izvērtēšanas brīdī par pārkāpumiem aprēķinātā summa nav iemaksāta valsts budžetā vai par tās iemaksas grafiku nav panākta vienošanās ar Valsts ieņēmumu dienestu (10.16.</w:t>
            </w:r>
            <w:r w:rsidRPr="00DB0388">
              <w:rPr>
                <w:rFonts w:eastAsia="Calibri"/>
                <w:vertAlign w:val="superscript"/>
              </w:rPr>
              <w:t>1</w:t>
            </w:r>
            <w:r w:rsidRPr="00DB0388">
              <w:rPr>
                <w:rFonts w:eastAsia="Calibri"/>
              </w:rPr>
              <w:t xml:space="preserve"> apakšpunkts);</w:t>
            </w:r>
          </w:p>
          <w:p w14:paraId="560F33F0" w14:textId="77777777" w:rsidR="00DB0388" w:rsidRPr="00DB0388" w:rsidRDefault="00DB0388" w:rsidP="00DB0388">
            <w:pPr>
              <w:ind w:firstLine="720"/>
              <w:jc w:val="both"/>
              <w:rPr>
                <w:rFonts w:eastAsia="Calibri"/>
              </w:rPr>
            </w:pPr>
            <w:r w:rsidRPr="00DB0388">
              <w:rPr>
                <w:rFonts w:eastAsia="Calibri"/>
              </w:rPr>
              <w:t>·</w:t>
            </w:r>
            <w:r w:rsidRPr="00DB0388">
              <w:rPr>
                <w:rFonts w:eastAsia="Calibri"/>
                <w:sz w:val="14"/>
                <w:szCs w:val="14"/>
              </w:rPr>
              <w:t xml:space="preserve">         </w:t>
            </w:r>
            <w:r w:rsidRPr="00DB0388">
              <w:rPr>
                <w:rFonts w:eastAsia="Calibri"/>
              </w:rPr>
              <w:t xml:space="preserve">ja </w:t>
            </w:r>
            <w:proofErr w:type="spellStart"/>
            <w:r w:rsidRPr="00DB0388">
              <w:rPr>
                <w:rFonts w:eastAsia="Calibri"/>
              </w:rPr>
              <w:t>pašnodarbinātā</w:t>
            </w:r>
            <w:proofErr w:type="spellEnd"/>
            <w:r w:rsidRPr="00DB0388">
              <w:rPr>
                <w:rFonts w:eastAsia="Calibri"/>
              </w:rPr>
              <w:t xml:space="preserve"> persona iesnieguma izvērtēšanas brīdī ir sodīta par pārkāpumu, kas attiecas uz nodokļu saistībām, pārkāpumiem muitas jomā, vai par darba tiesiskās attiecības regulējošo normatīvo aktu pārkāpumu, izņemot gadījumu, ja par atsevišķu pārkāpumu ir piemērots brīdinājums vai naudas sods, kas nepārsniedz 151 </w:t>
            </w:r>
            <w:proofErr w:type="spellStart"/>
            <w:r w:rsidRPr="00DB0388">
              <w:rPr>
                <w:rFonts w:eastAsia="Calibri"/>
                <w:i/>
                <w:iCs/>
              </w:rPr>
              <w:t>euro</w:t>
            </w:r>
            <w:proofErr w:type="spellEnd"/>
            <w:r w:rsidRPr="00DB0388">
              <w:rPr>
                <w:rFonts w:eastAsia="Calibri"/>
              </w:rPr>
              <w:t xml:space="preserve">, un gada laikā sodu kopsumma nepārsniedz 500 </w:t>
            </w:r>
            <w:proofErr w:type="spellStart"/>
            <w:r w:rsidRPr="00DB0388">
              <w:rPr>
                <w:rFonts w:eastAsia="Calibri"/>
                <w:i/>
                <w:iCs/>
              </w:rPr>
              <w:t>euro</w:t>
            </w:r>
            <w:proofErr w:type="spellEnd"/>
            <w:r w:rsidRPr="00DB0388">
              <w:rPr>
                <w:rFonts w:eastAsia="Calibri"/>
                <w:i/>
                <w:iCs/>
              </w:rPr>
              <w:t xml:space="preserve"> (</w:t>
            </w:r>
            <w:r w:rsidRPr="00DB0388">
              <w:rPr>
                <w:rFonts w:eastAsia="Calibri"/>
              </w:rPr>
              <w:t>10.17.apakšpunkts).</w:t>
            </w:r>
          </w:p>
          <w:p w14:paraId="20486272" w14:textId="77777777" w:rsidR="00DB0388" w:rsidRPr="00DB0388" w:rsidRDefault="00DB0388" w:rsidP="00DB0388">
            <w:pPr>
              <w:ind w:firstLine="720"/>
              <w:jc w:val="both"/>
              <w:rPr>
                <w:szCs w:val="20"/>
                <w:lang w:eastAsia="en-US"/>
              </w:rPr>
            </w:pPr>
            <w:r w:rsidRPr="00DB0388">
              <w:rPr>
                <w:szCs w:val="20"/>
                <w:lang w:eastAsia="en-US"/>
              </w:rPr>
              <w:t xml:space="preserve">Anotācijā nav sniegts ne skaidrojums/pamatojums, ne Noteikumu Nr.179 </w:t>
            </w:r>
            <w:r w:rsidRPr="00DB0388">
              <w:rPr>
                <w:szCs w:val="20"/>
                <w:lang w:eastAsia="en-US"/>
              </w:rPr>
              <w:lastRenderedPageBreak/>
              <w:t xml:space="preserve">10.punktā ietverto kritēriju </w:t>
            </w:r>
            <w:proofErr w:type="spellStart"/>
            <w:r w:rsidRPr="00DB0388">
              <w:rPr>
                <w:szCs w:val="20"/>
                <w:lang w:eastAsia="en-US"/>
              </w:rPr>
              <w:t>izvērtējums</w:t>
            </w:r>
            <w:proofErr w:type="spellEnd"/>
            <w:r w:rsidRPr="00DB0388">
              <w:rPr>
                <w:szCs w:val="20"/>
                <w:lang w:eastAsia="en-US"/>
              </w:rPr>
              <w:t xml:space="preserve">, kādēļ </w:t>
            </w:r>
            <w:proofErr w:type="spellStart"/>
            <w:r w:rsidRPr="00DB0388">
              <w:rPr>
                <w:szCs w:val="20"/>
                <w:lang w:eastAsia="en-US"/>
              </w:rPr>
              <w:t>pašnodarbinātajām</w:t>
            </w:r>
            <w:proofErr w:type="spellEnd"/>
            <w:r w:rsidRPr="00DB0388">
              <w:rPr>
                <w:szCs w:val="20"/>
                <w:lang w:eastAsia="en-US"/>
              </w:rPr>
              <w:t xml:space="preserve"> personām, kurām ir atteikts dīkstāves pabalsts saskaņā ar minēto noteikumu 10.1., 10.2., 10.3., 10.4.,  10.15., 10.16., 10.16.</w:t>
            </w:r>
            <w:r w:rsidRPr="00DB0388">
              <w:rPr>
                <w:szCs w:val="20"/>
                <w:vertAlign w:val="superscript"/>
                <w:lang w:eastAsia="en-US"/>
              </w:rPr>
              <w:t>1</w:t>
            </w:r>
            <w:r w:rsidRPr="00DB0388">
              <w:rPr>
                <w:szCs w:val="20"/>
                <w:lang w:eastAsia="en-US"/>
              </w:rPr>
              <w:t xml:space="preserve"> un 10.17.apakšpunktu būtu jāparedz tiesības saņemt dīkstāves palīdzības pabalstu, it sevišķi, ņemot vērā, ka līdzās iespējai saņemt dīkstāves palīdzības pabalstu, personai pastāv iespēja vērsties arī pašvaldībā pabalsta krīzes situācijā saņemšanai.</w:t>
            </w:r>
          </w:p>
          <w:p w14:paraId="13F5643E" w14:textId="77777777" w:rsidR="00DB0388" w:rsidRPr="00DB0388" w:rsidRDefault="00DB0388" w:rsidP="00DB0388">
            <w:pPr>
              <w:ind w:firstLine="720"/>
              <w:jc w:val="both"/>
              <w:rPr>
                <w:szCs w:val="20"/>
                <w:lang w:eastAsia="en-US"/>
              </w:rPr>
            </w:pPr>
            <w:r w:rsidRPr="00DB0388">
              <w:rPr>
                <w:szCs w:val="20"/>
                <w:lang w:eastAsia="en-US"/>
              </w:rPr>
              <w:t xml:space="preserve">Finanšu ministrijas ieskatā būtu rūpīgi jāizvērtē (un jāpamato anotācijā), vai tiešām personai, kurai ir iespēja iesniegt savas kavētās deklarācijas Valsts ieņēmumu dienestam, lai tādējādi kvalificētos dīkstāves pabalstam, to kādu vien sev zināmu iemeslu dēļ neizdara, būtu jāparedz iespēja saņemt arī dīkstāves palīdzības pabalstu. Līdzīgi ir arī attiecībā uz nokavētajiem nodokļu maksājumiem. Ja </w:t>
            </w:r>
            <w:proofErr w:type="spellStart"/>
            <w:r w:rsidRPr="00DB0388">
              <w:rPr>
                <w:szCs w:val="20"/>
                <w:lang w:eastAsia="en-US"/>
              </w:rPr>
              <w:t>pašnodarbinātā</w:t>
            </w:r>
            <w:proofErr w:type="spellEnd"/>
            <w:r w:rsidRPr="00DB0388">
              <w:rPr>
                <w:szCs w:val="20"/>
                <w:lang w:eastAsia="en-US"/>
              </w:rPr>
              <w:t xml:space="preserve"> persona vien sev zināmu iemeslu dēļ nerisina savas kavētās nodokļu saistības un nevienojas ar Valsts ieņēmumu dienestu par nodokļu parādu labprātīgu samaksu, lai tādējādi kvalificētos dīkstāves pabalstam, tad attiecīgi būtu rūpīgi jāizvērtē (un jāpamato anotācijā), vai tiešām šādas tiesības būtu jāparedz arī dīkstāves palīdzības pabalsta gadījumā.</w:t>
            </w:r>
          </w:p>
          <w:p w14:paraId="4813542C" w14:textId="77777777" w:rsidR="00DB0388" w:rsidRPr="00DB0388" w:rsidRDefault="00DB0388" w:rsidP="00DB0388">
            <w:pPr>
              <w:ind w:firstLine="720"/>
              <w:jc w:val="both"/>
              <w:rPr>
                <w:szCs w:val="20"/>
                <w:lang w:eastAsia="en-US"/>
              </w:rPr>
            </w:pPr>
            <w:r w:rsidRPr="00DB0388">
              <w:rPr>
                <w:szCs w:val="20"/>
                <w:lang w:eastAsia="en-US"/>
              </w:rPr>
              <w:t>Ievērojot minēto, lūdzam Labklājības ministriju papildināt anotāciju ar Noteikumu Nr.179 10.1., 10.2., 10.3., 10.04., 10.15., 10.16., 10.16.</w:t>
            </w:r>
            <w:r w:rsidRPr="00DB0388">
              <w:rPr>
                <w:szCs w:val="20"/>
                <w:vertAlign w:val="superscript"/>
                <w:lang w:eastAsia="en-US"/>
              </w:rPr>
              <w:t>1</w:t>
            </w:r>
            <w:r w:rsidRPr="00DB0388">
              <w:rPr>
                <w:szCs w:val="20"/>
                <w:lang w:eastAsia="en-US"/>
              </w:rPr>
              <w:t xml:space="preserve"> un 10.17.apakšpunktā minēto kritēriju izsmeļošu </w:t>
            </w:r>
            <w:proofErr w:type="spellStart"/>
            <w:r w:rsidRPr="00DB0388">
              <w:rPr>
                <w:szCs w:val="20"/>
                <w:lang w:eastAsia="en-US"/>
              </w:rPr>
              <w:t>izvērtējumu</w:t>
            </w:r>
            <w:proofErr w:type="spellEnd"/>
            <w:r w:rsidRPr="00DB0388">
              <w:rPr>
                <w:szCs w:val="20"/>
                <w:lang w:eastAsia="en-US"/>
              </w:rPr>
              <w:t xml:space="preserve">, pamatojoties uz kuru tā ir atzinusi, ka minētie kritēriji nav uzskatāmi par būtiskiem un nepieciešamiem, lai liegtu </w:t>
            </w:r>
            <w:proofErr w:type="spellStart"/>
            <w:r w:rsidRPr="00DB0388">
              <w:rPr>
                <w:szCs w:val="20"/>
                <w:lang w:eastAsia="en-US"/>
              </w:rPr>
              <w:t>pašnodarbinātai</w:t>
            </w:r>
            <w:proofErr w:type="spellEnd"/>
            <w:r w:rsidRPr="00DB0388">
              <w:rPr>
                <w:szCs w:val="20"/>
                <w:lang w:eastAsia="en-US"/>
              </w:rPr>
              <w:t xml:space="preserve"> personai tiesības uz dīkstāves palīdzības pabalsta saņemšanu, neskatoties uz to, ka tie par būtiskiem un nozīmīgiem ir </w:t>
            </w:r>
            <w:r w:rsidRPr="00DB0388">
              <w:rPr>
                <w:szCs w:val="20"/>
                <w:lang w:eastAsia="en-US"/>
              </w:rPr>
              <w:lastRenderedPageBreak/>
              <w:t>atzīti, lai liegtu tās tiesības uz dīkstāves pabalsta saņemšanu.</w:t>
            </w:r>
          </w:p>
          <w:p w14:paraId="2890F7EC" w14:textId="77777777" w:rsidR="00DB0388" w:rsidRPr="00DB0388" w:rsidRDefault="00DB0388" w:rsidP="00DB0388">
            <w:pPr>
              <w:ind w:firstLine="720"/>
              <w:jc w:val="both"/>
              <w:rPr>
                <w:szCs w:val="20"/>
                <w:lang w:eastAsia="en-US"/>
              </w:rPr>
            </w:pPr>
          </w:p>
          <w:p w14:paraId="5C83EDB4" w14:textId="77777777" w:rsidR="00DB0388" w:rsidRPr="00DB0388" w:rsidRDefault="00DB0388" w:rsidP="00DB0388">
            <w:pPr>
              <w:ind w:firstLine="720"/>
              <w:jc w:val="both"/>
              <w:rPr>
                <w:szCs w:val="20"/>
                <w:lang w:eastAsia="en-US"/>
              </w:rPr>
            </w:pPr>
            <w:r w:rsidRPr="00DB0388">
              <w:rPr>
                <w:szCs w:val="20"/>
                <w:lang w:eastAsia="en-US"/>
              </w:rPr>
              <w:t xml:space="preserve">Savukārt, tas ka anotācijā ir vērsta uzmanība, ka no Ministru kabineta 2020.gada 23.aprīļa noteikumu Nr.236 "Noteikumi par dīkstāves palīdzības pabalstu darba ņēmējiem un </w:t>
            </w:r>
            <w:proofErr w:type="spellStart"/>
            <w:r w:rsidRPr="00DB0388">
              <w:rPr>
                <w:szCs w:val="20"/>
                <w:lang w:eastAsia="en-US"/>
              </w:rPr>
              <w:t>pašnodarbinātajām</w:t>
            </w:r>
            <w:proofErr w:type="spellEnd"/>
            <w:r w:rsidRPr="00DB0388">
              <w:rPr>
                <w:szCs w:val="20"/>
                <w:lang w:eastAsia="en-US"/>
              </w:rPr>
              <w:t xml:space="preserve"> personām, kuras </w:t>
            </w:r>
            <w:proofErr w:type="spellStart"/>
            <w:r w:rsidRPr="00DB0388">
              <w:rPr>
                <w:szCs w:val="20"/>
                <w:lang w:eastAsia="en-US"/>
              </w:rPr>
              <w:t>skārusi</w:t>
            </w:r>
            <w:proofErr w:type="spellEnd"/>
            <w:r w:rsidRPr="00DB0388">
              <w:rPr>
                <w:szCs w:val="20"/>
                <w:lang w:eastAsia="en-US"/>
              </w:rPr>
              <w:t xml:space="preserve"> Covid-19 izplatība” 3.1.apakšpunkta izriet, ka dīkstāves palīdzības pabalstu izmaksā darba ņēmējam, ja Valsts ieņēmumu dienests ir atteicis dīkstāves pabalstu darba devējam, saistībā ar kritēriju, kas neizpildās darba devēja vainas dēļ, nevis gadījumos, kad neizpildās kritērijs par darba ņēmēju, un tādējādi līdzīgi nosacījumi būtu nosakāmi arī gadījumos, kad </w:t>
            </w:r>
            <w:proofErr w:type="spellStart"/>
            <w:r w:rsidRPr="00DB0388">
              <w:rPr>
                <w:szCs w:val="20"/>
                <w:lang w:eastAsia="en-US"/>
              </w:rPr>
              <w:t>pašnodarbinātajai</w:t>
            </w:r>
            <w:proofErr w:type="spellEnd"/>
            <w:r w:rsidRPr="00DB0388">
              <w:rPr>
                <w:szCs w:val="20"/>
                <w:lang w:eastAsia="en-US"/>
              </w:rPr>
              <w:t xml:space="preserve"> personai ir atteikts dīkstāves pabalsts saistībā ar darījumiem no saimnieciskās darbības, nevis visos gadījumos, kas minēti Noteikumu Nr. 179 10.punktā, lūdzam ņemt vērā, ka </w:t>
            </w:r>
            <w:proofErr w:type="spellStart"/>
            <w:r w:rsidRPr="00DB0388">
              <w:rPr>
                <w:szCs w:val="20"/>
                <w:lang w:eastAsia="en-US"/>
              </w:rPr>
              <w:t>pašnodarbinātā</w:t>
            </w:r>
            <w:proofErr w:type="spellEnd"/>
            <w:r w:rsidRPr="00DB0388">
              <w:rPr>
                <w:szCs w:val="20"/>
                <w:lang w:eastAsia="en-US"/>
              </w:rPr>
              <w:t xml:space="preserve"> persona neatrodas vienādos un salīdzināmos apstākļos ar krīzes skartā darba devēja darba ņēmēju. </w:t>
            </w:r>
          </w:p>
          <w:p w14:paraId="0A2D8897" w14:textId="370C734B" w:rsidR="00DB0388" w:rsidRPr="00DB0388" w:rsidRDefault="00DB0388" w:rsidP="00DB0388">
            <w:pPr>
              <w:ind w:firstLine="720"/>
              <w:jc w:val="both"/>
              <w:rPr>
                <w:szCs w:val="20"/>
                <w:lang w:eastAsia="en-US"/>
              </w:rPr>
            </w:pPr>
            <w:r w:rsidRPr="00DB0388">
              <w:rPr>
                <w:szCs w:val="20"/>
                <w:lang w:eastAsia="en-US"/>
              </w:rPr>
              <w:t xml:space="preserve">Ja darba ņēmējs nevar ietekmēt darba devēja nodokļu disciplīnu un normatīvajos aktos noteikto pienākumu pienācīgu izpildi, tad attiecībā uz </w:t>
            </w:r>
            <w:proofErr w:type="spellStart"/>
            <w:r w:rsidRPr="00DB0388">
              <w:rPr>
                <w:szCs w:val="20"/>
                <w:lang w:eastAsia="en-US"/>
              </w:rPr>
              <w:t>pašnodarbināto</w:t>
            </w:r>
            <w:proofErr w:type="spellEnd"/>
            <w:r w:rsidRPr="00DB0388">
              <w:rPr>
                <w:szCs w:val="20"/>
                <w:lang w:eastAsia="en-US"/>
              </w:rPr>
              <w:t xml:space="preserve"> personu, Finanšu ministrijas ieskatā, ir jāvelk paralēles ar krīzes skarto darba devēju. Jo normatīvajos aktos noteiktie pienākumi gan uz darba devēju, gan uz </w:t>
            </w:r>
            <w:proofErr w:type="spellStart"/>
            <w:r w:rsidRPr="00DB0388">
              <w:rPr>
                <w:szCs w:val="20"/>
                <w:lang w:eastAsia="en-US"/>
              </w:rPr>
              <w:t>pašnodarbināto</w:t>
            </w:r>
            <w:proofErr w:type="spellEnd"/>
            <w:r w:rsidRPr="00DB0388">
              <w:rPr>
                <w:szCs w:val="20"/>
                <w:lang w:eastAsia="en-US"/>
              </w:rPr>
              <w:t xml:space="preserve"> personu ir tieši attiecināmi, nevis par to izpildi ir atbildīgs kāds cits subjekts, kuru rīcību nevar ietekmēt, kā tas ir darba ņēmēja gadījumā. </w:t>
            </w:r>
            <w:r w:rsidR="00E10115">
              <w:tab/>
            </w:r>
          </w:p>
          <w:p w14:paraId="23C7B222" w14:textId="6E9E8F43" w:rsidR="00875F63" w:rsidRPr="00966C83" w:rsidRDefault="00875F63" w:rsidP="00DB0388">
            <w:pPr>
              <w:jc w:val="both"/>
            </w:pPr>
          </w:p>
        </w:tc>
        <w:tc>
          <w:tcPr>
            <w:tcW w:w="1062" w:type="pct"/>
            <w:tcBorders>
              <w:left w:val="single" w:sz="6" w:space="0" w:color="000000"/>
              <w:bottom w:val="single" w:sz="4" w:space="0" w:color="auto"/>
              <w:right w:val="single" w:sz="6" w:space="0" w:color="000000"/>
            </w:tcBorders>
          </w:tcPr>
          <w:p w14:paraId="31265D07" w14:textId="77777777" w:rsidR="00252469" w:rsidRDefault="00875F63" w:rsidP="00DB0388">
            <w:pPr>
              <w:pStyle w:val="naisc"/>
              <w:spacing w:before="0" w:after="0"/>
              <w:jc w:val="both"/>
            </w:pPr>
            <w:r w:rsidRPr="002F0BF1">
              <w:lastRenderedPageBreak/>
              <w:t>Iebildums ņemts vērā.</w:t>
            </w:r>
            <w:r w:rsidR="004D76D2">
              <w:t xml:space="preserve"> </w:t>
            </w:r>
            <w:r w:rsidR="00252469">
              <w:t xml:space="preserve">Noteikumu </w:t>
            </w:r>
            <w:r w:rsidR="00AC6BB2">
              <w:t>projekt</w:t>
            </w:r>
            <w:r w:rsidR="00252469">
              <w:t xml:space="preserve">s un anotācija </w:t>
            </w:r>
            <w:r w:rsidR="00AC6BB2">
              <w:t>precizēt</w:t>
            </w:r>
            <w:r w:rsidR="00252469">
              <w:t>i.</w:t>
            </w:r>
          </w:p>
          <w:p w14:paraId="3F0980B1" w14:textId="27CB9BC1" w:rsidR="00875F63" w:rsidRPr="002F0BF1" w:rsidRDefault="00875F63" w:rsidP="00DB0388">
            <w:pPr>
              <w:pStyle w:val="naisc"/>
              <w:spacing w:before="0" w:after="0"/>
              <w:jc w:val="both"/>
            </w:pPr>
          </w:p>
        </w:tc>
        <w:tc>
          <w:tcPr>
            <w:tcW w:w="1053" w:type="pct"/>
            <w:tcBorders>
              <w:top w:val="single" w:sz="4" w:space="0" w:color="auto"/>
              <w:left w:val="single" w:sz="4" w:space="0" w:color="auto"/>
              <w:bottom w:val="single" w:sz="4" w:space="0" w:color="auto"/>
            </w:tcBorders>
          </w:tcPr>
          <w:p w14:paraId="6A9AE4EF" w14:textId="19C813A3" w:rsidR="00875F63" w:rsidRPr="002F0BF1" w:rsidRDefault="004C1C22" w:rsidP="00DB0388">
            <w:pPr>
              <w:jc w:val="both"/>
            </w:pPr>
            <w:r>
              <w:t>Skat</w:t>
            </w:r>
            <w:r w:rsidR="00252469">
              <w:t>.</w:t>
            </w:r>
            <w:r>
              <w:t xml:space="preserve"> </w:t>
            </w:r>
            <w:r w:rsidR="00252469">
              <w:t xml:space="preserve">noteikumu </w:t>
            </w:r>
            <w:r>
              <w:t>projekt</w:t>
            </w:r>
            <w:r w:rsidR="00252469">
              <w:t>u</w:t>
            </w:r>
            <w:r w:rsidR="00AC6BB2">
              <w:t xml:space="preserve"> </w:t>
            </w:r>
            <w:r w:rsidR="00252469">
              <w:t xml:space="preserve">un </w:t>
            </w:r>
            <w:r w:rsidR="00AC6BB2">
              <w:t>anotāciju</w:t>
            </w:r>
            <w:r>
              <w:t>.</w:t>
            </w:r>
          </w:p>
        </w:tc>
      </w:tr>
      <w:tr w:rsidR="00875F63" w:rsidRPr="002F0BF1" w14:paraId="25C41444" w14:textId="77777777" w:rsidTr="00DB0388">
        <w:tblPrEx>
          <w:tblBorders>
            <w:top w:val="none" w:sz="0" w:space="0" w:color="auto"/>
            <w:left w:val="none" w:sz="0" w:space="0" w:color="auto"/>
            <w:bottom w:val="none" w:sz="0" w:space="0" w:color="auto"/>
            <w:right w:val="none" w:sz="0" w:space="0" w:color="auto"/>
          </w:tblBorders>
        </w:tblPrEx>
        <w:trPr>
          <w:gridAfter w:val="1"/>
          <w:wAfter w:w="1053" w:type="pct"/>
        </w:trPr>
        <w:tc>
          <w:tcPr>
            <w:tcW w:w="1836" w:type="pct"/>
            <w:gridSpan w:val="3"/>
          </w:tcPr>
          <w:p w14:paraId="7B2AC31C" w14:textId="5A49A18C" w:rsidR="00FD6FAA" w:rsidRDefault="00FD6FAA" w:rsidP="00DB0388">
            <w:pPr>
              <w:pStyle w:val="naiskr"/>
              <w:spacing w:before="0" w:after="0"/>
              <w:rPr>
                <w:sz w:val="26"/>
                <w:szCs w:val="26"/>
              </w:rPr>
            </w:pPr>
          </w:p>
          <w:p w14:paraId="55C768B3" w14:textId="77777777" w:rsidR="00AF62AD" w:rsidRDefault="00AF62AD" w:rsidP="00DB0388">
            <w:pPr>
              <w:pStyle w:val="naiskr"/>
              <w:spacing w:before="0" w:after="0"/>
              <w:rPr>
                <w:sz w:val="26"/>
                <w:szCs w:val="26"/>
              </w:rPr>
            </w:pPr>
          </w:p>
          <w:p w14:paraId="0AF7BF51" w14:textId="23BBEAC8" w:rsidR="00875F63" w:rsidRPr="002F0BF1" w:rsidRDefault="00875F63" w:rsidP="00DB0388">
            <w:pPr>
              <w:pStyle w:val="naiskr"/>
              <w:spacing w:before="0" w:after="0"/>
              <w:rPr>
                <w:sz w:val="26"/>
                <w:szCs w:val="26"/>
              </w:rPr>
            </w:pPr>
            <w:r w:rsidRPr="002F0BF1">
              <w:rPr>
                <w:sz w:val="26"/>
                <w:szCs w:val="26"/>
              </w:rPr>
              <w:t>Atbildīgā amatpersona</w:t>
            </w:r>
          </w:p>
        </w:tc>
        <w:tc>
          <w:tcPr>
            <w:tcW w:w="2111" w:type="pct"/>
            <w:gridSpan w:val="2"/>
          </w:tcPr>
          <w:p w14:paraId="5D732DC3" w14:textId="77777777" w:rsidR="00875F63" w:rsidRPr="002F0BF1" w:rsidRDefault="00875F63" w:rsidP="00DB0388">
            <w:pPr>
              <w:pStyle w:val="naiskr"/>
              <w:spacing w:before="0" w:after="0"/>
              <w:ind w:firstLine="720"/>
              <w:rPr>
                <w:sz w:val="26"/>
                <w:szCs w:val="26"/>
              </w:rPr>
            </w:pPr>
            <w:r w:rsidRPr="002F0BF1">
              <w:rPr>
                <w:sz w:val="26"/>
                <w:szCs w:val="26"/>
              </w:rPr>
              <w:lastRenderedPageBreak/>
              <w:t>  </w:t>
            </w:r>
          </w:p>
          <w:p w14:paraId="26AF798B" w14:textId="77777777" w:rsidR="00875F63" w:rsidRPr="002F0BF1" w:rsidRDefault="00875F63" w:rsidP="00DB0388">
            <w:pPr>
              <w:pStyle w:val="naiskr"/>
              <w:spacing w:before="0" w:after="0"/>
              <w:ind w:firstLine="720"/>
              <w:jc w:val="right"/>
              <w:rPr>
                <w:sz w:val="26"/>
                <w:szCs w:val="26"/>
              </w:rPr>
            </w:pPr>
          </w:p>
          <w:p w14:paraId="34D68BF5" w14:textId="4C481DED" w:rsidR="00875F63" w:rsidRPr="002F0BF1" w:rsidRDefault="00252469" w:rsidP="00DB0388">
            <w:pPr>
              <w:pStyle w:val="naiskr"/>
              <w:spacing w:before="0" w:after="0"/>
              <w:ind w:firstLine="720"/>
              <w:jc w:val="right"/>
              <w:rPr>
                <w:sz w:val="26"/>
                <w:szCs w:val="26"/>
              </w:rPr>
            </w:pPr>
            <w:proofErr w:type="spellStart"/>
            <w:r>
              <w:rPr>
                <w:sz w:val="26"/>
                <w:szCs w:val="26"/>
              </w:rPr>
              <w:t>A.Dreimane</w:t>
            </w:r>
            <w:proofErr w:type="spellEnd"/>
          </w:p>
        </w:tc>
      </w:tr>
      <w:tr w:rsidR="00875F63" w:rsidRPr="00712B66" w14:paraId="3100C6C9" w14:textId="77777777" w:rsidTr="00DB0388">
        <w:tblPrEx>
          <w:tblBorders>
            <w:top w:val="none" w:sz="0" w:space="0" w:color="auto"/>
            <w:left w:val="none" w:sz="0" w:space="0" w:color="auto"/>
            <w:bottom w:val="none" w:sz="0" w:space="0" w:color="auto"/>
            <w:right w:val="none" w:sz="0" w:space="0" w:color="auto"/>
          </w:tblBorders>
        </w:tblPrEx>
        <w:trPr>
          <w:gridAfter w:val="1"/>
          <w:wAfter w:w="1053" w:type="pct"/>
        </w:trPr>
        <w:tc>
          <w:tcPr>
            <w:tcW w:w="1836" w:type="pct"/>
            <w:gridSpan w:val="3"/>
          </w:tcPr>
          <w:p w14:paraId="6E4A3B82" w14:textId="77777777" w:rsidR="00875F63" w:rsidRPr="00712B66" w:rsidRDefault="00875F63" w:rsidP="00DB0388">
            <w:pPr>
              <w:pStyle w:val="naiskr"/>
              <w:spacing w:before="0" w:after="0"/>
              <w:ind w:firstLine="720"/>
            </w:pPr>
          </w:p>
        </w:tc>
        <w:tc>
          <w:tcPr>
            <w:tcW w:w="2111" w:type="pct"/>
            <w:gridSpan w:val="2"/>
            <w:tcBorders>
              <w:top w:val="single" w:sz="6" w:space="0" w:color="000000"/>
            </w:tcBorders>
          </w:tcPr>
          <w:p w14:paraId="30D9DD05" w14:textId="77777777" w:rsidR="00875F63" w:rsidRPr="00712B66" w:rsidRDefault="00875F63" w:rsidP="00DB0388">
            <w:pPr>
              <w:pStyle w:val="naisc"/>
              <w:spacing w:before="0" w:after="0"/>
              <w:ind w:firstLine="720"/>
            </w:pPr>
            <w:r w:rsidRPr="00712B66">
              <w:t>(</w:t>
            </w:r>
            <w:r>
              <w:t>paraksts</w:t>
            </w:r>
            <w:r w:rsidRPr="00712B66">
              <w:t>)</w:t>
            </w:r>
          </w:p>
        </w:tc>
      </w:tr>
    </w:tbl>
    <w:p w14:paraId="15C1C6C6" w14:textId="38523CFE" w:rsidR="00690ACF" w:rsidRPr="005A4DA7" w:rsidRDefault="00DB0388" w:rsidP="00875F63">
      <w:r>
        <w:br w:type="textWrapping" w:clear="all"/>
      </w:r>
    </w:p>
    <w:p w14:paraId="0CBF93AD" w14:textId="4BDE3B54" w:rsidR="00337836" w:rsidRDefault="00337836" w:rsidP="00337836">
      <w:r>
        <w:t>Dreimane 67021562</w:t>
      </w:r>
    </w:p>
    <w:p w14:paraId="2C910AFF" w14:textId="77777777" w:rsidR="00337836" w:rsidRDefault="00337836" w:rsidP="00337836">
      <w:r>
        <w:t>Labklājības ministrijas</w:t>
      </w:r>
    </w:p>
    <w:p w14:paraId="535FA67D" w14:textId="77777777" w:rsidR="00337836" w:rsidRDefault="00337836" w:rsidP="00337836">
      <w:r>
        <w:t>Sociālās apdrošināšanas departamenta</w:t>
      </w:r>
    </w:p>
    <w:p w14:paraId="1782D8B0" w14:textId="6F9EA118" w:rsidR="00337836" w:rsidRDefault="00337836" w:rsidP="00337836">
      <w:r>
        <w:t>direktora vietniece</w:t>
      </w:r>
    </w:p>
    <w:p w14:paraId="477A3AFF" w14:textId="17603E09" w:rsidR="001E21D4" w:rsidRDefault="0039376F" w:rsidP="00337836">
      <w:hyperlink r:id="rId7" w:history="1">
        <w:r w:rsidR="00337836" w:rsidRPr="002774EE">
          <w:rPr>
            <w:rStyle w:val="Hipersaite"/>
          </w:rPr>
          <w:t>Airina.Dreimane@lm.gov.lv</w:t>
        </w:r>
      </w:hyperlink>
      <w:r w:rsidR="00337836">
        <w:t xml:space="preserve"> </w:t>
      </w:r>
    </w:p>
    <w:sectPr w:rsidR="001E21D4" w:rsidSect="006D2B0D">
      <w:headerReference w:type="even" r:id="rId8"/>
      <w:headerReference w:type="default" r:id="rId9"/>
      <w:footerReference w:type="default" r:id="rId10"/>
      <w:footerReference w:type="first" r:id="rId11"/>
      <w:pgSz w:w="16838" w:h="11906" w:orient="landscape" w:code="9"/>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2FCE" w14:textId="77777777" w:rsidR="00B3681A" w:rsidRDefault="00B3681A" w:rsidP="00875F63">
      <w:r>
        <w:separator/>
      </w:r>
    </w:p>
  </w:endnote>
  <w:endnote w:type="continuationSeparator" w:id="0">
    <w:p w14:paraId="095FB793" w14:textId="77777777" w:rsidR="00B3681A" w:rsidRDefault="00B3681A" w:rsidP="0087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DA43" w14:textId="55016BC2" w:rsidR="00972E61" w:rsidRPr="00234B93" w:rsidRDefault="00B07ACA" w:rsidP="00234B93">
    <w:pPr>
      <w:pStyle w:val="Pamatteksts"/>
      <w:jc w:val="both"/>
      <w:rPr>
        <w:sz w:val="20"/>
        <w:szCs w:val="20"/>
      </w:rPr>
    </w:pPr>
    <w:r>
      <w:rPr>
        <w:sz w:val="20"/>
        <w:szCs w:val="20"/>
      </w:rPr>
      <w:t>LMizz_2</w:t>
    </w:r>
    <w:r w:rsidR="00DB0388">
      <w:rPr>
        <w:sz w:val="20"/>
        <w:szCs w:val="20"/>
      </w:rPr>
      <w:t>5</w:t>
    </w:r>
    <w:r>
      <w:rPr>
        <w:sz w:val="20"/>
        <w:szCs w:val="20"/>
      </w:rPr>
      <w:t>0</w:t>
    </w:r>
    <w:r w:rsidR="00265986">
      <w:rPr>
        <w:sz w:val="20"/>
        <w:szCs w:val="20"/>
      </w:rPr>
      <w:t>5</w:t>
    </w:r>
    <w:r>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0E49" w14:textId="490562C5" w:rsidR="00234B93" w:rsidRPr="00234B93" w:rsidRDefault="00B07ACA" w:rsidP="00875384">
    <w:pPr>
      <w:pStyle w:val="Pamatteksts"/>
      <w:jc w:val="both"/>
      <w:rPr>
        <w:sz w:val="20"/>
        <w:szCs w:val="20"/>
      </w:rPr>
    </w:pPr>
    <w:r>
      <w:rPr>
        <w:sz w:val="20"/>
        <w:szCs w:val="20"/>
      </w:rPr>
      <w:t>LMizz_2</w:t>
    </w:r>
    <w:r w:rsidR="00DB0388">
      <w:rPr>
        <w:sz w:val="20"/>
        <w:szCs w:val="20"/>
      </w:rPr>
      <w:t>5</w:t>
    </w:r>
    <w:r>
      <w:rPr>
        <w:sz w:val="20"/>
        <w:szCs w:val="20"/>
      </w:rPr>
      <w:t>0</w:t>
    </w:r>
    <w:r w:rsidR="00265986">
      <w:rPr>
        <w:sz w:val="20"/>
        <w:szCs w:val="20"/>
      </w:rPr>
      <w:t>5</w:t>
    </w:r>
    <w:r>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30F7" w14:textId="77777777" w:rsidR="00B3681A" w:rsidRDefault="00B3681A" w:rsidP="00875F63">
      <w:r>
        <w:separator/>
      </w:r>
    </w:p>
  </w:footnote>
  <w:footnote w:type="continuationSeparator" w:id="0">
    <w:p w14:paraId="65E47C53" w14:textId="77777777" w:rsidR="00B3681A" w:rsidRDefault="00B3681A" w:rsidP="0087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24EE" w14:textId="77777777" w:rsidR="00972E61" w:rsidRDefault="001733D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636CFD" w14:textId="77777777" w:rsidR="00972E61" w:rsidRDefault="0039376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E588" w14:textId="77777777" w:rsidR="00972E61" w:rsidRDefault="001733D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244547FB" w14:textId="77777777" w:rsidR="00972E61" w:rsidRDefault="0039376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87F72"/>
    <w:multiLevelType w:val="hybridMultilevel"/>
    <w:tmpl w:val="FD24F936"/>
    <w:lvl w:ilvl="0" w:tplc="312A9B8E">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 w15:restartNumberingAfterBreak="0">
    <w:nsid w:val="3DEF3161"/>
    <w:multiLevelType w:val="hybridMultilevel"/>
    <w:tmpl w:val="BF747A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09"/>
    <w:rsid w:val="00015AFD"/>
    <w:rsid w:val="0005328A"/>
    <w:rsid w:val="00086680"/>
    <w:rsid w:val="000E6E0C"/>
    <w:rsid w:val="000F45B1"/>
    <w:rsid w:val="00127B53"/>
    <w:rsid w:val="001733DE"/>
    <w:rsid w:val="001B77E9"/>
    <w:rsid w:val="001C4888"/>
    <w:rsid w:val="001E21D4"/>
    <w:rsid w:val="001E2A68"/>
    <w:rsid w:val="0020445B"/>
    <w:rsid w:val="00223D7E"/>
    <w:rsid w:val="00234B93"/>
    <w:rsid w:val="00252469"/>
    <w:rsid w:val="00265986"/>
    <w:rsid w:val="00337836"/>
    <w:rsid w:val="00353109"/>
    <w:rsid w:val="0039376F"/>
    <w:rsid w:val="0039607F"/>
    <w:rsid w:val="003A6DBD"/>
    <w:rsid w:val="004B6929"/>
    <w:rsid w:val="004C1C22"/>
    <w:rsid w:val="004D3F87"/>
    <w:rsid w:val="004D76D2"/>
    <w:rsid w:val="004E65DE"/>
    <w:rsid w:val="00540F20"/>
    <w:rsid w:val="00557F42"/>
    <w:rsid w:val="005C14EF"/>
    <w:rsid w:val="00603FC8"/>
    <w:rsid w:val="00652B3A"/>
    <w:rsid w:val="006740F9"/>
    <w:rsid w:val="00690ACF"/>
    <w:rsid w:val="00707304"/>
    <w:rsid w:val="007076EA"/>
    <w:rsid w:val="007F70F6"/>
    <w:rsid w:val="00820B67"/>
    <w:rsid w:val="00822FA2"/>
    <w:rsid w:val="00834C4E"/>
    <w:rsid w:val="00875384"/>
    <w:rsid w:val="00875F63"/>
    <w:rsid w:val="00906878"/>
    <w:rsid w:val="0096181F"/>
    <w:rsid w:val="009B229D"/>
    <w:rsid w:val="00A06C5B"/>
    <w:rsid w:val="00AC6BB2"/>
    <w:rsid w:val="00AD62B0"/>
    <w:rsid w:val="00AF0D6C"/>
    <w:rsid w:val="00AF112F"/>
    <w:rsid w:val="00AF4C54"/>
    <w:rsid w:val="00AF62AD"/>
    <w:rsid w:val="00B07ACA"/>
    <w:rsid w:val="00B3681A"/>
    <w:rsid w:val="00B3686E"/>
    <w:rsid w:val="00B56F70"/>
    <w:rsid w:val="00B85F98"/>
    <w:rsid w:val="00B97BF2"/>
    <w:rsid w:val="00BC1754"/>
    <w:rsid w:val="00BF3B8A"/>
    <w:rsid w:val="00CC4806"/>
    <w:rsid w:val="00D82218"/>
    <w:rsid w:val="00DB0388"/>
    <w:rsid w:val="00DC733A"/>
    <w:rsid w:val="00DD3597"/>
    <w:rsid w:val="00E10115"/>
    <w:rsid w:val="00E13580"/>
    <w:rsid w:val="00E1372F"/>
    <w:rsid w:val="00EB73E2"/>
    <w:rsid w:val="00F14842"/>
    <w:rsid w:val="00F255D2"/>
    <w:rsid w:val="00F26057"/>
    <w:rsid w:val="00F751F4"/>
    <w:rsid w:val="00FD6FAA"/>
    <w:rsid w:val="00FE40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7EDDC"/>
  <w15:chartTrackingRefBased/>
  <w15:docId w15:val="{3DF91D0B-F7A3-4FBC-ACED-C9005756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75F6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875F63"/>
    <w:rPr>
      <w:rFonts w:cs="Times New Roman"/>
      <w:color w:val="0000FF"/>
      <w:u w:val="single"/>
    </w:rPr>
  </w:style>
  <w:style w:type="paragraph" w:customStyle="1" w:styleId="naisf">
    <w:name w:val="naisf"/>
    <w:basedOn w:val="Parasts"/>
    <w:rsid w:val="00875F63"/>
    <w:pPr>
      <w:spacing w:before="75" w:after="75"/>
      <w:ind w:firstLine="375"/>
      <w:jc w:val="both"/>
    </w:pPr>
  </w:style>
  <w:style w:type="paragraph" w:customStyle="1" w:styleId="naisnod">
    <w:name w:val="naisnod"/>
    <w:basedOn w:val="Parasts"/>
    <w:uiPriority w:val="99"/>
    <w:rsid w:val="00875F63"/>
    <w:pPr>
      <w:spacing w:before="150" w:after="150"/>
      <w:jc w:val="center"/>
    </w:pPr>
    <w:rPr>
      <w:b/>
      <w:bCs/>
    </w:rPr>
  </w:style>
  <w:style w:type="paragraph" w:customStyle="1" w:styleId="naiskr">
    <w:name w:val="naiskr"/>
    <w:basedOn w:val="Parasts"/>
    <w:rsid w:val="00875F63"/>
    <w:pPr>
      <w:spacing w:before="75" w:after="75"/>
    </w:pPr>
  </w:style>
  <w:style w:type="paragraph" w:customStyle="1" w:styleId="naisc">
    <w:name w:val="naisc"/>
    <w:basedOn w:val="Parasts"/>
    <w:rsid w:val="00875F63"/>
    <w:pPr>
      <w:spacing w:before="75" w:after="75"/>
      <w:jc w:val="center"/>
    </w:pPr>
  </w:style>
  <w:style w:type="paragraph" w:styleId="Galvene">
    <w:name w:val="header"/>
    <w:basedOn w:val="Parasts"/>
    <w:link w:val="GalveneRakstz"/>
    <w:uiPriority w:val="99"/>
    <w:rsid w:val="00875F63"/>
    <w:pPr>
      <w:tabs>
        <w:tab w:val="center" w:pos="4153"/>
        <w:tab w:val="right" w:pos="8306"/>
      </w:tabs>
    </w:pPr>
  </w:style>
  <w:style w:type="character" w:customStyle="1" w:styleId="GalveneRakstz">
    <w:name w:val="Galvene Rakstz."/>
    <w:basedOn w:val="Noklusjumarindkopasfonts"/>
    <w:link w:val="Galvene"/>
    <w:uiPriority w:val="99"/>
    <w:rsid w:val="00875F63"/>
    <w:rPr>
      <w:rFonts w:ascii="Times New Roman" w:eastAsia="Times New Roman" w:hAnsi="Times New Roman" w:cs="Times New Roman"/>
      <w:sz w:val="24"/>
      <w:szCs w:val="24"/>
      <w:lang w:eastAsia="lv-LV"/>
    </w:rPr>
  </w:style>
  <w:style w:type="character" w:styleId="Lappusesnumurs">
    <w:name w:val="page number"/>
    <w:uiPriority w:val="99"/>
    <w:rsid w:val="00875F63"/>
    <w:rPr>
      <w:rFonts w:cs="Times New Roman"/>
    </w:rPr>
  </w:style>
  <w:style w:type="paragraph" w:styleId="Kjene">
    <w:name w:val="footer"/>
    <w:basedOn w:val="Parasts"/>
    <w:link w:val="KjeneRakstz"/>
    <w:uiPriority w:val="99"/>
    <w:rsid w:val="00875F63"/>
    <w:pPr>
      <w:tabs>
        <w:tab w:val="center" w:pos="4153"/>
        <w:tab w:val="right" w:pos="8306"/>
      </w:tabs>
    </w:pPr>
  </w:style>
  <w:style w:type="character" w:customStyle="1" w:styleId="KjeneRakstz">
    <w:name w:val="Kājene Rakstz."/>
    <w:basedOn w:val="Noklusjumarindkopasfonts"/>
    <w:link w:val="Kjene"/>
    <w:uiPriority w:val="99"/>
    <w:rsid w:val="00875F63"/>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75F63"/>
    <w:pPr>
      <w:spacing w:after="120"/>
    </w:pPr>
    <w:rPr>
      <w:sz w:val="28"/>
      <w:szCs w:val="28"/>
      <w:lang w:eastAsia="en-US"/>
    </w:rPr>
  </w:style>
  <w:style w:type="character" w:customStyle="1" w:styleId="PamattekstsRakstz">
    <w:name w:val="Pamatteksts Rakstz."/>
    <w:basedOn w:val="Noklusjumarindkopasfonts"/>
    <w:link w:val="Pamatteksts"/>
    <w:rsid w:val="00875F63"/>
    <w:rPr>
      <w:rFonts w:ascii="Times New Roman" w:eastAsia="Times New Roman" w:hAnsi="Times New Roman" w:cs="Times New Roman"/>
      <w:sz w:val="28"/>
      <w:szCs w:val="28"/>
    </w:rPr>
  </w:style>
  <w:style w:type="paragraph" w:customStyle="1" w:styleId="RakstzCharCharRakstzCharCharRakstz">
    <w:name w:val="Rakstz. Char Char Rakstz. Char Char Rakstz."/>
    <w:basedOn w:val="Parasts"/>
    <w:rsid w:val="00875F63"/>
    <w:pPr>
      <w:spacing w:after="160" w:line="240" w:lineRule="exact"/>
    </w:pPr>
    <w:rPr>
      <w:rFonts w:ascii="Tahoma" w:hAnsi="Tahoma" w:cs="Tahoma"/>
      <w:sz w:val="20"/>
      <w:szCs w:val="20"/>
      <w:lang w:val="en-US" w:eastAsia="en-US"/>
    </w:rPr>
  </w:style>
  <w:style w:type="paragraph" w:styleId="Vresteksts">
    <w:name w:val="footnote text"/>
    <w:basedOn w:val="Parasts"/>
    <w:link w:val="VrestekstsRakstz"/>
    <w:semiHidden/>
    <w:unhideWhenUsed/>
    <w:rsid w:val="00875F63"/>
    <w:rPr>
      <w:sz w:val="20"/>
      <w:szCs w:val="20"/>
      <w:lang w:val="en-US" w:eastAsia="en-US"/>
    </w:rPr>
  </w:style>
  <w:style w:type="character" w:customStyle="1" w:styleId="VrestekstsRakstz">
    <w:name w:val="Vēres teksts Rakstz."/>
    <w:basedOn w:val="Noklusjumarindkopasfonts"/>
    <w:link w:val="Vresteksts"/>
    <w:semiHidden/>
    <w:rsid w:val="00875F63"/>
    <w:rPr>
      <w:rFonts w:ascii="Times New Roman" w:eastAsia="Times New Roman" w:hAnsi="Times New Roman" w:cs="Times New Roman"/>
      <w:sz w:val="20"/>
      <w:szCs w:val="20"/>
      <w:lang w:val="en-US"/>
    </w:rPr>
  </w:style>
  <w:style w:type="character" w:styleId="Vresatsauce">
    <w:name w:val="footnote reference"/>
    <w:semiHidden/>
    <w:unhideWhenUsed/>
    <w:rsid w:val="00875F63"/>
    <w:rPr>
      <w:rFonts w:cs="Times New Roman"/>
      <w:vertAlign w:val="superscript"/>
    </w:rPr>
  </w:style>
  <w:style w:type="paragraph" w:styleId="Sarakstarindkopa">
    <w:name w:val="List Paragraph"/>
    <w:aliases w:val="2,Akapit z listą BS,H&amp;P List Paragraph,Strip"/>
    <w:basedOn w:val="Parasts"/>
    <w:link w:val="SarakstarindkopaRakstz"/>
    <w:uiPriority w:val="34"/>
    <w:qFormat/>
    <w:rsid w:val="00FE402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rakstarindkopaRakstz">
    <w:name w:val="Saraksta rindkopa Rakstz."/>
    <w:aliases w:val="2 Rakstz.,Akapit z listą BS Rakstz.,H&amp;P List Paragraph Rakstz.,Strip Rakstz."/>
    <w:link w:val="Sarakstarindkopa"/>
    <w:uiPriority w:val="34"/>
    <w:rsid w:val="00FE402E"/>
  </w:style>
  <w:style w:type="character" w:styleId="Neatrisintapieminana">
    <w:name w:val="Unresolved Mention"/>
    <w:basedOn w:val="Noklusjumarindkopasfonts"/>
    <w:uiPriority w:val="99"/>
    <w:semiHidden/>
    <w:unhideWhenUsed/>
    <w:rsid w:val="00690ACF"/>
    <w:rPr>
      <w:color w:val="605E5C"/>
      <w:shd w:val="clear" w:color="auto" w:fill="E1DFDD"/>
    </w:rPr>
  </w:style>
  <w:style w:type="paragraph" w:styleId="Balonteksts">
    <w:name w:val="Balloon Text"/>
    <w:basedOn w:val="Parasts"/>
    <w:link w:val="BalontekstsRakstz"/>
    <w:uiPriority w:val="99"/>
    <w:semiHidden/>
    <w:unhideWhenUsed/>
    <w:rsid w:val="00F751F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51F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rina.Dreimane@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7564</Words>
  <Characters>4313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"Grozījumi Ministru kabineta 2010. gada 7. septembra</vt:lpstr>
      <vt:lpstr>MK noteikumu projekts "Grozījumi Ministru kabineta 2010. gada 7. septembra</vt:lpstr>
    </vt:vector>
  </TitlesOfParts>
  <Company>LM</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 gada 7. septembra</dc:title>
  <dc:subject/>
  <dc:creator>Airīna Dreimane</dc:creator>
  <cp:keywords/>
  <dc:description/>
  <cp:lastModifiedBy>Airina Dreimane</cp:lastModifiedBy>
  <cp:revision>2</cp:revision>
  <cp:lastPrinted>2020-05-27T13:17:00Z</cp:lastPrinted>
  <dcterms:created xsi:type="dcterms:W3CDTF">2020-05-27T13:17:00Z</dcterms:created>
  <dcterms:modified xsi:type="dcterms:W3CDTF">2020-05-27T13:17:00Z</dcterms:modified>
</cp:coreProperties>
</file>