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Pr="00EC73D5" w:rsidR="00EC73D5" w:rsidP="00EC73D5" w:rsidRDefault="000A531F" w14:paraId="2E686C0C" w14:textId="25925D22">
      <w:pPr>
        <w:jc w:val="center"/>
        <w:rPr>
          <w:b/>
          <w:sz w:val="28"/>
          <w:szCs w:val="28"/>
        </w:rPr>
      </w:pPr>
      <w:r w:rsidRPr="00AA30C8">
        <w:rPr>
          <w:b/>
          <w:sz w:val="28"/>
          <w:szCs w:val="28"/>
        </w:rPr>
        <w:t>„</w:t>
      </w:r>
      <w:r w:rsidRPr="00EC73D5" w:rsidR="00EC73D5">
        <w:rPr>
          <w:b/>
          <w:sz w:val="28"/>
          <w:szCs w:val="28"/>
        </w:rPr>
        <w:t>Par nekustamā īpašuma Mūkupurva ielā, Rīgā, daļas pirkšanu projekta</w:t>
      </w:r>
    </w:p>
    <w:p w:rsidR="00EC73D5" w:rsidP="00EC73D5" w:rsidRDefault="00EC73D5" w14:paraId="21856601" w14:textId="77777777">
      <w:pPr>
        <w:jc w:val="center"/>
        <w:rPr>
          <w:b/>
          <w:sz w:val="28"/>
          <w:szCs w:val="28"/>
        </w:rPr>
      </w:pPr>
      <w:r w:rsidRPr="00EC73D5">
        <w:rPr>
          <w:b/>
          <w:sz w:val="28"/>
          <w:szCs w:val="28"/>
        </w:rPr>
        <w:t xml:space="preserve">“Eiropas standarta platuma 1435 mm dzelzceļa līnijas izbūve “Rail Baltica” koridorā </w:t>
      </w:r>
    </w:p>
    <w:p w:rsidRPr="00AE76EB" w:rsidR="000A531F" w:rsidP="00EC73D5" w:rsidRDefault="00EC73D5" w14:paraId="458B585A" w14:textId="2982FF35">
      <w:pPr>
        <w:jc w:val="center"/>
        <w:rPr>
          <w:b/>
          <w:sz w:val="28"/>
          <w:szCs w:val="28"/>
        </w:rPr>
      </w:pPr>
      <w:r w:rsidRPr="00EC73D5">
        <w:rPr>
          <w:b/>
          <w:sz w:val="28"/>
          <w:szCs w:val="28"/>
        </w:rPr>
        <w:t>caur Igauniju, Latviju un Lietuvu” īstenošanai</w:t>
      </w:r>
      <w:r w:rsidRPr="00AA30C8" w:rsidR="000A531F">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r w:rsidRPr="00390339">
              <w:rPr>
                <w:sz w:val="20"/>
                <w:szCs w:val="20"/>
              </w:rPr>
              <w:t>Nr.p.k.</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0A531F" w:rsidP="00390339" w:rsidRDefault="000A531F" w14:paraId="0C266C57" w14:textId="77777777">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D201AD" w:rsidP="000A531F" w:rsidRDefault="000A531F" w14:paraId="43E80F13" w14:textId="68F7201D">
            <w:r w:rsidRPr="003E112E">
              <w:t xml:space="preserve"> </w:t>
            </w:r>
            <w:r w:rsidR="00D201AD">
              <w:t xml:space="preserve">2020.gada </w:t>
            </w:r>
            <w:r w:rsidR="00102D4E">
              <w:t>20</w:t>
            </w:r>
            <w:r w:rsidR="00021C57">
              <w:t>.maijs</w:t>
            </w:r>
            <w:r w:rsidR="00D201AD">
              <w:t xml:space="preserve">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249D9C43">
            <w:pPr>
              <w:ind w:left="72"/>
            </w:pPr>
            <w:r w:rsidRPr="003A7944">
              <w:t>Tieslietu ministrija</w:t>
            </w:r>
            <w:r w:rsidR="004E4F42">
              <w:t>,</w:t>
            </w:r>
            <w:r w:rsidRPr="003A7944" w:rsidR="004E4F42">
              <w:t xml:space="preserve"> Finanšu ministrija</w:t>
            </w:r>
            <w:r w:rsidR="004E4F42">
              <w:t>.</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0C529DA4">
            <w:pPr>
              <w:ind w:left="72"/>
            </w:pP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0A531F" w14:paraId="184AF6D7" w14:textId="3B409F8A">
            <w:pPr>
              <w:ind w:left="72"/>
            </w:pP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393548F3">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Pr="003A7944" w:rsidR="005C709A" w:rsidP="00D47019" w:rsidRDefault="00B14512" w14:paraId="11A709A3" w14:textId="364E26C4">
            <w:r>
              <w:t>Finanšu ministrija</w:t>
            </w:r>
            <w:r w:rsidR="00745BE1">
              <w:t xml:space="preserve">, </w:t>
            </w:r>
            <w:r w:rsidR="005C709A">
              <w:t>Tieslietu ministrija</w:t>
            </w:r>
            <w:r w:rsidR="004E4F42">
              <w:t>.</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390339" w:rsidP="00390339" w:rsidRDefault="00390339" w14:paraId="72DD0CB1" w14:textId="77777777">
      <w:pPr>
        <w:pStyle w:val="naisf"/>
        <w:spacing w:before="0" w:after="0"/>
        <w:ind w:firstLine="0"/>
        <w:jc w:val="center"/>
        <w:rPr>
          <w:b/>
          <w:sz w:val="28"/>
          <w:szCs w:val="28"/>
        </w:rPr>
      </w:pPr>
    </w:p>
    <w:p w:rsidR="00AE76EB" w:rsidP="00390339" w:rsidRDefault="00AE76EB" w14:paraId="54F39AD1" w14:textId="77777777">
      <w:pPr>
        <w:pStyle w:val="naisf"/>
        <w:spacing w:before="0" w:after="0"/>
        <w:ind w:firstLine="0"/>
        <w:jc w:val="center"/>
        <w:rPr>
          <w:b/>
          <w:sz w:val="28"/>
          <w:szCs w:val="28"/>
        </w:rPr>
      </w:pPr>
    </w:p>
    <w:p w:rsidR="00AE76EB" w:rsidP="00390339" w:rsidRDefault="00AE76EB" w14:paraId="797CA628" w14:textId="77777777">
      <w:pPr>
        <w:pStyle w:val="naisf"/>
        <w:spacing w:before="0" w:after="0"/>
        <w:ind w:firstLine="0"/>
        <w:jc w:val="center"/>
        <w:rPr>
          <w:b/>
          <w:sz w:val="28"/>
          <w:szCs w:val="28"/>
        </w:rPr>
      </w:pPr>
    </w:p>
    <w:p w:rsidR="00C73711" w:rsidP="00390339" w:rsidRDefault="000A531F" w14:paraId="7FB632DB" w14:textId="208716A6">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91003F" w14:paraId="4254AEA4" w14:textId="77777777">
        <w:tc>
          <w:tcPr>
            <w:tcW w:w="675" w:type="dxa"/>
          </w:tcPr>
          <w:p w:rsidR="005D403F" w:rsidP="005D403F" w:rsidRDefault="00A64FA6" w14:paraId="2DF49046" w14:textId="3CDCB44B">
            <w:pPr>
              <w:pStyle w:val="naisf"/>
              <w:spacing w:before="0" w:after="0"/>
              <w:ind w:firstLine="0"/>
              <w:jc w:val="center"/>
            </w:pPr>
            <w:r>
              <w:t>1.</w:t>
            </w:r>
          </w:p>
        </w:tc>
        <w:tc>
          <w:tcPr>
            <w:tcW w:w="3119" w:type="dxa"/>
          </w:tcPr>
          <w:p w:rsidR="0032061E" w:rsidP="00491E1F" w:rsidRDefault="001D0E62" w14:paraId="5C4FA1F5" w14:textId="06B84D58">
            <w:pPr>
              <w:jc w:val="both"/>
              <w:rPr>
                <w:lang w:eastAsia="ko-KR"/>
              </w:rPr>
            </w:pPr>
            <w:r>
              <w:rPr>
                <w:lang w:eastAsia="ko-KR"/>
              </w:rPr>
              <w:t>Rīkojuma projekta a</w:t>
            </w:r>
            <w:r w:rsidR="0032061E">
              <w:rPr>
                <w:lang w:eastAsia="ko-KR"/>
              </w:rPr>
              <w:t>notācijas I sadaļas 2.punkts</w:t>
            </w:r>
            <w:r>
              <w:rPr>
                <w:lang w:eastAsia="ko-KR"/>
              </w:rPr>
              <w:t>:</w:t>
            </w:r>
          </w:p>
          <w:p w:rsidR="00491E1F" w:rsidP="00491E1F" w:rsidRDefault="001D0E62" w14:paraId="1A4FA300" w14:textId="7A6EE67D">
            <w:pPr>
              <w:jc w:val="both"/>
              <w:rPr>
                <w:lang w:eastAsia="ko-KR"/>
              </w:rPr>
            </w:pPr>
            <w:r>
              <w:rPr>
                <w:lang w:eastAsia="ko-KR"/>
              </w:rPr>
              <w:t>“</w:t>
            </w:r>
            <w:r w:rsidRPr="0032061E" w:rsidR="0032061E">
              <w:rPr>
                <w:lang w:eastAsia="ko-KR"/>
              </w:rPr>
              <w:t>Īpašniekam piederošais nekustamais īpašums ir apgrūtināts ar hipotēku (zemesgrāmatas nodalījuma IV daļas 1., 2.iedaļas ieraksts Nr.5.1., 5.2.). Parāda piedzinējs ir informēts par atsavināšanas procesu. Nekustamā īpašuma atsavināšana notiks Likuma 11.panta sestās daļas vai 12.panta trešās daļas kārtībā.</w:t>
            </w:r>
            <w:r>
              <w:rPr>
                <w:lang w:eastAsia="ko-KR"/>
              </w:rPr>
              <w:t>”</w:t>
            </w:r>
          </w:p>
        </w:tc>
        <w:tc>
          <w:tcPr>
            <w:tcW w:w="4678" w:type="dxa"/>
          </w:tcPr>
          <w:p w:rsidR="00745BE1" w:rsidP="00BF4070" w:rsidRDefault="00A64FA6" w14:paraId="2B29979A" w14:textId="77777777">
            <w:pPr>
              <w:jc w:val="center"/>
              <w:rPr>
                <w:b/>
                <w:bCs/>
              </w:rPr>
            </w:pPr>
            <w:r w:rsidRPr="00A64FA6">
              <w:rPr>
                <w:b/>
                <w:bCs/>
              </w:rPr>
              <w:t>Finanšu ministrija</w:t>
            </w:r>
          </w:p>
          <w:p w:rsidR="00A64FA6" w:rsidP="00745BE1" w:rsidRDefault="00745BE1" w14:paraId="742D202B" w14:textId="443F44B2">
            <w:pPr>
              <w:jc w:val="both"/>
            </w:pPr>
            <w:r>
              <w:t>(</w:t>
            </w:r>
            <w:r w:rsidR="00A64FA6">
              <w:t>2020.gada 8.aprīļa atzinums Nr.12/A-7/1821</w:t>
            </w:r>
            <w:r>
              <w:t>)</w:t>
            </w:r>
          </w:p>
          <w:p w:rsidR="00BF4070" w:rsidP="00745BE1" w:rsidRDefault="00BF4070" w14:paraId="4A3B2945" w14:textId="77777777">
            <w:pPr>
              <w:jc w:val="both"/>
            </w:pPr>
          </w:p>
          <w:p w:rsidR="00A64FA6" w:rsidP="00A64FA6" w:rsidRDefault="00A64FA6" w14:paraId="0F60714B" w14:textId="77777777">
            <w:pPr>
              <w:widowControl w:val="0"/>
              <w:jc w:val="both"/>
            </w:pPr>
            <w:r>
              <w:t>Rīkojuma projekta anotācijā ir atspoguļota informācija par zemesgrāmatā nostiprināto hipotēku nekustamajam īpašumam Mūkupurva ielā, Rīga, tai skaitā skaidrojot turpmāko rīcību un tiesiskās sekas nekustamā īpašuma atsavināšanas procesā.</w:t>
            </w:r>
          </w:p>
          <w:p w:rsidR="00A64FA6" w:rsidP="00A64FA6" w:rsidRDefault="00A64FA6" w14:paraId="01E71135" w14:textId="77777777">
            <w:pPr>
              <w:widowControl w:val="0"/>
              <w:jc w:val="both"/>
            </w:pPr>
            <w:r>
              <w:t>Atbilstoši Rīgas pilsētas Vidzemes priekšpilsētas tiesas Rīgas pilsētas zemesgrāmatas nodalījumā Nr.100000010508 esošajai informācijai minētajam nekustamajam īpašumam, pamatojoties uz zvērinātas tiesu izpildītājas Gunitas Špēlas 2018.gada 6.novembra nostiprinājuma lūgumu, ir ierakstīta arī piedziņas atzīme 1930,65 euro apmērā.</w:t>
            </w:r>
          </w:p>
          <w:p w:rsidRPr="00B14512" w:rsidR="005C709A" w:rsidP="00A64FA6" w:rsidRDefault="00A64FA6" w14:paraId="724A8C63" w14:textId="402771A3">
            <w:pPr>
              <w:widowControl w:val="0"/>
              <w:jc w:val="both"/>
            </w:pPr>
            <w:r>
              <w:t>Ņemot vērā minēto, lūdzam papildināt anotāciju ar skaidrojumu par turpmāko rīcību un tiesiskajām sekām arī attiecībā uz piedziņas atzīmi nekustamā īpašuma atsavināšanas procesā</w:t>
            </w:r>
            <w:r w:rsidR="00BF4070">
              <w:t>.</w:t>
            </w:r>
          </w:p>
        </w:tc>
        <w:tc>
          <w:tcPr>
            <w:tcW w:w="2722" w:type="dxa"/>
          </w:tcPr>
          <w:p w:rsidR="00F63B2E" w:rsidP="00D47019" w:rsidRDefault="00A64FA6" w14:paraId="375B518B" w14:textId="63DC45E9">
            <w:pPr>
              <w:pStyle w:val="naisf"/>
              <w:spacing w:before="0" w:after="0"/>
              <w:ind w:firstLine="0"/>
              <w:rPr>
                <w:b/>
                <w:bCs/>
              </w:rPr>
            </w:pPr>
            <w:r>
              <w:rPr>
                <w:b/>
                <w:bCs/>
              </w:rPr>
              <w:t xml:space="preserve">Iebildums ir ņemts vērā. </w:t>
            </w:r>
          </w:p>
          <w:p w:rsidR="00745BE1" w:rsidP="00D47019" w:rsidRDefault="00745BE1" w14:paraId="1472F45B" w14:textId="77777777">
            <w:pPr>
              <w:pStyle w:val="naisf"/>
              <w:spacing w:before="0" w:after="0"/>
              <w:ind w:firstLine="0"/>
              <w:rPr>
                <w:b/>
                <w:bCs/>
              </w:rPr>
            </w:pPr>
          </w:p>
          <w:p w:rsidRPr="002932D1" w:rsidR="002932D1" w:rsidP="00D47019" w:rsidRDefault="002932D1" w14:paraId="4F11965E" w14:textId="23726D48">
            <w:pPr>
              <w:pStyle w:val="naisf"/>
              <w:spacing w:before="0" w:after="0"/>
              <w:ind w:firstLine="0"/>
            </w:pPr>
            <w:r>
              <w:t>Satiksmes ministrija informē, ka piedziņas atzīme ir veikta nostiprinātās hipotēkas ietvaros</w:t>
            </w:r>
            <w:r w:rsidR="00F17D67">
              <w:t>.</w:t>
            </w:r>
            <w:r>
              <w:t xml:space="preserve"> To apliecina ieraksts par piedziņas vēršanas atzīmes pamatu, kas ir arī viens no hipotēkas nostiprinājuma ieraksta pamata dokumentiem. </w:t>
            </w:r>
          </w:p>
        </w:tc>
        <w:tc>
          <w:tcPr>
            <w:tcW w:w="2980" w:type="dxa"/>
          </w:tcPr>
          <w:p w:rsidRPr="00745BE1" w:rsidR="00F17D67" w:rsidP="00F17D67" w:rsidRDefault="00745BE1" w14:paraId="0683ADA4" w14:textId="0EA31222">
            <w:pPr>
              <w:jc w:val="both"/>
              <w:rPr>
                <w:bCs/>
              </w:rPr>
            </w:pPr>
            <w:r w:rsidRPr="00745BE1">
              <w:rPr>
                <w:bCs/>
              </w:rPr>
              <w:t>Papildināts rīkojuma projekta a</w:t>
            </w:r>
            <w:r w:rsidRPr="00745BE1" w:rsidR="0032061E">
              <w:rPr>
                <w:bCs/>
              </w:rPr>
              <w:t>notācijas I sadaļas 2.punkts</w:t>
            </w:r>
            <w:r w:rsidRPr="00745BE1">
              <w:rPr>
                <w:bCs/>
              </w:rPr>
              <w:t>:</w:t>
            </w:r>
          </w:p>
          <w:p w:rsidRPr="00745BE1" w:rsidR="00F17D67" w:rsidP="00F17D67" w:rsidRDefault="00745BE1" w14:paraId="698561E8" w14:textId="5E7740E5">
            <w:pPr>
              <w:jc w:val="both"/>
              <w:rPr>
                <w:bCs/>
              </w:rPr>
            </w:pPr>
            <w:r>
              <w:rPr>
                <w:bCs/>
              </w:rPr>
              <w:t>“</w:t>
            </w:r>
            <w:r w:rsidRPr="00745BE1" w:rsidR="00F17D67">
              <w:rPr>
                <w:bCs/>
              </w:rPr>
              <w:t>Īpašniekam piederošais nekustamais īpašums ir apgrūtināts ar hipotēku. Saskaņā ar zemesgrāmatas nodalījuma IV daļas 1., 2.iedaļas ierakstu Nr.5.1., Nr.5.2. un zemesgrāmatas nodalījuma II daļas 2.iedaļas ierakstu Nr.22.1. un Nr.22.2. personas, kuras labā ir nostiprināta hipotēka, interesēs ir uzsākts parāda piedziņas process.</w:t>
            </w:r>
          </w:p>
          <w:p w:rsidRPr="00745BE1" w:rsidR="00F17D67" w:rsidP="00F17D67" w:rsidRDefault="00F17D67" w14:paraId="3D09F186" w14:textId="77777777">
            <w:pPr>
              <w:jc w:val="both"/>
              <w:rPr>
                <w:bCs/>
              </w:rPr>
            </w:pPr>
            <w:r w:rsidRPr="00745BE1">
              <w:rPr>
                <w:bCs/>
              </w:rPr>
              <w:t xml:space="preserve">  Piedziņas procesa īstenotājs – zvērināts tiesu izpildītājs, ir informēts par nekustamā īpašuma atsavināšanu saskaņā ar Likuma 18. panta pirmo daļu.</w:t>
            </w:r>
          </w:p>
          <w:p w:rsidRPr="00745BE1" w:rsidR="00F17D67" w:rsidP="00F17D67" w:rsidRDefault="00F17D67" w14:paraId="41837F44" w14:textId="1BF204BF">
            <w:pPr>
              <w:jc w:val="both"/>
              <w:rPr>
                <w:bCs/>
              </w:rPr>
            </w:pPr>
            <w:r w:rsidRPr="00745BE1">
              <w:rPr>
                <w:bCs/>
              </w:rPr>
              <w:lastRenderedPageBreak/>
              <w:t xml:space="preserve"> Atbilstoši Likuma 7.</w:t>
            </w:r>
            <w:r w:rsidRPr="00745BE1">
              <w:rPr>
                <w:bCs/>
                <w:vertAlign w:val="superscript"/>
              </w:rPr>
              <w:t>1</w:t>
            </w:r>
            <w:r w:rsidRPr="00745BE1">
              <w:rPr>
                <w:bCs/>
              </w:rPr>
              <w:t xml:space="preserve"> pantam, lai nodrošinātu personas, kurai par labu attiecībā uz nekustamo īpašumu ir nostiprināta ķīlas tiesība, interešu ievērošanu, līgumā par nekustamā īpašuma labprātīgu atsavināšanu tiks paredzēts, ka atlīdzības kompensācija izmaksājama kārtībā, kāda, pamatojoties uz Likuma 11.panta sesto daļu, norādīta īpašnieka un personas, kurai par labu attiecībā uz nekustamo īpašumu ir nostiprināta ķīlas tiesība, savstarpēji sastādītajā paziņojumā. </w:t>
            </w:r>
          </w:p>
          <w:p w:rsidRPr="00745BE1" w:rsidR="00F17D67" w:rsidP="00F17D67" w:rsidRDefault="00F17D67" w14:paraId="6CB62885" w14:textId="4CC0CEC6">
            <w:pPr>
              <w:jc w:val="both"/>
              <w:rPr>
                <w:bCs/>
              </w:rPr>
            </w:pPr>
            <w:r w:rsidRPr="00745BE1">
              <w:rPr>
                <w:bCs/>
              </w:rPr>
              <w:t xml:space="preserve">  Ja šāda paziņojuma iesniegšana nenotiek, vai nekustamais īpašums tiek atsavināts, pamatojoties uz likumu, atlīdzības kompensācija atbilstoši Likuma 12.panta trešajai daļai ir izmaksājama Likuma 29.</w:t>
            </w:r>
            <w:r w:rsidRPr="00745BE1">
              <w:rPr>
                <w:bCs/>
                <w:vertAlign w:val="superscript"/>
              </w:rPr>
              <w:t>2</w:t>
            </w:r>
            <w:r w:rsidRPr="00745BE1">
              <w:rPr>
                <w:bCs/>
              </w:rPr>
              <w:t xml:space="preserve"> pantā noteiktajā kārtībā, t.i., tā ir deponējama zvērināta tiesu izpildītāja kontā uz trim gadiem, par to paziņojot īpašniekam un </w:t>
            </w:r>
            <w:r w:rsidRPr="00745BE1">
              <w:rPr>
                <w:bCs/>
              </w:rPr>
              <w:lastRenderedPageBreak/>
              <w:t>personai, kurai par labu attiecībā uz nekustamo īpašumu ir nostiprināta ķīlas tiesība.</w:t>
            </w:r>
          </w:p>
          <w:p w:rsidRPr="00745BE1" w:rsidR="0032061E" w:rsidP="002932D1" w:rsidRDefault="00F17D67" w14:paraId="2BB4635D" w14:textId="15CF8D0C">
            <w:pPr>
              <w:jc w:val="both"/>
              <w:rPr>
                <w:bCs/>
              </w:rPr>
            </w:pPr>
            <w:r w:rsidRPr="00745BE1">
              <w:rPr>
                <w:bCs/>
              </w:rPr>
              <w:t xml:space="preserve">  Nekustamais īpašums var pāriet valsts īpašumā brīvs no visiem apgrūtinājumiem un nastām, kuras nekustamajam īpašumam bija uzliktas saistību rezultātā (</w:t>
            </w:r>
            <w:r w:rsidR="00745BE1">
              <w:rPr>
                <w:bCs/>
              </w:rPr>
              <w:t>tostarp</w:t>
            </w:r>
            <w:r w:rsidRPr="00745BE1">
              <w:rPr>
                <w:bCs/>
              </w:rPr>
              <w:t xml:space="preserve">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 un par kurām institūcija nav tieši paziņojusi, ka tā uzņemas attiecīgos apgrūtinājumus un nastas, tikai gadījumā, ja nekustamais īpašums tiek atsavināts uz likuma pamata atbilstoši Likuma 16.panta pirmajai daļai.</w:t>
            </w:r>
            <w:r w:rsidR="00745BE1">
              <w:rPr>
                <w:bCs/>
              </w:rPr>
              <w:t>”</w:t>
            </w:r>
            <w:r w:rsidRPr="00745BE1">
              <w:rPr>
                <w:bCs/>
              </w:rPr>
              <w:t xml:space="preserve">  </w:t>
            </w:r>
          </w:p>
        </w:tc>
      </w:tr>
      <w:tr w:rsidR="001914B9" w:rsidTr="0091003F" w14:paraId="031ABAFE" w14:textId="77777777">
        <w:tc>
          <w:tcPr>
            <w:tcW w:w="675" w:type="dxa"/>
          </w:tcPr>
          <w:p w:rsidR="001914B9" w:rsidP="005D403F" w:rsidRDefault="002A1AFA" w14:paraId="45BCAAD6" w14:textId="02FF6E07">
            <w:pPr>
              <w:pStyle w:val="naisf"/>
              <w:spacing w:before="0" w:after="0"/>
              <w:ind w:firstLine="0"/>
              <w:jc w:val="center"/>
            </w:pPr>
            <w:r>
              <w:lastRenderedPageBreak/>
              <w:t>2.</w:t>
            </w:r>
          </w:p>
        </w:tc>
        <w:tc>
          <w:tcPr>
            <w:tcW w:w="3119" w:type="dxa"/>
          </w:tcPr>
          <w:p w:rsidRPr="00BB085E" w:rsidR="00EC74F1" w:rsidP="004021B9" w:rsidRDefault="00D478B8" w14:paraId="71F2A4BD" w14:textId="412D2593">
            <w:pPr>
              <w:jc w:val="both"/>
              <w:rPr>
                <w:szCs w:val="28"/>
              </w:rPr>
            </w:pPr>
            <w:r w:rsidRPr="00D478B8">
              <w:rPr>
                <w:szCs w:val="28"/>
              </w:rPr>
              <w:t>Rīkojuma projekta anotācijas I sadaļas 2.punkts</w:t>
            </w:r>
            <w:r>
              <w:rPr>
                <w:szCs w:val="28"/>
              </w:rPr>
              <w:t>.</w:t>
            </w:r>
          </w:p>
        </w:tc>
        <w:tc>
          <w:tcPr>
            <w:tcW w:w="4678" w:type="dxa"/>
          </w:tcPr>
          <w:p w:rsidR="00D478B8" w:rsidP="00D478B8" w:rsidRDefault="002A1AFA" w14:paraId="6DACDDFC" w14:textId="77777777">
            <w:pPr>
              <w:jc w:val="center"/>
              <w:rPr>
                <w:b/>
                <w:bCs/>
              </w:rPr>
            </w:pPr>
            <w:r w:rsidRPr="002A1AFA">
              <w:rPr>
                <w:b/>
                <w:bCs/>
              </w:rPr>
              <w:t>Tieslietu ministrija</w:t>
            </w:r>
          </w:p>
          <w:p w:rsidR="00F63B2E" w:rsidP="007A6F0F" w:rsidRDefault="00D478B8" w14:paraId="7F213C48" w14:textId="30124C9F">
            <w:pPr>
              <w:jc w:val="both"/>
            </w:pPr>
            <w:r>
              <w:t>(</w:t>
            </w:r>
            <w:r w:rsidR="002A1AFA">
              <w:t>2020.gada 16.aprīļa atzinums Nr.1-9.1/385)</w:t>
            </w:r>
          </w:p>
          <w:p w:rsidR="00D478B8" w:rsidP="007A6F0F" w:rsidRDefault="00D478B8" w14:paraId="49124A5A" w14:textId="77777777">
            <w:pPr>
              <w:jc w:val="both"/>
            </w:pPr>
          </w:p>
          <w:p w:rsidR="002A1AFA" w:rsidP="002A1AFA" w:rsidRDefault="002A1AFA" w14:paraId="025B355D" w14:textId="77777777">
            <w:pPr>
              <w:jc w:val="both"/>
              <w:rPr>
                <w:lang w:eastAsia="en-US"/>
              </w:rPr>
            </w:pPr>
            <w:r>
              <w:rPr>
                <w:lang w:eastAsia="en-US"/>
              </w:rPr>
              <w:t xml:space="preserve">Saskaņā ar rīkojuma projektu sabiedrības vajadzībām paredzēts atsavināt nekustamā īpašuma daļu – 0.6144 ha no zemes vienības ar kadastra apzīmējumu Nr. 0100 099 2183, kas ietilpst nekustamā īpašuma ar kadastra Nr. 0100 099 2183 sastāvā, Mūkupurva ielā 1, Rīgā (turpmāk – Nekustamais īpašums). Anotācijas I sadaļas 2. punktā ietverta informācija, ka Nekustamais īpašums ir apgrūtināts ar hipotēku. Lūdzam precizēt anotāciju saistībā ar minēto informāciju, jo no rīkojuma projektam pievienotajiem dokumentiem (konkrētāk – izdruka no Rīgas pilsētas zemesgrāmatas nodalījuma Nr. 100000010508) var secināt, ka zemesgrāmatā attiecībā uz Nekustamo īpašumu ir nostiprināta gan hipotēka, gan ierakstīta piedziņas atzīme. </w:t>
            </w:r>
          </w:p>
          <w:p w:rsidRPr="00BA5981" w:rsidR="002A1AFA" w:rsidP="002A1AFA" w:rsidRDefault="002A1AFA" w14:paraId="0E3C08C4" w14:textId="001AD787">
            <w:pPr>
              <w:jc w:val="both"/>
              <w:rPr>
                <w:lang w:eastAsia="en-US"/>
              </w:rPr>
            </w:pPr>
            <w:r>
              <w:rPr>
                <w:lang w:eastAsia="en-US"/>
              </w:rPr>
              <w:t xml:space="preserve">Ņemot vērā to, ka Zemesgrāmatu likuma 46. panta otrajā daļā noteikts, ka piedziņas atzīme kavē jebkuru īpašnieka izdarāmu labprātīgu nostiprināšanu, kā arī anotācijā minēto informāciju par to, ka Nekustamā īpašuma īpašnieks nav paudis viedokli par īpašuma atsavināšanu un noteikto atlīdzību, lūdzam papildināt anotāciju ar informāciju par regulējumu saistībā ar nekustamo īpašumu atsavināšanu uz likuma pamata. Tieslietu ministrijas ieskatā, ja tiek plānots atsavināt Nekustamo īpašumu, noslēdzot līgumu ar tā </w:t>
            </w:r>
            <w:r>
              <w:rPr>
                <w:lang w:eastAsia="en-US"/>
              </w:rPr>
              <w:lastRenderedPageBreak/>
              <w:t>īpašnieku, zemesgrāmatā reģistrētā piedziņas atzīme var būt šķērslis Nekustamā īpašuma daļas atdalīšanai un īpašuma tiesību nostiprināšanai zemesgrāmatā uz valsts vārda.</w:t>
            </w:r>
          </w:p>
        </w:tc>
        <w:tc>
          <w:tcPr>
            <w:tcW w:w="2722" w:type="dxa"/>
          </w:tcPr>
          <w:p w:rsidR="001914B9" w:rsidP="00FE5C77" w:rsidRDefault="002A1AFA" w14:paraId="53472254" w14:textId="77777777">
            <w:pPr>
              <w:pStyle w:val="naisf"/>
              <w:spacing w:before="0" w:after="0"/>
              <w:ind w:firstLine="0"/>
              <w:rPr>
                <w:rFonts w:eastAsia="Calibri"/>
                <w:b/>
                <w:lang w:eastAsia="en-US"/>
              </w:rPr>
            </w:pPr>
            <w:r>
              <w:rPr>
                <w:rFonts w:eastAsia="Calibri"/>
                <w:b/>
                <w:lang w:eastAsia="en-US"/>
              </w:rPr>
              <w:lastRenderedPageBreak/>
              <w:t>Iebildums ir ņemts vērā.</w:t>
            </w:r>
          </w:p>
          <w:p w:rsidRPr="007F0A92" w:rsidR="002A1AFA" w:rsidP="00FE5C77" w:rsidRDefault="002A1AFA" w14:paraId="3247B2CD" w14:textId="05D74BA2">
            <w:pPr>
              <w:pStyle w:val="naisf"/>
              <w:spacing w:before="0" w:after="0"/>
              <w:ind w:firstLine="0"/>
              <w:rPr>
                <w:rFonts w:eastAsia="Calibri"/>
                <w:b/>
                <w:lang w:eastAsia="en-US"/>
              </w:rPr>
            </w:pPr>
          </w:p>
        </w:tc>
        <w:tc>
          <w:tcPr>
            <w:tcW w:w="2980" w:type="dxa"/>
          </w:tcPr>
          <w:p w:rsidRPr="00D478B8" w:rsidR="00EC74F1" w:rsidP="007A6F0F" w:rsidRDefault="00D478B8" w14:paraId="24AFB0B4" w14:textId="14980812">
            <w:pPr>
              <w:jc w:val="both"/>
              <w:rPr>
                <w:bCs/>
                <w:iCs/>
                <w:color w:val="000000"/>
              </w:rPr>
            </w:pPr>
            <w:r w:rsidRPr="00D478B8">
              <w:rPr>
                <w:rFonts w:eastAsia="Calibri"/>
                <w:bCs/>
                <w:lang w:eastAsia="en-US"/>
              </w:rPr>
              <w:t>Skatīt izziņas 1.punktu.</w:t>
            </w:r>
          </w:p>
        </w:tc>
      </w:tr>
      <w:tr w:rsidR="00385EC6" w:rsidTr="0091003F" w14:paraId="380CD09A" w14:textId="77777777">
        <w:tc>
          <w:tcPr>
            <w:tcW w:w="675" w:type="dxa"/>
          </w:tcPr>
          <w:p w:rsidR="00385EC6" w:rsidP="005D403F" w:rsidRDefault="002A1AFA" w14:paraId="69365FE0" w14:textId="27B20211">
            <w:pPr>
              <w:pStyle w:val="naisf"/>
              <w:spacing w:before="0" w:after="0"/>
              <w:ind w:firstLine="0"/>
              <w:jc w:val="center"/>
            </w:pPr>
            <w:r>
              <w:t>3.</w:t>
            </w:r>
          </w:p>
        </w:tc>
        <w:tc>
          <w:tcPr>
            <w:tcW w:w="3119" w:type="dxa"/>
          </w:tcPr>
          <w:p w:rsidR="00385EC6" w:rsidP="004021B9" w:rsidRDefault="00385EC6" w14:paraId="6608F302" w14:textId="77777777">
            <w:pPr>
              <w:jc w:val="both"/>
              <w:rPr>
                <w:szCs w:val="28"/>
              </w:rPr>
            </w:pPr>
          </w:p>
        </w:tc>
        <w:tc>
          <w:tcPr>
            <w:tcW w:w="4678" w:type="dxa"/>
          </w:tcPr>
          <w:p w:rsidR="00EC4A4F" w:rsidP="00EC4A4F" w:rsidRDefault="002A1AFA" w14:paraId="4405CEC9" w14:textId="77777777">
            <w:pPr>
              <w:jc w:val="center"/>
              <w:rPr>
                <w:b/>
                <w:bCs/>
                <w:lang w:eastAsia="en-US"/>
              </w:rPr>
            </w:pPr>
            <w:r w:rsidRPr="002A1AFA">
              <w:rPr>
                <w:b/>
                <w:bCs/>
                <w:lang w:eastAsia="en-US"/>
              </w:rPr>
              <w:t>Tieslietu ministrija</w:t>
            </w:r>
          </w:p>
          <w:p w:rsidR="002A1AFA" w:rsidP="00385EC6" w:rsidRDefault="00EC4A4F" w14:paraId="7463F5D4" w14:textId="3FA5647D">
            <w:pPr>
              <w:jc w:val="both"/>
              <w:rPr>
                <w:lang w:eastAsia="en-US"/>
              </w:rPr>
            </w:pPr>
            <w:r>
              <w:rPr>
                <w:lang w:eastAsia="en-US"/>
              </w:rPr>
              <w:t>(</w:t>
            </w:r>
            <w:r w:rsidRPr="002A1AFA" w:rsidR="002A1AFA">
              <w:rPr>
                <w:lang w:eastAsia="en-US"/>
              </w:rPr>
              <w:t>2020.gada 16.aprīļa atzinums Nr.1-9.1/385)</w:t>
            </w:r>
          </w:p>
          <w:p w:rsidR="00EC4A4F" w:rsidP="00385EC6" w:rsidRDefault="00EC4A4F" w14:paraId="470CEB59" w14:textId="77777777">
            <w:pPr>
              <w:jc w:val="both"/>
              <w:rPr>
                <w:lang w:eastAsia="en-US"/>
              </w:rPr>
            </w:pPr>
          </w:p>
          <w:p w:rsidRPr="00B67C4E" w:rsidR="00385EC6" w:rsidP="00385EC6" w:rsidRDefault="002A1AFA" w14:paraId="005F7D61" w14:textId="7EEA0F90">
            <w:pPr>
              <w:jc w:val="both"/>
              <w:rPr>
                <w:lang w:eastAsia="en-US"/>
              </w:rPr>
            </w:pPr>
            <w:r w:rsidRPr="002A1AFA">
              <w:rPr>
                <w:lang w:eastAsia="en-US"/>
              </w:rPr>
              <w:t>Papildus lūdzam turpmāk rīkojuma projektiem pievienot arī dokumentus, kuros ietverts paziņojums par nekustamā īpašuma vai tā daļas atsavināšanas nepieciešamību personai, kurai par labu attiecībā uz nekustamo īpašumu ir nostiprināta ķīlas tiesība, vai kuras nostiprinājuma lūgums ir par pamatu piedziņas atzīmes ierakstīšanai zemesgrāmatā.</w:t>
            </w:r>
          </w:p>
        </w:tc>
        <w:tc>
          <w:tcPr>
            <w:tcW w:w="2722" w:type="dxa"/>
          </w:tcPr>
          <w:p w:rsidR="00EC4A4F" w:rsidP="00FE5C77" w:rsidRDefault="002A1AFA" w14:paraId="24FFF935" w14:textId="77777777">
            <w:pPr>
              <w:pStyle w:val="naisf"/>
              <w:spacing w:before="0" w:after="0"/>
              <w:ind w:firstLine="0"/>
              <w:rPr>
                <w:rFonts w:eastAsia="Calibri"/>
                <w:b/>
                <w:lang w:eastAsia="en-US"/>
              </w:rPr>
            </w:pPr>
            <w:r>
              <w:rPr>
                <w:rFonts w:eastAsia="Calibri"/>
                <w:b/>
                <w:lang w:eastAsia="en-US"/>
              </w:rPr>
              <w:t xml:space="preserve">Iebildums ir ņemts vērā. </w:t>
            </w:r>
          </w:p>
          <w:p w:rsidR="00EC4A4F" w:rsidP="00FE5C77" w:rsidRDefault="00EC4A4F" w14:paraId="51C7217C" w14:textId="77777777">
            <w:pPr>
              <w:pStyle w:val="naisf"/>
              <w:spacing w:before="0" w:after="0"/>
              <w:ind w:firstLine="0"/>
              <w:rPr>
                <w:rFonts w:eastAsia="Calibri"/>
                <w:b/>
                <w:lang w:eastAsia="en-US"/>
              </w:rPr>
            </w:pPr>
          </w:p>
          <w:p w:rsidRPr="00EC4A4F" w:rsidR="006C4AF1" w:rsidP="00FE5C77" w:rsidRDefault="006D0B7B" w14:paraId="6A59AA0F" w14:textId="0B08202D">
            <w:pPr>
              <w:pStyle w:val="naisf"/>
              <w:spacing w:before="0" w:after="0"/>
              <w:ind w:firstLine="0"/>
              <w:rPr>
                <w:rFonts w:eastAsia="Calibri"/>
                <w:bCs/>
                <w:lang w:eastAsia="en-US"/>
              </w:rPr>
            </w:pPr>
            <w:r w:rsidRPr="00EC4A4F">
              <w:rPr>
                <w:rFonts w:eastAsia="Calibri"/>
                <w:bCs/>
                <w:lang w:eastAsia="en-US"/>
              </w:rPr>
              <w:t>Turpmāk p</w:t>
            </w:r>
            <w:r w:rsidRPr="00EC4A4F" w:rsidR="002A1AFA">
              <w:rPr>
                <w:rFonts w:eastAsia="Calibri"/>
                <w:bCs/>
                <w:lang w:eastAsia="en-US"/>
              </w:rPr>
              <w:t xml:space="preserve">askaidrojošie dokumenti </w:t>
            </w:r>
            <w:r w:rsidRPr="00EC4A4F">
              <w:rPr>
                <w:rFonts w:eastAsia="Calibri"/>
                <w:bCs/>
                <w:lang w:eastAsia="en-US"/>
              </w:rPr>
              <w:t>tiks</w:t>
            </w:r>
            <w:r w:rsidRPr="00EC4A4F" w:rsidR="002A1AFA">
              <w:rPr>
                <w:rFonts w:eastAsia="Calibri"/>
                <w:bCs/>
                <w:lang w:eastAsia="en-US"/>
              </w:rPr>
              <w:t xml:space="preserve"> papildināti ar attiecīga satura paziņojumu.</w:t>
            </w:r>
          </w:p>
        </w:tc>
        <w:tc>
          <w:tcPr>
            <w:tcW w:w="2980" w:type="dxa"/>
          </w:tcPr>
          <w:p w:rsidRPr="00B57532" w:rsidR="009E3E80" w:rsidP="000321DD" w:rsidRDefault="009E3E80" w14:paraId="0CDDE7A8" w14:textId="010F3569">
            <w:pPr>
              <w:jc w:val="both"/>
              <w:rPr>
                <w:b/>
                <w:bCs/>
                <w:iCs/>
                <w:color w:val="000000"/>
              </w:rPr>
            </w:pPr>
          </w:p>
        </w:tc>
      </w:tr>
    </w:tbl>
    <w:p w:rsidR="002A1AFA" w:rsidP="000A531F" w:rsidRDefault="002A1AFA" w14:paraId="69F2CAEA" w14:textId="108E5F14">
      <w:pPr>
        <w:jc w:val="both"/>
      </w:pPr>
    </w:p>
    <w:p w:rsidR="00645809" w:rsidP="000A531F" w:rsidRDefault="00645809" w14:paraId="40E243AE" w14:textId="77777777">
      <w:pPr>
        <w:jc w:val="both"/>
      </w:pPr>
    </w:p>
    <w:p w:rsidRPr="00EA0FF1" w:rsidR="000A531F" w:rsidP="000A531F" w:rsidRDefault="000A531F" w14:paraId="53C4EB95" w14:textId="700AD0A2">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62DB2" w14:textId="77777777" w:rsidR="00CF0A2E" w:rsidRDefault="00CF0A2E" w:rsidP="000A531F">
      <w:r>
        <w:separator/>
      </w:r>
    </w:p>
  </w:endnote>
  <w:endnote w:type="continuationSeparator" w:id="0">
    <w:p w14:paraId="3977730D" w14:textId="77777777" w:rsidR="00CF0A2E" w:rsidRDefault="00CF0A2E"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74484603" w:rsidR="00FC51C5" w:rsidRPr="00FC51C5" w:rsidRDefault="008D3595" w:rsidP="00FC51C5">
    <w:pPr>
      <w:jc w:val="both"/>
      <w:rPr>
        <w:bCs/>
        <w:sz w:val="20"/>
        <w:szCs w:val="20"/>
        <w:lang w:eastAsia="ko-KR"/>
      </w:rPr>
    </w:pPr>
    <w:r>
      <w:rPr>
        <w:sz w:val="20"/>
        <w:szCs w:val="20"/>
      </w:rPr>
      <w:t>SMi</w:t>
    </w:r>
    <w:r w:rsidR="00AA30C8">
      <w:rPr>
        <w:sz w:val="20"/>
        <w:szCs w:val="20"/>
      </w:rPr>
      <w:t>zz_</w:t>
    </w:r>
    <w:r w:rsidR="00021C57">
      <w:rPr>
        <w:sz w:val="20"/>
        <w:szCs w:val="20"/>
      </w:rPr>
      <w:t>050520_VSS_</w:t>
    </w:r>
    <w:r w:rsidR="00A64FA6">
      <w:rPr>
        <w:sz w:val="20"/>
        <w:szCs w:val="20"/>
      </w:rPr>
      <w:t>271</w:t>
    </w:r>
  </w:p>
  <w:p w14:paraId="0E9B010F" w14:textId="77777777" w:rsidR="00013AD7" w:rsidRPr="00570BB9" w:rsidRDefault="00A7663C"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3CB1A563" w:rsidR="00EA4FB1" w:rsidRPr="00FC51C5" w:rsidRDefault="008D3595" w:rsidP="00EA4FB1">
    <w:pPr>
      <w:jc w:val="both"/>
      <w:rPr>
        <w:bCs/>
        <w:sz w:val="20"/>
        <w:szCs w:val="20"/>
        <w:lang w:eastAsia="ko-KR"/>
      </w:rPr>
    </w:pPr>
    <w:r>
      <w:rPr>
        <w:sz w:val="20"/>
        <w:szCs w:val="20"/>
      </w:rPr>
      <w:t>SMi</w:t>
    </w:r>
    <w:r w:rsidR="00E9372F">
      <w:rPr>
        <w:sz w:val="20"/>
        <w:szCs w:val="20"/>
      </w:rPr>
      <w:t>zz_</w:t>
    </w:r>
    <w:r w:rsidR="00021C57">
      <w:rPr>
        <w:sz w:val="20"/>
        <w:szCs w:val="20"/>
      </w:rPr>
      <w:t>050520_VSS_</w:t>
    </w:r>
    <w:r w:rsidR="00A64FA6">
      <w:rPr>
        <w:sz w:val="20"/>
        <w:szCs w:val="20"/>
      </w:rPr>
      <w:t>271</w:t>
    </w:r>
  </w:p>
  <w:p w14:paraId="71D70F49" w14:textId="77777777" w:rsidR="00E65AF3" w:rsidRPr="00E15A76" w:rsidRDefault="00E65AF3" w:rsidP="00E65AF3">
    <w:pPr>
      <w:jc w:val="both"/>
      <w:rPr>
        <w:bCs/>
        <w:sz w:val="20"/>
        <w:szCs w:val="20"/>
      </w:rPr>
    </w:pPr>
  </w:p>
  <w:p w14:paraId="627254F6" w14:textId="77777777" w:rsidR="00013AD7" w:rsidRPr="0022701B" w:rsidRDefault="00A7663C"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27C3E" w14:textId="77777777" w:rsidR="00CF0A2E" w:rsidRDefault="00CF0A2E" w:rsidP="000A531F">
      <w:r>
        <w:separator/>
      </w:r>
    </w:p>
  </w:footnote>
  <w:footnote w:type="continuationSeparator" w:id="0">
    <w:p w14:paraId="421CE097" w14:textId="77777777" w:rsidR="00CF0A2E" w:rsidRDefault="00CF0A2E"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A7663C"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A7663C"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21C57"/>
    <w:rsid w:val="00031A2B"/>
    <w:rsid w:val="000321DD"/>
    <w:rsid w:val="00036659"/>
    <w:rsid w:val="0004179C"/>
    <w:rsid w:val="00054FE8"/>
    <w:rsid w:val="0006139E"/>
    <w:rsid w:val="00070584"/>
    <w:rsid w:val="000A39DD"/>
    <w:rsid w:val="000A531F"/>
    <w:rsid w:val="000B045E"/>
    <w:rsid w:val="000B5ECF"/>
    <w:rsid w:val="00102D4E"/>
    <w:rsid w:val="00120A54"/>
    <w:rsid w:val="0013486B"/>
    <w:rsid w:val="001616A0"/>
    <w:rsid w:val="00161C98"/>
    <w:rsid w:val="00185895"/>
    <w:rsid w:val="001914B9"/>
    <w:rsid w:val="001B0C1E"/>
    <w:rsid w:val="001B4F15"/>
    <w:rsid w:val="001D0E62"/>
    <w:rsid w:val="001E1A14"/>
    <w:rsid w:val="001E350D"/>
    <w:rsid w:val="001E4E30"/>
    <w:rsid w:val="001F380D"/>
    <w:rsid w:val="001F5E0D"/>
    <w:rsid w:val="00203435"/>
    <w:rsid w:val="00212734"/>
    <w:rsid w:val="00212D1C"/>
    <w:rsid w:val="0021718F"/>
    <w:rsid w:val="002230AC"/>
    <w:rsid w:val="00236459"/>
    <w:rsid w:val="00251198"/>
    <w:rsid w:val="00264C2F"/>
    <w:rsid w:val="00270D5D"/>
    <w:rsid w:val="002710B5"/>
    <w:rsid w:val="00283C11"/>
    <w:rsid w:val="00287A40"/>
    <w:rsid w:val="00290A24"/>
    <w:rsid w:val="002932D1"/>
    <w:rsid w:val="002A1AFA"/>
    <w:rsid w:val="002C47B5"/>
    <w:rsid w:val="002D3C34"/>
    <w:rsid w:val="002D588B"/>
    <w:rsid w:val="002D7A98"/>
    <w:rsid w:val="002E51C4"/>
    <w:rsid w:val="00302611"/>
    <w:rsid w:val="00304936"/>
    <w:rsid w:val="00307E7E"/>
    <w:rsid w:val="003101D8"/>
    <w:rsid w:val="0032061E"/>
    <w:rsid w:val="00326543"/>
    <w:rsid w:val="003501C0"/>
    <w:rsid w:val="00380B98"/>
    <w:rsid w:val="00385EC6"/>
    <w:rsid w:val="00390339"/>
    <w:rsid w:val="003C1E3D"/>
    <w:rsid w:val="003D2373"/>
    <w:rsid w:val="003D37F3"/>
    <w:rsid w:val="003E112E"/>
    <w:rsid w:val="004021B9"/>
    <w:rsid w:val="00402889"/>
    <w:rsid w:val="00405454"/>
    <w:rsid w:val="004227B4"/>
    <w:rsid w:val="004273F5"/>
    <w:rsid w:val="00431A7C"/>
    <w:rsid w:val="004401DB"/>
    <w:rsid w:val="00444A47"/>
    <w:rsid w:val="00453894"/>
    <w:rsid w:val="00457251"/>
    <w:rsid w:val="00474825"/>
    <w:rsid w:val="00481D67"/>
    <w:rsid w:val="00483870"/>
    <w:rsid w:val="00485BEE"/>
    <w:rsid w:val="00486CEF"/>
    <w:rsid w:val="004911C0"/>
    <w:rsid w:val="00491E1F"/>
    <w:rsid w:val="0049672C"/>
    <w:rsid w:val="004A3325"/>
    <w:rsid w:val="004A3842"/>
    <w:rsid w:val="004A4217"/>
    <w:rsid w:val="004E4F42"/>
    <w:rsid w:val="004F65A9"/>
    <w:rsid w:val="005023AC"/>
    <w:rsid w:val="005029D4"/>
    <w:rsid w:val="00511A74"/>
    <w:rsid w:val="00517539"/>
    <w:rsid w:val="00523477"/>
    <w:rsid w:val="0053729A"/>
    <w:rsid w:val="00546049"/>
    <w:rsid w:val="005503B3"/>
    <w:rsid w:val="00557845"/>
    <w:rsid w:val="00557BA5"/>
    <w:rsid w:val="005617F5"/>
    <w:rsid w:val="00562EF2"/>
    <w:rsid w:val="0057339C"/>
    <w:rsid w:val="005776CA"/>
    <w:rsid w:val="00580CD2"/>
    <w:rsid w:val="005A09B3"/>
    <w:rsid w:val="005A5CE7"/>
    <w:rsid w:val="005B5C10"/>
    <w:rsid w:val="005C28F5"/>
    <w:rsid w:val="005C709A"/>
    <w:rsid w:val="005D403F"/>
    <w:rsid w:val="005F3723"/>
    <w:rsid w:val="005F3CFA"/>
    <w:rsid w:val="005F437F"/>
    <w:rsid w:val="005F4B79"/>
    <w:rsid w:val="00602FC3"/>
    <w:rsid w:val="00606571"/>
    <w:rsid w:val="00640D28"/>
    <w:rsid w:val="00645809"/>
    <w:rsid w:val="006523CA"/>
    <w:rsid w:val="006854E4"/>
    <w:rsid w:val="00693260"/>
    <w:rsid w:val="006B04E7"/>
    <w:rsid w:val="006B3025"/>
    <w:rsid w:val="006C196E"/>
    <w:rsid w:val="006C4AF1"/>
    <w:rsid w:val="006C703C"/>
    <w:rsid w:val="006D0B7B"/>
    <w:rsid w:val="006D534A"/>
    <w:rsid w:val="006E1F6A"/>
    <w:rsid w:val="00705DBC"/>
    <w:rsid w:val="00707579"/>
    <w:rsid w:val="00716F47"/>
    <w:rsid w:val="007210AF"/>
    <w:rsid w:val="0072704D"/>
    <w:rsid w:val="00732176"/>
    <w:rsid w:val="00745BE1"/>
    <w:rsid w:val="007469D5"/>
    <w:rsid w:val="00757582"/>
    <w:rsid w:val="00764E51"/>
    <w:rsid w:val="00770AD8"/>
    <w:rsid w:val="00783E6E"/>
    <w:rsid w:val="007A38FD"/>
    <w:rsid w:val="007A67A2"/>
    <w:rsid w:val="007A6F0F"/>
    <w:rsid w:val="007B0C72"/>
    <w:rsid w:val="007C21FF"/>
    <w:rsid w:val="007C24D1"/>
    <w:rsid w:val="007D3819"/>
    <w:rsid w:val="007E2611"/>
    <w:rsid w:val="007F0A92"/>
    <w:rsid w:val="007F39E0"/>
    <w:rsid w:val="007F5214"/>
    <w:rsid w:val="007F5237"/>
    <w:rsid w:val="007F7190"/>
    <w:rsid w:val="008138C6"/>
    <w:rsid w:val="00840AC1"/>
    <w:rsid w:val="008454B7"/>
    <w:rsid w:val="00845C31"/>
    <w:rsid w:val="0085769C"/>
    <w:rsid w:val="00857BEB"/>
    <w:rsid w:val="00861F81"/>
    <w:rsid w:val="00863A75"/>
    <w:rsid w:val="008655DA"/>
    <w:rsid w:val="00887A13"/>
    <w:rsid w:val="008973CB"/>
    <w:rsid w:val="008A3BA3"/>
    <w:rsid w:val="008B1CF5"/>
    <w:rsid w:val="008C2198"/>
    <w:rsid w:val="008C7596"/>
    <w:rsid w:val="008D3595"/>
    <w:rsid w:val="008D74D3"/>
    <w:rsid w:val="008D7795"/>
    <w:rsid w:val="008E5699"/>
    <w:rsid w:val="0090000D"/>
    <w:rsid w:val="00906110"/>
    <w:rsid w:val="0091003F"/>
    <w:rsid w:val="00930695"/>
    <w:rsid w:val="00940187"/>
    <w:rsid w:val="0094059F"/>
    <w:rsid w:val="00955F6B"/>
    <w:rsid w:val="009637BC"/>
    <w:rsid w:val="009702A1"/>
    <w:rsid w:val="00971B02"/>
    <w:rsid w:val="00972C39"/>
    <w:rsid w:val="00974FA1"/>
    <w:rsid w:val="00975516"/>
    <w:rsid w:val="00977DFB"/>
    <w:rsid w:val="009903D9"/>
    <w:rsid w:val="0099571E"/>
    <w:rsid w:val="009D0DE2"/>
    <w:rsid w:val="009D6B36"/>
    <w:rsid w:val="009E3E80"/>
    <w:rsid w:val="009E765A"/>
    <w:rsid w:val="009E7D11"/>
    <w:rsid w:val="00A15FF0"/>
    <w:rsid w:val="00A34347"/>
    <w:rsid w:val="00A36F3C"/>
    <w:rsid w:val="00A64FA6"/>
    <w:rsid w:val="00A67E47"/>
    <w:rsid w:val="00A7663C"/>
    <w:rsid w:val="00A91A94"/>
    <w:rsid w:val="00AA30C8"/>
    <w:rsid w:val="00AA4796"/>
    <w:rsid w:val="00AA6CE9"/>
    <w:rsid w:val="00AB2D31"/>
    <w:rsid w:val="00AC59EC"/>
    <w:rsid w:val="00AD0322"/>
    <w:rsid w:val="00AD080E"/>
    <w:rsid w:val="00AD3972"/>
    <w:rsid w:val="00AD6446"/>
    <w:rsid w:val="00AE0E61"/>
    <w:rsid w:val="00AE76EB"/>
    <w:rsid w:val="00AF7C82"/>
    <w:rsid w:val="00B13F24"/>
    <w:rsid w:val="00B14512"/>
    <w:rsid w:val="00B33DAC"/>
    <w:rsid w:val="00B44F89"/>
    <w:rsid w:val="00B45DE0"/>
    <w:rsid w:val="00B57532"/>
    <w:rsid w:val="00B641E0"/>
    <w:rsid w:val="00B65773"/>
    <w:rsid w:val="00B67C4E"/>
    <w:rsid w:val="00B87422"/>
    <w:rsid w:val="00B90BD6"/>
    <w:rsid w:val="00B93C32"/>
    <w:rsid w:val="00BA5981"/>
    <w:rsid w:val="00BA5B5C"/>
    <w:rsid w:val="00BB085E"/>
    <w:rsid w:val="00BB5CE6"/>
    <w:rsid w:val="00BC0E1F"/>
    <w:rsid w:val="00BF4070"/>
    <w:rsid w:val="00BF46D9"/>
    <w:rsid w:val="00BF56C6"/>
    <w:rsid w:val="00C00E70"/>
    <w:rsid w:val="00C03748"/>
    <w:rsid w:val="00C24317"/>
    <w:rsid w:val="00C319A3"/>
    <w:rsid w:val="00C56DAD"/>
    <w:rsid w:val="00C708D6"/>
    <w:rsid w:val="00C73711"/>
    <w:rsid w:val="00C759D4"/>
    <w:rsid w:val="00C77313"/>
    <w:rsid w:val="00C80A32"/>
    <w:rsid w:val="00C908F5"/>
    <w:rsid w:val="00CA0484"/>
    <w:rsid w:val="00CA590E"/>
    <w:rsid w:val="00CC0355"/>
    <w:rsid w:val="00CD3D34"/>
    <w:rsid w:val="00CD59D2"/>
    <w:rsid w:val="00CF0A2E"/>
    <w:rsid w:val="00CF228A"/>
    <w:rsid w:val="00D17E2B"/>
    <w:rsid w:val="00D201AD"/>
    <w:rsid w:val="00D47019"/>
    <w:rsid w:val="00D478B8"/>
    <w:rsid w:val="00D55FAD"/>
    <w:rsid w:val="00D56DC4"/>
    <w:rsid w:val="00D66F4C"/>
    <w:rsid w:val="00D7217B"/>
    <w:rsid w:val="00D84BD2"/>
    <w:rsid w:val="00DA2FA4"/>
    <w:rsid w:val="00DA5A2A"/>
    <w:rsid w:val="00DC002D"/>
    <w:rsid w:val="00DC28A7"/>
    <w:rsid w:val="00DF3EEC"/>
    <w:rsid w:val="00DF59E7"/>
    <w:rsid w:val="00DF5CFC"/>
    <w:rsid w:val="00E15A76"/>
    <w:rsid w:val="00E41B15"/>
    <w:rsid w:val="00E51EB0"/>
    <w:rsid w:val="00E65AF3"/>
    <w:rsid w:val="00E90C3C"/>
    <w:rsid w:val="00E91805"/>
    <w:rsid w:val="00E9372F"/>
    <w:rsid w:val="00E97C36"/>
    <w:rsid w:val="00EA0FF1"/>
    <w:rsid w:val="00EA19C2"/>
    <w:rsid w:val="00EA2237"/>
    <w:rsid w:val="00EA35D7"/>
    <w:rsid w:val="00EA4FB1"/>
    <w:rsid w:val="00EA5070"/>
    <w:rsid w:val="00EA671E"/>
    <w:rsid w:val="00EB2FCF"/>
    <w:rsid w:val="00EC4A4F"/>
    <w:rsid w:val="00EC73D5"/>
    <w:rsid w:val="00EC74F1"/>
    <w:rsid w:val="00ED020A"/>
    <w:rsid w:val="00ED02EA"/>
    <w:rsid w:val="00ED471F"/>
    <w:rsid w:val="00EE477A"/>
    <w:rsid w:val="00EE4B10"/>
    <w:rsid w:val="00EE7A2F"/>
    <w:rsid w:val="00EF21E1"/>
    <w:rsid w:val="00F07B97"/>
    <w:rsid w:val="00F13F94"/>
    <w:rsid w:val="00F17D67"/>
    <w:rsid w:val="00F27F65"/>
    <w:rsid w:val="00F34D14"/>
    <w:rsid w:val="00F54A5F"/>
    <w:rsid w:val="00F5533C"/>
    <w:rsid w:val="00F57C7D"/>
    <w:rsid w:val="00F62623"/>
    <w:rsid w:val="00F6373F"/>
    <w:rsid w:val="00F63B2E"/>
    <w:rsid w:val="00F77C0F"/>
    <w:rsid w:val="00F87749"/>
    <w:rsid w:val="00FC51C5"/>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BF93-B558-4E10-94FB-8FAA8812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4857</Words>
  <Characters>2770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Par nekustamā īpašuma Mūkupurva ielā, Rīgā, daļas pirkšanu Eiropas standarta platuma 1435 mm dzelzceļa līnijas izbūves Rail Baltica koridorā caur Igauniju, Latviju un Lietuvu būvniecības projekta īstenošanai</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Mūkupurva ielā, Rīgā, daļas pirkšanu Eiropas standarta platuma 1435 mm dzelzceļa līnijas izbūves Rail Baltica koridorā caur Igauniju, Latviju un Lietuvu būvniecības projekta īstenošanai</dc:title>
  <dc:creator>Sandra.Silina@sam.gov.lv;Satiksmes ministrijas Juridiskā departamenta Nekustamo īpašumu nodaļas vecākā referente;tālr. 67028031;SIA "Eiropas dzelzceļa līnijas" Nekustamā īpašuma atsavināšanas departamenta nekustamā īpašuma speciālists Aigars Naglis;66954254;aigars.naglis@edz.lv</dc:creator>
  <cp:keywords>MK rīkojuma projekts</cp:keywords>
  <dc:description>aigars.naglis@edzl.lv, 66954254; sandra.silina@sam.gov.lv, 67028031</dc:description>
  <cp:lastModifiedBy>Baiba Jirgena</cp:lastModifiedBy>
  <cp:revision>3</cp:revision>
  <cp:lastPrinted>2018-07-23T10:08:00Z</cp:lastPrinted>
  <dcterms:created xsi:type="dcterms:W3CDTF">2020-06-02T07:40:00Z</dcterms:created>
  <dcterms:modified xsi:type="dcterms:W3CDTF">2020-06-02T12:11:00Z</dcterms:modified>
</cp:coreProperties>
</file>