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349E" w14:textId="1D86FCC5" w:rsidR="000D4A29" w:rsidRPr="00684288" w:rsidRDefault="000D4A29" w:rsidP="00A8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884062"/>
      <w:r w:rsidRPr="00684288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="003E4271" w:rsidRPr="00684288">
        <w:rPr>
          <w:rFonts w:ascii="Times New Roman" w:hAnsi="Times New Roman" w:cs="Times New Roman"/>
          <w:b/>
          <w:sz w:val="24"/>
          <w:szCs w:val="24"/>
        </w:rPr>
        <w:t>rīkojuma</w:t>
      </w:r>
      <w:r w:rsidRPr="0068428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3E4271" w:rsidRPr="00684288">
        <w:rPr>
          <w:rFonts w:ascii="Times New Roman" w:hAnsi="Times New Roman" w:cs="Times New Roman"/>
          <w:b/>
          <w:sz w:val="24"/>
          <w:szCs w:val="24"/>
        </w:rPr>
        <w:t>Par komisijas izveidi pašvaldību investīciju projektu izvērtēšanai</w:t>
      </w:r>
      <w:r w:rsidRPr="00684288">
        <w:rPr>
          <w:rFonts w:ascii="Times New Roman" w:hAnsi="Times New Roman" w:cs="Times New Roman"/>
          <w:b/>
          <w:sz w:val="24"/>
          <w:szCs w:val="24"/>
        </w:rPr>
        <w:t>” projekta sākotnējās ietekmes novērtējuma ziņojums</w:t>
      </w:r>
      <w:r w:rsidR="00CC73AE" w:rsidRPr="0068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288">
        <w:rPr>
          <w:rFonts w:ascii="Times New Roman" w:hAnsi="Times New Roman" w:cs="Times New Roman"/>
          <w:b/>
          <w:sz w:val="24"/>
          <w:szCs w:val="24"/>
        </w:rPr>
        <w:t>(anotācija)</w:t>
      </w:r>
    </w:p>
    <w:bookmarkEnd w:id="0"/>
    <w:p w14:paraId="0C95EBFE" w14:textId="77777777" w:rsidR="000D4A29" w:rsidRPr="00684288" w:rsidRDefault="000D4A29" w:rsidP="000D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1"/>
        <w:gridCol w:w="5869"/>
      </w:tblGrid>
      <w:tr w:rsidR="00684288" w:rsidRPr="00684288" w14:paraId="5B427463" w14:textId="77777777" w:rsidTr="00A92C6F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5558F4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84288" w:rsidRPr="00684288" w14:paraId="5B95F43E" w14:textId="77777777" w:rsidTr="00A92C6F">
        <w:tc>
          <w:tcPr>
            <w:tcW w:w="1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7DB99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F5751F" w14:textId="649C9A27" w:rsidR="007F48ED" w:rsidRPr="00684288" w:rsidRDefault="00E91882" w:rsidP="00E9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3E42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</w:t>
            </w:r>
            <w:r w:rsidR="00947C0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3E42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komisijas izveidi pašvaldību investīciju projektu izvērtēšanai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947C0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</w:t>
            </w:r>
            <w:r w:rsidR="00947C0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42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</w:t>
            </w:r>
            <w:r w:rsidR="001C7B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projekts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821C87" w:rsidRPr="00684288">
              <w:rPr>
                <w:rFonts w:ascii="Times New Roman" w:hAnsi="Times New Roman" w:cs="Times New Roman"/>
                <w:sz w:val="24"/>
                <w:szCs w:val="24"/>
              </w:rPr>
              <w:t>saskaņā ar Ministru kabineta 2020.gada 12.maija noteikumiem Nr. 278 “Noteikumi par nosacījumiem un kārtību, kādā pašvaldībām izsniedz valsts aizdevumu ārkārtējās situācijas ietekmes mazināšanai un novēršanai saistībā ar Covid-19 izplatību” (turpmāk – MK noteikumi Nr.278)</w:t>
            </w:r>
            <w:r w:rsidR="0082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29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</w:t>
            </w:r>
            <w:r w:rsidR="003E4271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pašvaldību iesniegto investīciju projektu</w:t>
            </w:r>
            <w:r w:rsidR="00947C0D" w:rsidRPr="00684288">
              <w:rPr>
                <w:rFonts w:ascii="Times New Roman" w:hAnsi="Times New Roman" w:cs="Times New Roman"/>
                <w:sz w:val="24"/>
                <w:szCs w:val="24"/>
              </w:rPr>
              <w:t>, kas nav Eiropas Savienības fondu pārējās ārvalstu finanšu palīdzības līdzfinansētie projekti,</w:t>
            </w:r>
            <w:r w:rsidR="003E4271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vērtēšana</w:t>
            </w:r>
            <w:r w:rsidR="00947C0D" w:rsidRPr="006842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4271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komisijas sastāvu</w:t>
            </w:r>
            <w:r w:rsidR="001C0C58" w:rsidRPr="00684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304A0F" w14:textId="3C97E4BE" w:rsidR="00C365EE" w:rsidRPr="00684288" w:rsidRDefault="00670882" w:rsidP="00E9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>Rīkojums stājas spēkā tā parakstīšanas brīdī</w:t>
            </w:r>
            <w:r w:rsidR="0018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C7E3B7" w14:textId="77777777" w:rsidR="000D4A29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0"/>
        <w:gridCol w:w="3079"/>
        <w:gridCol w:w="5871"/>
      </w:tblGrid>
      <w:tr w:rsidR="00684288" w:rsidRPr="00684288" w14:paraId="2C6580FD" w14:textId="77777777" w:rsidTr="001C0C58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779A40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84288" w:rsidRPr="00684288" w14:paraId="150821B5" w14:textId="77777777" w:rsidTr="001C0C58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2276D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7F5F4E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7823F4" w14:textId="6ECF8513" w:rsidR="00E57FB2" w:rsidRPr="00684288" w:rsidRDefault="001C7B71" w:rsidP="00C3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MK noteikumu Nr.278 </w:t>
            </w:r>
            <w:r w:rsidR="003E4271" w:rsidRPr="00684288">
              <w:rPr>
                <w:rFonts w:ascii="Times New Roman" w:hAnsi="Times New Roman" w:cs="Times New Roman"/>
                <w:sz w:val="24"/>
                <w:szCs w:val="24"/>
              </w:rPr>
              <w:t>5.punkts.</w:t>
            </w:r>
          </w:p>
        </w:tc>
      </w:tr>
      <w:tr w:rsidR="00684288" w:rsidRPr="00684288" w14:paraId="1A32A73A" w14:textId="77777777" w:rsidTr="001C0C58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01DCF7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86E320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9E64C" w14:textId="01F120F4" w:rsidR="00C365EE" w:rsidRPr="00684288" w:rsidRDefault="00C365EE" w:rsidP="00C3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Straujas COVID-19 izplatības dēļ visā pasaulē</w:t>
            </w:r>
            <w:r w:rsidR="00F23AE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š.g. marta sākumā arī Latvijā bija novērojami pirmie saslimšanas gadījumi ar šo vīrusu. Ņemot vērā, ka Pasaules Veselības organizācija š.g. 11.martā paziņoja, ka COVID-19 izplatība sasniegusi globālas pandēmijas apmērus, lai ierobežotu COVID-19 vīrusa izplatību Latvijā, valdība š.g. 12.martā izsludināja ārkārtējo situāciju.</w:t>
            </w:r>
            <w:r w:rsidR="007977B0" w:rsidRPr="00684288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2"/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Sākotnēji ārkārtējā situācija tika noteikta līdz š.g. 14.aprīlim, taču, palielinoties saslimušo skaitam ar COVID-19 vīrusu, tā tika pagarināta līdz š.g. 12.maijam</w:t>
            </w:r>
            <w:r w:rsidR="00D208EB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atkārtoti pagarināta līdz š.g. 9.jūnijam</w:t>
            </w:r>
            <w:r w:rsidR="00EE71DC" w:rsidRPr="00684288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3"/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Nav izslēgta arī turpmāka ārkārtējās situācijas pagarināšana vai atsevišķu ierobežojošo/piesardzības pasākumu saglabāšana.</w:t>
            </w:r>
          </w:p>
          <w:p w14:paraId="6EBB9E0B" w14:textId="77777777" w:rsidR="00C365EE" w:rsidRPr="00684288" w:rsidRDefault="00C365EE" w:rsidP="00C3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6B285F" w14:textId="4242323F" w:rsidR="003E4271" w:rsidRPr="00684288" w:rsidRDefault="003E4271" w:rsidP="003E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Pašvaldību atbalstam ārkārtējā situācijā 2020.gada 12.maijā tika </w:t>
            </w:r>
            <w:r w:rsidR="001C7B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pieņemti MK noteikumi Nr.278</w:t>
            </w:r>
            <w:r w:rsidR="001C7B71" w:rsidRPr="00684288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="00A0570E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</w:t>
            </w:r>
            <w:r w:rsidR="00001F2F" w:rsidRPr="00684288">
              <w:rPr>
                <w:rFonts w:ascii="Times New Roman" w:hAnsi="Times New Roman" w:cs="Times New Roman"/>
                <w:sz w:val="24"/>
                <w:szCs w:val="24"/>
              </w:rPr>
              <w:t>nosacījumus un kārtību, kādā pašvaldībām izsniedz valsts aizdevumu ārkārtējās situācijas ietekmes mazināšanai un novēršanai pašvaldībās saistībā ar Covid-19 izplatību</w:t>
            </w:r>
            <w:r w:rsidR="00A0570E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CC0B9AE" w14:textId="77777777" w:rsidR="0077233A" w:rsidRPr="00684288" w:rsidRDefault="0077233A" w:rsidP="003E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83DC4A" w14:textId="17C319CA" w:rsidR="00514B33" w:rsidRPr="00684288" w:rsidRDefault="001C7B71" w:rsidP="001C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>MK n</w:t>
            </w:r>
            <w:r w:rsidR="0077233A" w:rsidRPr="00684288">
              <w:rPr>
                <w:rFonts w:ascii="Times New Roman" w:hAnsi="Times New Roman" w:cs="Times New Roman"/>
                <w:sz w:val="24"/>
                <w:szCs w:val="24"/>
              </w:rPr>
              <w:t>oteikumu</w:t>
            </w: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Nr.278</w:t>
            </w:r>
            <w:r w:rsidR="0077233A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2F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5.punkts paredz pašvaldību iesniegto investīciju projektu izvērtēšanai izveidot komisiju, kuras sastāvu nosaka Ministru kabinets. </w:t>
            </w: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Ņemot vērā MK noteikumu Nr.278 3.1.apakšpunktā norādītos investīciju projektu īstenošanas mērķus, </w:t>
            </w:r>
            <w:r w:rsidR="00D32B46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 </w:t>
            </w:r>
            <w:r w:rsidR="00514B33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VARAM) </w:t>
            </w:r>
            <w:r w:rsidR="00D32B46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2020.gada 18.maijā ar vēstuli Nr. 1-132/4498 “Par pārstāvja deleģēšanu pašvaldību investīciju projektu izvērtēšanas </w:t>
            </w:r>
            <w:r w:rsidR="00D32B46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komisijai” lūdza Ekonomikas mi</w:t>
            </w:r>
            <w:r w:rsidR="00016D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nistrijai, Finanšu ministrijai un </w:t>
            </w:r>
            <w:r w:rsidR="00D32B46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ministrijai deleģēt pārstāvjus </w:t>
            </w:r>
            <w:r w:rsidR="00D32B46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darbībai komisijā. Tādējādi </w:t>
            </w:r>
            <w:r w:rsidR="00D32B46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sagatavots, ņemot vērā iepriekš minēto ministriju sniegto informāciju par komisijai deleģētajiem pārstāvjiem.</w:t>
            </w:r>
            <w:r w:rsidR="00913DE9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ar 2020.gada 21.maija vēstuli Nr. </w:t>
            </w:r>
            <w:r w:rsidR="00684288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1-132/4622</w:t>
            </w:r>
            <w:r w:rsid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684288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pārstāvja deleģēšanu pašvaldību investīciju projektu izvērtēšanas komisijai</w:t>
            </w:r>
            <w:r w:rsid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pārstāvi komisijai tika aicināta deleģēt Zemkopības ministrija.</w:t>
            </w:r>
          </w:p>
          <w:p w14:paraId="5FF02814" w14:textId="77777777" w:rsidR="00514B33" w:rsidRPr="00684288" w:rsidRDefault="00514B33" w:rsidP="001C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D4A935" w14:textId="47B4724E" w:rsidR="00D32B46" w:rsidRPr="00684288" w:rsidRDefault="00913DE9" w:rsidP="001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</w:t>
            </w:r>
            <w:r w:rsidR="00514B33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VARAM atbilstoši Ministru kabineta 2011.gada 29.marta noteikumu Nr.233 “Vides aizsardzības un reģionālās attīstības ministrijas nolikums” 1.3.apakšpunktam </w:t>
            </w:r>
            <w:r w:rsidR="00514B33" w:rsidRPr="00684288">
              <w:rPr>
                <w:rFonts w:ascii="Times New Roman" w:hAnsi="Times New Roman" w:cs="Times New Roman"/>
                <w:sz w:val="24"/>
                <w:szCs w:val="24"/>
              </w:rPr>
              <w:t>ir vadošā valsts pārvaldes iestāde pašvaldību attīstībā un pārrau</w:t>
            </w:r>
            <w:r w:rsidR="00CE5409">
              <w:rPr>
                <w:rFonts w:ascii="Times New Roman" w:hAnsi="Times New Roman" w:cs="Times New Roman"/>
                <w:sz w:val="24"/>
                <w:szCs w:val="24"/>
              </w:rPr>
              <w:t>dzībā, rīkojuma projekta 1.</w:t>
            </w:r>
            <w:r w:rsidR="00514B33" w:rsidRPr="00684288">
              <w:rPr>
                <w:rFonts w:ascii="Times New Roman" w:hAnsi="Times New Roman" w:cs="Times New Roman"/>
                <w:sz w:val="24"/>
                <w:szCs w:val="24"/>
              </w:rPr>
              <w:t>punktā paredzēts, ka komisijas priekšsēdētāja ir VARAM valsts sekretāra vietniece reģionālās attīstības jautājumos, savukārt, priekšs</w:t>
            </w:r>
            <w:r w:rsidR="001E6DCF">
              <w:rPr>
                <w:rFonts w:ascii="Times New Roman" w:hAnsi="Times New Roman" w:cs="Times New Roman"/>
                <w:sz w:val="24"/>
                <w:szCs w:val="24"/>
              </w:rPr>
              <w:t>ēdētāja vietnieks ir</w:t>
            </w:r>
            <w:r w:rsidR="00514B33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VARAM Reģionālās politikas departamenta direktors.</w:t>
            </w:r>
          </w:p>
          <w:p w14:paraId="1B50C105" w14:textId="561A93F9" w:rsidR="00001F2F" w:rsidRPr="00684288" w:rsidRDefault="00913DE9" w:rsidP="001C0C5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Ievērojot to, ka investīciju projektu vērtēšanas procesā komisijas locekļiem varētu rasties nepieciešamība pēc papildus ekspertu vai speciālistu, kas nav minēti šajā rīkojuma projektā, konsultācijām, rīkojuma projekta  </w:t>
            </w:r>
            <w:r w:rsidR="00AB40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.punktā iekļautas tiesības komisijas priekšsēdētājam, ja nepieciešams, komisijas darbā pieaicināt citus speciālistus vai ekspertus ar padomdevēja tiesībām.</w:t>
            </w:r>
          </w:p>
          <w:p w14:paraId="7FC3EB9B" w14:textId="57C92190" w:rsidR="00001F2F" w:rsidRPr="00684288" w:rsidRDefault="00D32B46" w:rsidP="001C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noteikumu Nr.278 </w:t>
            </w: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7.punktā paredzēts, ka </w:t>
            </w:r>
            <w:r w:rsidR="00CE5409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mēneša laikā pēc pašvaldību iesniegto investīciju projektu izvērtēšanas atbilstoši šo noteikumu </w:t>
            </w:r>
            <w:hyperlink r:id="rId8" w:anchor="p5" w:history="1">
              <w:r w:rsidRPr="00684288">
                <w:rPr>
                  <w:rFonts w:ascii="Times New Roman" w:hAnsi="Times New Roman" w:cs="Times New Roman"/>
                  <w:sz w:val="24"/>
                  <w:szCs w:val="24"/>
                </w:rPr>
                <w:t>5. punktā</w:t>
              </w:r>
            </w:hyperlink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minētajiem nosacījumiem iesniedz Ministru kabinetā šo noteikumu </w:t>
            </w:r>
            <w:hyperlink r:id="rId9" w:anchor="p6" w:history="1">
              <w:r w:rsidRPr="00684288">
                <w:rPr>
                  <w:rFonts w:ascii="Times New Roman" w:hAnsi="Times New Roman" w:cs="Times New Roman"/>
                  <w:sz w:val="24"/>
                  <w:szCs w:val="24"/>
                </w:rPr>
                <w:t>6. punktā</w:t>
              </w:r>
            </w:hyperlink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noteiktajā kārtībā sarindotus atbalstāmos investīciju projektus (turpmāk – projektu saraksts), un šis projektu saraksts ir uzskatāms par pozitīvu </w:t>
            </w:r>
            <w:r w:rsidR="00CE5409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atzinumu likuma “</w:t>
            </w:r>
            <w:hyperlink r:id="rId10" w:tgtFrame="_blank" w:history="1">
              <w:r w:rsidRPr="00684288">
                <w:rPr>
                  <w:rFonts w:ascii="Times New Roman" w:hAnsi="Times New Roman" w:cs="Times New Roman"/>
                  <w:sz w:val="24"/>
                  <w:szCs w:val="24"/>
                </w:rPr>
                <w:t>Par valsts budžetu 2020. gadam</w:t>
              </w:r>
            </w:hyperlink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” izpratnē. Tādējādi, 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1C7B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noteiktu ar š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="001C7B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īkojuma projekta</w:t>
            </w:r>
            <w:r w:rsidR="001C7B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izveidotās komisijas darba organizāciju, r</w:t>
            </w:r>
            <w:r w:rsidR="00001F2F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īkojuma projekta </w:t>
            </w:r>
            <w:r w:rsidR="00AB40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1C7B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.punktā dots uzdevums vides aizsardzības un reģionālās attīstības ministram apstiprināt komisijas nolikumu. </w:t>
            </w:r>
          </w:p>
        </w:tc>
      </w:tr>
      <w:tr w:rsidR="00684288" w:rsidRPr="00684288" w14:paraId="5CD9EC94" w14:textId="77777777" w:rsidTr="001C0C58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4610BF" w14:textId="0D41C3D2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D3D77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BBC0C" w14:textId="75F95E51" w:rsidR="000D4A29" w:rsidRPr="00684288" w:rsidRDefault="00913DE9" w:rsidP="00CE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projektu izstrādāja </w:t>
            </w:r>
            <w:r w:rsidR="00CE54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</w:t>
            </w:r>
            <w:r w:rsidR="00001F2F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53832" w:rsidRPr="00684288" w14:paraId="557676A9" w14:textId="77777777" w:rsidTr="001C0C58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5C9E6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2F581F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44F63" w14:textId="621F5F3C" w:rsidR="000D4A29" w:rsidRPr="00684288" w:rsidRDefault="00CF6448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3B91517" w14:textId="77777777" w:rsidR="00C80D6A" w:rsidRPr="00684288" w:rsidRDefault="00C80D6A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6B0C70" w14:textId="77777777" w:rsidR="00C80D6A" w:rsidRPr="00684288" w:rsidRDefault="00C80D6A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2"/>
        <w:gridCol w:w="3079"/>
        <w:gridCol w:w="5869"/>
      </w:tblGrid>
      <w:tr w:rsidR="00684288" w:rsidRPr="00684288" w14:paraId="00771F5C" w14:textId="77777777" w:rsidTr="00A92C6F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4FD3A4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84288" w:rsidRPr="00684288" w14:paraId="7F1B66E1" w14:textId="77777777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ACBA9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3F7EC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02E9" w14:textId="27A268F6" w:rsidR="000D4A29" w:rsidRPr="00684288" w:rsidRDefault="004D3543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  <w:tr w:rsidR="00684288" w:rsidRPr="00684288" w14:paraId="6987DE96" w14:textId="77777777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6B575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C1CC1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D21AB" w14:textId="09D4900C" w:rsidR="00E91882" w:rsidRPr="00684288" w:rsidRDefault="00E91882" w:rsidP="00A9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grupām </w:t>
            </w:r>
            <w:r w:rsidR="004D3543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tiesiskais regulējums nemaina tiesības un pienākumus, kā arī veicamās darbības</w:t>
            </w:r>
            <w:r w:rsidR="00CD25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D3543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3967945" w14:textId="77777777" w:rsidR="004D3543" w:rsidRPr="00684288" w:rsidRDefault="004D3543" w:rsidP="00A9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  <w:p w14:paraId="4DD7C405" w14:textId="39D2B7AA" w:rsidR="004D3543" w:rsidRPr="00684288" w:rsidRDefault="004D3543" w:rsidP="001E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Institūcijām (</w:t>
            </w:r>
            <w:r w:rsidR="00514B33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Ekonomikas ministrijai, Finanšu ministrijai, Satiksmes ministrijai</w:t>
            </w:r>
            <w:r w:rsidR="001E6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Zemkopības ministrijai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rīkojuma projekts paredz papildus pienākumu darboties pašvaldību investīciju projektu izvērtēšanas komisijā</w:t>
            </w:r>
            <w:r w:rsidR="00A719F6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t.sk. </w:t>
            </w:r>
            <w:r w:rsidR="00514B33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VARAM tehniski nodrošināt </w:t>
            </w:r>
            <w:r w:rsidR="00A719F6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A719F6" w:rsidRPr="00684288">
              <w:rPr>
                <w:rFonts w:ascii="Times New Roman" w:hAnsi="Times New Roman"/>
                <w:sz w:val="24"/>
                <w:szCs w:val="24"/>
              </w:rPr>
              <w:t>omisijas</w:t>
            </w:r>
            <w:r w:rsidR="001C0C58"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B33" w:rsidRPr="00684288">
              <w:rPr>
                <w:rFonts w:ascii="Times New Roman" w:hAnsi="Times New Roman"/>
                <w:sz w:val="24"/>
                <w:szCs w:val="24"/>
              </w:rPr>
              <w:t>darbu</w:t>
            </w:r>
            <w:r w:rsidR="00A719F6" w:rsidRPr="00684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4288" w:rsidRPr="00684288" w14:paraId="0EEFEE40" w14:textId="77777777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31A7A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B8913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64DB5" w14:textId="3941E1E9" w:rsidR="000D4A29" w:rsidRPr="00684288" w:rsidRDefault="00DD2AC6" w:rsidP="000A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ietvertajam tiesiskajam regulējumam nav ietekmes uz administratīvajām izmaksām (naudas izteiksmē). Pašvaldību projektu pieteikumu vērtēšana tiks nodrošināta esošā budžeta ietvaros.</w:t>
            </w:r>
          </w:p>
        </w:tc>
      </w:tr>
      <w:tr w:rsidR="00684288" w:rsidRPr="00684288" w14:paraId="3B63B964" w14:textId="77777777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3CA65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8408F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618CCE" w14:textId="7A05E9DE" w:rsidR="000D4A29" w:rsidRPr="00684288" w:rsidRDefault="00DD2AC6" w:rsidP="0068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ietvertajam tiesiskajam regulējumam nav ietekmes uz atbilstības izmaksām (naudas izteiksmē). Pašvaldību projektu pieteikumu vērtēšana tiks nodrošināta esošā budžeta ietvaros.</w:t>
            </w:r>
          </w:p>
        </w:tc>
      </w:tr>
      <w:tr w:rsidR="00684288" w:rsidRPr="00684288" w14:paraId="0171659E" w14:textId="77777777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C0326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1B021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95F498" w14:textId="4E42979C" w:rsidR="00F23AE4" w:rsidRPr="00684288" w:rsidRDefault="004D3543" w:rsidP="00AE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  <w:p w14:paraId="41EECE69" w14:textId="09A03CF5" w:rsidR="00F23AE4" w:rsidRPr="00684288" w:rsidRDefault="00F23AE4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BBE6BB2" w14:textId="270ECD88" w:rsidR="006962F8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90"/>
      </w:tblGrid>
      <w:tr w:rsidR="00684288" w:rsidRPr="00684288" w14:paraId="321EA1D4" w14:textId="77777777" w:rsidTr="00C80D6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3E3908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84288" w:rsidRPr="00684288" w14:paraId="6838C7A1" w14:textId="77777777" w:rsidTr="00C80D6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F795C0" w14:textId="4F9A8B67" w:rsidR="00514B33" w:rsidRPr="00684288" w:rsidRDefault="008E2436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04EA685" w14:textId="664AC369" w:rsidR="008E2436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E2436" w:rsidRPr="0068428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2977"/>
        <w:gridCol w:w="5954"/>
      </w:tblGrid>
      <w:tr w:rsidR="00684288" w:rsidRPr="00684288" w14:paraId="60E302D9" w14:textId="77777777" w:rsidTr="00F3005C">
        <w:tc>
          <w:tcPr>
            <w:tcW w:w="9493" w:type="dxa"/>
            <w:gridSpan w:val="3"/>
            <w:vAlign w:val="center"/>
          </w:tcPr>
          <w:p w14:paraId="75ABF500" w14:textId="25C02A1C" w:rsidR="00F3005C" w:rsidRPr="00684288" w:rsidRDefault="00F3005C" w:rsidP="00F3005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84288" w:rsidRPr="00684288" w14:paraId="22EE5ABC" w14:textId="77777777" w:rsidTr="00F3005C">
        <w:tc>
          <w:tcPr>
            <w:tcW w:w="562" w:type="dxa"/>
          </w:tcPr>
          <w:p w14:paraId="29586C03" w14:textId="77777777" w:rsidR="00F3005C" w:rsidRPr="00684288" w:rsidRDefault="00F3005C" w:rsidP="00F3005C">
            <w:pPr>
              <w:pStyle w:val="ListParagraph"/>
              <w:numPr>
                <w:ilvl w:val="0"/>
                <w:numId w:val="14"/>
              </w:numPr>
              <w:spacing w:line="315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14:paraId="40347A8B" w14:textId="18FE7B02"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5954" w:type="dxa"/>
          </w:tcPr>
          <w:p w14:paraId="384DFCF7" w14:textId="75C1BA10"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684288" w:rsidRPr="00684288" w14:paraId="1C4BA9D6" w14:textId="77777777" w:rsidTr="00F3005C">
        <w:tc>
          <w:tcPr>
            <w:tcW w:w="562" w:type="dxa"/>
          </w:tcPr>
          <w:p w14:paraId="2D1BB152" w14:textId="77777777" w:rsidR="00F3005C" w:rsidRPr="00684288" w:rsidRDefault="00F3005C" w:rsidP="00F3005C">
            <w:pPr>
              <w:pStyle w:val="ListParagraph"/>
              <w:numPr>
                <w:ilvl w:val="0"/>
                <w:numId w:val="14"/>
              </w:numPr>
              <w:spacing w:line="315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14:paraId="1A6E5428" w14:textId="240BFCD0"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5954" w:type="dxa"/>
          </w:tcPr>
          <w:p w14:paraId="159F534F" w14:textId="7AEE7AEB"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</w:t>
            </w:r>
          </w:p>
        </w:tc>
      </w:tr>
      <w:tr w:rsidR="00F3005C" w:rsidRPr="00684288" w14:paraId="18F69D47" w14:textId="77777777" w:rsidTr="00F3005C">
        <w:tc>
          <w:tcPr>
            <w:tcW w:w="562" w:type="dxa"/>
          </w:tcPr>
          <w:p w14:paraId="1DBF29B2" w14:textId="77777777" w:rsidR="00F3005C" w:rsidRPr="00684288" w:rsidRDefault="00F3005C" w:rsidP="00F3005C">
            <w:pPr>
              <w:pStyle w:val="ListParagraph"/>
              <w:numPr>
                <w:ilvl w:val="0"/>
                <w:numId w:val="14"/>
              </w:numPr>
              <w:spacing w:line="315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14:paraId="49AF58EC" w14:textId="29EE94E4"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4" w:type="dxa"/>
          </w:tcPr>
          <w:p w14:paraId="66F3259B" w14:textId="40D2AAB2"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DEE9A8D" w14:textId="77777777" w:rsidR="00F3005C" w:rsidRPr="00684288" w:rsidRDefault="00F3005C" w:rsidP="000D4A2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90"/>
      </w:tblGrid>
      <w:tr w:rsidR="00684288" w:rsidRPr="00684288" w14:paraId="2556CBCF" w14:textId="77777777" w:rsidTr="00184CD0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DFCA0A" w14:textId="353C4EE2" w:rsidR="00F3005C" w:rsidRPr="00684288" w:rsidRDefault="00F3005C" w:rsidP="00F3005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3005C" w:rsidRPr="00684288" w14:paraId="53961FE9" w14:textId="77777777" w:rsidTr="00184CD0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D58684" w14:textId="77777777" w:rsidR="00F3005C" w:rsidRPr="00684288" w:rsidRDefault="00F3005C" w:rsidP="00F3005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4570779" w14:textId="77777777" w:rsidR="008E2436" w:rsidRPr="00684288" w:rsidRDefault="008E2436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2"/>
        <w:gridCol w:w="3079"/>
        <w:gridCol w:w="5869"/>
      </w:tblGrid>
      <w:tr w:rsidR="00684288" w:rsidRPr="00684288" w14:paraId="4F306A5D" w14:textId="77777777" w:rsidTr="00A92C6F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96831A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84288" w:rsidRPr="00684288" w14:paraId="6F83962F" w14:textId="77777777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6D5D89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AA0BE3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6E95F" w14:textId="5D378196" w:rsidR="00A85303" w:rsidRPr="00684288" w:rsidRDefault="001B72B6" w:rsidP="008E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Pasākumi nav plānoti, ņemot vērā, ka </w:t>
            </w:r>
            <w:r w:rsidR="004D3543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tiešā veidā skar 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tikai </w:t>
            </w:r>
            <w:r w:rsidR="004D3543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ministrijas, kuras jau ir informētas par komisijas izveidi ar </w:t>
            </w:r>
            <w:r w:rsidR="008E2436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VARAM </w:t>
            </w:r>
            <w:r w:rsidR="004D3543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2020.gada 18.maija vēstuli Nr. 1-132/4498 “Par pārstāvja deleģēšanu pašvaldību investīciju projektu izvērtēšanas komisijai”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84288" w:rsidRPr="00684288" w14:paraId="386D05EF" w14:textId="77777777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57D84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4CEEEC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768F87" w14:textId="1CAC09E5" w:rsidR="000D4A29" w:rsidRPr="00684288" w:rsidRDefault="007F48ED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684288" w:rsidRPr="00684288" w14:paraId="006DCC9E" w14:textId="77777777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97E23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8D62A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CCDBE" w14:textId="29A386D0" w:rsidR="000D4A29" w:rsidRPr="00684288" w:rsidRDefault="00945CF2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</w:t>
            </w:r>
          </w:p>
        </w:tc>
      </w:tr>
      <w:tr w:rsidR="00684288" w:rsidRPr="00684288" w14:paraId="0D1F4F01" w14:textId="77777777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F6DAB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EE94C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90C73" w14:textId="5F8ACA19" w:rsidR="000D4A29" w:rsidRPr="00684288" w:rsidRDefault="00C62470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52687D3" w14:textId="77777777" w:rsidR="000D4A29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2"/>
        <w:gridCol w:w="3079"/>
        <w:gridCol w:w="5869"/>
      </w:tblGrid>
      <w:tr w:rsidR="00684288" w:rsidRPr="00684288" w14:paraId="420F2602" w14:textId="77777777" w:rsidTr="00C80D6A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354E71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84288" w:rsidRPr="00684288" w14:paraId="484A2EE5" w14:textId="77777777" w:rsidTr="00C80D6A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1F636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F6D81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8B951" w14:textId="1C2402D7" w:rsidR="000D4A29" w:rsidRPr="00684288" w:rsidRDefault="008E2436" w:rsidP="001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Ekonomikas ministrija, Finanšu ministrija, Satiksmes ministrija un </w:t>
            </w:r>
            <w:r w:rsidR="001E6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ministrija.</w:t>
            </w:r>
          </w:p>
        </w:tc>
      </w:tr>
      <w:tr w:rsidR="00684288" w:rsidRPr="00684288" w14:paraId="1F5AD89C" w14:textId="77777777" w:rsidTr="00C80D6A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5D231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D9B2F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institucionālo struktūru.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FF206" w14:textId="70AA7012" w:rsidR="00452814" w:rsidRPr="00684288" w:rsidRDefault="007F48ED" w:rsidP="0045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Rīkojuma projekts noteic komisijas sastāvu un darba organizāciju atbilstoši </w:t>
            </w:r>
            <w:r w:rsidR="00945CF2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2020.gada 12.maija </w:t>
            </w:r>
            <w:r w:rsidR="00945CF2" w:rsidRPr="0068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Nr. 278 “Noteikumi par nosacījumiem un kārtību, kādā pašvaldībām izsniedz valsts aizdevumu ārkārtējās situācijas ietekmes mazināšanai un novēršanai saistībā ar Covid-19 izplatību”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5.punktam</w:t>
            </w:r>
            <w:r w:rsidR="0045281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</w:t>
            </w:r>
            <w:r w:rsidR="00965FE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965FE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 tiks nodrošināta esošo cilvēkresursu ietvaros.</w:t>
            </w:r>
          </w:p>
          <w:p w14:paraId="093F6E78" w14:textId="77777777" w:rsidR="00965FE4" w:rsidRPr="00684288" w:rsidRDefault="00965FE4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873DCE" w14:textId="3878DAD8" w:rsidR="00965FE4" w:rsidRPr="00684288" w:rsidRDefault="00D2614C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</w:t>
            </w:r>
            <w:r w:rsidR="00965FE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neparedz veidot jaunas institūcijas, likvidēt vai reorganizēt esošās.</w:t>
            </w:r>
          </w:p>
        </w:tc>
      </w:tr>
      <w:tr w:rsidR="00C01774" w:rsidRPr="00684288" w14:paraId="6C6D5C49" w14:textId="77777777" w:rsidTr="00C80D6A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4AB2A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769F0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7E373" w14:textId="1A6CC99A" w:rsidR="000D4A29" w:rsidRPr="00684288" w:rsidRDefault="0050335C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39C389F" w14:textId="18E138C7" w:rsidR="00945CF2" w:rsidRPr="00684288" w:rsidRDefault="00945CF2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134BF23A" w14:textId="63985CEE" w:rsidR="00F3005C" w:rsidRPr="00684288" w:rsidRDefault="00F3005C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673209B3" w14:textId="77777777" w:rsidR="00F3005C" w:rsidRPr="00684288" w:rsidRDefault="00F3005C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4CED4C55" w14:textId="77777777" w:rsidR="005E700C" w:rsidRPr="00684288" w:rsidRDefault="005E700C" w:rsidP="003E461B">
      <w:pPr>
        <w:tabs>
          <w:tab w:val="left" w:pos="652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Vides aizsardzības un </w:t>
      </w:r>
    </w:p>
    <w:p w14:paraId="4696400E" w14:textId="62F8275A" w:rsidR="005E700C" w:rsidRPr="00684288" w:rsidRDefault="005E700C" w:rsidP="003E461B">
      <w:pPr>
        <w:tabs>
          <w:tab w:val="left" w:pos="652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>reģionālās attīstības ministrs</w:t>
      </w: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3E461B"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>J. Pūce</w:t>
      </w:r>
    </w:p>
    <w:p w14:paraId="0D243780" w14:textId="77777777" w:rsidR="005E700C" w:rsidRPr="00684288" w:rsidRDefault="005E700C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0BD28EB3" w14:textId="77777777" w:rsidR="005E700C" w:rsidRPr="00684288" w:rsidRDefault="005E700C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669F5B9D" w14:textId="77777777" w:rsidR="00853CA8" w:rsidRPr="00684288" w:rsidRDefault="00853CA8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67DBB228" w14:textId="4EBDEA3C" w:rsidR="005E700C" w:rsidRPr="00684288" w:rsidRDefault="005E700C" w:rsidP="005E7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8428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I. Jureviča, </w:t>
      </w:r>
      <w:r w:rsidRPr="00684288">
        <w:rPr>
          <w:rFonts w:ascii="Times New Roman" w:eastAsia="Times New Roman" w:hAnsi="Times New Roman" w:cs="Times New Roman"/>
          <w:iCs/>
          <w:sz w:val="20"/>
          <w:szCs w:val="20"/>
        </w:rPr>
        <w:t>66016791</w:t>
      </w:r>
    </w:p>
    <w:p w14:paraId="3BF4CA02" w14:textId="3B979BF6" w:rsidR="00DC24F0" w:rsidRPr="00684288" w:rsidRDefault="00B7519E" w:rsidP="00C80D6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  <w:hyperlink r:id="rId11" w:history="1">
        <w:r w:rsidR="005E700C" w:rsidRPr="0068428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lv-LV"/>
          </w:rPr>
          <w:t>ilze.jurevica@varam.gov.lv</w:t>
        </w:r>
      </w:hyperlink>
      <w:r w:rsidR="005E700C" w:rsidRPr="00684288">
        <w:rPr>
          <w:rFonts w:ascii="Calibri" w:eastAsia="Calibri" w:hAnsi="Calibri" w:cs="Times New Roman"/>
        </w:rPr>
        <w:t xml:space="preserve"> </w:t>
      </w:r>
    </w:p>
    <w:sectPr w:rsidR="00DC24F0" w:rsidRPr="00684288" w:rsidSect="00853C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3C15" w14:textId="77777777" w:rsidR="00B7519E" w:rsidRDefault="00B7519E" w:rsidP="000D4A29">
      <w:pPr>
        <w:spacing w:after="0" w:line="240" w:lineRule="auto"/>
      </w:pPr>
      <w:r>
        <w:separator/>
      </w:r>
    </w:p>
  </w:endnote>
  <w:endnote w:type="continuationSeparator" w:id="0">
    <w:p w14:paraId="611761CA" w14:textId="77777777" w:rsidR="00B7519E" w:rsidRDefault="00B7519E" w:rsidP="000D4A29">
      <w:pPr>
        <w:spacing w:after="0" w:line="240" w:lineRule="auto"/>
      </w:pPr>
      <w:r>
        <w:continuationSeparator/>
      </w:r>
    </w:p>
  </w:endnote>
  <w:endnote w:type="continuationNotice" w:id="1">
    <w:p w14:paraId="3EF8555E" w14:textId="77777777" w:rsidR="00B7519E" w:rsidRDefault="00B751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7815" w14:textId="77777777" w:rsidR="00916596" w:rsidRDefault="00916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546D" w14:textId="0C51794F" w:rsidR="00184CD0" w:rsidRPr="00853CA8" w:rsidRDefault="00B7519E" w:rsidP="00853CA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sdt>
      <w:sdtPr>
        <w:id w:val="207739390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0"/>
          <w:szCs w:val="20"/>
        </w:rPr>
      </w:sdtEndPr>
      <w:sdtContent>
        <w:r w:rsidR="00184CD0">
          <w:rPr>
            <w:rFonts w:ascii="Times New Roman" w:hAnsi="Times New Roman" w:cs="Times New Roman"/>
            <w:sz w:val="20"/>
            <w:szCs w:val="20"/>
          </w:rPr>
          <w:t>VARAMAnot_</w:t>
        </w:r>
        <w:r w:rsidR="00916596">
          <w:rPr>
            <w:rFonts w:ascii="Times New Roman" w:hAnsi="Times New Roman" w:cs="Times New Roman"/>
            <w:sz w:val="20"/>
            <w:szCs w:val="20"/>
          </w:rPr>
          <w:t>27</w:t>
        </w:r>
        <w:r w:rsidR="00184CD0">
          <w:rPr>
            <w:rFonts w:ascii="Times New Roman" w:hAnsi="Times New Roman" w:cs="Times New Roman"/>
            <w:sz w:val="20"/>
            <w:szCs w:val="20"/>
          </w:rPr>
          <w:t xml:space="preserve">0520_komisija; </w:t>
        </w:r>
        <w:r w:rsidR="00184CD0" w:rsidRPr="007F48ED">
          <w:rPr>
            <w:rFonts w:ascii="Times New Roman" w:hAnsi="Times New Roman" w:cs="Times New Roman"/>
            <w:sz w:val="20"/>
            <w:szCs w:val="20"/>
          </w:rPr>
          <w:t>Ministru kabineta rīkojuma “Par komisijas izveidi pašvaldību investīciju projektu izvērtēšanai” projekta sākotnējās ietekmes novērtējuma ziņojums (anotācija)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B028" w14:textId="155AD8FE" w:rsidR="00184CD0" w:rsidRPr="00851EB9" w:rsidRDefault="00B7519E" w:rsidP="00851EB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sdt>
      <w:sdtPr>
        <w:id w:val="-40637920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0"/>
          <w:szCs w:val="20"/>
        </w:rPr>
      </w:sdtEndPr>
      <w:sdtContent>
        <w:r w:rsidR="00184CD0">
          <w:rPr>
            <w:rFonts w:ascii="Times New Roman" w:hAnsi="Times New Roman" w:cs="Times New Roman"/>
            <w:sz w:val="20"/>
            <w:szCs w:val="20"/>
          </w:rPr>
          <w:t>VARAMAnot_</w:t>
        </w:r>
        <w:r w:rsidR="00916596">
          <w:rPr>
            <w:rFonts w:ascii="Times New Roman" w:hAnsi="Times New Roman" w:cs="Times New Roman"/>
            <w:sz w:val="20"/>
            <w:szCs w:val="20"/>
          </w:rPr>
          <w:t>27</w:t>
        </w:r>
        <w:bookmarkStart w:id="1" w:name="_GoBack"/>
        <w:bookmarkEnd w:id="1"/>
        <w:r w:rsidR="00184CD0">
          <w:rPr>
            <w:rFonts w:ascii="Times New Roman" w:hAnsi="Times New Roman" w:cs="Times New Roman"/>
            <w:sz w:val="20"/>
            <w:szCs w:val="20"/>
          </w:rPr>
          <w:t xml:space="preserve">0520_komisija; </w:t>
        </w:r>
        <w:r w:rsidR="00184CD0" w:rsidRPr="007F48ED">
          <w:rPr>
            <w:rFonts w:ascii="Times New Roman" w:hAnsi="Times New Roman" w:cs="Times New Roman"/>
            <w:sz w:val="20"/>
            <w:szCs w:val="20"/>
          </w:rPr>
          <w:t>Ministru kabineta rīkojuma “Par komisijas izveidi pašvaldību investīciju projektu izvērtēšanai” projekta sākotnējās ietekmes novērtējuma ziņojums (anotācija)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0B3F" w14:textId="77777777" w:rsidR="00B7519E" w:rsidRDefault="00B7519E" w:rsidP="000D4A29">
      <w:pPr>
        <w:spacing w:after="0" w:line="240" w:lineRule="auto"/>
      </w:pPr>
      <w:r>
        <w:separator/>
      </w:r>
    </w:p>
  </w:footnote>
  <w:footnote w:type="continuationSeparator" w:id="0">
    <w:p w14:paraId="78004911" w14:textId="77777777" w:rsidR="00B7519E" w:rsidRDefault="00B7519E" w:rsidP="000D4A29">
      <w:pPr>
        <w:spacing w:after="0" w:line="240" w:lineRule="auto"/>
      </w:pPr>
      <w:r>
        <w:continuationSeparator/>
      </w:r>
    </w:p>
  </w:footnote>
  <w:footnote w:type="continuationNotice" w:id="1">
    <w:p w14:paraId="254E150D" w14:textId="77777777" w:rsidR="00B7519E" w:rsidRDefault="00B7519E">
      <w:pPr>
        <w:spacing w:after="0" w:line="240" w:lineRule="auto"/>
      </w:pPr>
    </w:p>
  </w:footnote>
  <w:footnote w:id="2">
    <w:p w14:paraId="4917C9E4" w14:textId="3D8C6822" w:rsidR="00184CD0" w:rsidRPr="00AE60C5" w:rsidRDefault="00184CD0" w:rsidP="00853CA8">
      <w:pPr>
        <w:pStyle w:val="FootnoteText"/>
        <w:jc w:val="both"/>
      </w:pPr>
      <w:r w:rsidRPr="00AE60C5">
        <w:rPr>
          <w:rStyle w:val="FootnoteReference"/>
        </w:rPr>
        <w:footnoteRef/>
      </w:r>
      <w:r w:rsidRPr="00AE60C5">
        <w:t xml:space="preserve"> </w:t>
      </w:r>
      <w:r w:rsidRPr="00AE60C5">
        <w:rPr>
          <w:rFonts w:ascii="Times New Roman" w:hAnsi="Times New Roman" w:cs="Times New Roman"/>
        </w:rPr>
        <w:t>Progresa ziņojums par Latvijas nacionālās reformu programmas "Eiropa 2020" stratēģijas kontekstā īstenošanu (apstiprināts Ministru kabineta 2020.gada 30.aprīļa sēdē, protokola Nr. 29 3.§ 1.punkts).</w:t>
      </w:r>
      <w:r w:rsidRPr="00AE60C5" w:rsidDel="00DF7E94">
        <w:rPr>
          <w:rFonts w:ascii="Times New Roman" w:hAnsi="Times New Roman" w:cs="Times New Roman"/>
        </w:rPr>
        <w:t xml:space="preserve"> </w:t>
      </w:r>
    </w:p>
  </w:footnote>
  <w:footnote w:id="3">
    <w:p w14:paraId="1A89F281" w14:textId="4C5B5C46" w:rsidR="00184CD0" w:rsidRPr="00853CA8" w:rsidRDefault="00184CD0" w:rsidP="00EE71DC">
      <w:pPr>
        <w:pStyle w:val="FootnoteText"/>
        <w:jc w:val="both"/>
        <w:rPr>
          <w:rFonts w:ascii="Times New Roman" w:hAnsi="Times New Roman" w:cs="Times New Roman"/>
        </w:rPr>
      </w:pPr>
      <w:r w:rsidRPr="00AE60C5">
        <w:rPr>
          <w:rStyle w:val="FootnoteReference"/>
          <w:rFonts w:ascii="Times New Roman" w:hAnsi="Times New Roman" w:cs="Times New Roman"/>
        </w:rPr>
        <w:footnoteRef/>
      </w:r>
      <w:r w:rsidRPr="00AE60C5">
        <w:rPr>
          <w:rFonts w:ascii="Times New Roman" w:hAnsi="Times New Roman" w:cs="Times New Roman"/>
        </w:rPr>
        <w:t xml:space="preserve"> </w:t>
      </w:r>
      <w:r w:rsidRPr="00AE60C5">
        <w:rPr>
          <w:rFonts w:ascii="Times New Roman" w:eastAsia="Times New Roman" w:hAnsi="Times New Roman" w:cs="Times New Roman"/>
          <w:lang w:eastAsia="lv-LV"/>
        </w:rPr>
        <w:t xml:space="preserve">Ministru kabineta 2020.gada 12.marta rīkojums Nr. 103 “Par ārkārtējās situācijas izsludināšanu”, ar grozījumiem, kas pieņemti līdz 2020.gada </w:t>
      </w:r>
      <w:r>
        <w:rPr>
          <w:rFonts w:ascii="Times New Roman" w:eastAsia="Times New Roman" w:hAnsi="Times New Roman" w:cs="Times New Roman"/>
          <w:lang w:eastAsia="lv-LV"/>
        </w:rPr>
        <w:t>7.maijam</w:t>
      </w:r>
      <w:r w:rsidRPr="00AE60C5">
        <w:rPr>
          <w:rFonts w:ascii="Times New Roman" w:eastAsia="Times New Roman" w:hAnsi="Times New Roman" w:cs="Times New Roman"/>
          <w:lang w:eastAsia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6856" w14:textId="77777777" w:rsidR="00916596" w:rsidRDefault="00916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494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4281FCA" w14:textId="360FFB9C" w:rsidR="00184CD0" w:rsidRPr="00853CA8" w:rsidRDefault="00184CD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C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3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D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C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3E739D7" w14:textId="77777777" w:rsidR="00184CD0" w:rsidRDefault="00184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B06E" w14:textId="77777777" w:rsidR="00916596" w:rsidRDefault="00916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E4A"/>
    <w:multiLevelType w:val="hybridMultilevel"/>
    <w:tmpl w:val="0BAC031A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B91"/>
    <w:multiLevelType w:val="hybridMultilevel"/>
    <w:tmpl w:val="02247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7D5"/>
    <w:multiLevelType w:val="hybridMultilevel"/>
    <w:tmpl w:val="4B1010D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B6C70"/>
    <w:multiLevelType w:val="multilevel"/>
    <w:tmpl w:val="F7F6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6A768C"/>
    <w:multiLevelType w:val="hybridMultilevel"/>
    <w:tmpl w:val="6B9A6B0A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2D9A"/>
    <w:multiLevelType w:val="hybridMultilevel"/>
    <w:tmpl w:val="3104D67C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34667"/>
    <w:multiLevelType w:val="hybridMultilevel"/>
    <w:tmpl w:val="71846D90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611E"/>
    <w:multiLevelType w:val="hybridMultilevel"/>
    <w:tmpl w:val="F3385F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73D40"/>
    <w:multiLevelType w:val="hybridMultilevel"/>
    <w:tmpl w:val="13921958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10F"/>
    <w:multiLevelType w:val="multilevel"/>
    <w:tmpl w:val="F7F6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702D86"/>
    <w:multiLevelType w:val="hybridMultilevel"/>
    <w:tmpl w:val="59D0EE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1DBA"/>
    <w:multiLevelType w:val="hybridMultilevel"/>
    <w:tmpl w:val="21A62DF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91D4D"/>
    <w:multiLevelType w:val="hybridMultilevel"/>
    <w:tmpl w:val="810AC8E4"/>
    <w:lvl w:ilvl="0" w:tplc="27683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6730A2"/>
    <w:multiLevelType w:val="hybridMultilevel"/>
    <w:tmpl w:val="B71889D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29"/>
    <w:rsid w:val="00001F2F"/>
    <w:rsid w:val="00003966"/>
    <w:rsid w:val="00016D1F"/>
    <w:rsid w:val="0002067F"/>
    <w:rsid w:val="0003739D"/>
    <w:rsid w:val="000430B0"/>
    <w:rsid w:val="00052BE3"/>
    <w:rsid w:val="00094D53"/>
    <w:rsid w:val="000A1628"/>
    <w:rsid w:val="000A5CA4"/>
    <w:rsid w:val="000B23B1"/>
    <w:rsid w:val="000B2D9A"/>
    <w:rsid w:val="000D4A29"/>
    <w:rsid w:val="00117395"/>
    <w:rsid w:val="00117691"/>
    <w:rsid w:val="00121A44"/>
    <w:rsid w:val="00125461"/>
    <w:rsid w:val="001335D9"/>
    <w:rsid w:val="00164F64"/>
    <w:rsid w:val="00165E38"/>
    <w:rsid w:val="00166811"/>
    <w:rsid w:val="00184CD0"/>
    <w:rsid w:val="00197E97"/>
    <w:rsid w:val="001A4952"/>
    <w:rsid w:val="001B1A97"/>
    <w:rsid w:val="001B72B6"/>
    <w:rsid w:val="001C0C58"/>
    <w:rsid w:val="001C7B71"/>
    <w:rsid w:val="001E6DCF"/>
    <w:rsid w:val="00242FC4"/>
    <w:rsid w:val="002449BC"/>
    <w:rsid w:val="00253832"/>
    <w:rsid w:val="00267467"/>
    <w:rsid w:val="00274677"/>
    <w:rsid w:val="002956C7"/>
    <w:rsid w:val="002A20FE"/>
    <w:rsid w:val="002A6072"/>
    <w:rsid w:val="002A7D8F"/>
    <w:rsid w:val="002B736F"/>
    <w:rsid w:val="002C5B2E"/>
    <w:rsid w:val="002D6339"/>
    <w:rsid w:val="002D633F"/>
    <w:rsid w:val="002F5D55"/>
    <w:rsid w:val="002F63D1"/>
    <w:rsid w:val="00320463"/>
    <w:rsid w:val="003332C4"/>
    <w:rsid w:val="00354F85"/>
    <w:rsid w:val="003576B0"/>
    <w:rsid w:val="00376859"/>
    <w:rsid w:val="003A090D"/>
    <w:rsid w:val="003A5F52"/>
    <w:rsid w:val="003A79E7"/>
    <w:rsid w:val="003C1A68"/>
    <w:rsid w:val="003C34B4"/>
    <w:rsid w:val="003E1F26"/>
    <w:rsid w:val="003E4271"/>
    <w:rsid w:val="003E461B"/>
    <w:rsid w:val="003F37D9"/>
    <w:rsid w:val="00416EFE"/>
    <w:rsid w:val="00426FC2"/>
    <w:rsid w:val="00436C33"/>
    <w:rsid w:val="00452814"/>
    <w:rsid w:val="004541A3"/>
    <w:rsid w:val="004552B8"/>
    <w:rsid w:val="0048716A"/>
    <w:rsid w:val="00494BF8"/>
    <w:rsid w:val="004965B1"/>
    <w:rsid w:val="004A327E"/>
    <w:rsid w:val="004B3E59"/>
    <w:rsid w:val="004D3543"/>
    <w:rsid w:val="004D6B62"/>
    <w:rsid w:val="004F1432"/>
    <w:rsid w:val="004F6EC4"/>
    <w:rsid w:val="00500BA9"/>
    <w:rsid w:val="0050335C"/>
    <w:rsid w:val="0051147F"/>
    <w:rsid w:val="005119C3"/>
    <w:rsid w:val="00514B33"/>
    <w:rsid w:val="0053666F"/>
    <w:rsid w:val="00557E18"/>
    <w:rsid w:val="00582486"/>
    <w:rsid w:val="005B3C62"/>
    <w:rsid w:val="005B7A85"/>
    <w:rsid w:val="005C12FA"/>
    <w:rsid w:val="005D6D54"/>
    <w:rsid w:val="005E700C"/>
    <w:rsid w:val="005E70CE"/>
    <w:rsid w:val="0060211D"/>
    <w:rsid w:val="00606B2D"/>
    <w:rsid w:val="006072C2"/>
    <w:rsid w:val="00615F02"/>
    <w:rsid w:val="00617EED"/>
    <w:rsid w:val="00621821"/>
    <w:rsid w:val="00650026"/>
    <w:rsid w:val="00670882"/>
    <w:rsid w:val="00676480"/>
    <w:rsid w:val="006829AE"/>
    <w:rsid w:val="00684288"/>
    <w:rsid w:val="00684810"/>
    <w:rsid w:val="006873F1"/>
    <w:rsid w:val="006962F8"/>
    <w:rsid w:val="00697140"/>
    <w:rsid w:val="006A431B"/>
    <w:rsid w:val="006A6442"/>
    <w:rsid w:val="006B28FF"/>
    <w:rsid w:val="006C5B77"/>
    <w:rsid w:val="006C6269"/>
    <w:rsid w:val="006F2BE0"/>
    <w:rsid w:val="006F55A5"/>
    <w:rsid w:val="007152E2"/>
    <w:rsid w:val="00743365"/>
    <w:rsid w:val="0077181D"/>
    <w:rsid w:val="0077233A"/>
    <w:rsid w:val="0077413B"/>
    <w:rsid w:val="007976A9"/>
    <w:rsid w:val="007977B0"/>
    <w:rsid w:val="007C0740"/>
    <w:rsid w:val="007C3158"/>
    <w:rsid w:val="007D7321"/>
    <w:rsid w:val="007F48ED"/>
    <w:rsid w:val="008016B9"/>
    <w:rsid w:val="00812CCF"/>
    <w:rsid w:val="00821C87"/>
    <w:rsid w:val="008259C7"/>
    <w:rsid w:val="00827C30"/>
    <w:rsid w:val="00842EDB"/>
    <w:rsid w:val="00851EB9"/>
    <w:rsid w:val="00853CA8"/>
    <w:rsid w:val="008A62FD"/>
    <w:rsid w:val="008B543B"/>
    <w:rsid w:val="008C6983"/>
    <w:rsid w:val="008E2436"/>
    <w:rsid w:val="008E426F"/>
    <w:rsid w:val="008F385D"/>
    <w:rsid w:val="009015C3"/>
    <w:rsid w:val="00903CC1"/>
    <w:rsid w:val="00913DE9"/>
    <w:rsid w:val="009162CF"/>
    <w:rsid w:val="00916596"/>
    <w:rsid w:val="00945CF2"/>
    <w:rsid w:val="00947C0D"/>
    <w:rsid w:val="00955439"/>
    <w:rsid w:val="00965FE4"/>
    <w:rsid w:val="00982DBE"/>
    <w:rsid w:val="00983A83"/>
    <w:rsid w:val="00997717"/>
    <w:rsid w:val="009D09B6"/>
    <w:rsid w:val="00A0570E"/>
    <w:rsid w:val="00A23145"/>
    <w:rsid w:val="00A55E00"/>
    <w:rsid w:val="00A719F6"/>
    <w:rsid w:val="00A7562F"/>
    <w:rsid w:val="00A76EA5"/>
    <w:rsid w:val="00A85303"/>
    <w:rsid w:val="00A863FC"/>
    <w:rsid w:val="00A86C14"/>
    <w:rsid w:val="00A92C6F"/>
    <w:rsid w:val="00A957D5"/>
    <w:rsid w:val="00A971ED"/>
    <w:rsid w:val="00AB109E"/>
    <w:rsid w:val="00AB408D"/>
    <w:rsid w:val="00AE60C5"/>
    <w:rsid w:val="00AE7FFC"/>
    <w:rsid w:val="00AF4A02"/>
    <w:rsid w:val="00B14B15"/>
    <w:rsid w:val="00B1500F"/>
    <w:rsid w:val="00B2460B"/>
    <w:rsid w:val="00B4024A"/>
    <w:rsid w:val="00B570CB"/>
    <w:rsid w:val="00B7255A"/>
    <w:rsid w:val="00B7519E"/>
    <w:rsid w:val="00B769C0"/>
    <w:rsid w:val="00B815F6"/>
    <w:rsid w:val="00B86657"/>
    <w:rsid w:val="00BA283B"/>
    <w:rsid w:val="00BA6837"/>
    <w:rsid w:val="00BC4780"/>
    <w:rsid w:val="00BC5A22"/>
    <w:rsid w:val="00BE195A"/>
    <w:rsid w:val="00BF4250"/>
    <w:rsid w:val="00C01774"/>
    <w:rsid w:val="00C07C2C"/>
    <w:rsid w:val="00C25E6B"/>
    <w:rsid w:val="00C365EE"/>
    <w:rsid w:val="00C57448"/>
    <w:rsid w:val="00C62470"/>
    <w:rsid w:val="00C80D6A"/>
    <w:rsid w:val="00C84373"/>
    <w:rsid w:val="00CA1E5E"/>
    <w:rsid w:val="00CA56FB"/>
    <w:rsid w:val="00CC73AE"/>
    <w:rsid w:val="00CD1EE6"/>
    <w:rsid w:val="00CD24E2"/>
    <w:rsid w:val="00CD2571"/>
    <w:rsid w:val="00CE5409"/>
    <w:rsid w:val="00CF036D"/>
    <w:rsid w:val="00CF6448"/>
    <w:rsid w:val="00D11960"/>
    <w:rsid w:val="00D15907"/>
    <w:rsid w:val="00D208EB"/>
    <w:rsid w:val="00D2614C"/>
    <w:rsid w:val="00D32B46"/>
    <w:rsid w:val="00D53C63"/>
    <w:rsid w:val="00D608EE"/>
    <w:rsid w:val="00D639ED"/>
    <w:rsid w:val="00D70BF9"/>
    <w:rsid w:val="00D76895"/>
    <w:rsid w:val="00D778BF"/>
    <w:rsid w:val="00D93B2F"/>
    <w:rsid w:val="00D9562C"/>
    <w:rsid w:val="00DA20A7"/>
    <w:rsid w:val="00DC24F0"/>
    <w:rsid w:val="00DD2AC6"/>
    <w:rsid w:val="00DD2DC4"/>
    <w:rsid w:val="00DF7E94"/>
    <w:rsid w:val="00E2612D"/>
    <w:rsid w:val="00E377AC"/>
    <w:rsid w:val="00E52DD5"/>
    <w:rsid w:val="00E5721E"/>
    <w:rsid w:val="00E57FB2"/>
    <w:rsid w:val="00E77F65"/>
    <w:rsid w:val="00E91882"/>
    <w:rsid w:val="00EA0568"/>
    <w:rsid w:val="00EB3FC6"/>
    <w:rsid w:val="00EC648E"/>
    <w:rsid w:val="00ED007E"/>
    <w:rsid w:val="00EE12B0"/>
    <w:rsid w:val="00EE71DC"/>
    <w:rsid w:val="00EF67B3"/>
    <w:rsid w:val="00F23AE4"/>
    <w:rsid w:val="00F3005C"/>
    <w:rsid w:val="00F328A1"/>
    <w:rsid w:val="00F37B56"/>
    <w:rsid w:val="00F416B9"/>
    <w:rsid w:val="00F47954"/>
    <w:rsid w:val="00F64C24"/>
    <w:rsid w:val="00F64C83"/>
    <w:rsid w:val="00F82F58"/>
    <w:rsid w:val="00F841EB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28CF7"/>
  <w15:chartTrackingRefBased/>
  <w15:docId w15:val="{5AAA4C17-A299-4EA6-B569-637CB5C9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D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D4A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29"/>
  </w:style>
  <w:style w:type="paragraph" w:styleId="Footer">
    <w:name w:val="footer"/>
    <w:basedOn w:val="Normal"/>
    <w:link w:val="FooterChar"/>
    <w:uiPriority w:val="99"/>
    <w:unhideWhenUsed/>
    <w:rsid w:val="000D4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29"/>
  </w:style>
  <w:style w:type="paragraph" w:styleId="BalloonText">
    <w:name w:val="Balloon Text"/>
    <w:basedOn w:val="Normal"/>
    <w:link w:val="BalloonTextChar"/>
    <w:uiPriority w:val="99"/>
    <w:semiHidden/>
    <w:unhideWhenUsed/>
    <w:rsid w:val="000D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570E"/>
    <w:rPr>
      <w:sz w:val="16"/>
      <w:szCs w:val="16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0570E"/>
    <w:pPr>
      <w:spacing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644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00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250"/>
    <w:rPr>
      <w:vertAlign w:val="superscript"/>
    </w:rPr>
  </w:style>
  <w:style w:type="paragraph" w:customStyle="1" w:styleId="Standard">
    <w:name w:val="Standard"/>
    <w:rsid w:val="004D354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styleId="TableGrid">
    <w:name w:val="Table Grid"/>
    <w:basedOn w:val="TableNormal"/>
    <w:uiPriority w:val="39"/>
    <w:rsid w:val="00F3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35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53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470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ze.jurevica@vara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310965-par-valsts-budzetu-2020-gad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470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A5D8-AAF8-4C4B-AD2F-6FE99272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5122</Words>
  <Characters>2920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Jureviča</dc:creator>
  <cp:keywords/>
  <dc:description/>
  <cp:lastModifiedBy>Ilze Jureviča</cp:lastModifiedBy>
  <cp:revision>3</cp:revision>
  <dcterms:created xsi:type="dcterms:W3CDTF">2020-05-27T12:40:00Z</dcterms:created>
  <dcterms:modified xsi:type="dcterms:W3CDTF">2020-05-27T12:40:00Z</dcterms:modified>
</cp:coreProperties>
</file>