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96DF0" w14:textId="2EEFB2F0" w:rsidR="00894C55" w:rsidRPr="00645C5F" w:rsidRDefault="00213E1B" w:rsidP="00FF7340">
      <w:pPr>
        <w:shd w:val="clear" w:color="auto" w:fill="FFFFFF"/>
        <w:spacing w:after="0" w:line="240" w:lineRule="auto"/>
        <w:ind w:firstLine="720"/>
        <w:jc w:val="center"/>
        <w:rPr>
          <w:rFonts w:ascii="Times New Roman" w:eastAsia="Times New Roman" w:hAnsi="Times New Roman" w:cs="Times New Roman"/>
          <w:b/>
          <w:bCs/>
          <w:sz w:val="28"/>
          <w:szCs w:val="24"/>
          <w:lang w:eastAsia="lv-LV"/>
        </w:rPr>
      </w:pPr>
      <w:r w:rsidRPr="00645C5F">
        <w:rPr>
          <w:rFonts w:ascii="Times New Roman" w:hAnsi="Times New Roman" w:cs="Times New Roman"/>
          <w:b/>
          <w:bCs/>
          <w:sz w:val="28"/>
        </w:rPr>
        <w:t>Ministru kabineta noteikumu projekta</w:t>
      </w:r>
      <w:r w:rsidR="00B97412" w:rsidRPr="00645C5F">
        <w:rPr>
          <w:rFonts w:ascii="Times New Roman" w:hAnsi="Times New Roman" w:cs="Times New Roman"/>
          <w:b/>
          <w:bCs/>
          <w:sz w:val="28"/>
        </w:rPr>
        <w:t xml:space="preserve"> “</w:t>
      </w:r>
      <w:r w:rsidRPr="00645C5F">
        <w:rPr>
          <w:rFonts w:ascii="Times New Roman" w:hAnsi="Times New Roman" w:cs="Times New Roman"/>
          <w:b/>
          <w:bCs/>
          <w:sz w:val="28"/>
        </w:rPr>
        <w:t>Grozījum</w:t>
      </w:r>
      <w:r w:rsidR="003E67B6" w:rsidRPr="00645C5F">
        <w:rPr>
          <w:rFonts w:ascii="Times New Roman" w:hAnsi="Times New Roman" w:cs="Times New Roman"/>
          <w:b/>
          <w:bCs/>
          <w:sz w:val="28"/>
        </w:rPr>
        <w:t>s</w:t>
      </w:r>
      <w:r w:rsidRPr="00645C5F">
        <w:rPr>
          <w:rFonts w:ascii="Times New Roman" w:hAnsi="Times New Roman" w:cs="Times New Roman"/>
          <w:b/>
          <w:bCs/>
          <w:sz w:val="28"/>
        </w:rPr>
        <w:t xml:space="preserve"> Ministru kabineta 20</w:t>
      </w:r>
      <w:r w:rsidR="00E70FF1" w:rsidRPr="00645C5F">
        <w:rPr>
          <w:rFonts w:ascii="Times New Roman" w:hAnsi="Times New Roman" w:cs="Times New Roman"/>
          <w:b/>
          <w:bCs/>
          <w:sz w:val="28"/>
        </w:rPr>
        <w:t>09</w:t>
      </w:r>
      <w:r w:rsidRPr="00645C5F">
        <w:rPr>
          <w:rFonts w:ascii="Times New Roman" w:hAnsi="Times New Roman" w:cs="Times New Roman"/>
          <w:b/>
          <w:bCs/>
          <w:sz w:val="28"/>
        </w:rPr>
        <w:t>.</w:t>
      </w:r>
      <w:r w:rsidR="00B97412" w:rsidRPr="00645C5F">
        <w:rPr>
          <w:rFonts w:ascii="Times New Roman" w:hAnsi="Times New Roman" w:cs="Times New Roman"/>
          <w:b/>
          <w:bCs/>
          <w:sz w:val="28"/>
        </w:rPr>
        <w:t xml:space="preserve"> </w:t>
      </w:r>
      <w:r w:rsidRPr="00645C5F">
        <w:rPr>
          <w:rFonts w:ascii="Times New Roman" w:hAnsi="Times New Roman" w:cs="Times New Roman"/>
          <w:b/>
          <w:bCs/>
          <w:sz w:val="28"/>
        </w:rPr>
        <w:t xml:space="preserve">gada </w:t>
      </w:r>
      <w:r w:rsidR="003E67B6" w:rsidRPr="00645C5F">
        <w:rPr>
          <w:rFonts w:ascii="Times New Roman" w:hAnsi="Times New Roman" w:cs="Times New Roman"/>
          <w:b/>
          <w:bCs/>
          <w:sz w:val="28"/>
        </w:rPr>
        <w:t>11</w:t>
      </w:r>
      <w:r w:rsidRPr="00645C5F">
        <w:rPr>
          <w:rFonts w:ascii="Times New Roman" w:hAnsi="Times New Roman" w:cs="Times New Roman"/>
          <w:b/>
          <w:bCs/>
          <w:sz w:val="28"/>
        </w:rPr>
        <w:t>.</w:t>
      </w:r>
      <w:r w:rsidR="00B97412" w:rsidRPr="00645C5F">
        <w:rPr>
          <w:rFonts w:ascii="Times New Roman" w:hAnsi="Times New Roman" w:cs="Times New Roman"/>
          <w:b/>
          <w:bCs/>
          <w:sz w:val="28"/>
        </w:rPr>
        <w:t xml:space="preserve"> </w:t>
      </w:r>
      <w:r w:rsidR="003E67B6" w:rsidRPr="00645C5F">
        <w:rPr>
          <w:rFonts w:ascii="Times New Roman" w:hAnsi="Times New Roman" w:cs="Times New Roman"/>
          <w:b/>
          <w:bCs/>
          <w:sz w:val="28"/>
        </w:rPr>
        <w:t>august</w:t>
      </w:r>
      <w:r w:rsidRPr="00645C5F">
        <w:rPr>
          <w:rFonts w:ascii="Times New Roman" w:hAnsi="Times New Roman" w:cs="Times New Roman"/>
          <w:b/>
          <w:bCs/>
          <w:sz w:val="28"/>
        </w:rPr>
        <w:t>a noteikumos Nr.</w:t>
      </w:r>
      <w:r w:rsidR="00B97412" w:rsidRPr="00645C5F">
        <w:rPr>
          <w:rFonts w:ascii="Times New Roman" w:hAnsi="Times New Roman" w:cs="Times New Roman"/>
          <w:b/>
          <w:bCs/>
          <w:sz w:val="28"/>
        </w:rPr>
        <w:t xml:space="preserve"> </w:t>
      </w:r>
      <w:r w:rsidR="003E67B6" w:rsidRPr="00645C5F">
        <w:rPr>
          <w:rFonts w:ascii="Times New Roman" w:hAnsi="Times New Roman" w:cs="Times New Roman"/>
          <w:b/>
          <w:bCs/>
          <w:sz w:val="28"/>
        </w:rPr>
        <w:t>892</w:t>
      </w:r>
      <w:r w:rsidRPr="00645C5F">
        <w:rPr>
          <w:rFonts w:ascii="Times New Roman" w:hAnsi="Times New Roman" w:cs="Times New Roman"/>
          <w:b/>
          <w:bCs/>
          <w:sz w:val="28"/>
        </w:rPr>
        <w:t xml:space="preserve"> </w:t>
      </w:r>
      <w:r w:rsidR="00B97412" w:rsidRPr="00645C5F">
        <w:rPr>
          <w:rFonts w:ascii="Times New Roman" w:hAnsi="Times New Roman" w:cs="Times New Roman"/>
          <w:b/>
          <w:bCs/>
          <w:sz w:val="28"/>
        </w:rPr>
        <w:t>“</w:t>
      </w:r>
      <w:r w:rsidR="00E70FF1" w:rsidRPr="00645C5F">
        <w:rPr>
          <w:rFonts w:ascii="Times New Roman" w:hAnsi="Times New Roman" w:cs="Times New Roman"/>
          <w:b/>
          <w:bCs/>
          <w:sz w:val="28"/>
        </w:rPr>
        <w:t xml:space="preserve">Noteikumi par </w:t>
      </w:r>
      <w:r w:rsidR="003E67B6" w:rsidRPr="00645C5F">
        <w:rPr>
          <w:rFonts w:ascii="Times New Roman" w:hAnsi="Times New Roman" w:cs="Times New Roman"/>
          <w:b/>
          <w:bCs/>
          <w:sz w:val="28"/>
        </w:rPr>
        <w:t>numerācijas lietošanas tiesību ikgadējo valsts nodevu</w:t>
      </w:r>
      <w:r w:rsidR="00B97412" w:rsidRPr="00645C5F">
        <w:rPr>
          <w:rFonts w:ascii="Times New Roman" w:hAnsi="Times New Roman" w:cs="Times New Roman"/>
          <w:b/>
          <w:bCs/>
          <w:sz w:val="28"/>
        </w:rPr>
        <w:t>””</w:t>
      </w:r>
      <w:r w:rsidRPr="00645C5F">
        <w:rPr>
          <w:rFonts w:ascii="Times New Roman" w:hAnsi="Times New Roman" w:cs="Times New Roman"/>
          <w:b/>
          <w:bCs/>
          <w:sz w:val="28"/>
        </w:rPr>
        <w:t xml:space="preserve"> </w:t>
      </w:r>
      <w:r w:rsidR="00894C55" w:rsidRPr="00645C5F">
        <w:rPr>
          <w:rFonts w:ascii="Times New Roman" w:eastAsia="Times New Roman" w:hAnsi="Times New Roman" w:cs="Times New Roman"/>
          <w:b/>
          <w:bCs/>
          <w:sz w:val="28"/>
          <w:szCs w:val="24"/>
          <w:lang w:eastAsia="lv-LV"/>
        </w:rPr>
        <w:t>projekta</w:t>
      </w:r>
      <w:r w:rsidR="003B0BF9" w:rsidRPr="00645C5F">
        <w:rPr>
          <w:rFonts w:ascii="Times New Roman" w:eastAsia="Times New Roman" w:hAnsi="Times New Roman" w:cs="Times New Roman"/>
          <w:b/>
          <w:bCs/>
          <w:sz w:val="28"/>
          <w:szCs w:val="24"/>
          <w:lang w:eastAsia="lv-LV"/>
        </w:rPr>
        <w:br/>
      </w:r>
      <w:r w:rsidR="00894C55" w:rsidRPr="00645C5F">
        <w:rPr>
          <w:rFonts w:ascii="Times New Roman" w:eastAsia="Times New Roman" w:hAnsi="Times New Roman" w:cs="Times New Roman"/>
          <w:b/>
          <w:bCs/>
          <w:sz w:val="28"/>
          <w:szCs w:val="24"/>
          <w:lang w:eastAsia="lv-LV"/>
        </w:rPr>
        <w:t>sākotnējās ietekmes novērtējuma ziņojums (anotācija)</w:t>
      </w:r>
    </w:p>
    <w:p w14:paraId="302B79EA" w14:textId="77777777" w:rsidR="00E5323B" w:rsidRPr="00645C5F"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645C5F" w14:paraId="45BAA83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F0C4CD" w14:textId="77777777" w:rsidR="00655F2C" w:rsidRPr="00645C5F" w:rsidRDefault="00E5323B" w:rsidP="00AE4CDA">
            <w:pPr>
              <w:spacing w:after="0" w:line="240" w:lineRule="auto"/>
              <w:jc w:val="center"/>
              <w:rPr>
                <w:rFonts w:ascii="Times New Roman" w:eastAsia="Times New Roman" w:hAnsi="Times New Roman" w:cs="Times New Roman"/>
                <w:b/>
                <w:bCs/>
                <w:iCs/>
                <w:sz w:val="24"/>
                <w:szCs w:val="24"/>
                <w:lang w:eastAsia="lv-LV"/>
              </w:rPr>
            </w:pPr>
            <w:r w:rsidRPr="00645C5F">
              <w:rPr>
                <w:rFonts w:ascii="Times New Roman" w:eastAsia="Times New Roman" w:hAnsi="Times New Roman" w:cs="Times New Roman"/>
                <w:b/>
                <w:bCs/>
                <w:iCs/>
                <w:sz w:val="24"/>
                <w:szCs w:val="24"/>
                <w:lang w:eastAsia="lv-LV"/>
              </w:rPr>
              <w:t>Tiesību akta projekta anotācijas kopsavilkums</w:t>
            </w:r>
          </w:p>
        </w:tc>
      </w:tr>
      <w:tr w:rsidR="00E5323B" w:rsidRPr="00645C5F" w14:paraId="3D0833AD" w14:textId="77777777" w:rsidTr="003E67B6">
        <w:trPr>
          <w:trHeight w:val="1863"/>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4D330BA" w14:textId="77777777" w:rsidR="00E5323B" w:rsidRPr="00645C5F" w:rsidRDefault="00E5323B" w:rsidP="00E5323B">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21297DF" w14:textId="0EEEAF8B" w:rsidR="003E67B6" w:rsidRPr="00645C5F" w:rsidRDefault="00B97412" w:rsidP="003E67B6">
            <w:pPr>
              <w:spacing w:after="0" w:line="240" w:lineRule="auto"/>
              <w:jc w:val="both"/>
              <w:rPr>
                <w:rFonts w:ascii="Times New Roman" w:eastAsia="Times New Roman" w:hAnsi="Times New Roman" w:cs="Times New Roman"/>
                <w:iCs/>
                <w:color w:val="FF0000"/>
                <w:sz w:val="24"/>
                <w:szCs w:val="24"/>
                <w:lang w:eastAsia="lv-LV"/>
              </w:rPr>
            </w:pPr>
            <w:r w:rsidRPr="00645C5F">
              <w:rPr>
                <w:rFonts w:ascii="Times New Roman" w:eastAsia="Times New Roman" w:hAnsi="Times New Roman" w:cs="Times New Roman"/>
                <w:iCs/>
                <w:sz w:val="24"/>
                <w:szCs w:val="24"/>
                <w:lang w:eastAsia="lv-LV"/>
              </w:rPr>
              <w:t xml:space="preserve">Ministru kabineta noteikumu projekta </w:t>
            </w:r>
            <w:r w:rsidR="003E67B6" w:rsidRPr="00645C5F">
              <w:rPr>
                <w:rFonts w:ascii="Times New Roman" w:eastAsia="Times New Roman" w:hAnsi="Times New Roman" w:cs="Times New Roman"/>
                <w:iCs/>
                <w:sz w:val="24"/>
                <w:szCs w:val="24"/>
                <w:lang w:eastAsia="lv-LV"/>
              </w:rPr>
              <w:t xml:space="preserve">“Grozījums Ministru kabineta 2009. gada 11. augusta noteikumos Nr. 892 </w:t>
            </w:r>
            <w:bookmarkStart w:id="0" w:name="_Hlk42098409"/>
            <w:r w:rsidR="003E67B6" w:rsidRPr="00645C5F">
              <w:rPr>
                <w:rFonts w:ascii="Times New Roman" w:eastAsia="Times New Roman" w:hAnsi="Times New Roman" w:cs="Times New Roman"/>
                <w:iCs/>
                <w:sz w:val="24"/>
                <w:szCs w:val="24"/>
                <w:lang w:eastAsia="lv-LV"/>
              </w:rPr>
              <w:t>“</w:t>
            </w:r>
            <w:hyperlink r:id="rId7" w:tgtFrame="_blank" w:history="1">
              <w:r w:rsidR="003E67B6" w:rsidRPr="00645C5F">
                <w:rPr>
                  <w:rStyle w:val="Hyperlink"/>
                  <w:rFonts w:ascii="Times New Roman" w:eastAsia="Times New Roman" w:hAnsi="Times New Roman" w:cs="Times New Roman"/>
                  <w:iCs/>
                  <w:color w:val="auto"/>
                  <w:sz w:val="24"/>
                  <w:szCs w:val="24"/>
                  <w:u w:val="none"/>
                  <w:lang w:eastAsia="lv-LV"/>
                </w:rPr>
                <w:t>Noteikumi par numerācijas lietošanas tiesību ikgadējo valsts nodevu</w:t>
              </w:r>
            </w:hyperlink>
            <w:bookmarkEnd w:id="0"/>
            <w:r w:rsidR="003E67B6" w:rsidRPr="00645C5F">
              <w:rPr>
                <w:rFonts w:ascii="Times New Roman" w:eastAsia="Times New Roman" w:hAnsi="Times New Roman" w:cs="Times New Roman"/>
                <w:iCs/>
                <w:sz w:val="24"/>
                <w:szCs w:val="24"/>
                <w:lang w:eastAsia="lv-LV"/>
              </w:rPr>
              <w:t>”” (turpmāk – Noteikumu projekts) mērķis ir nodrošināt, ka sabiedrībai ar ierobežotu atbildību “</w:t>
            </w:r>
            <w:proofErr w:type="spellStart"/>
            <w:r w:rsidR="003E67B6" w:rsidRPr="00645C5F">
              <w:rPr>
                <w:rFonts w:ascii="Times New Roman" w:eastAsia="Times New Roman" w:hAnsi="Times New Roman" w:cs="Times New Roman"/>
                <w:iCs/>
                <w:sz w:val="24"/>
                <w:szCs w:val="24"/>
                <w:lang w:eastAsia="lv-LV"/>
              </w:rPr>
              <w:t>Tet</w:t>
            </w:r>
            <w:proofErr w:type="spellEnd"/>
            <w:r w:rsidR="003E67B6" w:rsidRPr="00645C5F">
              <w:rPr>
                <w:rFonts w:ascii="Times New Roman" w:eastAsia="Times New Roman" w:hAnsi="Times New Roman" w:cs="Times New Roman"/>
                <w:iCs/>
                <w:sz w:val="24"/>
                <w:szCs w:val="24"/>
                <w:lang w:eastAsia="lv-LV"/>
              </w:rPr>
              <w:t>” netiek piemērota valsts nodev</w:t>
            </w:r>
            <w:r w:rsidR="000A642D" w:rsidRPr="00645C5F">
              <w:rPr>
                <w:rFonts w:ascii="Times New Roman" w:eastAsia="Times New Roman" w:hAnsi="Times New Roman" w:cs="Times New Roman"/>
                <w:iCs/>
                <w:sz w:val="24"/>
                <w:szCs w:val="24"/>
                <w:lang w:eastAsia="lv-LV"/>
              </w:rPr>
              <w:t>a</w:t>
            </w:r>
            <w:r w:rsidR="003E67B6" w:rsidRPr="00645C5F">
              <w:rPr>
                <w:rFonts w:ascii="Times New Roman" w:eastAsia="Times New Roman" w:hAnsi="Times New Roman" w:cs="Times New Roman"/>
                <w:iCs/>
                <w:sz w:val="24"/>
                <w:szCs w:val="24"/>
                <w:lang w:eastAsia="lv-LV"/>
              </w:rPr>
              <w:t xml:space="preserve"> par numur</w:t>
            </w:r>
            <w:r w:rsidR="006C4E7F" w:rsidRPr="00645C5F">
              <w:rPr>
                <w:rFonts w:ascii="Times New Roman" w:eastAsia="Times New Roman" w:hAnsi="Times New Roman" w:cs="Times New Roman"/>
                <w:iCs/>
                <w:sz w:val="24"/>
                <w:szCs w:val="24"/>
                <w:lang w:eastAsia="lv-LV"/>
              </w:rPr>
              <w:t>u</w:t>
            </w:r>
            <w:r w:rsidR="003E67B6" w:rsidRPr="00645C5F">
              <w:rPr>
                <w:rFonts w:ascii="Times New Roman" w:eastAsia="Times New Roman" w:hAnsi="Times New Roman" w:cs="Times New Roman"/>
                <w:iCs/>
                <w:sz w:val="24"/>
                <w:szCs w:val="24"/>
                <w:lang w:eastAsia="lv-LV"/>
              </w:rPr>
              <w:t xml:space="preserve"> 8303</w:t>
            </w:r>
            <w:r w:rsidR="006C4E7F" w:rsidRPr="00645C5F">
              <w:rPr>
                <w:rFonts w:ascii="Times New Roman" w:eastAsia="Times New Roman" w:hAnsi="Times New Roman" w:cs="Times New Roman"/>
                <w:iCs/>
                <w:sz w:val="24"/>
                <w:szCs w:val="24"/>
                <w:lang w:eastAsia="lv-LV"/>
              </w:rPr>
              <w:t xml:space="preserve"> un 8345</w:t>
            </w:r>
            <w:r w:rsidR="003E67B6" w:rsidRPr="00645C5F">
              <w:rPr>
                <w:rFonts w:ascii="Times New Roman" w:eastAsia="Times New Roman" w:hAnsi="Times New Roman" w:cs="Times New Roman"/>
                <w:iCs/>
                <w:sz w:val="24"/>
                <w:szCs w:val="24"/>
                <w:lang w:eastAsia="lv-LV"/>
              </w:rPr>
              <w:t xml:space="preserve"> lietošanas tiesībām pēc ārkārtējās situācijas atcelšanas.</w:t>
            </w:r>
          </w:p>
          <w:p w14:paraId="23DBA9A7" w14:textId="65F8C747" w:rsidR="003E67B6" w:rsidRPr="00645C5F" w:rsidRDefault="00453EB4" w:rsidP="003E67B6">
            <w:pPr>
              <w:spacing w:after="0" w:line="240" w:lineRule="auto"/>
              <w:jc w:val="both"/>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bCs/>
                <w:iCs/>
                <w:sz w:val="24"/>
                <w:szCs w:val="24"/>
                <w:lang w:eastAsia="lv-LV"/>
              </w:rPr>
              <w:t>P</w:t>
            </w:r>
            <w:r w:rsidR="00382FF9" w:rsidRPr="00645C5F">
              <w:rPr>
                <w:rFonts w:ascii="Times New Roman" w:eastAsia="Times New Roman" w:hAnsi="Times New Roman" w:cs="Times New Roman"/>
                <w:bCs/>
                <w:iCs/>
                <w:sz w:val="24"/>
                <w:szCs w:val="24"/>
                <w:lang w:eastAsia="lv-LV"/>
              </w:rPr>
              <w:t>rojekts</w:t>
            </w:r>
            <w:r w:rsidR="00382FF9" w:rsidRPr="00645C5F">
              <w:rPr>
                <w:rFonts w:ascii="Times New Roman" w:eastAsia="Times New Roman" w:hAnsi="Times New Roman" w:cs="Times New Roman"/>
                <w:iCs/>
                <w:sz w:val="24"/>
                <w:szCs w:val="24"/>
                <w:lang w:eastAsia="lv-LV"/>
              </w:rPr>
              <w:t xml:space="preserve"> </w:t>
            </w:r>
            <w:r w:rsidRPr="00645C5F">
              <w:rPr>
                <w:rFonts w:ascii="Times New Roman" w:eastAsia="Times New Roman" w:hAnsi="Times New Roman" w:cs="Times New Roman"/>
                <w:iCs/>
                <w:sz w:val="24"/>
                <w:szCs w:val="24"/>
                <w:lang w:eastAsia="lv-LV"/>
              </w:rPr>
              <w:t>stājas spēkā</w:t>
            </w:r>
            <w:r w:rsidR="000A642D" w:rsidRPr="00645C5F">
              <w:rPr>
                <w:rFonts w:ascii="Times New Roman" w:eastAsia="Times New Roman" w:hAnsi="Times New Roman" w:cs="Times New Roman"/>
                <w:iCs/>
                <w:sz w:val="24"/>
                <w:szCs w:val="24"/>
                <w:lang w:eastAsia="lv-LV"/>
              </w:rPr>
              <w:t xml:space="preserve"> 2020.gada 10.jūnijā</w:t>
            </w:r>
            <w:r w:rsidRPr="00645C5F">
              <w:rPr>
                <w:rFonts w:ascii="Times New Roman" w:eastAsia="Times New Roman" w:hAnsi="Times New Roman" w:cs="Times New Roman"/>
                <w:iCs/>
                <w:sz w:val="24"/>
                <w:szCs w:val="24"/>
                <w:lang w:eastAsia="lv-LV"/>
              </w:rPr>
              <w:t>.</w:t>
            </w:r>
          </w:p>
        </w:tc>
      </w:tr>
    </w:tbl>
    <w:p w14:paraId="7EB33CAD" w14:textId="77777777" w:rsidR="00E5323B" w:rsidRPr="00645C5F" w:rsidRDefault="00E5323B" w:rsidP="00E5323B">
      <w:pPr>
        <w:spacing w:after="0" w:line="240" w:lineRule="auto"/>
        <w:rPr>
          <w:rFonts w:ascii="Times New Roman" w:eastAsia="Times New Roman" w:hAnsi="Times New Roman" w:cs="Times New Roman"/>
          <w:iCs/>
          <w:color w:val="414142"/>
          <w:sz w:val="24"/>
          <w:szCs w:val="24"/>
          <w:lang w:eastAsia="lv-LV"/>
        </w:rPr>
      </w:pPr>
      <w:r w:rsidRPr="00645C5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645C5F" w14:paraId="4ED796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2BA7F8" w14:textId="77777777" w:rsidR="00655F2C" w:rsidRPr="00645C5F" w:rsidRDefault="00E5323B" w:rsidP="00AE4CDA">
            <w:pPr>
              <w:spacing w:after="0" w:line="240" w:lineRule="auto"/>
              <w:jc w:val="center"/>
              <w:rPr>
                <w:rFonts w:ascii="Times New Roman" w:eastAsia="Times New Roman" w:hAnsi="Times New Roman" w:cs="Times New Roman"/>
                <w:b/>
                <w:bCs/>
                <w:iCs/>
                <w:sz w:val="24"/>
                <w:szCs w:val="24"/>
                <w:lang w:eastAsia="lv-LV"/>
              </w:rPr>
            </w:pPr>
            <w:r w:rsidRPr="00645C5F">
              <w:rPr>
                <w:rFonts w:ascii="Times New Roman" w:eastAsia="Times New Roman" w:hAnsi="Times New Roman" w:cs="Times New Roman"/>
                <w:b/>
                <w:bCs/>
                <w:iCs/>
                <w:sz w:val="24"/>
                <w:szCs w:val="24"/>
                <w:lang w:eastAsia="lv-LV"/>
              </w:rPr>
              <w:t>I. Tiesību akta projekta izstrādes nepieciešamība</w:t>
            </w:r>
          </w:p>
        </w:tc>
      </w:tr>
      <w:tr w:rsidR="00E5323B" w:rsidRPr="00645C5F" w14:paraId="3A1F12BE" w14:textId="77777777" w:rsidTr="00C801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C701E1" w14:textId="77777777" w:rsidR="00655F2C" w:rsidRPr="00645C5F" w:rsidRDefault="00E5323B" w:rsidP="00E5323B">
            <w:pPr>
              <w:spacing w:after="0" w:line="240" w:lineRule="auto"/>
              <w:rPr>
                <w:rFonts w:ascii="Times New Roman" w:eastAsia="Times New Roman" w:hAnsi="Times New Roman" w:cs="Times New Roman"/>
                <w:iCs/>
                <w:color w:val="414142"/>
                <w:sz w:val="24"/>
                <w:szCs w:val="24"/>
                <w:lang w:eastAsia="lv-LV"/>
              </w:rPr>
            </w:pPr>
            <w:r w:rsidRPr="00645C5F">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09FFC83" w14:textId="77777777" w:rsidR="00E5323B" w:rsidRPr="00645C5F" w:rsidRDefault="00E5323B" w:rsidP="00E5323B">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24A71D63" w14:textId="77777777" w:rsidR="00DB1208" w:rsidRPr="00645C5F" w:rsidRDefault="00213E1B" w:rsidP="00453EB4">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Veselības ministrijas iniciatīva</w:t>
            </w:r>
          </w:p>
        </w:tc>
      </w:tr>
      <w:tr w:rsidR="00E5323B" w:rsidRPr="00645C5F" w14:paraId="5A479FC0" w14:textId="77777777" w:rsidTr="00C801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1ECA34" w14:textId="77777777" w:rsidR="00655F2C" w:rsidRPr="00645C5F" w:rsidRDefault="00E5323B" w:rsidP="00E5323B">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9401C29" w14:textId="77777777" w:rsidR="00E5323B" w:rsidRPr="00645C5F" w:rsidRDefault="00E5323B" w:rsidP="00E5323B">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7A008F96" w14:textId="355DDC57" w:rsidR="003E67B6" w:rsidRPr="00645C5F" w:rsidRDefault="003E67B6" w:rsidP="007F1F51">
            <w:pPr>
              <w:pStyle w:val="NoSpacing"/>
              <w:jc w:val="both"/>
              <w:rPr>
                <w:rFonts w:ascii="Times New Roman" w:hAnsi="Times New Roman" w:cs="Times New Roman"/>
                <w:iCs/>
                <w:sz w:val="24"/>
                <w:szCs w:val="24"/>
              </w:rPr>
            </w:pPr>
            <w:r w:rsidRPr="00645C5F">
              <w:rPr>
                <w:rFonts w:ascii="Times New Roman" w:hAnsi="Times New Roman" w:cs="Times New Roman"/>
                <w:iCs/>
                <w:sz w:val="24"/>
                <w:szCs w:val="24"/>
              </w:rPr>
              <w:t>Kārtību, kādā aprēķina ikgadējo valsts nodevu par numerācijas lietošanas tiesībām (turpmāk – nodeva), nodevas maksāšanas kārtību un atbrīvojumu no nodevas nosaka Ministru kabineta 2009. gada 11. augusta noteikumi Nr. 892 “</w:t>
            </w:r>
            <w:hyperlink r:id="rId8" w:tgtFrame="_blank" w:history="1">
              <w:r w:rsidRPr="00645C5F">
                <w:rPr>
                  <w:rStyle w:val="Hyperlink"/>
                  <w:rFonts w:ascii="Times New Roman" w:hAnsi="Times New Roman" w:cs="Times New Roman"/>
                  <w:iCs/>
                  <w:color w:val="auto"/>
                  <w:sz w:val="24"/>
                  <w:szCs w:val="24"/>
                  <w:u w:val="none"/>
                </w:rPr>
                <w:t>Noteikumi par numerācijas lietošanas tiesību ikgadējo valsts nodevu</w:t>
              </w:r>
            </w:hyperlink>
            <w:r w:rsidRPr="00645C5F">
              <w:rPr>
                <w:rFonts w:ascii="Times New Roman" w:hAnsi="Times New Roman" w:cs="Times New Roman"/>
                <w:iCs/>
                <w:sz w:val="24"/>
                <w:szCs w:val="24"/>
              </w:rPr>
              <w:t>”</w:t>
            </w:r>
            <w:r w:rsidR="008B1BB3" w:rsidRPr="00645C5F">
              <w:rPr>
                <w:rFonts w:ascii="Times New Roman" w:hAnsi="Times New Roman" w:cs="Times New Roman"/>
                <w:iCs/>
                <w:sz w:val="24"/>
                <w:szCs w:val="24"/>
              </w:rPr>
              <w:t xml:space="preserve"> (turpmāk – Noteikumi Nr.892).</w:t>
            </w:r>
            <w:r w:rsidRPr="00645C5F">
              <w:rPr>
                <w:rFonts w:ascii="Times New Roman" w:hAnsi="Times New Roman" w:cs="Times New Roman"/>
                <w:iCs/>
                <w:sz w:val="24"/>
                <w:szCs w:val="24"/>
              </w:rPr>
              <w:t xml:space="preserve"> </w:t>
            </w:r>
            <w:r w:rsidR="008B1BB3" w:rsidRPr="00645C5F">
              <w:rPr>
                <w:rFonts w:ascii="Times New Roman" w:hAnsi="Times New Roman" w:cs="Times New Roman"/>
                <w:iCs/>
                <w:sz w:val="24"/>
                <w:szCs w:val="24"/>
              </w:rPr>
              <w:t>N</w:t>
            </w:r>
            <w:r w:rsidRPr="00645C5F">
              <w:rPr>
                <w:rFonts w:ascii="Times New Roman" w:hAnsi="Times New Roman" w:cs="Times New Roman"/>
                <w:iCs/>
                <w:sz w:val="24"/>
                <w:szCs w:val="24"/>
              </w:rPr>
              <w:t>oteikumu</w:t>
            </w:r>
            <w:r w:rsidR="008B1BB3" w:rsidRPr="00645C5F">
              <w:rPr>
                <w:rFonts w:ascii="Times New Roman" w:hAnsi="Times New Roman" w:cs="Times New Roman"/>
                <w:iCs/>
                <w:sz w:val="24"/>
                <w:szCs w:val="24"/>
              </w:rPr>
              <w:t xml:space="preserve"> Nr. 892</w:t>
            </w:r>
            <w:r w:rsidRPr="00645C5F">
              <w:rPr>
                <w:rFonts w:ascii="Times New Roman" w:hAnsi="Times New Roman" w:cs="Times New Roman"/>
                <w:iCs/>
                <w:sz w:val="24"/>
                <w:szCs w:val="24"/>
              </w:rPr>
              <w:t xml:space="preserve"> 8. punkts paredz, ka  elektronisko sakaru komersants ir atbrīvots no nodevas par piešķirtajām numerācijas lietošanas tiesībām uz Eiropas Savienības elektronisko sakaru saskaņoto pakalpojumu kodu 116(XXX) diapazonā, kura lietošanas tiesības piešķir Sabiedrisko pakalpojumu regulēšanas komisija, īsajiem kodiem 16(XX) diapazonā un numuriem “110”, “112”, “113”, “114”, “115”, “01”, “02”, “03”, “04”.</w:t>
            </w:r>
            <w:r w:rsidR="009850A4" w:rsidRPr="00645C5F">
              <w:rPr>
                <w:rFonts w:ascii="Times New Roman" w:hAnsi="Times New Roman" w:cs="Times New Roman"/>
                <w:iCs/>
                <w:sz w:val="24"/>
                <w:szCs w:val="24"/>
              </w:rPr>
              <w:t xml:space="preserve"> Savukārt Noteikumu Nr. 892 9.punkts nosaka, ka valsts akciju sabiedrība “Elektroniskie sakari” reizi ceturksnī līdz tam sekojošā mēneša desmitajam datumam no numerācijas datubāzes </w:t>
            </w:r>
            <w:proofErr w:type="spellStart"/>
            <w:r w:rsidR="009850A4" w:rsidRPr="00645C5F">
              <w:rPr>
                <w:rFonts w:ascii="Times New Roman" w:hAnsi="Times New Roman" w:cs="Times New Roman"/>
                <w:iCs/>
                <w:sz w:val="24"/>
                <w:szCs w:val="24"/>
              </w:rPr>
              <w:t>nosūta</w:t>
            </w:r>
            <w:proofErr w:type="spellEnd"/>
            <w:r w:rsidR="009850A4" w:rsidRPr="00645C5F">
              <w:rPr>
                <w:rFonts w:ascii="Times New Roman" w:hAnsi="Times New Roman" w:cs="Times New Roman"/>
                <w:iCs/>
                <w:sz w:val="24"/>
                <w:szCs w:val="24"/>
              </w:rPr>
              <w:t xml:space="preserve"> informāciju Valsts ieņēmumu dienestam uz elektroniskā pasta adresi par tiem elektronisko sakaru komersantiem, kuriem attiecīgajā taksācijas periodā ir jāiemaksā nodeva.</w:t>
            </w:r>
          </w:p>
          <w:p w14:paraId="4D41316D" w14:textId="3637B35F" w:rsidR="00453EB4" w:rsidRPr="00645C5F" w:rsidRDefault="00453EB4" w:rsidP="007F1F51">
            <w:pPr>
              <w:pStyle w:val="NoSpacing"/>
              <w:jc w:val="both"/>
              <w:rPr>
                <w:rFonts w:ascii="Times New Roman" w:hAnsi="Times New Roman" w:cs="Times New Roman"/>
                <w:iCs/>
                <w:sz w:val="24"/>
                <w:szCs w:val="24"/>
              </w:rPr>
            </w:pPr>
            <w:r w:rsidRPr="00645C5F">
              <w:rPr>
                <w:rFonts w:ascii="Times New Roman" w:hAnsi="Times New Roman" w:cs="Times New Roman"/>
                <w:iCs/>
                <w:sz w:val="24"/>
                <w:szCs w:val="24"/>
              </w:rPr>
              <w:t xml:space="preserve">Vienlaikus </w:t>
            </w:r>
            <w:r w:rsidR="003E67B6" w:rsidRPr="00645C5F">
              <w:rPr>
                <w:rFonts w:ascii="Times New Roman" w:hAnsi="Times New Roman" w:cs="Times New Roman"/>
                <w:iCs/>
                <w:sz w:val="24"/>
                <w:szCs w:val="24"/>
              </w:rPr>
              <w:t xml:space="preserve">Ministru kabineta 2020. gada 12. marta rīkojuma Nr. 103 “Par ārkārtējās situācijas izsludināšanu” 4.30. apakšpunkts nosaka, ka  sabiedrībai ar ierobežotu atbildību </w:t>
            </w:r>
            <w:r w:rsidR="008B1BB3" w:rsidRPr="00645C5F">
              <w:rPr>
                <w:rFonts w:ascii="Times New Roman" w:hAnsi="Times New Roman" w:cs="Times New Roman"/>
                <w:iCs/>
                <w:sz w:val="24"/>
                <w:szCs w:val="24"/>
              </w:rPr>
              <w:t>“</w:t>
            </w:r>
            <w:proofErr w:type="spellStart"/>
            <w:r w:rsidR="003E67B6" w:rsidRPr="00645C5F">
              <w:rPr>
                <w:rFonts w:ascii="Times New Roman" w:hAnsi="Times New Roman" w:cs="Times New Roman"/>
                <w:iCs/>
                <w:sz w:val="24"/>
                <w:szCs w:val="24"/>
              </w:rPr>
              <w:t>Tet</w:t>
            </w:r>
            <w:proofErr w:type="spellEnd"/>
            <w:r w:rsidR="008B1BB3" w:rsidRPr="00645C5F">
              <w:rPr>
                <w:rFonts w:ascii="Times New Roman" w:hAnsi="Times New Roman" w:cs="Times New Roman"/>
                <w:iCs/>
                <w:sz w:val="24"/>
                <w:szCs w:val="24"/>
              </w:rPr>
              <w:t>”</w:t>
            </w:r>
            <w:r w:rsidR="003E67B6" w:rsidRPr="00645C5F">
              <w:rPr>
                <w:rFonts w:ascii="Times New Roman" w:hAnsi="Times New Roman" w:cs="Times New Roman"/>
                <w:iCs/>
                <w:sz w:val="24"/>
                <w:szCs w:val="24"/>
              </w:rPr>
              <w:t xml:space="preserve"> nepiemēro </w:t>
            </w:r>
            <w:r w:rsidR="008B1BB3" w:rsidRPr="00645C5F">
              <w:rPr>
                <w:rFonts w:ascii="Times New Roman" w:hAnsi="Times New Roman" w:cs="Times New Roman"/>
                <w:iCs/>
                <w:sz w:val="24"/>
                <w:szCs w:val="24"/>
              </w:rPr>
              <w:t>N</w:t>
            </w:r>
            <w:r w:rsidR="003E67B6" w:rsidRPr="00645C5F">
              <w:rPr>
                <w:rFonts w:ascii="Times New Roman" w:hAnsi="Times New Roman" w:cs="Times New Roman"/>
                <w:iCs/>
                <w:sz w:val="24"/>
                <w:szCs w:val="24"/>
              </w:rPr>
              <w:t xml:space="preserve">oteikumos Nr. 892 noteikto valsts nodevu par publisko telefonu tīklu operatoru pakalpojumu kodu (4 cipari) 8303 nodrošināšanu personu saziņai ar sabiedrību ar ierobežotu atbildību </w:t>
            </w:r>
            <w:r w:rsidR="008B1BB3" w:rsidRPr="00645C5F">
              <w:rPr>
                <w:rFonts w:ascii="Times New Roman" w:hAnsi="Times New Roman" w:cs="Times New Roman"/>
                <w:iCs/>
                <w:sz w:val="24"/>
                <w:szCs w:val="24"/>
              </w:rPr>
              <w:t>“</w:t>
            </w:r>
            <w:r w:rsidR="003E67B6" w:rsidRPr="00645C5F">
              <w:rPr>
                <w:rFonts w:ascii="Times New Roman" w:hAnsi="Times New Roman" w:cs="Times New Roman"/>
                <w:iCs/>
                <w:sz w:val="24"/>
                <w:szCs w:val="24"/>
              </w:rPr>
              <w:t xml:space="preserve">Centrālā </w:t>
            </w:r>
            <w:r w:rsidR="003E67B6" w:rsidRPr="00645C5F">
              <w:rPr>
                <w:rFonts w:ascii="Times New Roman" w:hAnsi="Times New Roman" w:cs="Times New Roman"/>
                <w:iCs/>
                <w:sz w:val="24"/>
                <w:szCs w:val="24"/>
              </w:rPr>
              <w:lastRenderedPageBreak/>
              <w:t>laboratorija</w:t>
            </w:r>
            <w:r w:rsidR="008B1BB3" w:rsidRPr="00645C5F">
              <w:rPr>
                <w:rFonts w:ascii="Times New Roman" w:hAnsi="Times New Roman" w:cs="Times New Roman"/>
                <w:iCs/>
                <w:sz w:val="24"/>
                <w:szCs w:val="24"/>
              </w:rPr>
              <w:t>”</w:t>
            </w:r>
            <w:r w:rsidR="003E67B6" w:rsidRPr="00645C5F">
              <w:rPr>
                <w:rFonts w:ascii="Times New Roman" w:hAnsi="Times New Roman" w:cs="Times New Roman"/>
                <w:iCs/>
                <w:sz w:val="24"/>
                <w:szCs w:val="24"/>
              </w:rPr>
              <w:t xml:space="preserve"> ārkārtējās situācijas laikā. Visiem zvaniem uz kodu 8303 no visiem elektronisko sakaru tīkliem piemēro nulles tarifu</w:t>
            </w:r>
            <w:r w:rsidR="008B1BB3" w:rsidRPr="00645C5F">
              <w:rPr>
                <w:rFonts w:ascii="Times New Roman" w:hAnsi="Times New Roman" w:cs="Times New Roman"/>
                <w:iCs/>
                <w:sz w:val="24"/>
                <w:szCs w:val="24"/>
              </w:rPr>
              <w:t>.</w:t>
            </w:r>
          </w:p>
          <w:p w14:paraId="28ECBFF8" w14:textId="6BE4F191" w:rsidR="008B1BB3" w:rsidRPr="00645C5F" w:rsidRDefault="00E10E54" w:rsidP="007F1F51">
            <w:pPr>
              <w:pStyle w:val="NoSpacing"/>
              <w:jc w:val="both"/>
              <w:rPr>
                <w:rFonts w:ascii="Times New Roman" w:hAnsi="Times New Roman" w:cs="Times New Roman"/>
                <w:iCs/>
                <w:sz w:val="24"/>
                <w:szCs w:val="24"/>
              </w:rPr>
            </w:pPr>
            <w:bookmarkStart w:id="1" w:name="_Hlk41554921"/>
            <w:r w:rsidRPr="00645C5F">
              <w:rPr>
                <w:rFonts w:ascii="Times New Roman" w:hAnsi="Times New Roman" w:cs="Times New Roman"/>
                <w:iCs/>
                <w:sz w:val="24"/>
                <w:szCs w:val="24"/>
              </w:rPr>
              <w:t>Covid-19 izplatības radītais apdraudējums Latvijas Republikā parādīja, ka ir nepieciešams no</w:t>
            </w:r>
            <w:r w:rsidR="008B1BB3" w:rsidRPr="00645C5F">
              <w:rPr>
                <w:rFonts w:ascii="Times New Roman" w:hAnsi="Times New Roman" w:cs="Times New Roman"/>
                <w:iCs/>
                <w:sz w:val="24"/>
                <w:szCs w:val="24"/>
              </w:rPr>
              <w:t>drošināt</w:t>
            </w:r>
            <w:r w:rsidRPr="00645C5F">
              <w:rPr>
                <w:rFonts w:ascii="Times New Roman" w:hAnsi="Times New Roman" w:cs="Times New Roman"/>
                <w:iCs/>
                <w:sz w:val="24"/>
                <w:szCs w:val="24"/>
              </w:rPr>
              <w:t xml:space="preserve"> pasākumus, lai </w:t>
            </w:r>
            <w:r w:rsidR="008B1BB3" w:rsidRPr="00645C5F">
              <w:rPr>
                <w:rFonts w:ascii="Times New Roman" w:hAnsi="Times New Roman" w:cs="Times New Roman"/>
                <w:iCs/>
                <w:sz w:val="24"/>
                <w:szCs w:val="24"/>
              </w:rPr>
              <w:t>ierobežotu infekcijas izplatīšanos un  savlaicīgi atklātu inficētās personas</w:t>
            </w:r>
            <w:r w:rsidR="00535A02" w:rsidRPr="00645C5F">
              <w:rPr>
                <w:rFonts w:ascii="Times New Roman" w:hAnsi="Times New Roman" w:cs="Times New Roman"/>
                <w:iCs/>
                <w:sz w:val="24"/>
                <w:szCs w:val="24"/>
              </w:rPr>
              <w:t>, tai skaitā nodrošinot iespēju personām un ārstniecības personām, izmantojot tālruni “8303”, bez maksas un centralizēti pieteikties vai pieteikt pacientu Covid-19</w:t>
            </w:r>
            <w:r w:rsidR="008B1BB3" w:rsidRPr="00645C5F">
              <w:rPr>
                <w:rFonts w:ascii="Times New Roman" w:hAnsi="Times New Roman" w:cs="Times New Roman"/>
                <w:iCs/>
                <w:sz w:val="24"/>
                <w:szCs w:val="24"/>
              </w:rPr>
              <w:t xml:space="preserve"> analīžu veikšan</w:t>
            </w:r>
            <w:r w:rsidR="00535A02" w:rsidRPr="00645C5F">
              <w:rPr>
                <w:rFonts w:ascii="Times New Roman" w:hAnsi="Times New Roman" w:cs="Times New Roman"/>
                <w:iCs/>
                <w:sz w:val="24"/>
                <w:szCs w:val="24"/>
              </w:rPr>
              <w:t>ai.</w:t>
            </w:r>
            <w:r w:rsidR="00E718A2" w:rsidRPr="00645C5F">
              <w:rPr>
                <w:rFonts w:ascii="Times New Roman" w:hAnsi="Times New Roman" w:cs="Times New Roman"/>
                <w:iCs/>
                <w:sz w:val="24"/>
                <w:szCs w:val="24"/>
              </w:rPr>
              <w:t> Zvanot uz vienotu tālruni, ir iespējams plānot analīžu savlaicīgu veikšanu.</w:t>
            </w:r>
          </w:p>
          <w:p w14:paraId="3742E5C3" w14:textId="00042767" w:rsidR="006C4E7F" w:rsidRPr="00645C5F" w:rsidRDefault="0003456B" w:rsidP="00535A02">
            <w:pPr>
              <w:pStyle w:val="NoSpacing"/>
              <w:jc w:val="both"/>
              <w:rPr>
                <w:rFonts w:ascii="Times New Roman" w:hAnsi="Times New Roman" w:cs="Times New Roman"/>
                <w:iCs/>
                <w:sz w:val="24"/>
                <w:szCs w:val="24"/>
              </w:rPr>
            </w:pPr>
            <w:bookmarkStart w:id="2" w:name="_Hlk41555338"/>
            <w:bookmarkEnd w:id="1"/>
            <w:r w:rsidRPr="00645C5F">
              <w:rPr>
                <w:rFonts w:ascii="Times New Roman" w:hAnsi="Times New Roman" w:cs="Times New Roman"/>
                <w:iCs/>
                <w:sz w:val="24"/>
                <w:szCs w:val="24"/>
              </w:rPr>
              <w:t xml:space="preserve">Ņemot vērā minēto, </w:t>
            </w:r>
            <w:r w:rsidR="002C42C7" w:rsidRPr="00645C5F">
              <w:rPr>
                <w:rFonts w:ascii="Times New Roman" w:hAnsi="Times New Roman" w:cs="Times New Roman"/>
                <w:iCs/>
                <w:sz w:val="24"/>
                <w:szCs w:val="24"/>
              </w:rPr>
              <w:t>l</w:t>
            </w:r>
            <w:r w:rsidR="00E10E54" w:rsidRPr="00645C5F">
              <w:rPr>
                <w:rFonts w:ascii="Times New Roman" w:hAnsi="Times New Roman" w:cs="Times New Roman"/>
                <w:iCs/>
                <w:sz w:val="24"/>
                <w:szCs w:val="24"/>
              </w:rPr>
              <w:t>ai nodrošinātu</w:t>
            </w:r>
            <w:r w:rsidR="00A9626E" w:rsidRPr="00645C5F">
              <w:rPr>
                <w:rFonts w:ascii="Times New Roman" w:hAnsi="Times New Roman" w:cs="Times New Roman"/>
                <w:iCs/>
                <w:sz w:val="24"/>
                <w:szCs w:val="24"/>
              </w:rPr>
              <w:t xml:space="preserve"> </w:t>
            </w:r>
            <w:r w:rsidR="00535A02" w:rsidRPr="00645C5F">
              <w:rPr>
                <w:rFonts w:ascii="Times New Roman" w:hAnsi="Times New Roman" w:cs="Times New Roman"/>
                <w:iCs/>
                <w:sz w:val="24"/>
                <w:szCs w:val="24"/>
              </w:rPr>
              <w:t xml:space="preserve">iespēju </w:t>
            </w:r>
            <w:r w:rsidR="00E718A2" w:rsidRPr="00645C5F">
              <w:rPr>
                <w:rFonts w:ascii="Times New Roman" w:hAnsi="Times New Roman" w:cs="Times New Roman"/>
                <w:iCs/>
                <w:sz w:val="24"/>
                <w:szCs w:val="24"/>
              </w:rPr>
              <w:t>bezmaksas un centralizēti piet</w:t>
            </w:r>
            <w:r w:rsidR="000A642D" w:rsidRPr="00645C5F">
              <w:rPr>
                <w:rFonts w:ascii="Times New Roman" w:hAnsi="Times New Roman" w:cs="Times New Roman"/>
                <w:iCs/>
                <w:sz w:val="24"/>
                <w:szCs w:val="24"/>
              </w:rPr>
              <w:t>ei</w:t>
            </w:r>
            <w:r w:rsidR="00E718A2" w:rsidRPr="00645C5F">
              <w:rPr>
                <w:rFonts w:ascii="Times New Roman" w:hAnsi="Times New Roman" w:cs="Times New Roman"/>
                <w:iCs/>
                <w:sz w:val="24"/>
                <w:szCs w:val="24"/>
              </w:rPr>
              <w:t xml:space="preserve">kt Covid-19 analīžu veikšanu </w:t>
            </w:r>
            <w:r w:rsidR="00535A02" w:rsidRPr="00645C5F">
              <w:rPr>
                <w:rFonts w:ascii="Times New Roman" w:hAnsi="Times New Roman" w:cs="Times New Roman"/>
                <w:iCs/>
                <w:sz w:val="24"/>
                <w:szCs w:val="24"/>
              </w:rPr>
              <w:t>arī pēc ārkārtējās situācijas</w:t>
            </w:r>
            <w:r w:rsidR="00E718A2" w:rsidRPr="00645C5F">
              <w:rPr>
                <w:rFonts w:ascii="Times New Roman" w:hAnsi="Times New Roman" w:cs="Times New Roman"/>
                <w:iCs/>
                <w:sz w:val="24"/>
                <w:szCs w:val="24"/>
              </w:rPr>
              <w:t xml:space="preserve"> atcelšanas</w:t>
            </w:r>
            <w:r w:rsidR="00535A02" w:rsidRPr="00645C5F">
              <w:rPr>
                <w:rFonts w:ascii="Times New Roman" w:hAnsi="Times New Roman" w:cs="Times New Roman"/>
                <w:iCs/>
                <w:sz w:val="24"/>
                <w:szCs w:val="24"/>
              </w:rPr>
              <w:t>, ar Noteikumu projektu ir paredzēts, ka elektronisko sakaru komersantam</w:t>
            </w:r>
            <w:r w:rsidR="00E718A2" w:rsidRPr="00645C5F">
              <w:rPr>
                <w:rFonts w:ascii="Times New Roman" w:hAnsi="Times New Roman" w:cs="Times New Roman"/>
                <w:iCs/>
                <w:sz w:val="24"/>
                <w:szCs w:val="24"/>
              </w:rPr>
              <w:t xml:space="preserve"> </w:t>
            </w:r>
            <w:r w:rsidR="00535A02" w:rsidRPr="00645C5F">
              <w:rPr>
                <w:rFonts w:ascii="Times New Roman" w:hAnsi="Times New Roman" w:cs="Times New Roman"/>
                <w:iCs/>
                <w:sz w:val="24"/>
                <w:szCs w:val="24"/>
              </w:rPr>
              <w:t xml:space="preserve"> (sabiedrībai ar ierobežotu atbildību “</w:t>
            </w:r>
            <w:proofErr w:type="spellStart"/>
            <w:r w:rsidR="00535A02" w:rsidRPr="00645C5F">
              <w:rPr>
                <w:rFonts w:ascii="Times New Roman" w:hAnsi="Times New Roman" w:cs="Times New Roman"/>
                <w:iCs/>
                <w:sz w:val="24"/>
                <w:szCs w:val="24"/>
              </w:rPr>
              <w:t>Tet</w:t>
            </w:r>
            <w:proofErr w:type="spellEnd"/>
            <w:r w:rsidR="00535A02" w:rsidRPr="00645C5F">
              <w:rPr>
                <w:rFonts w:ascii="Times New Roman" w:hAnsi="Times New Roman" w:cs="Times New Roman"/>
                <w:iCs/>
                <w:sz w:val="24"/>
                <w:szCs w:val="24"/>
              </w:rPr>
              <w:t>”</w:t>
            </w:r>
            <w:r w:rsidR="00E718A2" w:rsidRPr="00645C5F">
              <w:rPr>
                <w:rFonts w:ascii="Times New Roman" w:hAnsi="Times New Roman" w:cs="Times New Roman"/>
                <w:iCs/>
                <w:sz w:val="24"/>
                <w:szCs w:val="24"/>
              </w:rPr>
              <w:t>)</w:t>
            </w:r>
            <w:r w:rsidR="000A642D" w:rsidRPr="00645C5F">
              <w:rPr>
                <w:rFonts w:ascii="Times New Roman" w:hAnsi="Times New Roman" w:cs="Times New Roman"/>
                <w:iCs/>
                <w:sz w:val="24"/>
                <w:szCs w:val="24"/>
              </w:rPr>
              <w:t xml:space="preserve"> līdz 2020.gada 31.decembrim</w:t>
            </w:r>
            <w:r w:rsidR="00E718A2" w:rsidRPr="00645C5F">
              <w:rPr>
                <w:rFonts w:ascii="Times New Roman" w:hAnsi="Times New Roman" w:cs="Times New Roman"/>
                <w:iCs/>
                <w:sz w:val="24"/>
                <w:szCs w:val="24"/>
              </w:rPr>
              <w:t xml:space="preserve"> netiek piemērota valsts nodeva par numura “8303” lietošanas tiesībām.</w:t>
            </w:r>
          </w:p>
          <w:p w14:paraId="2E89D3AC" w14:textId="4EC66D47" w:rsidR="006C4E7F" w:rsidRPr="00645C5F" w:rsidRDefault="006C4E7F" w:rsidP="00D36059">
            <w:pPr>
              <w:pStyle w:val="NoSpacing"/>
              <w:spacing w:before="120"/>
              <w:jc w:val="both"/>
              <w:rPr>
                <w:rFonts w:ascii="Times New Roman" w:hAnsi="Times New Roman" w:cs="Times New Roman"/>
                <w:sz w:val="24"/>
                <w:szCs w:val="24"/>
              </w:rPr>
            </w:pPr>
            <w:r w:rsidRPr="00645C5F">
              <w:rPr>
                <w:rFonts w:ascii="Times New Roman" w:hAnsi="Times New Roman" w:cs="Times New Roman"/>
                <w:iCs/>
                <w:sz w:val="24"/>
                <w:szCs w:val="24"/>
              </w:rPr>
              <w:t xml:space="preserve">Tāpat Ministru kabineta 2020. gada 12. marta rīkojuma Nr. 103 “Par ārkārtējās situācijas izsludināšanu” </w:t>
            </w:r>
            <w:r w:rsidRPr="00645C5F">
              <w:rPr>
                <w:rFonts w:ascii="Times New Roman" w:hAnsi="Times New Roman" w:cs="Times New Roman"/>
                <w:sz w:val="24"/>
                <w:szCs w:val="24"/>
              </w:rPr>
              <w:t>4.30.</w:t>
            </w:r>
            <w:r w:rsidRPr="00645C5F">
              <w:rPr>
                <w:rFonts w:ascii="Times New Roman" w:hAnsi="Times New Roman" w:cs="Times New Roman"/>
                <w:sz w:val="24"/>
                <w:szCs w:val="24"/>
                <w:vertAlign w:val="superscript"/>
              </w:rPr>
              <w:t>1</w:t>
            </w:r>
            <w:r w:rsidRPr="00645C5F">
              <w:rPr>
                <w:rStyle w:val="apple-converted-space"/>
                <w:rFonts w:ascii="Times New Roman" w:hAnsi="Times New Roman" w:cs="Times New Roman"/>
                <w:sz w:val="24"/>
                <w:szCs w:val="24"/>
              </w:rPr>
              <w:t> </w:t>
            </w:r>
            <w:r w:rsidRPr="00645C5F">
              <w:rPr>
                <w:rFonts w:ascii="Times New Roman" w:hAnsi="Times New Roman" w:cs="Times New Roman"/>
                <w:iCs/>
                <w:sz w:val="24"/>
                <w:szCs w:val="24"/>
              </w:rPr>
              <w:t>apakšpunkts nosaka, ka  sabiedrībai ar ierobežotu atbildību “</w:t>
            </w:r>
            <w:proofErr w:type="spellStart"/>
            <w:r w:rsidRPr="00645C5F">
              <w:rPr>
                <w:rFonts w:ascii="Times New Roman" w:hAnsi="Times New Roman" w:cs="Times New Roman"/>
                <w:iCs/>
                <w:sz w:val="24"/>
                <w:szCs w:val="24"/>
              </w:rPr>
              <w:t>Tet</w:t>
            </w:r>
            <w:proofErr w:type="spellEnd"/>
            <w:r w:rsidRPr="00645C5F">
              <w:rPr>
                <w:rFonts w:ascii="Times New Roman" w:hAnsi="Times New Roman" w:cs="Times New Roman"/>
                <w:iCs/>
                <w:sz w:val="24"/>
                <w:szCs w:val="24"/>
              </w:rPr>
              <w:t xml:space="preserve">” nepiemēro Noteikumos Nr. 892 noteikto valsts nodevu par publisko telefonu tīklu operatoru pakalpojumu kodu (4 cipari) </w:t>
            </w:r>
            <w:r w:rsidRPr="00645C5F">
              <w:rPr>
                <w:rFonts w:ascii="Times New Roman" w:hAnsi="Times New Roman" w:cs="Times New Roman"/>
                <w:sz w:val="24"/>
                <w:szCs w:val="24"/>
              </w:rPr>
              <w:t>8345, kuru vienotas komunikācijas nodrošināšanai ārkārtējā situācijā izmanto Valsts kanceleja. Visiem zvaniem uz kodu 8345 no visiem elektronisko sakaru tīkliem piemēro nulles tarifu.</w:t>
            </w:r>
          </w:p>
          <w:p w14:paraId="027C009D" w14:textId="35337DCE" w:rsidR="00C17F50" w:rsidRPr="00645C5F" w:rsidRDefault="006C4E7F" w:rsidP="00535A02">
            <w:pPr>
              <w:pStyle w:val="NoSpacing"/>
              <w:jc w:val="both"/>
              <w:rPr>
                <w:rFonts w:ascii="Times New Roman" w:hAnsi="Times New Roman" w:cs="Times New Roman"/>
                <w:sz w:val="24"/>
                <w:szCs w:val="24"/>
              </w:rPr>
            </w:pPr>
            <w:r w:rsidRPr="00645C5F">
              <w:rPr>
                <w:rFonts w:ascii="Times New Roman" w:hAnsi="Times New Roman" w:cs="Times New Roman"/>
                <w:sz w:val="24"/>
                <w:szCs w:val="24"/>
              </w:rPr>
              <w:t>Vienotā bezmaksas informatīvā tālruņa darbības turpināšana ir nepieciešama, lai informētu iedzīvotājus</w:t>
            </w:r>
            <w:r w:rsidR="00DF2037" w:rsidRPr="00645C5F">
              <w:rPr>
                <w:rFonts w:ascii="Times New Roman" w:hAnsi="Times New Roman" w:cs="Times New Roman"/>
                <w:sz w:val="24"/>
                <w:szCs w:val="24"/>
              </w:rPr>
              <w:t xml:space="preserve"> par dažādiem ierobežojumiem arī pēc ārkārtējās situācijas beigām, jo Covid-19 pandēmija nav vēl beigusies un dažādi ierobežojumi turpināsies arī pēc ārkārtējās situācijas beigām. Iespēja iedzīvotājiem zvanīt uz vienoto tālruņa numuru 8345 palīdz iedzīvotājiem labāk orientēties  informācijā par aktualitātēm saistībā ar Covid-19, kā iespēju sazināties ar </w:t>
            </w:r>
            <w:r w:rsidR="00A1635D" w:rsidRPr="00645C5F">
              <w:rPr>
                <w:rFonts w:ascii="Times New Roman" w:hAnsi="Times New Roman" w:cs="Times New Roman"/>
                <w:sz w:val="24"/>
                <w:szCs w:val="24"/>
              </w:rPr>
              <w:t xml:space="preserve">atbildīgajām institūcijām padziļinātas informācijas saņemšanai. </w:t>
            </w:r>
            <w:bookmarkEnd w:id="2"/>
          </w:p>
          <w:p w14:paraId="136E22A7" w14:textId="6BA961A1" w:rsidR="00A1635D" w:rsidRPr="00645C5F" w:rsidRDefault="00A1635D" w:rsidP="00535A02">
            <w:pPr>
              <w:pStyle w:val="NoSpacing"/>
              <w:jc w:val="both"/>
              <w:rPr>
                <w:rFonts w:ascii="Times New Roman" w:hAnsi="Times New Roman" w:cs="Times New Roman"/>
                <w:sz w:val="24"/>
                <w:szCs w:val="24"/>
              </w:rPr>
            </w:pPr>
            <w:r w:rsidRPr="00645C5F">
              <w:rPr>
                <w:rFonts w:ascii="Times New Roman" w:hAnsi="Times New Roman" w:cs="Times New Roman"/>
                <w:iCs/>
                <w:sz w:val="24"/>
                <w:szCs w:val="24"/>
              </w:rPr>
              <w:t>Ņemot vērā minēto, lai nodrošinātu iespēju iedzīvotājiem saņemt bezmaksas informāciju par Covid-19 aktu</w:t>
            </w:r>
            <w:r w:rsidR="00D36059" w:rsidRPr="00645C5F">
              <w:rPr>
                <w:rFonts w:ascii="Times New Roman" w:hAnsi="Times New Roman" w:cs="Times New Roman"/>
                <w:iCs/>
                <w:sz w:val="24"/>
                <w:szCs w:val="24"/>
              </w:rPr>
              <w:t>a</w:t>
            </w:r>
            <w:r w:rsidRPr="00645C5F">
              <w:rPr>
                <w:rFonts w:ascii="Times New Roman" w:hAnsi="Times New Roman" w:cs="Times New Roman"/>
                <w:iCs/>
                <w:sz w:val="24"/>
                <w:szCs w:val="24"/>
              </w:rPr>
              <w:t>litātēm un ierobežojumiem arī pēc ārkārtējās situācijas beigām, ar Noteikumu projektu ir paredzēts, ka elektronisko sakaru komersantam  (sabiedrībai ar ierobežotu atbildību “</w:t>
            </w:r>
            <w:proofErr w:type="spellStart"/>
            <w:r w:rsidRPr="00645C5F">
              <w:rPr>
                <w:rFonts w:ascii="Times New Roman" w:hAnsi="Times New Roman" w:cs="Times New Roman"/>
                <w:iCs/>
                <w:sz w:val="24"/>
                <w:szCs w:val="24"/>
              </w:rPr>
              <w:t>Tet</w:t>
            </w:r>
            <w:proofErr w:type="spellEnd"/>
            <w:r w:rsidRPr="00645C5F">
              <w:rPr>
                <w:rFonts w:ascii="Times New Roman" w:hAnsi="Times New Roman" w:cs="Times New Roman"/>
                <w:iCs/>
                <w:sz w:val="24"/>
                <w:szCs w:val="24"/>
              </w:rPr>
              <w:t>”) līdz 2020.</w:t>
            </w:r>
            <w:r w:rsidR="00D36059" w:rsidRPr="00645C5F">
              <w:rPr>
                <w:rFonts w:ascii="Times New Roman" w:hAnsi="Times New Roman" w:cs="Times New Roman"/>
                <w:iCs/>
                <w:sz w:val="24"/>
                <w:szCs w:val="24"/>
              </w:rPr>
              <w:t xml:space="preserve"> </w:t>
            </w:r>
            <w:r w:rsidRPr="00645C5F">
              <w:rPr>
                <w:rFonts w:ascii="Times New Roman" w:hAnsi="Times New Roman" w:cs="Times New Roman"/>
                <w:iCs/>
                <w:sz w:val="24"/>
                <w:szCs w:val="24"/>
              </w:rPr>
              <w:t>gada 31.</w:t>
            </w:r>
            <w:r w:rsidR="00D36059" w:rsidRPr="00645C5F">
              <w:rPr>
                <w:rFonts w:ascii="Times New Roman" w:hAnsi="Times New Roman" w:cs="Times New Roman"/>
                <w:iCs/>
                <w:sz w:val="24"/>
                <w:szCs w:val="24"/>
              </w:rPr>
              <w:t xml:space="preserve"> </w:t>
            </w:r>
            <w:r w:rsidRPr="00645C5F">
              <w:rPr>
                <w:rFonts w:ascii="Times New Roman" w:hAnsi="Times New Roman" w:cs="Times New Roman"/>
                <w:iCs/>
                <w:sz w:val="24"/>
                <w:szCs w:val="24"/>
              </w:rPr>
              <w:t>decembrim netiek piemērota valsts nodeva par numura “8345” lietošanas tiesībām.</w:t>
            </w:r>
          </w:p>
          <w:p w14:paraId="2CE14CAF" w14:textId="2BC36810" w:rsidR="00A1635D" w:rsidRPr="00645C5F" w:rsidRDefault="00A1635D" w:rsidP="00535A02">
            <w:pPr>
              <w:pStyle w:val="NoSpacing"/>
              <w:jc w:val="both"/>
              <w:rPr>
                <w:rFonts w:ascii="Times New Roman" w:hAnsi="Times New Roman" w:cs="Times New Roman"/>
                <w:color w:val="FF0000"/>
                <w:sz w:val="24"/>
                <w:szCs w:val="24"/>
              </w:rPr>
            </w:pPr>
          </w:p>
        </w:tc>
      </w:tr>
      <w:tr w:rsidR="00C80149" w:rsidRPr="00645C5F" w14:paraId="1F1A92D8" w14:textId="77777777" w:rsidTr="00C801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C88236" w14:textId="77777777" w:rsidR="00C80149" w:rsidRPr="00645C5F" w:rsidRDefault="00C80149" w:rsidP="00C80149">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F3815F5" w14:textId="77777777" w:rsidR="00C80149" w:rsidRPr="00645C5F" w:rsidRDefault="00C80149" w:rsidP="00C80149">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5AEFE4A" w14:textId="77777777" w:rsidR="0003456B" w:rsidRPr="00645C5F" w:rsidRDefault="0003456B" w:rsidP="0003456B">
            <w:pPr>
              <w:shd w:val="clear" w:color="auto" w:fill="FFFFFF"/>
              <w:spacing w:after="0" w:line="240" w:lineRule="auto"/>
              <w:jc w:val="both"/>
              <w:rPr>
                <w:rFonts w:ascii="Times New Roman" w:hAnsi="Times New Roman" w:cs="Times New Roman"/>
                <w:sz w:val="24"/>
                <w:szCs w:val="24"/>
                <w:lang w:eastAsia="lv-LV"/>
              </w:rPr>
            </w:pPr>
            <w:r w:rsidRPr="00645C5F">
              <w:rPr>
                <w:rFonts w:ascii="Times New Roman" w:hAnsi="Times New Roman" w:cs="Times New Roman"/>
                <w:sz w:val="24"/>
                <w:szCs w:val="24"/>
                <w:lang w:eastAsia="lv-LV"/>
              </w:rPr>
              <w:t>N</w:t>
            </w:r>
            <w:r w:rsidR="002C42C7" w:rsidRPr="00645C5F">
              <w:rPr>
                <w:rFonts w:ascii="Times New Roman" w:hAnsi="Times New Roman" w:cs="Times New Roman"/>
                <w:sz w:val="24"/>
                <w:szCs w:val="24"/>
                <w:lang w:eastAsia="lv-LV"/>
              </w:rPr>
              <w:t>av</w:t>
            </w:r>
          </w:p>
          <w:p w14:paraId="555E561E" w14:textId="77777777" w:rsidR="00C80149" w:rsidRPr="00645C5F" w:rsidRDefault="00C80149" w:rsidP="00E10E54">
            <w:pPr>
              <w:shd w:val="clear" w:color="auto" w:fill="FFFFFF"/>
              <w:spacing w:after="0" w:line="240" w:lineRule="auto"/>
              <w:ind w:firstLine="405"/>
              <w:jc w:val="both"/>
              <w:rPr>
                <w:rFonts w:ascii="Times New Roman" w:eastAsia="Times New Roman" w:hAnsi="Times New Roman" w:cs="Times New Roman"/>
                <w:iCs/>
                <w:sz w:val="24"/>
                <w:szCs w:val="24"/>
                <w:lang w:eastAsia="lv-LV"/>
              </w:rPr>
            </w:pPr>
          </w:p>
        </w:tc>
      </w:tr>
      <w:tr w:rsidR="00C80149" w:rsidRPr="00645C5F" w14:paraId="4D23AACF" w14:textId="77777777" w:rsidTr="00C801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80290E" w14:textId="77777777" w:rsidR="00C80149" w:rsidRPr="00645C5F" w:rsidRDefault="00C80149" w:rsidP="00C80149">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4B3EDF5" w14:textId="77777777" w:rsidR="00C80149" w:rsidRPr="00645C5F" w:rsidRDefault="00C80149" w:rsidP="00C80149">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5BC8AC0" w14:textId="77777777" w:rsidR="00C80149" w:rsidRPr="00645C5F" w:rsidRDefault="00C80149" w:rsidP="00C80149">
            <w:pPr>
              <w:spacing w:after="0" w:line="240" w:lineRule="auto"/>
              <w:jc w:val="both"/>
              <w:rPr>
                <w:rFonts w:ascii="Times New Roman" w:eastAsia="Times New Roman" w:hAnsi="Times New Roman" w:cs="Times New Roman"/>
                <w:iCs/>
                <w:sz w:val="24"/>
                <w:szCs w:val="24"/>
                <w:lang w:eastAsia="lv-LV"/>
              </w:rPr>
            </w:pPr>
            <w:r w:rsidRPr="00645C5F">
              <w:rPr>
                <w:rFonts w:ascii="Times New Roman" w:hAnsi="Times New Roman" w:cs="Times New Roman"/>
                <w:sz w:val="24"/>
                <w:szCs w:val="24"/>
              </w:rPr>
              <w:t>Nav</w:t>
            </w:r>
          </w:p>
        </w:tc>
      </w:tr>
    </w:tbl>
    <w:p w14:paraId="6C5CB6D7" w14:textId="77777777" w:rsidR="00E5323B" w:rsidRPr="00645C5F" w:rsidRDefault="00E5323B" w:rsidP="00E5323B">
      <w:pPr>
        <w:spacing w:after="0" w:line="240" w:lineRule="auto"/>
        <w:rPr>
          <w:rFonts w:ascii="Times New Roman" w:eastAsia="Times New Roman" w:hAnsi="Times New Roman" w:cs="Times New Roman"/>
          <w:iCs/>
          <w:color w:val="414142"/>
          <w:sz w:val="24"/>
          <w:szCs w:val="24"/>
          <w:lang w:eastAsia="lv-LV"/>
        </w:rPr>
      </w:pPr>
      <w:r w:rsidRPr="00645C5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645C5F" w14:paraId="7FF3BDF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DF48AC" w14:textId="77777777" w:rsidR="00655F2C" w:rsidRPr="00645C5F" w:rsidRDefault="00E5323B" w:rsidP="00AE4CDA">
            <w:pPr>
              <w:spacing w:after="0" w:line="240" w:lineRule="auto"/>
              <w:jc w:val="center"/>
              <w:rPr>
                <w:rFonts w:ascii="Times New Roman" w:eastAsia="Times New Roman" w:hAnsi="Times New Roman" w:cs="Times New Roman"/>
                <w:b/>
                <w:bCs/>
                <w:iCs/>
                <w:sz w:val="24"/>
                <w:szCs w:val="24"/>
                <w:lang w:eastAsia="lv-LV"/>
              </w:rPr>
            </w:pPr>
            <w:r w:rsidRPr="00645C5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645C5F" w14:paraId="1B54730A" w14:textId="77777777" w:rsidTr="00E93A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CC3BAC" w14:textId="77777777" w:rsidR="00655F2C" w:rsidRPr="00645C5F" w:rsidRDefault="00E5323B" w:rsidP="00E5323B">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A1A0821" w14:textId="77777777" w:rsidR="00E5323B" w:rsidRPr="00645C5F" w:rsidRDefault="00E5323B" w:rsidP="00E5323B">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 xml:space="preserve">Sabiedrības </w:t>
            </w:r>
            <w:proofErr w:type="spellStart"/>
            <w:r w:rsidRPr="00645C5F">
              <w:rPr>
                <w:rFonts w:ascii="Times New Roman" w:eastAsia="Times New Roman" w:hAnsi="Times New Roman" w:cs="Times New Roman"/>
                <w:iCs/>
                <w:sz w:val="24"/>
                <w:szCs w:val="24"/>
                <w:lang w:eastAsia="lv-LV"/>
              </w:rPr>
              <w:t>mērķgrupas</w:t>
            </w:r>
            <w:proofErr w:type="spellEnd"/>
            <w:r w:rsidRPr="00645C5F">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03B6C13E" w14:textId="3B7CA483" w:rsidR="00CE4BD7" w:rsidRPr="00645C5F" w:rsidRDefault="00CE4BD7" w:rsidP="00213E1B">
            <w:pPr>
              <w:spacing w:after="0" w:line="240" w:lineRule="auto"/>
              <w:jc w:val="both"/>
              <w:rPr>
                <w:rFonts w:ascii="Times New Roman" w:eastAsia="Times New Roman" w:hAnsi="Times New Roman" w:cs="Times New Roman"/>
                <w:i/>
                <w:sz w:val="24"/>
                <w:szCs w:val="24"/>
                <w:lang w:eastAsia="lv-LV"/>
              </w:rPr>
            </w:pPr>
            <w:r w:rsidRPr="00645C5F">
              <w:rPr>
                <w:rFonts w:ascii="Times New Roman" w:eastAsia="Times New Roman" w:hAnsi="Times New Roman" w:cs="Times New Roman"/>
                <w:iCs/>
                <w:sz w:val="24"/>
                <w:szCs w:val="24"/>
                <w:lang w:eastAsia="lv-LV"/>
              </w:rPr>
              <w:t xml:space="preserve">1) </w:t>
            </w:r>
            <w:r w:rsidR="00E718A2" w:rsidRPr="00645C5F">
              <w:rPr>
                <w:rFonts w:ascii="Times New Roman" w:eastAsia="Times New Roman" w:hAnsi="Times New Roman" w:cs="Times New Roman"/>
                <w:iCs/>
                <w:sz w:val="24"/>
                <w:szCs w:val="24"/>
                <w:lang w:eastAsia="lv-LV"/>
              </w:rPr>
              <w:t xml:space="preserve">Personas un ārstniecības personas, kas, atbilstoši Covid-19 testēšanas algoritmam, kas pieteiksies vai pieteiks pacientu Covid-19 analīžu veikšanai. </w:t>
            </w:r>
          </w:p>
          <w:p w14:paraId="535A4383" w14:textId="019D94BA" w:rsidR="00CE4BD7" w:rsidRPr="00645C5F" w:rsidRDefault="00CE4BD7" w:rsidP="00E718A2">
            <w:pPr>
              <w:spacing w:after="0" w:line="240" w:lineRule="auto"/>
              <w:jc w:val="both"/>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 xml:space="preserve">2) </w:t>
            </w:r>
            <w:r w:rsidR="00E718A2" w:rsidRPr="00645C5F">
              <w:rPr>
                <w:rFonts w:ascii="Times New Roman" w:eastAsia="Times New Roman" w:hAnsi="Times New Roman" w:cs="Times New Roman"/>
                <w:iCs/>
                <w:sz w:val="24"/>
                <w:szCs w:val="24"/>
                <w:lang w:eastAsia="lv-LV"/>
              </w:rPr>
              <w:t>Sabiedrība ar ierobežotu atbildību “Centrālā laboratorija”, kas nodrošinās minētā tālruņa darbību un atbilstoši saņemtajiem zvaniem plānos analīžu veikšanu.</w:t>
            </w:r>
          </w:p>
          <w:p w14:paraId="155F5EC4" w14:textId="27D4808C" w:rsidR="00A1635D" w:rsidRPr="00645C5F" w:rsidRDefault="00A1635D" w:rsidP="00E718A2">
            <w:pPr>
              <w:spacing w:after="0" w:line="240" w:lineRule="auto"/>
              <w:jc w:val="both"/>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 xml:space="preserve">3) Dažādas Latvijas sabiedrības </w:t>
            </w:r>
            <w:proofErr w:type="spellStart"/>
            <w:r w:rsidRPr="00645C5F">
              <w:rPr>
                <w:rFonts w:ascii="Times New Roman" w:eastAsia="Times New Roman" w:hAnsi="Times New Roman" w:cs="Times New Roman"/>
                <w:iCs/>
                <w:sz w:val="24"/>
                <w:szCs w:val="24"/>
                <w:lang w:eastAsia="lv-LV"/>
              </w:rPr>
              <w:t>mērķagrupas</w:t>
            </w:r>
            <w:proofErr w:type="spellEnd"/>
            <w:r w:rsidRPr="00645C5F">
              <w:rPr>
                <w:rFonts w:ascii="Times New Roman" w:eastAsia="Times New Roman" w:hAnsi="Times New Roman" w:cs="Times New Roman"/>
                <w:iCs/>
                <w:sz w:val="24"/>
                <w:szCs w:val="24"/>
                <w:lang w:eastAsia="lv-LV"/>
              </w:rPr>
              <w:t xml:space="preserve">, kam neieciešama informācija par Covid-19 un dažādiem ierobežojumiem pandēmijas laikā.  </w:t>
            </w:r>
          </w:p>
          <w:p w14:paraId="3300463D" w14:textId="2A342C30" w:rsidR="009850A4" w:rsidRPr="00645C5F" w:rsidRDefault="00A1635D" w:rsidP="009850A4">
            <w:pPr>
              <w:spacing w:after="0" w:line="240" w:lineRule="auto"/>
              <w:jc w:val="both"/>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4</w:t>
            </w:r>
            <w:r w:rsidR="00E718A2" w:rsidRPr="00645C5F">
              <w:rPr>
                <w:rFonts w:ascii="Times New Roman" w:eastAsia="Times New Roman" w:hAnsi="Times New Roman" w:cs="Times New Roman"/>
                <w:iCs/>
                <w:sz w:val="24"/>
                <w:szCs w:val="24"/>
                <w:lang w:eastAsia="lv-LV"/>
              </w:rPr>
              <w:t>) Sabiedrība ar ierobežotu atbildību “</w:t>
            </w:r>
            <w:proofErr w:type="spellStart"/>
            <w:r w:rsidR="00E718A2" w:rsidRPr="00645C5F">
              <w:rPr>
                <w:rFonts w:ascii="Times New Roman" w:eastAsia="Times New Roman" w:hAnsi="Times New Roman" w:cs="Times New Roman"/>
                <w:iCs/>
                <w:sz w:val="24"/>
                <w:szCs w:val="24"/>
                <w:lang w:eastAsia="lv-LV"/>
              </w:rPr>
              <w:t>Tet</w:t>
            </w:r>
            <w:proofErr w:type="spellEnd"/>
            <w:r w:rsidR="00E718A2" w:rsidRPr="00645C5F">
              <w:rPr>
                <w:rFonts w:ascii="Times New Roman" w:eastAsia="Times New Roman" w:hAnsi="Times New Roman" w:cs="Times New Roman"/>
                <w:iCs/>
                <w:sz w:val="24"/>
                <w:szCs w:val="24"/>
                <w:lang w:eastAsia="lv-LV"/>
              </w:rPr>
              <w:t>”, kam arī turpmāk netiks piemērota valsts nodeva par numur</w:t>
            </w:r>
            <w:r w:rsidR="00645C5F" w:rsidRPr="00645C5F">
              <w:rPr>
                <w:rFonts w:ascii="Times New Roman" w:eastAsia="Times New Roman" w:hAnsi="Times New Roman" w:cs="Times New Roman"/>
                <w:iCs/>
                <w:sz w:val="24"/>
                <w:szCs w:val="24"/>
                <w:lang w:eastAsia="lv-LV"/>
              </w:rPr>
              <w:t>u</w:t>
            </w:r>
            <w:r w:rsidR="00E718A2" w:rsidRPr="00645C5F">
              <w:rPr>
                <w:rFonts w:ascii="Times New Roman" w:eastAsia="Times New Roman" w:hAnsi="Times New Roman" w:cs="Times New Roman"/>
                <w:iCs/>
                <w:sz w:val="24"/>
                <w:szCs w:val="24"/>
                <w:lang w:eastAsia="lv-LV"/>
              </w:rPr>
              <w:t xml:space="preserve"> “8303”</w:t>
            </w:r>
            <w:r w:rsidR="00645C5F" w:rsidRPr="00645C5F">
              <w:rPr>
                <w:rFonts w:ascii="Times New Roman" w:eastAsia="Times New Roman" w:hAnsi="Times New Roman" w:cs="Times New Roman"/>
                <w:iCs/>
                <w:sz w:val="24"/>
                <w:szCs w:val="24"/>
                <w:lang w:eastAsia="lv-LV"/>
              </w:rPr>
              <w:t xml:space="preserve"> un “</w:t>
            </w:r>
            <w:r w:rsidR="00645C5F" w:rsidRPr="00645C5F">
              <w:rPr>
                <w:rFonts w:ascii="Times New Roman" w:hAnsi="Times New Roman" w:cs="Times New Roman"/>
                <w:iCs/>
                <w:sz w:val="24"/>
                <w:szCs w:val="24"/>
              </w:rPr>
              <w:t>8345</w:t>
            </w:r>
            <w:r w:rsidR="00645C5F" w:rsidRPr="00645C5F">
              <w:rPr>
                <w:rFonts w:ascii="Times New Roman" w:hAnsi="Times New Roman" w:cs="Times New Roman"/>
                <w:iCs/>
                <w:sz w:val="24"/>
                <w:szCs w:val="24"/>
              </w:rPr>
              <w:t>”</w:t>
            </w:r>
            <w:r w:rsidR="00E718A2" w:rsidRPr="00645C5F">
              <w:rPr>
                <w:rFonts w:ascii="Times New Roman" w:eastAsia="Times New Roman" w:hAnsi="Times New Roman" w:cs="Times New Roman"/>
                <w:iCs/>
                <w:sz w:val="24"/>
                <w:szCs w:val="24"/>
                <w:lang w:eastAsia="lv-LV"/>
              </w:rPr>
              <w:t xml:space="preserve"> lietošanas tiesībām.</w:t>
            </w:r>
          </w:p>
          <w:p w14:paraId="0D734CC2" w14:textId="327F8E82" w:rsidR="009850A4" w:rsidRPr="00645C5F" w:rsidRDefault="00A1635D" w:rsidP="009850A4">
            <w:pPr>
              <w:spacing w:after="0" w:line="240" w:lineRule="auto"/>
              <w:jc w:val="both"/>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5</w:t>
            </w:r>
            <w:r w:rsidR="009850A4" w:rsidRPr="00645C5F">
              <w:rPr>
                <w:rFonts w:ascii="Times New Roman" w:eastAsia="Times New Roman" w:hAnsi="Times New Roman" w:cs="Times New Roman"/>
                <w:iCs/>
                <w:sz w:val="24"/>
                <w:szCs w:val="24"/>
                <w:lang w:eastAsia="lv-LV"/>
              </w:rPr>
              <w:t>) Valsts akciju sabiedrība "Elektroniskie sakari"</w:t>
            </w:r>
            <w:r w:rsidR="006A46EF" w:rsidRPr="00645C5F">
              <w:rPr>
                <w:rFonts w:ascii="Times New Roman" w:eastAsia="Times New Roman" w:hAnsi="Times New Roman" w:cs="Times New Roman"/>
                <w:iCs/>
                <w:sz w:val="24"/>
                <w:szCs w:val="24"/>
                <w:lang w:eastAsia="lv-LV"/>
              </w:rPr>
              <w:t xml:space="preserve">, kas saskaņā ar Noteikumos Nr. 892 noteikto </w:t>
            </w:r>
            <w:r w:rsidR="009850A4" w:rsidRPr="00645C5F">
              <w:rPr>
                <w:rFonts w:ascii="Times New Roman" w:eastAsia="Times New Roman" w:hAnsi="Times New Roman" w:cs="Times New Roman"/>
                <w:iCs/>
                <w:sz w:val="24"/>
                <w:szCs w:val="24"/>
                <w:lang w:eastAsia="lv-LV"/>
              </w:rPr>
              <w:t xml:space="preserve">reizi ceturksnī līdz tam sekojošā mēneša desmitajam datumam no numerācijas datubāzes </w:t>
            </w:r>
            <w:proofErr w:type="spellStart"/>
            <w:r w:rsidR="009850A4" w:rsidRPr="00645C5F">
              <w:rPr>
                <w:rFonts w:ascii="Times New Roman" w:eastAsia="Times New Roman" w:hAnsi="Times New Roman" w:cs="Times New Roman"/>
                <w:iCs/>
                <w:sz w:val="24"/>
                <w:szCs w:val="24"/>
                <w:lang w:eastAsia="lv-LV"/>
              </w:rPr>
              <w:t>nosūta</w:t>
            </w:r>
            <w:proofErr w:type="spellEnd"/>
            <w:r w:rsidR="009850A4" w:rsidRPr="00645C5F">
              <w:rPr>
                <w:rFonts w:ascii="Times New Roman" w:eastAsia="Times New Roman" w:hAnsi="Times New Roman" w:cs="Times New Roman"/>
                <w:iCs/>
                <w:sz w:val="24"/>
                <w:szCs w:val="24"/>
                <w:lang w:eastAsia="lv-LV"/>
              </w:rPr>
              <w:t xml:space="preserve"> informāciju Valsts ieņēmumu dienestam uz elektroniskā pasta adresi par tiem elektronisko sakaru komersantiem, kuriem attiecīgajā taksācijas periodā ir jāiemaksā nodeva.</w:t>
            </w:r>
          </w:p>
        </w:tc>
      </w:tr>
      <w:tr w:rsidR="00E327F5" w:rsidRPr="00645C5F" w14:paraId="63614308" w14:textId="77777777" w:rsidTr="00E93A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CE01D4" w14:textId="77777777" w:rsidR="00655F2C" w:rsidRPr="00645C5F" w:rsidRDefault="00E5323B" w:rsidP="00E5323B">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728E886" w14:textId="77777777" w:rsidR="00E5323B" w:rsidRPr="00645C5F" w:rsidRDefault="00E5323B" w:rsidP="00E5323B">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676D3398" w14:textId="42DA0F1A" w:rsidR="00D905D8" w:rsidRPr="00645C5F" w:rsidRDefault="00E718A2" w:rsidP="00E93AE2">
            <w:pPr>
              <w:spacing w:after="0" w:line="240" w:lineRule="auto"/>
              <w:jc w:val="both"/>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Noteikumu p</w:t>
            </w:r>
            <w:r w:rsidR="00D905D8" w:rsidRPr="00645C5F">
              <w:rPr>
                <w:rFonts w:ascii="Times New Roman" w:eastAsia="Times New Roman" w:hAnsi="Times New Roman" w:cs="Times New Roman"/>
                <w:iCs/>
                <w:sz w:val="24"/>
                <w:szCs w:val="24"/>
                <w:lang w:eastAsia="lv-LV"/>
              </w:rPr>
              <w:t xml:space="preserve">rojekts neradīs papildus administratīvo slogu, jo </w:t>
            </w:r>
            <w:r w:rsidR="009850A4" w:rsidRPr="00645C5F">
              <w:rPr>
                <w:rFonts w:ascii="Times New Roman" w:eastAsia="Times New Roman" w:hAnsi="Times New Roman" w:cs="Times New Roman"/>
                <w:iCs/>
                <w:sz w:val="24"/>
                <w:szCs w:val="24"/>
                <w:lang w:eastAsia="lv-LV"/>
              </w:rPr>
              <w:t xml:space="preserve">paredz turpināt </w:t>
            </w:r>
            <w:r w:rsidR="00D905D8" w:rsidRPr="00645C5F">
              <w:rPr>
                <w:rFonts w:ascii="Times New Roman" w:eastAsia="Times New Roman" w:hAnsi="Times New Roman" w:cs="Times New Roman"/>
                <w:iCs/>
                <w:sz w:val="24"/>
                <w:szCs w:val="24"/>
                <w:lang w:eastAsia="lv-LV"/>
              </w:rPr>
              <w:t xml:space="preserve">jau </w:t>
            </w:r>
            <w:r w:rsidR="00B97412" w:rsidRPr="00645C5F">
              <w:rPr>
                <w:rFonts w:ascii="Times New Roman" w:eastAsia="Times New Roman" w:hAnsi="Times New Roman" w:cs="Times New Roman"/>
                <w:iCs/>
                <w:sz w:val="24"/>
                <w:szCs w:val="24"/>
                <w:lang w:eastAsia="lv-LV"/>
              </w:rPr>
              <w:t>šobrīd</w:t>
            </w:r>
            <w:r w:rsidR="009850A4" w:rsidRPr="00645C5F">
              <w:rPr>
                <w:rFonts w:ascii="Times New Roman" w:eastAsia="Times New Roman" w:hAnsi="Times New Roman" w:cs="Times New Roman"/>
                <w:iCs/>
                <w:sz w:val="24"/>
                <w:szCs w:val="24"/>
                <w:lang w:eastAsia="lv-LV"/>
              </w:rPr>
              <w:t xml:space="preserve"> noteikto kārtību pēc ārkārtējās situācijas atcelšanas.</w:t>
            </w:r>
          </w:p>
        </w:tc>
      </w:tr>
      <w:tr w:rsidR="00E327F5" w:rsidRPr="00645C5F" w14:paraId="10B92537" w14:textId="77777777" w:rsidTr="00E93A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556A91" w14:textId="77777777" w:rsidR="00655F2C" w:rsidRPr="00645C5F" w:rsidRDefault="00E5323B" w:rsidP="00E5323B">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8E5FC4A" w14:textId="77777777" w:rsidR="00E5323B" w:rsidRPr="00645C5F" w:rsidRDefault="00E5323B" w:rsidP="00E5323B">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A0C84E5" w14:textId="7CFB79FF" w:rsidR="003758EF" w:rsidRPr="00645C5F" w:rsidRDefault="00E718A2" w:rsidP="003758EF">
            <w:pPr>
              <w:pStyle w:val="Bezatstarpm1"/>
              <w:spacing w:line="256" w:lineRule="auto"/>
              <w:rPr>
                <w:i/>
                <w:lang w:val="lv-LV"/>
              </w:rPr>
            </w:pPr>
            <w:r w:rsidRPr="00645C5F">
              <w:rPr>
                <w:rFonts w:ascii="Times New Roman" w:hAnsi="Times New Roman"/>
                <w:sz w:val="24"/>
                <w:szCs w:val="24"/>
                <w:lang w:val="lv-LV"/>
              </w:rPr>
              <w:t>Noteikumu p</w:t>
            </w:r>
            <w:r w:rsidR="003758EF" w:rsidRPr="00645C5F">
              <w:rPr>
                <w:rFonts w:ascii="Times New Roman" w:hAnsi="Times New Roman"/>
                <w:sz w:val="24"/>
                <w:szCs w:val="24"/>
                <w:lang w:val="lv-LV"/>
              </w:rPr>
              <w:t>rojekts šo jomu neskar.</w:t>
            </w:r>
          </w:p>
          <w:p w14:paraId="1D52E8C9" w14:textId="77777777" w:rsidR="00E5323B" w:rsidRPr="00645C5F" w:rsidRDefault="00E5323B" w:rsidP="00E5323B">
            <w:pPr>
              <w:spacing w:after="0" w:line="240" w:lineRule="auto"/>
              <w:rPr>
                <w:rFonts w:ascii="Times New Roman" w:eastAsia="Times New Roman" w:hAnsi="Times New Roman" w:cs="Times New Roman"/>
                <w:iCs/>
                <w:sz w:val="24"/>
                <w:szCs w:val="24"/>
                <w:lang w:eastAsia="lv-LV"/>
              </w:rPr>
            </w:pPr>
          </w:p>
        </w:tc>
      </w:tr>
      <w:tr w:rsidR="00E327F5" w:rsidRPr="00645C5F" w14:paraId="6C545738" w14:textId="77777777" w:rsidTr="00E93A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D55951" w14:textId="77777777" w:rsidR="00655F2C" w:rsidRPr="00645C5F" w:rsidRDefault="00E93AE2" w:rsidP="00E5323B">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4</w:t>
            </w:r>
            <w:r w:rsidR="00E5323B" w:rsidRPr="00645C5F">
              <w:rPr>
                <w:rFonts w:ascii="Times New Roman" w:eastAsia="Times New Roman" w:hAnsi="Times New Roman" w:cs="Times New Roman"/>
                <w:iCs/>
                <w:sz w:val="24"/>
                <w:szCs w:val="24"/>
                <w:lang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78D043F3" w14:textId="77777777" w:rsidR="00E5323B" w:rsidRPr="00645C5F" w:rsidRDefault="00E5323B" w:rsidP="00E5323B">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8CBC513" w14:textId="77777777" w:rsidR="00E5323B" w:rsidRPr="00645C5F" w:rsidRDefault="00F575B8" w:rsidP="00E5323B">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Nav</w:t>
            </w:r>
          </w:p>
        </w:tc>
      </w:tr>
    </w:tbl>
    <w:p w14:paraId="7AA30011" w14:textId="77777777" w:rsidR="00E5323B" w:rsidRPr="00645C5F" w:rsidRDefault="00E5323B" w:rsidP="00E5323B">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 xml:space="preserve">  </w:t>
      </w:r>
    </w:p>
    <w:tbl>
      <w:tblPr>
        <w:tblW w:w="5088"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246"/>
        <w:gridCol w:w="920"/>
        <w:gridCol w:w="1094"/>
        <w:gridCol w:w="861"/>
        <w:gridCol w:w="1091"/>
        <w:gridCol w:w="930"/>
        <w:gridCol w:w="1085"/>
        <w:gridCol w:w="1906"/>
        <w:gridCol w:w="81"/>
      </w:tblGrid>
      <w:tr w:rsidR="00CB09B9" w:rsidRPr="00645C5F" w14:paraId="12F3CA7E" w14:textId="77777777" w:rsidTr="00D36059">
        <w:trPr>
          <w:gridAfter w:val="1"/>
          <w:wAfter w:w="20" w:type="pct"/>
          <w:tblCellSpacing w:w="15" w:type="dxa"/>
        </w:trPr>
        <w:tc>
          <w:tcPr>
            <w:tcW w:w="4932" w:type="pct"/>
            <w:gridSpan w:val="8"/>
            <w:tcBorders>
              <w:top w:val="outset" w:sz="6" w:space="0" w:color="auto"/>
              <w:left w:val="outset" w:sz="6" w:space="0" w:color="auto"/>
              <w:bottom w:val="outset" w:sz="6" w:space="0" w:color="auto"/>
              <w:right w:val="outset" w:sz="6" w:space="0" w:color="auto"/>
            </w:tcBorders>
            <w:vAlign w:val="center"/>
            <w:hideMark/>
          </w:tcPr>
          <w:p w14:paraId="282AF488" w14:textId="77777777" w:rsidR="00CB09B9" w:rsidRPr="00645C5F" w:rsidRDefault="00CB09B9" w:rsidP="002E47C6">
            <w:pPr>
              <w:spacing w:after="0" w:line="240" w:lineRule="auto"/>
              <w:rPr>
                <w:rFonts w:ascii="Times New Roman" w:eastAsia="Times New Roman" w:hAnsi="Times New Roman" w:cs="Times New Roman"/>
                <w:b/>
                <w:bCs/>
                <w:iCs/>
                <w:sz w:val="24"/>
                <w:szCs w:val="24"/>
                <w:lang w:eastAsia="lv-LV"/>
              </w:rPr>
            </w:pPr>
            <w:r w:rsidRPr="00645C5F">
              <w:rPr>
                <w:rFonts w:ascii="Times New Roman" w:eastAsia="Times New Roman" w:hAnsi="Times New Roman" w:cs="Times New Roman"/>
                <w:b/>
                <w:bCs/>
                <w:iCs/>
                <w:sz w:val="24"/>
                <w:szCs w:val="24"/>
                <w:lang w:eastAsia="lv-LV"/>
              </w:rPr>
              <w:t>III. Tiesību akta projekta ietekme uz valsts budžetu un pašvaldību budžetiem</w:t>
            </w:r>
          </w:p>
        </w:tc>
      </w:tr>
      <w:tr w:rsidR="00D36059" w:rsidRPr="00645C5F" w14:paraId="7B96E0EB" w14:textId="77777777" w:rsidTr="00D36059">
        <w:trPr>
          <w:gridAfter w:val="1"/>
          <w:wAfter w:w="20" w:type="pct"/>
          <w:tblCellSpacing w:w="15" w:type="dxa"/>
        </w:trPr>
        <w:tc>
          <w:tcPr>
            <w:tcW w:w="668" w:type="pct"/>
            <w:vMerge w:val="restart"/>
            <w:tcBorders>
              <w:top w:val="outset" w:sz="6" w:space="0" w:color="auto"/>
              <w:left w:val="outset" w:sz="6" w:space="0" w:color="auto"/>
              <w:bottom w:val="outset" w:sz="6" w:space="0" w:color="auto"/>
              <w:right w:val="outset" w:sz="6" w:space="0" w:color="auto"/>
            </w:tcBorders>
            <w:vAlign w:val="center"/>
            <w:hideMark/>
          </w:tcPr>
          <w:p w14:paraId="2DAC0962"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Rādītāji</w:t>
            </w:r>
          </w:p>
        </w:tc>
        <w:tc>
          <w:tcPr>
            <w:tcW w:w="108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BF0C4A0" w14:textId="77777777" w:rsidR="00CB09B9" w:rsidRPr="00645C5F" w:rsidRDefault="00CB09B9" w:rsidP="002E47C6">
            <w:pPr>
              <w:spacing w:after="0" w:line="240" w:lineRule="auto"/>
              <w:jc w:val="center"/>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2020.gads</w:t>
            </w:r>
          </w:p>
        </w:tc>
        <w:tc>
          <w:tcPr>
            <w:tcW w:w="3146" w:type="pct"/>
            <w:gridSpan w:val="5"/>
            <w:tcBorders>
              <w:top w:val="outset" w:sz="6" w:space="0" w:color="auto"/>
              <w:left w:val="outset" w:sz="6" w:space="0" w:color="auto"/>
              <w:bottom w:val="outset" w:sz="6" w:space="0" w:color="auto"/>
              <w:right w:val="outset" w:sz="6" w:space="0" w:color="auto"/>
            </w:tcBorders>
            <w:vAlign w:val="center"/>
            <w:hideMark/>
          </w:tcPr>
          <w:p w14:paraId="1EB407AB" w14:textId="77777777" w:rsidR="00CB09B9" w:rsidRPr="00645C5F" w:rsidRDefault="00CB09B9" w:rsidP="002E47C6">
            <w:pPr>
              <w:spacing w:after="0" w:line="240" w:lineRule="auto"/>
              <w:jc w:val="center"/>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Turpmākie trīs gadi (</w:t>
            </w:r>
            <w:proofErr w:type="spellStart"/>
            <w:r w:rsidRPr="00645C5F">
              <w:rPr>
                <w:rFonts w:ascii="Times New Roman" w:eastAsia="Times New Roman" w:hAnsi="Times New Roman" w:cs="Times New Roman"/>
                <w:i/>
                <w:iCs/>
                <w:sz w:val="24"/>
                <w:szCs w:val="24"/>
                <w:lang w:eastAsia="lv-LV"/>
              </w:rPr>
              <w:t>euro</w:t>
            </w:r>
            <w:proofErr w:type="spellEnd"/>
            <w:r w:rsidRPr="00645C5F">
              <w:rPr>
                <w:rFonts w:ascii="Times New Roman" w:eastAsia="Times New Roman" w:hAnsi="Times New Roman" w:cs="Times New Roman"/>
                <w:iCs/>
                <w:sz w:val="24"/>
                <w:szCs w:val="24"/>
                <w:lang w:eastAsia="lv-LV"/>
              </w:rPr>
              <w:t>)</w:t>
            </w:r>
          </w:p>
        </w:tc>
      </w:tr>
      <w:tr w:rsidR="00D36059" w:rsidRPr="00645C5F" w14:paraId="520C317E" w14:textId="77777777" w:rsidTr="00D36059">
        <w:trPr>
          <w:gridAfter w:val="1"/>
          <w:wAfter w:w="20" w:type="pct"/>
          <w:tblCellSpacing w:w="15" w:type="dxa"/>
        </w:trPr>
        <w:tc>
          <w:tcPr>
            <w:tcW w:w="668" w:type="pct"/>
            <w:vMerge/>
            <w:tcBorders>
              <w:top w:val="outset" w:sz="6" w:space="0" w:color="auto"/>
              <w:left w:val="outset" w:sz="6" w:space="0" w:color="auto"/>
              <w:bottom w:val="outset" w:sz="6" w:space="0" w:color="auto"/>
              <w:right w:val="outset" w:sz="6" w:space="0" w:color="auto"/>
            </w:tcBorders>
            <w:vAlign w:val="center"/>
            <w:hideMark/>
          </w:tcPr>
          <w:p w14:paraId="663F813E"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p>
        </w:tc>
        <w:tc>
          <w:tcPr>
            <w:tcW w:w="1085" w:type="pct"/>
            <w:gridSpan w:val="2"/>
            <w:vMerge/>
            <w:tcBorders>
              <w:top w:val="outset" w:sz="6" w:space="0" w:color="auto"/>
              <w:left w:val="outset" w:sz="6" w:space="0" w:color="auto"/>
              <w:bottom w:val="outset" w:sz="6" w:space="0" w:color="auto"/>
              <w:right w:val="outset" w:sz="6" w:space="0" w:color="auto"/>
            </w:tcBorders>
            <w:vAlign w:val="center"/>
            <w:hideMark/>
          </w:tcPr>
          <w:p w14:paraId="2D4E1AB1"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p>
        </w:tc>
        <w:tc>
          <w:tcPr>
            <w:tcW w:w="1051" w:type="pct"/>
            <w:gridSpan w:val="2"/>
            <w:tcBorders>
              <w:top w:val="outset" w:sz="6" w:space="0" w:color="auto"/>
              <w:left w:val="outset" w:sz="6" w:space="0" w:color="auto"/>
              <w:bottom w:val="outset" w:sz="6" w:space="0" w:color="auto"/>
              <w:right w:val="outset" w:sz="6" w:space="0" w:color="auto"/>
            </w:tcBorders>
            <w:vAlign w:val="center"/>
            <w:hideMark/>
          </w:tcPr>
          <w:p w14:paraId="2862B2BF" w14:textId="77777777" w:rsidR="00CB09B9" w:rsidRPr="00645C5F" w:rsidRDefault="00CB09B9" w:rsidP="002E47C6">
            <w:pPr>
              <w:spacing w:after="0" w:line="240" w:lineRule="auto"/>
              <w:jc w:val="center"/>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2021</w:t>
            </w:r>
          </w:p>
        </w:tc>
        <w:tc>
          <w:tcPr>
            <w:tcW w:w="1086" w:type="pct"/>
            <w:gridSpan w:val="2"/>
            <w:tcBorders>
              <w:top w:val="outset" w:sz="6" w:space="0" w:color="auto"/>
              <w:left w:val="outset" w:sz="6" w:space="0" w:color="auto"/>
              <w:bottom w:val="outset" w:sz="6" w:space="0" w:color="auto"/>
              <w:right w:val="outset" w:sz="6" w:space="0" w:color="auto"/>
            </w:tcBorders>
            <w:vAlign w:val="center"/>
            <w:hideMark/>
          </w:tcPr>
          <w:p w14:paraId="6D7016EF" w14:textId="77777777" w:rsidR="00CB09B9" w:rsidRPr="00645C5F" w:rsidRDefault="00CB09B9" w:rsidP="002E47C6">
            <w:pPr>
              <w:spacing w:after="0" w:line="240" w:lineRule="auto"/>
              <w:jc w:val="center"/>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2022</w:t>
            </w:r>
          </w:p>
        </w:tc>
        <w:tc>
          <w:tcPr>
            <w:tcW w:w="976" w:type="pct"/>
            <w:tcBorders>
              <w:top w:val="outset" w:sz="6" w:space="0" w:color="auto"/>
              <w:left w:val="outset" w:sz="6" w:space="0" w:color="auto"/>
              <w:bottom w:val="outset" w:sz="6" w:space="0" w:color="auto"/>
              <w:right w:val="outset" w:sz="6" w:space="0" w:color="auto"/>
            </w:tcBorders>
            <w:vAlign w:val="center"/>
            <w:hideMark/>
          </w:tcPr>
          <w:p w14:paraId="002CCEF5" w14:textId="77777777" w:rsidR="00CB09B9" w:rsidRPr="00645C5F" w:rsidRDefault="00CB09B9" w:rsidP="002E47C6">
            <w:pPr>
              <w:spacing w:after="0" w:line="240" w:lineRule="auto"/>
              <w:jc w:val="center"/>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2023</w:t>
            </w:r>
          </w:p>
        </w:tc>
      </w:tr>
      <w:tr w:rsidR="00D36059" w:rsidRPr="00645C5F" w14:paraId="50F5CAF6" w14:textId="77777777" w:rsidTr="00D36059">
        <w:trPr>
          <w:tblCellSpacing w:w="15" w:type="dxa"/>
        </w:trPr>
        <w:tc>
          <w:tcPr>
            <w:tcW w:w="668" w:type="pct"/>
            <w:vMerge/>
            <w:tcBorders>
              <w:top w:val="outset" w:sz="6" w:space="0" w:color="auto"/>
              <w:left w:val="outset" w:sz="6" w:space="0" w:color="auto"/>
              <w:bottom w:val="outset" w:sz="6" w:space="0" w:color="auto"/>
              <w:right w:val="outset" w:sz="6" w:space="0" w:color="auto"/>
            </w:tcBorders>
            <w:vAlign w:val="center"/>
            <w:hideMark/>
          </w:tcPr>
          <w:p w14:paraId="38D39A39"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hideMark/>
          </w:tcPr>
          <w:p w14:paraId="28D050B4"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saskaņā ar valsts budžetu kārtējam gadam</w:t>
            </w:r>
          </w:p>
        </w:tc>
        <w:tc>
          <w:tcPr>
            <w:tcW w:w="575" w:type="pct"/>
            <w:tcBorders>
              <w:top w:val="outset" w:sz="6" w:space="0" w:color="auto"/>
              <w:left w:val="outset" w:sz="6" w:space="0" w:color="auto"/>
              <w:bottom w:val="outset" w:sz="6" w:space="0" w:color="auto"/>
              <w:right w:val="outset" w:sz="6" w:space="0" w:color="auto"/>
            </w:tcBorders>
            <w:vAlign w:val="center"/>
            <w:hideMark/>
          </w:tcPr>
          <w:p w14:paraId="5AB4D49E"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664D9952"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iCs/>
                <w:color w:val="000000" w:themeColor="text1"/>
                <w:sz w:val="24"/>
                <w:szCs w:val="24"/>
                <w:lang w:eastAsia="lv-LV"/>
              </w:rPr>
              <w:t>saskaņā ar vidēja termiņa budžeta ietvaru</w:t>
            </w:r>
          </w:p>
        </w:tc>
        <w:tc>
          <w:tcPr>
            <w:tcW w:w="572" w:type="pct"/>
            <w:tcBorders>
              <w:top w:val="outset" w:sz="6" w:space="0" w:color="auto"/>
              <w:left w:val="outset" w:sz="6" w:space="0" w:color="auto"/>
              <w:bottom w:val="outset" w:sz="6" w:space="0" w:color="auto"/>
              <w:right w:val="outset" w:sz="6" w:space="0" w:color="auto"/>
            </w:tcBorders>
            <w:vAlign w:val="center"/>
            <w:hideMark/>
          </w:tcPr>
          <w:p w14:paraId="49FFDC85"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iCs/>
                <w:color w:val="000000" w:themeColor="text1"/>
                <w:sz w:val="24"/>
                <w:szCs w:val="24"/>
                <w:lang w:eastAsia="lv-LV"/>
              </w:rPr>
              <w:t>izmaiņas, salīdzinot ar vidēja termiņa budžeta ietvaru 2021. gadam</w:t>
            </w:r>
          </w:p>
        </w:tc>
        <w:tc>
          <w:tcPr>
            <w:tcW w:w="500" w:type="pct"/>
            <w:tcBorders>
              <w:top w:val="outset" w:sz="6" w:space="0" w:color="auto"/>
              <w:left w:val="outset" w:sz="6" w:space="0" w:color="auto"/>
              <w:bottom w:val="outset" w:sz="6" w:space="0" w:color="auto"/>
              <w:right w:val="outset" w:sz="6" w:space="0" w:color="auto"/>
            </w:tcBorders>
            <w:vAlign w:val="center"/>
            <w:hideMark/>
          </w:tcPr>
          <w:p w14:paraId="77BBAC36"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iCs/>
                <w:color w:val="000000" w:themeColor="text1"/>
                <w:sz w:val="24"/>
                <w:szCs w:val="24"/>
                <w:lang w:eastAsia="lv-LV"/>
              </w:rPr>
              <w:t>saskaņā ar vidēja termiņa budžeta ietvaru</w:t>
            </w:r>
          </w:p>
        </w:tc>
        <w:tc>
          <w:tcPr>
            <w:tcW w:w="570" w:type="pct"/>
            <w:tcBorders>
              <w:top w:val="outset" w:sz="6" w:space="0" w:color="auto"/>
              <w:left w:val="outset" w:sz="6" w:space="0" w:color="auto"/>
              <w:bottom w:val="outset" w:sz="6" w:space="0" w:color="auto"/>
              <w:right w:val="outset" w:sz="6" w:space="0" w:color="auto"/>
            </w:tcBorders>
            <w:vAlign w:val="center"/>
            <w:hideMark/>
          </w:tcPr>
          <w:p w14:paraId="75CA81E9"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iCs/>
                <w:color w:val="000000" w:themeColor="text1"/>
                <w:sz w:val="24"/>
                <w:szCs w:val="24"/>
                <w:lang w:eastAsia="lv-LV"/>
              </w:rPr>
              <w:t>izmaiņas, salīdzinot ar vidēja termiņa budžeta ietvaru 2022. gadam</w:t>
            </w:r>
          </w:p>
        </w:tc>
        <w:tc>
          <w:tcPr>
            <w:tcW w:w="1012" w:type="pct"/>
            <w:gridSpan w:val="2"/>
            <w:tcBorders>
              <w:top w:val="outset" w:sz="6" w:space="0" w:color="auto"/>
              <w:left w:val="outset" w:sz="6" w:space="0" w:color="auto"/>
              <w:bottom w:val="outset" w:sz="6" w:space="0" w:color="auto"/>
              <w:right w:val="outset" w:sz="6" w:space="0" w:color="auto"/>
            </w:tcBorders>
            <w:vAlign w:val="center"/>
            <w:hideMark/>
          </w:tcPr>
          <w:p w14:paraId="74E6AFDE"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iCs/>
                <w:color w:val="000000" w:themeColor="text1"/>
                <w:sz w:val="24"/>
                <w:szCs w:val="24"/>
                <w:lang w:eastAsia="lv-LV"/>
              </w:rPr>
              <w:t>izmaiņas, salīdzinot ar vidēja termiņa budžeta ietvaru 2022. gadam</w:t>
            </w:r>
          </w:p>
        </w:tc>
      </w:tr>
      <w:tr w:rsidR="00D36059" w:rsidRPr="00645C5F" w14:paraId="48E0609A" w14:textId="77777777" w:rsidTr="00D36059">
        <w:trPr>
          <w:tblCellSpacing w:w="15" w:type="dxa"/>
        </w:trPr>
        <w:tc>
          <w:tcPr>
            <w:tcW w:w="668" w:type="pct"/>
            <w:tcBorders>
              <w:top w:val="outset" w:sz="6" w:space="0" w:color="auto"/>
              <w:left w:val="outset" w:sz="6" w:space="0" w:color="auto"/>
              <w:bottom w:val="outset" w:sz="6" w:space="0" w:color="auto"/>
              <w:right w:val="outset" w:sz="6" w:space="0" w:color="auto"/>
            </w:tcBorders>
            <w:vAlign w:val="center"/>
            <w:hideMark/>
          </w:tcPr>
          <w:p w14:paraId="00782E31"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1</w:t>
            </w:r>
          </w:p>
        </w:tc>
        <w:tc>
          <w:tcPr>
            <w:tcW w:w="494" w:type="pct"/>
            <w:tcBorders>
              <w:top w:val="outset" w:sz="6" w:space="0" w:color="auto"/>
              <w:left w:val="outset" w:sz="6" w:space="0" w:color="auto"/>
              <w:bottom w:val="outset" w:sz="6" w:space="0" w:color="auto"/>
              <w:right w:val="outset" w:sz="6" w:space="0" w:color="auto"/>
            </w:tcBorders>
            <w:vAlign w:val="center"/>
            <w:hideMark/>
          </w:tcPr>
          <w:p w14:paraId="1D90B3B8"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2</w:t>
            </w:r>
          </w:p>
        </w:tc>
        <w:tc>
          <w:tcPr>
            <w:tcW w:w="575" w:type="pct"/>
            <w:tcBorders>
              <w:top w:val="outset" w:sz="6" w:space="0" w:color="auto"/>
              <w:left w:val="outset" w:sz="6" w:space="0" w:color="auto"/>
              <w:bottom w:val="outset" w:sz="6" w:space="0" w:color="auto"/>
              <w:right w:val="outset" w:sz="6" w:space="0" w:color="auto"/>
            </w:tcBorders>
            <w:vAlign w:val="center"/>
            <w:hideMark/>
          </w:tcPr>
          <w:p w14:paraId="534B49E0"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0A5DE5EA"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4</w:t>
            </w:r>
          </w:p>
        </w:tc>
        <w:tc>
          <w:tcPr>
            <w:tcW w:w="572" w:type="pct"/>
            <w:tcBorders>
              <w:top w:val="outset" w:sz="6" w:space="0" w:color="auto"/>
              <w:left w:val="outset" w:sz="6" w:space="0" w:color="auto"/>
              <w:bottom w:val="outset" w:sz="6" w:space="0" w:color="auto"/>
              <w:right w:val="outset" w:sz="6" w:space="0" w:color="auto"/>
            </w:tcBorders>
            <w:vAlign w:val="center"/>
            <w:hideMark/>
          </w:tcPr>
          <w:p w14:paraId="4F4A0166"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5</w:t>
            </w:r>
          </w:p>
        </w:tc>
        <w:tc>
          <w:tcPr>
            <w:tcW w:w="500" w:type="pct"/>
            <w:tcBorders>
              <w:top w:val="outset" w:sz="6" w:space="0" w:color="auto"/>
              <w:left w:val="outset" w:sz="6" w:space="0" w:color="auto"/>
              <w:bottom w:val="outset" w:sz="6" w:space="0" w:color="auto"/>
              <w:right w:val="outset" w:sz="6" w:space="0" w:color="auto"/>
            </w:tcBorders>
            <w:vAlign w:val="center"/>
            <w:hideMark/>
          </w:tcPr>
          <w:p w14:paraId="65247327"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6</w:t>
            </w:r>
          </w:p>
        </w:tc>
        <w:tc>
          <w:tcPr>
            <w:tcW w:w="570" w:type="pct"/>
            <w:tcBorders>
              <w:top w:val="outset" w:sz="6" w:space="0" w:color="auto"/>
              <w:left w:val="outset" w:sz="6" w:space="0" w:color="auto"/>
              <w:bottom w:val="outset" w:sz="6" w:space="0" w:color="auto"/>
              <w:right w:val="outset" w:sz="6" w:space="0" w:color="auto"/>
            </w:tcBorders>
            <w:vAlign w:val="center"/>
            <w:hideMark/>
          </w:tcPr>
          <w:p w14:paraId="42629BD9"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7</w:t>
            </w:r>
          </w:p>
        </w:tc>
        <w:tc>
          <w:tcPr>
            <w:tcW w:w="1012" w:type="pct"/>
            <w:gridSpan w:val="2"/>
            <w:tcBorders>
              <w:top w:val="outset" w:sz="6" w:space="0" w:color="auto"/>
              <w:left w:val="outset" w:sz="6" w:space="0" w:color="auto"/>
              <w:bottom w:val="outset" w:sz="6" w:space="0" w:color="auto"/>
              <w:right w:val="outset" w:sz="6" w:space="0" w:color="auto"/>
            </w:tcBorders>
            <w:vAlign w:val="center"/>
            <w:hideMark/>
          </w:tcPr>
          <w:p w14:paraId="5C01B743"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8</w:t>
            </w:r>
          </w:p>
        </w:tc>
      </w:tr>
      <w:tr w:rsidR="00D36059" w:rsidRPr="00645C5F" w14:paraId="5CFA4B2B" w14:textId="77777777" w:rsidTr="00D36059">
        <w:trPr>
          <w:tblCellSpacing w:w="15" w:type="dxa"/>
        </w:trPr>
        <w:tc>
          <w:tcPr>
            <w:tcW w:w="668" w:type="pct"/>
            <w:tcBorders>
              <w:top w:val="outset" w:sz="6" w:space="0" w:color="auto"/>
              <w:left w:val="outset" w:sz="6" w:space="0" w:color="auto"/>
              <w:bottom w:val="outset" w:sz="6" w:space="0" w:color="auto"/>
              <w:right w:val="outset" w:sz="6" w:space="0" w:color="auto"/>
            </w:tcBorders>
            <w:hideMark/>
          </w:tcPr>
          <w:p w14:paraId="62E6D6EC" w14:textId="77777777" w:rsidR="00CB09B9" w:rsidRPr="00645C5F" w:rsidRDefault="00CB09B9" w:rsidP="002E47C6">
            <w:pPr>
              <w:spacing w:after="0" w:line="240" w:lineRule="auto"/>
              <w:rPr>
                <w:rFonts w:ascii="Times New Roman" w:eastAsia="Times New Roman" w:hAnsi="Times New Roman" w:cs="Times New Roman"/>
                <w:b/>
                <w:iCs/>
                <w:sz w:val="24"/>
                <w:szCs w:val="24"/>
                <w:lang w:eastAsia="lv-LV"/>
              </w:rPr>
            </w:pPr>
            <w:r w:rsidRPr="00645C5F">
              <w:rPr>
                <w:rFonts w:ascii="Times New Roman" w:eastAsia="Times New Roman" w:hAnsi="Times New Roman" w:cs="Times New Roman"/>
                <w:b/>
                <w:iCs/>
                <w:sz w:val="24"/>
                <w:szCs w:val="24"/>
                <w:lang w:eastAsia="lv-LV"/>
              </w:rPr>
              <w:lastRenderedPageBreak/>
              <w:t>1. Budžeta ieņēmumi</w:t>
            </w:r>
          </w:p>
        </w:tc>
        <w:tc>
          <w:tcPr>
            <w:tcW w:w="494" w:type="pct"/>
            <w:tcBorders>
              <w:top w:val="outset" w:sz="6" w:space="0" w:color="auto"/>
              <w:left w:val="outset" w:sz="6" w:space="0" w:color="auto"/>
              <w:bottom w:val="outset" w:sz="6" w:space="0" w:color="auto"/>
              <w:right w:val="outset" w:sz="6" w:space="0" w:color="auto"/>
            </w:tcBorders>
            <w:vAlign w:val="center"/>
          </w:tcPr>
          <w:p w14:paraId="4CD019EA" w14:textId="7B87161B" w:rsidR="00CB09B9" w:rsidRPr="00645C5F" w:rsidRDefault="0049277A" w:rsidP="002E47C6">
            <w:pPr>
              <w:spacing w:after="0" w:line="240" w:lineRule="auto"/>
              <w:rPr>
                <w:rFonts w:ascii="Times New Roman" w:eastAsia="Times New Roman" w:hAnsi="Times New Roman" w:cs="Times New Roman"/>
                <w:b/>
                <w:iCs/>
                <w:sz w:val="18"/>
                <w:szCs w:val="18"/>
                <w:lang w:eastAsia="lv-LV"/>
              </w:rPr>
            </w:pPr>
            <w:r w:rsidRPr="00645C5F">
              <w:rPr>
                <w:rFonts w:ascii="Times New Roman" w:eastAsia="Times New Roman" w:hAnsi="Times New Roman" w:cs="Times New Roman"/>
                <w:b/>
                <w:iCs/>
                <w:sz w:val="18"/>
                <w:szCs w:val="18"/>
                <w:lang w:eastAsia="lv-LV"/>
              </w:rPr>
              <w:t>195 118</w:t>
            </w:r>
          </w:p>
        </w:tc>
        <w:tc>
          <w:tcPr>
            <w:tcW w:w="575" w:type="pct"/>
            <w:tcBorders>
              <w:top w:val="outset" w:sz="6" w:space="0" w:color="auto"/>
              <w:left w:val="outset" w:sz="6" w:space="0" w:color="auto"/>
              <w:bottom w:val="outset" w:sz="6" w:space="0" w:color="auto"/>
              <w:right w:val="outset" w:sz="6" w:space="0" w:color="auto"/>
            </w:tcBorders>
            <w:vAlign w:val="center"/>
          </w:tcPr>
          <w:p w14:paraId="667EFB59" w14:textId="36AC6DC3" w:rsidR="00CB09B9" w:rsidRPr="00645C5F" w:rsidRDefault="00052208" w:rsidP="002E47C6">
            <w:pPr>
              <w:spacing w:after="0" w:line="240" w:lineRule="auto"/>
              <w:jc w:val="center"/>
              <w:rPr>
                <w:rFonts w:ascii="Times New Roman" w:eastAsia="Times New Roman" w:hAnsi="Times New Roman" w:cs="Times New Roman"/>
                <w:b/>
                <w:iCs/>
                <w:sz w:val="18"/>
                <w:szCs w:val="18"/>
                <w:lang w:eastAsia="lv-LV"/>
              </w:rPr>
            </w:pPr>
            <w:r w:rsidRPr="00645C5F">
              <w:rPr>
                <w:rFonts w:ascii="Times New Roman" w:eastAsia="Times New Roman" w:hAnsi="Times New Roman" w:cs="Times New Roman"/>
                <w:b/>
                <w:iCs/>
                <w:sz w:val="18"/>
                <w:szCs w:val="18"/>
                <w:lang w:eastAsia="lv-LV"/>
              </w:rPr>
              <w:t>-</w:t>
            </w:r>
            <w:r w:rsidR="005A76C1" w:rsidRPr="00645C5F">
              <w:rPr>
                <w:rFonts w:ascii="Times New Roman" w:eastAsia="Times New Roman" w:hAnsi="Times New Roman" w:cs="Times New Roman"/>
                <w:b/>
                <w:iCs/>
                <w:sz w:val="18"/>
                <w:szCs w:val="18"/>
                <w:lang w:eastAsia="lv-LV"/>
              </w:rPr>
              <w:t>868,40</w:t>
            </w:r>
          </w:p>
        </w:tc>
        <w:tc>
          <w:tcPr>
            <w:tcW w:w="462" w:type="pct"/>
            <w:tcBorders>
              <w:top w:val="outset" w:sz="6" w:space="0" w:color="auto"/>
              <w:left w:val="outset" w:sz="6" w:space="0" w:color="auto"/>
              <w:bottom w:val="outset" w:sz="6" w:space="0" w:color="auto"/>
              <w:right w:val="outset" w:sz="6" w:space="0" w:color="auto"/>
            </w:tcBorders>
            <w:vAlign w:val="center"/>
          </w:tcPr>
          <w:p w14:paraId="307D8144" w14:textId="3DD8AB1B" w:rsidR="00CB09B9" w:rsidRPr="00645C5F" w:rsidRDefault="0049277A" w:rsidP="002E47C6">
            <w:pPr>
              <w:spacing w:after="0" w:line="240" w:lineRule="auto"/>
              <w:rPr>
                <w:rFonts w:ascii="Times New Roman" w:eastAsia="Times New Roman" w:hAnsi="Times New Roman" w:cs="Times New Roman"/>
                <w:b/>
                <w:iCs/>
                <w:sz w:val="18"/>
                <w:szCs w:val="18"/>
                <w:lang w:eastAsia="lv-LV"/>
              </w:rPr>
            </w:pPr>
            <w:r w:rsidRPr="00645C5F">
              <w:rPr>
                <w:rFonts w:ascii="Times New Roman" w:eastAsia="Times New Roman" w:hAnsi="Times New Roman" w:cs="Times New Roman"/>
                <w:b/>
                <w:iCs/>
                <w:sz w:val="18"/>
                <w:szCs w:val="18"/>
                <w:lang w:eastAsia="lv-LV"/>
              </w:rPr>
              <w:t>195 118</w:t>
            </w:r>
          </w:p>
        </w:tc>
        <w:tc>
          <w:tcPr>
            <w:tcW w:w="572" w:type="pct"/>
            <w:tcBorders>
              <w:top w:val="outset" w:sz="6" w:space="0" w:color="auto"/>
              <w:left w:val="outset" w:sz="6" w:space="0" w:color="auto"/>
              <w:bottom w:val="outset" w:sz="6" w:space="0" w:color="auto"/>
              <w:right w:val="outset" w:sz="6" w:space="0" w:color="auto"/>
            </w:tcBorders>
            <w:vAlign w:val="center"/>
          </w:tcPr>
          <w:p w14:paraId="59D4D1D0" w14:textId="241DDC7E" w:rsidR="00CB09B9" w:rsidRPr="00645C5F" w:rsidRDefault="007D7875" w:rsidP="002E47C6">
            <w:pPr>
              <w:spacing w:after="0" w:line="240" w:lineRule="auto"/>
              <w:jc w:val="center"/>
              <w:rPr>
                <w:rFonts w:ascii="Times New Roman" w:eastAsia="Times New Roman" w:hAnsi="Times New Roman" w:cs="Times New Roman"/>
                <w:b/>
                <w:iCs/>
                <w:sz w:val="18"/>
                <w:szCs w:val="18"/>
                <w:lang w:eastAsia="lv-LV"/>
              </w:rPr>
            </w:pPr>
            <w:r w:rsidRPr="00645C5F">
              <w:rPr>
                <w:rFonts w:ascii="Times New Roman" w:eastAsia="Times New Roman" w:hAnsi="Times New Roman" w:cs="Times New Roman"/>
                <w:b/>
                <w:iCs/>
                <w:sz w:val="18"/>
                <w:szCs w:val="18"/>
                <w:lang w:eastAsia="lv-LV"/>
              </w:rPr>
              <w:t>-699,33</w:t>
            </w:r>
          </w:p>
        </w:tc>
        <w:tc>
          <w:tcPr>
            <w:tcW w:w="500" w:type="pct"/>
            <w:tcBorders>
              <w:top w:val="outset" w:sz="6" w:space="0" w:color="auto"/>
              <w:left w:val="outset" w:sz="6" w:space="0" w:color="auto"/>
              <w:bottom w:val="outset" w:sz="6" w:space="0" w:color="auto"/>
              <w:right w:val="outset" w:sz="6" w:space="0" w:color="auto"/>
            </w:tcBorders>
            <w:vAlign w:val="center"/>
          </w:tcPr>
          <w:p w14:paraId="5481F6AC" w14:textId="718D3295" w:rsidR="00CB09B9" w:rsidRPr="00645C5F" w:rsidRDefault="0049277A" w:rsidP="002E47C6">
            <w:pPr>
              <w:spacing w:after="0" w:line="240" w:lineRule="auto"/>
              <w:rPr>
                <w:rFonts w:ascii="Times New Roman" w:eastAsia="Times New Roman" w:hAnsi="Times New Roman" w:cs="Times New Roman"/>
                <w:b/>
                <w:iCs/>
                <w:sz w:val="18"/>
                <w:szCs w:val="18"/>
                <w:lang w:eastAsia="lv-LV"/>
              </w:rPr>
            </w:pPr>
            <w:r w:rsidRPr="00645C5F">
              <w:rPr>
                <w:rFonts w:ascii="Times New Roman" w:eastAsia="Times New Roman" w:hAnsi="Times New Roman" w:cs="Times New Roman"/>
                <w:b/>
                <w:iCs/>
                <w:sz w:val="18"/>
                <w:szCs w:val="18"/>
                <w:lang w:eastAsia="lv-LV"/>
              </w:rPr>
              <w:t>195 118</w:t>
            </w:r>
          </w:p>
        </w:tc>
        <w:tc>
          <w:tcPr>
            <w:tcW w:w="570" w:type="pct"/>
            <w:tcBorders>
              <w:top w:val="outset" w:sz="6" w:space="0" w:color="auto"/>
              <w:left w:val="outset" w:sz="6" w:space="0" w:color="auto"/>
              <w:bottom w:val="outset" w:sz="6" w:space="0" w:color="auto"/>
              <w:right w:val="outset" w:sz="6" w:space="0" w:color="auto"/>
            </w:tcBorders>
            <w:vAlign w:val="center"/>
          </w:tcPr>
          <w:p w14:paraId="18E103B9" w14:textId="77777777" w:rsidR="00CB09B9" w:rsidRPr="00645C5F" w:rsidRDefault="00CB09B9" w:rsidP="002E47C6">
            <w:pPr>
              <w:spacing w:after="0" w:line="240" w:lineRule="auto"/>
              <w:jc w:val="center"/>
              <w:rPr>
                <w:rFonts w:ascii="Times New Roman" w:eastAsia="Times New Roman" w:hAnsi="Times New Roman" w:cs="Times New Roman"/>
                <w:b/>
                <w:iCs/>
                <w:sz w:val="18"/>
                <w:szCs w:val="18"/>
                <w:lang w:eastAsia="lv-LV"/>
              </w:rPr>
            </w:pPr>
          </w:p>
        </w:tc>
        <w:tc>
          <w:tcPr>
            <w:tcW w:w="1012" w:type="pct"/>
            <w:gridSpan w:val="2"/>
            <w:tcBorders>
              <w:top w:val="outset" w:sz="6" w:space="0" w:color="auto"/>
              <w:left w:val="outset" w:sz="6" w:space="0" w:color="auto"/>
              <w:bottom w:val="outset" w:sz="6" w:space="0" w:color="auto"/>
              <w:right w:val="outset" w:sz="6" w:space="0" w:color="auto"/>
            </w:tcBorders>
            <w:vAlign w:val="center"/>
          </w:tcPr>
          <w:p w14:paraId="0B587E84" w14:textId="0DE3962B" w:rsidR="00CB09B9" w:rsidRPr="00645C5F" w:rsidRDefault="0049277A" w:rsidP="0049277A">
            <w:pPr>
              <w:spacing w:after="0" w:line="240" w:lineRule="auto"/>
              <w:rPr>
                <w:rFonts w:ascii="Times New Roman" w:eastAsia="Times New Roman" w:hAnsi="Times New Roman" w:cs="Times New Roman"/>
                <w:b/>
                <w:iCs/>
                <w:sz w:val="18"/>
                <w:szCs w:val="18"/>
                <w:lang w:eastAsia="lv-LV"/>
              </w:rPr>
            </w:pPr>
            <w:r w:rsidRPr="00645C5F">
              <w:rPr>
                <w:rFonts w:ascii="Times New Roman" w:eastAsia="Times New Roman" w:hAnsi="Times New Roman" w:cs="Times New Roman"/>
                <w:b/>
                <w:iCs/>
                <w:sz w:val="18"/>
                <w:szCs w:val="18"/>
                <w:lang w:eastAsia="lv-LV"/>
              </w:rPr>
              <w:t>0</w:t>
            </w:r>
          </w:p>
        </w:tc>
      </w:tr>
      <w:tr w:rsidR="00D36059" w:rsidRPr="00645C5F" w14:paraId="47A2448F" w14:textId="77777777" w:rsidTr="00D36059">
        <w:trPr>
          <w:tblCellSpacing w:w="15" w:type="dxa"/>
        </w:trPr>
        <w:tc>
          <w:tcPr>
            <w:tcW w:w="668" w:type="pct"/>
            <w:tcBorders>
              <w:top w:val="outset" w:sz="6" w:space="0" w:color="auto"/>
              <w:left w:val="outset" w:sz="6" w:space="0" w:color="auto"/>
              <w:bottom w:val="outset" w:sz="6" w:space="0" w:color="auto"/>
              <w:right w:val="outset" w:sz="6" w:space="0" w:color="auto"/>
            </w:tcBorders>
            <w:hideMark/>
          </w:tcPr>
          <w:p w14:paraId="092299D3"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494" w:type="pct"/>
            <w:tcBorders>
              <w:top w:val="outset" w:sz="6" w:space="0" w:color="auto"/>
              <w:left w:val="outset" w:sz="6" w:space="0" w:color="auto"/>
              <w:bottom w:val="outset" w:sz="6" w:space="0" w:color="auto"/>
              <w:right w:val="outset" w:sz="6" w:space="0" w:color="auto"/>
            </w:tcBorders>
            <w:vAlign w:val="center"/>
            <w:hideMark/>
          </w:tcPr>
          <w:p w14:paraId="0F73E808" w14:textId="35F2F484" w:rsidR="00CB09B9" w:rsidRPr="00645C5F" w:rsidRDefault="00CB09B9" w:rsidP="002E47C6">
            <w:pPr>
              <w:spacing w:after="0" w:line="240" w:lineRule="auto"/>
              <w:rPr>
                <w:rFonts w:ascii="Times New Roman" w:eastAsia="Times New Roman" w:hAnsi="Times New Roman" w:cs="Times New Roman"/>
                <w:iCs/>
                <w:sz w:val="18"/>
                <w:szCs w:val="18"/>
                <w:lang w:eastAsia="lv-LV"/>
              </w:rPr>
            </w:pPr>
            <w:r w:rsidRPr="00645C5F">
              <w:rPr>
                <w:rFonts w:ascii="Times New Roman" w:eastAsia="Times New Roman" w:hAnsi="Times New Roman" w:cs="Times New Roman"/>
                <w:iCs/>
                <w:sz w:val="18"/>
                <w:szCs w:val="18"/>
                <w:lang w:eastAsia="lv-LV"/>
              </w:rPr>
              <w:t> </w:t>
            </w:r>
            <w:r w:rsidR="0049277A" w:rsidRPr="00645C5F">
              <w:rPr>
                <w:rFonts w:ascii="Times New Roman" w:eastAsia="Times New Roman" w:hAnsi="Times New Roman" w:cs="Times New Roman"/>
                <w:iCs/>
                <w:sz w:val="18"/>
                <w:szCs w:val="18"/>
                <w:lang w:eastAsia="lv-LV"/>
              </w:rPr>
              <w:t>195 118</w:t>
            </w:r>
          </w:p>
        </w:tc>
        <w:tc>
          <w:tcPr>
            <w:tcW w:w="575" w:type="pct"/>
            <w:tcBorders>
              <w:top w:val="outset" w:sz="6" w:space="0" w:color="auto"/>
              <w:left w:val="outset" w:sz="6" w:space="0" w:color="auto"/>
              <w:bottom w:val="outset" w:sz="6" w:space="0" w:color="auto"/>
              <w:right w:val="outset" w:sz="6" w:space="0" w:color="auto"/>
            </w:tcBorders>
            <w:vAlign w:val="center"/>
            <w:hideMark/>
          </w:tcPr>
          <w:p w14:paraId="6C992D1B" w14:textId="7DB8EB61" w:rsidR="00CB09B9" w:rsidRPr="00645C5F" w:rsidRDefault="00052208" w:rsidP="00052208">
            <w:pPr>
              <w:spacing w:after="0" w:line="240" w:lineRule="auto"/>
              <w:jc w:val="center"/>
              <w:rPr>
                <w:rFonts w:ascii="Times New Roman" w:eastAsia="Times New Roman" w:hAnsi="Times New Roman" w:cs="Times New Roman"/>
                <w:iCs/>
                <w:sz w:val="18"/>
                <w:szCs w:val="18"/>
                <w:lang w:eastAsia="lv-LV"/>
              </w:rPr>
            </w:pPr>
            <w:r w:rsidRPr="00645C5F">
              <w:rPr>
                <w:rFonts w:ascii="Times New Roman" w:eastAsia="Times New Roman" w:hAnsi="Times New Roman" w:cs="Times New Roman"/>
                <w:iCs/>
                <w:sz w:val="18"/>
                <w:szCs w:val="18"/>
                <w:lang w:eastAsia="lv-LV"/>
              </w:rPr>
              <w:t>-</w:t>
            </w:r>
            <w:r w:rsidR="005A76C1" w:rsidRPr="00645C5F">
              <w:rPr>
                <w:rFonts w:ascii="Times New Roman" w:eastAsia="Times New Roman" w:hAnsi="Times New Roman" w:cs="Times New Roman"/>
                <w:iCs/>
                <w:sz w:val="18"/>
                <w:szCs w:val="18"/>
                <w:lang w:eastAsia="lv-LV"/>
              </w:rPr>
              <w:t>868,40</w:t>
            </w:r>
          </w:p>
        </w:tc>
        <w:tc>
          <w:tcPr>
            <w:tcW w:w="462" w:type="pct"/>
            <w:tcBorders>
              <w:top w:val="outset" w:sz="6" w:space="0" w:color="auto"/>
              <w:left w:val="outset" w:sz="6" w:space="0" w:color="auto"/>
              <w:bottom w:val="outset" w:sz="6" w:space="0" w:color="auto"/>
              <w:right w:val="outset" w:sz="6" w:space="0" w:color="auto"/>
            </w:tcBorders>
            <w:vAlign w:val="center"/>
          </w:tcPr>
          <w:p w14:paraId="4B645979" w14:textId="74340183" w:rsidR="00CB09B9" w:rsidRPr="00645C5F" w:rsidRDefault="0049277A" w:rsidP="002E47C6">
            <w:pPr>
              <w:spacing w:after="0" w:line="240" w:lineRule="auto"/>
              <w:rPr>
                <w:rFonts w:ascii="Times New Roman" w:eastAsia="Times New Roman" w:hAnsi="Times New Roman" w:cs="Times New Roman"/>
                <w:iCs/>
                <w:sz w:val="18"/>
                <w:szCs w:val="18"/>
                <w:lang w:eastAsia="lv-LV"/>
              </w:rPr>
            </w:pPr>
            <w:r w:rsidRPr="00645C5F">
              <w:rPr>
                <w:rFonts w:ascii="Times New Roman" w:eastAsia="Times New Roman" w:hAnsi="Times New Roman" w:cs="Times New Roman"/>
                <w:iCs/>
                <w:sz w:val="18"/>
                <w:szCs w:val="18"/>
                <w:lang w:eastAsia="lv-LV"/>
              </w:rPr>
              <w:t>195 118</w:t>
            </w:r>
          </w:p>
        </w:tc>
        <w:tc>
          <w:tcPr>
            <w:tcW w:w="572" w:type="pct"/>
            <w:tcBorders>
              <w:top w:val="outset" w:sz="6" w:space="0" w:color="auto"/>
              <w:left w:val="outset" w:sz="6" w:space="0" w:color="auto"/>
              <w:bottom w:val="outset" w:sz="6" w:space="0" w:color="auto"/>
              <w:right w:val="outset" w:sz="6" w:space="0" w:color="auto"/>
            </w:tcBorders>
            <w:vAlign w:val="center"/>
            <w:hideMark/>
          </w:tcPr>
          <w:p w14:paraId="63C949C0" w14:textId="7FFDD810" w:rsidR="00CB09B9" w:rsidRPr="00645C5F" w:rsidRDefault="007D7875" w:rsidP="007D7875">
            <w:pPr>
              <w:spacing w:after="0" w:line="240" w:lineRule="auto"/>
              <w:jc w:val="center"/>
              <w:rPr>
                <w:rFonts w:ascii="Times New Roman" w:eastAsia="Times New Roman" w:hAnsi="Times New Roman" w:cs="Times New Roman"/>
                <w:iCs/>
                <w:sz w:val="18"/>
                <w:szCs w:val="18"/>
                <w:lang w:eastAsia="lv-LV"/>
              </w:rPr>
            </w:pPr>
            <w:r w:rsidRPr="00645C5F">
              <w:rPr>
                <w:rFonts w:ascii="Times New Roman" w:eastAsia="Times New Roman" w:hAnsi="Times New Roman" w:cs="Times New Roman"/>
                <w:iCs/>
                <w:sz w:val="18"/>
                <w:szCs w:val="18"/>
                <w:lang w:eastAsia="lv-LV"/>
              </w:rPr>
              <w:t>-699,33</w:t>
            </w:r>
          </w:p>
        </w:tc>
        <w:tc>
          <w:tcPr>
            <w:tcW w:w="500" w:type="pct"/>
            <w:tcBorders>
              <w:top w:val="outset" w:sz="6" w:space="0" w:color="auto"/>
              <w:left w:val="outset" w:sz="6" w:space="0" w:color="auto"/>
              <w:bottom w:val="outset" w:sz="6" w:space="0" w:color="auto"/>
              <w:right w:val="outset" w:sz="6" w:space="0" w:color="auto"/>
            </w:tcBorders>
            <w:vAlign w:val="center"/>
          </w:tcPr>
          <w:p w14:paraId="3C1F3FF0" w14:textId="2F499A63" w:rsidR="00CB09B9" w:rsidRPr="00645C5F" w:rsidRDefault="0049277A" w:rsidP="002E47C6">
            <w:pPr>
              <w:spacing w:after="0" w:line="240" w:lineRule="auto"/>
              <w:rPr>
                <w:rFonts w:ascii="Times New Roman" w:eastAsia="Times New Roman" w:hAnsi="Times New Roman" w:cs="Times New Roman"/>
                <w:iCs/>
                <w:sz w:val="18"/>
                <w:szCs w:val="18"/>
                <w:lang w:eastAsia="lv-LV"/>
              </w:rPr>
            </w:pPr>
            <w:r w:rsidRPr="00645C5F">
              <w:rPr>
                <w:rFonts w:ascii="Times New Roman" w:eastAsia="Times New Roman" w:hAnsi="Times New Roman" w:cs="Times New Roman"/>
                <w:iCs/>
                <w:sz w:val="18"/>
                <w:szCs w:val="18"/>
                <w:lang w:eastAsia="lv-LV"/>
              </w:rPr>
              <w:t>195 118</w:t>
            </w:r>
          </w:p>
        </w:tc>
        <w:tc>
          <w:tcPr>
            <w:tcW w:w="570" w:type="pct"/>
            <w:tcBorders>
              <w:top w:val="outset" w:sz="6" w:space="0" w:color="auto"/>
              <w:left w:val="outset" w:sz="6" w:space="0" w:color="auto"/>
              <w:bottom w:val="outset" w:sz="6" w:space="0" w:color="auto"/>
              <w:right w:val="outset" w:sz="6" w:space="0" w:color="auto"/>
            </w:tcBorders>
            <w:vAlign w:val="center"/>
            <w:hideMark/>
          </w:tcPr>
          <w:p w14:paraId="15E4B754"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 </w:t>
            </w:r>
          </w:p>
        </w:tc>
        <w:tc>
          <w:tcPr>
            <w:tcW w:w="1012" w:type="pct"/>
            <w:gridSpan w:val="2"/>
            <w:tcBorders>
              <w:top w:val="outset" w:sz="6" w:space="0" w:color="auto"/>
              <w:left w:val="outset" w:sz="6" w:space="0" w:color="auto"/>
              <w:bottom w:val="outset" w:sz="6" w:space="0" w:color="auto"/>
              <w:right w:val="outset" w:sz="6" w:space="0" w:color="auto"/>
            </w:tcBorders>
            <w:vAlign w:val="center"/>
            <w:hideMark/>
          </w:tcPr>
          <w:p w14:paraId="0259BC87" w14:textId="50DA73D7" w:rsidR="00CB09B9" w:rsidRPr="00645C5F" w:rsidRDefault="00CB09B9" w:rsidP="002E47C6">
            <w:pPr>
              <w:spacing w:after="0" w:line="240" w:lineRule="auto"/>
              <w:rPr>
                <w:rFonts w:ascii="Times New Roman" w:eastAsia="Times New Roman" w:hAnsi="Times New Roman" w:cs="Times New Roman"/>
                <w:iCs/>
                <w:sz w:val="18"/>
                <w:szCs w:val="18"/>
                <w:lang w:eastAsia="lv-LV"/>
              </w:rPr>
            </w:pPr>
            <w:r w:rsidRPr="00645C5F">
              <w:rPr>
                <w:rFonts w:ascii="Times New Roman" w:eastAsia="Times New Roman" w:hAnsi="Times New Roman" w:cs="Times New Roman"/>
                <w:iCs/>
                <w:sz w:val="18"/>
                <w:szCs w:val="18"/>
                <w:lang w:eastAsia="lv-LV"/>
              </w:rPr>
              <w:t> </w:t>
            </w:r>
            <w:r w:rsidR="0049277A" w:rsidRPr="00645C5F">
              <w:rPr>
                <w:rFonts w:ascii="Times New Roman" w:eastAsia="Times New Roman" w:hAnsi="Times New Roman" w:cs="Times New Roman"/>
                <w:iCs/>
                <w:sz w:val="18"/>
                <w:szCs w:val="18"/>
                <w:lang w:eastAsia="lv-LV"/>
              </w:rPr>
              <w:t>0</w:t>
            </w:r>
          </w:p>
        </w:tc>
      </w:tr>
      <w:tr w:rsidR="00D36059" w:rsidRPr="00645C5F" w14:paraId="5552DC2D" w14:textId="77777777" w:rsidTr="00D36059">
        <w:trPr>
          <w:tblCellSpacing w:w="15" w:type="dxa"/>
        </w:trPr>
        <w:tc>
          <w:tcPr>
            <w:tcW w:w="668" w:type="pct"/>
            <w:tcBorders>
              <w:top w:val="outset" w:sz="6" w:space="0" w:color="auto"/>
              <w:left w:val="outset" w:sz="6" w:space="0" w:color="auto"/>
              <w:bottom w:val="outset" w:sz="6" w:space="0" w:color="auto"/>
              <w:right w:val="outset" w:sz="6" w:space="0" w:color="auto"/>
            </w:tcBorders>
            <w:hideMark/>
          </w:tcPr>
          <w:p w14:paraId="49F9B525"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1.2. valsts speciālais budžets</w:t>
            </w:r>
          </w:p>
        </w:tc>
        <w:tc>
          <w:tcPr>
            <w:tcW w:w="494" w:type="pct"/>
            <w:tcBorders>
              <w:top w:val="outset" w:sz="6" w:space="0" w:color="auto"/>
              <w:left w:val="outset" w:sz="6" w:space="0" w:color="auto"/>
              <w:bottom w:val="outset" w:sz="6" w:space="0" w:color="auto"/>
              <w:right w:val="outset" w:sz="6" w:space="0" w:color="auto"/>
            </w:tcBorders>
            <w:vAlign w:val="center"/>
            <w:hideMark/>
          </w:tcPr>
          <w:p w14:paraId="0BA71E0B"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 </w:t>
            </w:r>
          </w:p>
        </w:tc>
        <w:tc>
          <w:tcPr>
            <w:tcW w:w="575" w:type="pct"/>
            <w:tcBorders>
              <w:top w:val="outset" w:sz="6" w:space="0" w:color="auto"/>
              <w:left w:val="outset" w:sz="6" w:space="0" w:color="auto"/>
              <w:bottom w:val="outset" w:sz="6" w:space="0" w:color="auto"/>
              <w:right w:val="outset" w:sz="6" w:space="0" w:color="auto"/>
            </w:tcBorders>
            <w:vAlign w:val="center"/>
            <w:hideMark/>
          </w:tcPr>
          <w:p w14:paraId="2538380E"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tcPr>
          <w:p w14:paraId="78CB436E"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28E6C4B4"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 </w:t>
            </w:r>
          </w:p>
        </w:tc>
        <w:tc>
          <w:tcPr>
            <w:tcW w:w="500" w:type="pct"/>
            <w:tcBorders>
              <w:top w:val="outset" w:sz="6" w:space="0" w:color="auto"/>
              <w:left w:val="outset" w:sz="6" w:space="0" w:color="auto"/>
              <w:bottom w:val="outset" w:sz="6" w:space="0" w:color="auto"/>
              <w:right w:val="outset" w:sz="6" w:space="0" w:color="auto"/>
            </w:tcBorders>
            <w:vAlign w:val="center"/>
          </w:tcPr>
          <w:p w14:paraId="3814FD0A"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183C45B2"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 </w:t>
            </w:r>
          </w:p>
        </w:tc>
        <w:tc>
          <w:tcPr>
            <w:tcW w:w="1012" w:type="pct"/>
            <w:gridSpan w:val="2"/>
            <w:tcBorders>
              <w:top w:val="outset" w:sz="6" w:space="0" w:color="auto"/>
              <w:left w:val="outset" w:sz="6" w:space="0" w:color="auto"/>
              <w:bottom w:val="outset" w:sz="6" w:space="0" w:color="auto"/>
              <w:right w:val="outset" w:sz="6" w:space="0" w:color="auto"/>
            </w:tcBorders>
            <w:vAlign w:val="center"/>
            <w:hideMark/>
          </w:tcPr>
          <w:p w14:paraId="5B4A8811"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 </w:t>
            </w:r>
          </w:p>
        </w:tc>
      </w:tr>
      <w:tr w:rsidR="00D36059" w:rsidRPr="00645C5F" w14:paraId="3C51427B" w14:textId="77777777" w:rsidTr="00D36059">
        <w:trPr>
          <w:tblCellSpacing w:w="15" w:type="dxa"/>
        </w:trPr>
        <w:tc>
          <w:tcPr>
            <w:tcW w:w="668" w:type="pct"/>
            <w:tcBorders>
              <w:top w:val="outset" w:sz="6" w:space="0" w:color="auto"/>
              <w:left w:val="outset" w:sz="6" w:space="0" w:color="auto"/>
              <w:bottom w:val="outset" w:sz="6" w:space="0" w:color="auto"/>
              <w:right w:val="outset" w:sz="6" w:space="0" w:color="auto"/>
            </w:tcBorders>
            <w:hideMark/>
          </w:tcPr>
          <w:p w14:paraId="66D588AE"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1.3. pašvaldību budžets</w:t>
            </w:r>
          </w:p>
        </w:tc>
        <w:tc>
          <w:tcPr>
            <w:tcW w:w="494" w:type="pct"/>
            <w:tcBorders>
              <w:top w:val="outset" w:sz="6" w:space="0" w:color="auto"/>
              <w:left w:val="outset" w:sz="6" w:space="0" w:color="auto"/>
              <w:bottom w:val="outset" w:sz="6" w:space="0" w:color="auto"/>
              <w:right w:val="outset" w:sz="6" w:space="0" w:color="auto"/>
            </w:tcBorders>
            <w:vAlign w:val="center"/>
            <w:hideMark/>
          </w:tcPr>
          <w:p w14:paraId="28E96F5A"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 </w:t>
            </w:r>
          </w:p>
        </w:tc>
        <w:tc>
          <w:tcPr>
            <w:tcW w:w="575" w:type="pct"/>
            <w:tcBorders>
              <w:top w:val="outset" w:sz="6" w:space="0" w:color="auto"/>
              <w:left w:val="outset" w:sz="6" w:space="0" w:color="auto"/>
              <w:bottom w:val="outset" w:sz="6" w:space="0" w:color="auto"/>
              <w:right w:val="outset" w:sz="6" w:space="0" w:color="auto"/>
            </w:tcBorders>
            <w:vAlign w:val="center"/>
            <w:hideMark/>
          </w:tcPr>
          <w:p w14:paraId="1E619801"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tcPr>
          <w:p w14:paraId="21111CB5"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28870407"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 </w:t>
            </w:r>
          </w:p>
        </w:tc>
        <w:tc>
          <w:tcPr>
            <w:tcW w:w="500" w:type="pct"/>
            <w:tcBorders>
              <w:top w:val="outset" w:sz="6" w:space="0" w:color="auto"/>
              <w:left w:val="outset" w:sz="6" w:space="0" w:color="auto"/>
              <w:bottom w:val="outset" w:sz="6" w:space="0" w:color="auto"/>
              <w:right w:val="outset" w:sz="6" w:space="0" w:color="auto"/>
            </w:tcBorders>
            <w:vAlign w:val="center"/>
          </w:tcPr>
          <w:p w14:paraId="5EB243D4"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77E0FA33"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 </w:t>
            </w:r>
          </w:p>
        </w:tc>
        <w:tc>
          <w:tcPr>
            <w:tcW w:w="1012" w:type="pct"/>
            <w:gridSpan w:val="2"/>
            <w:tcBorders>
              <w:top w:val="outset" w:sz="6" w:space="0" w:color="auto"/>
              <w:left w:val="outset" w:sz="6" w:space="0" w:color="auto"/>
              <w:bottom w:val="outset" w:sz="6" w:space="0" w:color="auto"/>
              <w:right w:val="outset" w:sz="6" w:space="0" w:color="auto"/>
            </w:tcBorders>
            <w:vAlign w:val="center"/>
            <w:hideMark/>
          </w:tcPr>
          <w:p w14:paraId="0CEB5CBC"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 </w:t>
            </w:r>
          </w:p>
        </w:tc>
      </w:tr>
      <w:tr w:rsidR="00D36059" w:rsidRPr="00645C5F" w14:paraId="3458D968" w14:textId="77777777" w:rsidTr="00D36059">
        <w:trPr>
          <w:tblCellSpacing w:w="15" w:type="dxa"/>
        </w:trPr>
        <w:tc>
          <w:tcPr>
            <w:tcW w:w="668" w:type="pct"/>
            <w:tcBorders>
              <w:top w:val="outset" w:sz="6" w:space="0" w:color="auto"/>
              <w:left w:val="outset" w:sz="6" w:space="0" w:color="auto"/>
              <w:bottom w:val="outset" w:sz="6" w:space="0" w:color="auto"/>
              <w:right w:val="outset" w:sz="6" w:space="0" w:color="auto"/>
            </w:tcBorders>
            <w:hideMark/>
          </w:tcPr>
          <w:p w14:paraId="14704CA4" w14:textId="77777777" w:rsidR="00CB09B9" w:rsidRPr="00645C5F" w:rsidRDefault="00CB09B9" w:rsidP="002E47C6">
            <w:pPr>
              <w:spacing w:after="0" w:line="240" w:lineRule="auto"/>
              <w:rPr>
                <w:rFonts w:ascii="Times New Roman" w:eastAsia="Times New Roman" w:hAnsi="Times New Roman" w:cs="Times New Roman"/>
                <w:b/>
                <w:iCs/>
                <w:sz w:val="24"/>
                <w:szCs w:val="24"/>
                <w:lang w:eastAsia="lv-LV"/>
              </w:rPr>
            </w:pPr>
            <w:r w:rsidRPr="00645C5F">
              <w:rPr>
                <w:rFonts w:ascii="Times New Roman" w:eastAsia="Times New Roman" w:hAnsi="Times New Roman" w:cs="Times New Roman"/>
                <w:b/>
                <w:iCs/>
                <w:sz w:val="24"/>
                <w:szCs w:val="24"/>
                <w:lang w:eastAsia="lv-LV"/>
              </w:rPr>
              <w:t>2. Budžeta izdevumi</w:t>
            </w:r>
          </w:p>
        </w:tc>
        <w:tc>
          <w:tcPr>
            <w:tcW w:w="494" w:type="pct"/>
            <w:tcBorders>
              <w:top w:val="outset" w:sz="6" w:space="0" w:color="auto"/>
              <w:left w:val="outset" w:sz="6" w:space="0" w:color="auto"/>
              <w:bottom w:val="outset" w:sz="6" w:space="0" w:color="auto"/>
              <w:right w:val="outset" w:sz="6" w:space="0" w:color="auto"/>
            </w:tcBorders>
            <w:vAlign w:val="center"/>
            <w:hideMark/>
          </w:tcPr>
          <w:p w14:paraId="3338EEE5" w14:textId="77777777" w:rsidR="00CB09B9" w:rsidRPr="00645C5F" w:rsidRDefault="00CB09B9" w:rsidP="002E47C6">
            <w:pPr>
              <w:spacing w:after="0" w:line="240" w:lineRule="auto"/>
              <w:rPr>
                <w:rFonts w:ascii="Times New Roman" w:eastAsia="Times New Roman" w:hAnsi="Times New Roman" w:cs="Times New Roman"/>
                <w:b/>
                <w:iCs/>
                <w:sz w:val="18"/>
                <w:szCs w:val="18"/>
                <w:lang w:eastAsia="lv-LV"/>
              </w:rPr>
            </w:pPr>
            <w:r w:rsidRPr="00645C5F">
              <w:rPr>
                <w:rFonts w:ascii="Times New Roman" w:eastAsia="Times New Roman" w:hAnsi="Times New Roman" w:cs="Times New Roman"/>
                <w:b/>
                <w:iCs/>
                <w:sz w:val="18"/>
                <w:szCs w:val="1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tcPr>
          <w:p w14:paraId="2A318D53" w14:textId="77ACB4B3" w:rsidR="00CB09B9" w:rsidRPr="00645C5F" w:rsidRDefault="00CB09B9" w:rsidP="002E47C6">
            <w:pPr>
              <w:spacing w:after="0" w:line="240" w:lineRule="auto"/>
              <w:jc w:val="center"/>
              <w:rPr>
                <w:rFonts w:ascii="Times New Roman" w:eastAsia="Times New Roman" w:hAnsi="Times New Roman" w:cs="Times New Roman"/>
                <w:b/>
                <w:iCs/>
                <w:sz w:val="18"/>
                <w:szCs w:val="18"/>
                <w:lang w:eastAsia="lv-LV"/>
              </w:rPr>
            </w:pPr>
          </w:p>
        </w:tc>
        <w:tc>
          <w:tcPr>
            <w:tcW w:w="462" w:type="pct"/>
            <w:tcBorders>
              <w:top w:val="outset" w:sz="6" w:space="0" w:color="auto"/>
              <w:left w:val="outset" w:sz="6" w:space="0" w:color="auto"/>
              <w:bottom w:val="outset" w:sz="6" w:space="0" w:color="auto"/>
              <w:right w:val="outset" w:sz="6" w:space="0" w:color="auto"/>
            </w:tcBorders>
            <w:vAlign w:val="center"/>
          </w:tcPr>
          <w:p w14:paraId="4A078397" w14:textId="77777777" w:rsidR="00CB09B9" w:rsidRPr="00645C5F" w:rsidRDefault="00CB09B9" w:rsidP="002E47C6">
            <w:pPr>
              <w:spacing w:after="0" w:line="240" w:lineRule="auto"/>
              <w:rPr>
                <w:rFonts w:ascii="Times New Roman" w:eastAsia="Times New Roman" w:hAnsi="Times New Roman" w:cs="Times New Roman"/>
                <w:b/>
                <w:iCs/>
                <w:sz w:val="18"/>
                <w:szCs w:val="18"/>
                <w:lang w:eastAsia="lv-LV"/>
              </w:rPr>
            </w:pPr>
            <w:r w:rsidRPr="00645C5F">
              <w:rPr>
                <w:rFonts w:ascii="Times New Roman" w:eastAsia="Times New Roman" w:hAnsi="Times New Roman" w:cs="Times New Roman"/>
                <w:b/>
                <w:iCs/>
                <w:sz w:val="18"/>
                <w:szCs w:val="18"/>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tcPr>
          <w:p w14:paraId="1D501AEA" w14:textId="77777777" w:rsidR="00CB09B9" w:rsidRPr="00645C5F" w:rsidRDefault="00CB09B9" w:rsidP="002E47C6">
            <w:pPr>
              <w:spacing w:after="0" w:line="240" w:lineRule="auto"/>
              <w:jc w:val="center"/>
              <w:rPr>
                <w:rFonts w:ascii="Times New Roman" w:eastAsia="Times New Roman" w:hAnsi="Times New Roman" w:cs="Times New Roman"/>
                <w:b/>
                <w:iCs/>
                <w:sz w:val="18"/>
                <w:szCs w:val="18"/>
                <w:lang w:eastAsia="lv-LV"/>
              </w:rPr>
            </w:pPr>
          </w:p>
        </w:tc>
        <w:tc>
          <w:tcPr>
            <w:tcW w:w="500" w:type="pct"/>
            <w:tcBorders>
              <w:top w:val="outset" w:sz="6" w:space="0" w:color="auto"/>
              <w:left w:val="outset" w:sz="6" w:space="0" w:color="auto"/>
              <w:bottom w:val="outset" w:sz="6" w:space="0" w:color="auto"/>
              <w:right w:val="outset" w:sz="6" w:space="0" w:color="auto"/>
            </w:tcBorders>
            <w:vAlign w:val="center"/>
          </w:tcPr>
          <w:p w14:paraId="25253B6E" w14:textId="77777777" w:rsidR="00CB09B9" w:rsidRPr="00645C5F" w:rsidRDefault="00CB09B9" w:rsidP="002E47C6">
            <w:pPr>
              <w:spacing w:after="0" w:line="240" w:lineRule="auto"/>
              <w:rPr>
                <w:rFonts w:ascii="Times New Roman" w:eastAsia="Times New Roman" w:hAnsi="Times New Roman" w:cs="Times New Roman"/>
                <w:b/>
                <w:iCs/>
                <w:sz w:val="18"/>
                <w:szCs w:val="18"/>
                <w:lang w:eastAsia="lv-LV"/>
              </w:rPr>
            </w:pPr>
            <w:r w:rsidRPr="00645C5F">
              <w:rPr>
                <w:rFonts w:ascii="Times New Roman" w:eastAsia="Times New Roman" w:hAnsi="Times New Roman" w:cs="Times New Roman"/>
                <w:b/>
                <w:iCs/>
                <w:sz w:val="18"/>
                <w:szCs w:val="18"/>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tcPr>
          <w:p w14:paraId="2065BC2F" w14:textId="77777777" w:rsidR="00CB09B9" w:rsidRPr="00645C5F" w:rsidRDefault="00CB09B9" w:rsidP="002E47C6">
            <w:pPr>
              <w:spacing w:after="0" w:line="240" w:lineRule="auto"/>
              <w:jc w:val="center"/>
              <w:rPr>
                <w:rFonts w:ascii="Times New Roman" w:eastAsia="Times New Roman" w:hAnsi="Times New Roman" w:cs="Times New Roman"/>
                <w:b/>
                <w:iCs/>
                <w:sz w:val="18"/>
                <w:szCs w:val="18"/>
                <w:lang w:eastAsia="lv-LV"/>
              </w:rPr>
            </w:pPr>
          </w:p>
        </w:tc>
        <w:tc>
          <w:tcPr>
            <w:tcW w:w="1012" w:type="pct"/>
            <w:gridSpan w:val="2"/>
            <w:tcBorders>
              <w:top w:val="outset" w:sz="6" w:space="0" w:color="auto"/>
              <w:left w:val="outset" w:sz="6" w:space="0" w:color="auto"/>
              <w:bottom w:val="outset" w:sz="6" w:space="0" w:color="auto"/>
              <w:right w:val="outset" w:sz="6" w:space="0" w:color="auto"/>
            </w:tcBorders>
            <w:vAlign w:val="center"/>
            <w:hideMark/>
          </w:tcPr>
          <w:p w14:paraId="79F12D04" w14:textId="77777777" w:rsidR="00CB09B9" w:rsidRPr="00645C5F" w:rsidRDefault="00CB09B9" w:rsidP="002E47C6">
            <w:pPr>
              <w:spacing w:after="0" w:line="240" w:lineRule="auto"/>
              <w:jc w:val="center"/>
              <w:rPr>
                <w:rFonts w:ascii="Times New Roman" w:eastAsia="Times New Roman" w:hAnsi="Times New Roman" w:cs="Times New Roman"/>
                <w:b/>
                <w:iCs/>
                <w:sz w:val="18"/>
                <w:szCs w:val="18"/>
                <w:lang w:eastAsia="lv-LV"/>
              </w:rPr>
            </w:pPr>
          </w:p>
        </w:tc>
      </w:tr>
      <w:tr w:rsidR="00D36059" w:rsidRPr="00645C5F" w14:paraId="39C70405" w14:textId="77777777" w:rsidTr="00D36059">
        <w:trPr>
          <w:tblCellSpacing w:w="15" w:type="dxa"/>
        </w:trPr>
        <w:tc>
          <w:tcPr>
            <w:tcW w:w="668" w:type="pct"/>
            <w:tcBorders>
              <w:top w:val="outset" w:sz="6" w:space="0" w:color="auto"/>
              <w:left w:val="outset" w:sz="6" w:space="0" w:color="auto"/>
              <w:bottom w:val="outset" w:sz="6" w:space="0" w:color="auto"/>
              <w:right w:val="outset" w:sz="6" w:space="0" w:color="auto"/>
            </w:tcBorders>
            <w:hideMark/>
          </w:tcPr>
          <w:p w14:paraId="4F99346F"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2.1. valsts pamatbudžets</w:t>
            </w:r>
          </w:p>
        </w:tc>
        <w:tc>
          <w:tcPr>
            <w:tcW w:w="494" w:type="pct"/>
            <w:tcBorders>
              <w:top w:val="outset" w:sz="6" w:space="0" w:color="auto"/>
              <w:left w:val="outset" w:sz="6" w:space="0" w:color="auto"/>
              <w:bottom w:val="outset" w:sz="6" w:space="0" w:color="auto"/>
              <w:right w:val="outset" w:sz="6" w:space="0" w:color="auto"/>
            </w:tcBorders>
            <w:vAlign w:val="center"/>
            <w:hideMark/>
          </w:tcPr>
          <w:p w14:paraId="437D755E"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 </w:t>
            </w:r>
          </w:p>
        </w:tc>
        <w:tc>
          <w:tcPr>
            <w:tcW w:w="575" w:type="pct"/>
            <w:tcBorders>
              <w:top w:val="outset" w:sz="6" w:space="0" w:color="auto"/>
              <w:left w:val="outset" w:sz="6" w:space="0" w:color="auto"/>
              <w:bottom w:val="outset" w:sz="6" w:space="0" w:color="auto"/>
              <w:right w:val="outset" w:sz="6" w:space="0" w:color="auto"/>
            </w:tcBorders>
            <w:vAlign w:val="center"/>
          </w:tcPr>
          <w:p w14:paraId="3F0C7855"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p>
        </w:tc>
        <w:tc>
          <w:tcPr>
            <w:tcW w:w="462" w:type="pct"/>
            <w:tcBorders>
              <w:top w:val="outset" w:sz="6" w:space="0" w:color="auto"/>
              <w:left w:val="outset" w:sz="6" w:space="0" w:color="auto"/>
              <w:bottom w:val="outset" w:sz="6" w:space="0" w:color="auto"/>
              <w:right w:val="outset" w:sz="6" w:space="0" w:color="auto"/>
            </w:tcBorders>
            <w:vAlign w:val="center"/>
          </w:tcPr>
          <w:p w14:paraId="5C711EE8"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tcPr>
          <w:p w14:paraId="7ABB95CD"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p>
        </w:tc>
        <w:tc>
          <w:tcPr>
            <w:tcW w:w="500" w:type="pct"/>
            <w:tcBorders>
              <w:top w:val="outset" w:sz="6" w:space="0" w:color="auto"/>
              <w:left w:val="outset" w:sz="6" w:space="0" w:color="auto"/>
              <w:bottom w:val="outset" w:sz="6" w:space="0" w:color="auto"/>
              <w:right w:val="outset" w:sz="6" w:space="0" w:color="auto"/>
            </w:tcBorders>
            <w:vAlign w:val="center"/>
          </w:tcPr>
          <w:p w14:paraId="096ECC6B"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7AA4CA8F"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p>
        </w:tc>
        <w:tc>
          <w:tcPr>
            <w:tcW w:w="1012" w:type="pct"/>
            <w:gridSpan w:val="2"/>
            <w:tcBorders>
              <w:top w:val="outset" w:sz="6" w:space="0" w:color="auto"/>
              <w:left w:val="outset" w:sz="6" w:space="0" w:color="auto"/>
              <w:bottom w:val="outset" w:sz="6" w:space="0" w:color="auto"/>
              <w:right w:val="outset" w:sz="6" w:space="0" w:color="auto"/>
            </w:tcBorders>
            <w:vAlign w:val="center"/>
            <w:hideMark/>
          </w:tcPr>
          <w:p w14:paraId="1EFBB7CD"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 </w:t>
            </w:r>
          </w:p>
        </w:tc>
      </w:tr>
      <w:tr w:rsidR="00D36059" w:rsidRPr="00645C5F" w14:paraId="13422622" w14:textId="77777777" w:rsidTr="00D36059">
        <w:trPr>
          <w:tblCellSpacing w:w="15" w:type="dxa"/>
        </w:trPr>
        <w:tc>
          <w:tcPr>
            <w:tcW w:w="668" w:type="pct"/>
            <w:tcBorders>
              <w:top w:val="outset" w:sz="6" w:space="0" w:color="auto"/>
              <w:left w:val="outset" w:sz="6" w:space="0" w:color="auto"/>
              <w:bottom w:val="outset" w:sz="6" w:space="0" w:color="auto"/>
              <w:right w:val="outset" w:sz="6" w:space="0" w:color="auto"/>
            </w:tcBorders>
            <w:hideMark/>
          </w:tcPr>
          <w:p w14:paraId="28CD42A1"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2.2. valsts speciālais budžets</w:t>
            </w:r>
          </w:p>
        </w:tc>
        <w:tc>
          <w:tcPr>
            <w:tcW w:w="494" w:type="pct"/>
            <w:tcBorders>
              <w:top w:val="outset" w:sz="6" w:space="0" w:color="auto"/>
              <w:left w:val="outset" w:sz="6" w:space="0" w:color="auto"/>
              <w:bottom w:val="outset" w:sz="6" w:space="0" w:color="auto"/>
              <w:right w:val="outset" w:sz="6" w:space="0" w:color="auto"/>
            </w:tcBorders>
            <w:vAlign w:val="center"/>
            <w:hideMark/>
          </w:tcPr>
          <w:p w14:paraId="6581D262"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 </w:t>
            </w:r>
          </w:p>
        </w:tc>
        <w:tc>
          <w:tcPr>
            <w:tcW w:w="575" w:type="pct"/>
            <w:tcBorders>
              <w:top w:val="outset" w:sz="6" w:space="0" w:color="auto"/>
              <w:left w:val="outset" w:sz="6" w:space="0" w:color="auto"/>
              <w:bottom w:val="outset" w:sz="6" w:space="0" w:color="auto"/>
              <w:right w:val="outset" w:sz="6" w:space="0" w:color="auto"/>
            </w:tcBorders>
            <w:vAlign w:val="center"/>
          </w:tcPr>
          <w:p w14:paraId="4070E6C6"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p>
        </w:tc>
        <w:tc>
          <w:tcPr>
            <w:tcW w:w="462" w:type="pct"/>
            <w:tcBorders>
              <w:top w:val="outset" w:sz="6" w:space="0" w:color="auto"/>
              <w:left w:val="outset" w:sz="6" w:space="0" w:color="auto"/>
              <w:bottom w:val="outset" w:sz="6" w:space="0" w:color="auto"/>
              <w:right w:val="outset" w:sz="6" w:space="0" w:color="auto"/>
            </w:tcBorders>
            <w:vAlign w:val="center"/>
          </w:tcPr>
          <w:p w14:paraId="4652065B"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tcPr>
          <w:p w14:paraId="53CAB563"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p>
        </w:tc>
        <w:tc>
          <w:tcPr>
            <w:tcW w:w="500" w:type="pct"/>
            <w:tcBorders>
              <w:top w:val="outset" w:sz="6" w:space="0" w:color="auto"/>
              <w:left w:val="outset" w:sz="6" w:space="0" w:color="auto"/>
              <w:bottom w:val="outset" w:sz="6" w:space="0" w:color="auto"/>
              <w:right w:val="outset" w:sz="6" w:space="0" w:color="auto"/>
            </w:tcBorders>
            <w:vAlign w:val="center"/>
          </w:tcPr>
          <w:p w14:paraId="229D791F"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0E3C7228"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p>
        </w:tc>
        <w:tc>
          <w:tcPr>
            <w:tcW w:w="1012" w:type="pct"/>
            <w:gridSpan w:val="2"/>
            <w:tcBorders>
              <w:top w:val="outset" w:sz="6" w:space="0" w:color="auto"/>
              <w:left w:val="outset" w:sz="6" w:space="0" w:color="auto"/>
              <w:bottom w:val="outset" w:sz="6" w:space="0" w:color="auto"/>
              <w:right w:val="outset" w:sz="6" w:space="0" w:color="auto"/>
            </w:tcBorders>
            <w:vAlign w:val="center"/>
            <w:hideMark/>
          </w:tcPr>
          <w:p w14:paraId="3FF41E7B"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 </w:t>
            </w:r>
          </w:p>
        </w:tc>
      </w:tr>
      <w:tr w:rsidR="00D36059" w:rsidRPr="00645C5F" w14:paraId="467CC12F" w14:textId="77777777" w:rsidTr="00D36059">
        <w:trPr>
          <w:tblCellSpacing w:w="15" w:type="dxa"/>
        </w:trPr>
        <w:tc>
          <w:tcPr>
            <w:tcW w:w="668" w:type="pct"/>
            <w:tcBorders>
              <w:top w:val="outset" w:sz="6" w:space="0" w:color="auto"/>
              <w:left w:val="outset" w:sz="6" w:space="0" w:color="auto"/>
              <w:bottom w:val="outset" w:sz="6" w:space="0" w:color="auto"/>
              <w:right w:val="outset" w:sz="6" w:space="0" w:color="auto"/>
            </w:tcBorders>
            <w:hideMark/>
          </w:tcPr>
          <w:p w14:paraId="6BBDAAD5"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2.3. pašvaldību budžets</w:t>
            </w:r>
          </w:p>
        </w:tc>
        <w:tc>
          <w:tcPr>
            <w:tcW w:w="494" w:type="pct"/>
            <w:tcBorders>
              <w:top w:val="outset" w:sz="6" w:space="0" w:color="auto"/>
              <w:left w:val="outset" w:sz="6" w:space="0" w:color="auto"/>
              <w:bottom w:val="outset" w:sz="6" w:space="0" w:color="auto"/>
              <w:right w:val="outset" w:sz="6" w:space="0" w:color="auto"/>
            </w:tcBorders>
            <w:vAlign w:val="center"/>
            <w:hideMark/>
          </w:tcPr>
          <w:p w14:paraId="664FAE54"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 </w:t>
            </w:r>
          </w:p>
        </w:tc>
        <w:tc>
          <w:tcPr>
            <w:tcW w:w="575" w:type="pct"/>
            <w:tcBorders>
              <w:top w:val="outset" w:sz="6" w:space="0" w:color="auto"/>
              <w:left w:val="outset" w:sz="6" w:space="0" w:color="auto"/>
              <w:bottom w:val="outset" w:sz="6" w:space="0" w:color="auto"/>
              <w:right w:val="outset" w:sz="6" w:space="0" w:color="auto"/>
            </w:tcBorders>
            <w:vAlign w:val="center"/>
          </w:tcPr>
          <w:p w14:paraId="19DFBD96"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p>
          <w:p w14:paraId="3778DAA4" w14:textId="77777777" w:rsidR="00CB09B9" w:rsidRPr="00645C5F" w:rsidRDefault="00CB09B9" w:rsidP="002E47C6">
            <w:pPr>
              <w:rPr>
                <w:rFonts w:ascii="Times New Roman" w:eastAsia="Times New Roman" w:hAnsi="Times New Roman" w:cs="Times New Roman"/>
                <w:sz w:val="24"/>
                <w:szCs w:val="24"/>
                <w:lang w:eastAsia="lv-LV"/>
              </w:rPr>
            </w:pPr>
          </w:p>
          <w:p w14:paraId="3268936E" w14:textId="77777777" w:rsidR="00CB09B9" w:rsidRPr="00645C5F" w:rsidRDefault="00CB09B9" w:rsidP="002E47C6">
            <w:pPr>
              <w:rPr>
                <w:rFonts w:ascii="Times New Roman" w:eastAsia="Times New Roman" w:hAnsi="Times New Roman" w:cs="Times New Roman"/>
                <w:sz w:val="24"/>
                <w:szCs w:val="24"/>
                <w:lang w:eastAsia="lv-LV"/>
              </w:rPr>
            </w:pPr>
          </w:p>
        </w:tc>
        <w:tc>
          <w:tcPr>
            <w:tcW w:w="462" w:type="pct"/>
            <w:tcBorders>
              <w:top w:val="outset" w:sz="6" w:space="0" w:color="auto"/>
              <w:left w:val="outset" w:sz="6" w:space="0" w:color="auto"/>
              <w:bottom w:val="outset" w:sz="6" w:space="0" w:color="auto"/>
              <w:right w:val="outset" w:sz="6" w:space="0" w:color="auto"/>
            </w:tcBorders>
            <w:vAlign w:val="center"/>
          </w:tcPr>
          <w:p w14:paraId="70ECB23B"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tcPr>
          <w:p w14:paraId="437E8861"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p>
        </w:tc>
        <w:tc>
          <w:tcPr>
            <w:tcW w:w="500" w:type="pct"/>
            <w:tcBorders>
              <w:top w:val="outset" w:sz="6" w:space="0" w:color="auto"/>
              <w:left w:val="outset" w:sz="6" w:space="0" w:color="auto"/>
              <w:bottom w:val="outset" w:sz="6" w:space="0" w:color="auto"/>
              <w:right w:val="outset" w:sz="6" w:space="0" w:color="auto"/>
            </w:tcBorders>
            <w:vAlign w:val="center"/>
          </w:tcPr>
          <w:p w14:paraId="6842D052"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663EC6E2"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p>
        </w:tc>
        <w:tc>
          <w:tcPr>
            <w:tcW w:w="1012" w:type="pct"/>
            <w:gridSpan w:val="2"/>
            <w:tcBorders>
              <w:top w:val="outset" w:sz="6" w:space="0" w:color="auto"/>
              <w:left w:val="outset" w:sz="6" w:space="0" w:color="auto"/>
              <w:bottom w:val="outset" w:sz="6" w:space="0" w:color="auto"/>
              <w:right w:val="outset" w:sz="6" w:space="0" w:color="auto"/>
            </w:tcBorders>
            <w:vAlign w:val="center"/>
            <w:hideMark/>
          </w:tcPr>
          <w:p w14:paraId="1160B7ED"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 </w:t>
            </w:r>
          </w:p>
        </w:tc>
      </w:tr>
      <w:tr w:rsidR="00D36059" w:rsidRPr="00645C5F" w14:paraId="49068F28" w14:textId="77777777" w:rsidTr="00D36059">
        <w:trPr>
          <w:tblCellSpacing w:w="15" w:type="dxa"/>
        </w:trPr>
        <w:tc>
          <w:tcPr>
            <w:tcW w:w="668" w:type="pct"/>
            <w:tcBorders>
              <w:top w:val="outset" w:sz="6" w:space="0" w:color="auto"/>
              <w:left w:val="outset" w:sz="6" w:space="0" w:color="auto"/>
              <w:bottom w:val="outset" w:sz="6" w:space="0" w:color="auto"/>
              <w:right w:val="outset" w:sz="6" w:space="0" w:color="auto"/>
            </w:tcBorders>
            <w:hideMark/>
          </w:tcPr>
          <w:p w14:paraId="3B0C09DB"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3. Finansiālā ietekme</w:t>
            </w:r>
          </w:p>
        </w:tc>
        <w:tc>
          <w:tcPr>
            <w:tcW w:w="494" w:type="pct"/>
            <w:tcBorders>
              <w:top w:val="outset" w:sz="6" w:space="0" w:color="auto"/>
              <w:left w:val="outset" w:sz="6" w:space="0" w:color="auto"/>
              <w:bottom w:val="outset" w:sz="6" w:space="0" w:color="auto"/>
              <w:right w:val="outset" w:sz="6" w:space="0" w:color="auto"/>
            </w:tcBorders>
            <w:vAlign w:val="center"/>
            <w:hideMark/>
          </w:tcPr>
          <w:p w14:paraId="57E2F1F8" w14:textId="77777777" w:rsidR="00CB09B9" w:rsidRPr="00645C5F" w:rsidRDefault="00CB09B9" w:rsidP="002E47C6">
            <w:pPr>
              <w:spacing w:after="0" w:line="240" w:lineRule="auto"/>
              <w:jc w:val="center"/>
              <w:rPr>
                <w:rFonts w:ascii="Times New Roman" w:eastAsia="Times New Roman" w:hAnsi="Times New Roman" w:cs="Times New Roman"/>
                <w:b/>
                <w:iCs/>
                <w:sz w:val="18"/>
                <w:szCs w:val="18"/>
                <w:lang w:eastAsia="lv-LV"/>
              </w:rPr>
            </w:pPr>
          </w:p>
        </w:tc>
        <w:tc>
          <w:tcPr>
            <w:tcW w:w="575" w:type="pct"/>
            <w:tcBorders>
              <w:top w:val="outset" w:sz="6" w:space="0" w:color="auto"/>
              <w:left w:val="outset" w:sz="6" w:space="0" w:color="auto"/>
              <w:bottom w:val="outset" w:sz="6" w:space="0" w:color="auto"/>
              <w:right w:val="outset" w:sz="6" w:space="0" w:color="auto"/>
            </w:tcBorders>
            <w:vAlign w:val="center"/>
          </w:tcPr>
          <w:p w14:paraId="3869A803" w14:textId="2B818068" w:rsidR="00CB09B9" w:rsidRPr="00645C5F" w:rsidRDefault="005A76C1" w:rsidP="002E47C6">
            <w:pPr>
              <w:spacing w:after="0" w:line="240" w:lineRule="auto"/>
              <w:jc w:val="center"/>
              <w:rPr>
                <w:rFonts w:ascii="Times New Roman" w:eastAsia="Times New Roman" w:hAnsi="Times New Roman" w:cs="Times New Roman"/>
                <w:b/>
                <w:iCs/>
                <w:sz w:val="18"/>
                <w:szCs w:val="18"/>
                <w:lang w:eastAsia="lv-LV"/>
              </w:rPr>
            </w:pPr>
            <w:r w:rsidRPr="00645C5F">
              <w:rPr>
                <w:rFonts w:ascii="Times New Roman" w:eastAsia="Times New Roman" w:hAnsi="Times New Roman" w:cs="Times New Roman"/>
                <w:b/>
                <w:iCs/>
                <w:sz w:val="18"/>
                <w:szCs w:val="18"/>
                <w:lang w:eastAsia="lv-LV"/>
              </w:rPr>
              <w:t>-868,40</w:t>
            </w:r>
          </w:p>
        </w:tc>
        <w:tc>
          <w:tcPr>
            <w:tcW w:w="462" w:type="pct"/>
            <w:tcBorders>
              <w:top w:val="outset" w:sz="6" w:space="0" w:color="auto"/>
              <w:left w:val="outset" w:sz="6" w:space="0" w:color="auto"/>
              <w:bottom w:val="outset" w:sz="6" w:space="0" w:color="auto"/>
              <w:right w:val="outset" w:sz="6" w:space="0" w:color="auto"/>
            </w:tcBorders>
            <w:vAlign w:val="center"/>
          </w:tcPr>
          <w:p w14:paraId="485F4AAA" w14:textId="77777777" w:rsidR="00CB09B9" w:rsidRPr="00645C5F" w:rsidRDefault="00CB09B9" w:rsidP="002E47C6">
            <w:pPr>
              <w:spacing w:after="0" w:line="240" w:lineRule="auto"/>
              <w:jc w:val="center"/>
              <w:rPr>
                <w:rFonts w:ascii="Times New Roman" w:eastAsia="Times New Roman" w:hAnsi="Times New Roman" w:cs="Times New Roman"/>
                <w:b/>
                <w:iCs/>
                <w:sz w:val="18"/>
                <w:szCs w:val="18"/>
                <w:lang w:eastAsia="lv-LV"/>
              </w:rPr>
            </w:pPr>
          </w:p>
        </w:tc>
        <w:tc>
          <w:tcPr>
            <w:tcW w:w="572" w:type="pct"/>
            <w:tcBorders>
              <w:top w:val="outset" w:sz="6" w:space="0" w:color="auto"/>
              <w:left w:val="outset" w:sz="6" w:space="0" w:color="auto"/>
              <w:bottom w:val="outset" w:sz="6" w:space="0" w:color="auto"/>
              <w:right w:val="outset" w:sz="6" w:space="0" w:color="auto"/>
            </w:tcBorders>
            <w:vAlign w:val="center"/>
          </w:tcPr>
          <w:p w14:paraId="0AC031DB" w14:textId="20FFD352" w:rsidR="00CB09B9" w:rsidRPr="00645C5F" w:rsidRDefault="007D7875" w:rsidP="002E47C6">
            <w:pPr>
              <w:spacing w:after="0" w:line="240" w:lineRule="auto"/>
              <w:jc w:val="center"/>
              <w:rPr>
                <w:rFonts w:ascii="Times New Roman" w:eastAsia="Times New Roman" w:hAnsi="Times New Roman" w:cs="Times New Roman"/>
                <w:b/>
                <w:iCs/>
                <w:sz w:val="18"/>
                <w:szCs w:val="18"/>
                <w:lang w:eastAsia="lv-LV"/>
              </w:rPr>
            </w:pPr>
            <w:r w:rsidRPr="00645C5F">
              <w:rPr>
                <w:rFonts w:ascii="Times New Roman" w:eastAsia="Times New Roman" w:hAnsi="Times New Roman" w:cs="Times New Roman"/>
                <w:b/>
                <w:iCs/>
                <w:sz w:val="18"/>
                <w:szCs w:val="18"/>
                <w:lang w:eastAsia="lv-LV"/>
              </w:rPr>
              <w:t>-699,33</w:t>
            </w:r>
          </w:p>
        </w:tc>
        <w:tc>
          <w:tcPr>
            <w:tcW w:w="500" w:type="pct"/>
            <w:tcBorders>
              <w:top w:val="outset" w:sz="6" w:space="0" w:color="auto"/>
              <w:left w:val="outset" w:sz="6" w:space="0" w:color="auto"/>
              <w:bottom w:val="outset" w:sz="6" w:space="0" w:color="auto"/>
              <w:right w:val="outset" w:sz="6" w:space="0" w:color="auto"/>
            </w:tcBorders>
            <w:vAlign w:val="center"/>
          </w:tcPr>
          <w:p w14:paraId="0A4546B9" w14:textId="77777777" w:rsidR="00CB09B9" w:rsidRPr="00645C5F" w:rsidRDefault="00CB09B9" w:rsidP="002E47C6">
            <w:pPr>
              <w:spacing w:after="0" w:line="240" w:lineRule="auto"/>
              <w:jc w:val="center"/>
              <w:rPr>
                <w:rFonts w:ascii="Times New Roman" w:eastAsia="Times New Roman" w:hAnsi="Times New Roman" w:cs="Times New Roman"/>
                <w:b/>
                <w:iCs/>
                <w:sz w:val="18"/>
                <w:szCs w:val="18"/>
                <w:lang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1EB6E879" w14:textId="77777777" w:rsidR="00CB09B9" w:rsidRPr="00645C5F" w:rsidRDefault="00CB09B9" w:rsidP="002E47C6">
            <w:pPr>
              <w:spacing w:after="0" w:line="240" w:lineRule="auto"/>
              <w:jc w:val="center"/>
              <w:rPr>
                <w:rFonts w:ascii="Times New Roman" w:eastAsia="Times New Roman" w:hAnsi="Times New Roman" w:cs="Times New Roman"/>
                <w:b/>
                <w:iCs/>
                <w:sz w:val="18"/>
                <w:szCs w:val="18"/>
                <w:lang w:eastAsia="lv-LV"/>
              </w:rPr>
            </w:pPr>
            <w:r w:rsidRPr="00645C5F">
              <w:rPr>
                <w:rFonts w:ascii="Times New Roman" w:eastAsia="Times New Roman" w:hAnsi="Times New Roman" w:cs="Times New Roman"/>
                <w:b/>
                <w:iCs/>
                <w:sz w:val="18"/>
                <w:szCs w:val="18"/>
                <w:lang w:eastAsia="lv-LV"/>
              </w:rPr>
              <w:t>0</w:t>
            </w:r>
          </w:p>
        </w:tc>
        <w:tc>
          <w:tcPr>
            <w:tcW w:w="1012" w:type="pct"/>
            <w:gridSpan w:val="2"/>
            <w:tcBorders>
              <w:top w:val="outset" w:sz="6" w:space="0" w:color="auto"/>
              <w:left w:val="outset" w:sz="6" w:space="0" w:color="auto"/>
              <w:bottom w:val="outset" w:sz="6" w:space="0" w:color="auto"/>
              <w:right w:val="outset" w:sz="6" w:space="0" w:color="auto"/>
            </w:tcBorders>
            <w:vAlign w:val="center"/>
            <w:hideMark/>
          </w:tcPr>
          <w:p w14:paraId="6A012573" w14:textId="77777777" w:rsidR="00CB09B9" w:rsidRPr="00645C5F" w:rsidRDefault="00CB09B9" w:rsidP="002E47C6">
            <w:pPr>
              <w:spacing w:after="0" w:line="240" w:lineRule="auto"/>
              <w:jc w:val="center"/>
              <w:rPr>
                <w:rFonts w:ascii="Times New Roman" w:eastAsia="Times New Roman" w:hAnsi="Times New Roman" w:cs="Times New Roman"/>
                <w:b/>
                <w:iCs/>
                <w:sz w:val="18"/>
                <w:szCs w:val="18"/>
                <w:lang w:eastAsia="lv-LV"/>
              </w:rPr>
            </w:pPr>
            <w:r w:rsidRPr="00645C5F">
              <w:rPr>
                <w:rFonts w:ascii="Times New Roman" w:eastAsia="Times New Roman" w:hAnsi="Times New Roman" w:cs="Times New Roman"/>
                <w:b/>
                <w:iCs/>
                <w:sz w:val="18"/>
                <w:szCs w:val="18"/>
                <w:lang w:eastAsia="lv-LV"/>
              </w:rPr>
              <w:t>0</w:t>
            </w:r>
          </w:p>
        </w:tc>
      </w:tr>
      <w:tr w:rsidR="00D36059" w:rsidRPr="00645C5F" w14:paraId="1B66EE06" w14:textId="77777777" w:rsidTr="00D36059">
        <w:trPr>
          <w:tblCellSpacing w:w="15" w:type="dxa"/>
        </w:trPr>
        <w:tc>
          <w:tcPr>
            <w:tcW w:w="668" w:type="pct"/>
            <w:tcBorders>
              <w:top w:val="outset" w:sz="6" w:space="0" w:color="auto"/>
              <w:left w:val="outset" w:sz="6" w:space="0" w:color="auto"/>
              <w:bottom w:val="outset" w:sz="6" w:space="0" w:color="auto"/>
              <w:right w:val="outset" w:sz="6" w:space="0" w:color="auto"/>
            </w:tcBorders>
            <w:hideMark/>
          </w:tcPr>
          <w:p w14:paraId="1BAEDE54"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3.1. valsts pamatbudžets</w:t>
            </w:r>
          </w:p>
        </w:tc>
        <w:tc>
          <w:tcPr>
            <w:tcW w:w="494" w:type="pct"/>
            <w:tcBorders>
              <w:top w:val="outset" w:sz="6" w:space="0" w:color="auto"/>
              <w:left w:val="outset" w:sz="6" w:space="0" w:color="auto"/>
              <w:bottom w:val="outset" w:sz="6" w:space="0" w:color="auto"/>
              <w:right w:val="outset" w:sz="6" w:space="0" w:color="auto"/>
            </w:tcBorders>
            <w:vAlign w:val="center"/>
          </w:tcPr>
          <w:p w14:paraId="1E940C77" w14:textId="77777777" w:rsidR="00CB09B9" w:rsidRPr="00645C5F" w:rsidRDefault="00CB09B9" w:rsidP="002E47C6">
            <w:pPr>
              <w:spacing w:after="0" w:line="240" w:lineRule="auto"/>
              <w:jc w:val="center"/>
              <w:rPr>
                <w:rFonts w:ascii="Times New Roman" w:eastAsia="Times New Roman" w:hAnsi="Times New Roman" w:cs="Times New Roman"/>
                <w:iCs/>
                <w:sz w:val="18"/>
                <w:szCs w:val="18"/>
                <w:lang w:eastAsia="lv-LV"/>
              </w:rPr>
            </w:pPr>
          </w:p>
        </w:tc>
        <w:tc>
          <w:tcPr>
            <w:tcW w:w="575" w:type="pct"/>
            <w:tcBorders>
              <w:top w:val="outset" w:sz="6" w:space="0" w:color="auto"/>
              <w:left w:val="outset" w:sz="6" w:space="0" w:color="auto"/>
              <w:bottom w:val="outset" w:sz="6" w:space="0" w:color="auto"/>
              <w:right w:val="outset" w:sz="6" w:space="0" w:color="auto"/>
            </w:tcBorders>
            <w:vAlign w:val="center"/>
          </w:tcPr>
          <w:p w14:paraId="30AF03CD" w14:textId="5E66CD81" w:rsidR="00CB09B9" w:rsidRPr="00645C5F" w:rsidRDefault="005A76C1" w:rsidP="002E47C6">
            <w:pPr>
              <w:spacing w:after="0" w:line="240" w:lineRule="auto"/>
              <w:jc w:val="center"/>
              <w:rPr>
                <w:rFonts w:ascii="Times New Roman" w:eastAsia="Times New Roman" w:hAnsi="Times New Roman" w:cs="Times New Roman"/>
                <w:iCs/>
                <w:sz w:val="18"/>
                <w:szCs w:val="18"/>
                <w:lang w:eastAsia="lv-LV"/>
              </w:rPr>
            </w:pPr>
            <w:r w:rsidRPr="00645C5F">
              <w:rPr>
                <w:rFonts w:ascii="Times New Roman" w:eastAsia="Times New Roman" w:hAnsi="Times New Roman" w:cs="Times New Roman"/>
                <w:iCs/>
                <w:sz w:val="18"/>
                <w:szCs w:val="18"/>
                <w:lang w:eastAsia="lv-LV"/>
              </w:rPr>
              <w:t>-868,40</w:t>
            </w:r>
          </w:p>
        </w:tc>
        <w:tc>
          <w:tcPr>
            <w:tcW w:w="462" w:type="pct"/>
            <w:tcBorders>
              <w:top w:val="outset" w:sz="6" w:space="0" w:color="auto"/>
              <w:left w:val="outset" w:sz="6" w:space="0" w:color="auto"/>
              <w:bottom w:val="outset" w:sz="6" w:space="0" w:color="auto"/>
              <w:right w:val="outset" w:sz="6" w:space="0" w:color="auto"/>
            </w:tcBorders>
            <w:vAlign w:val="center"/>
          </w:tcPr>
          <w:p w14:paraId="4531AFC1" w14:textId="77777777" w:rsidR="00CB09B9" w:rsidRPr="00645C5F" w:rsidRDefault="00CB09B9" w:rsidP="002E47C6">
            <w:pPr>
              <w:spacing w:after="0" w:line="240" w:lineRule="auto"/>
              <w:jc w:val="center"/>
              <w:rPr>
                <w:rFonts w:ascii="Times New Roman" w:eastAsia="Times New Roman" w:hAnsi="Times New Roman" w:cs="Times New Roman"/>
                <w:iCs/>
                <w:sz w:val="18"/>
                <w:szCs w:val="18"/>
                <w:lang w:eastAsia="lv-LV"/>
              </w:rPr>
            </w:pPr>
          </w:p>
        </w:tc>
        <w:tc>
          <w:tcPr>
            <w:tcW w:w="572" w:type="pct"/>
            <w:tcBorders>
              <w:top w:val="outset" w:sz="6" w:space="0" w:color="auto"/>
              <w:left w:val="outset" w:sz="6" w:space="0" w:color="auto"/>
              <w:bottom w:val="outset" w:sz="6" w:space="0" w:color="auto"/>
              <w:right w:val="outset" w:sz="6" w:space="0" w:color="auto"/>
            </w:tcBorders>
            <w:vAlign w:val="center"/>
          </w:tcPr>
          <w:p w14:paraId="1E30689D" w14:textId="3E12137F" w:rsidR="00CB09B9" w:rsidRPr="00645C5F" w:rsidRDefault="007D7875" w:rsidP="002E47C6">
            <w:pPr>
              <w:spacing w:after="0" w:line="240" w:lineRule="auto"/>
              <w:jc w:val="center"/>
              <w:rPr>
                <w:rFonts w:ascii="Times New Roman" w:eastAsia="Times New Roman" w:hAnsi="Times New Roman" w:cs="Times New Roman"/>
                <w:iCs/>
                <w:sz w:val="18"/>
                <w:szCs w:val="18"/>
                <w:lang w:eastAsia="lv-LV"/>
              </w:rPr>
            </w:pPr>
            <w:r w:rsidRPr="00645C5F">
              <w:rPr>
                <w:rFonts w:ascii="Times New Roman" w:eastAsia="Times New Roman" w:hAnsi="Times New Roman" w:cs="Times New Roman"/>
                <w:iCs/>
                <w:sz w:val="18"/>
                <w:szCs w:val="18"/>
                <w:lang w:eastAsia="lv-LV"/>
              </w:rPr>
              <w:t>-699,33</w:t>
            </w:r>
          </w:p>
        </w:tc>
        <w:tc>
          <w:tcPr>
            <w:tcW w:w="500" w:type="pct"/>
            <w:tcBorders>
              <w:top w:val="outset" w:sz="6" w:space="0" w:color="auto"/>
              <w:left w:val="outset" w:sz="6" w:space="0" w:color="auto"/>
              <w:bottom w:val="outset" w:sz="6" w:space="0" w:color="auto"/>
              <w:right w:val="outset" w:sz="6" w:space="0" w:color="auto"/>
            </w:tcBorders>
            <w:vAlign w:val="center"/>
          </w:tcPr>
          <w:p w14:paraId="422A1F49" w14:textId="77777777" w:rsidR="00CB09B9" w:rsidRPr="00645C5F" w:rsidRDefault="00CB09B9" w:rsidP="002E47C6">
            <w:pPr>
              <w:spacing w:after="0" w:line="240" w:lineRule="auto"/>
              <w:jc w:val="center"/>
              <w:rPr>
                <w:rFonts w:ascii="Times New Roman" w:eastAsia="Times New Roman" w:hAnsi="Times New Roman" w:cs="Times New Roman"/>
                <w:iCs/>
                <w:sz w:val="18"/>
                <w:szCs w:val="18"/>
                <w:lang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64FEFB99" w14:textId="77777777" w:rsidR="00CB09B9" w:rsidRPr="00645C5F" w:rsidRDefault="00CB09B9" w:rsidP="002E47C6">
            <w:pPr>
              <w:spacing w:after="0" w:line="240" w:lineRule="auto"/>
              <w:jc w:val="center"/>
              <w:rPr>
                <w:rFonts w:ascii="Times New Roman" w:eastAsia="Times New Roman" w:hAnsi="Times New Roman" w:cs="Times New Roman"/>
                <w:iCs/>
                <w:sz w:val="18"/>
                <w:szCs w:val="18"/>
                <w:lang w:eastAsia="lv-LV"/>
              </w:rPr>
            </w:pPr>
            <w:r w:rsidRPr="00645C5F">
              <w:rPr>
                <w:rFonts w:ascii="Times New Roman" w:eastAsia="Times New Roman" w:hAnsi="Times New Roman" w:cs="Times New Roman"/>
                <w:iCs/>
                <w:sz w:val="18"/>
                <w:szCs w:val="18"/>
                <w:lang w:eastAsia="lv-LV"/>
              </w:rPr>
              <w:t>0</w:t>
            </w:r>
          </w:p>
        </w:tc>
        <w:tc>
          <w:tcPr>
            <w:tcW w:w="1012" w:type="pct"/>
            <w:gridSpan w:val="2"/>
            <w:tcBorders>
              <w:top w:val="outset" w:sz="6" w:space="0" w:color="auto"/>
              <w:left w:val="outset" w:sz="6" w:space="0" w:color="auto"/>
              <w:bottom w:val="outset" w:sz="6" w:space="0" w:color="auto"/>
              <w:right w:val="outset" w:sz="6" w:space="0" w:color="auto"/>
            </w:tcBorders>
            <w:vAlign w:val="center"/>
          </w:tcPr>
          <w:p w14:paraId="250712BF" w14:textId="77777777" w:rsidR="00CB09B9" w:rsidRPr="00645C5F" w:rsidRDefault="00CB09B9" w:rsidP="002E47C6">
            <w:pPr>
              <w:spacing w:after="0" w:line="240" w:lineRule="auto"/>
              <w:jc w:val="center"/>
              <w:rPr>
                <w:rFonts w:ascii="Times New Roman" w:eastAsia="Times New Roman" w:hAnsi="Times New Roman" w:cs="Times New Roman"/>
                <w:iCs/>
                <w:sz w:val="18"/>
                <w:szCs w:val="18"/>
                <w:lang w:eastAsia="lv-LV"/>
              </w:rPr>
            </w:pPr>
            <w:r w:rsidRPr="00645C5F">
              <w:rPr>
                <w:rFonts w:ascii="Times New Roman" w:eastAsia="Times New Roman" w:hAnsi="Times New Roman" w:cs="Times New Roman"/>
                <w:iCs/>
                <w:sz w:val="18"/>
                <w:szCs w:val="18"/>
                <w:lang w:eastAsia="lv-LV"/>
              </w:rPr>
              <w:t>0</w:t>
            </w:r>
          </w:p>
        </w:tc>
      </w:tr>
      <w:tr w:rsidR="00D36059" w:rsidRPr="00645C5F" w14:paraId="0E584D75" w14:textId="77777777" w:rsidTr="00D36059">
        <w:trPr>
          <w:tblCellSpacing w:w="15" w:type="dxa"/>
        </w:trPr>
        <w:tc>
          <w:tcPr>
            <w:tcW w:w="668" w:type="pct"/>
            <w:tcBorders>
              <w:top w:val="outset" w:sz="6" w:space="0" w:color="auto"/>
              <w:left w:val="outset" w:sz="6" w:space="0" w:color="auto"/>
              <w:bottom w:val="outset" w:sz="6" w:space="0" w:color="auto"/>
              <w:right w:val="outset" w:sz="6" w:space="0" w:color="auto"/>
            </w:tcBorders>
            <w:hideMark/>
          </w:tcPr>
          <w:p w14:paraId="56C61E57"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3.2. speciālais budžets</w:t>
            </w:r>
          </w:p>
        </w:tc>
        <w:tc>
          <w:tcPr>
            <w:tcW w:w="494" w:type="pct"/>
            <w:tcBorders>
              <w:top w:val="outset" w:sz="6" w:space="0" w:color="auto"/>
              <w:left w:val="outset" w:sz="6" w:space="0" w:color="auto"/>
              <w:bottom w:val="outset" w:sz="6" w:space="0" w:color="auto"/>
              <w:right w:val="outset" w:sz="6" w:space="0" w:color="auto"/>
            </w:tcBorders>
            <w:vAlign w:val="center"/>
            <w:hideMark/>
          </w:tcPr>
          <w:p w14:paraId="0986D85C" w14:textId="77777777" w:rsidR="00CB09B9" w:rsidRPr="00645C5F" w:rsidRDefault="00CB09B9" w:rsidP="002E47C6">
            <w:pPr>
              <w:spacing w:after="0" w:line="240" w:lineRule="auto"/>
              <w:jc w:val="center"/>
              <w:rPr>
                <w:rFonts w:ascii="Times New Roman" w:eastAsia="Times New Roman" w:hAnsi="Times New Roman" w:cs="Times New Roman"/>
                <w:iCs/>
                <w:sz w:val="18"/>
                <w:szCs w:val="18"/>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1526F25A" w14:textId="77777777" w:rsidR="00CB09B9" w:rsidRPr="00645C5F" w:rsidRDefault="00CB09B9" w:rsidP="002E47C6">
            <w:pPr>
              <w:spacing w:after="0" w:line="240" w:lineRule="auto"/>
              <w:jc w:val="center"/>
              <w:rPr>
                <w:rFonts w:ascii="Times New Roman" w:eastAsia="Times New Roman" w:hAnsi="Times New Roman" w:cs="Times New Roman"/>
                <w:iCs/>
                <w:sz w:val="18"/>
                <w:szCs w:val="18"/>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14:paraId="122C31A0" w14:textId="77777777" w:rsidR="00CB09B9" w:rsidRPr="00645C5F" w:rsidRDefault="00CB09B9" w:rsidP="002E47C6">
            <w:pPr>
              <w:spacing w:after="0" w:line="240" w:lineRule="auto"/>
              <w:jc w:val="center"/>
              <w:rPr>
                <w:rFonts w:ascii="Times New Roman" w:eastAsia="Times New Roman" w:hAnsi="Times New Roman" w:cs="Times New Roman"/>
                <w:iCs/>
                <w:sz w:val="18"/>
                <w:szCs w:val="18"/>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4478932D" w14:textId="77777777" w:rsidR="00CB09B9" w:rsidRPr="00645C5F" w:rsidRDefault="00CB09B9" w:rsidP="002E47C6">
            <w:pPr>
              <w:spacing w:after="0" w:line="240" w:lineRule="auto"/>
              <w:jc w:val="center"/>
              <w:rPr>
                <w:rFonts w:ascii="Times New Roman" w:eastAsia="Times New Roman" w:hAnsi="Times New Roman" w:cs="Times New Roman"/>
                <w:iCs/>
                <w:sz w:val="18"/>
                <w:szCs w:val="18"/>
                <w:lang w:eastAsia="lv-LV"/>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60B30D32" w14:textId="77777777" w:rsidR="00CB09B9" w:rsidRPr="00645C5F" w:rsidRDefault="00CB09B9" w:rsidP="002E47C6">
            <w:pPr>
              <w:spacing w:after="0" w:line="240" w:lineRule="auto"/>
              <w:jc w:val="center"/>
              <w:rPr>
                <w:rFonts w:ascii="Times New Roman" w:eastAsia="Times New Roman" w:hAnsi="Times New Roman" w:cs="Times New Roman"/>
                <w:iCs/>
                <w:sz w:val="18"/>
                <w:szCs w:val="1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500E2DED" w14:textId="77777777" w:rsidR="00CB09B9" w:rsidRPr="00645C5F" w:rsidRDefault="00CB09B9" w:rsidP="002E47C6">
            <w:pPr>
              <w:spacing w:after="0" w:line="240" w:lineRule="auto"/>
              <w:jc w:val="center"/>
              <w:rPr>
                <w:rFonts w:ascii="Times New Roman" w:eastAsia="Times New Roman" w:hAnsi="Times New Roman" w:cs="Times New Roman"/>
                <w:iCs/>
                <w:sz w:val="18"/>
                <w:szCs w:val="18"/>
                <w:lang w:eastAsia="lv-LV"/>
              </w:rPr>
            </w:pPr>
          </w:p>
        </w:tc>
        <w:tc>
          <w:tcPr>
            <w:tcW w:w="1012" w:type="pct"/>
            <w:gridSpan w:val="2"/>
            <w:tcBorders>
              <w:top w:val="outset" w:sz="6" w:space="0" w:color="auto"/>
              <w:left w:val="outset" w:sz="6" w:space="0" w:color="auto"/>
              <w:bottom w:val="outset" w:sz="6" w:space="0" w:color="auto"/>
              <w:right w:val="outset" w:sz="6" w:space="0" w:color="auto"/>
            </w:tcBorders>
            <w:vAlign w:val="center"/>
            <w:hideMark/>
          </w:tcPr>
          <w:p w14:paraId="4B04B31D" w14:textId="77777777" w:rsidR="00CB09B9" w:rsidRPr="00645C5F" w:rsidRDefault="00CB09B9" w:rsidP="002E47C6">
            <w:pPr>
              <w:spacing w:after="0" w:line="240" w:lineRule="auto"/>
              <w:jc w:val="center"/>
              <w:rPr>
                <w:rFonts w:ascii="Times New Roman" w:eastAsia="Times New Roman" w:hAnsi="Times New Roman" w:cs="Times New Roman"/>
                <w:iCs/>
                <w:sz w:val="18"/>
                <w:szCs w:val="18"/>
                <w:lang w:eastAsia="lv-LV"/>
              </w:rPr>
            </w:pPr>
          </w:p>
        </w:tc>
      </w:tr>
      <w:tr w:rsidR="00D36059" w:rsidRPr="00645C5F" w14:paraId="7595080F" w14:textId="77777777" w:rsidTr="00D36059">
        <w:trPr>
          <w:tblCellSpacing w:w="15" w:type="dxa"/>
        </w:trPr>
        <w:tc>
          <w:tcPr>
            <w:tcW w:w="668" w:type="pct"/>
            <w:tcBorders>
              <w:top w:val="outset" w:sz="6" w:space="0" w:color="auto"/>
              <w:left w:val="outset" w:sz="6" w:space="0" w:color="auto"/>
              <w:bottom w:val="outset" w:sz="6" w:space="0" w:color="auto"/>
              <w:right w:val="outset" w:sz="6" w:space="0" w:color="auto"/>
            </w:tcBorders>
            <w:hideMark/>
          </w:tcPr>
          <w:p w14:paraId="6CA046E3"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3.3. pašvaldību budžets</w:t>
            </w:r>
          </w:p>
        </w:tc>
        <w:tc>
          <w:tcPr>
            <w:tcW w:w="494" w:type="pct"/>
            <w:tcBorders>
              <w:top w:val="outset" w:sz="6" w:space="0" w:color="auto"/>
              <w:left w:val="outset" w:sz="6" w:space="0" w:color="auto"/>
              <w:bottom w:val="outset" w:sz="6" w:space="0" w:color="auto"/>
              <w:right w:val="outset" w:sz="6" w:space="0" w:color="auto"/>
            </w:tcBorders>
            <w:vAlign w:val="center"/>
            <w:hideMark/>
          </w:tcPr>
          <w:p w14:paraId="5BCC53F2"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 </w:t>
            </w:r>
          </w:p>
        </w:tc>
        <w:tc>
          <w:tcPr>
            <w:tcW w:w="575" w:type="pct"/>
            <w:tcBorders>
              <w:top w:val="outset" w:sz="6" w:space="0" w:color="auto"/>
              <w:left w:val="outset" w:sz="6" w:space="0" w:color="auto"/>
              <w:bottom w:val="outset" w:sz="6" w:space="0" w:color="auto"/>
              <w:right w:val="outset" w:sz="6" w:space="0" w:color="auto"/>
            </w:tcBorders>
            <w:vAlign w:val="center"/>
            <w:hideMark/>
          </w:tcPr>
          <w:p w14:paraId="48BD50E4"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21D51CD6"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07C007B3"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6CF41C37"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 </w:t>
            </w:r>
          </w:p>
        </w:tc>
        <w:tc>
          <w:tcPr>
            <w:tcW w:w="570" w:type="pct"/>
            <w:tcBorders>
              <w:top w:val="outset" w:sz="6" w:space="0" w:color="auto"/>
              <w:left w:val="outset" w:sz="6" w:space="0" w:color="auto"/>
              <w:bottom w:val="outset" w:sz="6" w:space="0" w:color="auto"/>
              <w:right w:val="outset" w:sz="6" w:space="0" w:color="auto"/>
            </w:tcBorders>
            <w:vAlign w:val="center"/>
            <w:hideMark/>
          </w:tcPr>
          <w:p w14:paraId="6BEB610A"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 </w:t>
            </w:r>
          </w:p>
        </w:tc>
        <w:tc>
          <w:tcPr>
            <w:tcW w:w="1012" w:type="pct"/>
            <w:gridSpan w:val="2"/>
            <w:tcBorders>
              <w:top w:val="outset" w:sz="6" w:space="0" w:color="auto"/>
              <w:left w:val="outset" w:sz="6" w:space="0" w:color="auto"/>
              <w:bottom w:val="outset" w:sz="6" w:space="0" w:color="auto"/>
              <w:right w:val="outset" w:sz="6" w:space="0" w:color="auto"/>
            </w:tcBorders>
            <w:vAlign w:val="center"/>
            <w:hideMark/>
          </w:tcPr>
          <w:p w14:paraId="3FF6AE99"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 </w:t>
            </w:r>
          </w:p>
        </w:tc>
      </w:tr>
      <w:tr w:rsidR="00D36059" w:rsidRPr="00645C5F" w14:paraId="641B1587" w14:textId="77777777" w:rsidTr="00D36059">
        <w:trPr>
          <w:tblCellSpacing w:w="15" w:type="dxa"/>
        </w:trPr>
        <w:tc>
          <w:tcPr>
            <w:tcW w:w="668" w:type="pct"/>
            <w:tcBorders>
              <w:top w:val="outset" w:sz="6" w:space="0" w:color="auto"/>
              <w:left w:val="outset" w:sz="6" w:space="0" w:color="auto"/>
              <w:bottom w:val="outset" w:sz="6" w:space="0" w:color="auto"/>
              <w:right w:val="outset" w:sz="6" w:space="0" w:color="auto"/>
            </w:tcBorders>
            <w:hideMark/>
          </w:tcPr>
          <w:p w14:paraId="7163178A"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 xml:space="preserve">4. Finanšu līdzekļi papildu </w:t>
            </w:r>
            <w:r w:rsidRPr="00645C5F">
              <w:rPr>
                <w:rFonts w:ascii="Times New Roman" w:eastAsia="Times New Roman" w:hAnsi="Times New Roman" w:cs="Times New Roman"/>
                <w:iCs/>
                <w:sz w:val="24"/>
                <w:szCs w:val="24"/>
                <w:lang w:eastAsia="lv-LV"/>
              </w:rPr>
              <w:lastRenderedPageBreak/>
              <w:t>izdevumu finansēšanai (kompensējošu izdevumu samazinājumu norāda ar "+" zīmi)</w:t>
            </w:r>
          </w:p>
        </w:tc>
        <w:tc>
          <w:tcPr>
            <w:tcW w:w="494" w:type="pct"/>
            <w:tcBorders>
              <w:top w:val="outset" w:sz="6" w:space="0" w:color="auto"/>
              <w:left w:val="outset" w:sz="6" w:space="0" w:color="auto"/>
              <w:bottom w:val="outset" w:sz="6" w:space="0" w:color="auto"/>
              <w:right w:val="outset" w:sz="6" w:space="0" w:color="auto"/>
            </w:tcBorders>
            <w:vAlign w:val="center"/>
          </w:tcPr>
          <w:p w14:paraId="018AFF26" w14:textId="77777777" w:rsidR="00CB09B9" w:rsidRPr="00645C5F" w:rsidRDefault="00CB09B9" w:rsidP="002E47C6">
            <w:pPr>
              <w:spacing w:after="0" w:line="240" w:lineRule="auto"/>
              <w:jc w:val="center"/>
              <w:rPr>
                <w:rFonts w:ascii="Times New Roman" w:eastAsia="Times New Roman" w:hAnsi="Times New Roman" w:cs="Times New Roman"/>
                <w:iCs/>
                <w:sz w:val="18"/>
                <w:szCs w:val="18"/>
                <w:lang w:eastAsia="lv-LV"/>
              </w:rPr>
            </w:pPr>
          </w:p>
        </w:tc>
        <w:tc>
          <w:tcPr>
            <w:tcW w:w="575" w:type="pct"/>
            <w:tcBorders>
              <w:top w:val="outset" w:sz="6" w:space="0" w:color="auto"/>
              <w:left w:val="outset" w:sz="6" w:space="0" w:color="auto"/>
              <w:bottom w:val="outset" w:sz="6" w:space="0" w:color="auto"/>
              <w:right w:val="outset" w:sz="6" w:space="0" w:color="auto"/>
            </w:tcBorders>
            <w:vAlign w:val="center"/>
          </w:tcPr>
          <w:p w14:paraId="4C6B0B94" w14:textId="77777777" w:rsidR="00CB09B9" w:rsidRPr="00645C5F" w:rsidRDefault="00CB09B9" w:rsidP="002E47C6">
            <w:pPr>
              <w:spacing w:after="0" w:line="240" w:lineRule="auto"/>
              <w:jc w:val="center"/>
              <w:rPr>
                <w:rFonts w:ascii="Times New Roman" w:eastAsia="Times New Roman" w:hAnsi="Times New Roman" w:cs="Times New Roman"/>
                <w:iCs/>
                <w:sz w:val="18"/>
                <w:szCs w:val="18"/>
                <w:lang w:eastAsia="lv-LV"/>
              </w:rPr>
            </w:pPr>
          </w:p>
        </w:tc>
        <w:tc>
          <w:tcPr>
            <w:tcW w:w="462" w:type="pct"/>
            <w:tcBorders>
              <w:top w:val="outset" w:sz="6" w:space="0" w:color="auto"/>
              <w:left w:val="outset" w:sz="6" w:space="0" w:color="auto"/>
              <w:bottom w:val="outset" w:sz="6" w:space="0" w:color="auto"/>
              <w:right w:val="outset" w:sz="6" w:space="0" w:color="auto"/>
            </w:tcBorders>
            <w:vAlign w:val="center"/>
          </w:tcPr>
          <w:p w14:paraId="41A7FE24" w14:textId="77777777" w:rsidR="00CB09B9" w:rsidRPr="00645C5F" w:rsidRDefault="00CB09B9" w:rsidP="002E47C6">
            <w:pPr>
              <w:spacing w:after="0" w:line="240" w:lineRule="auto"/>
              <w:jc w:val="center"/>
              <w:rPr>
                <w:rFonts w:ascii="Times New Roman" w:eastAsia="Times New Roman" w:hAnsi="Times New Roman" w:cs="Times New Roman"/>
                <w:iCs/>
                <w:sz w:val="18"/>
                <w:szCs w:val="18"/>
                <w:lang w:eastAsia="lv-LV"/>
              </w:rPr>
            </w:pPr>
          </w:p>
        </w:tc>
        <w:tc>
          <w:tcPr>
            <w:tcW w:w="572" w:type="pct"/>
            <w:tcBorders>
              <w:top w:val="outset" w:sz="6" w:space="0" w:color="auto"/>
              <w:left w:val="outset" w:sz="6" w:space="0" w:color="auto"/>
              <w:bottom w:val="outset" w:sz="6" w:space="0" w:color="auto"/>
              <w:right w:val="outset" w:sz="6" w:space="0" w:color="auto"/>
            </w:tcBorders>
            <w:vAlign w:val="center"/>
          </w:tcPr>
          <w:p w14:paraId="64CD740E" w14:textId="77777777" w:rsidR="00CB09B9" w:rsidRPr="00645C5F" w:rsidRDefault="00CB09B9" w:rsidP="002E47C6">
            <w:pPr>
              <w:spacing w:after="0" w:line="240" w:lineRule="auto"/>
              <w:jc w:val="center"/>
              <w:rPr>
                <w:rFonts w:ascii="Times New Roman" w:eastAsia="Times New Roman" w:hAnsi="Times New Roman" w:cs="Times New Roman"/>
                <w:iCs/>
                <w:sz w:val="18"/>
                <w:szCs w:val="18"/>
                <w:lang w:eastAsia="lv-LV"/>
              </w:rPr>
            </w:pPr>
          </w:p>
        </w:tc>
        <w:tc>
          <w:tcPr>
            <w:tcW w:w="500" w:type="pct"/>
            <w:tcBorders>
              <w:top w:val="outset" w:sz="6" w:space="0" w:color="auto"/>
              <w:left w:val="outset" w:sz="6" w:space="0" w:color="auto"/>
              <w:bottom w:val="outset" w:sz="6" w:space="0" w:color="auto"/>
              <w:right w:val="outset" w:sz="6" w:space="0" w:color="auto"/>
            </w:tcBorders>
            <w:vAlign w:val="center"/>
          </w:tcPr>
          <w:p w14:paraId="38EA3A24" w14:textId="77777777" w:rsidR="00CB09B9" w:rsidRPr="00645C5F" w:rsidRDefault="00CB09B9" w:rsidP="002E47C6">
            <w:pPr>
              <w:spacing w:after="0" w:line="240" w:lineRule="auto"/>
              <w:jc w:val="center"/>
              <w:rPr>
                <w:rFonts w:ascii="Times New Roman" w:eastAsia="Times New Roman" w:hAnsi="Times New Roman" w:cs="Times New Roman"/>
                <w:iCs/>
                <w:sz w:val="18"/>
                <w:szCs w:val="18"/>
                <w:lang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0CC556FD" w14:textId="77777777" w:rsidR="00CB09B9" w:rsidRPr="00645C5F" w:rsidRDefault="00CB09B9" w:rsidP="002E47C6">
            <w:pPr>
              <w:spacing w:after="0" w:line="240" w:lineRule="auto"/>
              <w:jc w:val="center"/>
              <w:rPr>
                <w:rFonts w:ascii="Times New Roman" w:eastAsia="Times New Roman" w:hAnsi="Times New Roman" w:cs="Times New Roman"/>
                <w:iCs/>
                <w:sz w:val="18"/>
                <w:szCs w:val="18"/>
                <w:lang w:eastAsia="lv-LV"/>
              </w:rPr>
            </w:pPr>
          </w:p>
        </w:tc>
        <w:tc>
          <w:tcPr>
            <w:tcW w:w="1012" w:type="pct"/>
            <w:gridSpan w:val="2"/>
            <w:tcBorders>
              <w:top w:val="outset" w:sz="6" w:space="0" w:color="auto"/>
              <w:left w:val="outset" w:sz="6" w:space="0" w:color="auto"/>
              <w:bottom w:val="outset" w:sz="6" w:space="0" w:color="auto"/>
              <w:right w:val="outset" w:sz="6" w:space="0" w:color="auto"/>
            </w:tcBorders>
            <w:vAlign w:val="center"/>
          </w:tcPr>
          <w:p w14:paraId="09A6EE92" w14:textId="77777777" w:rsidR="00CB09B9" w:rsidRPr="00645C5F" w:rsidRDefault="00CB09B9" w:rsidP="002E47C6">
            <w:pPr>
              <w:spacing w:after="0" w:line="240" w:lineRule="auto"/>
              <w:jc w:val="center"/>
              <w:rPr>
                <w:rFonts w:ascii="Times New Roman" w:eastAsia="Times New Roman" w:hAnsi="Times New Roman" w:cs="Times New Roman"/>
                <w:iCs/>
                <w:sz w:val="18"/>
                <w:szCs w:val="18"/>
                <w:lang w:eastAsia="lv-LV"/>
              </w:rPr>
            </w:pPr>
          </w:p>
        </w:tc>
      </w:tr>
      <w:tr w:rsidR="00D36059" w:rsidRPr="00645C5F" w14:paraId="2F3467E1" w14:textId="77777777" w:rsidTr="00D36059">
        <w:trPr>
          <w:tblCellSpacing w:w="15" w:type="dxa"/>
        </w:trPr>
        <w:tc>
          <w:tcPr>
            <w:tcW w:w="668" w:type="pct"/>
            <w:tcBorders>
              <w:top w:val="outset" w:sz="6" w:space="0" w:color="auto"/>
              <w:left w:val="outset" w:sz="6" w:space="0" w:color="auto"/>
              <w:bottom w:val="outset" w:sz="6" w:space="0" w:color="auto"/>
              <w:right w:val="outset" w:sz="6" w:space="0" w:color="auto"/>
            </w:tcBorders>
            <w:hideMark/>
          </w:tcPr>
          <w:p w14:paraId="7E15C89C"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5. Precizēta finansiālā ietekme</w:t>
            </w:r>
          </w:p>
        </w:tc>
        <w:tc>
          <w:tcPr>
            <w:tcW w:w="494" w:type="pct"/>
            <w:vMerge w:val="restart"/>
            <w:tcBorders>
              <w:top w:val="outset" w:sz="6" w:space="0" w:color="auto"/>
              <w:left w:val="outset" w:sz="6" w:space="0" w:color="auto"/>
              <w:bottom w:val="outset" w:sz="6" w:space="0" w:color="auto"/>
              <w:right w:val="outset" w:sz="6" w:space="0" w:color="auto"/>
            </w:tcBorders>
            <w:vAlign w:val="center"/>
            <w:hideMark/>
          </w:tcPr>
          <w:p w14:paraId="24BE1072" w14:textId="77777777" w:rsidR="00CB09B9" w:rsidRPr="00645C5F" w:rsidRDefault="00CB09B9" w:rsidP="002E47C6">
            <w:pPr>
              <w:spacing w:after="0" w:line="240" w:lineRule="auto"/>
              <w:jc w:val="center"/>
              <w:rPr>
                <w:rFonts w:ascii="Times New Roman" w:eastAsia="Times New Roman" w:hAnsi="Times New Roman" w:cs="Times New Roman"/>
                <w:iCs/>
                <w:sz w:val="18"/>
                <w:szCs w:val="18"/>
                <w:lang w:eastAsia="lv-LV"/>
              </w:rPr>
            </w:pPr>
          </w:p>
          <w:p w14:paraId="2A899DFD" w14:textId="77777777" w:rsidR="00CB09B9" w:rsidRPr="00645C5F" w:rsidRDefault="00CB09B9" w:rsidP="002E47C6">
            <w:pPr>
              <w:spacing w:after="0" w:line="240" w:lineRule="auto"/>
              <w:jc w:val="center"/>
              <w:rPr>
                <w:rFonts w:ascii="Times New Roman" w:eastAsia="Times New Roman" w:hAnsi="Times New Roman" w:cs="Times New Roman"/>
                <w:iCs/>
                <w:sz w:val="18"/>
                <w:szCs w:val="18"/>
                <w:lang w:eastAsia="lv-LV"/>
              </w:rPr>
            </w:pPr>
          </w:p>
          <w:p w14:paraId="7C7EABB4" w14:textId="77777777" w:rsidR="00CB09B9" w:rsidRPr="00645C5F" w:rsidRDefault="00CB09B9" w:rsidP="002E47C6">
            <w:pPr>
              <w:spacing w:after="0" w:line="240" w:lineRule="auto"/>
              <w:jc w:val="center"/>
              <w:rPr>
                <w:rFonts w:ascii="Times New Roman" w:eastAsia="Times New Roman" w:hAnsi="Times New Roman" w:cs="Times New Roman"/>
                <w:iCs/>
                <w:sz w:val="18"/>
                <w:szCs w:val="18"/>
                <w:lang w:eastAsia="lv-LV"/>
              </w:rPr>
            </w:pPr>
          </w:p>
          <w:p w14:paraId="228E0C75" w14:textId="77777777" w:rsidR="00CB09B9" w:rsidRPr="00645C5F" w:rsidRDefault="00CB09B9" w:rsidP="002E47C6">
            <w:pPr>
              <w:spacing w:after="0" w:line="240" w:lineRule="auto"/>
              <w:jc w:val="center"/>
              <w:rPr>
                <w:rFonts w:ascii="Times New Roman" w:eastAsia="Times New Roman" w:hAnsi="Times New Roman" w:cs="Times New Roman"/>
                <w:iCs/>
                <w:sz w:val="18"/>
                <w:szCs w:val="18"/>
                <w:lang w:eastAsia="lv-LV"/>
              </w:rPr>
            </w:pPr>
          </w:p>
          <w:p w14:paraId="3E80A5EB" w14:textId="77777777" w:rsidR="00CB09B9" w:rsidRPr="00645C5F" w:rsidRDefault="00CB09B9" w:rsidP="002E47C6">
            <w:pPr>
              <w:spacing w:after="0" w:line="240" w:lineRule="auto"/>
              <w:jc w:val="center"/>
              <w:rPr>
                <w:rFonts w:ascii="Times New Roman" w:eastAsia="Times New Roman" w:hAnsi="Times New Roman" w:cs="Times New Roman"/>
                <w:iCs/>
                <w:sz w:val="18"/>
                <w:szCs w:val="18"/>
                <w:lang w:eastAsia="lv-LV"/>
              </w:rPr>
            </w:pPr>
          </w:p>
          <w:p w14:paraId="6869F1CC" w14:textId="77777777" w:rsidR="00CB09B9" w:rsidRPr="00645C5F" w:rsidRDefault="00CB09B9" w:rsidP="002E47C6">
            <w:pPr>
              <w:spacing w:after="0" w:line="240" w:lineRule="auto"/>
              <w:jc w:val="center"/>
              <w:rPr>
                <w:rFonts w:ascii="Times New Roman" w:eastAsia="Times New Roman" w:hAnsi="Times New Roman" w:cs="Times New Roman"/>
                <w:iCs/>
                <w:sz w:val="18"/>
                <w:szCs w:val="18"/>
                <w:lang w:eastAsia="lv-LV"/>
              </w:rPr>
            </w:pPr>
          </w:p>
        </w:tc>
        <w:tc>
          <w:tcPr>
            <w:tcW w:w="575" w:type="pct"/>
            <w:tcBorders>
              <w:top w:val="outset" w:sz="6" w:space="0" w:color="auto"/>
              <w:left w:val="outset" w:sz="6" w:space="0" w:color="auto"/>
              <w:bottom w:val="outset" w:sz="6" w:space="0" w:color="auto"/>
              <w:right w:val="outset" w:sz="6" w:space="0" w:color="auto"/>
            </w:tcBorders>
            <w:vAlign w:val="center"/>
          </w:tcPr>
          <w:p w14:paraId="436E1F9D" w14:textId="77777777" w:rsidR="00CB09B9" w:rsidRPr="00645C5F" w:rsidRDefault="00CB09B9" w:rsidP="002E47C6">
            <w:pPr>
              <w:spacing w:after="0" w:line="240" w:lineRule="auto"/>
              <w:jc w:val="center"/>
              <w:rPr>
                <w:rFonts w:ascii="Times New Roman" w:eastAsia="Times New Roman" w:hAnsi="Times New Roman" w:cs="Times New Roman"/>
                <w:iCs/>
                <w:sz w:val="18"/>
                <w:szCs w:val="18"/>
                <w:lang w:eastAsia="lv-LV"/>
              </w:rPr>
            </w:pPr>
          </w:p>
        </w:tc>
        <w:tc>
          <w:tcPr>
            <w:tcW w:w="462" w:type="pct"/>
            <w:vMerge w:val="restart"/>
            <w:tcBorders>
              <w:top w:val="outset" w:sz="6" w:space="0" w:color="auto"/>
              <w:left w:val="outset" w:sz="6" w:space="0" w:color="auto"/>
              <w:bottom w:val="outset" w:sz="6" w:space="0" w:color="auto"/>
              <w:right w:val="outset" w:sz="6" w:space="0" w:color="auto"/>
            </w:tcBorders>
            <w:vAlign w:val="center"/>
          </w:tcPr>
          <w:p w14:paraId="72BF9137" w14:textId="77777777" w:rsidR="00CB09B9" w:rsidRPr="00645C5F" w:rsidRDefault="00CB09B9" w:rsidP="002E47C6">
            <w:pPr>
              <w:spacing w:after="0" w:line="240" w:lineRule="auto"/>
              <w:jc w:val="center"/>
              <w:rPr>
                <w:rFonts w:ascii="Times New Roman" w:eastAsia="Times New Roman" w:hAnsi="Times New Roman" w:cs="Times New Roman"/>
                <w:iCs/>
                <w:sz w:val="18"/>
                <w:szCs w:val="18"/>
                <w:lang w:eastAsia="lv-LV"/>
              </w:rPr>
            </w:pPr>
          </w:p>
        </w:tc>
        <w:tc>
          <w:tcPr>
            <w:tcW w:w="572" w:type="pct"/>
            <w:tcBorders>
              <w:top w:val="outset" w:sz="6" w:space="0" w:color="auto"/>
              <w:left w:val="outset" w:sz="6" w:space="0" w:color="auto"/>
              <w:bottom w:val="outset" w:sz="6" w:space="0" w:color="auto"/>
              <w:right w:val="outset" w:sz="6" w:space="0" w:color="auto"/>
            </w:tcBorders>
            <w:vAlign w:val="center"/>
          </w:tcPr>
          <w:p w14:paraId="3A32DA40" w14:textId="77777777" w:rsidR="00CB09B9" w:rsidRPr="00645C5F" w:rsidRDefault="00CB09B9" w:rsidP="002E47C6">
            <w:pPr>
              <w:spacing w:after="0" w:line="240" w:lineRule="auto"/>
              <w:jc w:val="center"/>
              <w:rPr>
                <w:rFonts w:ascii="Times New Roman" w:eastAsia="Times New Roman" w:hAnsi="Times New Roman" w:cs="Times New Roman"/>
                <w:iCs/>
                <w:sz w:val="18"/>
                <w:szCs w:val="18"/>
                <w:lang w:eastAsia="lv-LV"/>
              </w:rPr>
            </w:pPr>
          </w:p>
        </w:tc>
        <w:tc>
          <w:tcPr>
            <w:tcW w:w="500" w:type="pct"/>
            <w:vMerge w:val="restart"/>
            <w:tcBorders>
              <w:top w:val="outset" w:sz="6" w:space="0" w:color="auto"/>
              <w:left w:val="outset" w:sz="6" w:space="0" w:color="auto"/>
              <w:bottom w:val="outset" w:sz="6" w:space="0" w:color="auto"/>
              <w:right w:val="outset" w:sz="6" w:space="0" w:color="auto"/>
            </w:tcBorders>
            <w:vAlign w:val="center"/>
          </w:tcPr>
          <w:p w14:paraId="4BEB990C" w14:textId="77777777" w:rsidR="00CB09B9" w:rsidRPr="00645C5F" w:rsidRDefault="00CB09B9" w:rsidP="002E47C6">
            <w:pPr>
              <w:spacing w:after="0" w:line="240" w:lineRule="auto"/>
              <w:jc w:val="center"/>
              <w:rPr>
                <w:rFonts w:ascii="Times New Roman" w:eastAsia="Times New Roman" w:hAnsi="Times New Roman" w:cs="Times New Roman"/>
                <w:iCs/>
                <w:sz w:val="18"/>
                <w:szCs w:val="18"/>
                <w:lang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285B4C5C" w14:textId="77777777" w:rsidR="00CB09B9" w:rsidRPr="00645C5F" w:rsidRDefault="00CB09B9" w:rsidP="002E47C6">
            <w:pPr>
              <w:spacing w:after="0" w:line="240" w:lineRule="auto"/>
              <w:jc w:val="center"/>
              <w:rPr>
                <w:rFonts w:ascii="Times New Roman" w:eastAsia="Times New Roman" w:hAnsi="Times New Roman" w:cs="Times New Roman"/>
                <w:iCs/>
                <w:sz w:val="18"/>
                <w:szCs w:val="18"/>
                <w:lang w:eastAsia="lv-LV"/>
              </w:rPr>
            </w:pPr>
          </w:p>
        </w:tc>
        <w:tc>
          <w:tcPr>
            <w:tcW w:w="1012" w:type="pct"/>
            <w:gridSpan w:val="2"/>
            <w:tcBorders>
              <w:top w:val="outset" w:sz="6" w:space="0" w:color="auto"/>
              <w:left w:val="outset" w:sz="6" w:space="0" w:color="auto"/>
              <w:bottom w:val="outset" w:sz="6" w:space="0" w:color="auto"/>
              <w:right w:val="outset" w:sz="6" w:space="0" w:color="auto"/>
            </w:tcBorders>
            <w:vAlign w:val="center"/>
          </w:tcPr>
          <w:p w14:paraId="518D2795" w14:textId="77777777" w:rsidR="00CB09B9" w:rsidRPr="00645C5F" w:rsidRDefault="00CB09B9" w:rsidP="002E47C6">
            <w:pPr>
              <w:spacing w:after="0" w:line="240" w:lineRule="auto"/>
              <w:jc w:val="center"/>
              <w:rPr>
                <w:rFonts w:ascii="Times New Roman" w:eastAsia="Times New Roman" w:hAnsi="Times New Roman" w:cs="Times New Roman"/>
                <w:iCs/>
                <w:sz w:val="18"/>
                <w:szCs w:val="18"/>
                <w:lang w:eastAsia="lv-LV"/>
              </w:rPr>
            </w:pPr>
          </w:p>
        </w:tc>
      </w:tr>
      <w:tr w:rsidR="00D36059" w:rsidRPr="00645C5F" w14:paraId="3C6B3B5C" w14:textId="77777777" w:rsidTr="00D36059">
        <w:trPr>
          <w:tblCellSpacing w:w="15" w:type="dxa"/>
        </w:trPr>
        <w:tc>
          <w:tcPr>
            <w:tcW w:w="668" w:type="pct"/>
            <w:tcBorders>
              <w:top w:val="outset" w:sz="6" w:space="0" w:color="auto"/>
              <w:left w:val="outset" w:sz="6" w:space="0" w:color="auto"/>
              <w:bottom w:val="outset" w:sz="6" w:space="0" w:color="auto"/>
              <w:right w:val="outset" w:sz="6" w:space="0" w:color="auto"/>
            </w:tcBorders>
            <w:hideMark/>
          </w:tcPr>
          <w:p w14:paraId="0881FA09"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5.1. valsts pamatbudžets</w:t>
            </w:r>
          </w:p>
        </w:tc>
        <w:tc>
          <w:tcPr>
            <w:tcW w:w="494" w:type="pct"/>
            <w:vMerge/>
            <w:tcBorders>
              <w:top w:val="outset" w:sz="6" w:space="0" w:color="auto"/>
              <w:left w:val="outset" w:sz="6" w:space="0" w:color="auto"/>
              <w:bottom w:val="outset" w:sz="6" w:space="0" w:color="auto"/>
              <w:right w:val="outset" w:sz="6" w:space="0" w:color="auto"/>
            </w:tcBorders>
            <w:vAlign w:val="center"/>
            <w:hideMark/>
          </w:tcPr>
          <w:p w14:paraId="7D61CFD5" w14:textId="77777777" w:rsidR="00CB09B9" w:rsidRPr="00645C5F" w:rsidRDefault="00CB09B9" w:rsidP="002E47C6">
            <w:pPr>
              <w:spacing w:after="0" w:line="240" w:lineRule="auto"/>
              <w:rPr>
                <w:rFonts w:ascii="Times New Roman" w:eastAsia="Times New Roman" w:hAnsi="Times New Roman" w:cs="Times New Roman"/>
                <w:iCs/>
                <w:sz w:val="18"/>
                <w:szCs w:val="18"/>
                <w:lang w:eastAsia="lv-LV"/>
              </w:rPr>
            </w:pPr>
          </w:p>
        </w:tc>
        <w:tc>
          <w:tcPr>
            <w:tcW w:w="575" w:type="pct"/>
            <w:tcBorders>
              <w:top w:val="outset" w:sz="6" w:space="0" w:color="auto"/>
              <w:left w:val="outset" w:sz="6" w:space="0" w:color="auto"/>
              <w:bottom w:val="outset" w:sz="6" w:space="0" w:color="auto"/>
              <w:right w:val="outset" w:sz="6" w:space="0" w:color="auto"/>
            </w:tcBorders>
            <w:vAlign w:val="center"/>
          </w:tcPr>
          <w:p w14:paraId="2C6F10CC" w14:textId="77777777" w:rsidR="00CB09B9" w:rsidRPr="00645C5F" w:rsidRDefault="00CB09B9" w:rsidP="002E47C6">
            <w:pPr>
              <w:spacing w:after="0" w:line="240" w:lineRule="auto"/>
              <w:rPr>
                <w:rFonts w:ascii="Times New Roman" w:eastAsia="Times New Roman" w:hAnsi="Times New Roman" w:cs="Times New Roman"/>
                <w:iCs/>
                <w:sz w:val="18"/>
                <w:szCs w:val="18"/>
                <w:lang w:eastAsia="lv-LV"/>
              </w:rPr>
            </w:pPr>
          </w:p>
        </w:tc>
        <w:tc>
          <w:tcPr>
            <w:tcW w:w="462" w:type="pct"/>
            <w:vMerge/>
            <w:tcBorders>
              <w:top w:val="outset" w:sz="6" w:space="0" w:color="auto"/>
              <w:left w:val="outset" w:sz="6" w:space="0" w:color="auto"/>
              <w:bottom w:val="outset" w:sz="6" w:space="0" w:color="auto"/>
              <w:right w:val="outset" w:sz="6" w:space="0" w:color="auto"/>
            </w:tcBorders>
            <w:vAlign w:val="center"/>
          </w:tcPr>
          <w:p w14:paraId="3BE423AC" w14:textId="77777777" w:rsidR="00CB09B9" w:rsidRPr="00645C5F" w:rsidRDefault="00CB09B9" w:rsidP="002E47C6">
            <w:pPr>
              <w:spacing w:after="0" w:line="240" w:lineRule="auto"/>
              <w:rPr>
                <w:rFonts w:ascii="Times New Roman" w:eastAsia="Times New Roman" w:hAnsi="Times New Roman" w:cs="Times New Roman"/>
                <w:iCs/>
                <w:sz w:val="18"/>
                <w:szCs w:val="18"/>
                <w:lang w:eastAsia="lv-LV"/>
              </w:rPr>
            </w:pPr>
          </w:p>
        </w:tc>
        <w:tc>
          <w:tcPr>
            <w:tcW w:w="572" w:type="pct"/>
            <w:tcBorders>
              <w:top w:val="outset" w:sz="6" w:space="0" w:color="auto"/>
              <w:left w:val="outset" w:sz="6" w:space="0" w:color="auto"/>
              <w:bottom w:val="outset" w:sz="6" w:space="0" w:color="auto"/>
              <w:right w:val="outset" w:sz="6" w:space="0" w:color="auto"/>
            </w:tcBorders>
            <w:vAlign w:val="center"/>
          </w:tcPr>
          <w:p w14:paraId="3A3954DA" w14:textId="77777777" w:rsidR="00CB09B9" w:rsidRPr="00645C5F" w:rsidRDefault="00CB09B9" w:rsidP="002E47C6">
            <w:pPr>
              <w:spacing w:after="0" w:line="240" w:lineRule="auto"/>
              <w:rPr>
                <w:rFonts w:ascii="Times New Roman" w:eastAsia="Times New Roman" w:hAnsi="Times New Roman" w:cs="Times New Roman"/>
                <w:iCs/>
                <w:sz w:val="18"/>
                <w:szCs w:val="18"/>
                <w:lang w:eastAsia="lv-LV"/>
              </w:rPr>
            </w:pPr>
          </w:p>
        </w:tc>
        <w:tc>
          <w:tcPr>
            <w:tcW w:w="500" w:type="pct"/>
            <w:vMerge/>
            <w:tcBorders>
              <w:top w:val="outset" w:sz="6" w:space="0" w:color="auto"/>
              <w:left w:val="outset" w:sz="6" w:space="0" w:color="auto"/>
              <w:bottom w:val="outset" w:sz="6" w:space="0" w:color="auto"/>
              <w:right w:val="outset" w:sz="6" w:space="0" w:color="auto"/>
            </w:tcBorders>
            <w:vAlign w:val="center"/>
          </w:tcPr>
          <w:p w14:paraId="44790118" w14:textId="77777777" w:rsidR="00CB09B9" w:rsidRPr="00645C5F" w:rsidRDefault="00CB09B9" w:rsidP="002E47C6">
            <w:pPr>
              <w:spacing w:after="0" w:line="240" w:lineRule="auto"/>
              <w:rPr>
                <w:rFonts w:ascii="Times New Roman" w:eastAsia="Times New Roman" w:hAnsi="Times New Roman" w:cs="Times New Roman"/>
                <w:iCs/>
                <w:sz w:val="18"/>
                <w:szCs w:val="18"/>
                <w:lang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712BBDA6" w14:textId="77777777" w:rsidR="00CB09B9" w:rsidRPr="00645C5F" w:rsidRDefault="00CB09B9" w:rsidP="002E47C6">
            <w:pPr>
              <w:spacing w:after="0" w:line="240" w:lineRule="auto"/>
              <w:rPr>
                <w:rFonts w:ascii="Times New Roman" w:eastAsia="Times New Roman" w:hAnsi="Times New Roman" w:cs="Times New Roman"/>
                <w:iCs/>
                <w:sz w:val="18"/>
                <w:szCs w:val="18"/>
                <w:lang w:eastAsia="lv-LV"/>
              </w:rPr>
            </w:pPr>
          </w:p>
        </w:tc>
        <w:tc>
          <w:tcPr>
            <w:tcW w:w="1012" w:type="pct"/>
            <w:gridSpan w:val="2"/>
            <w:tcBorders>
              <w:top w:val="outset" w:sz="6" w:space="0" w:color="auto"/>
              <w:left w:val="outset" w:sz="6" w:space="0" w:color="auto"/>
              <w:bottom w:val="outset" w:sz="6" w:space="0" w:color="auto"/>
              <w:right w:val="outset" w:sz="6" w:space="0" w:color="auto"/>
            </w:tcBorders>
            <w:vAlign w:val="center"/>
          </w:tcPr>
          <w:p w14:paraId="36177188" w14:textId="77777777" w:rsidR="00CB09B9" w:rsidRPr="00645C5F" w:rsidRDefault="00CB09B9" w:rsidP="002E47C6">
            <w:pPr>
              <w:spacing w:after="0" w:line="240" w:lineRule="auto"/>
              <w:rPr>
                <w:rFonts w:ascii="Times New Roman" w:eastAsia="Times New Roman" w:hAnsi="Times New Roman" w:cs="Times New Roman"/>
                <w:iCs/>
                <w:sz w:val="18"/>
                <w:szCs w:val="18"/>
                <w:lang w:eastAsia="lv-LV"/>
              </w:rPr>
            </w:pPr>
          </w:p>
        </w:tc>
      </w:tr>
      <w:tr w:rsidR="00D36059" w:rsidRPr="00645C5F" w14:paraId="724F359A" w14:textId="77777777" w:rsidTr="00D36059">
        <w:trPr>
          <w:tblCellSpacing w:w="15" w:type="dxa"/>
        </w:trPr>
        <w:tc>
          <w:tcPr>
            <w:tcW w:w="668" w:type="pct"/>
            <w:tcBorders>
              <w:top w:val="outset" w:sz="6" w:space="0" w:color="auto"/>
              <w:left w:val="outset" w:sz="6" w:space="0" w:color="auto"/>
              <w:bottom w:val="outset" w:sz="6" w:space="0" w:color="auto"/>
              <w:right w:val="outset" w:sz="6" w:space="0" w:color="auto"/>
            </w:tcBorders>
            <w:hideMark/>
          </w:tcPr>
          <w:p w14:paraId="78D100CD"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5.2. speciālais budžets</w:t>
            </w:r>
          </w:p>
        </w:tc>
        <w:tc>
          <w:tcPr>
            <w:tcW w:w="494" w:type="pct"/>
            <w:vMerge/>
            <w:tcBorders>
              <w:top w:val="outset" w:sz="6" w:space="0" w:color="auto"/>
              <w:left w:val="outset" w:sz="6" w:space="0" w:color="auto"/>
              <w:bottom w:val="outset" w:sz="6" w:space="0" w:color="auto"/>
              <w:right w:val="outset" w:sz="6" w:space="0" w:color="auto"/>
            </w:tcBorders>
            <w:vAlign w:val="center"/>
            <w:hideMark/>
          </w:tcPr>
          <w:p w14:paraId="0518A426" w14:textId="77777777" w:rsidR="00CB09B9" w:rsidRPr="00645C5F" w:rsidRDefault="00CB09B9" w:rsidP="002E47C6">
            <w:pPr>
              <w:spacing w:after="0" w:line="240" w:lineRule="auto"/>
              <w:rPr>
                <w:rFonts w:ascii="Times New Roman" w:eastAsia="Times New Roman" w:hAnsi="Times New Roman" w:cs="Times New Roman"/>
                <w:iCs/>
                <w:sz w:val="18"/>
                <w:szCs w:val="18"/>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1D5DFA08" w14:textId="77777777" w:rsidR="00CB09B9" w:rsidRPr="00645C5F" w:rsidRDefault="00CB09B9" w:rsidP="002E47C6">
            <w:pPr>
              <w:spacing w:after="0" w:line="240" w:lineRule="auto"/>
              <w:rPr>
                <w:rFonts w:ascii="Times New Roman" w:eastAsia="Times New Roman" w:hAnsi="Times New Roman" w:cs="Times New Roman"/>
                <w:iCs/>
                <w:sz w:val="18"/>
                <w:szCs w:val="18"/>
                <w:lang w:eastAsia="lv-LV"/>
              </w:rPr>
            </w:pPr>
            <w:r w:rsidRPr="00645C5F">
              <w:rPr>
                <w:rFonts w:ascii="Times New Roman" w:eastAsia="Times New Roman" w:hAnsi="Times New Roman" w:cs="Times New Roman"/>
                <w:iCs/>
                <w:sz w:val="18"/>
                <w:szCs w:val="18"/>
                <w:lang w:eastAsia="lv-LV"/>
              </w:rPr>
              <w:t> </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394DCF89" w14:textId="77777777" w:rsidR="00CB09B9" w:rsidRPr="00645C5F" w:rsidRDefault="00CB09B9" w:rsidP="002E47C6">
            <w:pPr>
              <w:spacing w:after="0" w:line="240" w:lineRule="auto"/>
              <w:rPr>
                <w:rFonts w:ascii="Times New Roman" w:eastAsia="Times New Roman" w:hAnsi="Times New Roman" w:cs="Times New Roman"/>
                <w:iCs/>
                <w:sz w:val="18"/>
                <w:szCs w:val="18"/>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791F914F" w14:textId="77777777" w:rsidR="00CB09B9" w:rsidRPr="00645C5F" w:rsidRDefault="00CB09B9" w:rsidP="002E47C6">
            <w:pPr>
              <w:spacing w:after="0" w:line="240" w:lineRule="auto"/>
              <w:rPr>
                <w:rFonts w:ascii="Times New Roman" w:eastAsia="Times New Roman" w:hAnsi="Times New Roman" w:cs="Times New Roman"/>
                <w:iCs/>
                <w:sz w:val="18"/>
                <w:szCs w:val="18"/>
                <w:lang w:eastAsia="lv-LV"/>
              </w:rPr>
            </w:pPr>
            <w:r w:rsidRPr="00645C5F">
              <w:rPr>
                <w:rFonts w:ascii="Times New Roman" w:eastAsia="Times New Roman" w:hAnsi="Times New Roman" w:cs="Times New Roman"/>
                <w:iCs/>
                <w:sz w:val="18"/>
                <w:szCs w:val="18"/>
                <w:lang w:eastAsia="lv-LV"/>
              </w:rPr>
              <w:t> </w:t>
            </w:r>
          </w:p>
        </w:tc>
        <w:tc>
          <w:tcPr>
            <w:tcW w:w="500" w:type="pct"/>
            <w:vMerge/>
            <w:tcBorders>
              <w:top w:val="outset" w:sz="6" w:space="0" w:color="auto"/>
              <w:left w:val="outset" w:sz="6" w:space="0" w:color="auto"/>
              <w:bottom w:val="outset" w:sz="6" w:space="0" w:color="auto"/>
              <w:right w:val="outset" w:sz="6" w:space="0" w:color="auto"/>
            </w:tcBorders>
            <w:vAlign w:val="center"/>
            <w:hideMark/>
          </w:tcPr>
          <w:p w14:paraId="4B167C09" w14:textId="77777777" w:rsidR="00CB09B9" w:rsidRPr="00645C5F" w:rsidRDefault="00CB09B9" w:rsidP="002E47C6">
            <w:pPr>
              <w:spacing w:after="0" w:line="240" w:lineRule="auto"/>
              <w:rPr>
                <w:rFonts w:ascii="Times New Roman" w:eastAsia="Times New Roman" w:hAnsi="Times New Roman" w:cs="Times New Roman"/>
                <w:iCs/>
                <w:sz w:val="18"/>
                <w:szCs w:val="1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38A13452" w14:textId="77777777" w:rsidR="00CB09B9" w:rsidRPr="00645C5F" w:rsidRDefault="00CB09B9" w:rsidP="002E47C6">
            <w:pPr>
              <w:spacing w:after="0" w:line="240" w:lineRule="auto"/>
              <w:rPr>
                <w:rFonts w:ascii="Times New Roman" w:eastAsia="Times New Roman" w:hAnsi="Times New Roman" w:cs="Times New Roman"/>
                <w:iCs/>
                <w:sz w:val="18"/>
                <w:szCs w:val="18"/>
                <w:lang w:eastAsia="lv-LV"/>
              </w:rPr>
            </w:pPr>
            <w:r w:rsidRPr="00645C5F">
              <w:rPr>
                <w:rFonts w:ascii="Times New Roman" w:eastAsia="Times New Roman" w:hAnsi="Times New Roman" w:cs="Times New Roman"/>
                <w:iCs/>
                <w:sz w:val="18"/>
                <w:szCs w:val="18"/>
                <w:lang w:eastAsia="lv-LV"/>
              </w:rPr>
              <w:t> </w:t>
            </w:r>
          </w:p>
        </w:tc>
        <w:tc>
          <w:tcPr>
            <w:tcW w:w="1012" w:type="pct"/>
            <w:gridSpan w:val="2"/>
            <w:tcBorders>
              <w:top w:val="outset" w:sz="6" w:space="0" w:color="auto"/>
              <w:left w:val="outset" w:sz="6" w:space="0" w:color="auto"/>
              <w:bottom w:val="outset" w:sz="6" w:space="0" w:color="auto"/>
              <w:right w:val="outset" w:sz="6" w:space="0" w:color="auto"/>
            </w:tcBorders>
            <w:vAlign w:val="center"/>
            <w:hideMark/>
          </w:tcPr>
          <w:p w14:paraId="1B60F978" w14:textId="77777777" w:rsidR="00CB09B9" w:rsidRPr="00645C5F" w:rsidRDefault="00CB09B9" w:rsidP="002E47C6">
            <w:pPr>
              <w:spacing w:after="0" w:line="240" w:lineRule="auto"/>
              <w:rPr>
                <w:rFonts w:ascii="Times New Roman" w:eastAsia="Times New Roman" w:hAnsi="Times New Roman" w:cs="Times New Roman"/>
                <w:iCs/>
                <w:sz w:val="18"/>
                <w:szCs w:val="18"/>
                <w:lang w:eastAsia="lv-LV"/>
              </w:rPr>
            </w:pPr>
            <w:r w:rsidRPr="00645C5F">
              <w:rPr>
                <w:rFonts w:ascii="Times New Roman" w:eastAsia="Times New Roman" w:hAnsi="Times New Roman" w:cs="Times New Roman"/>
                <w:iCs/>
                <w:sz w:val="18"/>
                <w:szCs w:val="18"/>
                <w:lang w:eastAsia="lv-LV"/>
              </w:rPr>
              <w:t> </w:t>
            </w:r>
          </w:p>
        </w:tc>
      </w:tr>
      <w:tr w:rsidR="00D36059" w:rsidRPr="00645C5F" w14:paraId="65FD6014" w14:textId="77777777" w:rsidTr="00D36059">
        <w:trPr>
          <w:tblCellSpacing w:w="15" w:type="dxa"/>
        </w:trPr>
        <w:tc>
          <w:tcPr>
            <w:tcW w:w="668" w:type="pct"/>
            <w:tcBorders>
              <w:top w:val="outset" w:sz="6" w:space="0" w:color="auto"/>
              <w:left w:val="outset" w:sz="6" w:space="0" w:color="auto"/>
              <w:bottom w:val="outset" w:sz="6" w:space="0" w:color="auto"/>
              <w:right w:val="outset" w:sz="6" w:space="0" w:color="auto"/>
            </w:tcBorders>
            <w:hideMark/>
          </w:tcPr>
          <w:p w14:paraId="63C839F2"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5.3. pašvaldību budžets</w:t>
            </w:r>
          </w:p>
        </w:tc>
        <w:tc>
          <w:tcPr>
            <w:tcW w:w="494" w:type="pct"/>
            <w:vMerge/>
            <w:tcBorders>
              <w:top w:val="outset" w:sz="6" w:space="0" w:color="auto"/>
              <w:left w:val="outset" w:sz="6" w:space="0" w:color="auto"/>
              <w:bottom w:val="outset" w:sz="6" w:space="0" w:color="auto"/>
              <w:right w:val="outset" w:sz="6" w:space="0" w:color="auto"/>
            </w:tcBorders>
            <w:vAlign w:val="center"/>
            <w:hideMark/>
          </w:tcPr>
          <w:p w14:paraId="1363F36D" w14:textId="77777777" w:rsidR="00CB09B9" w:rsidRPr="00645C5F" w:rsidRDefault="00CB09B9" w:rsidP="002E47C6">
            <w:pPr>
              <w:spacing w:after="0" w:line="240" w:lineRule="auto"/>
              <w:rPr>
                <w:rFonts w:ascii="Times New Roman" w:eastAsia="Times New Roman" w:hAnsi="Times New Roman" w:cs="Times New Roman"/>
                <w:iCs/>
                <w:sz w:val="18"/>
                <w:szCs w:val="18"/>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7C7E4F65" w14:textId="77777777" w:rsidR="00CB09B9" w:rsidRPr="00645C5F" w:rsidRDefault="00CB09B9" w:rsidP="002E47C6">
            <w:pPr>
              <w:spacing w:after="0" w:line="240" w:lineRule="auto"/>
              <w:rPr>
                <w:rFonts w:ascii="Times New Roman" w:eastAsia="Times New Roman" w:hAnsi="Times New Roman" w:cs="Times New Roman"/>
                <w:iCs/>
                <w:sz w:val="18"/>
                <w:szCs w:val="18"/>
                <w:lang w:eastAsia="lv-LV"/>
              </w:rPr>
            </w:pPr>
            <w:r w:rsidRPr="00645C5F">
              <w:rPr>
                <w:rFonts w:ascii="Times New Roman" w:eastAsia="Times New Roman" w:hAnsi="Times New Roman" w:cs="Times New Roman"/>
                <w:iCs/>
                <w:sz w:val="18"/>
                <w:szCs w:val="18"/>
                <w:lang w:eastAsia="lv-LV"/>
              </w:rPr>
              <w:t> </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14B8DBBE" w14:textId="77777777" w:rsidR="00CB09B9" w:rsidRPr="00645C5F" w:rsidRDefault="00CB09B9" w:rsidP="002E47C6">
            <w:pPr>
              <w:spacing w:after="0" w:line="240" w:lineRule="auto"/>
              <w:rPr>
                <w:rFonts w:ascii="Times New Roman" w:eastAsia="Times New Roman" w:hAnsi="Times New Roman" w:cs="Times New Roman"/>
                <w:iCs/>
                <w:sz w:val="18"/>
                <w:szCs w:val="18"/>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12D2B9DB" w14:textId="77777777" w:rsidR="00CB09B9" w:rsidRPr="00645C5F" w:rsidRDefault="00CB09B9" w:rsidP="002E47C6">
            <w:pPr>
              <w:spacing w:after="0" w:line="240" w:lineRule="auto"/>
              <w:rPr>
                <w:rFonts w:ascii="Times New Roman" w:eastAsia="Times New Roman" w:hAnsi="Times New Roman" w:cs="Times New Roman"/>
                <w:iCs/>
                <w:sz w:val="18"/>
                <w:szCs w:val="18"/>
                <w:lang w:eastAsia="lv-LV"/>
              </w:rPr>
            </w:pPr>
            <w:r w:rsidRPr="00645C5F">
              <w:rPr>
                <w:rFonts w:ascii="Times New Roman" w:eastAsia="Times New Roman" w:hAnsi="Times New Roman" w:cs="Times New Roman"/>
                <w:iCs/>
                <w:sz w:val="18"/>
                <w:szCs w:val="18"/>
                <w:lang w:eastAsia="lv-LV"/>
              </w:rPr>
              <w:t> </w:t>
            </w:r>
          </w:p>
        </w:tc>
        <w:tc>
          <w:tcPr>
            <w:tcW w:w="500" w:type="pct"/>
            <w:vMerge/>
            <w:tcBorders>
              <w:top w:val="outset" w:sz="6" w:space="0" w:color="auto"/>
              <w:left w:val="outset" w:sz="6" w:space="0" w:color="auto"/>
              <w:bottom w:val="outset" w:sz="6" w:space="0" w:color="auto"/>
              <w:right w:val="outset" w:sz="6" w:space="0" w:color="auto"/>
            </w:tcBorders>
            <w:vAlign w:val="center"/>
            <w:hideMark/>
          </w:tcPr>
          <w:p w14:paraId="3930B205" w14:textId="77777777" w:rsidR="00CB09B9" w:rsidRPr="00645C5F" w:rsidRDefault="00CB09B9" w:rsidP="002E47C6">
            <w:pPr>
              <w:spacing w:after="0" w:line="240" w:lineRule="auto"/>
              <w:rPr>
                <w:rFonts w:ascii="Times New Roman" w:eastAsia="Times New Roman" w:hAnsi="Times New Roman" w:cs="Times New Roman"/>
                <w:iCs/>
                <w:sz w:val="18"/>
                <w:szCs w:val="1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1C2A2AC8" w14:textId="77777777" w:rsidR="00CB09B9" w:rsidRPr="00645C5F" w:rsidRDefault="00CB09B9" w:rsidP="002E47C6">
            <w:pPr>
              <w:spacing w:after="0" w:line="240" w:lineRule="auto"/>
              <w:rPr>
                <w:rFonts w:ascii="Times New Roman" w:eastAsia="Times New Roman" w:hAnsi="Times New Roman" w:cs="Times New Roman"/>
                <w:iCs/>
                <w:sz w:val="18"/>
                <w:szCs w:val="18"/>
                <w:lang w:eastAsia="lv-LV"/>
              </w:rPr>
            </w:pPr>
            <w:r w:rsidRPr="00645C5F">
              <w:rPr>
                <w:rFonts w:ascii="Times New Roman" w:eastAsia="Times New Roman" w:hAnsi="Times New Roman" w:cs="Times New Roman"/>
                <w:iCs/>
                <w:sz w:val="18"/>
                <w:szCs w:val="18"/>
                <w:lang w:eastAsia="lv-LV"/>
              </w:rPr>
              <w:t> </w:t>
            </w:r>
          </w:p>
        </w:tc>
        <w:tc>
          <w:tcPr>
            <w:tcW w:w="1012" w:type="pct"/>
            <w:gridSpan w:val="2"/>
            <w:tcBorders>
              <w:top w:val="outset" w:sz="6" w:space="0" w:color="auto"/>
              <w:left w:val="outset" w:sz="6" w:space="0" w:color="auto"/>
              <w:bottom w:val="outset" w:sz="6" w:space="0" w:color="auto"/>
              <w:right w:val="outset" w:sz="6" w:space="0" w:color="auto"/>
            </w:tcBorders>
            <w:vAlign w:val="center"/>
            <w:hideMark/>
          </w:tcPr>
          <w:p w14:paraId="18B800A4" w14:textId="77777777" w:rsidR="00CB09B9" w:rsidRPr="00645C5F" w:rsidRDefault="00CB09B9" w:rsidP="002E47C6">
            <w:pPr>
              <w:spacing w:after="0" w:line="240" w:lineRule="auto"/>
              <w:rPr>
                <w:rFonts w:ascii="Times New Roman" w:eastAsia="Times New Roman" w:hAnsi="Times New Roman" w:cs="Times New Roman"/>
                <w:iCs/>
                <w:sz w:val="18"/>
                <w:szCs w:val="18"/>
                <w:lang w:eastAsia="lv-LV"/>
              </w:rPr>
            </w:pPr>
            <w:r w:rsidRPr="00645C5F">
              <w:rPr>
                <w:rFonts w:ascii="Times New Roman" w:eastAsia="Times New Roman" w:hAnsi="Times New Roman" w:cs="Times New Roman"/>
                <w:iCs/>
                <w:sz w:val="18"/>
                <w:szCs w:val="18"/>
                <w:lang w:eastAsia="lv-LV"/>
              </w:rPr>
              <w:t> </w:t>
            </w:r>
          </w:p>
        </w:tc>
      </w:tr>
      <w:tr w:rsidR="00D36059" w:rsidRPr="00645C5F" w14:paraId="39BD3299" w14:textId="77777777" w:rsidTr="00D36059">
        <w:trPr>
          <w:gridAfter w:val="1"/>
          <w:wAfter w:w="20" w:type="pct"/>
          <w:tblCellSpacing w:w="15" w:type="dxa"/>
        </w:trPr>
        <w:tc>
          <w:tcPr>
            <w:tcW w:w="668" w:type="pct"/>
            <w:tcBorders>
              <w:top w:val="outset" w:sz="6" w:space="0" w:color="auto"/>
              <w:left w:val="outset" w:sz="6" w:space="0" w:color="auto"/>
              <w:bottom w:val="outset" w:sz="6" w:space="0" w:color="auto"/>
              <w:right w:val="outset" w:sz="6" w:space="0" w:color="auto"/>
            </w:tcBorders>
            <w:hideMark/>
          </w:tcPr>
          <w:p w14:paraId="445BCA90"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p>
        </w:tc>
        <w:tc>
          <w:tcPr>
            <w:tcW w:w="4247" w:type="pct"/>
            <w:gridSpan w:val="7"/>
            <w:tcBorders>
              <w:top w:val="outset" w:sz="6" w:space="0" w:color="auto"/>
              <w:left w:val="outset" w:sz="6" w:space="0" w:color="auto"/>
              <w:bottom w:val="outset" w:sz="6" w:space="0" w:color="auto"/>
              <w:right w:val="outset" w:sz="6" w:space="0" w:color="auto"/>
            </w:tcBorders>
            <w:vAlign w:val="center"/>
            <w:hideMark/>
          </w:tcPr>
          <w:p w14:paraId="1076D45A" w14:textId="77777777" w:rsidR="00CB09B9" w:rsidRPr="00645C5F" w:rsidRDefault="00CB09B9" w:rsidP="002E47C6">
            <w:pPr>
              <w:widowControl w:val="0"/>
              <w:spacing w:after="0" w:line="240" w:lineRule="auto"/>
              <w:ind w:firstLine="298"/>
              <w:jc w:val="both"/>
              <w:rPr>
                <w:rFonts w:ascii="Times New Roman" w:eastAsia="Times New Roman" w:hAnsi="Times New Roman" w:cs="Times New Roman"/>
                <w:noProof/>
                <w:sz w:val="24"/>
                <w:szCs w:val="24"/>
                <w:lang w:eastAsia="lv-LV"/>
              </w:rPr>
            </w:pPr>
          </w:p>
        </w:tc>
      </w:tr>
      <w:tr w:rsidR="00D36059" w:rsidRPr="00645C5F" w14:paraId="54BC69AA" w14:textId="77777777" w:rsidTr="00D36059">
        <w:trPr>
          <w:gridAfter w:val="1"/>
          <w:wAfter w:w="20" w:type="pct"/>
          <w:trHeight w:val="962"/>
          <w:tblCellSpacing w:w="15" w:type="dxa"/>
        </w:trPr>
        <w:tc>
          <w:tcPr>
            <w:tcW w:w="668" w:type="pct"/>
            <w:tcBorders>
              <w:top w:val="outset" w:sz="6" w:space="0" w:color="auto"/>
              <w:left w:val="outset" w:sz="6" w:space="0" w:color="auto"/>
              <w:bottom w:val="outset" w:sz="6" w:space="0" w:color="auto"/>
              <w:right w:val="outset" w:sz="6" w:space="0" w:color="auto"/>
            </w:tcBorders>
            <w:hideMark/>
          </w:tcPr>
          <w:p w14:paraId="2A4AF060"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247"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FEC1A20" w14:textId="09CB4EE8" w:rsidR="00DE1567" w:rsidRPr="00645C5F" w:rsidRDefault="00DE1567" w:rsidP="004741A2">
            <w:pPr>
              <w:pStyle w:val="tv213"/>
              <w:shd w:val="clear" w:color="auto" w:fill="FFFFFF"/>
              <w:spacing w:before="0" w:beforeAutospacing="0" w:after="0" w:afterAutospacing="0" w:line="293" w:lineRule="atLeast"/>
              <w:ind w:firstLine="300"/>
              <w:jc w:val="both"/>
            </w:pPr>
            <w:r w:rsidRPr="00645C5F">
              <w:rPr>
                <w:noProof/>
              </w:rPr>
              <w:t xml:space="preserve">Saskaņā ar </w:t>
            </w:r>
            <w:r w:rsidR="004741A2" w:rsidRPr="00645C5F">
              <w:rPr>
                <w:noProof/>
              </w:rPr>
              <w:t>N</w:t>
            </w:r>
            <w:r w:rsidRPr="00645C5F">
              <w:rPr>
                <w:noProof/>
              </w:rPr>
              <w:t>oteikumu Nr.892  3.punktu</w:t>
            </w:r>
            <w:r w:rsidR="004741A2" w:rsidRPr="00645C5F">
              <w:rPr>
                <w:noProof/>
              </w:rPr>
              <w:t>,</w:t>
            </w:r>
            <w:r w:rsidRPr="00645C5F">
              <w:rPr>
                <w:noProof/>
              </w:rPr>
              <w:t xml:space="preserve"> </w:t>
            </w:r>
            <w:r w:rsidRPr="00645C5F">
              <w:t>valsts nodevu aprēķina par katru īso kodu, uz kuru ir piešķirtas vai piešķirtas un pagarinātas numerācijas lietošanas tiesības, izmantojot šādu formulu:</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70"/>
              <w:gridCol w:w="886"/>
              <w:gridCol w:w="419"/>
            </w:tblGrid>
            <w:tr w:rsidR="00C167CF" w:rsidRPr="00645C5F" w14:paraId="21B1B7B9" w14:textId="77777777" w:rsidTr="00C167CF">
              <w:trPr>
                <w:jc w:val="center"/>
              </w:trPr>
              <w:tc>
                <w:tcPr>
                  <w:tcW w:w="570" w:type="dxa"/>
                  <w:vMerge w:val="restart"/>
                  <w:tcBorders>
                    <w:top w:val="nil"/>
                    <w:left w:val="nil"/>
                    <w:bottom w:val="nil"/>
                    <w:right w:val="nil"/>
                  </w:tcBorders>
                  <w:shd w:val="clear" w:color="auto" w:fill="FFFFFF"/>
                  <w:noWrap/>
                  <w:vAlign w:val="center"/>
                  <w:hideMark/>
                </w:tcPr>
                <w:p w14:paraId="457AC0A9" w14:textId="77777777" w:rsidR="00C167CF" w:rsidRPr="00645C5F" w:rsidRDefault="00C167CF" w:rsidP="00C167CF">
                  <w:pPr>
                    <w:spacing w:after="0" w:line="240" w:lineRule="auto"/>
                    <w:jc w:val="right"/>
                    <w:rPr>
                      <w:rFonts w:ascii="Arial" w:eastAsia="Times New Roman" w:hAnsi="Arial" w:cs="Arial"/>
                      <w:i/>
                      <w:iCs/>
                      <w:sz w:val="20"/>
                      <w:szCs w:val="20"/>
                      <w:lang w:eastAsia="lv-LV"/>
                    </w:rPr>
                  </w:pPr>
                  <w:proofErr w:type="spellStart"/>
                  <w:r w:rsidRPr="00645C5F">
                    <w:rPr>
                      <w:rFonts w:ascii="Arial" w:eastAsia="Times New Roman" w:hAnsi="Arial" w:cs="Arial"/>
                      <w:i/>
                      <w:iCs/>
                      <w:sz w:val="20"/>
                      <w:szCs w:val="20"/>
                      <w:lang w:eastAsia="lv-LV"/>
                    </w:rPr>
                    <w:t>Nod</w:t>
                  </w:r>
                  <w:proofErr w:type="spellEnd"/>
                  <w:r w:rsidRPr="00645C5F">
                    <w:rPr>
                      <w:rFonts w:ascii="Arial" w:eastAsia="Times New Roman" w:hAnsi="Arial" w:cs="Arial"/>
                      <w:i/>
                      <w:iCs/>
                      <w:sz w:val="20"/>
                      <w:szCs w:val="20"/>
                      <w:lang w:eastAsia="lv-LV"/>
                    </w:rPr>
                    <w:t xml:space="preserve"> =</w:t>
                  </w:r>
                </w:p>
              </w:tc>
              <w:tc>
                <w:tcPr>
                  <w:tcW w:w="886" w:type="dxa"/>
                  <w:tcBorders>
                    <w:top w:val="nil"/>
                    <w:left w:val="nil"/>
                    <w:bottom w:val="single" w:sz="6" w:space="0" w:color="000000"/>
                    <w:right w:val="nil"/>
                  </w:tcBorders>
                  <w:shd w:val="clear" w:color="auto" w:fill="FFFFFF"/>
                  <w:noWrap/>
                  <w:vAlign w:val="center"/>
                  <w:hideMark/>
                </w:tcPr>
                <w:p w14:paraId="113DF4F4" w14:textId="77777777" w:rsidR="00C167CF" w:rsidRPr="00645C5F" w:rsidRDefault="00C167CF" w:rsidP="00C167CF">
                  <w:pPr>
                    <w:spacing w:after="0" w:line="240" w:lineRule="auto"/>
                    <w:jc w:val="center"/>
                    <w:rPr>
                      <w:rFonts w:ascii="Arial" w:eastAsia="Times New Roman" w:hAnsi="Arial" w:cs="Arial"/>
                      <w:sz w:val="20"/>
                      <w:szCs w:val="20"/>
                      <w:lang w:eastAsia="lv-LV"/>
                    </w:rPr>
                  </w:pPr>
                  <w:r w:rsidRPr="00645C5F">
                    <w:rPr>
                      <w:rFonts w:ascii="Arial" w:eastAsia="Times New Roman" w:hAnsi="Arial" w:cs="Arial"/>
                      <w:i/>
                      <w:iCs/>
                      <w:sz w:val="20"/>
                      <w:szCs w:val="20"/>
                      <w:lang w:eastAsia="lv-LV"/>
                    </w:rPr>
                    <w:t>L</w:t>
                  </w:r>
                  <w:r w:rsidRPr="00645C5F">
                    <w:rPr>
                      <w:rFonts w:ascii="Arial" w:eastAsia="Times New Roman" w:hAnsi="Arial" w:cs="Arial"/>
                      <w:sz w:val="20"/>
                      <w:szCs w:val="20"/>
                      <w:lang w:eastAsia="lv-LV"/>
                    </w:rPr>
                    <w:t> × </w:t>
                  </w:r>
                  <w:r w:rsidRPr="00645C5F">
                    <w:rPr>
                      <w:rFonts w:ascii="Arial" w:eastAsia="Times New Roman" w:hAnsi="Arial" w:cs="Arial"/>
                      <w:i/>
                      <w:iCs/>
                      <w:sz w:val="20"/>
                      <w:szCs w:val="20"/>
                      <w:lang w:eastAsia="lv-LV"/>
                    </w:rPr>
                    <w:t>N</w:t>
                  </w:r>
                  <w:r w:rsidRPr="00645C5F">
                    <w:rPr>
                      <w:rFonts w:ascii="Arial" w:eastAsia="Times New Roman" w:hAnsi="Arial" w:cs="Arial"/>
                      <w:sz w:val="20"/>
                      <w:szCs w:val="20"/>
                      <w:lang w:eastAsia="lv-LV"/>
                    </w:rPr>
                    <w:t> × </w:t>
                  </w:r>
                  <w:r w:rsidRPr="00645C5F">
                    <w:rPr>
                      <w:rFonts w:ascii="Arial" w:eastAsia="Times New Roman" w:hAnsi="Arial" w:cs="Arial"/>
                      <w:i/>
                      <w:iCs/>
                      <w:sz w:val="20"/>
                      <w:szCs w:val="20"/>
                      <w:lang w:eastAsia="lv-LV"/>
                    </w:rPr>
                    <w:t>D</w:t>
                  </w:r>
                </w:p>
              </w:tc>
              <w:tc>
                <w:tcPr>
                  <w:tcW w:w="419" w:type="dxa"/>
                  <w:vMerge w:val="restart"/>
                  <w:tcBorders>
                    <w:top w:val="nil"/>
                    <w:left w:val="nil"/>
                    <w:bottom w:val="nil"/>
                    <w:right w:val="nil"/>
                  </w:tcBorders>
                  <w:shd w:val="clear" w:color="auto" w:fill="FFFFFF"/>
                  <w:noWrap/>
                  <w:vAlign w:val="center"/>
                </w:tcPr>
                <w:p w14:paraId="10EAFB27" w14:textId="705B89A1" w:rsidR="00C167CF" w:rsidRPr="00645C5F" w:rsidRDefault="00C167CF" w:rsidP="00C167CF">
                  <w:pPr>
                    <w:spacing w:after="0" w:line="240" w:lineRule="auto"/>
                    <w:rPr>
                      <w:rFonts w:ascii="Arial" w:eastAsia="Times New Roman" w:hAnsi="Arial" w:cs="Arial"/>
                      <w:i/>
                      <w:iCs/>
                      <w:color w:val="414142"/>
                      <w:sz w:val="20"/>
                      <w:szCs w:val="20"/>
                      <w:lang w:eastAsia="lv-LV"/>
                    </w:rPr>
                  </w:pPr>
                </w:p>
              </w:tc>
            </w:tr>
            <w:tr w:rsidR="00C167CF" w:rsidRPr="00645C5F" w14:paraId="41254304" w14:textId="77777777" w:rsidTr="00C167CF">
              <w:trPr>
                <w:jc w:val="center"/>
              </w:trPr>
              <w:tc>
                <w:tcPr>
                  <w:tcW w:w="570" w:type="dxa"/>
                  <w:vMerge/>
                  <w:tcBorders>
                    <w:top w:val="nil"/>
                    <w:left w:val="nil"/>
                    <w:bottom w:val="nil"/>
                    <w:right w:val="nil"/>
                  </w:tcBorders>
                  <w:shd w:val="clear" w:color="auto" w:fill="FFFFFF"/>
                  <w:vAlign w:val="center"/>
                  <w:hideMark/>
                </w:tcPr>
                <w:p w14:paraId="39E202A8" w14:textId="77777777" w:rsidR="00C167CF" w:rsidRPr="00645C5F" w:rsidRDefault="00C167CF" w:rsidP="00C167CF">
                  <w:pPr>
                    <w:spacing w:after="0" w:line="240" w:lineRule="auto"/>
                    <w:rPr>
                      <w:rFonts w:ascii="Arial" w:eastAsia="Times New Roman" w:hAnsi="Arial" w:cs="Arial"/>
                      <w:i/>
                      <w:iCs/>
                      <w:sz w:val="20"/>
                      <w:szCs w:val="20"/>
                      <w:lang w:eastAsia="lv-LV"/>
                    </w:rPr>
                  </w:pPr>
                </w:p>
              </w:tc>
              <w:tc>
                <w:tcPr>
                  <w:tcW w:w="886" w:type="dxa"/>
                  <w:tcBorders>
                    <w:top w:val="nil"/>
                    <w:left w:val="nil"/>
                    <w:bottom w:val="nil"/>
                    <w:right w:val="nil"/>
                  </w:tcBorders>
                  <w:shd w:val="clear" w:color="auto" w:fill="FFFFFF"/>
                  <w:noWrap/>
                  <w:vAlign w:val="center"/>
                  <w:hideMark/>
                </w:tcPr>
                <w:p w14:paraId="2E8CC7B1" w14:textId="77777777" w:rsidR="00C167CF" w:rsidRPr="00645C5F" w:rsidRDefault="00C167CF" w:rsidP="00C167CF">
                  <w:pPr>
                    <w:spacing w:after="0" w:line="240" w:lineRule="auto"/>
                    <w:jc w:val="center"/>
                    <w:rPr>
                      <w:rFonts w:ascii="Arial" w:eastAsia="Times New Roman" w:hAnsi="Arial" w:cs="Arial"/>
                      <w:i/>
                      <w:iCs/>
                      <w:sz w:val="20"/>
                      <w:szCs w:val="20"/>
                      <w:lang w:eastAsia="lv-LV"/>
                    </w:rPr>
                  </w:pPr>
                  <w:r w:rsidRPr="00645C5F">
                    <w:rPr>
                      <w:rFonts w:ascii="Arial" w:eastAsia="Times New Roman" w:hAnsi="Arial" w:cs="Arial"/>
                      <w:i/>
                      <w:iCs/>
                      <w:sz w:val="20"/>
                      <w:szCs w:val="20"/>
                      <w:lang w:eastAsia="lv-LV"/>
                    </w:rPr>
                    <w:t>G</w:t>
                  </w:r>
                </w:p>
              </w:tc>
              <w:tc>
                <w:tcPr>
                  <w:tcW w:w="419" w:type="dxa"/>
                  <w:vMerge/>
                  <w:tcBorders>
                    <w:top w:val="nil"/>
                    <w:left w:val="nil"/>
                    <w:bottom w:val="nil"/>
                    <w:right w:val="nil"/>
                  </w:tcBorders>
                  <w:shd w:val="clear" w:color="auto" w:fill="FFFFFF"/>
                  <w:vAlign w:val="center"/>
                  <w:hideMark/>
                </w:tcPr>
                <w:p w14:paraId="69D590EA" w14:textId="77777777" w:rsidR="00C167CF" w:rsidRPr="00645C5F" w:rsidRDefault="00C167CF" w:rsidP="00C167CF">
                  <w:pPr>
                    <w:spacing w:after="0" w:line="240" w:lineRule="auto"/>
                    <w:rPr>
                      <w:rFonts w:ascii="Arial" w:eastAsia="Times New Roman" w:hAnsi="Arial" w:cs="Arial"/>
                      <w:i/>
                      <w:iCs/>
                      <w:color w:val="414142"/>
                      <w:sz w:val="20"/>
                      <w:szCs w:val="20"/>
                      <w:lang w:eastAsia="lv-LV"/>
                    </w:rPr>
                  </w:pPr>
                </w:p>
              </w:tc>
            </w:tr>
          </w:tbl>
          <w:p w14:paraId="76C56374" w14:textId="34A6E227" w:rsidR="00DE1567" w:rsidRPr="00645C5F" w:rsidRDefault="00F143BD" w:rsidP="00F143BD">
            <w:pPr>
              <w:pStyle w:val="tv213"/>
              <w:shd w:val="clear" w:color="auto" w:fill="FFFFFF"/>
              <w:spacing w:before="0" w:beforeAutospacing="0" w:after="0" w:afterAutospacing="0" w:line="293" w:lineRule="atLeast"/>
              <w:jc w:val="both"/>
              <w:rPr>
                <w:noProof/>
              </w:rPr>
            </w:pPr>
            <w:r w:rsidRPr="00645C5F">
              <w:rPr>
                <w:noProof/>
              </w:rPr>
              <w:t xml:space="preserve">Noteikumu projekts </w:t>
            </w:r>
            <w:r w:rsidR="00914825" w:rsidRPr="00645C5F">
              <w:rPr>
                <w:noProof/>
              </w:rPr>
              <w:t xml:space="preserve">paredz, ka </w:t>
            </w:r>
            <w:r w:rsidR="00DE1567" w:rsidRPr="00645C5F">
              <w:rPr>
                <w:noProof/>
              </w:rPr>
              <w:t>valsts nodevas par publisko telefonu tīklu operatoru pakalpojumu kodu (4 cipari) atbrīvojums atteiksies uz numuru 8303 un 8345 par periodu no 2020.gada 10.jūnija līdz 2020.gada 31.decembrim</w:t>
            </w:r>
            <w:r w:rsidR="0028679B" w:rsidRPr="00645C5F">
              <w:rPr>
                <w:noProof/>
              </w:rPr>
              <w:t>.</w:t>
            </w:r>
          </w:p>
          <w:p w14:paraId="0ACB4E07" w14:textId="77777777" w:rsidR="0028679B" w:rsidRPr="00645C5F" w:rsidRDefault="0028679B" w:rsidP="0028679B">
            <w:pPr>
              <w:pStyle w:val="tvhtml"/>
              <w:shd w:val="clear" w:color="auto" w:fill="FFFFFF"/>
              <w:spacing w:before="0" w:beforeAutospacing="0" w:after="0" w:afterAutospacing="0"/>
              <w:jc w:val="both"/>
            </w:pPr>
          </w:p>
          <w:p w14:paraId="71F9AE38" w14:textId="7E7CA462" w:rsidR="00DE1567" w:rsidRPr="00645C5F" w:rsidRDefault="0028679B" w:rsidP="0028679B">
            <w:pPr>
              <w:pStyle w:val="tvhtml"/>
              <w:shd w:val="clear" w:color="auto" w:fill="FFFFFF"/>
              <w:spacing w:before="0" w:beforeAutospacing="0" w:after="0" w:afterAutospacing="0"/>
              <w:jc w:val="both"/>
            </w:pPr>
            <w:r w:rsidRPr="00645C5F">
              <w:t xml:space="preserve">L – nodeva par vienu kodu gadā </w:t>
            </w:r>
            <w:proofErr w:type="spellStart"/>
            <w:r w:rsidRPr="00645C5F">
              <w:t>euro</w:t>
            </w:r>
            <w:proofErr w:type="spellEnd"/>
            <w:r w:rsidRPr="00645C5F">
              <w:t xml:space="preserve">: 1402,50 </w:t>
            </w:r>
            <w:proofErr w:type="spellStart"/>
            <w:r w:rsidRPr="00645C5F">
              <w:t>euro</w:t>
            </w:r>
            <w:proofErr w:type="spellEnd"/>
            <w:r w:rsidRPr="00645C5F">
              <w:t>;</w:t>
            </w:r>
          </w:p>
          <w:p w14:paraId="0EBB362C" w14:textId="6C56F4C3" w:rsidR="0028679B" w:rsidRPr="00645C5F" w:rsidRDefault="0028679B" w:rsidP="0028679B">
            <w:pPr>
              <w:pStyle w:val="tvhtml"/>
              <w:shd w:val="clear" w:color="auto" w:fill="FFFFFF"/>
              <w:spacing w:before="0" w:beforeAutospacing="0" w:after="0" w:afterAutospacing="0"/>
              <w:jc w:val="both"/>
            </w:pPr>
            <w:r w:rsidRPr="00645C5F">
              <w:t>N – īso kodu skaits, uz kuriem elektronisko sakaru komersantam ir piešķirtas vai piešķirtas un pagarinātas numerācijas lietošanas tiesības: 2;</w:t>
            </w:r>
          </w:p>
          <w:p w14:paraId="5EF8BD92" w14:textId="7D81F8C9" w:rsidR="0028679B" w:rsidRPr="00645C5F" w:rsidRDefault="0028679B" w:rsidP="0028679B">
            <w:pPr>
              <w:pStyle w:val="tvhtml"/>
              <w:shd w:val="clear" w:color="auto" w:fill="FFFFFF"/>
              <w:spacing w:before="0" w:beforeAutospacing="0" w:after="0" w:afterAutospacing="0"/>
              <w:jc w:val="both"/>
              <w:rPr>
                <w:noProof/>
              </w:rPr>
            </w:pPr>
            <w:r w:rsidRPr="00645C5F">
              <w:t xml:space="preserve">D – dienu skaits taksācijas periodā, kurās elektronisko sakaru komersantam ir piešķirtas vai piešķirtas un pagarinātas numerācijas lietošanas tiesības konkrētajam īsajam kodam: 204 </w:t>
            </w:r>
            <w:r w:rsidRPr="00645C5F">
              <w:rPr>
                <w:noProof/>
              </w:rPr>
              <w:t>kalendārās dien</w:t>
            </w:r>
            <w:r w:rsidR="00594E4E" w:rsidRPr="00645C5F">
              <w:rPr>
                <w:noProof/>
              </w:rPr>
              <w:t>a</w:t>
            </w:r>
            <w:r w:rsidRPr="00645C5F">
              <w:rPr>
                <w:noProof/>
              </w:rPr>
              <w:t>s;</w:t>
            </w:r>
          </w:p>
          <w:p w14:paraId="73987887" w14:textId="1A93A925" w:rsidR="00A26961" w:rsidRPr="00645C5F" w:rsidRDefault="00A26961" w:rsidP="0028679B">
            <w:pPr>
              <w:pStyle w:val="tvhtml"/>
              <w:shd w:val="clear" w:color="auto" w:fill="FFFFFF"/>
              <w:spacing w:before="0" w:beforeAutospacing="0" w:after="0" w:afterAutospacing="0"/>
              <w:jc w:val="both"/>
              <w:rPr>
                <w:noProof/>
              </w:rPr>
            </w:pPr>
            <w:r w:rsidRPr="00645C5F">
              <w:rPr>
                <w:noProof/>
              </w:rPr>
              <w:t>G – dienu skaits gadā: 365 dienas.</w:t>
            </w:r>
          </w:p>
          <w:p w14:paraId="2DCCA6FE" w14:textId="02F2DA54" w:rsidR="00A26961" w:rsidRPr="00645C5F" w:rsidRDefault="00A26961" w:rsidP="0028679B">
            <w:pPr>
              <w:pStyle w:val="tvhtml"/>
              <w:shd w:val="clear" w:color="auto" w:fill="FFFFFF"/>
              <w:spacing w:before="0" w:beforeAutospacing="0" w:after="0" w:afterAutospacing="0"/>
              <w:jc w:val="both"/>
              <w:rPr>
                <w:noProof/>
              </w:rPr>
            </w:pPr>
          </w:p>
          <w:p w14:paraId="39AE79AB" w14:textId="4C0F7A04" w:rsidR="00A26961" w:rsidRPr="00645C5F" w:rsidRDefault="00A26961" w:rsidP="0028679B">
            <w:pPr>
              <w:pStyle w:val="tvhtml"/>
              <w:shd w:val="clear" w:color="auto" w:fill="FFFFFF"/>
              <w:spacing w:before="0" w:beforeAutospacing="0" w:after="0" w:afterAutospacing="0"/>
              <w:jc w:val="both"/>
              <w:rPr>
                <w:noProof/>
              </w:rPr>
            </w:pPr>
            <w:r w:rsidRPr="00645C5F">
              <w:rPr>
                <w:noProof/>
              </w:rPr>
              <w:t>Valsts nodeva, kas tiktu ieskaita valsts pamatbudžeta ieņēmumos, ja nodevas atbrīvojums nebūtu, ir:</w:t>
            </w:r>
          </w:p>
          <w:p w14:paraId="08C8B9FB" w14:textId="5C57754C" w:rsidR="00A26961" w:rsidRPr="00645C5F" w:rsidRDefault="00A26961" w:rsidP="0028679B">
            <w:pPr>
              <w:pStyle w:val="tvhtml"/>
              <w:shd w:val="clear" w:color="auto" w:fill="FFFFFF"/>
              <w:spacing w:before="0" w:beforeAutospacing="0" w:after="0" w:afterAutospacing="0"/>
              <w:jc w:val="both"/>
              <w:rPr>
                <w:noProof/>
              </w:rPr>
            </w:pPr>
            <w:r w:rsidRPr="00645C5F">
              <w:rPr>
                <w:noProof/>
              </w:rPr>
              <w:t>(1402,50 euro * 2 * 204 dienas) / 365 dienas = 1 567,73 euro</w:t>
            </w:r>
          </w:p>
          <w:p w14:paraId="223BD0F5" w14:textId="6BCC1381" w:rsidR="00A26961" w:rsidRPr="00645C5F" w:rsidRDefault="00A26961" w:rsidP="0028679B">
            <w:pPr>
              <w:pStyle w:val="tvhtml"/>
              <w:shd w:val="clear" w:color="auto" w:fill="FFFFFF"/>
              <w:spacing w:before="0" w:beforeAutospacing="0" w:after="0" w:afterAutospacing="0"/>
              <w:jc w:val="both"/>
              <w:rPr>
                <w:noProof/>
              </w:rPr>
            </w:pPr>
          </w:p>
          <w:p w14:paraId="72093FC5" w14:textId="64157BC0" w:rsidR="00CB09B9" w:rsidRPr="00645C5F" w:rsidRDefault="00A26961" w:rsidP="00761422">
            <w:pPr>
              <w:pStyle w:val="tvhtml"/>
              <w:shd w:val="clear" w:color="auto" w:fill="FFFFFF"/>
              <w:spacing w:before="0" w:beforeAutospacing="0" w:after="0" w:afterAutospacing="0"/>
              <w:jc w:val="both"/>
              <w:rPr>
                <w:noProof/>
              </w:rPr>
            </w:pPr>
            <w:r w:rsidRPr="00645C5F">
              <w:rPr>
                <w:noProof/>
              </w:rPr>
              <w:t>Attiecīgi Noteikumu projekts, nodrošinot, ka sabiedrībai ar ierobežotu atbildību “Tet” netik</w:t>
            </w:r>
            <w:r w:rsidR="00645C5F" w:rsidRPr="00645C5F">
              <w:rPr>
                <w:noProof/>
              </w:rPr>
              <w:t>s</w:t>
            </w:r>
            <w:r w:rsidRPr="00645C5F">
              <w:rPr>
                <w:noProof/>
              </w:rPr>
              <w:t xml:space="preserve"> piemērota valsts nodeva par numuru 8303 un 8345 lietošanas </w:t>
            </w:r>
            <w:r w:rsidRPr="00645C5F">
              <w:rPr>
                <w:noProof/>
              </w:rPr>
              <w:lastRenderedPageBreak/>
              <w:t xml:space="preserve">tiesībām pēc ārkārtējās situācijas atcelšanas sākot no 2020.gada 10.jūnija līdz </w:t>
            </w:r>
            <w:r w:rsidRPr="00645C5F">
              <w:t>2020.gada 31.decembrim</w:t>
            </w:r>
            <w:r w:rsidR="00FE7ED6" w:rsidRPr="00645C5F">
              <w:t xml:space="preserve">, samazinās </w:t>
            </w:r>
            <w:r w:rsidR="00761422" w:rsidRPr="00645C5F">
              <w:t xml:space="preserve">valsts pamatbudžeta ieņēmumus par </w:t>
            </w:r>
            <w:r w:rsidR="00761422" w:rsidRPr="00645C5F">
              <w:rPr>
                <w:noProof/>
              </w:rPr>
              <w:t>1 567,73 euro.</w:t>
            </w:r>
          </w:p>
          <w:p w14:paraId="242F0133" w14:textId="7186B7D4" w:rsidR="0049277A" w:rsidRPr="00645C5F" w:rsidRDefault="0049277A" w:rsidP="00761422">
            <w:pPr>
              <w:pStyle w:val="tvhtml"/>
              <w:shd w:val="clear" w:color="auto" w:fill="FFFFFF"/>
              <w:spacing w:before="0" w:beforeAutospacing="0" w:after="0" w:afterAutospacing="0"/>
              <w:jc w:val="both"/>
              <w:rPr>
                <w:noProof/>
              </w:rPr>
            </w:pPr>
          </w:p>
          <w:p w14:paraId="5ABE99D8" w14:textId="273967B1" w:rsidR="0049277A" w:rsidRPr="00645C5F" w:rsidRDefault="003217E9" w:rsidP="0010160B">
            <w:pPr>
              <w:pStyle w:val="tvhtml"/>
              <w:shd w:val="clear" w:color="auto" w:fill="FFFFFF"/>
              <w:spacing w:before="0" w:beforeAutospacing="0" w:after="0" w:afterAutospacing="0"/>
              <w:jc w:val="both"/>
              <w:rPr>
                <w:noProof/>
              </w:rPr>
            </w:pPr>
            <w:r w:rsidRPr="00645C5F">
              <w:rPr>
                <w:noProof/>
              </w:rPr>
              <w:t>Ņemot vērā to, ka saska</w:t>
            </w:r>
            <w:r w:rsidR="001B5653" w:rsidRPr="00645C5F">
              <w:rPr>
                <w:noProof/>
              </w:rPr>
              <w:t>ņ</w:t>
            </w:r>
            <w:r w:rsidRPr="00645C5F">
              <w:rPr>
                <w:noProof/>
              </w:rPr>
              <w:t xml:space="preserve">ā ar </w:t>
            </w:r>
            <w:r w:rsidR="004741A2" w:rsidRPr="00645C5F">
              <w:rPr>
                <w:noProof/>
              </w:rPr>
              <w:t>N</w:t>
            </w:r>
            <w:r w:rsidRPr="00645C5F">
              <w:rPr>
                <w:noProof/>
              </w:rPr>
              <w:t xml:space="preserve">oteikumu Nr.892 </w:t>
            </w:r>
            <w:r w:rsidR="0010160B" w:rsidRPr="00645C5F">
              <w:rPr>
                <w:noProof/>
              </w:rPr>
              <w:t>5</w:t>
            </w:r>
            <w:r w:rsidRPr="00645C5F">
              <w:rPr>
                <w:noProof/>
              </w:rPr>
              <w:t>.punktu</w:t>
            </w:r>
            <w:r w:rsidR="0010160B" w:rsidRPr="00645C5F">
              <w:t xml:space="preserve"> e</w:t>
            </w:r>
            <w:r w:rsidR="0010160B" w:rsidRPr="00645C5F">
              <w:rPr>
                <w:noProof/>
              </w:rPr>
              <w:t>lektronisko sakaru komersants reizi ceturksnī līdz tam sekojošā mēneša trīsdesmitajam datumam ieskaita valsts nodevu valsts budžeta ieņēmumu kontā Valsts kasē, 2021.gadā valsts pamatbudžeta ieņēmumi tiks samazināti par 2020.gada 4.ceturkšņa valsts nodevas summu:</w:t>
            </w:r>
          </w:p>
          <w:p w14:paraId="7FF8C601" w14:textId="270F99EE" w:rsidR="0010160B" w:rsidRPr="00645C5F" w:rsidRDefault="0010160B" w:rsidP="0010160B">
            <w:pPr>
              <w:pStyle w:val="tvhtml"/>
              <w:shd w:val="clear" w:color="auto" w:fill="FFFFFF"/>
              <w:spacing w:before="0" w:beforeAutospacing="0" w:after="0" w:afterAutospacing="0"/>
              <w:jc w:val="both"/>
              <w:rPr>
                <w:noProof/>
              </w:rPr>
            </w:pPr>
            <w:r w:rsidRPr="00645C5F">
              <w:rPr>
                <w:noProof/>
              </w:rPr>
              <w:t>(1402,50 euro * 2 * 91 (dienu skaits 2020.gada 4.ceturksnī) / 365 dienas = 699,33 euro</w:t>
            </w:r>
          </w:p>
          <w:p w14:paraId="0570518E" w14:textId="77777777" w:rsidR="0010160B" w:rsidRPr="00645C5F" w:rsidRDefault="0010160B" w:rsidP="0010160B">
            <w:pPr>
              <w:pStyle w:val="tvhtml"/>
              <w:shd w:val="clear" w:color="auto" w:fill="FFFFFF"/>
              <w:spacing w:before="0" w:beforeAutospacing="0" w:after="0" w:afterAutospacing="0"/>
              <w:jc w:val="both"/>
              <w:rPr>
                <w:noProof/>
              </w:rPr>
            </w:pPr>
          </w:p>
          <w:p w14:paraId="124453D6" w14:textId="742FE020" w:rsidR="0010160B" w:rsidRPr="00645C5F" w:rsidRDefault="0010160B" w:rsidP="0010160B">
            <w:pPr>
              <w:pStyle w:val="tvhtml"/>
              <w:shd w:val="clear" w:color="auto" w:fill="FFFFFF"/>
              <w:spacing w:before="0" w:beforeAutospacing="0" w:after="0" w:afterAutospacing="0"/>
              <w:jc w:val="both"/>
              <w:rPr>
                <w:noProof/>
              </w:rPr>
            </w:pPr>
            <w:r w:rsidRPr="00645C5F">
              <w:rPr>
                <w:noProof/>
              </w:rPr>
              <w:t>Līdz ar to, valsts pamatbudžet</w:t>
            </w:r>
            <w:r w:rsidR="005A76C1" w:rsidRPr="00645C5F">
              <w:rPr>
                <w:noProof/>
              </w:rPr>
              <w:t>a ie</w:t>
            </w:r>
            <w:bookmarkStart w:id="3" w:name="_GoBack"/>
            <w:bookmarkEnd w:id="3"/>
            <w:r w:rsidR="005A76C1" w:rsidRPr="00645C5F">
              <w:rPr>
                <w:noProof/>
              </w:rPr>
              <w:t xml:space="preserve">ņēmumos </w:t>
            </w:r>
            <w:r w:rsidRPr="00645C5F">
              <w:rPr>
                <w:noProof/>
              </w:rPr>
              <w:t>nesaņemtais valsts nodevas apmērs:</w:t>
            </w:r>
          </w:p>
          <w:p w14:paraId="42909AA7" w14:textId="439D0F3C" w:rsidR="0010160B" w:rsidRPr="00645C5F" w:rsidRDefault="0010160B" w:rsidP="0010160B">
            <w:pPr>
              <w:pStyle w:val="tvhtml"/>
              <w:shd w:val="clear" w:color="auto" w:fill="FFFFFF"/>
              <w:spacing w:before="0" w:beforeAutospacing="0" w:after="0" w:afterAutospacing="0"/>
              <w:jc w:val="both"/>
              <w:rPr>
                <w:noProof/>
              </w:rPr>
            </w:pPr>
            <w:r w:rsidRPr="00645C5F">
              <w:rPr>
                <w:noProof/>
              </w:rPr>
              <w:t>2020.gadā  868,40 euro</w:t>
            </w:r>
            <w:r w:rsidR="00C551B2" w:rsidRPr="00645C5F">
              <w:rPr>
                <w:noProof/>
              </w:rPr>
              <w:t>,</w:t>
            </w:r>
          </w:p>
          <w:p w14:paraId="3CF7F6D3" w14:textId="7CF7A5B5" w:rsidR="00C551B2" w:rsidRPr="00645C5F" w:rsidRDefault="0010160B" w:rsidP="0010160B">
            <w:pPr>
              <w:pStyle w:val="tvhtml"/>
              <w:shd w:val="clear" w:color="auto" w:fill="FFFFFF"/>
              <w:spacing w:before="0" w:beforeAutospacing="0" w:after="0" w:afterAutospacing="0"/>
              <w:jc w:val="both"/>
              <w:rPr>
                <w:noProof/>
              </w:rPr>
            </w:pPr>
            <w:r w:rsidRPr="00645C5F">
              <w:rPr>
                <w:noProof/>
              </w:rPr>
              <w:t>2021.gadā 699,33 euro</w:t>
            </w:r>
            <w:r w:rsidR="00C551B2" w:rsidRPr="00645C5F">
              <w:rPr>
                <w:noProof/>
              </w:rPr>
              <w:t>.</w:t>
            </w:r>
          </w:p>
          <w:p w14:paraId="1C67C9FB" w14:textId="62205449" w:rsidR="0010160B" w:rsidRPr="00645C5F" w:rsidRDefault="0010160B" w:rsidP="0010160B">
            <w:pPr>
              <w:pStyle w:val="tvhtml"/>
              <w:shd w:val="clear" w:color="auto" w:fill="FFFFFF"/>
              <w:spacing w:before="0" w:beforeAutospacing="0" w:after="0" w:afterAutospacing="0"/>
              <w:jc w:val="both"/>
              <w:rPr>
                <w:noProof/>
              </w:rPr>
            </w:pPr>
          </w:p>
        </w:tc>
      </w:tr>
      <w:tr w:rsidR="00D36059" w:rsidRPr="00645C5F" w14:paraId="17A9960B" w14:textId="77777777" w:rsidTr="00D36059">
        <w:trPr>
          <w:gridAfter w:val="1"/>
          <w:wAfter w:w="20" w:type="pct"/>
          <w:tblCellSpacing w:w="15" w:type="dxa"/>
        </w:trPr>
        <w:tc>
          <w:tcPr>
            <w:tcW w:w="668" w:type="pct"/>
            <w:tcBorders>
              <w:top w:val="outset" w:sz="6" w:space="0" w:color="auto"/>
              <w:left w:val="outset" w:sz="6" w:space="0" w:color="auto"/>
              <w:bottom w:val="outset" w:sz="6" w:space="0" w:color="auto"/>
              <w:right w:val="outset" w:sz="6" w:space="0" w:color="auto"/>
            </w:tcBorders>
          </w:tcPr>
          <w:p w14:paraId="5B2E8389"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p>
        </w:tc>
        <w:tc>
          <w:tcPr>
            <w:tcW w:w="4247" w:type="pct"/>
            <w:gridSpan w:val="7"/>
            <w:vMerge/>
            <w:tcBorders>
              <w:top w:val="outset" w:sz="6" w:space="0" w:color="auto"/>
              <w:left w:val="outset" w:sz="6" w:space="0" w:color="auto"/>
              <w:bottom w:val="outset" w:sz="6" w:space="0" w:color="auto"/>
              <w:right w:val="outset" w:sz="6" w:space="0" w:color="auto"/>
            </w:tcBorders>
            <w:vAlign w:val="center"/>
          </w:tcPr>
          <w:p w14:paraId="22790460" w14:textId="77777777" w:rsidR="00CB09B9" w:rsidRPr="00645C5F" w:rsidRDefault="00CB09B9" w:rsidP="002E47C6">
            <w:pPr>
              <w:widowControl w:val="0"/>
              <w:spacing w:after="0" w:line="240" w:lineRule="auto"/>
              <w:ind w:firstLine="298"/>
              <w:jc w:val="both"/>
              <w:rPr>
                <w:rFonts w:ascii="Times New Roman" w:eastAsia="Times New Roman" w:hAnsi="Times New Roman" w:cs="Times New Roman"/>
                <w:noProof/>
                <w:sz w:val="24"/>
                <w:szCs w:val="24"/>
                <w:lang w:eastAsia="lv-LV"/>
              </w:rPr>
            </w:pPr>
          </w:p>
        </w:tc>
      </w:tr>
      <w:tr w:rsidR="00D36059" w:rsidRPr="00645C5F" w14:paraId="03421EFE" w14:textId="77777777" w:rsidTr="00D36059">
        <w:trPr>
          <w:gridAfter w:val="1"/>
          <w:wAfter w:w="20" w:type="pct"/>
          <w:tblCellSpacing w:w="15" w:type="dxa"/>
        </w:trPr>
        <w:tc>
          <w:tcPr>
            <w:tcW w:w="668" w:type="pct"/>
            <w:tcBorders>
              <w:top w:val="outset" w:sz="6" w:space="0" w:color="auto"/>
              <w:left w:val="outset" w:sz="6" w:space="0" w:color="auto"/>
              <w:bottom w:val="outset" w:sz="6" w:space="0" w:color="auto"/>
              <w:right w:val="outset" w:sz="6" w:space="0" w:color="auto"/>
            </w:tcBorders>
            <w:hideMark/>
          </w:tcPr>
          <w:p w14:paraId="5FEDDC31"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6.1. detalizēts ieņēmumu aprēķins</w:t>
            </w:r>
          </w:p>
        </w:tc>
        <w:tc>
          <w:tcPr>
            <w:tcW w:w="4247" w:type="pct"/>
            <w:gridSpan w:val="7"/>
            <w:vMerge/>
            <w:tcBorders>
              <w:top w:val="outset" w:sz="6" w:space="0" w:color="auto"/>
              <w:left w:val="outset" w:sz="6" w:space="0" w:color="auto"/>
              <w:bottom w:val="outset" w:sz="6" w:space="0" w:color="auto"/>
              <w:right w:val="outset" w:sz="6" w:space="0" w:color="auto"/>
            </w:tcBorders>
            <w:vAlign w:val="center"/>
            <w:hideMark/>
          </w:tcPr>
          <w:p w14:paraId="4325267B"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p>
        </w:tc>
      </w:tr>
      <w:tr w:rsidR="00D36059" w:rsidRPr="00645C5F" w14:paraId="5531DA22" w14:textId="77777777" w:rsidTr="00D36059">
        <w:trPr>
          <w:gridAfter w:val="1"/>
          <w:wAfter w:w="20" w:type="pct"/>
          <w:tblCellSpacing w:w="15" w:type="dxa"/>
        </w:trPr>
        <w:tc>
          <w:tcPr>
            <w:tcW w:w="668" w:type="pct"/>
            <w:tcBorders>
              <w:top w:val="outset" w:sz="6" w:space="0" w:color="auto"/>
              <w:left w:val="outset" w:sz="6" w:space="0" w:color="auto"/>
              <w:bottom w:val="outset" w:sz="6" w:space="0" w:color="auto"/>
              <w:right w:val="outset" w:sz="6" w:space="0" w:color="auto"/>
            </w:tcBorders>
            <w:hideMark/>
          </w:tcPr>
          <w:p w14:paraId="1AABB5BE"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lastRenderedPageBreak/>
              <w:t>6.2. detalizēts izdevumu aprēķins</w:t>
            </w:r>
          </w:p>
        </w:tc>
        <w:tc>
          <w:tcPr>
            <w:tcW w:w="4247" w:type="pct"/>
            <w:gridSpan w:val="7"/>
            <w:vMerge/>
            <w:tcBorders>
              <w:top w:val="outset" w:sz="6" w:space="0" w:color="auto"/>
              <w:left w:val="outset" w:sz="6" w:space="0" w:color="auto"/>
              <w:bottom w:val="outset" w:sz="6" w:space="0" w:color="auto"/>
              <w:right w:val="outset" w:sz="6" w:space="0" w:color="auto"/>
            </w:tcBorders>
            <w:vAlign w:val="center"/>
            <w:hideMark/>
          </w:tcPr>
          <w:p w14:paraId="4867E7BB"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p>
        </w:tc>
      </w:tr>
      <w:tr w:rsidR="00D36059" w:rsidRPr="00645C5F" w14:paraId="73DF1B2E" w14:textId="77777777" w:rsidTr="00D36059">
        <w:trPr>
          <w:gridAfter w:val="1"/>
          <w:wAfter w:w="20" w:type="pct"/>
          <w:tblCellSpacing w:w="15" w:type="dxa"/>
        </w:trPr>
        <w:tc>
          <w:tcPr>
            <w:tcW w:w="668" w:type="pct"/>
            <w:tcBorders>
              <w:top w:val="outset" w:sz="6" w:space="0" w:color="auto"/>
              <w:left w:val="outset" w:sz="6" w:space="0" w:color="auto"/>
              <w:bottom w:val="outset" w:sz="6" w:space="0" w:color="auto"/>
              <w:right w:val="outset" w:sz="6" w:space="0" w:color="auto"/>
            </w:tcBorders>
            <w:hideMark/>
          </w:tcPr>
          <w:p w14:paraId="748A2516"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7. Amata vietu skaita izmaiņas</w:t>
            </w:r>
          </w:p>
        </w:tc>
        <w:tc>
          <w:tcPr>
            <w:tcW w:w="4247" w:type="pct"/>
            <w:gridSpan w:val="7"/>
            <w:tcBorders>
              <w:top w:val="outset" w:sz="6" w:space="0" w:color="auto"/>
              <w:left w:val="outset" w:sz="6" w:space="0" w:color="auto"/>
              <w:bottom w:val="outset" w:sz="6" w:space="0" w:color="auto"/>
              <w:right w:val="outset" w:sz="6" w:space="0" w:color="auto"/>
            </w:tcBorders>
            <w:hideMark/>
          </w:tcPr>
          <w:p w14:paraId="72BDBBEB"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Nav</w:t>
            </w:r>
          </w:p>
        </w:tc>
      </w:tr>
      <w:tr w:rsidR="00D36059" w:rsidRPr="00645C5F" w14:paraId="17CE7F6A" w14:textId="77777777" w:rsidTr="00D36059">
        <w:trPr>
          <w:gridAfter w:val="1"/>
          <w:wAfter w:w="20" w:type="pct"/>
          <w:tblCellSpacing w:w="15" w:type="dxa"/>
        </w:trPr>
        <w:tc>
          <w:tcPr>
            <w:tcW w:w="668" w:type="pct"/>
            <w:tcBorders>
              <w:top w:val="outset" w:sz="6" w:space="0" w:color="auto"/>
              <w:left w:val="outset" w:sz="6" w:space="0" w:color="auto"/>
              <w:bottom w:val="outset" w:sz="6" w:space="0" w:color="auto"/>
              <w:right w:val="outset" w:sz="6" w:space="0" w:color="auto"/>
            </w:tcBorders>
            <w:hideMark/>
          </w:tcPr>
          <w:p w14:paraId="5122BACE" w14:textId="77777777" w:rsidR="00CB09B9" w:rsidRPr="00645C5F" w:rsidRDefault="00CB09B9" w:rsidP="002E47C6">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8. Cita informācija</w:t>
            </w:r>
          </w:p>
        </w:tc>
        <w:tc>
          <w:tcPr>
            <w:tcW w:w="4247" w:type="pct"/>
            <w:gridSpan w:val="7"/>
            <w:tcBorders>
              <w:top w:val="outset" w:sz="6" w:space="0" w:color="auto"/>
              <w:left w:val="outset" w:sz="6" w:space="0" w:color="auto"/>
              <w:bottom w:val="outset" w:sz="6" w:space="0" w:color="auto"/>
              <w:right w:val="outset" w:sz="6" w:space="0" w:color="auto"/>
            </w:tcBorders>
            <w:hideMark/>
          </w:tcPr>
          <w:p w14:paraId="3C655DDB" w14:textId="77777777" w:rsidR="00CB09B9" w:rsidRPr="00645C5F" w:rsidRDefault="00CB09B9" w:rsidP="002E47C6">
            <w:pPr>
              <w:spacing w:after="0" w:line="240" w:lineRule="auto"/>
              <w:contextualSpacing/>
              <w:jc w:val="both"/>
              <w:rPr>
                <w:rFonts w:ascii="Times New Roman" w:eastAsia="Times New Roman" w:hAnsi="Times New Roman" w:cs="Times New Roman"/>
                <w:sz w:val="24"/>
                <w:szCs w:val="24"/>
                <w:lang w:eastAsia="lv-LV"/>
              </w:rPr>
            </w:pPr>
            <w:r w:rsidRPr="00645C5F">
              <w:rPr>
                <w:rFonts w:ascii="Times New Roman" w:eastAsia="Times New Roman" w:hAnsi="Times New Roman" w:cs="Times New Roman"/>
                <w:sz w:val="24"/>
                <w:szCs w:val="24"/>
                <w:lang w:eastAsia="lv-LV"/>
              </w:rPr>
              <w:t>Nav</w:t>
            </w:r>
          </w:p>
        </w:tc>
      </w:tr>
    </w:tbl>
    <w:p w14:paraId="626F2CE6" w14:textId="47C6CDB8" w:rsidR="00E5323B" w:rsidRPr="00645C5F" w:rsidRDefault="00E5323B" w:rsidP="00E5323B">
      <w:pPr>
        <w:spacing w:after="0" w:line="240" w:lineRule="auto"/>
        <w:rPr>
          <w:rFonts w:ascii="Times New Roman" w:eastAsia="Times New Roman" w:hAnsi="Times New Roman" w:cs="Times New Roman"/>
          <w:iCs/>
          <w:color w:val="414142"/>
          <w:sz w:val="24"/>
          <w:szCs w:val="24"/>
          <w:lang w:eastAsia="lv-LV"/>
        </w:rPr>
      </w:pPr>
      <w:r w:rsidRPr="00645C5F">
        <w:rPr>
          <w:rFonts w:ascii="Times New Roman" w:eastAsia="Times New Roman" w:hAnsi="Times New Roman" w:cs="Times New Roman"/>
          <w:iCs/>
          <w:color w:val="414142"/>
          <w:sz w:val="24"/>
          <w:szCs w:val="24"/>
          <w:lang w:eastAsia="lv-LV"/>
        </w:rPr>
        <w:t xml:space="preserve"> </w:t>
      </w:r>
    </w:p>
    <w:p w14:paraId="02708914" w14:textId="77777777" w:rsidR="00CB09B9" w:rsidRPr="00645C5F" w:rsidRDefault="00CB09B9"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645C5F" w14:paraId="3428D59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1A5B2E" w14:textId="77777777" w:rsidR="00655F2C" w:rsidRPr="00645C5F" w:rsidRDefault="00E5323B" w:rsidP="00E5323B">
            <w:pPr>
              <w:spacing w:after="0" w:line="240" w:lineRule="auto"/>
              <w:rPr>
                <w:rFonts w:ascii="Times New Roman" w:eastAsia="Times New Roman" w:hAnsi="Times New Roman" w:cs="Times New Roman"/>
                <w:b/>
                <w:bCs/>
                <w:iCs/>
                <w:sz w:val="24"/>
                <w:szCs w:val="24"/>
                <w:lang w:eastAsia="lv-LV"/>
              </w:rPr>
            </w:pPr>
            <w:r w:rsidRPr="00645C5F">
              <w:rPr>
                <w:rFonts w:ascii="Times New Roman" w:eastAsia="Times New Roman" w:hAnsi="Times New Roman" w:cs="Times New Roman"/>
                <w:b/>
                <w:bCs/>
                <w:iCs/>
                <w:sz w:val="24"/>
                <w:szCs w:val="24"/>
                <w:lang w:eastAsia="lv-LV"/>
              </w:rPr>
              <w:t>IV. Tiesību akta projekta ietekme uz spēkā esošo tiesību normu sistēmu</w:t>
            </w:r>
          </w:p>
        </w:tc>
      </w:tr>
      <w:tr w:rsidR="00F575B8" w:rsidRPr="00645C5F" w14:paraId="1E404BE2" w14:textId="77777777" w:rsidTr="00F575B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D95FE0F" w14:textId="77777777" w:rsidR="00F575B8" w:rsidRPr="00645C5F" w:rsidRDefault="00F575B8" w:rsidP="00F575B8">
            <w:pPr>
              <w:spacing w:after="0" w:line="240" w:lineRule="auto"/>
              <w:jc w:val="center"/>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Projekts šo jomu neskar</w:t>
            </w:r>
          </w:p>
        </w:tc>
      </w:tr>
    </w:tbl>
    <w:p w14:paraId="23ABED0D" w14:textId="77777777" w:rsidR="00E5323B" w:rsidRPr="00645C5F" w:rsidRDefault="00E5323B" w:rsidP="00E5323B">
      <w:pPr>
        <w:spacing w:after="0" w:line="240" w:lineRule="auto"/>
        <w:rPr>
          <w:rFonts w:ascii="Times New Roman" w:eastAsia="Times New Roman" w:hAnsi="Times New Roman" w:cs="Times New Roman"/>
          <w:iCs/>
          <w:color w:val="414142"/>
          <w:sz w:val="24"/>
          <w:szCs w:val="24"/>
          <w:lang w:eastAsia="lv-LV"/>
        </w:rPr>
      </w:pPr>
      <w:r w:rsidRPr="00645C5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190D" w:rsidRPr="00645C5F" w14:paraId="63A9C387" w14:textId="77777777" w:rsidTr="00E519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B1DE4C" w14:textId="77777777" w:rsidR="00E5190D" w:rsidRPr="00645C5F" w:rsidRDefault="00E5190D" w:rsidP="00E5190D">
            <w:pPr>
              <w:spacing w:after="0" w:line="240" w:lineRule="auto"/>
              <w:rPr>
                <w:rFonts w:ascii="Times New Roman" w:eastAsia="Times New Roman" w:hAnsi="Times New Roman" w:cs="Times New Roman"/>
                <w:b/>
                <w:bCs/>
                <w:iCs/>
                <w:sz w:val="24"/>
                <w:szCs w:val="24"/>
                <w:lang w:eastAsia="lv-LV"/>
              </w:rPr>
            </w:pPr>
            <w:r w:rsidRPr="00645C5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5190D" w:rsidRPr="00645C5F" w14:paraId="73C4D3BE" w14:textId="77777777" w:rsidTr="00E519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BEFB8C" w14:textId="77777777" w:rsidR="00E5190D" w:rsidRPr="00645C5F" w:rsidRDefault="00E5190D" w:rsidP="00E5190D">
            <w:pPr>
              <w:spacing w:after="0" w:line="240" w:lineRule="auto"/>
              <w:jc w:val="center"/>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Projekts šo jomu neskar</w:t>
            </w:r>
          </w:p>
        </w:tc>
      </w:tr>
    </w:tbl>
    <w:p w14:paraId="60FC0E78" w14:textId="77777777" w:rsidR="00E5323B" w:rsidRPr="00645C5F" w:rsidRDefault="00E5323B" w:rsidP="00E5323B">
      <w:pPr>
        <w:spacing w:after="0" w:line="240" w:lineRule="auto"/>
        <w:rPr>
          <w:rFonts w:ascii="Times New Roman" w:eastAsia="Times New Roman" w:hAnsi="Times New Roman" w:cs="Times New Roman"/>
          <w:iCs/>
          <w:color w:val="414142"/>
          <w:sz w:val="24"/>
          <w:szCs w:val="24"/>
          <w:lang w:eastAsia="lv-LV"/>
        </w:rPr>
      </w:pPr>
      <w:r w:rsidRPr="00645C5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645C5F" w14:paraId="391FFC7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C3F878" w14:textId="77777777" w:rsidR="00655F2C" w:rsidRPr="00645C5F" w:rsidRDefault="00E5323B" w:rsidP="00AE4CDA">
            <w:pPr>
              <w:spacing w:after="0" w:line="240" w:lineRule="auto"/>
              <w:jc w:val="center"/>
              <w:rPr>
                <w:rFonts w:ascii="Times New Roman" w:eastAsia="Times New Roman" w:hAnsi="Times New Roman" w:cs="Times New Roman"/>
                <w:b/>
                <w:bCs/>
                <w:iCs/>
                <w:sz w:val="24"/>
                <w:szCs w:val="24"/>
                <w:lang w:eastAsia="lv-LV"/>
              </w:rPr>
            </w:pPr>
            <w:r w:rsidRPr="00645C5F">
              <w:rPr>
                <w:rFonts w:ascii="Times New Roman" w:eastAsia="Times New Roman" w:hAnsi="Times New Roman" w:cs="Times New Roman"/>
                <w:b/>
                <w:bCs/>
                <w:iCs/>
                <w:sz w:val="24"/>
                <w:szCs w:val="24"/>
                <w:lang w:eastAsia="lv-LV"/>
              </w:rPr>
              <w:t>VI. Sabiedrības līdzdalība un komunikācijas aktivitātes</w:t>
            </w:r>
          </w:p>
        </w:tc>
      </w:tr>
      <w:tr w:rsidR="00E5323B" w:rsidRPr="00645C5F" w14:paraId="1D95E87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265301" w14:textId="77777777" w:rsidR="00655F2C" w:rsidRPr="00645C5F" w:rsidRDefault="00E5323B" w:rsidP="00E5323B">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84B100D" w14:textId="77777777" w:rsidR="00E5323B" w:rsidRPr="00645C5F" w:rsidRDefault="00E5323B" w:rsidP="00E5323B">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2B38F86" w14:textId="71870334" w:rsidR="00E5323B" w:rsidRPr="00645C5F" w:rsidRDefault="006E57BC" w:rsidP="007F1F51">
            <w:pPr>
              <w:spacing w:after="0" w:line="240" w:lineRule="auto"/>
              <w:jc w:val="both"/>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Sabiedrības līdzdalība saistīb</w:t>
            </w:r>
            <w:r w:rsidR="00E9034A" w:rsidRPr="00645C5F">
              <w:rPr>
                <w:rFonts w:ascii="Times New Roman" w:eastAsia="Times New Roman" w:hAnsi="Times New Roman" w:cs="Times New Roman"/>
                <w:iCs/>
                <w:sz w:val="24"/>
                <w:szCs w:val="24"/>
                <w:lang w:eastAsia="lv-LV"/>
              </w:rPr>
              <w:t>ā</w:t>
            </w:r>
            <w:r w:rsidRPr="00645C5F">
              <w:rPr>
                <w:rFonts w:ascii="Times New Roman" w:eastAsia="Times New Roman" w:hAnsi="Times New Roman" w:cs="Times New Roman"/>
                <w:iCs/>
                <w:sz w:val="24"/>
                <w:szCs w:val="24"/>
                <w:lang w:eastAsia="lv-LV"/>
              </w:rPr>
              <w:t xml:space="preserve"> ar </w:t>
            </w:r>
            <w:r w:rsidR="009850A4" w:rsidRPr="00645C5F">
              <w:rPr>
                <w:rFonts w:ascii="Times New Roman" w:eastAsia="Times New Roman" w:hAnsi="Times New Roman" w:cs="Times New Roman"/>
                <w:iCs/>
                <w:sz w:val="24"/>
                <w:szCs w:val="24"/>
                <w:lang w:eastAsia="lv-LV"/>
              </w:rPr>
              <w:t>Noteikumu</w:t>
            </w:r>
            <w:r w:rsidRPr="00645C5F">
              <w:rPr>
                <w:rFonts w:ascii="Times New Roman" w:eastAsia="Times New Roman" w:hAnsi="Times New Roman" w:cs="Times New Roman"/>
                <w:iCs/>
                <w:sz w:val="24"/>
                <w:szCs w:val="24"/>
                <w:lang w:eastAsia="lv-LV"/>
              </w:rPr>
              <w:t xml:space="preserve"> projektu nav plānota, ņemot vērā, ka </w:t>
            </w:r>
            <w:r w:rsidR="009850A4" w:rsidRPr="00645C5F">
              <w:rPr>
                <w:rFonts w:ascii="Times New Roman" w:eastAsia="Times New Roman" w:hAnsi="Times New Roman" w:cs="Times New Roman"/>
                <w:iCs/>
                <w:sz w:val="24"/>
                <w:szCs w:val="24"/>
                <w:lang w:eastAsia="lv-LV"/>
              </w:rPr>
              <w:t xml:space="preserve">Noteikumu </w:t>
            </w:r>
            <w:r w:rsidR="007F1F51" w:rsidRPr="00645C5F">
              <w:rPr>
                <w:rFonts w:ascii="Times New Roman" w:eastAsia="Times New Roman" w:hAnsi="Times New Roman" w:cs="Times New Roman"/>
                <w:iCs/>
                <w:sz w:val="24"/>
                <w:szCs w:val="24"/>
                <w:lang w:eastAsia="lv-LV"/>
              </w:rPr>
              <w:t>projekts</w:t>
            </w:r>
            <w:r w:rsidR="009850A4" w:rsidRPr="00645C5F">
              <w:rPr>
                <w:rFonts w:ascii="Times New Roman" w:eastAsia="Times New Roman" w:hAnsi="Times New Roman" w:cs="Times New Roman"/>
                <w:iCs/>
                <w:sz w:val="24"/>
                <w:szCs w:val="24"/>
                <w:lang w:eastAsia="lv-LV"/>
              </w:rPr>
              <w:t xml:space="preserve"> nemaina esošo kārtību.</w:t>
            </w:r>
          </w:p>
        </w:tc>
      </w:tr>
      <w:tr w:rsidR="00E5323B" w:rsidRPr="00645C5F" w14:paraId="68FC2C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04D0F7" w14:textId="77777777" w:rsidR="00655F2C" w:rsidRPr="00645C5F" w:rsidRDefault="00E5323B" w:rsidP="00E5323B">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2D14722" w14:textId="77777777" w:rsidR="00E5323B" w:rsidRPr="00645C5F" w:rsidRDefault="00E5323B" w:rsidP="00E5323B">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1A2AE0E" w14:textId="77777777" w:rsidR="00E5323B" w:rsidRPr="00645C5F" w:rsidRDefault="006E57BC" w:rsidP="00E5323B">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Projekts šo jomu neskar</w:t>
            </w:r>
          </w:p>
        </w:tc>
      </w:tr>
      <w:tr w:rsidR="00E5323B" w:rsidRPr="00645C5F" w14:paraId="5B924C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47B76F" w14:textId="77777777" w:rsidR="00655F2C" w:rsidRPr="00645C5F" w:rsidRDefault="00E5323B" w:rsidP="00E5323B">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354EC99" w14:textId="77777777" w:rsidR="00E5323B" w:rsidRPr="00645C5F" w:rsidRDefault="00E5323B" w:rsidP="00E5323B">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C058A2A" w14:textId="77777777" w:rsidR="00E5323B" w:rsidRPr="00645C5F" w:rsidRDefault="006E57BC" w:rsidP="00E5323B">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Projekts šo jomu neskar</w:t>
            </w:r>
          </w:p>
        </w:tc>
      </w:tr>
      <w:tr w:rsidR="00E5323B" w:rsidRPr="00645C5F" w14:paraId="4E5575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84B2D5" w14:textId="77777777" w:rsidR="00655F2C" w:rsidRPr="00645C5F" w:rsidRDefault="00E5323B" w:rsidP="00E5323B">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BCD5EF5" w14:textId="77777777" w:rsidR="00E5323B" w:rsidRPr="00645C5F" w:rsidRDefault="00E5323B" w:rsidP="00E5323B">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C0C515" w14:textId="77777777" w:rsidR="00E5323B" w:rsidRPr="00645C5F" w:rsidRDefault="006E57BC" w:rsidP="00E5323B">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Nav</w:t>
            </w:r>
          </w:p>
        </w:tc>
      </w:tr>
    </w:tbl>
    <w:p w14:paraId="3F8F0B91" w14:textId="77777777" w:rsidR="00E5323B" w:rsidRPr="00645C5F" w:rsidRDefault="00E5323B" w:rsidP="00E5323B">
      <w:pPr>
        <w:spacing w:after="0" w:line="240" w:lineRule="auto"/>
        <w:rPr>
          <w:rFonts w:ascii="Times New Roman" w:eastAsia="Times New Roman" w:hAnsi="Times New Roman" w:cs="Times New Roman"/>
          <w:iCs/>
          <w:color w:val="414142"/>
          <w:sz w:val="24"/>
          <w:szCs w:val="24"/>
          <w:lang w:eastAsia="lv-LV"/>
        </w:rPr>
      </w:pPr>
      <w:r w:rsidRPr="00645C5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645C5F" w14:paraId="4CE6A55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BB7E3C" w14:textId="77777777" w:rsidR="00655F2C" w:rsidRPr="00645C5F" w:rsidRDefault="00E5323B" w:rsidP="00E5323B">
            <w:pPr>
              <w:spacing w:after="0" w:line="240" w:lineRule="auto"/>
              <w:rPr>
                <w:rFonts w:ascii="Times New Roman" w:eastAsia="Times New Roman" w:hAnsi="Times New Roman" w:cs="Times New Roman"/>
                <w:b/>
                <w:bCs/>
                <w:iCs/>
                <w:sz w:val="24"/>
                <w:szCs w:val="24"/>
                <w:lang w:eastAsia="lv-LV"/>
              </w:rPr>
            </w:pPr>
            <w:r w:rsidRPr="00645C5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645C5F" w14:paraId="3136DD2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625AB7" w14:textId="77777777" w:rsidR="00655F2C" w:rsidRPr="00645C5F" w:rsidRDefault="00E5323B" w:rsidP="00E5323B">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33F0356" w14:textId="77777777" w:rsidR="00E5323B" w:rsidRPr="00645C5F" w:rsidRDefault="00E5323B" w:rsidP="00E5323B">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36FC073" w14:textId="4127E77D" w:rsidR="00E5323B" w:rsidRPr="00645C5F" w:rsidRDefault="00DE07F6" w:rsidP="00DE07F6">
            <w:pPr>
              <w:spacing w:after="0" w:line="240" w:lineRule="auto"/>
              <w:jc w:val="both"/>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 xml:space="preserve">Projekta izpildi nodrošinās </w:t>
            </w:r>
            <w:r w:rsidR="006A46EF" w:rsidRPr="00645C5F">
              <w:rPr>
                <w:rFonts w:ascii="Times New Roman" w:eastAsia="Times New Roman" w:hAnsi="Times New Roman" w:cs="Times New Roman"/>
                <w:iCs/>
                <w:sz w:val="24"/>
                <w:szCs w:val="24"/>
                <w:lang w:eastAsia="lv-LV"/>
              </w:rPr>
              <w:t>sabiedrība ar ierobežotu atbildību “</w:t>
            </w:r>
            <w:proofErr w:type="spellStart"/>
            <w:r w:rsidR="006A46EF" w:rsidRPr="00645C5F">
              <w:rPr>
                <w:rFonts w:ascii="Times New Roman" w:eastAsia="Times New Roman" w:hAnsi="Times New Roman" w:cs="Times New Roman"/>
                <w:iCs/>
                <w:sz w:val="24"/>
                <w:szCs w:val="24"/>
                <w:lang w:eastAsia="lv-LV"/>
              </w:rPr>
              <w:t>Tet</w:t>
            </w:r>
            <w:proofErr w:type="spellEnd"/>
            <w:r w:rsidR="006A46EF" w:rsidRPr="00645C5F">
              <w:rPr>
                <w:rFonts w:ascii="Times New Roman" w:eastAsia="Times New Roman" w:hAnsi="Times New Roman" w:cs="Times New Roman"/>
                <w:iCs/>
                <w:sz w:val="24"/>
                <w:szCs w:val="24"/>
                <w:lang w:eastAsia="lv-LV"/>
              </w:rPr>
              <w:t>” un v</w:t>
            </w:r>
            <w:r w:rsidR="009850A4" w:rsidRPr="00645C5F">
              <w:rPr>
                <w:rFonts w:ascii="Times New Roman" w:eastAsia="Times New Roman" w:hAnsi="Times New Roman" w:cs="Times New Roman"/>
                <w:iCs/>
                <w:sz w:val="24"/>
                <w:szCs w:val="24"/>
                <w:lang w:eastAsia="lv-LV"/>
              </w:rPr>
              <w:t xml:space="preserve">alsts akciju sabiedrība </w:t>
            </w:r>
            <w:r w:rsidR="006A46EF" w:rsidRPr="00645C5F">
              <w:rPr>
                <w:rFonts w:ascii="Times New Roman" w:eastAsia="Times New Roman" w:hAnsi="Times New Roman" w:cs="Times New Roman"/>
                <w:iCs/>
                <w:sz w:val="24"/>
                <w:szCs w:val="24"/>
                <w:lang w:eastAsia="lv-LV"/>
              </w:rPr>
              <w:t>“</w:t>
            </w:r>
            <w:r w:rsidR="009850A4" w:rsidRPr="00645C5F">
              <w:rPr>
                <w:rFonts w:ascii="Times New Roman" w:eastAsia="Times New Roman" w:hAnsi="Times New Roman" w:cs="Times New Roman"/>
                <w:iCs/>
                <w:sz w:val="24"/>
                <w:szCs w:val="24"/>
                <w:lang w:eastAsia="lv-LV"/>
              </w:rPr>
              <w:t>Elektroniskie sakari</w:t>
            </w:r>
            <w:r w:rsidR="006A46EF" w:rsidRPr="00645C5F">
              <w:rPr>
                <w:rFonts w:ascii="Times New Roman" w:eastAsia="Times New Roman" w:hAnsi="Times New Roman" w:cs="Times New Roman"/>
                <w:iCs/>
                <w:sz w:val="24"/>
                <w:szCs w:val="24"/>
                <w:lang w:eastAsia="lv-LV"/>
              </w:rPr>
              <w:t>”.</w:t>
            </w:r>
          </w:p>
        </w:tc>
      </w:tr>
      <w:tr w:rsidR="00E5323B" w:rsidRPr="00645C5F" w14:paraId="11BF05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D03303" w14:textId="77777777" w:rsidR="00655F2C" w:rsidRPr="00645C5F" w:rsidRDefault="00E5323B" w:rsidP="00E5323B">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E41B2E2" w14:textId="77777777" w:rsidR="00E5323B" w:rsidRPr="00645C5F" w:rsidRDefault="00E5323B" w:rsidP="00E5323B">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 xml:space="preserve">Projekta izpildes ietekme uz pārvaldes funkcijām un </w:t>
            </w:r>
            <w:r w:rsidRPr="00645C5F">
              <w:rPr>
                <w:rFonts w:ascii="Times New Roman" w:eastAsia="Times New Roman" w:hAnsi="Times New Roman" w:cs="Times New Roman"/>
                <w:iCs/>
                <w:sz w:val="24"/>
                <w:szCs w:val="24"/>
                <w:lang w:eastAsia="lv-LV"/>
              </w:rPr>
              <w:lastRenderedPageBreak/>
              <w:t>institucionālo struktūru.</w:t>
            </w:r>
            <w:r w:rsidRPr="00645C5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9787C2A" w14:textId="77777777" w:rsidR="00E5323B" w:rsidRPr="00645C5F" w:rsidRDefault="00AE4CDA" w:rsidP="00E5323B">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lastRenderedPageBreak/>
              <w:t xml:space="preserve"> Projekts šo jomu neskar</w:t>
            </w:r>
          </w:p>
          <w:p w14:paraId="4E403F08" w14:textId="77777777" w:rsidR="00E93AE2" w:rsidRPr="00645C5F" w:rsidRDefault="00E93AE2" w:rsidP="00E93AE2">
            <w:pPr>
              <w:spacing w:after="0" w:line="240" w:lineRule="auto"/>
              <w:jc w:val="both"/>
              <w:rPr>
                <w:rFonts w:ascii="Times New Roman" w:eastAsia="Times New Roman" w:hAnsi="Times New Roman" w:cs="Times New Roman"/>
                <w:i/>
                <w:sz w:val="24"/>
                <w:szCs w:val="24"/>
                <w:lang w:eastAsia="lv-LV"/>
              </w:rPr>
            </w:pPr>
          </w:p>
        </w:tc>
      </w:tr>
      <w:tr w:rsidR="00E5323B" w:rsidRPr="00645C5F" w14:paraId="452261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4A7E2A" w14:textId="77777777" w:rsidR="00655F2C" w:rsidRPr="00645C5F" w:rsidRDefault="00E5323B" w:rsidP="00E5323B">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D6FECE" w14:textId="77777777" w:rsidR="00E5323B" w:rsidRPr="00645C5F" w:rsidRDefault="00E5323B" w:rsidP="00E5323B">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EF9EDBE" w14:textId="77777777" w:rsidR="00E5323B" w:rsidRPr="00645C5F" w:rsidRDefault="006E57BC" w:rsidP="00E5323B">
            <w:pPr>
              <w:spacing w:after="0" w:line="240" w:lineRule="auto"/>
              <w:rPr>
                <w:rFonts w:ascii="Times New Roman" w:eastAsia="Times New Roman" w:hAnsi="Times New Roman" w:cs="Times New Roman"/>
                <w:iCs/>
                <w:sz w:val="24"/>
                <w:szCs w:val="24"/>
                <w:lang w:eastAsia="lv-LV"/>
              </w:rPr>
            </w:pPr>
            <w:r w:rsidRPr="00645C5F">
              <w:rPr>
                <w:rFonts w:ascii="Times New Roman" w:eastAsia="Times New Roman" w:hAnsi="Times New Roman" w:cs="Times New Roman"/>
                <w:iCs/>
                <w:sz w:val="24"/>
                <w:szCs w:val="24"/>
                <w:lang w:eastAsia="lv-LV"/>
              </w:rPr>
              <w:t>Nav</w:t>
            </w:r>
          </w:p>
        </w:tc>
      </w:tr>
    </w:tbl>
    <w:p w14:paraId="530CC06A" w14:textId="77777777" w:rsidR="00C25B49" w:rsidRPr="00645C5F" w:rsidRDefault="00C25B49" w:rsidP="00894C55">
      <w:pPr>
        <w:spacing w:after="0" w:line="240" w:lineRule="auto"/>
        <w:rPr>
          <w:rFonts w:ascii="Times New Roman" w:hAnsi="Times New Roman" w:cs="Times New Roman"/>
          <w:sz w:val="28"/>
          <w:szCs w:val="28"/>
        </w:rPr>
      </w:pPr>
    </w:p>
    <w:p w14:paraId="2B3E8F28" w14:textId="77777777" w:rsidR="00E5323B" w:rsidRPr="00645C5F" w:rsidRDefault="00E5323B" w:rsidP="00894C55">
      <w:pPr>
        <w:spacing w:after="0" w:line="240" w:lineRule="auto"/>
        <w:rPr>
          <w:rFonts w:ascii="Times New Roman" w:hAnsi="Times New Roman" w:cs="Times New Roman"/>
          <w:sz w:val="28"/>
          <w:szCs w:val="28"/>
        </w:rPr>
      </w:pPr>
    </w:p>
    <w:p w14:paraId="1A06B38C" w14:textId="77777777" w:rsidR="00894C55" w:rsidRPr="00645C5F" w:rsidRDefault="007F1F51" w:rsidP="00894C55">
      <w:pPr>
        <w:tabs>
          <w:tab w:val="left" w:pos="6237"/>
        </w:tabs>
        <w:spacing w:after="0" w:line="240" w:lineRule="auto"/>
        <w:ind w:firstLine="720"/>
        <w:rPr>
          <w:rFonts w:ascii="Times New Roman" w:hAnsi="Times New Roman" w:cs="Times New Roman"/>
          <w:sz w:val="28"/>
          <w:szCs w:val="28"/>
        </w:rPr>
      </w:pPr>
      <w:r w:rsidRPr="00645C5F">
        <w:rPr>
          <w:rFonts w:ascii="Times New Roman" w:hAnsi="Times New Roman" w:cs="Times New Roman"/>
          <w:sz w:val="28"/>
          <w:szCs w:val="28"/>
        </w:rPr>
        <w:t xml:space="preserve">Veselības </w:t>
      </w:r>
      <w:r w:rsidR="00894C55" w:rsidRPr="00645C5F">
        <w:rPr>
          <w:rFonts w:ascii="Times New Roman" w:hAnsi="Times New Roman" w:cs="Times New Roman"/>
          <w:sz w:val="28"/>
          <w:szCs w:val="28"/>
        </w:rPr>
        <w:t>ministr</w:t>
      </w:r>
      <w:r w:rsidRPr="00645C5F">
        <w:rPr>
          <w:rFonts w:ascii="Times New Roman" w:hAnsi="Times New Roman" w:cs="Times New Roman"/>
          <w:sz w:val="28"/>
          <w:szCs w:val="28"/>
        </w:rPr>
        <w:t>e</w:t>
      </w:r>
      <w:r w:rsidR="00894C55" w:rsidRPr="00645C5F">
        <w:rPr>
          <w:rFonts w:ascii="Times New Roman" w:hAnsi="Times New Roman" w:cs="Times New Roman"/>
          <w:sz w:val="28"/>
          <w:szCs w:val="28"/>
        </w:rPr>
        <w:tab/>
      </w:r>
      <w:proofErr w:type="spellStart"/>
      <w:r w:rsidRPr="00645C5F">
        <w:rPr>
          <w:rFonts w:ascii="Times New Roman" w:hAnsi="Times New Roman" w:cs="Times New Roman"/>
          <w:sz w:val="28"/>
          <w:szCs w:val="28"/>
        </w:rPr>
        <w:t>I.Viņķele</w:t>
      </w:r>
      <w:proofErr w:type="spellEnd"/>
    </w:p>
    <w:p w14:paraId="0E22B650" w14:textId="77777777" w:rsidR="00894C55" w:rsidRPr="00645C5F" w:rsidRDefault="00894C55" w:rsidP="00894C55">
      <w:pPr>
        <w:tabs>
          <w:tab w:val="left" w:pos="6237"/>
        </w:tabs>
        <w:spacing w:after="0" w:line="240" w:lineRule="auto"/>
        <w:ind w:firstLine="720"/>
        <w:rPr>
          <w:rFonts w:ascii="Times New Roman" w:hAnsi="Times New Roman" w:cs="Times New Roman"/>
          <w:sz w:val="28"/>
          <w:szCs w:val="28"/>
        </w:rPr>
      </w:pPr>
    </w:p>
    <w:p w14:paraId="64B8D43B" w14:textId="32BA9227" w:rsidR="00894C55" w:rsidRPr="00645C5F" w:rsidRDefault="00894C55" w:rsidP="00894C55">
      <w:pPr>
        <w:tabs>
          <w:tab w:val="left" w:pos="6237"/>
        </w:tabs>
        <w:spacing w:after="0" w:line="240" w:lineRule="auto"/>
        <w:rPr>
          <w:rFonts w:ascii="Times New Roman" w:hAnsi="Times New Roman" w:cs="Times New Roman"/>
          <w:sz w:val="24"/>
          <w:szCs w:val="28"/>
        </w:rPr>
      </w:pPr>
    </w:p>
    <w:p w14:paraId="3A85B351" w14:textId="363CF967" w:rsidR="000A642D" w:rsidRPr="00645C5F" w:rsidRDefault="000A642D" w:rsidP="00894C55">
      <w:pPr>
        <w:tabs>
          <w:tab w:val="left" w:pos="6237"/>
        </w:tabs>
        <w:spacing w:after="0" w:line="240" w:lineRule="auto"/>
        <w:rPr>
          <w:rFonts w:ascii="Times New Roman" w:hAnsi="Times New Roman" w:cs="Times New Roman"/>
          <w:sz w:val="24"/>
          <w:szCs w:val="28"/>
        </w:rPr>
      </w:pPr>
    </w:p>
    <w:sectPr w:rsidR="000A642D" w:rsidRPr="00645C5F"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1EF4E" w14:textId="77777777" w:rsidR="009A5476" w:rsidRDefault="009A5476" w:rsidP="00894C55">
      <w:pPr>
        <w:spacing w:after="0" w:line="240" w:lineRule="auto"/>
      </w:pPr>
      <w:r>
        <w:separator/>
      </w:r>
    </w:p>
  </w:endnote>
  <w:endnote w:type="continuationSeparator" w:id="0">
    <w:p w14:paraId="03612F6A" w14:textId="77777777" w:rsidR="009A5476" w:rsidRDefault="009A547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B7F4C" w14:textId="25B0C6E7" w:rsidR="00894C55" w:rsidRPr="00894C55" w:rsidRDefault="00085C61">
    <w:pPr>
      <w:pStyle w:val="Footer"/>
      <w:rPr>
        <w:rFonts w:ascii="Times New Roman" w:hAnsi="Times New Roman" w:cs="Times New Roman"/>
        <w:sz w:val="20"/>
        <w:szCs w:val="20"/>
      </w:rPr>
    </w:pPr>
    <w:r>
      <w:rPr>
        <w:rFonts w:ascii="Times New Roman" w:hAnsi="Times New Roman" w:cs="Times New Roman"/>
        <w:sz w:val="20"/>
        <w:szCs w:val="20"/>
      </w:rPr>
      <w:t>VManot</w:t>
    </w:r>
    <w:r w:rsidR="009A2654">
      <w:rPr>
        <w:rFonts w:ascii="Times New Roman" w:hAnsi="Times New Roman" w:cs="Times New Roman"/>
        <w:sz w:val="20"/>
        <w:szCs w:val="20"/>
      </w:rPr>
      <w:t>_</w:t>
    </w:r>
    <w:r w:rsidR="0082686D">
      <w:rPr>
        <w:rFonts w:ascii="Times New Roman" w:hAnsi="Times New Roman" w:cs="Times New Roman"/>
        <w:sz w:val="20"/>
        <w:szCs w:val="20"/>
      </w:rPr>
      <w:t>0</w:t>
    </w:r>
    <w:r w:rsidR="004741A2">
      <w:rPr>
        <w:rFonts w:ascii="Times New Roman" w:hAnsi="Times New Roman" w:cs="Times New Roman"/>
        <w:sz w:val="20"/>
        <w:szCs w:val="20"/>
      </w:rPr>
      <w:t>8</w:t>
    </w:r>
    <w:r w:rsidR="0082686D">
      <w:rPr>
        <w:rFonts w:ascii="Times New Roman" w:hAnsi="Times New Roman" w:cs="Times New Roman"/>
        <w:sz w:val="20"/>
        <w:szCs w:val="20"/>
      </w:rPr>
      <w:t>06</w:t>
    </w:r>
    <w:r>
      <w:rPr>
        <w:rFonts w:ascii="Times New Roman" w:hAnsi="Times New Roman" w:cs="Times New Roman"/>
        <w:sz w:val="20"/>
        <w:szCs w:val="20"/>
      </w:rPr>
      <w:t>20</w:t>
    </w:r>
    <w:r w:rsidR="009A2654">
      <w:rPr>
        <w:rFonts w:ascii="Times New Roman" w:hAnsi="Times New Roman" w:cs="Times New Roman"/>
        <w:sz w:val="20"/>
        <w:szCs w:val="20"/>
      </w:rPr>
      <w:t>_</w:t>
    </w:r>
    <w:r>
      <w:rPr>
        <w:rFonts w:ascii="Times New Roman" w:hAnsi="Times New Roman" w:cs="Times New Roman"/>
        <w:sz w:val="20"/>
        <w:szCs w:val="20"/>
      </w:rPr>
      <w:t>MK</w:t>
    </w:r>
    <w:r w:rsidR="00FB2AEB">
      <w:rPr>
        <w:rFonts w:ascii="Times New Roman" w:hAnsi="Times New Roman" w:cs="Times New Roman"/>
        <w:sz w:val="20"/>
        <w:szCs w:val="20"/>
      </w:rPr>
      <w:t>892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C6DDB" w14:textId="6CF00395" w:rsidR="009A2654" w:rsidRPr="009A2654" w:rsidRDefault="00085C61">
    <w:pPr>
      <w:pStyle w:val="Footer"/>
      <w:rPr>
        <w:rFonts w:ascii="Times New Roman" w:hAnsi="Times New Roman" w:cs="Times New Roman"/>
        <w:sz w:val="20"/>
        <w:szCs w:val="20"/>
      </w:rPr>
    </w:pPr>
    <w:r>
      <w:rPr>
        <w:rFonts w:ascii="Times New Roman" w:hAnsi="Times New Roman" w:cs="Times New Roman"/>
        <w:sz w:val="20"/>
        <w:szCs w:val="20"/>
      </w:rPr>
      <w:t>VM</w:t>
    </w:r>
    <w:r w:rsidR="009A2654">
      <w:rPr>
        <w:rFonts w:ascii="Times New Roman" w:hAnsi="Times New Roman" w:cs="Times New Roman"/>
        <w:sz w:val="20"/>
        <w:szCs w:val="20"/>
      </w:rPr>
      <w:t>anot_</w:t>
    </w:r>
    <w:r w:rsidR="0082686D">
      <w:rPr>
        <w:rFonts w:ascii="Times New Roman" w:hAnsi="Times New Roman" w:cs="Times New Roman"/>
        <w:sz w:val="20"/>
        <w:szCs w:val="20"/>
      </w:rPr>
      <w:t>0</w:t>
    </w:r>
    <w:r w:rsidR="00D36059">
      <w:rPr>
        <w:rFonts w:ascii="Times New Roman" w:hAnsi="Times New Roman" w:cs="Times New Roman"/>
        <w:sz w:val="20"/>
        <w:szCs w:val="20"/>
      </w:rPr>
      <w:t>8</w:t>
    </w:r>
    <w:r w:rsidR="0082686D">
      <w:rPr>
        <w:rFonts w:ascii="Times New Roman" w:hAnsi="Times New Roman" w:cs="Times New Roman"/>
        <w:sz w:val="20"/>
        <w:szCs w:val="20"/>
      </w:rPr>
      <w:t>06</w:t>
    </w:r>
    <w:r>
      <w:rPr>
        <w:rFonts w:ascii="Times New Roman" w:hAnsi="Times New Roman" w:cs="Times New Roman"/>
        <w:sz w:val="20"/>
        <w:szCs w:val="20"/>
      </w:rPr>
      <w:t>20</w:t>
    </w:r>
    <w:r w:rsidR="009A2654">
      <w:rPr>
        <w:rFonts w:ascii="Times New Roman" w:hAnsi="Times New Roman" w:cs="Times New Roman"/>
        <w:sz w:val="20"/>
        <w:szCs w:val="20"/>
      </w:rPr>
      <w:t>_</w:t>
    </w:r>
    <w:r>
      <w:rPr>
        <w:rFonts w:ascii="Times New Roman" w:hAnsi="Times New Roman" w:cs="Times New Roman"/>
        <w:sz w:val="20"/>
        <w:szCs w:val="20"/>
      </w:rPr>
      <w:t>M</w:t>
    </w:r>
    <w:r w:rsidR="00FB2AEB">
      <w:rPr>
        <w:rFonts w:ascii="Times New Roman" w:hAnsi="Times New Roman" w:cs="Times New Roman"/>
        <w:sz w:val="20"/>
        <w:szCs w:val="20"/>
      </w:rPr>
      <w:t>K892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92794" w14:textId="77777777" w:rsidR="009A5476" w:rsidRDefault="009A5476" w:rsidP="00894C55">
      <w:pPr>
        <w:spacing w:after="0" w:line="240" w:lineRule="auto"/>
      </w:pPr>
      <w:r>
        <w:separator/>
      </w:r>
    </w:p>
  </w:footnote>
  <w:footnote w:type="continuationSeparator" w:id="0">
    <w:p w14:paraId="304E740F" w14:textId="77777777" w:rsidR="009A5476" w:rsidRDefault="009A547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B499BA1"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05FD0">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274"/>
    <w:rsid w:val="0003456B"/>
    <w:rsid w:val="00052208"/>
    <w:rsid w:val="00054384"/>
    <w:rsid w:val="00080D68"/>
    <w:rsid w:val="00085383"/>
    <w:rsid w:val="00085C61"/>
    <w:rsid w:val="000A642D"/>
    <w:rsid w:val="000A7E5D"/>
    <w:rsid w:val="000B6CD7"/>
    <w:rsid w:val="000F3F18"/>
    <w:rsid w:val="0010160B"/>
    <w:rsid w:val="00120036"/>
    <w:rsid w:val="001263CD"/>
    <w:rsid w:val="001B5653"/>
    <w:rsid w:val="001C5BA9"/>
    <w:rsid w:val="001E4C49"/>
    <w:rsid w:val="00213E1B"/>
    <w:rsid w:val="00243426"/>
    <w:rsid w:val="002754EF"/>
    <w:rsid w:val="0028679B"/>
    <w:rsid w:val="002B1187"/>
    <w:rsid w:val="002C42C7"/>
    <w:rsid w:val="002D7DF6"/>
    <w:rsid w:val="002E0648"/>
    <w:rsid w:val="002E1C05"/>
    <w:rsid w:val="003150DA"/>
    <w:rsid w:val="003217E9"/>
    <w:rsid w:val="00335875"/>
    <w:rsid w:val="003758EF"/>
    <w:rsid w:val="00382FF9"/>
    <w:rsid w:val="003B0BF9"/>
    <w:rsid w:val="003E0791"/>
    <w:rsid w:val="003E67B6"/>
    <w:rsid w:val="003F28AC"/>
    <w:rsid w:val="004454FE"/>
    <w:rsid w:val="00453EB4"/>
    <w:rsid w:val="00456E40"/>
    <w:rsid w:val="00471F27"/>
    <w:rsid w:val="004741A2"/>
    <w:rsid w:val="0049277A"/>
    <w:rsid w:val="0050178F"/>
    <w:rsid w:val="00520021"/>
    <w:rsid w:val="005331F3"/>
    <w:rsid w:val="00535A02"/>
    <w:rsid w:val="00594E4E"/>
    <w:rsid w:val="005A76C1"/>
    <w:rsid w:val="00645C5F"/>
    <w:rsid w:val="00655F2C"/>
    <w:rsid w:val="006A46EF"/>
    <w:rsid w:val="006A6AFB"/>
    <w:rsid w:val="006B6C2E"/>
    <w:rsid w:val="006C4E7F"/>
    <w:rsid w:val="006D77E2"/>
    <w:rsid w:val="006E1081"/>
    <w:rsid w:val="006E4F19"/>
    <w:rsid w:val="006E57BC"/>
    <w:rsid w:val="00720585"/>
    <w:rsid w:val="00761422"/>
    <w:rsid w:val="00773AF6"/>
    <w:rsid w:val="00791F14"/>
    <w:rsid w:val="00795F71"/>
    <w:rsid w:val="007C0FE2"/>
    <w:rsid w:val="007C69EF"/>
    <w:rsid w:val="007D7875"/>
    <w:rsid w:val="007E5F7A"/>
    <w:rsid w:val="007E73AB"/>
    <w:rsid w:val="007F1F51"/>
    <w:rsid w:val="00801143"/>
    <w:rsid w:val="00816C11"/>
    <w:rsid w:val="008252FB"/>
    <w:rsid w:val="0082686D"/>
    <w:rsid w:val="008739DD"/>
    <w:rsid w:val="00875BEB"/>
    <w:rsid w:val="00894C55"/>
    <w:rsid w:val="008A5CA4"/>
    <w:rsid w:val="008B1BB3"/>
    <w:rsid w:val="008B3D87"/>
    <w:rsid w:val="008C11AF"/>
    <w:rsid w:val="00914825"/>
    <w:rsid w:val="00945D33"/>
    <w:rsid w:val="009850A4"/>
    <w:rsid w:val="009944CC"/>
    <w:rsid w:val="009A2654"/>
    <w:rsid w:val="009A5476"/>
    <w:rsid w:val="009D0A5A"/>
    <w:rsid w:val="00A10FC3"/>
    <w:rsid w:val="00A1635D"/>
    <w:rsid w:val="00A26961"/>
    <w:rsid w:val="00A40F19"/>
    <w:rsid w:val="00A47B68"/>
    <w:rsid w:val="00A6073E"/>
    <w:rsid w:val="00A9626E"/>
    <w:rsid w:val="00AC0026"/>
    <w:rsid w:val="00AD0FC8"/>
    <w:rsid w:val="00AE4CDA"/>
    <w:rsid w:val="00AE5567"/>
    <w:rsid w:val="00AF1239"/>
    <w:rsid w:val="00B16480"/>
    <w:rsid w:val="00B2165C"/>
    <w:rsid w:val="00B97412"/>
    <w:rsid w:val="00BA20AA"/>
    <w:rsid w:val="00BD4425"/>
    <w:rsid w:val="00BE38C1"/>
    <w:rsid w:val="00C05FD0"/>
    <w:rsid w:val="00C167CF"/>
    <w:rsid w:val="00C17F50"/>
    <w:rsid w:val="00C25B49"/>
    <w:rsid w:val="00C551B2"/>
    <w:rsid w:val="00C80149"/>
    <w:rsid w:val="00CB09B9"/>
    <w:rsid w:val="00CC0D2D"/>
    <w:rsid w:val="00CE4BD7"/>
    <w:rsid w:val="00CE5657"/>
    <w:rsid w:val="00D074E0"/>
    <w:rsid w:val="00D133F8"/>
    <w:rsid w:val="00D14A3E"/>
    <w:rsid w:val="00D36059"/>
    <w:rsid w:val="00D905D8"/>
    <w:rsid w:val="00D91326"/>
    <w:rsid w:val="00DA66C3"/>
    <w:rsid w:val="00DB1208"/>
    <w:rsid w:val="00DC3063"/>
    <w:rsid w:val="00DC7697"/>
    <w:rsid w:val="00DE07F6"/>
    <w:rsid w:val="00DE1567"/>
    <w:rsid w:val="00DF2037"/>
    <w:rsid w:val="00E01943"/>
    <w:rsid w:val="00E10E54"/>
    <w:rsid w:val="00E327F5"/>
    <w:rsid w:val="00E3716B"/>
    <w:rsid w:val="00E5190D"/>
    <w:rsid w:val="00E5323B"/>
    <w:rsid w:val="00E70FF1"/>
    <w:rsid w:val="00E718A2"/>
    <w:rsid w:val="00E75F79"/>
    <w:rsid w:val="00E8749E"/>
    <w:rsid w:val="00E9034A"/>
    <w:rsid w:val="00E90C01"/>
    <w:rsid w:val="00E93AE2"/>
    <w:rsid w:val="00EA486E"/>
    <w:rsid w:val="00EC04A1"/>
    <w:rsid w:val="00F143BD"/>
    <w:rsid w:val="00F575B8"/>
    <w:rsid w:val="00F57B0C"/>
    <w:rsid w:val="00F65B31"/>
    <w:rsid w:val="00FB0972"/>
    <w:rsid w:val="00FB2AEB"/>
    <w:rsid w:val="00FC5C91"/>
    <w:rsid w:val="00FD1093"/>
    <w:rsid w:val="00FE7ED6"/>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BE4BCD"/>
  <w15:docId w15:val="{D763B4B2-2203-4590-9B90-2E33C942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F575B8"/>
    <w:rPr>
      <w:sz w:val="16"/>
      <w:szCs w:val="16"/>
    </w:rPr>
  </w:style>
  <w:style w:type="paragraph" w:styleId="CommentText">
    <w:name w:val="annotation text"/>
    <w:basedOn w:val="Normal"/>
    <w:link w:val="CommentTextChar"/>
    <w:uiPriority w:val="99"/>
    <w:semiHidden/>
    <w:unhideWhenUsed/>
    <w:rsid w:val="00F575B8"/>
    <w:pPr>
      <w:spacing w:line="240" w:lineRule="auto"/>
    </w:pPr>
    <w:rPr>
      <w:sz w:val="20"/>
      <w:szCs w:val="20"/>
    </w:rPr>
  </w:style>
  <w:style w:type="character" w:customStyle="1" w:styleId="CommentTextChar">
    <w:name w:val="Comment Text Char"/>
    <w:basedOn w:val="DefaultParagraphFont"/>
    <w:link w:val="CommentText"/>
    <w:uiPriority w:val="99"/>
    <w:semiHidden/>
    <w:rsid w:val="00F575B8"/>
    <w:rPr>
      <w:sz w:val="20"/>
      <w:szCs w:val="20"/>
    </w:rPr>
  </w:style>
  <w:style w:type="paragraph" w:styleId="CommentSubject">
    <w:name w:val="annotation subject"/>
    <w:basedOn w:val="CommentText"/>
    <w:next w:val="CommentText"/>
    <w:link w:val="CommentSubjectChar"/>
    <w:uiPriority w:val="99"/>
    <w:semiHidden/>
    <w:unhideWhenUsed/>
    <w:rsid w:val="00F575B8"/>
    <w:rPr>
      <w:b/>
      <w:bCs/>
    </w:rPr>
  </w:style>
  <w:style w:type="character" w:customStyle="1" w:styleId="CommentSubjectChar">
    <w:name w:val="Comment Subject Char"/>
    <w:basedOn w:val="CommentTextChar"/>
    <w:link w:val="CommentSubject"/>
    <w:uiPriority w:val="99"/>
    <w:semiHidden/>
    <w:rsid w:val="00F575B8"/>
    <w:rPr>
      <w:b/>
      <w:bCs/>
      <w:sz w:val="20"/>
      <w:szCs w:val="20"/>
    </w:rPr>
  </w:style>
  <w:style w:type="paragraph" w:styleId="NoSpacing">
    <w:name w:val="No Spacing"/>
    <w:uiPriority w:val="1"/>
    <w:qFormat/>
    <w:rsid w:val="00F575B8"/>
    <w:pPr>
      <w:spacing w:after="0" w:line="240" w:lineRule="auto"/>
    </w:pPr>
  </w:style>
  <w:style w:type="character" w:styleId="Emphasis">
    <w:name w:val="Emphasis"/>
    <w:basedOn w:val="DefaultParagraphFont"/>
    <w:uiPriority w:val="20"/>
    <w:qFormat/>
    <w:rsid w:val="00791F14"/>
    <w:rPr>
      <w:i/>
      <w:iCs/>
    </w:rPr>
  </w:style>
  <w:style w:type="paragraph" w:customStyle="1" w:styleId="Bezatstarpm1">
    <w:name w:val="Bez atstarpēm1"/>
    <w:uiPriority w:val="1"/>
    <w:qFormat/>
    <w:rsid w:val="003758EF"/>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CE4BD7"/>
    <w:pPr>
      <w:ind w:left="720"/>
      <w:contextualSpacing/>
    </w:pPr>
  </w:style>
  <w:style w:type="paragraph" w:customStyle="1" w:styleId="tv213">
    <w:name w:val="tv213"/>
    <w:basedOn w:val="Normal"/>
    <w:rsid w:val="00C8014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3E6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3472520">
      <w:bodyDiv w:val="1"/>
      <w:marLeft w:val="0"/>
      <w:marRight w:val="0"/>
      <w:marTop w:val="0"/>
      <w:marBottom w:val="0"/>
      <w:divBdr>
        <w:top w:val="none" w:sz="0" w:space="0" w:color="auto"/>
        <w:left w:val="none" w:sz="0" w:space="0" w:color="auto"/>
        <w:bottom w:val="none" w:sz="0" w:space="0" w:color="auto"/>
        <w:right w:val="none" w:sz="0" w:space="0" w:color="auto"/>
      </w:divBdr>
    </w:div>
    <w:div w:id="398600019">
      <w:bodyDiv w:val="1"/>
      <w:marLeft w:val="0"/>
      <w:marRight w:val="0"/>
      <w:marTop w:val="0"/>
      <w:marBottom w:val="0"/>
      <w:divBdr>
        <w:top w:val="none" w:sz="0" w:space="0" w:color="auto"/>
        <w:left w:val="none" w:sz="0" w:space="0" w:color="auto"/>
        <w:bottom w:val="none" w:sz="0" w:space="0" w:color="auto"/>
        <w:right w:val="none" w:sz="0" w:space="0" w:color="auto"/>
      </w:divBdr>
      <w:divsChild>
        <w:div w:id="1619799898">
          <w:marLeft w:val="0"/>
          <w:marRight w:val="0"/>
          <w:marTop w:val="0"/>
          <w:marBottom w:val="0"/>
          <w:divBdr>
            <w:top w:val="none" w:sz="0" w:space="0" w:color="auto"/>
            <w:left w:val="none" w:sz="0" w:space="0" w:color="auto"/>
            <w:bottom w:val="none" w:sz="0" w:space="0" w:color="auto"/>
            <w:right w:val="none" w:sz="0" w:space="0" w:color="auto"/>
          </w:divBdr>
        </w:div>
        <w:div w:id="1253005669">
          <w:marLeft w:val="0"/>
          <w:marRight w:val="0"/>
          <w:marTop w:val="24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25577912">
      <w:bodyDiv w:val="1"/>
      <w:marLeft w:val="0"/>
      <w:marRight w:val="0"/>
      <w:marTop w:val="0"/>
      <w:marBottom w:val="0"/>
      <w:divBdr>
        <w:top w:val="none" w:sz="0" w:space="0" w:color="auto"/>
        <w:left w:val="none" w:sz="0" w:space="0" w:color="auto"/>
        <w:bottom w:val="none" w:sz="0" w:space="0" w:color="auto"/>
        <w:right w:val="none" w:sz="0" w:space="0" w:color="auto"/>
      </w:divBdr>
    </w:div>
    <w:div w:id="1724132364">
      <w:bodyDiv w:val="1"/>
      <w:marLeft w:val="0"/>
      <w:marRight w:val="0"/>
      <w:marTop w:val="0"/>
      <w:marBottom w:val="0"/>
      <w:divBdr>
        <w:top w:val="none" w:sz="0" w:space="0" w:color="auto"/>
        <w:left w:val="none" w:sz="0" w:space="0" w:color="auto"/>
        <w:bottom w:val="none" w:sz="0" w:space="0" w:color="auto"/>
        <w:right w:val="none" w:sz="0" w:space="0" w:color="auto"/>
      </w:divBdr>
      <w:divsChild>
        <w:div w:id="1372151138">
          <w:marLeft w:val="0"/>
          <w:marRight w:val="0"/>
          <w:marTop w:val="0"/>
          <w:marBottom w:val="0"/>
          <w:divBdr>
            <w:top w:val="none" w:sz="0" w:space="0" w:color="auto"/>
            <w:left w:val="none" w:sz="0" w:space="0" w:color="auto"/>
            <w:bottom w:val="none" w:sz="0" w:space="0" w:color="auto"/>
            <w:right w:val="none" w:sz="0" w:space="0" w:color="auto"/>
          </w:divBdr>
        </w:div>
        <w:div w:id="293218116">
          <w:marLeft w:val="0"/>
          <w:marRight w:val="0"/>
          <w:marTop w:val="0"/>
          <w:marBottom w:val="0"/>
          <w:divBdr>
            <w:top w:val="none" w:sz="0" w:space="0" w:color="auto"/>
            <w:left w:val="none" w:sz="0" w:space="0" w:color="auto"/>
            <w:bottom w:val="none" w:sz="0" w:space="0" w:color="auto"/>
            <w:right w:val="none" w:sz="0" w:space="0" w:color="auto"/>
          </w:divBdr>
        </w:div>
        <w:div w:id="2128884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96081-noteikumi-par-numeracijas-lietosanas-tiesibu-ikgadejo-valsts-nodev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196081-noteikumi-par-numeracijas-lietosanas-tiesibu-ikgadejo-valsts-nodev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D738B-857D-469E-8EFA-4DF9E8B0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7270</Words>
  <Characters>4144</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Svetlana Batare</cp:lastModifiedBy>
  <cp:revision>4</cp:revision>
  <dcterms:created xsi:type="dcterms:W3CDTF">2020-06-08T09:57:00Z</dcterms:created>
  <dcterms:modified xsi:type="dcterms:W3CDTF">2020-06-08T11:11:00Z</dcterms:modified>
</cp:coreProperties>
</file>