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2 -->
  <w:body>
    <w:p w:rsidR="00662E1B" w:rsidRPr="00B4680C" w:rsidP="00662E1B" w14:paraId="66C1C2DF" w14:textId="77777777">
      <w:pPr>
        <w:widowControl/>
        <w:autoSpaceDE w:val="0"/>
        <w:autoSpaceDN w:val="0"/>
        <w:adjustRightInd w:val="0"/>
        <w:spacing w:after="0" w:line="240" w:lineRule="auto"/>
        <w:ind w:left="5760" w:firstLine="720"/>
        <w:jc w:val="right"/>
        <w:rPr>
          <w:rFonts w:eastAsia="Times New Roman"/>
          <w:bCs/>
        </w:rPr>
      </w:pPr>
    </w:p>
    <w:p w:rsidR="00662E1B" w:rsidRPr="00B4680C" w:rsidP="00662E1B" w14:paraId="325DC31F" w14:textId="77777777">
      <w:pPr>
        <w:widowControl/>
        <w:autoSpaceDE w:val="0"/>
        <w:autoSpaceDN w:val="0"/>
        <w:adjustRightInd w:val="0"/>
        <w:spacing w:after="0" w:line="240" w:lineRule="auto"/>
        <w:ind w:left="5760" w:firstLine="720"/>
        <w:jc w:val="right"/>
        <w:rPr>
          <w:rFonts w:eastAsia="Times New Roman"/>
          <w:bCs/>
        </w:rPr>
      </w:pPr>
    </w:p>
    <w:p w:rsidR="00662E1B" w:rsidRPr="00510A6B" w:rsidP="00662E1B" w14:paraId="52135B7F" w14:textId="77777777">
      <w:pPr>
        <w:widowControl/>
        <w:autoSpaceDE w:val="0"/>
        <w:autoSpaceDN w:val="0"/>
        <w:adjustRightInd w:val="0"/>
        <w:spacing w:after="0" w:line="240" w:lineRule="auto"/>
        <w:ind w:left="5760" w:firstLine="720"/>
        <w:jc w:val="right"/>
        <w:rPr>
          <w:rFonts w:eastAsia="Times New Roman"/>
          <w:b/>
          <w:bCs/>
        </w:rPr>
      </w:pPr>
      <w:r w:rsidRPr="00510A6B">
        <w:rPr>
          <w:rFonts w:eastAsia="Times New Roman"/>
          <w:b/>
          <w:bCs/>
        </w:rPr>
        <w:t>Valsts kancelejai</w:t>
      </w:r>
    </w:p>
    <w:p w:rsidR="00662E1B" w:rsidRPr="00B4680C" w:rsidP="00662E1B" w14:paraId="4BA9EBCE" w14:textId="77777777">
      <w:pPr>
        <w:widowControl/>
        <w:autoSpaceDE w:val="0"/>
        <w:autoSpaceDN w:val="0"/>
        <w:adjustRightInd w:val="0"/>
        <w:spacing w:after="0" w:line="240" w:lineRule="auto"/>
        <w:ind w:left="5760" w:firstLine="720"/>
        <w:jc w:val="right"/>
        <w:rPr>
          <w:rFonts w:eastAsia="Times New Roman"/>
          <w:bCs/>
        </w:rPr>
      </w:pPr>
    </w:p>
    <w:p w:rsidR="00662E1B" w:rsidRPr="00B4680C" w:rsidP="00662E1B" w14:paraId="50C8216A" w14:textId="77777777">
      <w:pPr>
        <w:widowControl/>
        <w:spacing w:after="0" w:line="240" w:lineRule="auto"/>
        <w:jc w:val="right"/>
        <w:rPr>
          <w:rFonts w:eastAsia="Times New Roman"/>
          <w:lang w:eastAsia="zh-TW"/>
        </w:rPr>
      </w:pPr>
    </w:p>
    <w:p w:rsidR="00662E1B" w:rsidRPr="00510A6B" w:rsidP="00662E1B" w14:paraId="28B6C8B5" w14:textId="77777777">
      <w:pPr>
        <w:widowControl/>
        <w:spacing w:after="0" w:line="240" w:lineRule="auto"/>
        <w:rPr>
          <w:rFonts w:eastAsia="Times New Roman"/>
          <w:i/>
          <w:lang w:eastAsia="zh-TW"/>
        </w:rPr>
      </w:pPr>
      <w:r w:rsidRPr="00510A6B">
        <w:rPr>
          <w:rFonts w:eastAsia="Times New Roman"/>
          <w:i/>
          <w:lang w:eastAsia="zh-TW"/>
        </w:rPr>
        <w:t>Par Ministru kabineta sēdes protokollēmuma projektu</w:t>
      </w:r>
    </w:p>
    <w:p w:rsidR="00662E1B" w:rsidRPr="00510A6B" w:rsidP="00662E1B" w14:paraId="073EA27F" w14:textId="77777777">
      <w:pPr>
        <w:widowControl/>
        <w:spacing w:after="0" w:line="240" w:lineRule="auto"/>
        <w:rPr>
          <w:rFonts w:eastAsia="Times New Roman"/>
          <w:i/>
          <w:lang w:eastAsia="zh-TW"/>
        </w:rPr>
      </w:pPr>
      <w:r w:rsidRPr="00510A6B">
        <w:rPr>
          <w:rFonts w:eastAsia="Times New Roman"/>
          <w:i/>
          <w:lang w:eastAsia="zh-TW"/>
        </w:rPr>
        <w:t>“Par Ministru kabineta 2019. gada 26. marta sēdes</w:t>
      </w:r>
    </w:p>
    <w:p w:rsidR="00662E1B" w:rsidRPr="00510A6B" w:rsidP="00662E1B" w14:paraId="08EC9458" w14:textId="1726234E">
      <w:pPr>
        <w:widowControl/>
        <w:spacing w:after="0" w:line="240" w:lineRule="auto"/>
        <w:rPr>
          <w:rFonts w:eastAsia="Times New Roman"/>
          <w:i/>
          <w:lang w:eastAsia="zh-TW"/>
        </w:rPr>
      </w:pPr>
      <w:r w:rsidRPr="00510A6B">
        <w:rPr>
          <w:rFonts w:eastAsia="Times New Roman"/>
          <w:i/>
          <w:lang w:eastAsia="zh-TW"/>
        </w:rPr>
        <w:t>protok</w:t>
      </w:r>
      <w:r w:rsidR="00F6691A">
        <w:rPr>
          <w:rFonts w:eastAsia="Times New Roman"/>
          <w:i/>
          <w:lang w:eastAsia="zh-TW"/>
        </w:rPr>
        <w:t>ollēmuma (prot. Nr. 16, 30. §) “</w:t>
      </w:r>
      <w:r w:rsidRPr="00510A6B">
        <w:rPr>
          <w:rFonts w:eastAsia="Times New Roman"/>
          <w:i/>
          <w:lang w:eastAsia="zh-TW"/>
        </w:rPr>
        <w:t>Informatīvais</w:t>
      </w:r>
    </w:p>
    <w:p w:rsidR="00662E1B" w:rsidRPr="00510A6B" w:rsidP="00662E1B" w14:paraId="77039BE7" w14:textId="77777777">
      <w:pPr>
        <w:widowControl/>
        <w:spacing w:after="0" w:line="240" w:lineRule="auto"/>
        <w:rPr>
          <w:rFonts w:eastAsia="Times New Roman"/>
          <w:i/>
          <w:lang w:eastAsia="zh-TW"/>
        </w:rPr>
      </w:pPr>
      <w:r w:rsidRPr="00510A6B">
        <w:rPr>
          <w:rFonts w:eastAsia="Times New Roman"/>
          <w:i/>
          <w:lang w:eastAsia="zh-TW"/>
        </w:rPr>
        <w:t>ziņojums “Par Nacionālo bruņoto spēku profesionālā</w:t>
      </w:r>
    </w:p>
    <w:p w:rsidR="00662E1B" w:rsidRPr="00510A6B" w:rsidP="00662E1B" w14:paraId="6080E600" w14:textId="77777777">
      <w:pPr>
        <w:widowControl/>
        <w:spacing w:after="0" w:line="240" w:lineRule="auto"/>
        <w:rPr>
          <w:rFonts w:eastAsia="Times New Roman"/>
          <w:i/>
          <w:lang w:eastAsia="zh-TW"/>
        </w:rPr>
      </w:pPr>
      <w:r w:rsidRPr="00510A6B">
        <w:rPr>
          <w:rFonts w:eastAsia="Times New Roman"/>
          <w:i/>
          <w:lang w:eastAsia="zh-TW"/>
        </w:rPr>
        <w:t>dienesta karavīru nodrošināšanu ar dienesta dzīvojamām</w:t>
      </w:r>
    </w:p>
    <w:p w:rsidR="00662E1B" w:rsidRPr="00510A6B" w:rsidP="00662E1B" w14:paraId="4C047C38" w14:textId="77777777">
      <w:pPr>
        <w:widowControl/>
        <w:spacing w:after="0" w:line="240" w:lineRule="auto"/>
        <w:rPr>
          <w:rFonts w:eastAsia="Times New Roman"/>
          <w:i/>
          <w:lang w:eastAsia="zh-TW"/>
        </w:rPr>
      </w:pPr>
      <w:r w:rsidRPr="00510A6B">
        <w:rPr>
          <w:rFonts w:eastAsia="Times New Roman"/>
          <w:i/>
          <w:lang w:eastAsia="zh-TW"/>
        </w:rPr>
        <w:t>telpām Ādažu novadā”” 2. un 3. punktā doto uzdevumu</w:t>
      </w:r>
    </w:p>
    <w:p w:rsidR="00662E1B" w:rsidRPr="00510A6B" w:rsidP="00662E1B" w14:paraId="631E5199" w14:textId="77777777">
      <w:pPr>
        <w:widowControl/>
        <w:spacing w:after="0" w:line="240" w:lineRule="auto"/>
        <w:rPr>
          <w:rFonts w:eastAsia="Times New Roman"/>
          <w:i/>
          <w:lang w:eastAsia="zh-TW"/>
        </w:rPr>
      </w:pPr>
      <w:r w:rsidRPr="00510A6B">
        <w:rPr>
          <w:rFonts w:eastAsia="Times New Roman"/>
          <w:i/>
          <w:lang w:eastAsia="zh-TW"/>
        </w:rPr>
        <w:t>atzīšanu par aktualitāti zaudējušiem”</w:t>
      </w:r>
    </w:p>
    <w:p w:rsidR="00662E1B" w:rsidP="00662E1B" w14:paraId="1D2D51F2" w14:textId="77777777">
      <w:pPr>
        <w:widowControl/>
        <w:spacing w:after="0" w:line="240" w:lineRule="auto"/>
        <w:rPr>
          <w:rFonts w:eastAsia="Times New Roman"/>
          <w:lang w:eastAsia="zh-TW"/>
        </w:rPr>
      </w:pPr>
    </w:p>
    <w:p w:rsidR="00662E1B" w:rsidRPr="00B4680C" w:rsidP="00662E1B" w14:paraId="6EAD71F3" w14:textId="77777777">
      <w:pPr>
        <w:widowControl/>
        <w:spacing w:after="0" w:line="240" w:lineRule="auto"/>
        <w:rPr>
          <w:rFonts w:eastAsia="Times New Roman"/>
          <w:lang w:eastAsia="zh-TW"/>
        </w:rPr>
      </w:pPr>
    </w:p>
    <w:p w:rsidR="00662E1B" w:rsidRPr="00510A6B" w:rsidP="00662E1B" w14:paraId="0EF96A98" w14:textId="1BD41DEC">
      <w:pPr>
        <w:widowControl/>
        <w:tabs>
          <w:tab w:val="left" w:pos="709"/>
        </w:tabs>
        <w:spacing w:after="0" w:line="240" w:lineRule="auto"/>
        <w:jc w:val="both"/>
        <w:rPr>
          <w:rFonts w:eastAsia="Times New Roman"/>
        </w:rPr>
      </w:pPr>
      <w:r w:rsidRPr="00510A6B">
        <w:rPr>
          <w:rFonts w:eastAsia="Times New Roman"/>
        </w:rPr>
        <w:tab/>
        <w:t xml:space="preserve">Pamatojoties uz Ministru kabineta 2009. gada 7. aprīļa noteikumu Nr. 300 “Ministru kabineta kārtības rullis” 73.1. apakšpunktu, iesniedzu izskatīšanai Ministru kabineta sēdē Ministru kabineta sēdes protokollēmuma “Par Ministru kabineta 2019. gada </w:t>
      </w:r>
      <w:r>
        <w:rPr>
          <w:rFonts w:eastAsia="Times New Roman"/>
        </w:rPr>
        <w:t>26. </w:t>
      </w:r>
      <w:r w:rsidRPr="00510A6B">
        <w:rPr>
          <w:rFonts w:eastAsia="Times New Roman"/>
        </w:rPr>
        <w:t xml:space="preserve">marta </w:t>
      </w:r>
      <w:r>
        <w:rPr>
          <w:rFonts w:eastAsia="Times New Roman"/>
        </w:rPr>
        <w:t>sēdes protokollēmuma (prot. Nr. 16, 30. </w:t>
      </w:r>
      <w:r w:rsidR="00F6691A">
        <w:rPr>
          <w:rFonts w:eastAsia="Times New Roman"/>
        </w:rPr>
        <w:t>§) “</w:t>
      </w:r>
      <w:r w:rsidRPr="00510A6B">
        <w:rPr>
          <w:rFonts w:eastAsia="Times New Roman"/>
        </w:rPr>
        <w:t>Informatīvais ziņojums “Par Nacionālo bruņoto spēku profesionālā dienesta karavīru nodrošināšanu ar dienesta dzīvojamām</w:t>
      </w:r>
      <w:r w:rsidR="00F6691A">
        <w:rPr>
          <w:rFonts w:eastAsia="Times New Roman"/>
        </w:rPr>
        <w:t xml:space="preserve"> telpām Ādažu novadā”” 2. </w:t>
      </w:r>
      <w:r>
        <w:rPr>
          <w:rFonts w:eastAsia="Times New Roman"/>
        </w:rPr>
        <w:t>un 3. </w:t>
      </w:r>
      <w:r w:rsidRPr="00510A6B">
        <w:rPr>
          <w:rFonts w:eastAsia="Times New Roman"/>
        </w:rPr>
        <w:t>punktā doto uzdevumu atzīšanu par aktualitāti zaudējušiem” projektu.</w:t>
      </w:r>
    </w:p>
    <w:p w:rsidR="00662E1B" w:rsidRPr="00B4680C" w:rsidP="00662E1B" w14:paraId="117B11AD" w14:textId="77777777">
      <w:pPr>
        <w:widowControl/>
        <w:tabs>
          <w:tab w:val="left" w:pos="4395"/>
        </w:tabs>
        <w:spacing w:after="0" w:line="240" w:lineRule="auto"/>
        <w:jc w:val="both"/>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5"/>
        <w:gridCol w:w="24"/>
        <w:gridCol w:w="2888"/>
        <w:gridCol w:w="5874"/>
      </w:tblGrid>
      <w:tr w14:paraId="5EAAA720" w14:textId="77777777" w:rsidTr="006B21B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515" w:type="dxa"/>
            <w:tcBorders>
              <w:top w:val="single" w:sz="4" w:space="0" w:color="auto"/>
              <w:left w:val="single" w:sz="4" w:space="0" w:color="auto"/>
              <w:bottom w:val="single" w:sz="4" w:space="0" w:color="auto"/>
            </w:tcBorders>
          </w:tcPr>
          <w:p w:rsidR="00662E1B" w:rsidRPr="00510A6B" w:rsidP="006B21BC" w14:paraId="3961E620" w14:textId="77777777">
            <w:pPr>
              <w:widowControl/>
              <w:spacing w:after="0" w:line="240" w:lineRule="auto"/>
              <w:rPr>
                <w:rFonts w:eastAsia="Times New Roman"/>
                <w:lang w:eastAsia="zh-TW"/>
              </w:rPr>
            </w:pPr>
            <w:r w:rsidRPr="00510A6B">
              <w:rPr>
                <w:rFonts w:eastAsia="Times New Roman"/>
                <w:lang w:eastAsia="zh-TW"/>
              </w:rPr>
              <w:t>1.</w:t>
            </w:r>
          </w:p>
        </w:tc>
        <w:tc>
          <w:tcPr>
            <w:tcW w:w="2912" w:type="dxa"/>
            <w:gridSpan w:val="2"/>
            <w:tcBorders>
              <w:top w:val="single" w:sz="4" w:space="0" w:color="auto"/>
              <w:bottom w:val="single" w:sz="4" w:space="0" w:color="auto"/>
            </w:tcBorders>
          </w:tcPr>
          <w:p w:rsidR="00662E1B" w:rsidRPr="00510A6B" w:rsidP="006B21BC" w14:paraId="7BC63004" w14:textId="77777777">
            <w:pPr>
              <w:widowControl/>
              <w:spacing w:after="0" w:line="240" w:lineRule="auto"/>
              <w:rPr>
                <w:rFonts w:eastAsia="Times New Roman"/>
                <w:lang w:eastAsia="zh-TW"/>
              </w:rPr>
            </w:pPr>
            <w:r w:rsidRPr="00510A6B">
              <w:rPr>
                <w:rFonts w:eastAsia="Times New Roman"/>
                <w:lang w:eastAsia="zh-TW"/>
              </w:rPr>
              <w:t>Iesniegšanas pamatojums</w:t>
            </w:r>
          </w:p>
        </w:tc>
        <w:tc>
          <w:tcPr>
            <w:tcW w:w="5874" w:type="dxa"/>
            <w:tcBorders>
              <w:top w:val="single" w:sz="4" w:space="0" w:color="auto"/>
              <w:bottom w:val="single" w:sz="4" w:space="0" w:color="auto"/>
              <w:right w:val="single" w:sz="4" w:space="0" w:color="auto"/>
            </w:tcBorders>
          </w:tcPr>
          <w:p w:rsidR="00662E1B" w:rsidRPr="00AC3FFD" w:rsidP="006B21BC" w14:paraId="7D2CF3D9" w14:textId="2744F528">
            <w:pPr>
              <w:widowControl/>
              <w:autoSpaceDE w:val="0"/>
              <w:autoSpaceDN w:val="0"/>
              <w:adjustRightInd w:val="0"/>
              <w:spacing w:after="0" w:line="240" w:lineRule="auto"/>
              <w:ind w:firstLine="849"/>
              <w:jc w:val="both"/>
              <w:rPr>
                <w:rFonts w:eastAsia="Times New Roman"/>
                <w:lang w:eastAsia="zh-TW"/>
              </w:rPr>
            </w:pPr>
            <w:r w:rsidRPr="00AC3FFD">
              <w:rPr>
                <w:rFonts w:eastAsia="Times New Roman"/>
                <w:lang w:eastAsia="zh-TW"/>
              </w:rPr>
              <w:t>Ministru kabinets, 2019. gada 26. martā izskatot Aizsardzības ministrijas sagatavoto informatīvo ziņojumu “Par Nacionālo bruņoto spēku profesionālā dienesta karavīru nodrošināšanu ar dienesta dzīvojamām telpām Ādažu novadā”, ir uzdevis Aizsardzības ministrijai līdz 2021. gada 1. aprīlim veikt iepirkumu par</w:t>
            </w:r>
            <w:r w:rsidR="00D8087B">
              <w:rPr>
                <w:rFonts w:eastAsia="Times New Roman"/>
                <w:lang w:eastAsia="zh-TW"/>
              </w:rPr>
              <w:t xml:space="preserve"> </w:t>
            </w:r>
            <w:r w:rsidRPr="00AC3FFD">
              <w:rPr>
                <w:rFonts w:eastAsia="Times New Roman"/>
                <w:lang w:eastAsia="zh-TW"/>
              </w:rPr>
              <w:t>dienesta dzīvojamo telpu būvniecības projekta finanšu un ekonomisko aprēķinu veikšanu, izmantojot publiskās un privātās partnerības modeli. Pēc finanšu un ekonomisko aprēķinu veikšanas Aizsardzības ministrijai ir uzdots sagatavot un iesniegt izskatīšanai Ministru kabinetā informatīvo ziņojumu par finanšu un ekonomisko aprēķinu rezultātiem un turpmāk paredzētajām darbībām, lai nodrošinātu dienesta dzīvojamo telpu būvniecību.</w:t>
            </w:r>
          </w:p>
          <w:p w:rsidR="00F6691A" w:rsidP="006B21BC" w14:paraId="345056E6" w14:textId="77777777">
            <w:pPr>
              <w:widowControl/>
              <w:autoSpaceDE w:val="0"/>
              <w:autoSpaceDN w:val="0"/>
              <w:adjustRightInd w:val="0"/>
              <w:spacing w:after="0" w:line="240" w:lineRule="auto"/>
              <w:ind w:firstLine="849"/>
              <w:jc w:val="both"/>
              <w:rPr>
                <w:rFonts w:eastAsia="Times New Roman"/>
                <w:lang w:eastAsia="zh-TW"/>
              </w:rPr>
            </w:pPr>
            <w:r w:rsidRPr="00AC3FFD">
              <w:rPr>
                <w:rFonts w:eastAsia="Times New Roman"/>
                <w:lang w:eastAsia="zh-TW"/>
              </w:rPr>
              <w:t xml:space="preserve">Atbilstoši informatīvajā ziņojumā “Par Nacionālo bruņoto spēku profesionālā dienesta karavīru </w:t>
            </w:r>
            <w:r w:rsidRPr="00AC3FFD">
              <w:rPr>
                <w:rFonts w:eastAsia="Times New Roman"/>
                <w:lang w:eastAsia="zh-TW"/>
              </w:rPr>
              <w:t xml:space="preserve">nodrošināšanu ar dienesta dzīvojamām telpām Ādažu novadā” minētajam, militārās infrastruktūras attīstībā, sākot ar 2017. gadu, vidēji gadā tiek ieguldīti ~50 milj. </w:t>
            </w:r>
            <w:r w:rsidRPr="00AC3FFD">
              <w:rPr>
                <w:rFonts w:eastAsia="Times New Roman"/>
                <w:i/>
                <w:lang w:eastAsia="zh-TW"/>
              </w:rPr>
              <w:t>euro</w:t>
            </w:r>
            <w:r w:rsidRPr="00AC3FFD">
              <w:rPr>
                <w:rFonts w:eastAsia="Times New Roman"/>
                <w:lang w:eastAsia="zh-TW"/>
              </w:rPr>
              <w:t>. Finansējumu militārās infrastruktūras attīstībai tuvāko gadu laikā ir paredzēts saglabāt līdzšinējā apjomā – ~50 milj</w:t>
            </w:r>
            <w:r w:rsidRPr="00AC3FFD">
              <w:rPr>
                <w:rFonts w:eastAsia="Times New Roman"/>
                <w:i/>
                <w:lang w:eastAsia="zh-TW"/>
              </w:rPr>
              <w:t>. euro</w:t>
            </w:r>
            <w:r w:rsidRPr="00AC3FFD">
              <w:rPr>
                <w:rFonts w:eastAsia="Times New Roman"/>
                <w:lang w:eastAsia="zh-TW"/>
              </w:rPr>
              <w:t xml:space="preserve"> apmērā. </w:t>
            </w:r>
          </w:p>
          <w:p w:rsidR="00662E1B" w:rsidRPr="000A1501" w:rsidP="006B21BC" w14:paraId="4093C956" w14:textId="56D49476">
            <w:pPr>
              <w:widowControl/>
              <w:autoSpaceDE w:val="0"/>
              <w:autoSpaceDN w:val="0"/>
              <w:adjustRightInd w:val="0"/>
              <w:spacing w:after="0" w:line="240" w:lineRule="auto"/>
              <w:ind w:firstLine="849"/>
              <w:jc w:val="both"/>
              <w:rPr>
                <w:rFonts w:eastAsia="Times New Roman"/>
                <w:lang w:eastAsia="zh-TW"/>
              </w:rPr>
            </w:pPr>
            <w:r w:rsidRPr="00AC3FFD">
              <w:rPr>
                <w:rFonts w:eastAsia="Times New Roman"/>
                <w:lang w:eastAsia="zh-TW"/>
              </w:rPr>
              <w:t xml:space="preserve">Ņemot vērā pieejamo finansējumu, tas prioritāri </w:t>
            </w:r>
            <w:r w:rsidRPr="000A1501">
              <w:rPr>
                <w:rFonts w:eastAsia="Times New Roman"/>
                <w:lang w:eastAsia="zh-TW"/>
              </w:rPr>
              <w:t>tiek novirzīts esošo militāro poligonu attīstībai un jaunu poligonu izveidei, kā arī Zemessardzes bāzu attīstībai. Lai ierobežotā finansējuma apstākļos tomēr uzsāktu risināt jautājumu par dienesta dzīvojamā fonda pieejamību, Aizsardzības ministrija informatīvajā ziņojumā piedāvāja iespējamo risinājumu – dienesta dzīvokļu būvniecību organizēt publiskās un privātās partnerības projekta veidā Ādažu novadā, kur ir fiksēts vislielākais pieprasījums pēc dienesta dzīvokļiem.</w:t>
            </w:r>
          </w:p>
          <w:p w:rsidR="00662E1B" w:rsidRPr="00AC3FFD" w:rsidP="006B21BC" w14:paraId="009FCBAD" w14:textId="1EC56F51">
            <w:pPr>
              <w:widowControl/>
              <w:autoSpaceDE w:val="0"/>
              <w:autoSpaceDN w:val="0"/>
              <w:adjustRightInd w:val="0"/>
              <w:spacing w:after="0" w:line="240" w:lineRule="auto"/>
              <w:ind w:firstLine="849"/>
              <w:jc w:val="both"/>
              <w:rPr>
                <w:rFonts w:eastAsia="Times New Roman"/>
                <w:lang w:eastAsia="zh-TW"/>
              </w:rPr>
            </w:pPr>
            <w:r w:rsidRPr="000A1501">
              <w:rPr>
                <w:rFonts w:eastAsia="Times New Roman"/>
                <w:lang w:eastAsia="zh-TW"/>
              </w:rPr>
              <w:t>Atbilstoši Ministru kabineta 2019. gada 7. maija rīkojuma Nr. 210 “Par Valdības rīcības plānu Deklarācijas par Artura Krišjāņa Kariņa vadītā Ministru kabineta iecerēto darbību īstenošanai</w:t>
            </w:r>
            <w:r w:rsidRPr="00AC3FFD">
              <w:rPr>
                <w:rFonts w:eastAsia="Times New Roman"/>
                <w:lang w:eastAsia="zh-TW"/>
              </w:rPr>
              <w:t>” pasākumiem Nr. 204.2., 204.3. un 205</w:t>
            </w:r>
            <w:r w:rsidR="00492338">
              <w:rPr>
                <w:rFonts w:eastAsia="Times New Roman"/>
                <w:lang w:eastAsia="zh-TW"/>
              </w:rPr>
              <w:t>.1. kā prioritāri īstenojamie pasākumi ir noteikti:</w:t>
            </w:r>
            <w:r w:rsidRPr="00AC3FFD">
              <w:rPr>
                <w:rFonts w:eastAsia="Times New Roman"/>
                <w:lang w:eastAsia="zh-TW"/>
              </w:rPr>
              <w:t xml:space="preserve"> Nacionālo bruņoto spēku</w:t>
            </w:r>
            <w:r>
              <w:rPr>
                <w:rFonts w:eastAsia="Times New Roman"/>
                <w:lang w:eastAsia="zh-TW"/>
              </w:rPr>
              <w:t xml:space="preserve"> spēju</w:t>
            </w:r>
            <w:r w:rsidRPr="00AC3FFD">
              <w:rPr>
                <w:rFonts w:eastAsia="Times New Roman"/>
                <w:lang w:eastAsia="zh-TW"/>
              </w:rPr>
              <w:t xml:space="preserve"> un Zemessardzes </w:t>
            </w:r>
            <w:r>
              <w:rPr>
                <w:rFonts w:eastAsia="Times New Roman"/>
                <w:lang w:eastAsia="zh-TW"/>
              </w:rPr>
              <w:t xml:space="preserve">kaujas </w:t>
            </w:r>
            <w:r w:rsidRPr="00AC3FFD">
              <w:rPr>
                <w:rFonts w:eastAsia="Times New Roman"/>
                <w:lang w:eastAsia="zh-TW"/>
              </w:rPr>
              <w:t>spēju attīstība, Nacionālo bruņoto spēku nodrošinājuma jomas reformas turpinā</w:t>
            </w:r>
            <w:r>
              <w:rPr>
                <w:rFonts w:eastAsia="Times New Roman"/>
                <w:lang w:eastAsia="zh-TW"/>
              </w:rPr>
              <w:t xml:space="preserve">šana, </w:t>
            </w:r>
            <w:r w:rsidRPr="00AC3FFD">
              <w:rPr>
                <w:rFonts w:eastAsia="Times New Roman"/>
                <w:lang w:eastAsia="zh-TW"/>
              </w:rPr>
              <w:t xml:space="preserve">Zemessardzes infrastruktūras pilnveidošana un reģionālo militāro poligonu attīstība (“Lāčusils”, “Meža Mackeviči” un “Mežaine”). </w:t>
            </w:r>
          </w:p>
          <w:p w:rsidR="00662E1B" w:rsidRPr="00AC3FFD" w:rsidP="006B21BC" w14:paraId="0D5560C0" w14:textId="34072F00">
            <w:pPr>
              <w:widowControl/>
              <w:autoSpaceDE w:val="0"/>
              <w:autoSpaceDN w:val="0"/>
              <w:adjustRightInd w:val="0"/>
              <w:spacing w:after="0" w:line="240" w:lineRule="auto"/>
              <w:ind w:firstLine="849"/>
              <w:jc w:val="both"/>
              <w:rPr>
                <w:rFonts w:eastAsia="Times New Roman"/>
                <w:lang w:eastAsia="zh-TW"/>
              </w:rPr>
            </w:pPr>
            <w:r w:rsidRPr="00AC3FFD">
              <w:rPr>
                <w:rFonts w:eastAsia="Times New Roman"/>
                <w:lang w:eastAsia="zh-TW"/>
              </w:rPr>
              <w:t xml:space="preserve">Aizsardzības ministrija </w:t>
            </w:r>
            <w:r>
              <w:rPr>
                <w:rFonts w:eastAsia="Times New Roman"/>
                <w:lang w:eastAsia="zh-TW"/>
              </w:rPr>
              <w:t xml:space="preserve">atbilstoši </w:t>
            </w:r>
            <w:r w:rsidRPr="00266465">
              <w:rPr>
                <w:rFonts w:eastAsia="Times New Roman"/>
                <w:lang w:eastAsia="zh-TW"/>
              </w:rPr>
              <w:t>Ministru kabin</w:t>
            </w:r>
            <w:r>
              <w:rPr>
                <w:rFonts w:eastAsia="Times New Roman"/>
                <w:lang w:eastAsia="zh-TW"/>
              </w:rPr>
              <w:t>eta 2019. gada 7. maija rīkojumam Nr. </w:t>
            </w:r>
            <w:r w:rsidRPr="00266465">
              <w:rPr>
                <w:rFonts w:eastAsia="Times New Roman"/>
                <w:lang w:eastAsia="zh-TW"/>
              </w:rPr>
              <w:t xml:space="preserve">210 “Par Valdības rīcības plānu Deklarācijas par Artura Krišjāņa Kariņa vadītā Ministru kabineta iecerēto darbību īstenošanai” </w:t>
            </w:r>
            <w:r>
              <w:rPr>
                <w:rFonts w:eastAsia="Times New Roman"/>
                <w:lang w:eastAsia="zh-TW"/>
              </w:rPr>
              <w:t xml:space="preserve">un aizsardzības jomas plānošanas dokumentos noteiktajam </w:t>
            </w:r>
            <w:r w:rsidRPr="00AC3FFD">
              <w:rPr>
                <w:rFonts w:eastAsia="Times New Roman"/>
                <w:lang w:eastAsia="zh-TW"/>
              </w:rPr>
              <w:t xml:space="preserve">šobrīd veic ieguldījumus vairāk </w:t>
            </w:r>
            <w:r w:rsidR="00F6691A">
              <w:rPr>
                <w:rFonts w:eastAsia="Times New Roman"/>
                <w:lang w:eastAsia="zh-TW"/>
              </w:rPr>
              <w:t>ne</w:t>
            </w:r>
            <w:r w:rsidRPr="00AC3FFD">
              <w:rPr>
                <w:rFonts w:eastAsia="Times New Roman"/>
                <w:lang w:eastAsia="zh-TW"/>
              </w:rPr>
              <w:t>kā 20 militārajās bāzēs visā Latvijas teritorijā, kā arī turpina darbu pie reģionālo militāro poligonu izveides un attīstības. Infrastruktūras attīstības darbi turpinās Ādažu militārajā poligon</w:t>
            </w:r>
            <w:r>
              <w:rPr>
                <w:rFonts w:eastAsia="Times New Roman"/>
                <w:lang w:eastAsia="zh-TW"/>
              </w:rPr>
              <w:t>ā</w:t>
            </w:r>
            <w:r w:rsidRPr="00AC3FFD">
              <w:rPr>
                <w:rFonts w:eastAsia="Times New Roman"/>
                <w:lang w:eastAsia="zh-TW"/>
              </w:rPr>
              <w:t xml:space="preserve">, </w:t>
            </w:r>
            <w:r>
              <w:rPr>
                <w:rFonts w:eastAsia="Times New Roman"/>
                <w:lang w:eastAsia="zh-TW"/>
              </w:rPr>
              <w:t xml:space="preserve">Gaisa spēku Aviācijas bāzē, </w:t>
            </w:r>
            <w:r w:rsidRPr="00AC3FFD">
              <w:rPr>
                <w:rFonts w:eastAsia="Times New Roman"/>
                <w:lang w:eastAsia="zh-TW"/>
              </w:rPr>
              <w:t>poligonā “Lāčusils”, kas tika paplašināts 2019. gada sākumā, poligonā “Meža Mackeviči”, kas tika paplašināts 2020. gada sākumā, un poligonā “Mežaine”, kura paplašināšanas process šobrīd norisinās.</w:t>
            </w:r>
          </w:p>
          <w:p w:rsidR="00662E1B" w:rsidRPr="00AC3FFD" w:rsidP="006B21BC" w14:paraId="1F6D625F" w14:textId="1C1FBD15">
            <w:pPr>
              <w:widowControl/>
              <w:autoSpaceDE w:val="0"/>
              <w:autoSpaceDN w:val="0"/>
              <w:adjustRightInd w:val="0"/>
              <w:spacing w:after="0" w:line="240" w:lineRule="auto"/>
              <w:ind w:firstLine="849"/>
              <w:jc w:val="both"/>
              <w:rPr>
                <w:rFonts w:eastAsia="Times New Roman"/>
                <w:lang w:eastAsia="zh-TW"/>
              </w:rPr>
            </w:pPr>
            <w:r w:rsidRPr="00AC3FFD">
              <w:rPr>
                <w:rFonts w:eastAsia="Times New Roman"/>
                <w:lang w:eastAsia="zh-TW"/>
              </w:rPr>
              <w:t>2019. gada beigās</w:t>
            </w:r>
            <w:r>
              <w:rPr>
                <w:rFonts w:eastAsia="Times New Roman"/>
                <w:lang w:eastAsia="zh-TW"/>
              </w:rPr>
              <w:t>,</w:t>
            </w:r>
            <w:r w:rsidRPr="00AC3FFD">
              <w:rPr>
                <w:rFonts w:eastAsia="Times New Roman"/>
                <w:lang w:eastAsia="zh-TW"/>
              </w:rPr>
              <w:t xml:space="preserve"> pārskatot vidējā termiņā un ilgtermiņā sasniedzamos rezultātus infrastruktūras attīstībā, Aizsardzības ministrija atkārtoti </w:t>
            </w:r>
            <w:r w:rsidR="00F6691A">
              <w:rPr>
                <w:rFonts w:eastAsia="Times New Roman"/>
                <w:lang w:eastAsia="zh-TW"/>
              </w:rPr>
              <w:t>izvērtēja profesionālā dienesta karavīru</w:t>
            </w:r>
            <w:r w:rsidRPr="00AC3FFD" w:rsidR="00F6691A">
              <w:rPr>
                <w:rFonts w:eastAsia="Times New Roman"/>
                <w:lang w:eastAsia="zh-TW"/>
              </w:rPr>
              <w:t xml:space="preserve"> </w:t>
            </w:r>
            <w:r w:rsidRPr="00AC3FFD">
              <w:rPr>
                <w:rFonts w:eastAsia="Times New Roman"/>
                <w:lang w:eastAsia="zh-TW"/>
              </w:rPr>
              <w:t xml:space="preserve">dzīvojamā fonda nodrošinājumu un </w:t>
            </w:r>
            <w:r w:rsidR="00492338">
              <w:rPr>
                <w:rFonts w:eastAsia="Times New Roman"/>
                <w:lang w:eastAsia="zh-TW"/>
              </w:rPr>
              <w:t>tā attīstības iespējas, kā arī dzīvojamā fonda attīstībai</w:t>
            </w:r>
            <w:r w:rsidRPr="00AC3FFD">
              <w:rPr>
                <w:rFonts w:eastAsia="Times New Roman"/>
                <w:lang w:eastAsia="zh-TW"/>
              </w:rPr>
              <w:t xml:space="preserve"> pieejamo</w:t>
            </w:r>
            <w:r w:rsidR="00F6691A">
              <w:rPr>
                <w:rFonts w:eastAsia="Times New Roman"/>
                <w:lang w:eastAsia="zh-TW"/>
              </w:rPr>
              <w:t xml:space="preserve"> finansējumu. </w:t>
            </w:r>
            <w:r w:rsidR="00492338">
              <w:rPr>
                <w:rFonts w:eastAsia="Times New Roman"/>
                <w:lang w:eastAsia="zh-TW"/>
              </w:rPr>
              <w:t>Vienlaikus</w:t>
            </w:r>
            <w:r w:rsidRPr="00AC3FFD">
              <w:rPr>
                <w:rFonts w:eastAsia="Times New Roman"/>
                <w:lang w:eastAsia="zh-TW"/>
              </w:rPr>
              <w:t xml:space="preserve"> tika secināts, ka </w:t>
            </w:r>
            <w:r>
              <w:rPr>
                <w:rFonts w:eastAsia="Times New Roman"/>
                <w:lang w:eastAsia="zh-TW"/>
              </w:rPr>
              <w:t>plānota</w:t>
            </w:r>
            <w:r w:rsidRPr="00AC3FFD">
              <w:rPr>
                <w:rFonts w:eastAsia="Times New Roman"/>
                <w:lang w:eastAsia="zh-TW"/>
              </w:rPr>
              <w:t xml:space="preserve">jā Zemessardzes infrastruktūras izveidē un militāro poligonu attīstībā ir ieguldāmi </w:t>
            </w:r>
            <w:r w:rsidRPr="00AC3FFD">
              <w:rPr>
                <w:rFonts w:eastAsia="Times New Roman"/>
                <w:lang w:eastAsia="zh-TW"/>
              </w:rPr>
              <w:t>ievērojami finanšu resursi un, lai tos pabeigtu plānotajā laika posmā, ir būtiski šim mērķim novirzīt iespējami lielāku infrastruktūras attīstībai pieejam</w:t>
            </w:r>
            <w:r w:rsidR="008F7FCE">
              <w:rPr>
                <w:rFonts w:eastAsia="Times New Roman"/>
                <w:lang w:eastAsia="zh-TW"/>
              </w:rPr>
              <w:t>ā finansējuma apjomu. T</w:t>
            </w:r>
            <w:r w:rsidRPr="00AC3FFD">
              <w:rPr>
                <w:rFonts w:eastAsia="Times New Roman"/>
                <w:lang w:eastAsia="zh-TW"/>
              </w:rPr>
              <w:t xml:space="preserve">ika </w:t>
            </w:r>
            <w:r w:rsidR="008F7FCE">
              <w:rPr>
                <w:rFonts w:eastAsia="Times New Roman"/>
                <w:lang w:eastAsia="zh-TW"/>
              </w:rPr>
              <w:t xml:space="preserve">arī </w:t>
            </w:r>
            <w:r w:rsidRPr="00AC3FFD">
              <w:rPr>
                <w:rFonts w:eastAsia="Times New Roman"/>
                <w:lang w:eastAsia="zh-TW"/>
              </w:rPr>
              <w:t>secināts, ka dzīvojamā fonda izveide tikai vienā Latvijas novadā varētu negatīvi ietekmēt visā pārējā Latvijas teritorijā dienošo karavīru motivāciju dienēt Nacionālajos bruņotajos spēkos</w:t>
            </w:r>
            <w:r>
              <w:rPr>
                <w:rFonts w:eastAsia="Times New Roman"/>
                <w:lang w:eastAsia="zh-TW"/>
              </w:rPr>
              <w:t>.</w:t>
            </w:r>
            <w:r w:rsidRPr="00AC3FFD">
              <w:rPr>
                <w:rFonts w:eastAsia="Times New Roman"/>
                <w:lang w:eastAsia="zh-TW"/>
              </w:rPr>
              <w:t xml:space="preserve"> Savukārt dzīvojamā fonda izveide visā Latvijas teritorijā šobrīd nav iespējama infrastruktūras izveides un tās uzturēšanas augsto izmaksu dēļ.</w:t>
            </w:r>
          </w:p>
          <w:p w:rsidR="00662E1B" w:rsidRPr="00AC3FFD" w:rsidP="006B21BC" w14:paraId="42639377" w14:textId="3EF303F5">
            <w:pPr>
              <w:widowControl/>
              <w:autoSpaceDE w:val="0"/>
              <w:autoSpaceDN w:val="0"/>
              <w:adjustRightInd w:val="0"/>
              <w:spacing w:after="0" w:line="240" w:lineRule="auto"/>
              <w:ind w:firstLine="849"/>
              <w:jc w:val="both"/>
              <w:rPr>
                <w:rFonts w:eastAsia="Times New Roman"/>
                <w:lang w:eastAsia="zh-TW"/>
              </w:rPr>
            </w:pPr>
            <w:r w:rsidRPr="0076774F">
              <w:rPr>
                <w:rFonts w:eastAsia="Times New Roman"/>
                <w:lang w:eastAsia="zh-TW"/>
              </w:rPr>
              <w:t>Tomēr, lai sniegtu atbalstu karavīriem, kuriem ir izveidotas ģimenes, mājokļu pieejamības nodrošināšanā, Aizsardzības ministrija ir uzsākusi darbu pie risinājumu izstrādes</w:t>
            </w:r>
            <w:bookmarkStart w:id="0" w:name="_GoBack"/>
            <w:bookmarkEnd w:id="0"/>
            <w:r w:rsidRPr="0076774F">
              <w:rPr>
                <w:rFonts w:eastAsia="Times New Roman"/>
                <w:lang w:eastAsia="zh-TW"/>
              </w:rPr>
              <w:t xml:space="preserve">, kas sniegtu iespēju profesionālajā dienestā dienošajiem karavīriem saņemt atbalstu mājokļa pieejamībā, piemēram, tiek izskatīta iespēja izveidot mājokļa kreditēšanas pirmās </w:t>
            </w:r>
            <w:r>
              <w:rPr>
                <w:rFonts w:eastAsia="Times New Roman"/>
                <w:lang w:eastAsia="zh-TW"/>
              </w:rPr>
              <w:t>iemaksas garantēšanas mehānismu</w:t>
            </w:r>
            <w:r w:rsidRPr="00AC3FFD">
              <w:rPr>
                <w:rFonts w:eastAsia="Times New Roman"/>
                <w:lang w:eastAsia="zh-TW"/>
              </w:rPr>
              <w:t>.</w:t>
            </w:r>
          </w:p>
          <w:p w:rsidR="00662E1B" w:rsidRPr="00AC3FFD" w:rsidP="006B21BC" w14:paraId="011D203A" w14:textId="77777777">
            <w:pPr>
              <w:widowControl/>
              <w:autoSpaceDE w:val="0"/>
              <w:autoSpaceDN w:val="0"/>
              <w:adjustRightInd w:val="0"/>
              <w:spacing w:after="0" w:line="240" w:lineRule="auto"/>
              <w:ind w:firstLine="849"/>
              <w:jc w:val="both"/>
              <w:rPr>
                <w:rFonts w:eastAsia="Times New Roman"/>
                <w:lang w:eastAsia="zh-TW"/>
              </w:rPr>
            </w:pPr>
            <w:r w:rsidRPr="00AC3FFD">
              <w:rPr>
                <w:rFonts w:eastAsia="Times New Roman"/>
                <w:lang w:eastAsia="zh-TW"/>
              </w:rPr>
              <w:t>Ņemot vērā</w:t>
            </w:r>
            <w:r>
              <w:rPr>
                <w:rFonts w:eastAsia="Times New Roman"/>
                <w:lang w:eastAsia="zh-TW"/>
              </w:rPr>
              <w:t xml:space="preserve"> minēto, </w:t>
            </w:r>
            <w:r w:rsidRPr="00AC3FFD">
              <w:rPr>
                <w:rFonts w:eastAsia="Times New Roman"/>
                <w:lang w:eastAsia="zh-TW"/>
              </w:rPr>
              <w:t xml:space="preserve">Aizsardzības ministrija ir nolēmusi šobrīd neveidot </w:t>
            </w:r>
            <w:r>
              <w:rPr>
                <w:rFonts w:eastAsia="Times New Roman"/>
                <w:lang w:eastAsia="zh-TW"/>
              </w:rPr>
              <w:t xml:space="preserve">dienesta </w:t>
            </w:r>
            <w:r w:rsidRPr="00AC3FFD">
              <w:rPr>
                <w:rFonts w:eastAsia="Times New Roman"/>
                <w:lang w:eastAsia="zh-TW"/>
              </w:rPr>
              <w:t>dzīvojamo fondu profesionālā dienesta karavīriem</w:t>
            </w:r>
            <w:r>
              <w:rPr>
                <w:rFonts w:eastAsia="Times New Roman"/>
                <w:lang w:eastAsia="zh-TW"/>
              </w:rPr>
              <w:t>, attiecīgi</w:t>
            </w:r>
            <w:r w:rsidRPr="00AC3FFD">
              <w:rPr>
                <w:rFonts w:eastAsia="Times New Roman"/>
                <w:lang w:eastAsia="zh-TW"/>
              </w:rPr>
              <w:t xml:space="preserve"> Ministru kabineta 2019. gada 26. marta sēdes protokola Nr. 16</w:t>
            </w:r>
            <w:r>
              <w:rPr>
                <w:rFonts w:eastAsia="Times New Roman"/>
                <w:lang w:eastAsia="zh-TW"/>
              </w:rPr>
              <w:t>,</w:t>
            </w:r>
            <w:r w:rsidRPr="00AC3FFD">
              <w:rPr>
                <w:rFonts w:eastAsia="Times New Roman"/>
                <w:lang w:eastAsia="zh-TW"/>
              </w:rPr>
              <w:t xml:space="preserve"> 30. § 2. un 3. punktā dotie uzdevumi ir zaudējuši savu aktualitāti. Lūdzu atzīt Aizsardzības ministrijai dotos uzdevumus par aktualitāti zaudējušiem.</w:t>
            </w:r>
          </w:p>
          <w:p w:rsidR="00662E1B" w:rsidRPr="00AC3FFD" w:rsidP="006B21BC" w14:paraId="556A00B9" w14:textId="77777777">
            <w:pPr>
              <w:widowControl/>
              <w:autoSpaceDE w:val="0"/>
              <w:autoSpaceDN w:val="0"/>
              <w:adjustRightInd w:val="0"/>
              <w:spacing w:after="0" w:line="240" w:lineRule="auto"/>
              <w:jc w:val="both"/>
              <w:rPr>
                <w:rFonts w:eastAsia="Times New Roman"/>
                <w:lang w:eastAsia="zh-TW"/>
              </w:rPr>
            </w:pPr>
          </w:p>
        </w:tc>
      </w:tr>
      <w:tr w14:paraId="049C895F" w14:textId="77777777" w:rsidTr="006B21BC">
        <w:tblPrEx>
          <w:tblW w:w="0" w:type="auto"/>
          <w:tblLook w:val="00A0"/>
        </w:tblPrEx>
        <w:tc>
          <w:tcPr>
            <w:tcW w:w="539" w:type="dxa"/>
            <w:gridSpan w:val="2"/>
            <w:tcBorders>
              <w:top w:val="single" w:sz="4" w:space="0" w:color="auto"/>
            </w:tcBorders>
          </w:tcPr>
          <w:p w:rsidR="00662E1B" w:rsidRPr="00510A6B" w:rsidP="006B21BC" w14:paraId="53DA6DD6" w14:textId="77777777">
            <w:pPr>
              <w:widowControl/>
              <w:spacing w:after="0" w:line="240" w:lineRule="auto"/>
              <w:rPr>
                <w:rFonts w:eastAsia="Times New Roman"/>
                <w:lang w:eastAsia="zh-TW"/>
              </w:rPr>
            </w:pPr>
            <w:r w:rsidRPr="00510A6B">
              <w:rPr>
                <w:rFonts w:eastAsia="Times New Roman"/>
                <w:lang w:eastAsia="zh-TW"/>
              </w:rPr>
              <w:t>2.</w:t>
            </w:r>
          </w:p>
        </w:tc>
        <w:tc>
          <w:tcPr>
            <w:tcW w:w="2888" w:type="dxa"/>
            <w:tcBorders>
              <w:top w:val="single" w:sz="4" w:space="0" w:color="auto"/>
            </w:tcBorders>
          </w:tcPr>
          <w:p w:rsidR="00662E1B" w:rsidRPr="00510A6B" w:rsidP="006B21BC" w14:paraId="7DB48434" w14:textId="77777777">
            <w:pPr>
              <w:widowControl/>
              <w:spacing w:after="0" w:line="240" w:lineRule="auto"/>
              <w:rPr>
                <w:rFonts w:eastAsia="Times New Roman"/>
                <w:lang w:eastAsia="zh-TW"/>
              </w:rPr>
            </w:pPr>
            <w:r w:rsidRPr="00510A6B">
              <w:rPr>
                <w:rFonts w:eastAsia="Times New Roman"/>
                <w:lang w:eastAsia="zh-TW"/>
              </w:rPr>
              <w:t>Valsts sekretāru sanāksmes datums un numurs</w:t>
            </w:r>
          </w:p>
        </w:tc>
        <w:tc>
          <w:tcPr>
            <w:tcW w:w="5874" w:type="dxa"/>
            <w:tcBorders>
              <w:top w:val="single" w:sz="4" w:space="0" w:color="auto"/>
            </w:tcBorders>
          </w:tcPr>
          <w:p w:rsidR="00662E1B" w:rsidP="006B21BC" w14:paraId="1140BA73" w14:textId="6108DDDF">
            <w:pPr>
              <w:widowControl/>
              <w:spacing w:after="0" w:line="240" w:lineRule="auto"/>
              <w:jc w:val="both"/>
              <w:rPr>
                <w:rFonts w:eastAsia="Times New Roman"/>
                <w:lang w:eastAsia="zh-TW"/>
              </w:rPr>
            </w:pPr>
            <w:r w:rsidRPr="00510A6B">
              <w:rPr>
                <w:rFonts w:eastAsia="Times New Roman"/>
                <w:lang w:eastAsia="zh-TW"/>
              </w:rPr>
              <w:t>Saskaņā ar Ministru kabineta 2009. gada</w:t>
            </w:r>
            <w:r w:rsidR="001A2E72">
              <w:rPr>
                <w:rFonts w:eastAsia="Times New Roman"/>
                <w:lang w:eastAsia="zh-TW"/>
              </w:rPr>
              <w:t xml:space="preserve"> 7. aprīļa noteikumiem Nr. 300 “</w:t>
            </w:r>
            <w:r w:rsidRPr="00510A6B">
              <w:rPr>
                <w:rFonts w:eastAsia="Times New Roman"/>
                <w:lang w:eastAsia="zh-TW"/>
              </w:rPr>
              <w:t>Ministru kabineta kārtības rullis” 73.1. apakšpunktu projekts nav izsludināms Valsts sekretāru sanāksmē.</w:t>
            </w:r>
          </w:p>
          <w:p w:rsidR="00662E1B" w:rsidRPr="00510A6B" w:rsidP="006B21BC" w14:paraId="7B3D957B" w14:textId="77777777">
            <w:pPr>
              <w:widowControl/>
              <w:spacing w:after="0" w:line="240" w:lineRule="auto"/>
              <w:jc w:val="both"/>
              <w:rPr>
                <w:rFonts w:eastAsia="Times New Roman"/>
                <w:lang w:eastAsia="zh-TW"/>
              </w:rPr>
            </w:pPr>
          </w:p>
        </w:tc>
      </w:tr>
      <w:tr w14:paraId="5740EAEB" w14:textId="77777777" w:rsidTr="006B21BC">
        <w:tblPrEx>
          <w:tblW w:w="0" w:type="auto"/>
          <w:tblLook w:val="00A0"/>
        </w:tblPrEx>
        <w:tc>
          <w:tcPr>
            <w:tcW w:w="539" w:type="dxa"/>
            <w:gridSpan w:val="2"/>
          </w:tcPr>
          <w:p w:rsidR="00662E1B" w:rsidRPr="00510A6B" w:rsidP="006B21BC" w14:paraId="044EB464" w14:textId="77777777">
            <w:pPr>
              <w:widowControl/>
              <w:spacing w:after="0" w:line="240" w:lineRule="auto"/>
              <w:rPr>
                <w:rFonts w:eastAsia="Times New Roman"/>
                <w:lang w:eastAsia="zh-TW"/>
              </w:rPr>
            </w:pPr>
            <w:r w:rsidRPr="00510A6B">
              <w:rPr>
                <w:rFonts w:eastAsia="Times New Roman"/>
                <w:lang w:eastAsia="zh-TW"/>
              </w:rPr>
              <w:t>3.</w:t>
            </w:r>
          </w:p>
        </w:tc>
        <w:tc>
          <w:tcPr>
            <w:tcW w:w="2888" w:type="dxa"/>
          </w:tcPr>
          <w:p w:rsidR="00662E1B" w:rsidRPr="00510A6B" w:rsidP="006B21BC" w14:paraId="5A6B209E" w14:textId="77777777">
            <w:pPr>
              <w:widowControl/>
              <w:spacing w:after="0" w:line="240" w:lineRule="auto"/>
              <w:rPr>
                <w:rFonts w:eastAsia="Times New Roman"/>
                <w:lang w:eastAsia="zh-TW"/>
              </w:rPr>
            </w:pPr>
            <w:r w:rsidRPr="00510A6B">
              <w:rPr>
                <w:rFonts w:eastAsia="Times New Roman"/>
                <w:lang w:eastAsia="zh-TW"/>
              </w:rPr>
              <w:t>Informācija par saskaņojumiem</w:t>
            </w:r>
          </w:p>
        </w:tc>
        <w:tc>
          <w:tcPr>
            <w:tcW w:w="5874" w:type="dxa"/>
          </w:tcPr>
          <w:p w:rsidR="00662E1B" w:rsidRPr="00510A6B" w:rsidP="006B21BC" w14:paraId="5ACF2164" w14:textId="77777777">
            <w:pPr>
              <w:widowControl/>
              <w:spacing w:after="0" w:line="240" w:lineRule="auto"/>
              <w:jc w:val="both"/>
              <w:rPr>
                <w:rFonts w:eastAsia="Times New Roman"/>
                <w:lang w:eastAsia="zh-TW"/>
              </w:rPr>
            </w:pPr>
            <w:r w:rsidRPr="00510A6B">
              <w:rPr>
                <w:rFonts w:eastAsia="Times New Roman"/>
                <w:lang w:eastAsia="zh-TW"/>
              </w:rPr>
              <w:t>Nav attiecināms</w:t>
            </w:r>
          </w:p>
        </w:tc>
      </w:tr>
      <w:tr w14:paraId="29477185" w14:textId="77777777" w:rsidTr="006B21BC">
        <w:tblPrEx>
          <w:tblW w:w="0" w:type="auto"/>
          <w:tblLook w:val="00A0"/>
        </w:tblPrEx>
        <w:tc>
          <w:tcPr>
            <w:tcW w:w="539" w:type="dxa"/>
            <w:gridSpan w:val="2"/>
          </w:tcPr>
          <w:p w:rsidR="00662E1B" w:rsidRPr="00510A6B" w:rsidP="006B21BC" w14:paraId="7081214B" w14:textId="77777777">
            <w:pPr>
              <w:widowControl/>
              <w:spacing w:after="0" w:line="240" w:lineRule="auto"/>
              <w:rPr>
                <w:rFonts w:eastAsia="Times New Roman"/>
                <w:lang w:eastAsia="zh-TW"/>
              </w:rPr>
            </w:pPr>
            <w:r w:rsidRPr="00510A6B">
              <w:rPr>
                <w:rFonts w:eastAsia="Times New Roman"/>
                <w:lang w:eastAsia="zh-TW"/>
              </w:rPr>
              <w:t>4.</w:t>
            </w:r>
          </w:p>
        </w:tc>
        <w:tc>
          <w:tcPr>
            <w:tcW w:w="2888" w:type="dxa"/>
          </w:tcPr>
          <w:p w:rsidR="00662E1B" w:rsidRPr="00510A6B" w:rsidP="006B21BC" w14:paraId="24E737FA" w14:textId="77777777">
            <w:pPr>
              <w:widowControl/>
              <w:spacing w:after="0" w:line="240" w:lineRule="auto"/>
              <w:rPr>
                <w:rFonts w:eastAsia="Times New Roman"/>
                <w:lang w:eastAsia="zh-TW"/>
              </w:rPr>
            </w:pPr>
            <w:r w:rsidRPr="00510A6B">
              <w:rPr>
                <w:rFonts w:eastAsia="Times New Roman"/>
                <w:lang w:eastAsia="zh-TW"/>
              </w:rPr>
              <w:t xml:space="preserve">Informācija par </w:t>
            </w:r>
            <w:r w:rsidRPr="00510A6B">
              <w:rPr>
                <w:rFonts w:eastAsia="Times New Roman"/>
                <w:lang w:eastAsia="en-US"/>
              </w:rPr>
              <w:t>saskaņojumu ar Eiropas Savienības institūcijām</w:t>
            </w:r>
          </w:p>
        </w:tc>
        <w:tc>
          <w:tcPr>
            <w:tcW w:w="5874" w:type="dxa"/>
          </w:tcPr>
          <w:p w:rsidR="00662E1B" w:rsidRPr="00510A6B" w:rsidP="006B21BC" w14:paraId="555B43DE" w14:textId="77777777">
            <w:pPr>
              <w:widowControl/>
              <w:spacing w:after="0" w:line="240" w:lineRule="auto"/>
              <w:jc w:val="both"/>
              <w:rPr>
                <w:rFonts w:eastAsia="Times New Roman"/>
                <w:lang w:eastAsia="zh-TW"/>
              </w:rPr>
            </w:pPr>
            <w:r w:rsidRPr="00510A6B">
              <w:rPr>
                <w:rFonts w:eastAsia="Times New Roman"/>
                <w:lang w:eastAsia="zh-TW"/>
              </w:rPr>
              <w:t>Nav attiecināms</w:t>
            </w:r>
          </w:p>
        </w:tc>
      </w:tr>
      <w:tr w14:paraId="5AC3EE31" w14:textId="77777777" w:rsidTr="006B21BC">
        <w:tblPrEx>
          <w:tblW w:w="0" w:type="auto"/>
          <w:tblLook w:val="00A0"/>
        </w:tblPrEx>
        <w:tc>
          <w:tcPr>
            <w:tcW w:w="539" w:type="dxa"/>
            <w:gridSpan w:val="2"/>
          </w:tcPr>
          <w:p w:rsidR="00662E1B" w:rsidRPr="00510A6B" w:rsidP="006B21BC" w14:paraId="34DAB4F0" w14:textId="77777777">
            <w:pPr>
              <w:widowControl/>
              <w:spacing w:after="0" w:line="240" w:lineRule="auto"/>
              <w:rPr>
                <w:rFonts w:eastAsia="Times New Roman"/>
                <w:lang w:eastAsia="zh-TW"/>
              </w:rPr>
            </w:pPr>
            <w:r w:rsidRPr="00510A6B">
              <w:rPr>
                <w:rFonts w:eastAsia="Times New Roman"/>
                <w:lang w:eastAsia="zh-TW"/>
              </w:rPr>
              <w:t>5.</w:t>
            </w:r>
          </w:p>
        </w:tc>
        <w:tc>
          <w:tcPr>
            <w:tcW w:w="2888" w:type="dxa"/>
          </w:tcPr>
          <w:p w:rsidR="00662E1B" w:rsidRPr="00510A6B" w:rsidP="006B21BC" w14:paraId="455C28D0" w14:textId="77777777">
            <w:pPr>
              <w:widowControl/>
              <w:spacing w:after="0" w:line="240" w:lineRule="auto"/>
              <w:contextualSpacing/>
              <w:rPr>
                <w:rFonts w:eastAsia="Times New Roman"/>
                <w:lang w:eastAsia="en-US"/>
              </w:rPr>
            </w:pPr>
            <w:r w:rsidRPr="00510A6B">
              <w:rPr>
                <w:rFonts w:eastAsia="Times New Roman"/>
                <w:lang w:eastAsia="zh-TW"/>
              </w:rPr>
              <w:t>Politikas joma</w:t>
            </w:r>
          </w:p>
        </w:tc>
        <w:tc>
          <w:tcPr>
            <w:tcW w:w="5874" w:type="dxa"/>
          </w:tcPr>
          <w:p w:rsidR="00662E1B" w:rsidRPr="00510A6B" w:rsidP="006B21BC" w14:paraId="7B96944B" w14:textId="77777777">
            <w:pPr>
              <w:widowControl/>
              <w:spacing w:after="0" w:line="240" w:lineRule="auto"/>
              <w:rPr>
                <w:rFonts w:eastAsia="Times New Roman"/>
                <w:iCs/>
                <w:lang w:eastAsia="zh-TW"/>
              </w:rPr>
            </w:pPr>
            <w:r w:rsidRPr="00510A6B">
              <w:rPr>
                <w:rFonts w:eastAsia="Times New Roman"/>
                <w:lang w:eastAsia="zh-TW"/>
              </w:rPr>
              <w:t>Publiskās pārvaldes politika</w:t>
            </w:r>
          </w:p>
        </w:tc>
      </w:tr>
      <w:tr w14:paraId="1E21A47D" w14:textId="77777777" w:rsidTr="006B21BC">
        <w:tblPrEx>
          <w:tblW w:w="0" w:type="auto"/>
          <w:tblLook w:val="00A0"/>
        </w:tblPrEx>
        <w:tc>
          <w:tcPr>
            <w:tcW w:w="539" w:type="dxa"/>
            <w:gridSpan w:val="2"/>
          </w:tcPr>
          <w:p w:rsidR="00662E1B" w:rsidRPr="00510A6B" w:rsidP="006B21BC" w14:paraId="2995ABD6" w14:textId="77777777">
            <w:pPr>
              <w:widowControl/>
              <w:spacing w:after="0" w:line="240" w:lineRule="auto"/>
              <w:rPr>
                <w:rFonts w:eastAsia="Times New Roman"/>
                <w:lang w:eastAsia="zh-TW"/>
              </w:rPr>
            </w:pPr>
            <w:r w:rsidRPr="00510A6B">
              <w:rPr>
                <w:rFonts w:eastAsia="Times New Roman"/>
                <w:lang w:eastAsia="zh-TW"/>
              </w:rPr>
              <w:t>6.</w:t>
            </w:r>
          </w:p>
        </w:tc>
        <w:tc>
          <w:tcPr>
            <w:tcW w:w="2888" w:type="dxa"/>
          </w:tcPr>
          <w:p w:rsidR="00662E1B" w:rsidRPr="00510A6B" w:rsidP="006B21BC" w14:paraId="6DEE0901" w14:textId="77777777">
            <w:pPr>
              <w:widowControl/>
              <w:spacing w:after="0" w:line="240" w:lineRule="auto"/>
              <w:rPr>
                <w:rFonts w:eastAsia="Times New Roman"/>
                <w:lang w:eastAsia="zh-TW"/>
              </w:rPr>
            </w:pPr>
            <w:r w:rsidRPr="00510A6B">
              <w:rPr>
                <w:rFonts w:eastAsia="Times New Roman"/>
                <w:lang w:eastAsia="zh-TW"/>
              </w:rPr>
              <w:t>Atbildīgā amatpersona</w:t>
            </w:r>
          </w:p>
        </w:tc>
        <w:tc>
          <w:tcPr>
            <w:tcW w:w="5874" w:type="dxa"/>
          </w:tcPr>
          <w:p w:rsidR="00662E1B" w:rsidRPr="00510A6B" w:rsidP="006B21BC" w14:paraId="5FDC6A84" w14:textId="77777777">
            <w:pPr>
              <w:widowControl/>
              <w:spacing w:after="0" w:line="240" w:lineRule="auto"/>
              <w:jc w:val="both"/>
              <w:rPr>
                <w:rFonts w:eastAsia="Times New Roman"/>
                <w:lang w:eastAsia="zh-TW"/>
              </w:rPr>
            </w:pPr>
            <w:r w:rsidRPr="00510A6B">
              <w:rPr>
                <w:rFonts w:eastAsia="Times New Roman"/>
                <w:lang w:eastAsia="zh-TW"/>
              </w:rPr>
              <w:t>Aizsardzības ministrijas Nodrošinājuma un aizsardzības investīciju politikas departamenta</w:t>
            </w:r>
          </w:p>
          <w:p w:rsidR="00662E1B" w:rsidP="006B21BC" w14:paraId="25EF2D3C" w14:textId="77777777">
            <w:pPr>
              <w:widowControl/>
              <w:spacing w:after="0" w:line="240" w:lineRule="auto"/>
              <w:jc w:val="both"/>
              <w:rPr>
                <w:rFonts w:eastAsia="Times New Roman"/>
                <w:lang w:eastAsia="zh-TW"/>
              </w:rPr>
            </w:pPr>
            <w:r w:rsidRPr="00510A6B">
              <w:rPr>
                <w:rFonts w:eastAsia="Times New Roman"/>
                <w:lang w:eastAsia="zh-TW"/>
              </w:rPr>
              <w:t>NATO un militārās infrastruktūras politikas nodaļas vecākā referente I. Buda</w:t>
            </w:r>
          </w:p>
          <w:p w:rsidR="00662E1B" w:rsidRPr="00510A6B" w:rsidP="006B21BC" w14:paraId="63A7241F" w14:textId="77777777">
            <w:pPr>
              <w:widowControl/>
              <w:spacing w:after="0" w:line="240" w:lineRule="auto"/>
              <w:jc w:val="both"/>
              <w:rPr>
                <w:rFonts w:eastAsia="Times New Roman"/>
                <w:lang w:eastAsia="zh-TW"/>
              </w:rPr>
            </w:pPr>
          </w:p>
        </w:tc>
      </w:tr>
      <w:tr w14:paraId="1CD0DE5F" w14:textId="77777777" w:rsidTr="006B21BC">
        <w:tblPrEx>
          <w:tblW w:w="0" w:type="auto"/>
          <w:tblLook w:val="00A0"/>
        </w:tblPrEx>
        <w:trPr>
          <w:trHeight w:val="702"/>
        </w:trPr>
        <w:tc>
          <w:tcPr>
            <w:tcW w:w="539" w:type="dxa"/>
            <w:gridSpan w:val="2"/>
          </w:tcPr>
          <w:p w:rsidR="00662E1B" w:rsidRPr="00510A6B" w:rsidP="006B21BC" w14:paraId="0BB0001E" w14:textId="77777777">
            <w:pPr>
              <w:widowControl/>
              <w:spacing w:after="0" w:line="240" w:lineRule="auto"/>
              <w:rPr>
                <w:rFonts w:eastAsia="Times New Roman"/>
                <w:lang w:eastAsia="zh-TW"/>
              </w:rPr>
            </w:pPr>
            <w:r w:rsidRPr="00510A6B">
              <w:rPr>
                <w:rFonts w:eastAsia="Times New Roman"/>
                <w:lang w:eastAsia="zh-TW"/>
              </w:rPr>
              <w:t>7.</w:t>
            </w:r>
          </w:p>
        </w:tc>
        <w:tc>
          <w:tcPr>
            <w:tcW w:w="2888" w:type="dxa"/>
          </w:tcPr>
          <w:p w:rsidR="00662E1B" w:rsidRPr="00510A6B" w:rsidP="006B21BC" w14:paraId="7A0134EB" w14:textId="77777777">
            <w:pPr>
              <w:widowControl/>
              <w:spacing w:after="0" w:line="240" w:lineRule="auto"/>
              <w:rPr>
                <w:rFonts w:eastAsia="Times New Roman"/>
                <w:lang w:eastAsia="zh-TW"/>
              </w:rPr>
            </w:pPr>
            <w:r w:rsidRPr="00510A6B">
              <w:rPr>
                <w:rFonts w:eastAsia="Times New Roman"/>
                <w:lang w:eastAsia="zh-TW"/>
              </w:rPr>
              <w:t>Uzaicināmās personas</w:t>
            </w:r>
          </w:p>
        </w:tc>
        <w:tc>
          <w:tcPr>
            <w:tcW w:w="5874" w:type="dxa"/>
          </w:tcPr>
          <w:p w:rsidR="00662E1B" w:rsidP="006B21BC" w14:paraId="1B581A27" w14:textId="77777777">
            <w:pPr>
              <w:widowControl/>
              <w:spacing w:after="0" w:line="240" w:lineRule="auto"/>
              <w:jc w:val="both"/>
              <w:rPr>
                <w:rFonts w:eastAsia="Times New Roman"/>
                <w:lang w:eastAsia="zh-TW"/>
              </w:rPr>
            </w:pPr>
            <w:r w:rsidRPr="00510A6B">
              <w:rPr>
                <w:rFonts w:eastAsia="Times New Roman"/>
                <w:lang w:eastAsia="zh-TW"/>
              </w:rPr>
              <w:t>Aizsardzības ministrijas valsts sekretāra vietnieks nodrošinājuma jautājumos M. Paškēvičs</w:t>
            </w:r>
          </w:p>
          <w:p w:rsidR="00662E1B" w:rsidRPr="00510A6B" w:rsidP="006B21BC" w14:paraId="1DF00A89" w14:textId="77777777">
            <w:pPr>
              <w:widowControl/>
              <w:spacing w:after="0" w:line="240" w:lineRule="auto"/>
              <w:jc w:val="both"/>
              <w:rPr>
                <w:rFonts w:eastAsia="Times New Roman"/>
                <w:lang w:eastAsia="zh-TW"/>
              </w:rPr>
            </w:pPr>
          </w:p>
        </w:tc>
      </w:tr>
      <w:tr w14:paraId="42A9E6BE" w14:textId="77777777" w:rsidTr="006B21BC">
        <w:tblPrEx>
          <w:tblW w:w="0" w:type="auto"/>
          <w:tblLook w:val="00A0"/>
        </w:tblPrEx>
        <w:tc>
          <w:tcPr>
            <w:tcW w:w="539" w:type="dxa"/>
            <w:gridSpan w:val="2"/>
          </w:tcPr>
          <w:p w:rsidR="00662E1B" w:rsidRPr="00510A6B" w:rsidP="006B21BC" w14:paraId="13EFA99F" w14:textId="77777777">
            <w:pPr>
              <w:widowControl/>
              <w:spacing w:after="0" w:line="240" w:lineRule="auto"/>
              <w:rPr>
                <w:rFonts w:eastAsia="Times New Roman"/>
                <w:lang w:eastAsia="zh-TW"/>
              </w:rPr>
            </w:pPr>
            <w:r w:rsidRPr="00510A6B">
              <w:rPr>
                <w:rFonts w:eastAsia="Times New Roman"/>
                <w:lang w:eastAsia="zh-TW"/>
              </w:rPr>
              <w:t>8.</w:t>
            </w:r>
          </w:p>
        </w:tc>
        <w:tc>
          <w:tcPr>
            <w:tcW w:w="2888" w:type="dxa"/>
          </w:tcPr>
          <w:p w:rsidR="00662E1B" w:rsidRPr="00510A6B" w:rsidP="006B21BC" w14:paraId="6C4AFAB2" w14:textId="77777777">
            <w:pPr>
              <w:widowControl/>
              <w:spacing w:after="0" w:line="240" w:lineRule="auto"/>
              <w:rPr>
                <w:rFonts w:eastAsia="Times New Roman"/>
                <w:lang w:eastAsia="zh-TW"/>
              </w:rPr>
            </w:pPr>
            <w:r w:rsidRPr="00510A6B">
              <w:rPr>
                <w:rFonts w:eastAsia="Times New Roman"/>
                <w:lang w:eastAsia="zh-TW"/>
              </w:rPr>
              <w:t>Projekta ierobežotas pieejamības statuss</w:t>
            </w:r>
          </w:p>
        </w:tc>
        <w:tc>
          <w:tcPr>
            <w:tcW w:w="5874" w:type="dxa"/>
          </w:tcPr>
          <w:p w:rsidR="00662E1B" w:rsidRPr="00510A6B" w:rsidP="006B21BC" w14:paraId="138078E0" w14:textId="77777777">
            <w:pPr>
              <w:widowControl/>
              <w:spacing w:after="0" w:line="240" w:lineRule="auto"/>
              <w:jc w:val="both"/>
              <w:rPr>
                <w:rFonts w:eastAsia="Times New Roman"/>
                <w:lang w:eastAsia="zh-TW"/>
              </w:rPr>
            </w:pPr>
            <w:r w:rsidRPr="00510A6B">
              <w:rPr>
                <w:rFonts w:eastAsia="Times New Roman"/>
              </w:rPr>
              <w:t>Nav</w:t>
            </w:r>
          </w:p>
        </w:tc>
      </w:tr>
      <w:tr w14:paraId="480C5F62" w14:textId="77777777" w:rsidTr="006B21BC">
        <w:tblPrEx>
          <w:tblW w:w="0" w:type="auto"/>
          <w:tblLook w:val="00A0"/>
        </w:tblPrEx>
        <w:tc>
          <w:tcPr>
            <w:tcW w:w="539" w:type="dxa"/>
            <w:gridSpan w:val="2"/>
          </w:tcPr>
          <w:p w:rsidR="00662E1B" w:rsidRPr="00510A6B" w:rsidP="006B21BC" w14:paraId="0B05D7CD" w14:textId="77777777">
            <w:pPr>
              <w:widowControl/>
              <w:spacing w:after="0" w:line="240" w:lineRule="auto"/>
              <w:rPr>
                <w:rFonts w:eastAsia="Times New Roman"/>
                <w:lang w:eastAsia="zh-TW"/>
              </w:rPr>
            </w:pPr>
            <w:r w:rsidRPr="00510A6B">
              <w:rPr>
                <w:rFonts w:eastAsia="Times New Roman"/>
                <w:lang w:eastAsia="zh-TW"/>
              </w:rPr>
              <w:t xml:space="preserve">9. </w:t>
            </w:r>
          </w:p>
        </w:tc>
        <w:tc>
          <w:tcPr>
            <w:tcW w:w="2888" w:type="dxa"/>
          </w:tcPr>
          <w:p w:rsidR="00662E1B" w:rsidRPr="00510A6B" w:rsidP="006B21BC" w14:paraId="7A347F9A" w14:textId="77777777">
            <w:pPr>
              <w:widowControl/>
              <w:spacing w:after="0" w:line="240" w:lineRule="auto"/>
              <w:rPr>
                <w:rFonts w:eastAsia="Times New Roman"/>
                <w:lang w:eastAsia="zh-TW"/>
              </w:rPr>
            </w:pPr>
            <w:r w:rsidRPr="00510A6B">
              <w:rPr>
                <w:rFonts w:eastAsia="Times New Roman"/>
                <w:lang w:eastAsia="zh-TW"/>
              </w:rPr>
              <w:t>Cita informācija</w:t>
            </w:r>
          </w:p>
        </w:tc>
        <w:tc>
          <w:tcPr>
            <w:tcW w:w="5874" w:type="dxa"/>
          </w:tcPr>
          <w:p w:rsidR="00662E1B" w:rsidRPr="00510A6B" w:rsidP="006B21BC" w14:paraId="4B10369F" w14:textId="77777777">
            <w:pPr>
              <w:widowControl/>
              <w:spacing w:after="0" w:line="240" w:lineRule="auto"/>
              <w:jc w:val="both"/>
              <w:rPr>
                <w:rFonts w:eastAsia="Times New Roman"/>
              </w:rPr>
            </w:pPr>
            <w:r w:rsidRPr="00510A6B">
              <w:rPr>
                <w:rFonts w:eastAsia="Times New Roman"/>
                <w:lang w:eastAsia="zh-TW"/>
              </w:rPr>
              <w:t>Nav</w:t>
            </w:r>
          </w:p>
        </w:tc>
      </w:tr>
      <w:tr w14:paraId="6AE716D6" w14:textId="77777777" w:rsidTr="006B21BC">
        <w:tblPrEx>
          <w:tblW w:w="0" w:type="auto"/>
          <w:tblLook w:val="00A0"/>
        </w:tblPrEx>
        <w:tc>
          <w:tcPr>
            <w:tcW w:w="539" w:type="dxa"/>
            <w:gridSpan w:val="2"/>
          </w:tcPr>
          <w:p w:rsidR="00662E1B" w:rsidRPr="00510A6B" w:rsidP="006B21BC" w14:paraId="1DB4027A" w14:textId="77777777">
            <w:pPr>
              <w:widowControl/>
              <w:spacing w:after="0" w:line="240" w:lineRule="auto"/>
              <w:rPr>
                <w:rFonts w:eastAsia="Times New Roman"/>
                <w:lang w:eastAsia="zh-TW"/>
              </w:rPr>
            </w:pPr>
            <w:r w:rsidRPr="00510A6B">
              <w:rPr>
                <w:rFonts w:eastAsia="Times New Roman"/>
                <w:lang w:eastAsia="zh-TW"/>
              </w:rPr>
              <w:t xml:space="preserve">10. </w:t>
            </w:r>
          </w:p>
        </w:tc>
        <w:tc>
          <w:tcPr>
            <w:tcW w:w="2888" w:type="dxa"/>
          </w:tcPr>
          <w:p w:rsidR="00662E1B" w:rsidRPr="00510A6B" w:rsidP="006B21BC" w14:paraId="1DCFCDED" w14:textId="77777777">
            <w:pPr>
              <w:widowControl/>
              <w:spacing w:after="0" w:line="240" w:lineRule="auto"/>
              <w:rPr>
                <w:rFonts w:eastAsia="Times New Roman"/>
                <w:lang w:eastAsia="zh-TW"/>
              </w:rPr>
            </w:pPr>
            <w:r w:rsidRPr="00510A6B">
              <w:rPr>
                <w:rFonts w:eastAsia="Times New Roman"/>
                <w:lang w:eastAsia="zh-TW"/>
              </w:rPr>
              <w:t>Saistība ar ārkārtējās situācijas vai izņēmuma stāvokļa noteikšanu valstī</w:t>
            </w:r>
          </w:p>
        </w:tc>
        <w:tc>
          <w:tcPr>
            <w:tcW w:w="5874" w:type="dxa"/>
          </w:tcPr>
          <w:p w:rsidR="00662E1B" w:rsidRPr="00510A6B" w:rsidP="006B21BC" w14:paraId="481BBB23" w14:textId="77777777">
            <w:pPr>
              <w:widowControl/>
              <w:spacing w:after="0" w:line="240" w:lineRule="auto"/>
              <w:jc w:val="both"/>
              <w:rPr>
                <w:rFonts w:eastAsia="Times New Roman"/>
                <w:lang w:eastAsia="zh-TW"/>
              </w:rPr>
            </w:pPr>
            <w:r w:rsidRPr="00510A6B">
              <w:rPr>
                <w:rFonts w:eastAsia="Times New Roman"/>
                <w:lang w:eastAsia="zh-TW"/>
              </w:rPr>
              <w:t>Nav</w:t>
            </w:r>
          </w:p>
        </w:tc>
      </w:tr>
      <w:tr w14:paraId="08740EB0" w14:textId="77777777" w:rsidTr="006B21BC">
        <w:tblPrEx>
          <w:tblW w:w="0" w:type="auto"/>
          <w:tblLook w:val="00A0"/>
        </w:tblPrEx>
        <w:tc>
          <w:tcPr>
            <w:tcW w:w="539" w:type="dxa"/>
            <w:gridSpan w:val="2"/>
          </w:tcPr>
          <w:p w:rsidR="00662E1B" w:rsidRPr="00510A6B" w:rsidP="006B21BC" w14:paraId="3E6409E0" w14:textId="77777777">
            <w:pPr>
              <w:widowControl/>
              <w:spacing w:after="0" w:line="240" w:lineRule="auto"/>
              <w:jc w:val="both"/>
              <w:rPr>
                <w:rFonts w:eastAsia="Times New Roman"/>
                <w:lang w:eastAsia="zh-TW"/>
              </w:rPr>
            </w:pPr>
            <w:r w:rsidRPr="00510A6B">
              <w:rPr>
                <w:rFonts w:eastAsia="Times New Roman"/>
                <w:lang w:eastAsia="zh-TW"/>
              </w:rPr>
              <w:t>11.</w:t>
            </w:r>
          </w:p>
        </w:tc>
        <w:tc>
          <w:tcPr>
            <w:tcW w:w="2888" w:type="dxa"/>
          </w:tcPr>
          <w:p w:rsidR="00662E1B" w:rsidRPr="00510A6B" w:rsidP="006B21BC" w14:paraId="1EDBB337" w14:textId="77777777">
            <w:pPr>
              <w:widowControl/>
              <w:spacing w:after="0" w:line="240" w:lineRule="auto"/>
              <w:ind w:right="128"/>
              <w:jc w:val="both"/>
              <w:rPr>
                <w:rFonts w:eastAsia="Times New Roman"/>
                <w:lang w:eastAsia="zh-TW"/>
              </w:rPr>
            </w:pPr>
            <w:r w:rsidRPr="00510A6B">
              <w:rPr>
                <w:rFonts w:eastAsia="Times New Roman"/>
                <w:lang w:eastAsia="zh-TW"/>
              </w:rPr>
              <w:t>Ministru kabineta lietas pamatojums</w:t>
            </w:r>
          </w:p>
        </w:tc>
        <w:tc>
          <w:tcPr>
            <w:tcW w:w="5874" w:type="dxa"/>
          </w:tcPr>
          <w:p w:rsidR="00662E1B" w:rsidRPr="00510A6B" w:rsidP="006B21BC" w14:paraId="6D76FA7A" w14:textId="77777777">
            <w:pPr>
              <w:widowControl/>
              <w:spacing w:after="0" w:line="240" w:lineRule="auto"/>
              <w:ind w:right="96"/>
              <w:jc w:val="both"/>
              <w:rPr>
                <w:rFonts w:eastAsia="Times New Roman"/>
                <w:b/>
                <w:lang w:eastAsia="zh-TW"/>
              </w:rPr>
            </w:pPr>
            <w:r w:rsidRPr="00510A6B">
              <w:rPr>
                <w:rFonts w:eastAsia="Times New Roman"/>
                <w:lang w:eastAsia="zh-TW"/>
              </w:rPr>
              <w:t>Nav nepieciešams norādīt</w:t>
            </w:r>
          </w:p>
        </w:tc>
      </w:tr>
      <w:tr w14:paraId="4D9143FF" w14:textId="77777777" w:rsidTr="006B21BC">
        <w:tblPrEx>
          <w:tblW w:w="0" w:type="auto"/>
          <w:tblLook w:val="00A0"/>
        </w:tblPrEx>
        <w:tc>
          <w:tcPr>
            <w:tcW w:w="539" w:type="dxa"/>
            <w:gridSpan w:val="2"/>
          </w:tcPr>
          <w:p w:rsidR="00662E1B" w:rsidRPr="00510A6B" w:rsidP="006B21BC" w14:paraId="67642CDC" w14:textId="77777777">
            <w:pPr>
              <w:widowControl/>
              <w:spacing w:after="0" w:line="240" w:lineRule="auto"/>
              <w:jc w:val="both"/>
              <w:rPr>
                <w:rFonts w:eastAsia="Times New Roman"/>
                <w:lang w:eastAsia="zh-TW"/>
              </w:rPr>
            </w:pPr>
            <w:r w:rsidRPr="00510A6B">
              <w:rPr>
                <w:rFonts w:eastAsia="Times New Roman"/>
                <w:lang w:eastAsia="zh-TW"/>
              </w:rPr>
              <w:t>12.</w:t>
            </w:r>
          </w:p>
        </w:tc>
        <w:tc>
          <w:tcPr>
            <w:tcW w:w="2888" w:type="dxa"/>
          </w:tcPr>
          <w:p w:rsidR="00662E1B" w:rsidRPr="00510A6B" w:rsidP="006B21BC" w14:paraId="0919D33C" w14:textId="77777777">
            <w:pPr>
              <w:widowControl/>
              <w:spacing w:after="0" w:line="240" w:lineRule="auto"/>
              <w:ind w:right="128"/>
              <w:jc w:val="both"/>
              <w:rPr>
                <w:rFonts w:eastAsia="Times New Roman"/>
                <w:lang w:eastAsia="zh-TW"/>
              </w:rPr>
            </w:pPr>
            <w:r w:rsidRPr="00510A6B">
              <w:rPr>
                <w:rFonts w:eastAsia="Times New Roman"/>
                <w:lang w:eastAsia="zh-TW"/>
              </w:rPr>
              <w:t>Steidzamības kārtības pamatojums</w:t>
            </w:r>
          </w:p>
        </w:tc>
        <w:tc>
          <w:tcPr>
            <w:tcW w:w="5874" w:type="dxa"/>
          </w:tcPr>
          <w:p w:rsidR="00662E1B" w:rsidRPr="00510A6B" w:rsidP="006B21BC" w14:paraId="3EC95A12" w14:textId="77777777">
            <w:pPr>
              <w:widowControl/>
              <w:spacing w:after="0" w:line="240" w:lineRule="auto"/>
              <w:ind w:right="96"/>
              <w:jc w:val="both"/>
              <w:rPr>
                <w:rFonts w:eastAsia="Times New Roman"/>
                <w:lang w:eastAsia="zh-TW"/>
              </w:rPr>
            </w:pPr>
            <w:r w:rsidRPr="00510A6B">
              <w:rPr>
                <w:rFonts w:eastAsia="Times New Roman"/>
                <w:lang w:eastAsia="zh-TW"/>
              </w:rPr>
              <w:t>Nav nepieciešams norādīt</w:t>
            </w:r>
          </w:p>
        </w:tc>
      </w:tr>
      <w:tr w14:paraId="69C05B90" w14:textId="77777777" w:rsidTr="006B21BC">
        <w:tblPrEx>
          <w:tblW w:w="0" w:type="auto"/>
          <w:tblLook w:val="00A0"/>
        </w:tblPrEx>
        <w:tc>
          <w:tcPr>
            <w:tcW w:w="539" w:type="dxa"/>
            <w:gridSpan w:val="2"/>
          </w:tcPr>
          <w:p w:rsidR="00662E1B" w:rsidRPr="00510A6B" w:rsidP="006B21BC" w14:paraId="58EA7736" w14:textId="77777777">
            <w:pPr>
              <w:widowControl/>
              <w:spacing w:after="0" w:line="240" w:lineRule="auto"/>
              <w:jc w:val="both"/>
              <w:rPr>
                <w:rFonts w:eastAsia="Times New Roman"/>
                <w:lang w:eastAsia="zh-TW"/>
              </w:rPr>
            </w:pPr>
            <w:r w:rsidRPr="00510A6B">
              <w:rPr>
                <w:rFonts w:eastAsia="Times New Roman"/>
                <w:lang w:eastAsia="zh-TW"/>
              </w:rPr>
              <w:t>13.</w:t>
            </w:r>
          </w:p>
        </w:tc>
        <w:tc>
          <w:tcPr>
            <w:tcW w:w="2888" w:type="dxa"/>
          </w:tcPr>
          <w:p w:rsidR="00662E1B" w:rsidRPr="00510A6B" w:rsidP="006B21BC" w14:paraId="35EC29D6" w14:textId="77777777">
            <w:pPr>
              <w:widowControl/>
              <w:spacing w:after="0" w:line="240" w:lineRule="auto"/>
              <w:ind w:right="128"/>
              <w:jc w:val="both"/>
              <w:rPr>
                <w:rFonts w:eastAsia="Times New Roman"/>
                <w:highlight w:val="yellow"/>
                <w:lang w:eastAsia="zh-TW"/>
              </w:rPr>
            </w:pPr>
            <w:r w:rsidRPr="00510A6B">
              <w:rPr>
                <w:rFonts w:eastAsia="Times New Roman"/>
                <w:lang w:eastAsia="zh-TW"/>
              </w:rPr>
              <w:t>Jautājuma savlaicīgas neiesniegšanas iemesli</w:t>
            </w:r>
          </w:p>
        </w:tc>
        <w:tc>
          <w:tcPr>
            <w:tcW w:w="5874" w:type="dxa"/>
          </w:tcPr>
          <w:p w:rsidR="00662E1B" w:rsidRPr="00510A6B" w:rsidP="006B21BC" w14:paraId="400DBAB4" w14:textId="77777777">
            <w:pPr>
              <w:widowControl/>
              <w:spacing w:after="0" w:line="240" w:lineRule="auto"/>
              <w:rPr>
                <w:rFonts w:ascii="Dutch TL" w:eastAsia="Times New Roman" w:hAnsi="Dutch TL"/>
                <w:sz w:val="28"/>
                <w:szCs w:val="20"/>
                <w:lang w:eastAsia="zh-TW"/>
              </w:rPr>
            </w:pPr>
            <w:r w:rsidRPr="00510A6B">
              <w:rPr>
                <w:rFonts w:eastAsia="Times New Roman"/>
                <w:lang w:eastAsia="zh-TW"/>
              </w:rPr>
              <w:t>Nav nepieciešams norādīt</w:t>
            </w:r>
          </w:p>
        </w:tc>
      </w:tr>
      <w:tr w14:paraId="54F52A44" w14:textId="77777777" w:rsidTr="006B21BC">
        <w:tblPrEx>
          <w:tblW w:w="0" w:type="auto"/>
          <w:tblLook w:val="00A0"/>
        </w:tblPrEx>
        <w:tc>
          <w:tcPr>
            <w:tcW w:w="539" w:type="dxa"/>
            <w:gridSpan w:val="2"/>
          </w:tcPr>
          <w:p w:rsidR="00662E1B" w:rsidRPr="00510A6B" w:rsidP="006B21BC" w14:paraId="13858ACB" w14:textId="77777777">
            <w:pPr>
              <w:widowControl/>
              <w:spacing w:after="0" w:line="240" w:lineRule="auto"/>
              <w:jc w:val="both"/>
              <w:rPr>
                <w:rFonts w:eastAsia="Times New Roman"/>
                <w:lang w:eastAsia="zh-TW"/>
              </w:rPr>
            </w:pPr>
            <w:r w:rsidRPr="00510A6B">
              <w:rPr>
                <w:rFonts w:eastAsia="Times New Roman"/>
                <w:lang w:eastAsia="zh-TW"/>
              </w:rPr>
              <w:t>14.</w:t>
            </w:r>
          </w:p>
        </w:tc>
        <w:tc>
          <w:tcPr>
            <w:tcW w:w="2888" w:type="dxa"/>
          </w:tcPr>
          <w:p w:rsidR="00662E1B" w:rsidRPr="00510A6B" w:rsidP="006B21BC" w14:paraId="052A3B4E" w14:textId="77777777">
            <w:pPr>
              <w:widowControl/>
              <w:spacing w:after="0" w:line="240" w:lineRule="auto"/>
              <w:ind w:right="128"/>
              <w:rPr>
                <w:rFonts w:eastAsia="Times New Roman"/>
                <w:lang w:eastAsia="zh-TW"/>
              </w:rPr>
            </w:pPr>
            <w:r w:rsidRPr="00510A6B">
              <w:rPr>
                <w:rFonts w:eastAsia="Times New Roman"/>
                <w:lang w:eastAsia="zh-TW"/>
              </w:rPr>
              <w:t>Lēmuma pieņemšanas galīgais termiņš</w:t>
            </w:r>
          </w:p>
        </w:tc>
        <w:tc>
          <w:tcPr>
            <w:tcW w:w="5874" w:type="dxa"/>
          </w:tcPr>
          <w:p w:rsidR="00662E1B" w:rsidRPr="00510A6B" w:rsidP="006B21BC" w14:paraId="4031E399" w14:textId="77777777">
            <w:pPr>
              <w:widowControl/>
              <w:spacing w:after="0" w:line="240" w:lineRule="auto"/>
              <w:rPr>
                <w:rFonts w:ascii="Dutch TL" w:eastAsia="Times New Roman" w:hAnsi="Dutch TL"/>
                <w:sz w:val="28"/>
                <w:szCs w:val="20"/>
                <w:lang w:eastAsia="zh-TW"/>
              </w:rPr>
            </w:pPr>
            <w:r w:rsidRPr="00510A6B">
              <w:rPr>
                <w:rFonts w:eastAsia="Times New Roman"/>
                <w:lang w:eastAsia="zh-TW"/>
              </w:rPr>
              <w:t>Nav</w:t>
            </w:r>
          </w:p>
        </w:tc>
      </w:tr>
    </w:tbl>
    <w:p w:rsidR="00662E1B" w:rsidP="00662E1B" w14:paraId="5C6349B2" w14:textId="77777777">
      <w:pPr>
        <w:widowControl/>
        <w:spacing w:after="0" w:line="240" w:lineRule="auto"/>
        <w:ind w:right="710"/>
        <w:rPr>
          <w:rFonts w:eastAsia="Times New Roman"/>
          <w:lang w:eastAsia="zh-TW"/>
        </w:rPr>
      </w:pPr>
    </w:p>
    <w:p w:rsidR="00662E1B" w:rsidRPr="00AC3FFD" w:rsidP="00662E1B" w14:paraId="680F0715" w14:textId="77777777">
      <w:pPr>
        <w:widowControl/>
        <w:spacing w:after="0" w:line="240" w:lineRule="auto"/>
        <w:ind w:right="710"/>
        <w:rPr>
          <w:rFonts w:eastAsia="Times New Roman"/>
          <w:lang w:eastAsia="zh-TW"/>
        </w:rPr>
      </w:pPr>
    </w:p>
    <w:p w:rsidR="00662E1B" w:rsidRPr="00510A6B" w:rsidP="00662E1B" w14:paraId="238F8D2B" w14:textId="77777777">
      <w:pPr>
        <w:widowControl/>
        <w:spacing w:after="0" w:line="240" w:lineRule="auto"/>
        <w:ind w:right="710"/>
        <w:rPr>
          <w:rFonts w:eastAsia="Times New Roman"/>
          <w:lang w:eastAsia="zh-TW"/>
        </w:rPr>
      </w:pPr>
      <w:r w:rsidRPr="00510A6B">
        <w:rPr>
          <w:rFonts w:eastAsia="Times New Roman"/>
          <w:lang w:eastAsia="zh-TW"/>
        </w:rPr>
        <w:t>Pielikumā:</w:t>
      </w:r>
    </w:p>
    <w:p w:rsidR="00662E1B" w:rsidRPr="00510A6B" w:rsidP="00662E1B" w14:paraId="55276A9C" w14:textId="61E6CEB9">
      <w:pPr>
        <w:widowControl/>
        <w:tabs>
          <w:tab w:val="left" w:pos="450"/>
        </w:tabs>
        <w:spacing w:after="60" w:line="240" w:lineRule="auto"/>
        <w:ind w:left="720" w:right="142"/>
        <w:jc w:val="both"/>
      </w:pPr>
      <w:r w:rsidRPr="00510A6B">
        <w:t xml:space="preserve">Ministru kabineta sēdes protokollēmuma projekts “Par Ministru kabineta 2019. gada 26. marta sēdes protokollēmuma (prot. Nr. 16, 30. §) </w:t>
      </w:r>
      <w:r w:rsidR="001A2E72">
        <w:t>“</w:t>
      </w:r>
      <w:r w:rsidRPr="00510A6B">
        <w:t>Informatīvais ziņojums “Par Nacionālo bruņoto spēku profesionālā dienesta karavīru nodrošināšanu ar dienesta dzīvojamām telpām Ādažu novadā”” 2. un 3. punktā doto uzdevumu atzīšanu par aktualitāti zaudējušiem” (</w:t>
      </w:r>
      <w:r>
        <w:t>AIMProt_20</w:t>
      </w:r>
      <w:r w:rsidRPr="00510A6B">
        <w:t>0420_zaudejis_aktualitati.docx) uz 1 lpp.</w:t>
      </w:r>
    </w:p>
    <w:p w:rsidR="00662E1B" w:rsidP="00662E1B" w14:paraId="6431C128" w14:textId="77777777">
      <w:pPr>
        <w:widowControl/>
        <w:spacing w:after="0" w:line="240" w:lineRule="auto"/>
        <w:jc w:val="both"/>
        <w:rPr>
          <w:rFonts w:eastAsia="Times New Roman"/>
          <w:snapToGrid w:val="0"/>
          <w:lang w:eastAsia="en-US"/>
        </w:rPr>
      </w:pPr>
    </w:p>
    <w:p w:rsidR="00662E1B" w:rsidRPr="00510A6B" w:rsidP="00662E1B" w14:paraId="63CBF73E" w14:textId="77777777">
      <w:pPr>
        <w:widowControl/>
        <w:spacing w:after="0" w:line="240" w:lineRule="auto"/>
        <w:jc w:val="both"/>
        <w:rPr>
          <w:rFonts w:eastAsia="Times New Roman"/>
          <w:snapToGrid w:val="0"/>
          <w:lang w:eastAsia="en-US"/>
        </w:rPr>
      </w:pPr>
    </w:p>
    <w:p w:rsidR="00662E1B" w:rsidRPr="00510A6B" w:rsidP="00662E1B" w14:paraId="22D8EBF4" w14:textId="77777777">
      <w:pPr>
        <w:widowControl/>
        <w:spacing w:after="0" w:line="240" w:lineRule="auto"/>
        <w:jc w:val="both"/>
        <w:rPr>
          <w:rFonts w:eastAsia="Times New Roman"/>
          <w:snapToGrid w:val="0"/>
          <w:lang w:eastAsia="en-US"/>
        </w:rPr>
      </w:pPr>
    </w:p>
    <w:p w:rsidR="00662E1B" w:rsidRPr="00510A6B" w:rsidP="00662E1B" w14:paraId="76E0AEBA" w14:textId="77777777">
      <w:pPr>
        <w:widowControl/>
        <w:spacing w:after="0" w:line="240" w:lineRule="auto"/>
        <w:jc w:val="both"/>
        <w:rPr>
          <w:rFonts w:eastAsia="Times New Roman"/>
          <w:snapToGrid w:val="0"/>
          <w:lang w:eastAsia="en-US"/>
        </w:rPr>
      </w:pPr>
      <w:r w:rsidRPr="00510A6B">
        <w:rPr>
          <w:rFonts w:eastAsia="Times New Roman"/>
          <w:snapToGrid w:val="0"/>
          <w:lang w:eastAsia="en-US"/>
        </w:rPr>
        <w:t>Ministru prezidenta biedrs,</w:t>
      </w:r>
    </w:p>
    <w:p w:rsidR="00662E1B" w:rsidRPr="00510A6B" w:rsidP="00662E1B" w14:paraId="249C1387" w14:textId="019FEFF8">
      <w:pPr>
        <w:widowControl/>
        <w:spacing w:after="0" w:line="240" w:lineRule="auto"/>
        <w:jc w:val="both"/>
        <w:rPr>
          <w:rFonts w:eastAsia="Times New Roman"/>
          <w:snapToGrid w:val="0"/>
          <w:lang w:eastAsia="en-US"/>
        </w:rPr>
      </w:pPr>
      <w:r>
        <w:rPr>
          <w:rFonts w:eastAsia="Times New Roman"/>
          <w:snapToGrid w:val="0"/>
          <w:lang w:eastAsia="en-US"/>
        </w:rPr>
        <w:t>aizsardzības ministrs</w:t>
      </w:r>
      <w:r>
        <w:rPr>
          <w:rFonts w:eastAsia="Times New Roman"/>
          <w:snapToGrid w:val="0"/>
          <w:lang w:eastAsia="en-US"/>
        </w:rPr>
        <w:tab/>
      </w:r>
      <w:r>
        <w:rPr>
          <w:rFonts w:eastAsia="Times New Roman"/>
          <w:snapToGrid w:val="0"/>
          <w:lang w:eastAsia="en-US"/>
        </w:rPr>
        <w:tab/>
      </w:r>
      <w:r>
        <w:rPr>
          <w:rFonts w:eastAsia="Times New Roman"/>
          <w:snapToGrid w:val="0"/>
          <w:lang w:eastAsia="en-US"/>
        </w:rPr>
        <w:tab/>
      </w:r>
      <w:r>
        <w:rPr>
          <w:rFonts w:eastAsia="Times New Roman"/>
          <w:snapToGrid w:val="0"/>
          <w:lang w:eastAsia="en-US"/>
        </w:rPr>
        <w:tab/>
      </w:r>
      <w:r>
        <w:rPr>
          <w:rFonts w:eastAsia="Times New Roman"/>
          <w:snapToGrid w:val="0"/>
          <w:lang w:eastAsia="en-US"/>
        </w:rPr>
        <w:tab/>
      </w:r>
      <w:r>
        <w:rPr>
          <w:rFonts w:eastAsia="Times New Roman"/>
          <w:snapToGrid w:val="0"/>
          <w:lang w:eastAsia="en-US"/>
        </w:rPr>
        <w:tab/>
      </w:r>
      <w:r>
        <w:rPr>
          <w:rFonts w:eastAsia="Times New Roman"/>
          <w:snapToGrid w:val="0"/>
          <w:lang w:eastAsia="en-US"/>
        </w:rPr>
        <w:tab/>
      </w:r>
      <w:r w:rsidR="00D8087B">
        <w:rPr>
          <w:rFonts w:eastAsia="Times New Roman"/>
          <w:snapToGrid w:val="0"/>
          <w:lang w:eastAsia="en-US"/>
        </w:rPr>
        <w:t>Dr.</w:t>
      </w:r>
      <w:r w:rsidR="006D34CE">
        <w:rPr>
          <w:rFonts w:eastAsia="Times New Roman"/>
          <w:snapToGrid w:val="0"/>
          <w:lang w:eastAsia="en-US"/>
        </w:rPr>
        <w:t xml:space="preserve"> </w:t>
      </w:r>
      <w:r w:rsidRPr="00510A6B">
        <w:rPr>
          <w:rFonts w:eastAsia="Times New Roman"/>
          <w:snapToGrid w:val="0"/>
          <w:lang w:eastAsia="en-US"/>
        </w:rPr>
        <w:t>Artis Pabriks</w:t>
      </w:r>
    </w:p>
    <w:p w:rsidR="00662E1B" w:rsidRPr="00510A6B" w:rsidP="00662E1B" w14:paraId="12A5E28F" w14:textId="77777777">
      <w:pPr>
        <w:widowControl/>
        <w:spacing w:after="0" w:line="240" w:lineRule="auto"/>
        <w:rPr>
          <w:rFonts w:eastAsia="Times New Roman"/>
          <w:i/>
          <w:lang w:eastAsia="zh-TW"/>
        </w:rPr>
      </w:pPr>
    </w:p>
    <w:p w:rsidR="00662E1B" w:rsidRPr="00510A6B" w:rsidP="00662E1B" w14:paraId="00F14A7D" w14:textId="77777777">
      <w:pPr>
        <w:widowControl/>
        <w:spacing w:after="0" w:line="240" w:lineRule="auto"/>
        <w:rPr>
          <w:rFonts w:eastAsia="Times New Roman"/>
          <w:lang w:eastAsia="zh-TW"/>
        </w:rPr>
      </w:pPr>
    </w:p>
    <w:p w:rsidR="00662E1B" w:rsidP="00662E1B" w14:paraId="43C35C46" w14:textId="77777777">
      <w:pPr>
        <w:widowControl/>
        <w:spacing w:after="0" w:line="240" w:lineRule="auto"/>
        <w:rPr>
          <w:rFonts w:eastAsia="Times New Roman"/>
          <w:lang w:eastAsia="zh-TW"/>
        </w:rPr>
      </w:pPr>
    </w:p>
    <w:p w:rsidR="00662E1B" w:rsidP="00662E1B" w14:paraId="38B7D27B" w14:textId="77777777">
      <w:pPr>
        <w:widowControl/>
        <w:spacing w:after="0" w:line="240" w:lineRule="auto"/>
        <w:rPr>
          <w:rFonts w:eastAsia="Times New Roman"/>
          <w:lang w:eastAsia="zh-TW"/>
        </w:rPr>
      </w:pPr>
    </w:p>
    <w:p w:rsidR="00662E1B" w:rsidP="00662E1B" w14:paraId="7F1290F2" w14:textId="77777777">
      <w:pPr>
        <w:widowControl/>
        <w:spacing w:after="0" w:line="240" w:lineRule="auto"/>
        <w:rPr>
          <w:rFonts w:eastAsia="Times New Roman"/>
          <w:lang w:eastAsia="zh-TW"/>
        </w:rPr>
      </w:pPr>
    </w:p>
    <w:p w:rsidR="00662E1B" w:rsidP="00662E1B" w14:paraId="064F9312" w14:textId="77777777">
      <w:pPr>
        <w:widowControl/>
        <w:spacing w:after="0" w:line="240" w:lineRule="auto"/>
        <w:rPr>
          <w:rFonts w:eastAsia="Times New Roman"/>
          <w:lang w:eastAsia="zh-TW"/>
        </w:rPr>
      </w:pPr>
    </w:p>
    <w:p w:rsidR="00662E1B" w:rsidP="00662E1B" w14:paraId="35C9D675" w14:textId="77777777">
      <w:pPr>
        <w:widowControl/>
        <w:spacing w:after="0" w:line="240" w:lineRule="auto"/>
        <w:rPr>
          <w:rFonts w:eastAsia="Times New Roman"/>
          <w:lang w:eastAsia="zh-TW"/>
        </w:rPr>
      </w:pPr>
    </w:p>
    <w:p w:rsidR="00662E1B" w:rsidP="00662E1B" w14:paraId="1B3513D5" w14:textId="77777777">
      <w:pPr>
        <w:widowControl/>
        <w:spacing w:after="0" w:line="240" w:lineRule="auto"/>
        <w:rPr>
          <w:rFonts w:eastAsia="Times New Roman"/>
          <w:lang w:eastAsia="zh-TW"/>
        </w:rPr>
      </w:pPr>
    </w:p>
    <w:p w:rsidR="00662E1B" w:rsidP="00662E1B" w14:paraId="5E46973D" w14:textId="77777777">
      <w:pPr>
        <w:widowControl/>
        <w:spacing w:after="0" w:line="240" w:lineRule="auto"/>
        <w:rPr>
          <w:rFonts w:eastAsia="Times New Roman"/>
          <w:lang w:eastAsia="zh-TW"/>
        </w:rPr>
      </w:pPr>
    </w:p>
    <w:p w:rsidR="00662E1B" w:rsidP="00662E1B" w14:paraId="5524D63A" w14:textId="77777777">
      <w:pPr>
        <w:widowControl/>
        <w:spacing w:after="0" w:line="240" w:lineRule="auto"/>
        <w:rPr>
          <w:rFonts w:eastAsia="Times New Roman"/>
          <w:lang w:eastAsia="zh-TW"/>
        </w:rPr>
      </w:pPr>
    </w:p>
    <w:p w:rsidR="00662E1B" w:rsidP="00662E1B" w14:paraId="013B4B76" w14:textId="77777777">
      <w:pPr>
        <w:widowControl/>
        <w:spacing w:after="0" w:line="240" w:lineRule="auto"/>
        <w:rPr>
          <w:rFonts w:eastAsia="Times New Roman"/>
          <w:lang w:eastAsia="zh-TW"/>
        </w:rPr>
      </w:pPr>
    </w:p>
    <w:p w:rsidR="00662E1B" w:rsidP="00662E1B" w14:paraId="5ACA9FEB" w14:textId="77777777">
      <w:pPr>
        <w:widowControl/>
        <w:spacing w:after="0" w:line="240" w:lineRule="auto"/>
        <w:rPr>
          <w:rFonts w:eastAsia="Times New Roman"/>
          <w:lang w:eastAsia="zh-TW"/>
        </w:rPr>
      </w:pPr>
    </w:p>
    <w:p w:rsidR="00662E1B" w:rsidP="00662E1B" w14:paraId="2A65E11A" w14:textId="77777777">
      <w:pPr>
        <w:widowControl/>
        <w:spacing w:after="0" w:line="240" w:lineRule="auto"/>
        <w:rPr>
          <w:rFonts w:eastAsia="Times New Roman"/>
          <w:lang w:eastAsia="zh-TW"/>
        </w:rPr>
      </w:pPr>
    </w:p>
    <w:p w:rsidR="00662E1B" w:rsidP="00662E1B" w14:paraId="21796283" w14:textId="77777777">
      <w:pPr>
        <w:widowControl/>
        <w:spacing w:after="0" w:line="240" w:lineRule="auto"/>
        <w:rPr>
          <w:rFonts w:eastAsia="Times New Roman"/>
          <w:lang w:eastAsia="zh-TW"/>
        </w:rPr>
      </w:pPr>
    </w:p>
    <w:p w:rsidR="00662E1B" w:rsidP="00662E1B" w14:paraId="48C4FAAE" w14:textId="77777777">
      <w:pPr>
        <w:widowControl/>
        <w:spacing w:after="0" w:line="240" w:lineRule="auto"/>
        <w:rPr>
          <w:rFonts w:eastAsia="Times New Roman"/>
          <w:lang w:eastAsia="zh-TW"/>
        </w:rPr>
      </w:pPr>
    </w:p>
    <w:p w:rsidR="00662E1B" w:rsidP="00662E1B" w14:paraId="47D1BCCD" w14:textId="05938693">
      <w:pPr>
        <w:widowControl/>
        <w:spacing w:after="0" w:line="240" w:lineRule="auto"/>
        <w:rPr>
          <w:rFonts w:eastAsia="Times New Roman"/>
          <w:lang w:eastAsia="zh-TW"/>
        </w:rPr>
      </w:pPr>
    </w:p>
    <w:p w:rsidR="00662E1B" w:rsidP="00662E1B" w14:paraId="079E662F" w14:textId="77777777">
      <w:pPr>
        <w:widowControl/>
        <w:spacing w:after="0" w:line="240" w:lineRule="auto"/>
        <w:rPr>
          <w:rFonts w:eastAsia="Times New Roman"/>
          <w:lang w:eastAsia="zh-TW"/>
        </w:rPr>
      </w:pPr>
    </w:p>
    <w:p w:rsidR="00662E1B" w:rsidP="00662E1B" w14:paraId="5444EB46" w14:textId="77777777">
      <w:pPr>
        <w:widowControl/>
        <w:spacing w:after="0" w:line="240" w:lineRule="auto"/>
        <w:rPr>
          <w:rFonts w:eastAsia="Times New Roman"/>
          <w:lang w:eastAsia="zh-TW"/>
        </w:rPr>
      </w:pPr>
    </w:p>
    <w:p w:rsidR="00662E1B" w:rsidP="00662E1B" w14:paraId="7302BE5C" w14:textId="1D927FB8">
      <w:pPr>
        <w:widowControl/>
        <w:spacing w:after="0" w:line="240" w:lineRule="auto"/>
        <w:rPr>
          <w:rFonts w:eastAsia="Times New Roman"/>
          <w:lang w:eastAsia="zh-TW"/>
        </w:rPr>
      </w:pPr>
    </w:p>
    <w:p w:rsidR="00582A80" w:rsidP="00662E1B" w14:paraId="183A6A25" w14:textId="77777777">
      <w:pPr>
        <w:widowControl/>
        <w:spacing w:after="0" w:line="240" w:lineRule="auto"/>
        <w:rPr>
          <w:rFonts w:eastAsia="Times New Roman"/>
          <w:lang w:eastAsia="zh-TW"/>
        </w:rPr>
      </w:pPr>
    </w:p>
    <w:p w:rsidR="00662E1B" w:rsidP="00662E1B" w14:paraId="4B4DB8C5" w14:textId="77777777">
      <w:pPr>
        <w:widowControl/>
        <w:spacing w:after="0" w:line="240" w:lineRule="auto"/>
        <w:rPr>
          <w:rFonts w:eastAsia="Times New Roman"/>
          <w:lang w:eastAsia="zh-TW"/>
        </w:rPr>
      </w:pPr>
    </w:p>
    <w:p w:rsidR="00662E1B" w:rsidRPr="00510A6B" w:rsidP="00662E1B" w14:paraId="7FB64663" w14:textId="77777777">
      <w:pPr>
        <w:widowControl/>
        <w:spacing w:after="0" w:line="240" w:lineRule="auto"/>
        <w:rPr>
          <w:rFonts w:eastAsia="Times New Roman"/>
          <w:lang w:eastAsia="zh-TW"/>
        </w:rPr>
      </w:pPr>
    </w:p>
    <w:p w:rsidR="00662E1B" w:rsidRPr="003774F5" w:rsidP="00662E1B" w14:paraId="0EB74897" w14:textId="77777777">
      <w:pPr>
        <w:widowControl/>
        <w:spacing w:after="0" w:line="240" w:lineRule="auto"/>
        <w:ind w:right="26"/>
        <w:jc w:val="both"/>
        <w:rPr>
          <w:rFonts w:eastAsia="Times New Roman"/>
          <w:sz w:val="18"/>
          <w:szCs w:val="18"/>
          <w:lang w:eastAsia="zh-TW"/>
        </w:rPr>
      </w:pPr>
      <w:r w:rsidRPr="003774F5">
        <w:rPr>
          <w:rFonts w:eastAsia="Times New Roman"/>
          <w:sz w:val="18"/>
          <w:szCs w:val="18"/>
          <w:lang w:eastAsia="zh-TW"/>
        </w:rPr>
        <w:t>I. Buda, tālr. 67335031</w:t>
      </w:r>
    </w:p>
    <w:p w:rsidR="00A650A4" w:rsidRPr="00662E1B" w:rsidP="00662E1B" w14:paraId="2E23B554" w14:textId="0BBA51D4">
      <w:pPr>
        <w:widowControl/>
        <w:spacing w:after="0" w:line="240" w:lineRule="auto"/>
        <w:ind w:right="26"/>
        <w:jc w:val="both"/>
        <w:rPr>
          <w:rFonts w:eastAsia="Times New Roman"/>
          <w:sz w:val="18"/>
          <w:szCs w:val="18"/>
          <w:lang w:eastAsia="zh-TW"/>
        </w:rPr>
      </w:pPr>
      <w:hyperlink r:id="rId4" w:history="1">
        <w:r w:rsidRPr="003774F5" w:rsidR="00662E1B">
          <w:rPr>
            <w:rFonts w:eastAsia="Times New Roman"/>
            <w:color w:val="0000FF" w:themeColor="hyperlink"/>
            <w:sz w:val="18"/>
            <w:szCs w:val="18"/>
            <w:u w:val="single"/>
            <w:lang w:eastAsia="zh-TW"/>
          </w:rPr>
          <w:t>Inara.Buda@mod.gov.lv</w:t>
        </w:r>
      </w:hyperlink>
    </w:p>
    <w:sectPr w:rsidSect="00330D43">
      <w:footerReference w:type="default" r:id="rId5"/>
      <w:headerReference w:type="first" r:id="rId6"/>
      <w:footerReference w:type="first" r:id="rId7"/>
      <w:type w:val="continuous"/>
      <w:pgSz w:w="11920" w:h="16840"/>
      <w:pgMar w:top="1134" w:right="851" w:bottom="1134" w:left="1701" w:header="709" w:footer="709"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Dutch TL">
    <w:altName w:val="Cambria"/>
    <w:panose1 w:val="02020503060505020304"/>
    <w:charset w:val="BA"/>
    <w:family w:val="roman"/>
    <w:pitch w:val="variable"/>
    <w:sig w:usb0="800002AF" w:usb1="5000204A" w:usb2="00000000" w:usb3="00000000" w:csb0="0000009F" w:csb1="00000000"/>
  </w:font>
  <w:font w:name="TimesNewRomanPS-ItalicMT">
    <w:altName w:val="Times New Roman"/>
    <w:charset w:val="00"/>
    <w:family w:val="auto"/>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99374691"/>
      <w:docPartObj>
        <w:docPartGallery w:val="Page Numbers (Bottom of Page)"/>
        <w:docPartUnique/>
      </w:docPartObj>
    </w:sdtPr>
    <w:sdtEndPr>
      <w:rPr>
        <w:sz w:val="20"/>
        <w:szCs w:val="20"/>
      </w:rPr>
    </w:sdtEndPr>
    <w:sdtContent>
      <w:sdt>
        <w:sdtPr>
          <w:id w:val="1243181416"/>
          <w:docPartObj>
            <w:docPartGallery w:val="Page Numbers (Top of Page)"/>
            <w:docPartUnique/>
          </w:docPartObj>
        </w:sdtPr>
        <w:sdtEndPr>
          <w:rPr>
            <w:sz w:val="20"/>
            <w:szCs w:val="20"/>
          </w:rPr>
        </w:sdtEndPr>
        <w:sdtContent>
          <w:p w:rsidR="00662E1B" w:rsidP="00662E1B" w14:paraId="074BDF6F" w14:textId="3772AF1B">
            <w:pPr>
              <w:pStyle w:val="Footer"/>
              <w:jc w:val="center"/>
            </w:pPr>
            <w:r w:rsidRPr="002D7FAB">
              <w:rPr>
                <w:rFonts w:ascii="TimesNewRomanPS-ItalicMT" w:hAnsi="TimesNewRomanPS-ItalicMT"/>
                <w:iCs/>
                <w:sz w:val="20"/>
                <w:szCs w:val="20"/>
              </w:rPr>
              <w:t>DOKUMENTS IR ELEKTRONISKI PARAKSTĪTS AR DROŠU ELEKTRONISKO PARAKSTU UN SATUR LAIKA ZĪMOGU</w:t>
            </w:r>
          </w:p>
          <w:p w:rsidR="00662E1B" w:rsidRPr="00C5368B" w:rsidP="00662E1B" w14:paraId="04C76A7D" w14:textId="77777777">
            <w:pPr>
              <w:pStyle w:val="Footer"/>
              <w:jc w:val="right"/>
              <w:rPr>
                <w:sz w:val="20"/>
                <w:szCs w:val="20"/>
              </w:rPr>
            </w:pPr>
          </w:p>
          <w:p w:rsidR="00662E1B" w:rsidRPr="00B6691F" w:rsidP="00662E1B" w14:paraId="714CE39F" w14:textId="7F784228">
            <w:pPr>
              <w:pStyle w:val="Footer"/>
              <w:jc w:val="right"/>
              <w:rPr>
                <w:sz w:val="20"/>
                <w:szCs w:val="20"/>
              </w:rPr>
            </w:pPr>
            <w:r w:rsidRPr="00B6691F">
              <w:rPr>
                <w:bCs/>
                <w:sz w:val="20"/>
                <w:szCs w:val="20"/>
              </w:rPr>
              <w:fldChar w:fldCharType="begin"/>
            </w:r>
            <w:r w:rsidRPr="00B6691F">
              <w:rPr>
                <w:bCs/>
                <w:sz w:val="20"/>
                <w:szCs w:val="20"/>
              </w:rPr>
              <w:instrText xml:space="preserve"> PAGE </w:instrText>
            </w:r>
            <w:r w:rsidRPr="00B6691F">
              <w:rPr>
                <w:bCs/>
                <w:sz w:val="20"/>
                <w:szCs w:val="20"/>
              </w:rPr>
              <w:fldChar w:fldCharType="separate"/>
            </w:r>
            <w:r w:rsidRPr="00B6691F">
              <w:rPr>
                <w:bCs/>
                <w:sz w:val="20"/>
                <w:szCs w:val="20"/>
              </w:rPr>
              <w:t>4</w:t>
            </w:r>
            <w:r w:rsidRPr="00B6691F">
              <w:rPr>
                <w:bCs/>
                <w:sz w:val="20"/>
                <w:szCs w:val="20"/>
              </w:rPr>
              <w:fldChar w:fldCharType="end"/>
            </w:r>
            <w:r w:rsidRPr="00B6691F">
              <w:rPr>
                <w:sz w:val="20"/>
                <w:szCs w:val="20"/>
              </w:rPr>
              <w:t xml:space="preserve"> - </w:t>
            </w:r>
            <w:r w:rsidRPr="00B6691F">
              <w:rPr>
                <w:bCs/>
                <w:sz w:val="20"/>
                <w:szCs w:val="20"/>
              </w:rPr>
              <w:fldChar w:fldCharType="begin"/>
            </w:r>
            <w:r w:rsidRPr="00B6691F">
              <w:rPr>
                <w:bCs/>
                <w:sz w:val="20"/>
                <w:szCs w:val="20"/>
              </w:rPr>
              <w:instrText xml:space="preserve"> NUMPAGES  </w:instrText>
            </w:r>
            <w:r w:rsidRPr="00B6691F">
              <w:rPr>
                <w:bCs/>
                <w:sz w:val="20"/>
                <w:szCs w:val="20"/>
              </w:rPr>
              <w:fldChar w:fldCharType="separate"/>
            </w:r>
            <w:r w:rsidRPr="00B6691F">
              <w:rPr>
                <w:bCs/>
                <w:sz w:val="20"/>
                <w:szCs w:val="20"/>
              </w:rPr>
              <w:t>4</w:t>
            </w:r>
            <w:r w:rsidRPr="00B6691F">
              <w:rPr>
                <w:bCs/>
                <w:sz w:val="20"/>
                <w:szCs w:val="20"/>
              </w:rPr>
              <w:fldChar w:fldCharType="end"/>
            </w:r>
          </w:p>
        </w:sdtContent>
      </w:sdt>
    </w:sdtContent>
  </w:sdt>
  <w:p w:rsidR="00662E1B" w:rsidRPr="00C5368B" w:rsidP="00662E1B" w14:paraId="2DC53D07" w14:textId="77777777">
    <w:pPr>
      <w:spacing w:after="0" w:line="240" w:lineRule="auto"/>
      <w:jc w:val="right"/>
      <w:rPr>
        <w:rFonts w:ascii="TimesNewRomanPS-ItalicMT" w:hAnsi="TimesNewRomanPS-ItalicMT"/>
        <w:iCs/>
        <w:sz w:val="20"/>
        <w:szCs w:val="20"/>
      </w:rPr>
    </w:pPr>
  </w:p>
  <w:p w:rsidR="00A339EF" w:rsidRPr="00662E1B" w:rsidP="00662E1B" w14:paraId="2E23B556" w14:textId="73037850">
    <w:pPr>
      <w:spacing w:after="0" w:line="240" w:lineRule="auto"/>
      <w:rPr>
        <w:rFonts w:ascii="TimesNewRomanPS-ItalicMT" w:hAnsi="TimesNewRomanPS-ItalicMT"/>
        <w:iCs/>
        <w:sz w:val="20"/>
        <w:szCs w:val="20"/>
      </w:rPr>
    </w:pPr>
    <w:r>
      <w:rPr>
        <w:rFonts w:ascii="TimesNewRomanPS-ItalicMT" w:hAnsi="TimesNewRomanPS-ItalicMT"/>
        <w:iCs/>
        <w:sz w:val="20"/>
        <w:szCs w:val="20"/>
      </w:rPr>
      <w:t>AIMpav_200420_zaudejis_aktualitati.docx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60985856"/>
      <w:docPartObj>
        <w:docPartGallery w:val="Page Numbers (Bottom of Page)"/>
        <w:docPartUnique/>
      </w:docPartObj>
    </w:sdtPr>
    <w:sdtContent>
      <w:sdt>
        <w:sdtPr>
          <w:id w:val="862136690"/>
          <w:docPartObj>
            <w:docPartGallery w:val="Page Numbers (Top of Page)"/>
            <w:docPartUnique/>
          </w:docPartObj>
        </w:sdtPr>
        <w:sdtContent>
          <w:p w:rsidR="00662E1B" w:rsidP="00662E1B" w14:paraId="00CB6216" w14:textId="77777777">
            <w:pPr>
              <w:pStyle w:val="Footer"/>
              <w:jc w:val="center"/>
            </w:pPr>
            <w:r w:rsidRPr="002D7FAB">
              <w:rPr>
                <w:rFonts w:ascii="TimesNewRomanPS-ItalicMT" w:hAnsi="TimesNewRomanPS-ItalicMT"/>
                <w:iCs/>
                <w:sz w:val="20"/>
                <w:szCs w:val="20"/>
              </w:rPr>
              <w:t>DOKUMENTS IR ELEKTRONISKI PARAKSTĪTS AR DROŠU ELEKTRONISKO PARAKSTU UN SATUR LAIKA ZĪMOGU</w:t>
            </w:r>
          </w:p>
          <w:p w:rsidR="00662E1B" w:rsidRPr="00C5368B" w:rsidP="00662E1B" w14:paraId="157E8F81" w14:textId="77777777">
            <w:pPr>
              <w:pStyle w:val="Footer"/>
              <w:jc w:val="right"/>
              <w:rPr>
                <w:sz w:val="20"/>
                <w:szCs w:val="20"/>
              </w:rPr>
            </w:pPr>
          </w:p>
          <w:p w:rsidR="00662E1B" w:rsidRPr="00B6691F" w:rsidP="00662E1B" w14:paraId="33541378" w14:textId="73B4F527">
            <w:pPr>
              <w:pStyle w:val="Footer"/>
              <w:jc w:val="right"/>
              <w:rPr>
                <w:bCs/>
                <w:sz w:val="20"/>
                <w:szCs w:val="20"/>
              </w:rPr>
            </w:pPr>
            <w:r w:rsidRPr="00B6691F">
              <w:rPr>
                <w:bCs/>
                <w:sz w:val="20"/>
                <w:szCs w:val="20"/>
              </w:rPr>
              <w:fldChar w:fldCharType="begin"/>
            </w:r>
            <w:r w:rsidRPr="00B6691F">
              <w:rPr>
                <w:bCs/>
                <w:sz w:val="20"/>
                <w:szCs w:val="20"/>
              </w:rPr>
              <w:instrText xml:space="preserve"> PAGE </w:instrText>
            </w:r>
            <w:r w:rsidRPr="00B6691F">
              <w:rPr>
                <w:bCs/>
                <w:sz w:val="20"/>
                <w:szCs w:val="20"/>
              </w:rPr>
              <w:fldChar w:fldCharType="separate"/>
            </w:r>
            <w:r w:rsidRPr="00B6691F">
              <w:rPr>
                <w:bCs/>
                <w:sz w:val="20"/>
                <w:szCs w:val="20"/>
              </w:rPr>
              <w:t>1</w:t>
            </w:r>
            <w:r w:rsidRPr="00B6691F">
              <w:rPr>
                <w:bCs/>
                <w:sz w:val="20"/>
                <w:szCs w:val="20"/>
              </w:rPr>
              <w:fldChar w:fldCharType="end"/>
            </w:r>
            <w:r w:rsidRPr="00B6691F">
              <w:rPr>
                <w:sz w:val="20"/>
                <w:szCs w:val="20"/>
              </w:rPr>
              <w:t xml:space="preserve"> - </w:t>
            </w:r>
            <w:r w:rsidRPr="00B6691F">
              <w:rPr>
                <w:bCs/>
                <w:sz w:val="20"/>
                <w:szCs w:val="20"/>
              </w:rPr>
              <w:fldChar w:fldCharType="begin"/>
            </w:r>
            <w:r w:rsidRPr="00B6691F">
              <w:rPr>
                <w:bCs/>
                <w:sz w:val="20"/>
                <w:szCs w:val="20"/>
              </w:rPr>
              <w:instrText xml:space="preserve"> NUMPAGES  </w:instrText>
            </w:r>
            <w:r w:rsidRPr="00B6691F">
              <w:rPr>
                <w:bCs/>
                <w:sz w:val="20"/>
                <w:szCs w:val="20"/>
              </w:rPr>
              <w:fldChar w:fldCharType="separate"/>
            </w:r>
            <w:r w:rsidRPr="00B6691F">
              <w:rPr>
                <w:bCs/>
                <w:sz w:val="20"/>
                <w:szCs w:val="20"/>
              </w:rPr>
              <w:t>4</w:t>
            </w:r>
            <w:r w:rsidRPr="00B6691F">
              <w:rPr>
                <w:bCs/>
                <w:sz w:val="20"/>
                <w:szCs w:val="20"/>
              </w:rPr>
              <w:fldChar w:fldCharType="end"/>
            </w:r>
          </w:p>
          <w:p w:rsidR="00662E1B" w:rsidRPr="00EC7922" w:rsidP="00662E1B" w14:paraId="3B7BAC23" w14:textId="77777777">
            <w:pPr>
              <w:pStyle w:val="Footer"/>
              <w:jc w:val="right"/>
            </w:pPr>
          </w:p>
        </w:sdtContent>
      </w:sdt>
    </w:sdtContent>
  </w:sdt>
  <w:p w:rsidR="003D6612" w:rsidRPr="00662E1B" w:rsidP="00662E1B" w14:paraId="2E23B55C" w14:textId="0BB0EFE6">
    <w:pPr>
      <w:spacing w:after="0" w:line="240" w:lineRule="auto"/>
      <w:rPr>
        <w:rFonts w:ascii="TimesNewRomanPS-ItalicMT" w:hAnsi="TimesNewRomanPS-ItalicMT"/>
        <w:iCs/>
        <w:sz w:val="20"/>
        <w:szCs w:val="20"/>
      </w:rPr>
    </w:pPr>
    <w:r>
      <w:rPr>
        <w:rFonts w:ascii="TimesNewRomanPS-ItalicMT" w:hAnsi="TimesNewRomanPS-ItalicMT"/>
        <w:iCs/>
        <w:sz w:val="20"/>
        <w:szCs w:val="20"/>
      </w:rPr>
      <w:t>AIMpav_200420_zaudejis_aktualitati.docx</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4AF3" w:rsidRPr="008669E5" w:rsidP="000473E9" w14:paraId="2E23B557" w14:textId="77777777">
    <w:pPr>
      <w:spacing w:before="2520" w:after="120"/>
    </w:pPr>
    <w:r w:rsidRPr="008669E5">
      <w:rPr>
        <w:noProof/>
      </w:rPr>
      <mc:AlternateContent>
        <mc:Choice Requires="wps">
          <w:drawing>
            <wp:anchor distT="0" distB="0" distL="114300" distR="114300" simplePos="0" relativeHeight="251661312" behindDoc="1" locked="0" layoutInCell="1" allowOverlap="1">
              <wp:simplePos x="0" y="0"/>
              <wp:positionH relativeFrom="page">
                <wp:posOffset>1171575</wp:posOffset>
              </wp:positionH>
              <wp:positionV relativeFrom="page">
                <wp:posOffset>1973580</wp:posOffset>
              </wp:positionV>
              <wp:extent cx="5838825" cy="314325"/>
              <wp:effectExtent l="0" t="0" r="9525" b="9525"/>
              <wp:wrapNone/>
              <wp:docPr id="3" name="Text Box 4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38825" cy="3143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A40B4" w:rsidRPr="008669E5" w:rsidP="009A40B4" w14:textId="77777777">
                          <w:pPr>
                            <w:spacing w:after="0" w:line="194" w:lineRule="exact"/>
                            <w:ind w:left="20" w:right="-45"/>
                            <w:jc w:val="center"/>
                            <w:rPr>
                              <w:rFonts w:eastAsia="Times New Roman"/>
                              <w:sz w:val="17"/>
                              <w:szCs w:val="17"/>
                            </w:rPr>
                          </w:pPr>
                          <w:r w:rsidRPr="008669E5">
                            <w:rPr>
                              <w:rFonts w:eastAsia="Times New Roman"/>
                              <w:color w:val="231F20"/>
                              <w:sz w:val="17"/>
                              <w:szCs w:val="17"/>
                            </w:rPr>
                            <w:t>K. Vald</w:t>
                          </w:r>
                          <w:r w:rsidR="004033F4">
                            <w:rPr>
                              <w:rFonts w:eastAsia="Times New Roman"/>
                              <w:color w:val="231F20"/>
                              <w:sz w:val="17"/>
                              <w:szCs w:val="17"/>
                            </w:rPr>
                            <w:t>emāra iela 10/12, Rīga, LV-1473;</w:t>
                          </w:r>
                          <w:r w:rsidRPr="008669E5">
                            <w:rPr>
                              <w:rFonts w:eastAsia="Times New Roman"/>
                              <w:color w:val="231F20"/>
                              <w:sz w:val="17"/>
                              <w:szCs w:val="17"/>
                            </w:rPr>
                            <w:t xml:space="preserve"> tālr</w:t>
                          </w:r>
                          <w:r w:rsidR="004033F4">
                            <w:rPr>
                              <w:rFonts w:eastAsia="Times New Roman"/>
                              <w:color w:val="231F20"/>
                              <w:sz w:val="17"/>
                              <w:szCs w:val="17"/>
                            </w:rPr>
                            <w:t>.: 67210124;</w:t>
                          </w:r>
                          <w:r w:rsidRPr="008669E5">
                            <w:rPr>
                              <w:rFonts w:eastAsia="Times New Roman"/>
                              <w:color w:val="231F20"/>
                              <w:sz w:val="17"/>
                              <w:szCs w:val="17"/>
                            </w:rPr>
                            <w:t xml:space="preserve"> fakss</w:t>
                          </w:r>
                          <w:r w:rsidR="004033F4">
                            <w:rPr>
                              <w:rFonts w:eastAsia="Times New Roman"/>
                              <w:color w:val="231F20"/>
                              <w:sz w:val="17"/>
                              <w:szCs w:val="17"/>
                            </w:rPr>
                            <w:t>: 67212307;</w:t>
                          </w:r>
                          <w:r w:rsidRPr="008669E5">
                            <w:rPr>
                              <w:rFonts w:eastAsia="Times New Roman"/>
                              <w:color w:val="231F20"/>
                              <w:sz w:val="17"/>
                              <w:szCs w:val="17"/>
                            </w:rPr>
                            <w:t xml:space="preserve"> e-pasts</w:t>
                          </w:r>
                          <w:r w:rsidR="004033F4">
                            <w:rPr>
                              <w:rFonts w:eastAsia="Times New Roman"/>
                              <w:color w:val="231F20"/>
                              <w:sz w:val="17"/>
                              <w:szCs w:val="17"/>
                            </w:rPr>
                            <w:t>:</w:t>
                          </w:r>
                          <w:r w:rsidRPr="008669E5">
                            <w:rPr>
                              <w:rFonts w:eastAsia="Times New Roman"/>
                              <w:color w:val="231F20"/>
                              <w:sz w:val="17"/>
                              <w:szCs w:val="17"/>
                            </w:rPr>
                            <w:t xml:space="preserve"> kanceleja@mod.gov.lv</w:t>
                          </w:r>
                          <w:r w:rsidR="004033F4">
                            <w:rPr>
                              <w:rFonts w:eastAsia="Times New Roman"/>
                              <w:color w:val="231F20"/>
                              <w:sz w:val="17"/>
                              <w:szCs w:val="17"/>
                            </w:rPr>
                            <w:t>;</w:t>
                          </w:r>
                          <w:r w:rsidRPr="008669E5">
                            <w:rPr>
                              <w:rFonts w:eastAsia="Times New Roman"/>
                              <w:color w:val="231F20"/>
                              <w:sz w:val="17"/>
                              <w:szCs w:val="17"/>
                            </w:rPr>
                            <w:t xml:space="preserve"> www.mod.gov.lv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2049" type="#_x0000_t202" style="width:459.75pt;height:24.75pt;margin-top:155.4pt;margin-left:92.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4144" filled="f" stroked="f">
              <v:textbox inset="0,0,0,0">
                <w:txbxContent>
                  <w:p w:rsidR="009A40B4" w:rsidRPr="008669E5" w:rsidP="009A40B4" w14:paraId="2E23B563" w14:textId="77777777">
                    <w:pPr>
                      <w:spacing w:after="0" w:line="194" w:lineRule="exact"/>
                      <w:ind w:left="20" w:right="-45"/>
                      <w:jc w:val="center"/>
                      <w:rPr>
                        <w:rFonts w:eastAsia="Times New Roman"/>
                        <w:sz w:val="17"/>
                        <w:szCs w:val="17"/>
                      </w:rPr>
                    </w:pPr>
                    <w:r w:rsidRPr="008669E5">
                      <w:rPr>
                        <w:rFonts w:eastAsia="Times New Roman"/>
                        <w:color w:val="231F20"/>
                        <w:sz w:val="17"/>
                        <w:szCs w:val="17"/>
                      </w:rPr>
                      <w:t>K. Vald</w:t>
                    </w:r>
                    <w:r w:rsidR="004033F4">
                      <w:rPr>
                        <w:rFonts w:eastAsia="Times New Roman"/>
                        <w:color w:val="231F20"/>
                        <w:sz w:val="17"/>
                        <w:szCs w:val="17"/>
                      </w:rPr>
                      <w:t>emāra iela 10/12, Rīga, LV-1473;</w:t>
                    </w:r>
                    <w:r w:rsidRPr="008669E5">
                      <w:rPr>
                        <w:rFonts w:eastAsia="Times New Roman"/>
                        <w:color w:val="231F20"/>
                        <w:sz w:val="17"/>
                        <w:szCs w:val="17"/>
                      </w:rPr>
                      <w:t xml:space="preserve"> tālr</w:t>
                    </w:r>
                    <w:r w:rsidR="004033F4">
                      <w:rPr>
                        <w:rFonts w:eastAsia="Times New Roman"/>
                        <w:color w:val="231F20"/>
                        <w:sz w:val="17"/>
                        <w:szCs w:val="17"/>
                      </w:rPr>
                      <w:t>.: 67210124;</w:t>
                    </w:r>
                    <w:r w:rsidRPr="008669E5">
                      <w:rPr>
                        <w:rFonts w:eastAsia="Times New Roman"/>
                        <w:color w:val="231F20"/>
                        <w:sz w:val="17"/>
                        <w:szCs w:val="17"/>
                      </w:rPr>
                      <w:t xml:space="preserve"> fakss</w:t>
                    </w:r>
                    <w:r w:rsidR="004033F4">
                      <w:rPr>
                        <w:rFonts w:eastAsia="Times New Roman"/>
                        <w:color w:val="231F20"/>
                        <w:sz w:val="17"/>
                        <w:szCs w:val="17"/>
                      </w:rPr>
                      <w:t>: 67212307;</w:t>
                    </w:r>
                    <w:r w:rsidRPr="008669E5">
                      <w:rPr>
                        <w:rFonts w:eastAsia="Times New Roman"/>
                        <w:color w:val="231F20"/>
                        <w:sz w:val="17"/>
                        <w:szCs w:val="17"/>
                      </w:rPr>
                      <w:t xml:space="preserve"> e-pasts</w:t>
                    </w:r>
                    <w:r w:rsidR="004033F4">
                      <w:rPr>
                        <w:rFonts w:eastAsia="Times New Roman"/>
                        <w:color w:val="231F20"/>
                        <w:sz w:val="17"/>
                        <w:szCs w:val="17"/>
                      </w:rPr>
                      <w:t>:</w:t>
                    </w:r>
                    <w:r w:rsidRPr="008669E5">
                      <w:rPr>
                        <w:rFonts w:eastAsia="Times New Roman"/>
                        <w:color w:val="231F20"/>
                        <w:sz w:val="17"/>
                        <w:szCs w:val="17"/>
                      </w:rPr>
                      <w:t xml:space="preserve"> kanceleja@mod.gov.lv</w:t>
                    </w:r>
                    <w:r w:rsidR="004033F4">
                      <w:rPr>
                        <w:rFonts w:eastAsia="Times New Roman"/>
                        <w:color w:val="231F20"/>
                        <w:sz w:val="17"/>
                        <w:szCs w:val="17"/>
                      </w:rPr>
                      <w:t>;</w:t>
                    </w:r>
                    <w:r w:rsidRPr="008669E5">
                      <w:rPr>
                        <w:rFonts w:eastAsia="Times New Roman"/>
                        <w:color w:val="231F20"/>
                        <w:sz w:val="17"/>
                        <w:szCs w:val="17"/>
                      </w:rPr>
                      <w:t xml:space="preserve"> www.mod.gov.lv</w:t>
                    </w:r>
                  </w:p>
                </w:txbxContent>
              </v:textbox>
            </v:shape>
          </w:pict>
        </mc:Fallback>
      </mc:AlternateContent>
    </w:r>
    <w:r w:rsidRPr="008669E5">
      <w:rPr>
        <w:noProof/>
      </w:rPr>
      <mc:AlternateContent>
        <mc:Choice Requires="wpg">
          <w:drawing>
            <wp:anchor distT="0" distB="0" distL="114300" distR="114300" simplePos="0" relativeHeight="251659264" behindDoc="1" locked="0" layoutInCell="1" allowOverlap="1">
              <wp:simplePos x="0" y="0"/>
              <wp:positionH relativeFrom="page">
                <wp:posOffset>1850390</wp:posOffset>
              </wp:positionH>
              <wp:positionV relativeFrom="page">
                <wp:posOffset>1826895</wp:posOffset>
              </wp:positionV>
              <wp:extent cx="4397375" cy="1270"/>
              <wp:effectExtent l="0" t="0" r="22225" b="17780"/>
              <wp:wrapNone/>
              <wp:docPr id="1" name="Group 41"/>
              <wp:cNvGraphicFramePr/>
              <a:graphic xmlns:a="http://schemas.openxmlformats.org/drawingml/2006/main">
                <a:graphicData uri="http://schemas.microsoft.com/office/word/2010/wordprocessingGroup">
                  <wpg:wgp xmlns:wpg="http://schemas.microsoft.com/office/word/2010/wordprocessingGroup">
                    <wpg:cNvGrpSpPr/>
                    <wpg:grpSpPr>
                      <a:xfrm>
                        <a:off x="0" y="0"/>
                        <a:ext cx="4397375" cy="1270"/>
                        <a:chOff x="2915" y="2998"/>
                        <a:chExt cx="6926" cy="2"/>
                      </a:xfrm>
                    </wpg:grpSpPr>
                    <wps:wsp xmlns:wps="http://schemas.microsoft.com/office/word/2010/wordprocessingShape">
                      <wps:cNvPr id="2" name="Freeform 42"/>
                      <wps:cNvSpPr/>
                      <wps:spPr bwMode="auto">
                        <a:xfrm>
                          <a:off x="2915" y="2998"/>
                          <a:ext cx="6926" cy="2"/>
                        </a:xfrm>
                        <a:custGeom>
                          <a:avLst/>
                          <a:gdLst>
                            <a:gd name="T0" fmla="+- 0 2915 2915"/>
                            <a:gd name="T1" fmla="*/ T0 w 6926"/>
                            <a:gd name="T2" fmla="+- 0 9841 2915"/>
                            <a:gd name="T3" fmla="*/ T2 w 6926"/>
                          </a:gdLst>
                          <a:cxnLst>
                            <a:cxn ang="0">
                              <a:pos x="T1" y="0"/>
                            </a:cxn>
                            <a:cxn ang="0">
                              <a:pos x="T3" y="0"/>
                            </a:cxn>
                          </a:cxnLst>
                          <a:rect l="0" t="0" r="r" b="b"/>
                          <a:pathLst>
                            <a:path fill="norm" w="6926" stroke="1">
                              <a:moveTo>
                                <a:pt x="0" y="0"/>
                              </a:moveTo>
                              <a:lnTo>
                                <a:pt x="6926" y="0"/>
                              </a:lnTo>
                            </a:path>
                          </a:pathLst>
                        </a:custGeom>
                        <a:noFill/>
                        <a:ln w="3175">
                          <a:solidFill>
                            <a:srgbClr val="231F2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41" o:spid="_x0000_s2050" style="width:346.25pt;height:0.1pt;margin-top:143.85pt;margin-left:145.7pt;mso-position-horizontal-relative:page;mso-position-vertical-relative:page;position:absolute;z-index:-251656192" coordorigin="2915,2998" coordsize="6926,2">
              <v:shape id="Freeform 42" o:spid="_x0000_s2051" style="width:6926;height:2;left:2915;mso-wrap-style:square;position:absolute;top:2998;visibility:visible;v-text-anchor:top" coordsize="6926,2" path="m,l6926,e" filled="f" strokecolor="#231f20" strokeweight="0.25pt">
                <v:path arrowok="t" o:connecttype="custom" o:connectlocs="0,0;6926,0" o:connectangles="0,0"/>
              </v:shape>
            </v:group>
          </w:pict>
        </mc:Fallback>
      </mc:AlternateContent>
    </w:r>
    <w:r w:rsidRPr="008669E5">
      <w:rPr>
        <w:noProof/>
      </w:rPr>
      <w:drawing>
        <wp:anchor distT="0" distB="0" distL="114300" distR="114300" simplePos="0" relativeHeight="251658240" behindDoc="1" locked="0" layoutInCell="1" allowOverlap="1">
          <wp:simplePos x="0" y="0"/>
          <wp:positionH relativeFrom="page">
            <wp:posOffset>1117600</wp:posOffset>
          </wp:positionH>
          <wp:positionV relativeFrom="page">
            <wp:posOffset>590550</wp:posOffset>
          </wp:positionV>
          <wp:extent cx="5936615" cy="1033145"/>
          <wp:effectExtent l="0" t="0" r="6985"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0852290" name="Picture 40"/>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36615" cy="1033145"/>
                  </a:xfrm>
                  <a:prstGeom prst="rect">
                    <a:avLst/>
                  </a:prstGeom>
                  <a:noFill/>
                  <a:ln>
                    <a:noFill/>
                  </a:ln>
                </pic:spPr>
              </pic:pic>
            </a:graphicData>
          </a:graphic>
          <wp14:sizeRelH relativeFrom="page">
            <wp14:pctWidth>0</wp14:pctWidth>
          </wp14:sizeRelH>
          <wp14:sizeRelV relativeFrom="margin">
            <wp14:pctHeight>0</wp14:pctHeight>
          </wp14:sizeRelV>
        </wp:anchor>
      </w:drawing>
    </w:r>
  </w:p>
  <w:tbl>
    <w:tblPr>
      <w:tblW w:w="7796" w:type="dxa"/>
      <w:tblInd w:w="108" w:type="dxa"/>
      <w:tblLayout w:type="fixed"/>
      <w:tblLook w:val="0000"/>
    </w:tblPr>
    <w:tblGrid>
      <w:gridCol w:w="3969"/>
      <w:gridCol w:w="3827"/>
    </w:tblGrid>
    <w:tr w14:paraId="2E23B55A" w14:textId="77777777" w:rsidTr="00DD3458">
      <w:tblPrEx>
        <w:tblW w:w="7796" w:type="dxa"/>
        <w:tblInd w:w="108" w:type="dxa"/>
        <w:tblLayout w:type="fixed"/>
        <w:tblLook w:val="0000"/>
      </w:tblPrEx>
      <w:trPr>
        <w:cantSplit/>
      </w:trPr>
      <w:tc>
        <w:tcPr>
          <w:tcW w:w="3969" w:type="dxa"/>
        </w:tcPr>
        <w:p w:rsidR="000473E9" w:rsidRPr="00C56EDF" w:rsidP="007E69BC" w14:paraId="2E23B558" w14:textId="77777777">
          <w:pPr>
            <w:pStyle w:val="Header"/>
            <w:tabs>
              <w:tab w:val="clear" w:pos="4320"/>
            </w:tabs>
            <w:spacing w:before="120"/>
            <w:rPr>
              <w:color w:val="000000"/>
              <w:lang w:eastAsia="en-US"/>
            </w:rPr>
          </w:pPr>
          <w:r w:rsidRPr="00C56EDF">
            <w:rPr>
              <w:color w:val="000000"/>
              <w:lang w:eastAsia="en-US"/>
            </w:rPr>
            <w:t>Rīgā,</w:t>
          </w:r>
          <w:r w:rsidR="007E69BC">
            <w:rPr>
              <w:color w:val="000000"/>
              <w:lang w:eastAsia="en-US"/>
            </w:rPr>
            <w:t xml:space="preserve"> </w:t>
          </w:r>
          <w:r w:rsidR="007E69BC">
            <w:rPr>
              <w:noProof/>
              <w:color w:val="000000"/>
              <w:lang w:eastAsia="en-US"/>
            </w:rPr>
            <w:t>12.05.2020</w:t>
          </w:r>
          <w:r w:rsidRPr="00437554" w:rsidR="00437554">
            <w:rPr>
              <w:color w:val="000000"/>
              <w:lang w:eastAsia="en-US"/>
            </w:rPr>
            <w:t>.</w:t>
          </w:r>
        </w:p>
      </w:tc>
      <w:tc>
        <w:tcPr>
          <w:tcW w:w="3827" w:type="dxa"/>
        </w:tcPr>
        <w:p w:rsidR="000473E9" w:rsidRPr="0099125D" w:rsidP="00DD3458" w14:paraId="2E23B559" w14:textId="77777777">
          <w:pPr>
            <w:pStyle w:val="Header"/>
            <w:tabs>
              <w:tab w:val="clear" w:pos="4320"/>
            </w:tabs>
            <w:spacing w:before="120"/>
            <w:rPr>
              <w:color w:val="000000"/>
              <w:lang w:val="en-US" w:eastAsia="en-US"/>
            </w:rPr>
          </w:pPr>
          <w:r>
            <w:rPr>
              <w:color w:val="000000"/>
              <w:lang w:val="en-US" w:eastAsia="en-US"/>
            </w:rPr>
            <w:t xml:space="preserve">Nr. </w:t>
          </w:r>
          <w:r>
            <w:rPr>
              <w:noProof/>
              <w:color w:val="000000"/>
              <w:lang w:val="en-US" w:eastAsia="en-US"/>
            </w:rPr>
            <w:t>MV-N/1038</w:t>
          </w:r>
        </w:p>
      </w:tc>
    </w:tr>
  </w:tbl>
  <w:p w:rsidR="008D4AF3" w:rsidRPr="008669E5" w:rsidP="008D4AF3" w14:paraId="2E23B55B" w14:textId="777777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FFFFFF1D"/>
    <w:multiLevelType w:val="multilevel"/>
    <w:tmpl w:val="E8A2284C"/>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C01"/>
    <w:rsid w:val="00006384"/>
    <w:rsid w:val="0002064A"/>
    <w:rsid w:val="00030349"/>
    <w:rsid w:val="000473E9"/>
    <w:rsid w:val="000A1501"/>
    <w:rsid w:val="000B5336"/>
    <w:rsid w:val="000C6EB8"/>
    <w:rsid w:val="00124173"/>
    <w:rsid w:val="001268C6"/>
    <w:rsid w:val="001A2E72"/>
    <w:rsid w:val="001C02FA"/>
    <w:rsid w:val="001D06AC"/>
    <w:rsid w:val="001D79E4"/>
    <w:rsid w:val="002429A7"/>
    <w:rsid w:val="00265D4A"/>
    <w:rsid w:val="00266465"/>
    <w:rsid w:val="00275B9E"/>
    <w:rsid w:val="00290B9D"/>
    <w:rsid w:val="002B3077"/>
    <w:rsid w:val="002B3604"/>
    <w:rsid w:val="002D7FAB"/>
    <w:rsid w:val="002E1474"/>
    <w:rsid w:val="002E5B36"/>
    <w:rsid w:val="002E75AE"/>
    <w:rsid w:val="00330D43"/>
    <w:rsid w:val="003774F5"/>
    <w:rsid w:val="003D6612"/>
    <w:rsid w:val="004033F4"/>
    <w:rsid w:val="00437554"/>
    <w:rsid w:val="00492338"/>
    <w:rsid w:val="004B29B1"/>
    <w:rsid w:val="004F08C0"/>
    <w:rsid w:val="00510A6B"/>
    <w:rsid w:val="00535564"/>
    <w:rsid w:val="00582A80"/>
    <w:rsid w:val="005B495A"/>
    <w:rsid w:val="006126CC"/>
    <w:rsid w:val="0064477B"/>
    <w:rsid w:val="00662E1B"/>
    <w:rsid w:val="00663C3A"/>
    <w:rsid w:val="006B21BC"/>
    <w:rsid w:val="006C1639"/>
    <w:rsid w:val="006C787C"/>
    <w:rsid w:val="006D34CE"/>
    <w:rsid w:val="00760DE7"/>
    <w:rsid w:val="0076774F"/>
    <w:rsid w:val="007B3BA5"/>
    <w:rsid w:val="007B48EC"/>
    <w:rsid w:val="007B7238"/>
    <w:rsid w:val="007E4D1F"/>
    <w:rsid w:val="007E69BC"/>
    <w:rsid w:val="00815277"/>
    <w:rsid w:val="00831C01"/>
    <w:rsid w:val="008669E5"/>
    <w:rsid w:val="00876C21"/>
    <w:rsid w:val="008D4AF3"/>
    <w:rsid w:val="008F7FCE"/>
    <w:rsid w:val="00954D5A"/>
    <w:rsid w:val="0099125D"/>
    <w:rsid w:val="009A40B4"/>
    <w:rsid w:val="00A03A13"/>
    <w:rsid w:val="00A07AA9"/>
    <w:rsid w:val="00A339EF"/>
    <w:rsid w:val="00A650A4"/>
    <w:rsid w:val="00A844DB"/>
    <w:rsid w:val="00AC3FFD"/>
    <w:rsid w:val="00AD76C6"/>
    <w:rsid w:val="00AF0E90"/>
    <w:rsid w:val="00B10D3E"/>
    <w:rsid w:val="00B4680C"/>
    <w:rsid w:val="00B6691F"/>
    <w:rsid w:val="00B85566"/>
    <w:rsid w:val="00BB112A"/>
    <w:rsid w:val="00C47F57"/>
    <w:rsid w:val="00C5368B"/>
    <w:rsid w:val="00C56EDF"/>
    <w:rsid w:val="00C732CE"/>
    <w:rsid w:val="00CA407F"/>
    <w:rsid w:val="00D21FA6"/>
    <w:rsid w:val="00D53AC1"/>
    <w:rsid w:val="00D55B4B"/>
    <w:rsid w:val="00D8087B"/>
    <w:rsid w:val="00D82F0A"/>
    <w:rsid w:val="00DD3458"/>
    <w:rsid w:val="00E276FD"/>
    <w:rsid w:val="00E365CE"/>
    <w:rsid w:val="00EC7922"/>
    <w:rsid w:val="00EF676E"/>
    <w:rsid w:val="00F0003C"/>
    <w:rsid w:val="00F25DA3"/>
    <w:rsid w:val="00F60586"/>
    <w:rsid w:val="00F6691A"/>
    <w:rsid w:val="00FB2E50"/>
    <w:rsid w:val="00FF0EE8"/>
  </w:rsids>
  <m:mathPr>
    <m:mathFont m:val="Cambria Math"/>
    <m:dispDef m:val="0"/>
    <m:wrapRight/>
    <m:naryLim m:val="subSup"/>
  </m:mathPr>
  <w:themeFontLang w:val="lv-LV"/>
  <w:clrSchemeMapping w:bg1="light1" w:t1="dark1" w:bg2="light2" w:t2="dark2" w:accent1="accent1" w:accent2="accent2" w:accent3="accent3" w:accent4="accent4" w:accent5="accent5" w:accent6="accent6" w:hyperlink="hyperlink" w:followedHyperlink="followedHyperlink"/>
  <w15:docId w15:val="{D82B2C58-274C-49A3-A4AD-DD2AF398D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C01"/>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Inara.Buda@mod.gov.lv" TargetMode="Externa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4611</Words>
  <Characters>2629</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Ingus Tonnis</dc:creator>
  <cp:lastModifiedBy>Ināra Buda</cp:lastModifiedBy>
  <cp:revision>15</cp:revision>
  <cp:lastPrinted>2014-12-29T13:45:00Z</cp:lastPrinted>
  <dcterms:created xsi:type="dcterms:W3CDTF">2017-10-20T13:03:00Z</dcterms:created>
  <dcterms:modified xsi:type="dcterms:W3CDTF">2020-05-08T11:02:00Z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