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6BB45" w14:textId="170E9FC3" w:rsidR="00894C55" w:rsidRPr="00AB0A81" w:rsidRDefault="003833B6"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sdt>
        <w:sdtPr>
          <w:rPr>
            <w:rFonts w:ascii="Times New Roman" w:eastAsia="Times New Roman" w:hAnsi="Times New Roman" w:cs="Times New Roman"/>
            <w:b/>
            <w:bCs/>
            <w:color w:val="000000" w:themeColor="text1"/>
            <w:sz w:val="28"/>
            <w:szCs w:val="24"/>
            <w:lang w:eastAsia="lv-LV"/>
          </w:rPr>
          <w:id w:val="882755678"/>
          <w:placeholder>
            <w:docPart w:val="B2513C7936974E769D1103048039203D"/>
          </w:placeholder>
        </w:sdtPr>
        <w:sdtEndPr/>
        <w:sdtContent>
          <w:r w:rsidR="00DF2C3B" w:rsidRPr="00AB0A81">
            <w:rPr>
              <w:rFonts w:ascii="Times New Roman" w:eastAsia="Times New Roman" w:hAnsi="Times New Roman" w:cs="Times New Roman"/>
              <w:b/>
              <w:bCs/>
              <w:color w:val="000000" w:themeColor="text1"/>
              <w:sz w:val="28"/>
              <w:szCs w:val="24"/>
              <w:lang w:eastAsia="lv-LV"/>
            </w:rPr>
            <w:t>Ministru kabineta noteikumu</w:t>
          </w:r>
          <w:r w:rsidR="00CD2F80" w:rsidRPr="00AB0A81">
            <w:rPr>
              <w:rFonts w:ascii="Times New Roman" w:eastAsia="Times New Roman" w:hAnsi="Times New Roman" w:cs="Times New Roman"/>
              <w:b/>
              <w:bCs/>
              <w:color w:val="000000" w:themeColor="text1"/>
              <w:sz w:val="28"/>
              <w:szCs w:val="24"/>
              <w:lang w:eastAsia="lv-LV"/>
            </w:rPr>
            <w:t xml:space="preserve"> projekta </w:t>
          </w:r>
          <w:r w:rsidR="00DF2C3B" w:rsidRPr="00AB0A81">
            <w:rPr>
              <w:rFonts w:ascii="Times New Roman" w:eastAsia="Times New Roman" w:hAnsi="Times New Roman" w:cs="Times New Roman"/>
              <w:b/>
              <w:bCs/>
              <w:color w:val="000000" w:themeColor="text1"/>
              <w:sz w:val="28"/>
              <w:szCs w:val="24"/>
              <w:lang w:eastAsia="lv-LV"/>
            </w:rPr>
            <w:t>"Grozījumi Ministru kabineta 2016.</w:t>
          </w:r>
          <w:r w:rsidR="00BE01A5" w:rsidRPr="00AB0A81">
            <w:rPr>
              <w:rFonts w:ascii="Times New Roman" w:eastAsia="Times New Roman" w:hAnsi="Times New Roman" w:cs="Times New Roman"/>
              <w:b/>
              <w:bCs/>
              <w:color w:val="000000" w:themeColor="text1"/>
              <w:sz w:val="28"/>
              <w:szCs w:val="24"/>
              <w:lang w:eastAsia="lv-LV"/>
            </w:rPr>
            <w:t> </w:t>
          </w:r>
          <w:r w:rsidR="00DF2C3B" w:rsidRPr="00AB0A81">
            <w:rPr>
              <w:rFonts w:ascii="Times New Roman" w:eastAsia="Times New Roman" w:hAnsi="Times New Roman" w:cs="Times New Roman"/>
              <w:b/>
              <w:bCs/>
              <w:color w:val="000000" w:themeColor="text1"/>
              <w:sz w:val="28"/>
              <w:szCs w:val="24"/>
              <w:lang w:eastAsia="lv-LV"/>
            </w:rPr>
            <w:t>gada 15. marta noteikumos Nr. 160 "Darbības programmas "Izaugsme un nodarbinātība" 4.2.1. specifiskā atbalsta mērķa "Veicināt energoefektivitātes paaugstināšanu valsts un dzīvojamās ēkās" 4.2.1.1.</w:t>
          </w:r>
          <w:r w:rsidR="00BE01A5" w:rsidRPr="00AB0A81">
            <w:rPr>
              <w:rFonts w:ascii="Times New Roman" w:eastAsia="Times New Roman" w:hAnsi="Times New Roman" w:cs="Times New Roman"/>
              <w:b/>
              <w:bCs/>
              <w:color w:val="000000" w:themeColor="text1"/>
              <w:sz w:val="28"/>
              <w:szCs w:val="24"/>
              <w:lang w:eastAsia="lv-LV"/>
            </w:rPr>
            <w:t> </w:t>
          </w:r>
          <w:r w:rsidR="00DF2C3B" w:rsidRPr="00AB0A81">
            <w:rPr>
              <w:rFonts w:ascii="Times New Roman" w:eastAsia="Times New Roman" w:hAnsi="Times New Roman" w:cs="Times New Roman"/>
              <w:b/>
              <w:bCs/>
              <w:color w:val="000000" w:themeColor="text1"/>
              <w:sz w:val="28"/>
              <w:szCs w:val="24"/>
              <w:lang w:eastAsia="lv-LV"/>
            </w:rPr>
            <w:t>specifiskā atbalsta mērķa pasākuma "Veicināt energoefektivitātes paaugstināšanu dzīvojamās ēkās" īstenošanas noteikumi"</w:t>
          </w:r>
        </w:sdtContent>
      </w:sdt>
      <w:r w:rsidR="003B0BF9" w:rsidRPr="00AB0A81">
        <w:rPr>
          <w:rFonts w:ascii="Times New Roman" w:eastAsia="Times New Roman" w:hAnsi="Times New Roman" w:cs="Times New Roman"/>
          <w:b/>
          <w:bCs/>
          <w:color w:val="000000" w:themeColor="text1"/>
          <w:sz w:val="28"/>
          <w:szCs w:val="24"/>
          <w:lang w:eastAsia="lv-LV"/>
        </w:rPr>
        <w:br/>
      </w:r>
      <w:r w:rsidR="00894C55" w:rsidRPr="00AB0A81">
        <w:rPr>
          <w:rFonts w:ascii="Times New Roman" w:eastAsia="Times New Roman" w:hAnsi="Times New Roman" w:cs="Times New Roman"/>
          <w:b/>
          <w:bCs/>
          <w:color w:val="000000" w:themeColor="text1"/>
          <w:sz w:val="28"/>
          <w:szCs w:val="24"/>
          <w:lang w:eastAsia="lv-LV"/>
        </w:rPr>
        <w:t>sākotnējās ietekmes novērtējuma ziņojums (anotācija)</w:t>
      </w:r>
    </w:p>
    <w:p w14:paraId="4EEB0169" w14:textId="77777777" w:rsidR="00E5323B" w:rsidRPr="00AB0A81"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63"/>
        <w:gridCol w:w="6703"/>
      </w:tblGrid>
      <w:tr w:rsidR="00E5323B" w:rsidRPr="00AB0A81" w14:paraId="67248887" w14:textId="77777777" w:rsidTr="00AB0A81">
        <w:trPr>
          <w:tblCellSpacing w:w="15" w:type="dxa"/>
        </w:trPr>
        <w:tc>
          <w:tcPr>
            <w:tcW w:w="4970" w:type="pct"/>
            <w:gridSpan w:val="2"/>
            <w:tcBorders>
              <w:top w:val="outset" w:sz="6" w:space="0" w:color="auto"/>
              <w:left w:val="outset" w:sz="6" w:space="0" w:color="auto"/>
              <w:bottom w:val="outset" w:sz="6" w:space="0" w:color="auto"/>
              <w:right w:val="outset" w:sz="6" w:space="0" w:color="auto"/>
            </w:tcBorders>
            <w:vAlign w:val="center"/>
            <w:hideMark/>
          </w:tcPr>
          <w:p w14:paraId="28A1ED97" w14:textId="77777777" w:rsidR="00655F2C" w:rsidRPr="00AB0A81" w:rsidRDefault="00E5323B" w:rsidP="000B2764">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Tiesību akta projekta anotācijas kopsavilkums</w:t>
            </w:r>
          </w:p>
        </w:tc>
      </w:tr>
      <w:tr w:rsidR="00E5323B" w:rsidRPr="00AB0A81" w14:paraId="15927FDE" w14:textId="77777777" w:rsidTr="00AB0A81">
        <w:trPr>
          <w:tblCellSpacing w:w="15" w:type="dxa"/>
        </w:trPr>
        <w:tc>
          <w:tcPr>
            <w:tcW w:w="1653" w:type="pct"/>
            <w:tcBorders>
              <w:top w:val="outset" w:sz="6" w:space="0" w:color="auto"/>
              <w:left w:val="outset" w:sz="6" w:space="0" w:color="auto"/>
              <w:bottom w:val="outset" w:sz="6" w:space="0" w:color="auto"/>
              <w:right w:val="outset" w:sz="6" w:space="0" w:color="auto"/>
            </w:tcBorders>
            <w:hideMark/>
          </w:tcPr>
          <w:p w14:paraId="7F96989A"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3302" w:type="pct"/>
            <w:tcBorders>
              <w:top w:val="outset" w:sz="6" w:space="0" w:color="auto"/>
              <w:left w:val="outset" w:sz="6" w:space="0" w:color="auto"/>
              <w:bottom w:val="outset" w:sz="6" w:space="0" w:color="auto"/>
              <w:right w:val="outset" w:sz="6" w:space="0" w:color="auto"/>
            </w:tcBorders>
            <w:hideMark/>
          </w:tcPr>
          <w:p w14:paraId="1FB9E583" w14:textId="1A50C7AC" w:rsidR="000B2764" w:rsidRPr="00AB0A81" w:rsidRDefault="00DF2C3B" w:rsidP="00B14492">
            <w:pPr>
              <w:spacing w:after="0" w:line="240" w:lineRule="auto"/>
              <w:ind w:firstLine="363"/>
              <w:jc w:val="both"/>
              <w:rPr>
                <w:rFonts w:ascii="Times New Roman" w:eastAsia="Times New Roman" w:hAnsi="Times New Roman" w:cs="Times New Roman"/>
                <w:iCs/>
                <w:color w:val="000000" w:themeColor="text1"/>
                <w:sz w:val="24"/>
                <w:szCs w:val="24"/>
                <w:lang w:eastAsia="lv-LV"/>
              </w:rPr>
            </w:pPr>
            <w:bookmarkStart w:id="0" w:name="_Hlk20126694"/>
            <w:r w:rsidRPr="00AB0A81">
              <w:rPr>
                <w:rFonts w:ascii="Times New Roman" w:eastAsia="Times New Roman" w:hAnsi="Times New Roman" w:cs="Times New Roman"/>
                <w:iCs/>
                <w:color w:val="000000" w:themeColor="text1"/>
                <w:sz w:val="24"/>
                <w:szCs w:val="24"/>
                <w:lang w:eastAsia="lv-LV"/>
              </w:rPr>
              <w:t>Ministru kabineta noteikumu projekt</w:t>
            </w:r>
            <w:r w:rsidR="00EF6D10" w:rsidRPr="00AB0A81">
              <w:rPr>
                <w:rFonts w:ascii="Times New Roman" w:eastAsia="Times New Roman" w:hAnsi="Times New Roman" w:cs="Times New Roman"/>
                <w:iCs/>
                <w:color w:val="000000" w:themeColor="text1"/>
                <w:sz w:val="24"/>
                <w:szCs w:val="24"/>
                <w:lang w:eastAsia="lv-LV"/>
              </w:rPr>
              <w:t>a</w:t>
            </w:r>
            <w:r w:rsidRPr="00AB0A81">
              <w:rPr>
                <w:rFonts w:ascii="Times New Roman" w:eastAsia="Times New Roman" w:hAnsi="Times New Roman" w:cs="Times New Roman"/>
                <w:iCs/>
                <w:color w:val="000000" w:themeColor="text1"/>
                <w:sz w:val="24"/>
                <w:szCs w:val="24"/>
                <w:lang w:eastAsia="lv-LV"/>
              </w:rPr>
              <w:t xml:space="preserve"> mērķis ir veikt grozījumus Ministru kabineta 2016. gada 15. marta noteikumos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Noteikumu projekts)</w:t>
            </w:r>
            <w:r w:rsidR="00FB566F">
              <w:rPr>
                <w:rFonts w:ascii="Times New Roman" w:eastAsia="Times New Roman" w:hAnsi="Times New Roman" w:cs="Times New Roman"/>
                <w:iCs/>
                <w:color w:val="000000" w:themeColor="text1"/>
                <w:sz w:val="24"/>
                <w:szCs w:val="24"/>
                <w:lang w:eastAsia="lv-LV"/>
              </w:rPr>
              <w:t>,</w:t>
            </w:r>
            <w:r w:rsidR="00B925D0">
              <w:rPr>
                <w:rFonts w:ascii="Times New Roman" w:eastAsia="Times New Roman" w:hAnsi="Times New Roman" w:cs="Times New Roman"/>
                <w:iCs/>
                <w:color w:val="000000" w:themeColor="text1"/>
                <w:sz w:val="24"/>
                <w:szCs w:val="24"/>
                <w:lang w:eastAsia="lv-LV"/>
              </w:rPr>
              <w:t xml:space="preserve"> </w:t>
            </w:r>
            <w:r w:rsidR="00FB566F" w:rsidRPr="00FB566F">
              <w:rPr>
                <w:rFonts w:ascii="Times New Roman" w:eastAsia="Times New Roman" w:hAnsi="Times New Roman" w:cs="Times New Roman"/>
                <w:iCs/>
                <w:color w:val="000000" w:themeColor="text1"/>
                <w:sz w:val="24"/>
                <w:szCs w:val="24"/>
                <w:lang w:eastAsia="lv-LV"/>
              </w:rPr>
              <w:t>paredzot papildu finansējumu daudzdzīvokļu dzīvojamo māju energoefektivitātes paaugstināšanas pasākumu īstenošanai</w:t>
            </w:r>
            <w:r w:rsidR="00B14492">
              <w:rPr>
                <w:rFonts w:ascii="Times New Roman" w:eastAsia="Times New Roman" w:hAnsi="Times New Roman" w:cs="Times New Roman"/>
                <w:iCs/>
                <w:color w:val="000000" w:themeColor="text1"/>
                <w:sz w:val="24"/>
                <w:szCs w:val="24"/>
                <w:lang w:eastAsia="lv-LV"/>
              </w:rPr>
              <w:t xml:space="preserve">, kā arī </w:t>
            </w:r>
            <w:r w:rsidR="00B14492" w:rsidRPr="00B14492">
              <w:rPr>
                <w:rFonts w:ascii="Times New Roman" w:eastAsia="Times New Roman" w:hAnsi="Times New Roman" w:cs="Times New Roman"/>
                <w:iCs/>
                <w:color w:val="000000" w:themeColor="text1"/>
                <w:sz w:val="24"/>
                <w:szCs w:val="24"/>
                <w:lang w:eastAsia="lv-LV"/>
              </w:rPr>
              <w:t>jaunus nosacījumus piegādātāju atlasei</w:t>
            </w:r>
            <w:r w:rsidR="00B14492">
              <w:rPr>
                <w:rFonts w:ascii="Times New Roman" w:eastAsia="Times New Roman" w:hAnsi="Times New Roman" w:cs="Times New Roman"/>
                <w:iCs/>
                <w:color w:val="000000" w:themeColor="text1"/>
                <w:sz w:val="24"/>
                <w:szCs w:val="24"/>
                <w:lang w:eastAsia="lv-LV"/>
              </w:rPr>
              <w:t>.</w:t>
            </w:r>
          </w:p>
          <w:p w14:paraId="4F694BEC" w14:textId="6B67AFC9" w:rsidR="00E5323B" w:rsidRPr="00AB0A81" w:rsidRDefault="00DF2C3B" w:rsidP="00615524">
            <w:pPr>
              <w:spacing w:after="0" w:line="240" w:lineRule="auto"/>
              <w:ind w:firstLine="363"/>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stāsies spēkā pēc tā publicēšanas Latvijas Vēstnesī.</w:t>
            </w:r>
            <w:bookmarkEnd w:id="0"/>
          </w:p>
        </w:tc>
      </w:tr>
    </w:tbl>
    <w:p w14:paraId="3040270A"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2797"/>
        <w:gridCol w:w="6691"/>
      </w:tblGrid>
      <w:tr w:rsidR="00E5323B" w:rsidRPr="00AB0A81" w14:paraId="66CC3D9D"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82677BC"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E5323B" w:rsidRPr="00AB0A81" w14:paraId="01A306EF"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4649377"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14:paraId="617A177E"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Pamatojums</w:t>
            </w:r>
          </w:p>
        </w:tc>
        <w:tc>
          <w:tcPr>
            <w:tcW w:w="3291" w:type="pct"/>
            <w:tcBorders>
              <w:top w:val="outset" w:sz="6" w:space="0" w:color="auto"/>
              <w:left w:val="outset" w:sz="6" w:space="0" w:color="auto"/>
              <w:bottom w:val="outset" w:sz="6" w:space="0" w:color="auto"/>
              <w:right w:val="outset" w:sz="6" w:space="0" w:color="auto"/>
            </w:tcBorders>
            <w:hideMark/>
          </w:tcPr>
          <w:p w14:paraId="23E41FC1" w14:textId="15D2E688" w:rsidR="00E5323B" w:rsidRPr="00AB0A81" w:rsidRDefault="00FB566F" w:rsidP="00B925D0">
            <w:pPr>
              <w:spacing w:after="0" w:line="240" w:lineRule="auto"/>
              <w:jc w:val="both"/>
              <w:rPr>
                <w:rFonts w:ascii="Times New Roman" w:eastAsia="Times New Roman" w:hAnsi="Times New Roman" w:cs="Times New Roman"/>
                <w:iCs/>
                <w:color w:val="000000" w:themeColor="text1"/>
                <w:sz w:val="24"/>
                <w:szCs w:val="24"/>
                <w:lang w:eastAsia="lv-LV"/>
              </w:rPr>
            </w:pPr>
            <w:r w:rsidRPr="00FB566F">
              <w:rPr>
                <w:rFonts w:ascii="Times New Roman" w:eastAsia="Times New Roman" w:hAnsi="Times New Roman" w:cs="Times New Roman"/>
                <w:iCs/>
                <w:color w:val="000000" w:themeColor="text1"/>
                <w:sz w:val="24"/>
                <w:szCs w:val="24"/>
                <w:lang w:eastAsia="lv-LV"/>
              </w:rPr>
              <w:t>Noteikumu projekts izstrādāts kā Ekonomikas ministrijas iniciatīva</w:t>
            </w:r>
            <w:r w:rsidR="004C72A4">
              <w:rPr>
                <w:rFonts w:ascii="Times New Roman" w:eastAsia="Times New Roman" w:hAnsi="Times New Roman" w:cs="Times New Roman"/>
                <w:iCs/>
                <w:color w:val="000000" w:themeColor="text1"/>
                <w:sz w:val="24"/>
                <w:szCs w:val="24"/>
                <w:lang w:eastAsia="lv-LV"/>
              </w:rPr>
              <w:t xml:space="preserve"> saskaņā ar </w:t>
            </w:r>
            <w:r w:rsidR="007D13F1" w:rsidRPr="004C72A4">
              <w:rPr>
                <w:rFonts w:ascii="Times New Roman" w:eastAsia="Times New Roman" w:hAnsi="Times New Roman" w:cs="Times New Roman"/>
                <w:iCs/>
                <w:color w:val="000000" w:themeColor="text1"/>
                <w:sz w:val="24"/>
                <w:szCs w:val="24"/>
                <w:lang w:eastAsia="lv-LV"/>
              </w:rPr>
              <w:t>Ministru kabineta</w:t>
            </w:r>
            <w:r w:rsidR="007D13F1">
              <w:rPr>
                <w:rFonts w:ascii="Times New Roman" w:eastAsia="Times New Roman" w:hAnsi="Times New Roman" w:cs="Times New Roman"/>
                <w:iCs/>
                <w:color w:val="000000" w:themeColor="text1"/>
                <w:sz w:val="24"/>
                <w:szCs w:val="24"/>
                <w:lang w:eastAsia="lv-LV"/>
              </w:rPr>
              <w:t xml:space="preserve"> </w:t>
            </w:r>
            <w:r w:rsidR="002565AF" w:rsidRPr="004C72A4">
              <w:rPr>
                <w:rFonts w:ascii="Times New Roman" w:eastAsia="Times New Roman" w:hAnsi="Times New Roman" w:cs="Times New Roman"/>
                <w:iCs/>
                <w:color w:val="000000" w:themeColor="text1"/>
                <w:sz w:val="24"/>
                <w:szCs w:val="24"/>
                <w:lang w:eastAsia="lv-LV"/>
              </w:rPr>
              <w:t>2020.gada 2.jūnija</w:t>
            </w:r>
            <w:r w:rsidR="002565AF">
              <w:rPr>
                <w:rFonts w:ascii="Times New Roman" w:eastAsia="Times New Roman" w:hAnsi="Times New Roman" w:cs="Times New Roman"/>
                <w:iCs/>
                <w:color w:val="000000" w:themeColor="text1"/>
                <w:sz w:val="24"/>
                <w:szCs w:val="24"/>
                <w:lang w:eastAsia="lv-LV"/>
              </w:rPr>
              <w:t xml:space="preserve"> </w:t>
            </w:r>
            <w:r w:rsidR="00BF4E50">
              <w:rPr>
                <w:rFonts w:ascii="Times New Roman" w:eastAsia="Times New Roman" w:hAnsi="Times New Roman" w:cs="Times New Roman"/>
                <w:iCs/>
                <w:color w:val="000000" w:themeColor="text1"/>
                <w:sz w:val="24"/>
                <w:szCs w:val="24"/>
                <w:lang w:eastAsia="lv-LV"/>
              </w:rPr>
              <w:t xml:space="preserve">sēdes </w:t>
            </w:r>
            <w:r w:rsidR="00B14492">
              <w:rPr>
                <w:rFonts w:ascii="Times New Roman" w:eastAsia="Times New Roman" w:hAnsi="Times New Roman" w:cs="Times New Roman"/>
                <w:iCs/>
                <w:color w:val="000000" w:themeColor="text1"/>
                <w:sz w:val="24"/>
                <w:szCs w:val="24"/>
                <w:lang w:eastAsia="lv-LV"/>
              </w:rPr>
              <w:t>protokollēmumu</w:t>
            </w:r>
            <w:r w:rsidR="00500622">
              <w:rPr>
                <w:rFonts w:ascii="Times New Roman" w:eastAsia="Times New Roman" w:hAnsi="Times New Roman" w:cs="Times New Roman"/>
                <w:iCs/>
                <w:color w:val="000000" w:themeColor="text1"/>
                <w:sz w:val="24"/>
                <w:szCs w:val="24"/>
                <w:lang w:eastAsia="lv-LV"/>
              </w:rPr>
              <w:t xml:space="preserve"> Nr.38, </w:t>
            </w:r>
            <w:bookmarkStart w:id="1" w:name="_Hlk42770461"/>
            <w:r w:rsidR="00B14492" w:rsidRPr="00500622">
              <w:rPr>
                <w:rFonts w:ascii="Times New Roman" w:eastAsia="Times New Roman" w:hAnsi="Times New Roman" w:cs="Times New Roman"/>
                <w:iCs/>
                <w:color w:val="000000" w:themeColor="text1"/>
                <w:sz w:val="24"/>
                <w:szCs w:val="24"/>
                <w:lang w:eastAsia="lv-LV"/>
              </w:rPr>
              <w:t>49.§</w:t>
            </w:r>
            <w:r w:rsidR="00B14492">
              <w:rPr>
                <w:rFonts w:ascii="Times New Roman" w:eastAsia="Times New Roman" w:hAnsi="Times New Roman" w:cs="Times New Roman"/>
                <w:iCs/>
                <w:color w:val="000000" w:themeColor="text1"/>
                <w:sz w:val="24"/>
                <w:szCs w:val="24"/>
                <w:lang w:eastAsia="lv-LV"/>
              </w:rPr>
              <w:t xml:space="preserve">, </w:t>
            </w:r>
            <w:r w:rsidR="00B14492" w:rsidRPr="004C72A4">
              <w:rPr>
                <w:rFonts w:ascii="Times New Roman" w:eastAsia="Times New Roman" w:hAnsi="Times New Roman" w:cs="Times New Roman"/>
                <w:iCs/>
                <w:color w:val="000000" w:themeColor="text1"/>
                <w:sz w:val="24"/>
                <w:szCs w:val="24"/>
                <w:lang w:eastAsia="lv-LV"/>
              </w:rPr>
              <w:t>TA-1034</w:t>
            </w:r>
            <w:bookmarkEnd w:id="1"/>
            <w:r w:rsidR="00B14492">
              <w:rPr>
                <w:rFonts w:ascii="Times New Roman" w:eastAsia="Times New Roman" w:hAnsi="Times New Roman" w:cs="Times New Roman"/>
                <w:iCs/>
                <w:color w:val="000000" w:themeColor="text1"/>
                <w:sz w:val="24"/>
                <w:szCs w:val="24"/>
                <w:lang w:eastAsia="lv-LV"/>
              </w:rPr>
              <w:t xml:space="preserve">, </w:t>
            </w:r>
            <w:r w:rsidR="00500622">
              <w:rPr>
                <w:rFonts w:ascii="Times New Roman" w:eastAsia="Times New Roman" w:hAnsi="Times New Roman" w:cs="Times New Roman"/>
                <w:iCs/>
                <w:color w:val="000000" w:themeColor="text1"/>
                <w:sz w:val="24"/>
                <w:szCs w:val="24"/>
                <w:lang w:eastAsia="lv-LV"/>
              </w:rPr>
              <w:t>saskaņā ar kuru ir apstiprināts Finanšu ministrijas sagatavotais</w:t>
            </w:r>
            <w:r w:rsidR="00E91901">
              <w:rPr>
                <w:rFonts w:ascii="Times New Roman" w:eastAsia="Times New Roman" w:hAnsi="Times New Roman" w:cs="Times New Roman"/>
                <w:iCs/>
                <w:color w:val="000000" w:themeColor="text1"/>
                <w:sz w:val="24"/>
                <w:szCs w:val="24"/>
                <w:lang w:eastAsia="lv-LV"/>
              </w:rPr>
              <w:t xml:space="preserve"> </w:t>
            </w:r>
            <w:r w:rsidR="007D13F1">
              <w:rPr>
                <w:rFonts w:ascii="Times New Roman" w:eastAsia="Times New Roman" w:hAnsi="Times New Roman" w:cs="Times New Roman"/>
                <w:iCs/>
                <w:color w:val="000000" w:themeColor="text1"/>
                <w:sz w:val="24"/>
                <w:szCs w:val="24"/>
                <w:lang w:eastAsia="lv-LV"/>
              </w:rPr>
              <w:t>I</w:t>
            </w:r>
            <w:r w:rsidR="007D13F1" w:rsidRPr="004C72A4">
              <w:rPr>
                <w:rFonts w:ascii="Times New Roman" w:eastAsia="Times New Roman" w:hAnsi="Times New Roman" w:cs="Times New Roman"/>
                <w:iCs/>
                <w:color w:val="000000" w:themeColor="text1"/>
                <w:sz w:val="24"/>
                <w:szCs w:val="24"/>
                <w:lang w:eastAsia="lv-LV"/>
              </w:rPr>
              <w:t>nformatīv</w:t>
            </w:r>
            <w:r w:rsidR="007D13F1">
              <w:rPr>
                <w:rFonts w:ascii="Times New Roman" w:eastAsia="Times New Roman" w:hAnsi="Times New Roman" w:cs="Times New Roman"/>
                <w:iCs/>
                <w:color w:val="000000" w:themeColor="text1"/>
                <w:sz w:val="24"/>
                <w:szCs w:val="24"/>
                <w:lang w:eastAsia="lv-LV"/>
              </w:rPr>
              <w:t>ais</w:t>
            </w:r>
            <w:r w:rsidR="007D13F1" w:rsidRPr="004C72A4">
              <w:rPr>
                <w:rFonts w:ascii="Times New Roman" w:eastAsia="Times New Roman" w:hAnsi="Times New Roman" w:cs="Times New Roman"/>
                <w:iCs/>
                <w:color w:val="000000" w:themeColor="text1"/>
                <w:sz w:val="24"/>
                <w:szCs w:val="24"/>
                <w:lang w:eastAsia="lv-LV"/>
              </w:rPr>
              <w:t xml:space="preserve"> ziņojum</w:t>
            </w:r>
            <w:r w:rsidR="007D13F1">
              <w:rPr>
                <w:rFonts w:ascii="Times New Roman" w:eastAsia="Times New Roman" w:hAnsi="Times New Roman" w:cs="Times New Roman"/>
                <w:iCs/>
                <w:color w:val="000000" w:themeColor="text1"/>
                <w:sz w:val="24"/>
                <w:szCs w:val="24"/>
                <w:lang w:eastAsia="lv-LV"/>
              </w:rPr>
              <w:t>s</w:t>
            </w:r>
            <w:r w:rsidR="007D13F1" w:rsidRPr="004C72A4">
              <w:rPr>
                <w:rFonts w:ascii="Times New Roman" w:eastAsia="Times New Roman" w:hAnsi="Times New Roman" w:cs="Times New Roman"/>
                <w:iCs/>
                <w:color w:val="000000" w:themeColor="text1"/>
                <w:sz w:val="24"/>
                <w:szCs w:val="24"/>
                <w:lang w:eastAsia="lv-LV"/>
              </w:rPr>
              <w:t xml:space="preserve"> “Par pasākumiem Covid-19 krīzes pārvarēšanai un ekonomikas atlabšanai”</w:t>
            </w:r>
            <w:r w:rsidR="00B14492">
              <w:rPr>
                <w:rFonts w:ascii="Times New Roman" w:eastAsia="Times New Roman" w:hAnsi="Times New Roman" w:cs="Times New Roman"/>
                <w:iCs/>
                <w:color w:val="000000" w:themeColor="text1"/>
                <w:sz w:val="24"/>
                <w:szCs w:val="24"/>
                <w:lang w:eastAsia="lv-LV"/>
              </w:rPr>
              <w:t>.</w:t>
            </w:r>
          </w:p>
        </w:tc>
      </w:tr>
      <w:tr w:rsidR="00CD2F80" w:rsidRPr="00AB0A81" w14:paraId="5649DF26"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64DADCD"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14:paraId="69607D4F"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7A884A43" w14:textId="77777777" w:rsidR="00566EDD" w:rsidRPr="00AB0A81" w:rsidRDefault="00566EDD" w:rsidP="00C708D9">
            <w:pPr>
              <w:tabs>
                <w:tab w:val="left" w:pos="960"/>
              </w:tabs>
              <w:rPr>
                <w:rFonts w:ascii="Times New Roman" w:eastAsia="Times New Roman" w:hAnsi="Times New Roman" w:cs="Times New Roman"/>
                <w:sz w:val="24"/>
                <w:szCs w:val="24"/>
                <w:lang w:eastAsia="lv-LV"/>
              </w:rPr>
            </w:pPr>
          </w:p>
          <w:p w14:paraId="66B1CCE6" w14:textId="77777777" w:rsidR="00C708D9" w:rsidRPr="00AB0A81" w:rsidRDefault="00C708D9" w:rsidP="00C708D9">
            <w:pPr>
              <w:tabs>
                <w:tab w:val="left" w:pos="960"/>
              </w:tabs>
              <w:rPr>
                <w:rFonts w:ascii="Times New Roman" w:eastAsia="Times New Roman" w:hAnsi="Times New Roman" w:cs="Times New Roman"/>
                <w:sz w:val="24"/>
                <w:szCs w:val="24"/>
                <w:lang w:eastAsia="lv-LV"/>
              </w:rPr>
            </w:pPr>
          </w:p>
          <w:p w14:paraId="3915C25A" w14:textId="77777777" w:rsidR="00C708D9" w:rsidRDefault="00C708D9" w:rsidP="00C708D9">
            <w:pPr>
              <w:tabs>
                <w:tab w:val="left" w:pos="960"/>
              </w:tabs>
              <w:rPr>
                <w:rFonts w:ascii="Times New Roman" w:eastAsia="Times New Roman" w:hAnsi="Times New Roman" w:cs="Times New Roman"/>
                <w:sz w:val="24"/>
                <w:szCs w:val="24"/>
                <w:lang w:eastAsia="lv-LV"/>
              </w:rPr>
            </w:pPr>
          </w:p>
          <w:p w14:paraId="7A33A70E" w14:textId="77777777" w:rsidR="00FB3EBB" w:rsidRPr="00FB3EBB" w:rsidRDefault="00FB3EBB" w:rsidP="00FB3EBB">
            <w:pPr>
              <w:rPr>
                <w:rFonts w:ascii="Times New Roman" w:eastAsia="Times New Roman" w:hAnsi="Times New Roman" w:cs="Times New Roman"/>
                <w:sz w:val="24"/>
                <w:szCs w:val="24"/>
                <w:lang w:eastAsia="lv-LV"/>
              </w:rPr>
            </w:pPr>
          </w:p>
          <w:p w14:paraId="58C497D7" w14:textId="77777777" w:rsidR="00FB3EBB" w:rsidRPr="00FB3EBB" w:rsidRDefault="00FB3EBB" w:rsidP="00FB3EBB">
            <w:pPr>
              <w:rPr>
                <w:rFonts w:ascii="Times New Roman" w:eastAsia="Times New Roman" w:hAnsi="Times New Roman" w:cs="Times New Roman"/>
                <w:sz w:val="24"/>
                <w:szCs w:val="24"/>
                <w:lang w:eastAsia="lv-LV"/>
              </w:rPr>
            </w:pPr>
          </w:p>
          <w:p w14:paraId="2DAEC643" w14:textId="77777777" w:rsidR="00FB3EBB" w:rsidRPr="00FB3EBB" w:rsidRDefault="00FB3EBB" w:rsidP="00FB3EBB">
            <w:pPr>
              <w:rPr>
                <w:rFonts w:ascii="Times New Roman" w:eastAsia="Times New Roman" w:hAnsi="Times New Roman" w:cs="Times New Roman"/>
                <w:sz w:val="24"/>
                <w:szCs w:val="24"/>
                <w:lang w:eastAsia="lv-LV"/>
              </w:rPr>
            </w:pPr>
          </w:p>
          <w:p w14:paraId="78A6E040" w14:textId="77777777" w:rsidR="00FB3EBB" w:rsidRPr="00FB3EBB" w:rsidRDefault="00FB3EBB" w:rsidP="00FB3EBB">
            <w:pPr>
              <w:rPr>
                <w:rFonts w:ascii="Times New Roman" w:eastAsia="Times New Roman" w:hAnsi="Times New Roman" w:cs="Times New Roman"/>
                <w:sz w:val="24"/>
                <w:szCs w:val="24"/>
                <w:lang w:eastAsia="lv-LV"/>
              </w:rPr>
            </w:pPr>
          </w:p>
          <w:p w14:paraId="5A7396DA" w14:textId="1BF7FB3E" w:rsidR="00FB3EBB" w:rsidRPr="00FB3EBB" w:rsidRDefault="005B6863" w:rsidP="005B6863">
            <w:pPr>
              <w:tabs>
                <w:tab w:val="left" w:pos="852"/>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14:paraId="00476848" w14:textId="77777777" w:rsidR="00FB3EBB" w:rsidRPr="00FB3EBB" w:rsidRDefault="00FB3EBB" w:rsidP="00FB3EBB">
            <w:pPr>
              <w:rPr>
                <w:rFonts w:ascii="Times New Roman" w:eastAsia="Times New Roman" w:hAnsi="Times New Roman" w:cs="Times New Roman"/>
                <w:sz w:val="24"/>
                <w:szCs w:val="24"/>
                <w:lang w:eastAsia="lv-LV"/>
              </w:rPr>
            </w:pPr>
          </w:p>
          <w:p w14:paraId="7886F8D7" w14:textId="77777777" w:rsidR="00FB3EBB" w:rsidRPr="00FB3EBB" w:rsidRDefault="00FB3EBB" w:rsidP="00FB3EBB">
            <w:pPr>
              <w:rPr>
                <w:rFonts w:ascii="Times New Roman" w:eastAsia="Times New Roman" w:hAnsi="Times New Roman" w:cs="Times New Roman"/>
                <w:sz w:val="24"/>
                <w:szCs w:val="24"/>
                <w:lang w:eastAsia="lv-LV"/>
              </w:rPr>
            </w:pPr>
          </w:p>
          <w:p w14:paraId="7D0F793D" w14:textId="77777777" w:rsidR="00FB3EBB" w:rsidRPr="00FB3EBB" w:rsidRDefault="00FB3EBB" w:rsidP="00FB3EBB">
            <w:pPr>
              <w:rPr>
                <w:rFonts w:ascii="Times New Roman" w:eastAsia="Times New Roman" w:hAnsi="Times New Roman" w:cs="Times New Roman"/>
                <w:sz w:val="24"/>
                <w:szCs w:val="24"/>
                <w:lang w:eastAsia="lv-LV"/>
              </w:rPr>
            </w:pPr>
          </w:p>
          <w:p w14:paraId="4D118D68" w14:textId="6D053D59" w:rsidR="00FB3EBB" w:rsidRPr="00FB3EBB" w:rsidRDefault="00FB3EBB" w:rsidP="00FB3EBB">
            <w:pPr>
              <w:jc w:val="center"/>
              <w:rPr>
                <w:rFonts w:ascii="Times New Roman" w:eastAsia="Times New Roman" w:hAnsi="Times New Roman" w:cs="Times New Roman"/>
                <w:sz w:val="24"/>
                <w:szCs w:val="24"/>
                <w:lang w:eastAsia="lv-LV"/>
              </w:rPr>
            </w:pPr>
          </w:p>
        </w:tc>
        <w:tc>
          <w:tcPr>
            <w:tcW w:w="3291" w:type="pct"/>
            <w:tcBorders>
              <w:top w:val="outset" w:sz="6" w:space="0" w:color="auto"/>
              <w:left w:val="outset" w:sz="6" w:space="0" w:color="auto"/>
              <w:bottom w:val="outset" w:sz="6" w:space="0" w:color="auto"/>
              <w:right w:val="outset" w:sz="6" w:space="0" w:color="auto"/>
            </w:tcBorders>
            <w:hideMark/>
          </w:tcPr>
          <w:p w14:paraId="2B4DE3D4" w14:textId="20F14484" w:rsidR="00EA3E5B" w:rsidRPr="00F730A0" w:rsidRDefault="00CD2F80" w:rsidP="00EA3E5B">
            <w:pPr>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lastRenderedPageBreak/>
              <w:t>Noteikumu projekt</w:t>
            </w:r>
            <w:r w:rsidR="00B925D0" w:rsidRPr="00F730A0">
              <w:rPr>
                <w:rFonts w:ascii="Times New Roman" w:hAnsi="Times New Roman" w:cs="Times New Roman"/>
                <w:iCs/>
                <w:color w:val="000000" w:themeColor="text1"/>
                <w:sz w:val="24"/>
                <w:szCs w:val="24"/>
              </w:rPr>
              <w:t xml:space="preserve">s paredz </w:t>
            </w:r>
            <w:r w:rsidR="004C72A4" w:rsidRPr="00F730A0">
              <w:rPr>
                <w:rFonts w:ascii="Times New Roman" w:hAnsi="Times New Roman" w:cs="Times New Roman"/>
                <w:iCs/>
                <w:color w:val="000000" w:themeColor="text1"/>
                <w:sz w:val="24"/>
                <w:szCs w:val="24"/>
              </w:rPr>
              <w:t>papildināt</w:t>
            </w:r>
            <w:r w:rsidRPr="00F730A0">
              <w:rPr>
                <w:rFonts w:ascii="Times New Roman" w:hAnsi="Times New Roman" w:cs="Times New Roman"/>
                <w:iCs/>
                <w:color w:val="000000" w:themeColor="text1"/>
                <w:sz w:val="24"/>
                <w:szCs w:val="24"/>
              </w:rPr>
              <w:t xml:space="preserve"> Ministru kabineta 2016. gada 15.</w:t>
            </w:r>
            <w:r w:rsidR="00615524" w:rsidRPr="00F730A0">
              <w:rPr>
                <w:rFonts w:ascii="Times New Roman" w:hAnsi="Times New Roman" w:cs="Times New Roman"/>
                <w:iCs/>
                <w:color w:val="000000" w:themeColor="text1"/>
                <w:sz w:val="24"/>
                <w:szCs w:val="24"/>
              </w:rPr>
              <w:t> </w:t>
            </w:r>
            <w:r w:rsidRPr="00F730A0">
              <w:rPr>
                <w:rFonts w:ascii="Times New Roman" w:hAnsi="Times New Roman" w:cs="Times New Roman"/>
                <w:iCs/>
                <w:color w:val="000000" w:themeColor="text1"/>
                <w:sz w:val="24"/>
                <w:szCs w:val="24"/>
              </w:rPr>
              <w:t>marta noteikum</w:t>
            </w:r>
            <w:r w:rsidR="00D76C7F" w:rsidRPr="00F730A0">
              <w:rPr>
                <w:rFonts w:ascii="Times New Roman" w:hAnsi="Times New Roman" w:cs="Times New Roman"/>
                <w:iCs/>
                <w:color w:val="000000" w:themeColor="text1"/>
                <w:sz w:val="24"/>
                <w:szCs w:val="24"/>
              </w:rPr>
              <w:t>u</w:t>
            </w:r>
            <w:r w:rsidRPr="00F730A0">
              <w:rPr>
                <w:rFonts w:ascii="Times New Roman" w:hAnsi="Times New Roman" w:cs="Times New Roman"/>
                <w:iCs/>
                <w:color w:val="000000" w:themeColor="text1"/>
                <w:sz w:val="24"/>
                <w:szCs w:val="24"/>
              </w:rPr>
              <w:t>s Nr. 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(turpmāk – MK noteikumi Nr. 160)</w:t>
            </w:r>
            <w:r w:rsidR="00B925D0" w:rsidRPr="00F730A0">
              <w:rPr>
                <w:rFonts w:ascii="Times New Roman" w:hAnsi="Times New Roman" w:cs="Times New Roman"/>
                <w:iCs/>
                <w:color w:val="000000" w:themeColor="text1"/>
                <w:sz w:val="24"/>
                <w:szCs w:val="24"/>
              </w:rPr>
              <w:t>,</w:t>
            </w:r>
            <w:r w:rsidRPr="00F730A0">
              <w:rPr>
                <w:rFonts w:ascii="Times New Roman" w:hAnsi="Times New Roman" w:cs="Times New Roman"/>
                <w:iCs/>
                <w:color w:val="000000" w:themeColor="text1"/>
                <w:sz w:val="24"/>
                <w:szCs w:val="24"/>
              </w:rPr>
              <w:t xml:space="preserve"> </w:t>
            </w:r>
            <w:r w:rsidR="006316B6" w:rsidRPr="00F730A0">
              <w:rPr>
                <w:rFonts w:ascii="Times New Roman" w:hAnsi="Times New Roman" w:cs="Times New Roman"/>
                <w:iCs/>
                <w:color w:val="000000" w:themeColor="text1"/>
                <w:sz w:val="24"/>
                <w:szCs w:val="24"/>
              </w:rPr>
              <w:t>nosakot</w:t>
            </w:r>
            <w:r w:rsidR="00EA3E5B" w:rsidRPr="00F730A0">
              <w:rPr>
                <w:rFonts w:ascii="Times New Roman" w:hAnsi="Times New Roman" w:cs="Times New Roman"/>
                <w:iCs/>
                <w:color w:val="000000" w:themeColor="text1"/>
                <w:sz w:val="24"/>
                <w:szCs w:val="24"/>
              </w:rPr>
              <w:t>:</w:t>
            </w:r>
          </w:p>
          <w:p w14:paraId="0CBC9021" w14:textId="0F9E49C3" w:rsidR="006316B6" w:rsidRPr="00F730A0" w:rsidRDefault="006316B6" w:rsidP="00EA3E5B">
            <w:pPr>
              <w:pStyle w:val="ListParagraph"/>
              <w:numPr>
                <w:ilvl w:val="0"/>
                <w:numId w:val="14"/>
              </w:numPr>
              <w:ind w:left="0" w:firstLine="363"/>
              <w:jc w:val="both"/>
              <w:rPr>
                <w:b/>
                <w:bCs/>
                <w:i/>
                <w:color w:val="000000" w:themeColor="text1"/>
                <w:sz w:val="24"/>
                <w:szCs w:val="24"/>
                <w:u w:val="single"/>
              </w:rPr>
            </w:pPr>
            <w:r w:rsidRPr="00F730A0">
              <w:rPr>
                <w:b/>
                <w:bCs/>
                <w:i/>
                <w:color w:val="000000" w:themeColor="text1"/>
                <w:sz w:val="24"/>
                <w:szCs w:val="24"/>
                <w:u w:val="single"/>
              </w:rPr>
              <w:t xml:space="preserve">papildu </w:t>
            </w:r>
            <w:r w:rsidR="00C86F48">
              <w:rPr>
                <w:b/>
                <w:bCs/>
                <w:i/>
                <w:color w:val="000000" w:themeColor="text1"/>
                <w:sz w:val="24"/>
                <w:szCs w:val="24"/>
                <w:u w:val="single"/>
              </w:rPr>
              <w:t xml:space="preserve">finansējumu </w:t>
            </w:r>
            <w:r w:rsidR="004C72A4" w:rsidRPr="00F730A0">
              <w:rPr>
                <w:b/>
                <w:bCs/>
                <w:i/>
                <w:color w:val="000000" w:themeColor="text1"/>
                <w:sz w:val="24"/>
                <w:szCs w:val="24"/>
                <w:u w:val="single"/>
              </w:rPr>
              <w:t>3</w:t>
            </w:r>
            <w:r w:rsidRPr="00F730A0">
              <w:rPr>
                <w:b/>
                <w:bCs/>
                <w:i/>
                <w:color w:val="000000" w:themeColor="text1"/>
                <w:sz w:val="24"/>
                <w:szCs w:val="24"/>
                <w:u w:val="single"/>
              </w:rPr>
              <w:t>5 000 000 euro apmērā daudzdzīvokļu dzīvojamo māju energoefektivitātes paaugstināšanai.</w:t>
            </w:r>
          </w:p>
          <w:p w14:paraId="7FF407CE" w14:textId="1EFEEEB3" w:rsidR="00E971B0" w:rsidRPr="00F730A0" w:rsidRDefault="00F75FB9" w:rsidP="008B6F86">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 xml:space="preserve">Atbalsts daudzdzīvokļu dzīvojamo māju energoefektivitātes paaugstināšanai tiek sniegts 4.2.1.1. specifiskā atbalsta mērķa pasākuma "Veicināt energoefektivitātes paaugstināšanu dzīvojamās ēkās" (turpmāk – 4.2.1.1. pasākums) ietvaros. Ņemot vērā lielo pieprasījumu, 2020. gada 11. janvārī akciju sabiedrība “Attīstības finanšu institūcija Altum” (turpmāk – </w:t>
            </w:r>
            <w:r w:rsidR="00B577DF" w:rsidRPr="00F730A0">
              <w:rPr>
                <w:rFonts w:ascii="Times New Roman" w:hAnsi="Times New Roman" w:cs="Times New Roman"/>
                <w:iCs/>
                <w:color w:val="000000" w:themeColor="text1"/>
                <w:sz w:val="24"/>
                <w:szCs w:val="24"/>
              </w:rPr>
              <w:t>sabiedrība “</w:t>
            </w:r>
            <w:r w:rsidRPr="00F730A0">
              <w:rPr>
                <w:rFonts w:ascii="Times New Roman" w:hAnsi="Times New Roman" w:cs="Times New Roman"/>
                <w:iCs/>
                <w:color w:val="000000" w:themeColor="text1"/>
                <w:sz w:val="24"/>
                <w:szCs w:val="24"/>
              </w:rPr>
              <w:t>Altum</w:t>
            </w:r>
            <w:r w:rsidR="00B577DF" w:rsidRPr="00F730A0">
              <w:rPr>
                <w:rFonts w:ascii="Times New Roman" w:hAnsi="Times New Roman" w:cs="Times New Roman"/>
                <w:iCs/>
                <w:color w:val="000000" w:themeColor="text1"/>
                <w:sz w:val="24"/>
                <w:szCs w:val="24"/>
              </w:rPr>
              <w:t>”</w:t>
            </w:r>
            <w:r w:rsidRPr="00F730A0">
              <w:rPr>
                <w:rFonts w:ascii="Times New Roman" w:hAnsi="Times New Roman" w:cs="Times New Roman"/>
                <w:iCs/>
                <w:color w:val="000000" w:themeColor="text1"/>
                <w:sz w:val="24"/>
                <w:szCs w:val="24"/>
              </w:rPr>
              <w:t xml:space="preserve">), kas nodrošina 4.2.1.1. pasākuma īstenošanu, pieteikumu pieņemšanu </w:t>
            </w:r>
            <w:r w:rsidRPr="00F730A0">
              <w:rPr>
                <w:rFonts w:ascii="Times New Roman" w:hAnsi="Times New Roman" w:cs="Times New Roman"/>
                <w:iCs/>
                <w:color w:val="000000" w:themeColor="text1"/>
                <w:sz w:val="24"/>
                <w:szCs w:val="24"/>
              </w:rPr>
              <w:lastRenderedPageBreak/>
              <w:t>pārtrauca.</w:t>
            </w:r>
            <w:r w:rsidR="0065018B" w:rsidRPr="00F730A0">
              <w:rPr>
                <w:rFonts w:ascii="Times New Roman" w:hAnsi="Times New Roman" w:cs="Times New Roman"/>
              </w:rPr>
              <w:t xml:space="preserve"> </w:t>
            </w:r>
            <w:r w:rsidR="0065018B" w:rsidRPr="00F730A0">
              <w:rPr>
                <w:rFonts w:ascii="Times New Roman" w:hAnsi="Times New Roman" w:cs="Times New Roman"/>
                <w:sz w:val="24"/>
                <w:szCs w:val="24"/>
              </w:rPr>
              <w:t>4.2.1.1. pasākumā</w:t>
            </w:r>
            <w:r w:rsidR="0065018B" w:rsidRPr="00F730A0">
              <w:rPr>
                <w:rFonts w:ascii="Times New Roman" w:hAnsi="Times New Roman" w:cs="Times New Roman"/>
                <w:iCs/>
                <w:color w:val="000000" w:themeColor="text1"/>
                <w:sz w:val="24"/>
                <w:szCs w:val="24"/>
              </w:rPr>
              <w:t xml:space="preserve"> tika iesniegts 821 projektu pieteikums par provizorisko summu 375 miljoni </w:t>
            </w:r>
            <w:r w:rsidR="0065018B" w:rsidRPr="00F730A0">
              <w:rPr>
                <w:rFonts w:ascii="Times New Roman" w:hAnsi="Times New Roman" w:cs="Times New Roman"/>
                <w:i/>
                <w:color w:val="000000" w:themeColor="text1"/>
                <w:sz w:val="24"/>
                <w:szCs w:val="24"/>
              </w:rPr>
              <w:t>euro</w:t>
            </w:r>
            <w:r w:rsidR="0065018B" w:rsidRPr="00F730A0">
              <w:rPr>
                <w:rFonts w:ascii="Times New Roman" w:hAnsi="Times New Roman" w:cs="Times New Roman"/>
                <w:iCs/>
                <w:color w:val="000000" w:themeColor="text1"/>
                <w:sz w:val="24"/>
                <w:szCs w:val="24"/>
              </w:rPr>
              <w:t>.</w:t>
            </w:r>
          </w:p>
          <w:p w14:paraId="0870D45B" w14:textId="49F2BAC6" w:rsidR="001A15DA" w:rsidRPr="00F730A0" w:rsidRDefault="00F75FB9" w:rsidP="008B6F86">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Ekonomikas ministrijas ieskatā</w:t>
            </w:r>
            <w:r w:rsidR="00E971B0" w:rsidRPr="00F730A0">
              <w:rPr>
                <w:rFonts w:ascii="Times New Roman" w:hAnsi="Times New Roman" w:cs="Times New Roman"/>
                <w:iCs/>
                <w:color w:val="000000" w:themeColor="text1"/>
                <w:sz w:val="24"/>
                <w:szCs w:val="24"/>
              </w:rPr>
              <w:t xml:space="preserve"> 4.2.1.1. pasākums ir</w:t>
            </w:r>
            <w:r w:rsidR="001A15DA" w:rsidRPr="00F730A0">
              <w:rPr>
                <w:rFonts w:ascii="Times New Roman" w:hAnsi="Times New Roman" w:cs="Times New Roman"/>
                <w:iCs/>
                <w:color w:val="000000" w:themeColor="text1"/>
                <w:sz w:val="24"/>
                <w:szCs w:val="24"/>
              </w:rPr>
              <w:t>:</w:t>
            </w:r>
          </w:p>
          <w:p w14:paraId="69866576" w14:textId="48F739B2" w:rsidR="001A15DA" w:rsidRPr="00F730A0" w:rsidRDefault="00F75FB9" w:rsidP="001A15DA">
            <w:pPr>
              <w:pStyle w:val="ListParagraph"/>
              <w:numPr>
                <w:ilvl w:val="0"/>
                <w:numId w:val="15"/>
              </w:numPr>
              <w:ind w:left="504"/>
              <w:jc w:val="both"/>
              <w:rPr>
                <w:iCs/>
                <w:color w:val="000000" w:themeColor="text1"/>
                <w:sz w:val="24"/>
                <w:szCs w:val="24"/>
              </w:rPr>
            </w:pPr>
            <w:r w:rsidRPr="00F730A0">
              <w:rPr>
                <w:iCs/>
                <w:color w:val="000000" w:themeColor="text1"/>
                <w:sz w:val="24"/>
                <w:szCs w:val="24"/>
              </w:rPr>
              <w:t>sekmējis ekonomisko aktivitāti reģionos, jo līdz šim visaktīvāk 4.2.1.1. pasākumā projekti ir iesniegti no Latvijas reģioniem</w:t>
            </w:r>
            <w:r w:rsidR="001A15DA" w:rsidRPr="00F730A0">
              <w:rPr>
                <w:iCs/>
                <w:color w:val="000000" w:themeColor="text1"/>
                <w:sz w:val="24"/>
                <w:szCs w:val="24"/>
              </w:rPr>
              <w:t>;</w:t>
            </w:r>
          </w:p>
          <w:p w14:paraId="7393D2B5" w14:textId="6B69CEFF" w:rsidR="00F75FB9" w:rsidRPr="00F730A0" w:rsidRDefault="00E971B0" w:rsidP="001A15DA">
            <w:pPr>
              <w:pStyle w:val="ListParagraph"/>
              <w:numPr>
                <w:ilvl w:val="0"/>
                <w:numId w:val="15"/>
              </w:numPr>
              <w:ind w:left="504"/>
              <w:jc w:val="both"/>
              <w:rPr>
                <w:iCs/>
                <w:color w:val="000000" w:themeColor="text1"/>
                <w:sz w:val="24"/>
                <w:szCs w:val="24"/>
              </w:rPr>
            </w:pPr>
            <w:r w:rsidRPr="00F730A0">
              <w:rPr>
                <w:iCs/>
                <w:color w:val="000000" w:themeColor="text1"/>
                <w:sz w:val="24"/>
                <w:szCs w:val="24"/>
              </w:rPr>
              <w:t xml:space="preserve">nodrošinājis efektīvu projektu īstenošanu, jo </w:t>
            </w:r>
            <w:r w:rsidR="00F75FB9" w:rsidRPr="00F730A0">
              <w:rPr>
                <w:iCs/>
                <w:color w:val="000000" w:themeColor="text1"/>
                <w:sz w:val="24"/>
                <w:szCs w:val="24"/>
              </w:rPr>
              <w:t>līdz šim pabeigtie projekti uzrāda būtisku enerģijas patēriņa samazinājumu. Proti, ja pirms mājas atjaunošanas vidējais siltumenerģijas enerģijas patēriņš bija 165 kWh/m</w:t>
            </w:r>
            <w:r w:rsidR="00F75FB9" w:rsidRPr="00F730A0">
              <w:rPr>
                <w:iCs/>
                <w:color w:val="000000" w:themeColor="text1"/>
                <w:sz w:val="24"/>
                <w:szCs w:val="24"/>
                <w:vertAlign w:val="superscript"/>
              </w:rPr>
              <w:t>2</w:t>
            </w:r>
            <w:r w:rsidR="00F75FB9" w:rsidRPr="00F730A0">
              <w:rPr>
                <w:iCs/>
                <w:color w:val="000000" w:themeColor="text1"/>
                <w:sz w:val="24"/>
                <w:szCs w:val="24"/>
              </w:rPr>
              <w:t xml:space="preserve"> gadā, tad pēc atjaunošanas darbiem tas vidēji ir par 67% zemāks jeb 54 kWh/m</w:t>
            </w:r>
            <w:r w:rsidR="00F75FB9" w:rsidRPr="00F730A0">
              <w:rPr>
                <w:iCs/>
                <w:color w:val="000000" w:themeColor="text1"/>
                <w:sz w:val="24"/>
                <w:szCs w:val="24"/>
                <w:vertAlign w:val="superscript"/>
              </w:rPr>
              <w:t>2</w:t>
            </w:r>
            <w:r w:rsidR="00F75FB9" w:rsidRPr="00F730A0">
              <w:rPr>
                <w:iCs/>
                <w:color w:val="000000" w:themeColor="text1"/>
                <w:sz w:val="24"/>
                <w:szCs w:val="24"/>
              </w:rPr>
              <w:t xml:space="preserve"> gadā, kas ir būtisks ietaupījums arī iedzīvotāju izmaksām</w:t>
            </w:r>
            <w:r w:rsidR="001A15DA" w:rsidRPr="00F730A0">
              <w:rPr>
                <w:iCs/>
                <w:color w:val="000000" w:themeColor="text1"/>
                <w:sz w:val="24"/>
                <w:szCs w:val="24"/>
              </w:rPr>
              <w:t>;</w:t>
            </w:r>
          </w:p>
          <w:p w14:paraId="74DAF9EB" w14:textId="2161ACED" w:rsidR="001A15DA" w:rsidRPr="00F730A0" w:rsidRDefault="00E971B0" w:rsidP="001A15DA">
            <w:pPr>
              <w:pStyle w:val="ListParagraph"/>
              <w:numPr>
                <w:ilvl w:val="0"/>
                <w:numId w:val="15"/>
              </w:numPr>
              <w:ind w:left="504"/>
              <w:jc w:val="both"/>
              <w:rPr>
                <w:iCs/>
                <w:color w:val="000000" w:themeColor="text1"/>
                <w:sz w:val="24"/>
                <w:szCs w:val="24"/>
              </w:rPr>
            </w:pPr>
            <w:r w:rsidRPr="00F730A0">
              <w:rPr>
                <w:iCs/>
                <w:color w:val="000000" w:themeColor="text1"/>
                <w:sz w:val="24"/>
                <w:szCs w:val="24"/>
              </w:rPr>
              <w:t xml:space="preserve">būtisks un vajadzīgs atbalsts </w:t>
            </w:r>
            <w:r w:rsidR="001A15DA" w:rsidRPr="00F730A0">
              <w:rPr>
                <w:iCs/>
                <w:color w:val="000000" w:themeColor="text1"/>
                <w:sz w:val="24"/>
                <w:szCs w:val="24"/>
              </w:rPr>
              <w:t>iedzīvotāj</w:t>
            </w:r>
            <w:r w:rsidRPr="00F730A0">
              <w:rPr>
                <w:iCs/>
                <w:color w:val="000000" w:themeColor="text1"/>
                <w:sz w:val="24"/>
                <w:szCs w:val="24"/>
              </w:rPr>
              <w:t>iem, jo</w:t>
            </w:r>
            <w:r w:rsidR="001A15DA" w:rsidRPr="00F730A0">
              <w:rPr>
                <w:iCs/>
                <w:color w:val="000000" w:themeColor="text1"/>
                <w:sz w:val="24"/>
                <w:szCs w:val="24"/>
              </w:rPr>
              <w:t xml:space="preserve"> interese par daudzdzīvokļu dzīvojamo māju energoefektivitātes paaugstināšanas pasākumu īstenošanu joprojām ir ļoti augsta;</w:t>
            </w:r>
          </w:p>
          <w:p w14:paraId="1552404E" w14:textId="3846C48D" w:rsidR="001A15DA" w:rsidRPr="00F730A0" w:rsidRDefault="0065018B" w:rsidP="001A15DA">
            <w:pPr>
              <w:pStyle w:val="ListParagraph"/>
              <w:numPr>
                <w:ilvl w:val="0"/>
                <w:numId w:val="15"/>
              </w:numPr>
              <w:ind w:left="504"/>
              <w:jc w:val="both"/>
              <w:rPr>
                <w:iCs/>
                <w:color w:val="000000" w:themeColor="text1"/>
                <w:sz w:val="24"/>
                <w:szCs w:val="24"/>
              </w:rPr>
            </w:pPr>
            <w:r w:rsidRPr="00F730A0">
              <w:rPr>
                <w:iCs/>
                <w:color w:val="000000" w:themeColor="text1"/>
                <w:sz w:val="24"/>
                <w:szCs w:val="24"/>
              </w:rPr>
              <w:t>ievērojams investīciju avots būvniecības nozarei.</w:t>
            </w:r>
          </w:p>
          <w:p w14:paraId="203E6651" w14:textId="173AC101" w:rsidR="00355D8F" w:rsidRPr="00F730A0" w:rsidRDefault="004C72A4" w:rsidP="008B6F86">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D</w:t>
            </w:r>
            <w:r w:rsidR="00F75FB9" w:rsidRPr="00F730A0">
              <w:rPr>
                <w:rFonts w:ascii="Times New Roman" w:hAnsi="Times New Roman" w:cs="Times New Roman"/>
                <w:iCs/>
                <w:color w:val="000000" w:themeColor="text1"/>
                <w:sz w:val="24"/>
                <w:szCs w:val="24"/>
              </w:rPr>
              <w:t>audzdzīvokļu dzīvojamo māju</w:t>
            </w:r>
            <w:r w:rsidR="006316B6" w:rsidRPr="00F730A0">
              <w:rPr>
                <w:rFonts w:ascii="Times New Roman" w:hAnsi="Times New Roman" w:cs="Times New Roman"/>
                <w:iCs/>
                <w:color w:val="000000" w:themeColor="text1"/>
                <w:sz w:val="24"/>
                <w:szCs w:val="24"/>
              </w:rPr>
              <w:t xml:space="preserve"> energoefektivitātes </w:t>
            </w:r>
            <w:r w:rsidR="00B53C4A" w:rsidRPr="00F730A0">
              <w:rPr>
                <w:rFonts w:ascii="Times New Roman" w:hAnsi="Times New Roman" w:cs="Times New Roman"/>
                <w:iCs/>
                <w:color w:val="000000" w:themeColor="text1"/>
                <w:sz w:val="24"/>
                <w:szCs w:val="24"/>
              </w:rPr>
              <w:t>uzlabošanas</w:t>
            </w:r>
            <w:r w:rsidR="006316B6" w:rsidRPr="00F730A0">
              <w:rPr>
                <w:rFonts w:ascii="Times New Roman" w:hAnsi="Times New Roman" w:cs="Times New Roman"/>
                <w:iCs/>
                <w:color w:val="000000" w:themeColor="text1"/>
                <w:sz w:val="24"/>
                <w:szCs w:val="24"/>
              </w:rPr>
              <w:t xml:space="preserve"> pasākumi var kļūt par efektīvu instrumentu ekonomiskās aktivitātes atjaunošanai, palīdzot uzņēmējiem un Latvijas tautsaimniecībai pārvarēt Covid-19 pandēmijas radītās krīzes sekas, kā arī iedzīvotājiem palīdzēt sakārtot dzīvojamo fondu un mazināt apkures izdevumus.</w:t>
            </w:r>
            <w:r w:rsidR="00355D8F" w:rsidRPr="00F730A0">
              <w:rPr>
                <w:rFonts w:ascii="Times New Roman" w:hAnsi="Times New Roman" w:cs="Times New Roman"/>
                <w:iCs/>
                <w:color w:val="000000" w:themeColor="text1"/>
                <w:sz w:val="24"/>
                <w:szCs w:val="24"/>
              </w:rPr>
              <w:t xml:space="preserve"> </w:t>
            </w:r>
          </w:p>
          <w:p w14:paraId="795C87B9" w14:textId="2717457C" w:rsidR="00FE0850" w:rsidRPr="00F730A0" w:rsidRDefault="00355D8F" w:rsidP="00FE0850">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 xml:space="preserve"> </w:t>
            </w:r>
            <w:r w:rsidR="008B6F86" w:rsidRPr="00F730A0">
              <w:rPr>
                <w:rFonts w:ascii="Times New Roman" w:hAnsi="Times New Roman" w:cs="Times New Roman"/>
                <w:iCs/>
                <w:color w:val="000000" w:themeColor="text1"/>
                <w:sz w:val="24"/>
                <w:szCs w:val="24"/>
              </w:rPr>
              <w:t xml:space="preserve">Ņemot vērā </w:t>
            </w:r>
            <w:r w:rsidR="00F75FB9" w:rsidRPr="00F730A0">
              <w:rPr>
                <w:rFonts w:ascii="Times New Roman" w:hAnsi="Times New Roman" w:cs="Times New Roman"/>
                <w:iCs/>
                <w:color w:val="000000" w:themeColor="text1"/>
                <w:sz w:val="24"/>
                <w:szCs w:val="24"/>
              </w:rPr>
              <w:t xml:space="preserve">augstāk minēto, </w:t>
            </w:r>
            <w:r w:rsidR="00326B2C">
              <w:rPr>
                <w:rFonts w:ascii="Times New Roman" w:hAnsi="Times New Roman" w:cs="Times New Roman"/>
                <w:iCs/>
                <w:color w:val="000000" w:themeColor="text1"/>
                <w:sz w:val="24"/>
                <w:szCs w:val="24"/>
              </w:rPr>
              <w:t xml:space="preserve">un </w:t>
            </w:r>
            <w:r w:rsidR="004C72A4" w:rsidRPr="00F730A0">
              <w:rPr>
                <w:rFonts w:ascii="Times New Roman" w:hAnsi="Times New Roman" w:cs="Times New Roman"/>
                <w:iCs/>
                <w:color w:val="000000" w:themeColor="text1"/>
                <w:sz w:val="24"/>
                <w:szCs w:val="24"/>
              </w:rPr>
              <w:t xml:space="preserve">saskaņā ar </w:t>
            </w:r>
            <w:r w:rsidR="00500622" w:rsidRPr="00F730A0">
              <w:rPr>
                <w:rFonts w:ascii="Times New Roman" w:hAnsi="Times New Roman" w:cs="Times New Roman"/>
                <w:iCs/>
                <w:color w:val="000000" w:themeColor="text1"/>
                <w:sz w:val="24"/>
                <w:szCs w:val="24"/>
              </w:rPr>
              <w:t>2020.gada 2.jūnija Ministru kabineta sēdē apstiprināto Informatīvo ziņojumu “Par pasākumiem Covid-19 krīzes pārvarēšanai un ekonomikas atlabšanai” (prot.Nr.38, 49.§, TA-1034</w:t>
            </w:r>
            <w:r w:rsidR="00D91AD0" w:rsidRPr="00F730A0">
              <w:rPr>
                <w:rFonts w:ascii="Times New Roman" w:hAnsi="Times New Roman" w:cs="Times New Roman"/>
                <w:iCs/>
                <w:color w:val="000000" w:themeColor="text1"/>
                <w:sz w:val="24"/>
                <w:szCs w:val="24"/>
              </w:rPr>
              <w:t>),</w:t>
            </w:r>
            <w:r w:rsidR="004C72A4" w:rsidRPr="00F730A0">
              <w:rPr>
                <w:rFonts w:ascii="Times New Roman" w:hAnsi="Times New Roman" w:cs="Times New Roman"/>
                <w:iCs/>
                <w:color w:val="000000" w:themeColor="text1"/>
                <w:sz w:val="24"/>
                <w:szCs w:val="24"/>
              </w:rPr>
              <w:t xml:space="preserve"> Finanšu ministrija </w:t>
            </w:r>
            <w:r w:rsidR="00D91AD0" w:rsidRPr="00F730A0">
              <w:rPr>
                <w:rFonts w:ascii="Times New Roman" w:hAnsi="Times New Roman" w:cs="Times New Roman"/>
                <w:iCs/>
                <w:color w:val="000000" w:themeColor="text1"/>
                <w:sz w:val="24"/>
                <w:szCs w:val="24"/>
              </w:rPr>
              <w:t>ir ie</w:t>
            </w:r>
            <w:r w:rsidR="004C72A4" w:rsidRPr="00F730A0">
              <w:rPr>
                <w:rFonts w:ascii="Times New Roman" w:hAnsi="Times New Roman" w:cs="Times New Roman"/>
                <w:iCs/>
                <w:color w:val="000000" w:themeColor="text1"/>
                <w:sz w:val="24"/>
                <w:szCs w:val="24"/>
              </w:rPr>
              <w:t>rosin</w:t>
            </w:r>
            <w:r w:rsidR="00D91AD0" w:rsidRPr="00F730A0">
              <w:rPr>
                <w:rFonts w:ascii="Times New Roman" w:hAnsi="Times New Roman" w:cs="Times New Roman"/>
                <w:iCs/>
                <w:color w:val="000000" w:themeColor="text1"/>
                <w:sz w:val="24"/>
                <w:szCs w:val="24"/>
              </w:rPr>
              <w:t>ājusi</w:t>
            </w:r>
            <w:r w:rsidR="004C72A4" w:rsidRPr="00F730A0">
              <w:rPr>
                <w:rFonts w:ascii="Times New Roman" w:hAnsi="Times New Roman" w:cs="Times New Roman"/>
                <w:iCs/>
                <w:color w:val="000000" w:themeColor="text1"/>
                <w:sz w:val="24"/>
                <w:szCs w:val="24"/>
              </w:rPr>
              <w:t xml:space="preserve"> piešķirt virssaistības prioritārajās jomā</w:t>
            </w:r>
            <w:r w:rsidR="00D91AD0" w:rsidRPr="00F730A0">
              <w:rPr>
                <w:rFonts w:ascii="Times New Roman" w:hAnsi="Times New Roman" w:cs="Times New Roman"/>
                <w:iCs/>
                <w:color w:val="000000" w:themeColor="text1"/>
                <w:sz w:val="24"/>
                <w:szCs w:val="24"/>
              </w:rPr>
              <w:t xml:space="preserve">s, t.sk., energoefektivitātes uzlabošanai, ievērojot </w:t>
            </w:r>
            <w:r w:rsidR="004C72A4" w:rsidRPr="00F730A0">
              <w:rPr>
                <w:rFonts w:ascii="Times New Roman" w:hAnsi="Times New Roman" w:cs="Times New Roman"/>
                <w:iCs/>
                <w:color w:val="000000" w:themeColor="text1"/>
                <w:sz w:val="24"/>
                <w:szCs w:val="24"/>
              </w:rPr>
              <w:t>ekonomikas atlabšanas vajadzības un investīciju efektivitāti</w:t>
            </w:r>
            <w:r w:rsidR="00D91AD0" w:rsidRPr="00F730A0">
              <w:rPr>
                <w:rFonts w:ascii="Times New Roman" w:hAnsi="Times New Roman" w:cs="Times New Roman"/>
                <w:iCs/>
                <w:color w:val="000000" w:themeColor="text1"/>
                <w:sz w:val="24"/>
                <w:szCs w:val="24"/>
              </w:rPr>
              <w:t>.</w:t>
            </w:r>
          </w:p>
          <w:p w14:paraId="6E4A50C2" w14:textId="22E6901B" w:rsidR="00D91AD0" w:rsidRPr="00F730A0" w:rsidRDefault="00D91AD0" w:rsidP="00A578A9">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Atbilstoši minētā Informatīvā ziņojuma</w:t>
            </w:r>
            <w:r w:rsidR="001E7E40">
              <w:rPr>
                <w:rFonts w:ascii="Times New Roman" w:hAnsi="Times New Roman" w:cs="Times New Roman"/>
                <w:iCs/>
                <w:color w:val="000000" w:themeColor="text1"/>
                <w:sz w:val="24"/>
                <w:szCs w:val="24"/>
              </w:rPr>
              <w:t>m</w:t>
            </w:r>
            <w:r w:rsidRPr="00F730A0">
              <w:rPr>
                <w:rFonts w:ascii="Times New Roman" w:hAnsi="Times New Roman" w:cs="Times New Roman"/>
                <w:iCs/>
                <w:color w:val="000000" w:themeColor="text1"/>
                <w:sz w:val="24"/>
                <w:szCs w:val="24"/>
              </w:rPr>
              <w:t xml:space="preserve"> “Par pasākumiem Covid-19 krīzes pārvarēšanai un ekonomikas atlabšanai” </w:t>
            </w:r>
            <w:r w:rsidR="001E7E40" w:rsidRPr="001E7E40">
              <w:rPr>
                <w:rFonts w:ascii="Times New Roman" w:hAnsi="Times New Roman" w:cs="Times New Roman"/>
                <w:iCs/>
                <w:color w:val="000000" w:themeColor="text1"/>
                <w:sz w:val="24"/>
                <w:szCs w:val="24"/>
              </w:rPr>
              <w:t>Noteikumu projekts paredz papildu finansējumu 4.2.1.1. specifiskā atbalsta mērķa pasākumu “Vecināt energoefektivitātes paaugstināšanu dzīvojamās ēkās” īstenošanai 35 000 000 euro apmērā</w:t>
            </w:r>
            <w:r w:rsidR="001E7E40">
              <w:rPr>
                <w:rFonts w:ascii="Times New Roman" w:hAnsi="Times New Roman" w:cs="Times New Roman"/>
                <w:iCs/>
                <w:color w:val="000000" w:themeColor="text1"/>
                <w:sz w:val="24"/>
                <w:szCs w:val="24"/>
              </w:rPr>
              <w:t xml:space="preserve"> kā</w:t>
            </w:r>
            <w:r w:rsidR="001E7E40" w:rsidRPr="001E7E40">
              <w:rPr>
                <w:rFonts w:ascii="Times New Roman" w:hAnsi="Times New Roman" w:cs="Times New Roman"/>
                <w:iCs/>
                <w:color w:val="000000" w:themeColor="text1"/>
                <w:sz w:val="24"/>
                <w:szCs w:val="24"/>
              </w:rPr>
              <w:t xml:space="preserve"> ES fondu virssaistības</w:t>
            </w:r>
            <w:r w:rsidR="001E7E40">
              <w:rPr>
                <w:rFonts w:ascii="Times New Roman" w:hAnsi="Times New Roman" w:cs="Times New Roman"/>
                <w:iCs/>
                <w:color w:val="000000" w:themeColor="text1"/>
                <w:sz w:val="24"/>
                <w:szCs w:val="24"/>
              </w:rPr>
              <w:t>.</w:t>
            </w:r>
          </w:p>
          <w:p w14:paraId="66571520" w14:textId="42C8AA65" w:rsidR="00FE0850" w:rsidRDefault="00306F89" w:rsidP="00D91AD0">
            <w:pPr>
              <w:spacing w:after="0"/>
              <w:ind w:firstLine="363"/>
              <w:jc w:val="both"/>
              <w:rPr>
                <w:rFonts w:ascii="Times New Roman" w:hAnsi="Times New Roman" w:cs="Times New Roman"/>
                <w:iCs/>
                <w:color w:val="000000" w:themeColor="text1"/>
                <w:sz w:val="24"/>
                <w:szCs w:val="24"/>
              </w:rPr>
            </w:pPr>
            <w:r w:rsidRPr="00F730A0">
              <w:rPr>
                <w:rFonts w:ascii="Times New Roman" w:hAnsi="Times New Roman" w:cs="Times New Roman"/>
                <w:iCs/>
                <w:color w:val="000000" w:themeColor="text1"/>
                <w:sz w:val="24"/>
                <w:szCs w:val="24"/>
              </w:rPr>
              <w:t>Attiecīgi</w:t>
            </w:r>
            <w:r w:rsidR="00D91AD0" w:rsidRPr="00F730A0">
              <w:rPr>
                <w:rFonts w:ascii="Times New Roman" w:hAnsi="Times New Roman" w:cs="Times New Roman"/>
                <w:iCs/>
                <w:color w:val="000000" w:themeColor="text1"/>
                <w:sz w:val="24"/>
                <w:szCs w:val="24"/>
              </w:rPr>
              <w:t xml:space="preserve"> ar Noteikumu projektu tiek nodrošināta finansējuma pieejamība </w:t>
            </w:r>
            <w:r w:rsidR="00843F9B" w:rsidRPr="00F730A0">
              <w:rPr>
                <w:rFonts w:ascii="Times New Roman" w:hAnsi="Times New Roman" w:cs="Times New Roman"/>
                <w:iCs/>
                <w:color w:val="000000" w:themeColor="text1"/>
                <w:sz w:val="24"/>
                <w:szCs w:val="24"/>
              </w:rPr>
              <w:t xml:space="preserve">indikatīvi </w:t>
            </w:r>
            <w:r w:rsidR="00FE0850" w:rsidRPr="00F730A0">
              <w:rPr>
                <w:rFonts w:ascii="Times New Roman" w:hAnsi="Times New Roman" w:cs="Times New Roman"/>
                <w:iCs/>
                <w:color w:val="000000" w:themeColor="text1"/>
                <w:sz w:val="24"/>
                <w:szCs w:val="24"/>
              </w:rPr>
              <w:t xml:space="preserve">35 milj. </w:t>
            </w:r>
            <w:r w:rsidR="00FE0850" w:rsidRPr="00F730A0">
              <w:rPr>
                <w:rFonts w:ascii="Times New Roman" w:hAnsi="Times New Roman" w:cs="Times New Roman"/>
                <w:i/>
                <w:color w:val="000000" w:themeColor="text1"/>
                <w:sz w:val="24"/>
                <w:szCs w:val="24"/>
              </w:rPr>
              <w:t>euro</w:t>
            </w:r>
            <w:r w:rsidR="00FE0850" w:rsidRPr="00F730A0">
              <w:rPr>
                <w:rFonts w:ascii="Times New Roman" w:hAnsi="Times New Roman" w:cs="Times New Roman"/>
                <w:iCs/>
                <w:color w:val="000000" w:themeColor="text1"/>
                <w:sz w:val="24"/>
                <w:szCs w:val="24"/>
              </w:rPr>
              <w:t xml:space="preserve"> visiem </w:t>
            </w:r>
            <w:r w:rsidR="00D91AD0" w:rsidRPr="00F730A0">
              <w:rPr>
                <w:rFonts w:ascii="Times New Roman" w:hAnsi="Times New Roman" w:cs="Times New Roman"/>
                <w:iCs/>
                <w:color w:val="000000" w:themeColor="text1"/>
                <w:sz w:val="24"/>
                <w:szCs w:val="24"/>
              </w:rPr>
              <w:t xml:space="preserve">tiem </w:t>
            </w:r>
            <w:r w:rsidR="00FE0850" w:rsidRPr="00F730A0">
              <w:rPr>
                <w:rFonts w:ascii="Times New Roman" w:hAnsi="Times New Roman" w:cs="Times New Roman"/>
                <w:iCs/>
                <w:color w:val="000000" w:themeColor="text1"/>
                <w:sz w:val="24"/>
                <w:szCs w:val="24"/>
              </w:rPr>
              <w:t>projektiem, kuru pieteikumi tika iesniegti</w:t>
            </w:r>
            <w:r w:rsidR="00B53C4A" w:rsidRPr="00F730A0">
              <w:rPr>
                <w:rFonts w:ascii="Times New Roman" w:hAnsi="Times New Roman" w:cs="Times New Roman"/>
                <w:iCs/>
                <w:color w:val="000000" w:themeColor="text1"/>
                <w:sz w:val="24"/>
                <w:szCs w:val="24"/>
              </w:rPr>
              <w:t xml:space="preserve"> </w:t>
            </w:r>
            <w:r w:rsidR="00355D8F" w:rsidRPr="00F730A0">
              <w:rPr>
                <w:rFonts w:ascii="Times New Roman" w:hAnsi="Times New Roman" w:cs="Times New Roman"/>
                <w:iCs/>
                <w:color w:val="000000" w:themeColor="text1"/>
                <w:sz w:val="24"/>
                <w:szCs w:val="24"/>
              </w:rPr>
              <w:t>Altum</w:t>
            </w:r>
            <w:r w:rsidR="006316B6" w:rsidRPr="00F730A0">
              <w:rPr>
                <w:rFonts w:ascii="Times New Roman" w:hAnsi="Times New Roman" w:cs="Times New Roman"/>
                <w:iCs/>
                <w:color w:val="000000" w:themeColor="text1"/>
                <w:sz w:val="24"/>
                <w:szCs w:val="24"/>
              </w:rPr>
              <w:t xml:space="preserve"> </w:t>
            </w:r>
            <w:r w:rsidR="00FE0850" w:rsidRPr="00F730A0">
              <w:rPr>
                <w:rFonts w:ascii="Times New Roman" w:hAnsi="Times New Roman" w:cs="Times New Roman"/>
                <w:iCs/>
                <w:color w:val="000000" w:themeColor="text1"/>
                <w:sz w:val="24"/>
                <w:szCs w:val="24"/>
              </w:rPr>
              <w:t>līdz 2020. gada 11. janvārim</w:t>
            </w:r>
            <w:r w:rsidR="00D91AD0" w:rsidRPr="00F730A0">
              <w:rPr>
                <w:rFonts w:ascii="Times New Roman" w:hAnsi="Times New Roman" w:cs="Times New Roman"/>
                <w:iCs/>
                <w:color w:val="000000" w:themeColor="text1"/>
                <w:sz w:val="24"/>
                <w:szCs w:val="24"/>
              </w:rPr>
              <w:t>.</w:t>
            </w:r>
          </w:p>
          <w:p w14:paraId="5CE08F3B" w14:textId="77777777" w:rsidR="00FB6A51" w:rsidRPr="00FB6A51" w:rsidRDefault="00FB6A51" w:rsidP="00FB6A51">
            <w:pPr>
              <w:spacing w:after="0"/>
              <w:ind w:firstLine="363"/>
              <w:jc w:val="both"/>
              <w:rPr>
                <w:rFonts w:ascii="Times New Roman" w:hAnsi="Times New Roman" w:cs="Times New Roman"/>
                <w:iCs/>
                <w:color w:val="000000" w:themeColor="text1"/>
                <w:sz w:val="24"/>
                <w:szCs w:val="24"/>
              </w:rPr>
            </w:pPr>
            <w:r w:rsidRPr="00FB6A51">
              <w:rPr>
                <w:rFonts w:ascii="Times New Roman" w:hAnsi="Times New Roman" w:cs="Times New Roman"/>
                <w:iCs/>
                <w:color w:val="000000" w:themeColor="text1"/>
                <w:sz w:val="24"/>
                <w:szCs w:val="24"/>
              </w:rPr>
              <w:t>Vienlaikus ar papildu finansējuma piešķiršanu, noteikumu projekts paredz palielināt 4.2.1.1.pasākuma ietvaros sasniedzamos iznākuma rādītājus par šādām papildus vērtībām:</w:t>
            </w:r>
          </w:p>
          <w:p w14:paraId="2DE3BE46" w14:textId="77777777" w:rsidR="00FB6A51" w:rsidRPr="00FB6A51" w:rsidRDefault="00FB6A51" w:rsidP="00FB6A51">
            <w:pPr>
              <w:spacing w:after="0"/>
              <w:ind w:firstLine="363"/>
              <w:jc w:val="both"/>
              <w:rPr>
                <w:rFonts w:ascii="Times New Roman" w:hAnsi="Times New Roman" w:cs="Times New Roman"/>
                <w:iCs/>
                <w:color w:val="000000" w:themeColor="text1"/>
                <w:sz w:val="24"/>
                <w:szCs w:val="24"/>
              </w:rPr>
            </w:pPr>
            <w:r w:rsidRPr="00FB6A51">
              <w:rPr>
                <w:rFonts w:ascii="Times New Roman" w:hAnsi="Times New Roman" w:cs="Times New Roman"/>
                <w:iCs/>
                <w:color w:val="000000" w:themeColor="text1"/>
                <w:sz w:val="24"/>
                <w:szCs w:val="24"/>
              </w:rPr>
              <w:t>•</w:t>
            </w:r>
            <w:r w:rsidRPr="00FB6A51">
              <w:rPr>
                <w:rFonts w:ascii="Times New Roman" w:hAnsi="Times New Roman" w:cs="Times New Roman"/>
                <w:iCs/>
                <w:color w:val="000000" w:themeColor="text1"/>
                <w:sz w:val="24"/>
                <w:szCs w:val="24"/>
              </w:rPr>
              <w:tab/>
              <w:t>mājsaimniecības ar uzlabotu enerģijas patēriņa klasifikāciju – 3 403 mājsaimniecības;</w:t>
            </w:r>
          </w:p>
          <w:p w14:paraId="1507563A" w14:textId="77777777" w:rsidR="00FB6A51" w:rsidRPr="00FB6A51" w:rsidRDefault="00FB6A51" w:rsidP="00FB6A51">
            <w:pPr>
              <w:spacing w:after="0"/>
              <w:ind w:firstLine="363"/>
              <w:jc w:val="both"/>
              <w:rPr>
                <w:rFonts w:ascii="Times New Roman" w:hAnsi="Times New Roman" w:cs="Times New Roman"/>
                <w:iCs/>
                <w:color w:val="000000" w:themeColor="text1"/>
                <w:sz w:val="24"/>
                <w:szCs w:val="24"/>
              </w:rPr>
            </w:pPr>
            <w:r w:rsidRPr="00FB6A51">
              <w:rPr>
                <w:rFonts w:ascii="Times New Roman" w:hAnsi="Times New Roman" w:cs="Times New Roman"/>
                <w:iCs/>
                <w:color w:val="000000" w:themeColor="text1"/>
                <w:sz w:val="24"/>
                <w:szCs w:val="24"/>
              </w:rPr>
              <w:t>•</w:t>
            </w:r>
            <w:r w:rsidRPr="00FB6A51">
              <w:rPr>
                <w:rFonts w:ascii="Times New Roman" w:hAnsi="Times New Roman" w:cs="Times New Roman"/>
                <w:iCs/>
                <w:color w:val="000000" w:themeColor="text1"/>
                <w:sz w:val="24"/>
                <w:szCs w:val="24"/>
              </w:rPr>
              <w:tab/>
              <w:t>no atjaunojamiem energoresursiem ražotā papildjauda – 0,15 MW;</w:t>
            </w:r>
          </w:p>
          <w:p w14:paraId="5583BDE5" w14:textId="77777777" w:rsidR="00FB6A51" w:rsidRPr="00FB6A51" w:rsidRDefault="00FB6A51" w:rsidP="00FB6A51">
            <w:pPr>
              <w:spacing w:after="0"/>
              <w:ind w:firstLine="363"/>
              <w:jc w:val="both"/>
              <w:rPr>
                <w:rFonts w:ascii="Times New Roman" w:hAnsi="Times New Roman" w:cs="Times New Roman"/>
                <w:iCs/>
                <w:color w:val="000000" w:themeColor="text1"/>
                <w:sz w:val="24"/>
                <w:szCs w:val="24"/>
              </w:rPr>
            </w:pPr>
            <w:r w:rsidRPr="00FB6A51">
              <w:rPr>
                <w:rFonts w:ascii="Times New Roman" w:hAnsi="Times New Roman" w:cs="Times New Roman"/>
                <w:iCs/>
                <w:color w:val="000000" w:themeColor="text1"/>
                <w:sz w:val="24"/>
                <w:szCs w:val="24"/>
              </w:rPr>
              <w:t>•</w:t>
            </w:r>
            <w:r w:rsidRPr="00FB6A51">
              <w:rPr>
                <w:rFonts w:ascii="Times New Roman" w:hAnsi="Times New Roman" w:cs="Times New Roman"/>
                <w:iCs/>
                <w:color w:val="000000" w:themeColor="text1"/>
                <w:sz w:val="24"/>
                <w:szCs w:val="24"/>
              </w:rPr>
              <w:tab/>
              <w:t>aprēķinātais siltumnīcefekta gāzu samazinājums gadā – 2 645 CO2 ekvivalenta tonnas;</w:t>
            </w:r>
          </w:p>
          <w:p w14:paraId="17149975" w14:textId="3A18D754" w:rsidR="00D91AD0" w:rsidRPr="00F730A0" w:rsidRDefault="00FB6A51" w:rsidP="00FB6A51">
            <w:pPr>
              <w:spacing w:after="0"/>
              <w:jc w:val="both"/>
              <w:rPr>
                <w:rFonts w:ascii="Times New Roman" w:hAnsi="Times New Roman" w:cs="Times New Roman"/>
                <w:iCs/>
                <w:color w:val="000000" w:themeColor="text1"/>
                <w:sz w:val="24"/>
                <w:szCs w:val="24"/>
              </w:rPr>
            </w:pPr>
            <w:r w:rsidRPr="00FB6A51">
              <w:rPr>
                <w:rFonts w:ascii="Times New Roman" w:hAnsi="Times New Roman" w:cs="Times New Roman"/>
                <w:iCs/>
                <w:color w:val="000000" w:themeColor="text1"/>
                <w:sz w:val="24"/>
                <w:szCs w:val="24"/>
              </w:rPr>
              <w:lastRenderedPageBreak/>
              <w:t>•</w:t>
            </w:r>
            <w:r w:rsidRPr="00FB6A51">
              <w:rPr>
                <w:rFonts w:ascii="Times New Roman" w:hAnsi="Times New Roman" w:cs="Times New Roman"/>
                <w:iCs/>
                <w:color w:val="000000" w:themeColor="text1"/>
                <w:sz w:val="24"/>
                <w:szCs w:val="24"/>
              </w:rPr>
              <w:tab/>
              <w:t>73 garantijas, ko izsniegs sabiedrība “Altum”, lai piesaistītu cita finansētāja finansējumu ēku energoefektivitātes paaugstināšanas pasākumu īstenošanai.</w:t>
            </w:r>
          </w:p>
          <w:p w14:paraId="1BBE800B" w14:textId="77777777" w:rsidR="00F879AD" w:rsidRPr="00F730A0" w:rsidRDefault="00F879AD" w:rsidP="00F879AD">
            <w:pPr>
              <w:pStyle w:val="ListParagraph"/>
              <w:numPr>
                <w:ilvl w:val="0"/>
                <w:numId w:val="14"/>
              </w:numPr>
              <w:ind w:left="0" w:firstLine="360"/>
              <w:jc w:val="both"/>
              <w:rPr>
                <w:b/>
                <w:bCs/>
                <w:i/>
                <w:color w:val="000000" w:themeColor="text1"/>
                <w:sz w:val="24"/>
                <w:szCs w:val="24"/>
                <w:u w:val="single"/>
              </w:rPr>
            </w:pPr>
            <w:r w:rsidRPr="00F730A0">
              <w:rPr>
                <w:b/>
                <w:bCs/>
                <w:i/>
                <w:color w:val="000000" w:themeColor="text1"/>
                <w:sz w:val="24"/>
                <w:szCs w:val="24"/>
                <w:u w:val="single"/>
              </w:rPr>
              <w:t>jaunus nosacījumus piegādātāju atlasei.</w:t>
            </w:r>
          </w:p>
          <w:p w14:paraId="7642E070" w14:textId="77777777" w:rsidR="00F879AD" w:rsidRDefault="00F879AD" w:rsidP="00F879AD">
            <w:pPr>
              <w:pStyle w:val="ListParagraph"/>
              <w:ind w:left="0" w:firstLine="360"/>
              <w:jc w:val="both"/>
              <w:rPr>
                <w:iCs/>
                <w:color w:val="000000" w:themeColor="text1"/>
                <w:sz w:val="24"/>
                <w:szCs w:val="24"/>
              </w:rPr>
            </w:pPr>
            <w:r w:rsidRPr="00F730A0">
              <w:rPr>
                <w:iCs/>
                <w:color w:val="000000" w:themeColor="text1"/>
                <w:sz w:val="24"/>
                <w:szCs w:val="24"/>
              </w:rPr>
              <w:t>4.2.1.1. pasākuma ietvaros piegādātāju atlases gadījumā dzīvokļu īpašnieku pilnvarotās personas tiek dalītas divās grupās – Publisko iepirkumu likuma (turpmāk - PIL) subjekti (pašvaldību apsaimniekotāji) un subjekti, kuriem PIL netiek piemērots (dzīvokļu īpašnieku biedrības, privātie apsaimniekotāji). Secināts, ka aptuveni pusei 4.2.1.1. pasākuma ietvaros īstenoto projektu piemēro PIL, savukārt otrai pusei, kur dzīvokļu īpašnieku pilnvarotās personas nav PIL subjekti, piegādātāju atlases organizēšanai tiek piemērotas sabiedrības “Altum” piegādātāju atlases vadlīnijas.</w:t>
            </w:r>
          </w:p>
          <w:p w14:paraId="7EA91C99" w14:textId="77777777" w:rsidR="00F879AD" w:rsidRPr="00F730A0" w:rsidRDefault="00F879AD" w:rsidP="00F879AD">
            <w:pPr>
              <w:pStyle w:val="ListParagraph"/>
              <w:ind w:left="0" w:firstLine="360"/>
              <w:jc w:val="both"/>
              <w:rPr>
                <w:iCs/>
                <w:color w:val="000000" w:themeColor="text1"/>
                <w:sz w:val="24"/>
                <w:szCs w:val="24"/>
              </w:rPr>
            </w:pPr>
            <w:r w:rsidRPr="00F730A0">
              <w:rPr>
                <w:iCs/>
                <w:color w:val="000000" w:themeColor="text1"/>
                <w:sz w:val="24"/>
                <w:szCs w:val="24"/>
              </w:rPr>
              <w:t xml:space="preserve">2020. gada 30. aprīlī </w:t>
            </w:r>
            <w:r>
              <w:rPr>
                <w:iCs/>
                <w:color w:val="000000" w:themeColor="text1"/>
                <w:sz w:val="24"/>
                <w:szCs w:val="24"/>
              </w:rPr>
              <w:t xml:space="preserve">Saeimā </w:t>
            </w:r>
            <w:r w:rsidRPr="00F730A0">
              <w:rPr>
                <w:iCs/>
                <w:color w:val="000000" w:themeColor="text1"/>
                <w:sz w:val="24"/>
                <w:szCs w:val="24"/>
              </w:rPr>
              <w:t>tika pieņemti un izsludināti grozījumi Publisko iepirkumu likumā (turpmāk - PIL), papildinot PIL 5. panta 19. punktu šādā redakcijā:</w:t>
            </w:r>
            <w:r w:rsidRPr="00F730A0">
              <w:rPr>
                <w:iCs/>
                <w:color w:val="000000" w:themeColor="text1"/>
                <w:sz w:val="24"/>
                <w:szCs w:val="24"/>
              </w:rPr>
              <w:br/>
              <w:t>“19) būvdarbiem, piegādēm vai pakalpojumiem daudzdzīvokļu dzīvojamo ēku energoefektivitātes paaugstināšanas programmas ietvaros, kuru administrē akciju sabiedrība “Attīstības finanšu institūcijas Altum””, tāpēc ir nepieciešams noteikt kārtību, kādā turpmāk pašvaldību apsaimniekotāji 4.2.1.1. pasākuma ietvaros nodrošinās piegādātāju atlasi.</w:t>
            </w:r>
          </w:p>
          <w:p w14:paraId="38BB19C9" w14:textId="77777777" w:rsidR="00F879AD" w:rsidRDefault="00F879AD" w:rsidP="00F879AD">
            <w:pPr>
              <w:pStyle w:val="ListParagraph"/>
              <w:ind w:left="0" w:firstLine="360"/>
              <w:jc w:val="both"/>
              <w:rPr>
                <w:sz w:val="24"/>
                <w:szCs w:val="24"/>
              </w:rPr>
            </w:pPr>
            <w:r w:rsidRPr="00F730A0">
              <w:rPr>
                <w:sz w:val="24"/>
                <w:szCs w:val="24"/>
              </w:rPr>
              <w:t>Ekonomikas ministrija ierosina noteikt, ka visām dzīvokļu īpašnieku pilnvarotajām personām, kuras īsteno energoefektivitātes paaugstināšanas pasākumus 4.2.1.1. pasākuma ietvaros, turpmāk ir jāpiemēro Ministru kabineta 2017. gada 28. februāra noteikumi Nr.104 “Noteikumi par iepirkuma procedūru un tās piemērošanas kārtību pasūtītāja finansētiem projektiem”</w:t>
            </w:r>
            <w:r>
              <w:rPr>
                <w:sz w:val="24"/>
                <w:szCs w:val="24"/>
              </w:rPr>
              <w:t xml:space="preserve"> (turpmāk – MK noteikumi Nr. 104).</w:t>
            </w:r>
          </w:p>
          <w:p w14:paraId="4F403CFC" w14:textId="77777777" w:rsidR="00F202DD" w:rsidRDefault="00F879AD" w:rsidP="00F879AD">
            <w:pPr>
              <w:pStyle w:val="ListParagraph"/>
              <w:ind w:left="0" w:firstLine="360"/>
              <w:jc w:val="both"/>
              <w:rPr>
                <w:sz w:val="24"/>
                <w:szCs w:val="24"/>
              </w:rPr>
            </w:pPr>
            <w:r>
              <w:rPr>
                <w:sz w:val="24"/>
                <w:szCs w:val="24"/>
              </w:rPr>
              <w:t>MK noteikumi Nr. 104</w:t>
            </w:r>
            <w:r w:rsidRPr="00F730A0">
              <w:rPr>
                <w:sz w:val="24"/>
                <w:szCs w:val="24"/>
              </w:rPr>
              <w:t xml:space="preserve"> ir veidoti un satur minimālās (obligātās) prasības, lai radītu pēc iespējas vienkāršāku procedūru piegāžu, pakalpojumu un būvdarbu līgumu, noslēgšanai, tajā pašā laikā nodrošinot lielāku konkurenci iepirkumos, vienlaicīgi nodrošinot, ka tiek nodrošināta pēc iespējas lielāka konkurence, kā arī tiek ievēroti pārredzamības, proporcionalitātes, vienlīdzīgas attieksmes un nediskriminācijas principi</w:t>
            </w:r>
            <w:r>
              <w:rPr>
                <w:sz w:val="24"/>
                <w:szCs w:val="24"/>
              </w:rPr>
              <w:t xml:space="preserve">. Šis regulējums piegādātāju atlasēm būs piemērojams dzīvokļu īpašnieku pilnvarotajā personām, kas nav PIL subjekti, kā arī pilnvarotajām personā, kas ir PIL subjekti, ja to plānoto </w:t>
            </w:r>
            <w:r w:rsidRPr="00F730A0">
              <w:rPr>
                <w:sz w:val="24"/>
                <w:szCs w:val="24"/>
              </w:rPr>
              <w:t>līgum</w:t>
            </w:r>
            <w:r>
              <w:rPr>
                <w:sz w:val="24"/>
                <w:szCs w:val="24"/>
              </w:rPr>
              <w:t>u summa</w:t>
            </w:r>
            <w:r w:rsidRPr="00F730A0">
              <w:rPr>
                <w:sz w:val="24"/>
                <w:szCs w:val="24"/>
              </w:rPr>
              <w:t xml:space="preserve"> nepārsni</w:t>
            </w:r>
            <w:r>
              <w:rPr>
                <w:sz w:val="24"/>
                <w:szCs w:val="24"/>
              </w:rPr>
              <w:t>egs</w:t>
            </w:r>
            <w:r w:rsidRPr="00F730A0">
              <w:rPr>
                <w:sz w:val="24"/>
                <w:szCs w:val="24"/>
              </w:rPr>
              <w:t xml:space="preserve"> Ministru kabineta 2017.gada 28.februāra noteikumos Nr. 105 “Noteikumi par publisko iepirkumu līgumcenu robežvērtībām” noteiktās līgumcenu robežvērtības.</w:t>
            </w:r>
            <w:r w:rsidR="004C3524">
              <w:rPr>
                <w:sz w:val="24"/>
                <w:szCs w:val="24"/>
              </w:rPr>
              <w:t xml:space="preserve"> </w:t>
            </w:r>
            <w:r w:rsidR="00F202DD" w:rsidRPr="00F202DD">
              <w:rPr>
                <w:sz w:val="24"/>
                <w:szCs w:val="24"/>
              </w:rPr>
              <w:t xml:space="preserve">Dzīvokļu īpašnieku pilnvarotajām personām, kas ir PIL subjekti, saskaņā ar PIL 5.panta 19.punktu ir noteikts izņēmums, proti, tām, izvēloties būvkomersantu, autoruzraugu, būvuzraugu un citus piegādātājus, nav jāpiemēro PIL regulējums. Līdz ar to, lai nodrošinātu, ka 4.2.1.1. pasākuma īstenošanā tiek nodrošināti pārredzamības, proporcionalitātes, vienlīdzīgas attieksmes un nediskriminācijas principi, kā arī vienlīdzīga konkurence, un tiktu mazināta izdevumu attiecināmības risku iestāšanās, arī šo dzīvokļu īpašnieku pilnvaroto personu īstenotajos projektos, ir nepieciešams noteikt, ka arī šīm pilnvarotajām personām, tā pat kā finansējuma </w:t>
            </w:r>
            <w:r w:rsidR="00F202DD" w:rsidRPr="00F202DD">
              <w:rPr>
                <w:sz w:val="24"/>
                <w:szCs w:val="24"/>
              </w:rPr>
              <w:lastRenderedPageBreak/>
              <w:t>saņēmējiem,  ir piemērojams MK noteikumu Nr. 104 noteiktais regulējums.</w:t>
            </w:r>
          </w:p>
          <w:p w14:paraId="2CBF1090" w14:textId="711F0CF0" w:rsidR="00F879AD" w:rsidRPr="00621FBF" w:rsidRDefault="00F879AD" w:rsidP="00F879AD">
            <w:pPr>
              <w:pStyle w:val="ListParagraph"/>
              <w:ind w:left="0" w:firstLine="360"/>
              <w:jc w:val="both"/>
              <w:rPr>
                <w:sz w:val="24"/>
                <w:szCs w:val="24"/>
              </w:rPr>
            </w:pPr>
            <w:r>
              <w:rPr>
                <w:sz w:val="24"/>
                <w:szCs w:val="24"/>
              </w:rPr>
              <w:t xml:space="preserve">MK noteikumu Nr. 104 piemērošana visiem </w:t>
            </w:r>
            <w:r w:rsidRPr="00621FBF">
              <w:rPr>
                <w:sz w:val="24"/>
                <w:szCs w:val="24"/>
              </w:rPr>
              <w:t>4.2.1.1. pasākuma projektu iesniedzējiem</w:t>
            </w:r>
            <w:r>
              <w:rPr>
                <w:sz w:val="24"/>
                <w:szCs w:val="24"/>
              </w:rPr>
              <w:t xml:space="preserve"> nodrošinās </w:t>
            </w:r>
            <w:r w:rsidR="004C3524">
              <w:rPr>
                <w:sz w:val="24"/>
                <w:szCs w:val="24"/>
              </w:rPr>
              <w:t xml:space="preserve">arī </w:t>
            </w:r>
            <w:r>
              <w:rPr>
                <w:sz w:val="24"/>
                <w:szCs w:val="24"/>
              </w:rPr>
              <w:t xml:space="preserve">vienotu pieeju piegādātāju atlasē, kas saskaņā ar </w:t>
            </w:r>
            <w:r w:rsidRPr="00621FBF">
              <w:rPr>
                <w:sz w:val="24"/>
                <w:szCs w:val="24"/>
              </w:rPr>
              <w:t>sociāl</w:t>
            </w:r>
            <w:r>
              <w:rPr>
                <w:sz w:val="24"/>
                <w:szCs w:val="24"/>
              </w:rPr>
              <w:t>o</w:t>
            </w:r>
            <w:r w:rsidRPr="00621FBF">
              <w:rPr>
                <w:sz w:val="24"/>
                <w:szCs w:val="24"/>
              </w:rPr>
              <w:t xml:space="preserve"> partner</w:t>
            </w:r>
            <w:r>
              <w:rPr>
                <w:sz w:val="24"/>
                <w:szCs w:val="24"/>
              </w:rPr>
              <w:t>u pausto viedokli,</w:t>
            </w:r>
            <w:r w:rsidRPr="00621FBF">
              <w:rPr>
                <w:sz w:val="24"/>
                <w:szCs w:val="24"/>
              </w:rPr>
              <w:t xml:space="preserve"> kas </w:t>
            </w:r>
            <w:r>
              <w:rPr>
                <w:sz w:val="24"/>
                <w:szCs w:val="24"/>
              </w:rPr>
              <w:t xml:space="preserve">ir </w:t>
            </w:r>
            <w:r w:rsidRPr="00621FBF">
              <w:rPr>
                <w:sz w:val="24"/>
                <w:szCs w:val="24"/>
              </w:rPr>
              <w:t xml:space="preserve">iesaistīti </w:t>
            </w:r>
            <w:r w:rsidRPr="00762B29">
              <w:rPr>
                <w:sz w:val="24"/>
                <w:szCs w:val="24"/>
              </w:rPr>
              <w:t>4.2.1.1.</w:t>
            </w:r>
            <w:r>
              <w:rPr>
                <w:sz w:val="24"/>
                <w:szCs w:val="24"/>
              </w:rPr>
              <w:t> </w:t>
            </w:r>
            <w:r w:rsidRPr="00762B29">
              <w:rPr>
                <w:sz w:val="24"/>
                <w:szCs w:val="24"/>
              </w:rPr>
              <w:t>pasākuma</w:t>
            </w:r>
            <w:r w:rsidRPr="00621FBF">
              <w:rPr>
                <w:sz w:val="24"/>
                <w:szCs w:val="24"/>
              </w:rPr>
              <w:t xml:space="preserve"> īstenošanā, </w:t>
            </w:r>
            <w:r>
              <w:rPr>
                <w:sz w:val="24"/>
                <w:szCs w:val="24"/>
              </w:rPr>
              <w:t>ir būtiski, jo tā tiek atvieglots</w:t>
            </w:r>
            <w:r w:rsidRPr="00621FBF">
              <w:rPr>
                <w:sz w:val="24"/>
                <w:szCs w:val="24"/>
              </w:rPr>
              <w:t xml:space="preserve"> tā jau sarežģīt</w:t>
            </w:r>
            <w:r>
              <w:rPr>
                <w:sz w:val="24"/>
                <w:szCs w:val="24"/>
              </w:rPr>
              <w:t>ais</w:t>
            </w:r>
            <w:r w:rsidRPr="00621FBF">
              <w:rPr>
                <w:sz w:val="24"/>
                <w:szCs w:val="24"/>
              </w:rPr>
              <w:t xml:space="preserve"> energoefektivitātes paaugstināšanas proces</w:t>
            </w:r>
            <w:r>
              <w:rPr>
                <w:sz w:val="24"/>
                <w:szCs w:val="24"/>
              </w:rPr>
              <w:t>s, kas līdz šim ir bijis</w:t>
            </w:r>
            <w:r w:rsidRPr="00621FBF">
              <w:rPr>
                <w:sz w:val="24"/>
                <w:szCs w:val="24"/>
              </w:rPr>
              <w:t xml:space="preserve"> sadrumstalot</w:t>
            </w:r>
            <w:r>
              <w:rPr>
                <w:sz w:val="24"/>
                <w:szCs w:val="24"/>
              </w:rPr>
              <w:t>s</w:t>
            </w:r>
            <w:r w:rsidRPr="00621FBF">
              <w:rPr>
                <w:sz w:val="24"/>
                <w:szCs w:val="24"/>
              </w:rPr>
              <w:t xml:space="preserve"> un iedzīvotājiem grūt</w:t>
            </w:r>
            <w:r>
              <w:rPr>
                <w:sz w:val="24"/>
                <w:szCs w:val="24"/>
              </w:rPr>
              <w:t>i</w:t>
            </w:r>
            <w:r w:rsidRPr="00621FBF">
              <w:rPr>
                <w:sz w:val="24"/>
                <w:szCs w:val="24"/>
              </w:rPr>
              <w:t xml:space="preserve"> saprotam</w:t>
            </w:r>
            <w:r>
              <w:rPr>
                <w:sz w:val="24"/>
                <w:szCs w:val="24"/>
              </w:rPr>
              <w:t>s</w:t>
            </w:r>
            <w:r w:rsidRPr="00621FBF">
              <w:rPr>
                <w:sz w:val="24"/>
                <w:szCs w:val="24"/>
              </w:rPr>
              <w:t>.</w:t>
            </w:r>
          </w:p>
          <w:p w14:paraId="38EB2E91" w14:textId="77777777" w:rsidR="00F879AD" w:rsidRDefault="00F879AD" w:rsidP="00F879AD">
            <w:pPr>
              <w:pStyle w:val="ListParagraph"/>
              <w:ind w:left="0" w:firstLine="360"/>
              <w:jc w:val="both"/>
              <w:rPr>
                <w:sz w:val="24"/>
                <w:szCs w:val="24"/>
              </w:rPr>
            </w:pPr>
            <w:r w:rsidRPr="00717933">
              <w:rPr>
                <w:sz w:val="24"/>
                <w:szCs w:val="24"/>
              </w:rPr>
              <w:t xml:space="preserve">Pašvaldību kapitālsabiedrību pārstāvji, kas piegādātāju atlasi </w:t>
            </w:r>
            <w:r>
              <w:rPr>
                <w:sz w:val="24"/>
                <w:szCs w:val="24"/>
              </w:rPr>
              <w:t xml:space="preserve">līdz šim </w:t>
            </w:r>
            <w:r w:rsidRPr="00717933">
              <w:rPr>
                <w:sz w:val="24"/>
                <w:szCs w:val="24"/>
              </w:rPr>
              <w:t>vei</w:t>
            </w:r>
            <w:r>
              <w:rPr>
                <w:sz w:val="24"/>
                <w:szCs w:val="24"/>
              </w:rPr>
              <w:t>ca</w:t>
            </w:r>
            <w:r w:rsidRPr="00717933">
              <w:rPr>
                <w:sz w:val="24"/>
                <w:szCs w:val="24"/>
              </w:rPr>
              <w:t xml:space="preserve"> saskaņā ar PIL, </w:t>
            </w:r>
            <w:r>
              <w:rPr>
                <w:sz w:val="24"/>
                <w:szCs w:val="24"/>
              </w:rPr>
              <w:t>ir</w:t>
            </w:r>
            <w:r w:rsidRPr="00717933">
              <w:rPr>
                <w:sz w:val="24"/>
                <w:szCs w:val="24"/>
              </w:rPr>
              <w:t xml:space="preserve"> norādīj</w:t>
            </w:r>
            <w:r>
              <w:rPr>
                <w:sz w:val="24"/>
                <w:szCs w:val="24"/>
              </w:rPr>
              <w:t>uši</w:t>
            </w:r>
            <w:r w:rsidRPr="00717933">
              <w:rPr>
                <w:sz w:val="24"/>
                <w:szCs w:val="24"/>
              </w:rPr>
              <w:t xml:space="preserve">, ka </w:t>
            </w:r>
            <w:r>
              <w:rPr>
                <w:sz w:val="24"/>
                <w:szCs w:val="24"/>
              </w:rPr>
              <w:t>piegādātāju atlases</w:t>
            </w:r>
            <w:r w:rsidRPr="00717933">
              <w:rPr>
                <w:sz w:val="24"/>
                <w:szCs w:val="24"/>
              </w:rPr>
              <w:t xml:space="preserve"> prasībām jābūt vienādām attiecībā pret pašvaldību kapitālsabiedrībām un privāto apsaimniekotāju</w:t>
            </w:r>
            <w:r>
              <w:rPr>
                <w:sz w:val="24"/>
                <w:szCs w:val="24"/>
              </w:rPr>
              <w:t>, jo</w:t>
            </w:r>
            <w:r w:rsidRPr="00717933">
              <w:rPr>
                <w:sz w:val="24"/>
                <w:szCs w:val="24"/>
              </w:rPr>
              <w:t xml:space="preserve"> </w:t>
            </w:r>
            <w:r>
              <w:rPr>
                <w:sz w:val="24"/>
                <w:szCs w:val="24"/>
              </w:rPr>
              <w:t>d</w:t>
            </w:r>
            <w:r w:rsidRPr="00717933">
              <w:rPr>
                <w:sz w:val="24"/>
                <w:szCs w:val="24"/>
              </w:rPr>
              <w:t>zīvokļu īpašnieku pilnvarotā persona, piemēram, pašvaldībai piederoša kapitālsabiedrība, iesaistās tikai kā dzīvokļu īpašnieku pārstāvis, un galvenokārt veic administratīvas funkcijas.</w:t>
            </w:r>
          </w:p>
          <w:p w14:paraId="31664ABE" w14:textId="79895635" w:rsidR="00F879AD" w:rsidRDefault="00F879AD" w:rsidP="00F879AD">
            <w:pPr>
              <w:pStyle w:val="ListParagraph"/>
              <w:ind w:left="0" w:firstLine="360"/>
              <w:jc w:val="both"/>
              <w:rPr>
                <w:sz w:val="24"/>
                <w:szCs w:val="24"/>
              </w:rPr>
            </w:pPr>
            <w:r>
              <w:rPr>
                <w:sz w:val="24"/>
                <w:szCs w:val="24"/>
              </w:rPr>
              <w:t xml:space="preserve">Jaunais regulējums piegādātāju atlasei tiks piemērots visiem 4.2.1.1. pasākuma projektu īstenotājiem, kuri līdz šī Noteikuma projekta spēkā stāšanās brīdi vēl nebūs uzsākuši piegādātāju atlases procesu. </w:t>
            </w:r>
            <w:r w:rsidRPr="005013E0">
              <w:rPr>
                <w:sz w:val="24"/>
                <w:szCs w:val="24"/>
              </w:rPr>
              <w:t>Ja pagādātāju atlase ir veikta pirms šī Noteikumu projekta spēkā stāšanās dienas, tad piegādātāju atlase pabeidzama un vērtējama,  saskaņā ar normatīvo regulējumu, kas bija spēkā attiecīgās piegādātāju atlases  uzsākšanas dienā</w:t>
            </w:r>
            <w:r>
              <w:rPr>
                <w:sz w:val="24"/>
                <w:szCs w:val="24"/>
              </w:rPr>
              <w:t>.</w:t>
            </w:r>
          </w:p>
          <w:p w14:paraId="24BD2D36" w14:textId="77777777" w:rsidR="00665AF0" w:rsidRDefault="00665AF0" w:rsidP="00F879AD">
            <w:pPr>
              <w:pStyle w:val="ListParagraph"/>
              <w:ind w:left="0" w:firstLine="360"/>
              <w:jc w:val="both"/>
              <w:rPr>
                <w:sz w:val="24"/>
                <w:szCs w:val="24"/>
              </w:rPr>
            </w:pPr>
          </w:p>
          <w:p w14:paraId="36797D05" w14:textId="77777777" w:rsidR="00365146" w:rsidRPr="003969CB" w:rsidRDefault="00365146" w:rsidP="00365146">
            <w:pPr>
              <w:pStyle w:val="ListParagraph"/>
              <w:numPr>
                <w:ilvl w:val="0"/>
                <w:numId w:val="14"/>
              </w:numPr>
              <w:ind w:left="720"/>
              <w:jc w:val="both"/>
              <w:rPr>
                <w:b/>
                <w:bCs/>
                <w:i/>
                <w:iCs/>
                <w:sz w:val="24"/>
                <w:szCs w:val="24"/>
                <w:u w:val="single"/>
              </w:rPr>
            </w:pPr>
            <w:r w:rsidRPr="003969CB">
              <w:rPr>
                <w:b/>
                <w:bCs/>
                <w:i/>
                <w:iCs/>
                <w:sz w:val="24"/>
                <w:szCs w:val="24"/>
                <w:u w:val="single"/>
              </w:rPr>
              <w:t>precizējumus par valsts atbalsta apvienošanu.</w:t>
            </w:r>
          </w:p>
          <w:p w14:paraId="49E2B774" w14:textId="6DBE044D" w:rsidR="00365146" w:rsidRPr="00347AE9" w:rsidRDefault="00365146" w:rsidP="00365146">
            <w:pPr>
              <w:pStyle w:val="ListParagraph"/>
              <w:ind w:left="0" w:firstLine="360"/>
              <w:jc w:val="both"/>
              <w:rPr>
                <w:sz w:val="24"/>
                <w:szCs w:val="24"/>
              </w:rPr>
            </w:pPr>
            <w:r w:rsidRPr="00002407">
              <w:rPr>
                <w:sz w:val="24"/>
                <w:szCs w:val="24"/>
              </w:rPr>
              <w:t xml:space="preserve">Ekonomikas ministrija ierosina MK noteikumu Nr. 160 80.3. apakšpunktu papildināt ar informāciju, kā atbalsta sniedzējs pārliecināsies par kumulācijas normu korektu izpildi no atbalsta </w:t>
            </w:r>
            <w:r w:rsidRPr="00347AE9">
              <w:rPr>
                <w:sz w:val="24"/>
                <w:szCs w:val="24"/>
              </w:rPr>
              <w:t>pretendenta puses un kādi dokumenti atbalsta pretendentam būs jāiesniedz, lai attiecīgo izvērtējumu atbalsta sniedzējs varētu veikt. Šobrīd nav iespējams paredzēt visas iespējamās atbalsta apvienošanas situācijas, tāpēc katrs gadījums tiks skatīts individuāli, ņemot par pamatu Regulu un MK noteikumu nosacījumus, saskaņā ar kuriem tiks sniegts otrs atbalsts. Dokumentācija no saimnieciskās darbības veicēja tiks pieprasīta individuāli, atbilstoši katram gadījumam, lai pārliecinātos par atbalsta kumulācijas esamību un attiecināmajām izmaksām.</w:t>
            </w:r>
          </w:p>
          <w:p w14:paraId="356A9E5B" w14:textId="3347A549" w:rsidR="00A81BD9" w:rsidRPr="00F730A0" w:rsidRDefault="00A81BD9" w:rsidP="00F879AD">
            <w:pPr>
              <w:pStyle w:val="ListParagraph"/>
              <w:ind w:left="0" w:firstLine="360"/>
              <w:jc w:val="both"/>
              <w:rPr>
                <w:iCs/>
                <w:color w:val="000000" w:themeColor="text1"/>
                <w:sz w:val="24"/>
                <w:szCs w:val="24"/>
              </w:rPr>
            </w:pPr>
          </w:p>
        </w:tc>
      </w:tr>
      <w:tr w:rsidR="00CD2F80" w:rsidRPr="00AB0A81" w14:paraId="6149E5E4"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B02A9B1"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lastRenderedPageBreak/>
              <w:t>3.</w:t>
            </w:r>
          </w:p>
        </w:tc>
        <w:tc>
          <w:tcPr>
            <w:tcW w:w="1383" w:type="pct"/>
            <w:tcBorders>
              <w:top w:val="outset" w:sz="6" w:space="0" w:color="auto"/>
              <w:left w:val="outset" w:sz="6" w:space="0" w:color="auto"/>
              <w:bottom w:val="outset" w:sz="6" w:space="0" w:color="auto"/>
              <w:right w:val="outset" w:sz="6" w:space="0" w:color="auto"/>
            </w:tcBorders>
            <w:hideMark/>
          </w:tcPr>
          <w:p w14:paraId="6034D2ED"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91" w:type="pct"/>
            <w:tcBorders>
              <w:top w:val="outset" w:sz="6" w:space="0" w:color="auto"/>
              <w:left w:val="outset" w:sz="6" w:space="0" w:color="auto"/>
              <w:bottom w:val="outset" w:sz="6" w:space="0" w:color="auto"/>
              <w:right w:val="outset" w:sz="6" w:space="0" w:color="auto"/>
            </w:tcBorders>
            <w:hideMark/>
          </w:tcPr>
          <w:p w14:paraId="658CB007" w14:textId="4D99D9E1" w:rsidR="00CD2F80" w:rsidRPr="00AB0A81" w:rsidRDefault="00CD2F80" w:rsidP="00CD2F80">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Ekonomikas ministrija, sabiedrība “Altum”</w:t>
            </w:r>
            <w:r w:rsidR="0058611F" w:rsidRPr="00AB0A81">
              <w:rPr>
                <w:rFonts w:ascii="Times New Roman" w:eastAsia="Times New Roman" w:hAnsi="Times New Roman" w:cs="Times New Roman"/>
                <w:iCs/>
                <w:color w:val="000000" w:themeColor="text1"/>
                <w:sz w:val="24"/>
                <w:szCs w:val="24"/>
                <w:lang w:eastAsia="lv-LV"/>
              </w:rPr>
              <w:t>.</w:t>
            </w:r>
          </w:p>
        </w:tc>
      </w:tr>
      <w:tr w:rsidR="00CD2F80" w:rsidRPr="00AB0A81" w14:paraId="4C2BE816"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6B054480"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14:paraId="4421D930" w14:textId="77777777" w:rsidR="00CD2F80" w:rsidRPr="00AB0A81" w:rsidRDefault="00CD2F80" w:rsidP="00CD2F80">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291" w:type="pct"/>
            <w:tcBorders>
              <w:top w:val="outset" w:sz="6" w:space="0" w:color="auto"/>
              <w:left w:val="outset" w:sz="6" w:space="0" w:color="auto"/>
              <w:bottom w:val="outset" w:sz="6" w:space="0" w:color="auto"/>
              <w:right w:val="outset" w:sz="6" w:space="0" w:color="auto"/>
            </w:tcBorders>
            <w:hideMark/>
          </w:tcPr>
          <w:p w14:paraId="6195D57C" w14:textId="1D811BE6" w:rsidR="00CD2F80" w:rsidRPr="00AB0A81" w:rsidRDefault="00A97B10" w:rsidP="00A97B10">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4B737F5D"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2994"/>
        <w:gridCol w:w="6504"/>
      </w:tblGrid>
      <w:tr w:rsidR="00E5323B" w:rsidRPr="00AB0A81" w14:paraId="32D3D487"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8E9F7CA"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E5323B" w:rsidRPr="00AB0A81" w14:paraId="1FF67631"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038D1836"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481" w:type="pct"/>
            <w:tcBorders>
              <w:top w:val="outset" w:sz="6" w:space="0" w:color="auto"/>
              <w:left w:val="outset" w:sz="6" w:space="0" w:color="auto"/>
              <w:bottom w:val="outset" w:sz="6" w:space="0" w:color="auto"/>
              <w:right w:val="outset" w:sz="6" w:space="0" w:color="auto"/>
            </w:tcBorders>
            <w:hideMark/>
          </w:tcPr>
          <w:p w14:paraId="56E688F0"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198" w:type="pct"/>
            <w:tcBorders>
              <w:top w:val="outset" w:sz="6" w:space="0" w:color="auto"/>
              <w:left w:val="outset" w:sz="6" w:space="0" w:color="auto"/>
              <w:bottom w:val="outset" w:sz="6" w:space="0" w:color="auto"/>
              <w:right w:val="outset" w:sz="6" w:space="0" w:color="auto"/>
            </w:tcBorders>
            <w:hideMark/>
          </w:tcPr>
          <w:p w14:paraId="6520374D" w14:textId="4F77CA20" w:rsidR="00E5323B" w:rsidRPr="00AB0A81" w:rsidRDefault="00D76C7F" w:rsidP="005360C5">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D</w:t>
            </w:r>
            <w:r w:rsidR="005360C5" w:rsidRPr="00AB0A81">
              <w:rPr>
                <w:rFonts w:ascii="Times New Roman" w:eastAsia="Times New Roman" w:hAnsi="Times New Roman" w:cs="Times New Roman"/>
                <w:iCs/>
                <w:color w:val="000000" w:themeColor="text1"/>
                <w:sz w:val="24"/>
                <w:szCs w:val="24"/>
                <w:lang w:eastAsia="lv-LV"/>
              </w:rPr>
              <w:t>zīvokļu īpašnieki un to pilnvarotās personas</w:t>
            </w:r>
            <w:r w:rsidR="007D4A10">
              <w:rPr>
                <w:rFonts w:ascii="Times New Roman" w:eastAsia="Times New Roman" w:hAnsi="Times New Roman" w:cs="Times New Roman"/>
                <w:iCs/>
                <w:color w:val="000000" w:themeColor="text1"/>
                <w:sz w:val="24"/>
                <w:szCs w:val="24"/>
                <w:lang w:eastAsia="lv-LV"/>
              </w:rPr>
              <w:t>.</w:t>
            </w:r>
          </w:p>
        </w:tc>
      </w:tr>
      <w:tr w:rsidR="00E5323B" w:rsidRPr="00AB0A81" w14:paraId="2EA3E1A3"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D20FAE2"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481" w:type="pct"/>
            <w:tcBorders>
              <w:top w:val="outset" w:sz="6" w:space="0" w:color="auto"/>
              <w:left w:val="outset" w:sz="6" w:space="0" w:color="auto"/>
              <w:bottom w:val="outset" w:sz="6" w:space="0" w:color="auto"/>
              <w:right w:val="outset" w:sz="6" w:space="0" w:color="auto"/>
            </w:tcBorders>
            <w:hideMark/>
          </w:tcPr>
          <w:p w14:paraId="05459C14"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198" w:type="pct"/>
            <w:tcBorders>
              <w:top w:val="outset" w:sz="6" w:space="0" w:color="auto"/>
              <w:left w:val="outset" w:sz="6" w:space="0" w:color="auto"/>
              <w:bottom w:val="outset" w:sz="6" w:space="0" w:color="auto"/>
              <w:right w:val="outset" w:sz="6" w:space="0" w:color="auto"/>
            </w:tcBorders>
            <w:hideMark/>
          </w:tcPr>
          <w:p w14:paraId="5A8154ED" w14:textId="373AE68B" w:rsidR="00E5323B" w:rsidRPr="00AB0A81"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Noteikumu projekts neparedz ietekmi uz administratīvo slogu. </w:t>
            </w:r>
          </w:p>
        </w:tc>
      </w:tr>
      <w:tr w:rsidR="00E5323B" w:rsidRPr="00AB0A81" w14:paraId="3F83F629"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60140660"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lastRenderedPageBreak/>
              <w:t>3.</w:t>
            </w:r>
          </w:p>
        </w:tc>
        <w:tc>
          <w:tcPr>
            <w:tcW w:w="1481" w:type="pct"/>
            <w:tcBorders>
              <w:top w:val="outset" w:sz="6" w:space="0" w:color="auto"/>
              <w:left w:val="outset" w:sz="6" w:space="0" w:color="auto"/>
              <w:bottom w:val="outset" w:sz="6" w:space="0" w:color="auto"/>
              <w:right w:val="outset" w:sz="6" w:space="0" w:color="auto"/>
            </w:tcBorders>
            <w:hideMark/>
          </w:tcPr>
          <w:p w14:paraId="7B457ABF"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Administratīvo izmaksu monetārs novērtējums</w:t>
            </w:r>
          </w:p>
        </w:tc>
        <w:tc>
          <w:tcPr>
            <w:tcW w:w="3198" w:type="pct"/>
            <w:tcBorders>
              <w:top w:val="outset" w:sz="6" w:space="0" w:color="auto"/>
              <w:left w:val="outset" w:sz="6" w:space="0" w:color="auto"/>
              <w:bottom w:val="outset" w:sz="6" w:space="0" w:color="auto"/>
              <w:right w:val="outset" w:sz="6" w:space="0" w:color="auto"/>
            </w:tcBorders>
            <w:hideMark/>
          </w:tcPr>
          <w:p w14:paraId="3382E47A" w14:textId="287F5DAB" w:rsidR="00E5323B" w:rsidRPr="00AB0A81" w:rsidRDefault="005360C5" w:rsidP="008E6FFD">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neparedz ietekmi uz administratīvo slogu un izmaksām.</w:t>
            </w:r>
          </w:p>
        </w:tc>
      </w:tr>
      <w:tr w:rsidR="00E5323B" w:rsidRPr="00AB0A81" w14:paraId="44BAC52C"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4875491"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1481" w:type="pct"/>
            <w:tcBorders>
              <w:top w:val="outset" w:sz="6" w:space="0" w:color="auto"/>
              <w:left w:val="outset" w:sz="6" w:space="0" w:color="auto"/>
              <w:bottom w:val="outset" w:sz="6" w:space="0" w:color="auto"/>
              <w:right w:val="outset" w:sz="6" w:space="0" w:color="auto"/>
            </w:tcBorders>
            <w:hideMark/>
          </w:tcPr>
          <w:p w14:paraId="16C41811" w14:textId="59711795" w:rsidR="002B73AF" w:rsidRPr="00AB0A81" w:rsidRDefault="00E5323B" w:rsidP="00E75D95">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Atbilstības izmaksu monetārs novērtējums</w:t>
            </w:r>
          </w:p>
        </w:tc>
        <w:tc>
          <w:tcPr>
            <w:tcW w:w="3198" w:type="pct"/>
            <w:tcBorders>
              <w:top w:val="outset" w:sz="6" w:space="0" w:color="auto"/>
              <w:left w:val="outset" w:sz="6" w:space="0" w:color="auto"/>
              <w:bottom w:val="outset" w:sz="6" w:space="0" w:color="auto"/>
              <w:right w:val="outset" w:sz="6" w:space="0" w:color="auto"/>
            </w:tcBorders>
            <w:hideMark/>
          </w:tcPr>
          <w:p w14:paraId="7BDC1266" w14:textId="3E4BDCB9" w:rsidR="00E5323B" w:rsidRPr="00AB0A81" w:rsidRDefault="0055018D"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projekts neparedz ietekmi uz atbilstības izmaksām.</w:t>
            </w:r>
          </w:p>
        </w:tc>
      </w:tr>
      <w:tr w:rsidR="00E5323B" w:rsidRPr="00AB0A81" w14:paraId="46487C6A" w14:textId="77777777" w:rsidTr="00AB0A81">
        <w:trPr>
          <w:tblCellSpacing w:w="15" w:type="dxa"/>
        </w:trPr>
        <w:tc>
          <w:tcPr>
            <w:tcW w:w="261" w:type="pct"/>
            <w:tcBorders>
              <w:top w:val="outset" w:sz="6" w:space="0" w:color="auto"/>
              <w:left w:val="outset" w:sz="6" w:space="0" w:color="auto"/>
              <w:bottom w:val="outset" w:sz="6" w:space="0" w:color="auto"/>
              <w:right w:val="outset" w:sz="6" w:space="0" w:color="auto"/>
            </w:tcBorders>
            <w:hideMark/>
          </w:tcPr>
          <w:p w14:paraId="4C2AF509"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5.</w:t>
            </w:r>
          </w:p>
        </w:tc>
        <w:tc>
          <w:tcPr>
            <w:tcW w:w="1481" w:type="pct"/>
            <w:tcBorders>
              <w:top w:val="outset" w:sz="6" w:space="0" w:color="auto"/>
              <w:left w:val="outset" w:sz="6" w:space="0" w:color="auto"/>
              <w:bottom w:val="outset" w:sz="6" w:space="0" w:color="auto"/>
              <w:right w:val="outset" w:sz="6" w:space="0" w:color="auto"/>
            </w:tcBorders>
            <w:hideMark/>
          </w:tcPr>
          <w:p w14:paraId="2707421F"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198" w:type="pct"/>
            <w:tcBorders>
              <w:top w:val="outset" w:sz="6" w:space="0" w:color="auto"/>
              <w:left w:val="outset" w:sz="6" w:space="0" w:color="auto"/>
              <w:bottom w:val="outset" w:sz="6" w:space="0" w:color="auto"/>
              <w:right w:val="outset" w:sz="6" w:space="0" w:color="auto"/>
            </w:tcBorders>
            <w:hideMark/>
          </w:tcPr>
          <w:p w14:paraId="5C806FA9" w14:textId="1E43DCA5" w:rsidR="00E5323B" w:rsidRPr="00AB0A81" w:rsidRDefault="0055018D"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5C8B4704" w14:textId="77777777" w:rsidR="00360AC8" w:rsidRDefault="00360AC8" w:rsidP="00E5323B">
      <w:pPr>
        <w:spacing w:after="0" w:line="240" w:lineRule="auto"/>
        <w:rPr>
          <w:rFonts w:ascii="Times New Roman" w:eastAsia="Times New Roman" w:hAnsi="Times New Roman" w:cs="Times New Roman"/>
          <w:iCs/>
          <w:color w:val="000000" w:themeColor="text1"/>
          <w:sz w:val="24"/>
          <w:szCs w:val="24"/>
          <w:lang w:eastAsia="lv-LV"/>
        </w:rPr>
      </w:pPr>
    </w:p>
    <w:p w14:paraId="640C1254" w14:textId="77777777" w:rsidR="00360AC8" w:rsidRDefault="00360AC8" w:rsidP="00E5323B">
      <w:pPr>
        <w:spacing w:after="0" w:line="240" w:lineRule="auto"/>
        <w:rPr>
          <w:rFonts w:ascii="Times New Roman" w:eastAsia="Times New Roman" w:hAnsi="Times New Roman" w:cs="Times New Roman"/>
          <w:iCs/>
          <w:color w:val="000000" w:themeColor="text1"/>
          <w:sz w:val="24"/>
          <w:szCs w:val="24"/>
          <w:lang w:eastAsia="lv-LV"/>
        </w:rPr>
      </w:pPr>
    </w:p>
    <w:p w14:paraId="65D9B610" w14:textId="66303FCA"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pPr w:leftFromText="180" w:rightFromText="180" w:vertAnchor="text" w:tblpX="-459" w:tblpY="1"/>
        <w:tblOverlap w:val="never"/>
        <w:tblW w:w="102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1417"/>
        <w:gridCol w:w="1276"/>
        <w:gridCol w:w="1276"/>
        <w:gridCol w:w="1276"/>
        <w:gridCol w:w="1281"/>
        <w:gridCol w:w="1139"/>
        <w:gridCol w:w="1134"/>
      </w:tblGrid>
      <w:tr w:rsidR="00AB0A81" w:rsidRPr="00AB0A81" w14:paraId="67CCC40C" w14:textId="77777777" w:rsidTr="004D1E90">
        <w:tc>
          <w:tcPr>
            <w:tcW w:w="10212" w:type="dxa"/>
            <w:gridSpan w:val="8"/>
            <w:tcBorders>
              <w:top w:val="single" w:sz="4" w:space="0" w:color="auto"/>
              <w:left w:val="single" w:sz="4" w:space="0" w:color="auto"/>
              <w:bottom w:val="single" w:sz="4" w:space="0" w:color="auto"/>
              <w:right w:val="single" w:sz="4" w:space="0" w:color="auto"/>
            </w:tcBorders>
          </w:tcPr>
          <w:p w14:paraId="6E95117C" w14:textId="77777777" w:rsidR="00AB0A81" w:rsidRPr="00AB0A81" w:rsidRDefault="00AB0A81" w:rsidP="00617862">
            <w:pPr>
              <w:pStyle w:val="ListParagraph"/>
              <w:tabs>
                <w:tab w:val="left" w:pos="317"/>
              </w:tabs>
              <w:ind w:left="0"/>
              <w:jc w:val="center"/>
              <w:rPr>
                <w:b/>
                <w:bCs/>
                <w:sz w:val="26"/>
                <w:szCs w:val="26"/>
                <w:lang w:eastAsia="ja-JP"/>
              </w:rPr>
            </w:pPr>
            <w:bookmarkStart w:id="2" w:name="_Hlk40709034"/>
            <w:r w:rsidRPr="00AB0A81">
              <w:rPr>
                <w:b/>
                <w:bCs/>
                <w:sz w:val="26"/>
                <w:szCs w:val="26"/>
                <w:lang w:eastAsia="ja-JP"/>
              </w:rPr>
              <w:t>III. Tiesību akta projekta ietekme uz valsts budžetu un pašvaldību budžetiem</w:t>
            </w:r>
          </w:p>
        </w:tc>
      </w:tr>
      <w:tr w:rsidR="00AB0A81" w:rsidRPr="00AB0A81" w14:paraId="0AB41311" w14:textId="77777777" w:rsidTr="00360AC8">
        <w:tc>
          <w:tcPr>
            <w:tcW w:w="1413" w:type="dxa"/>
            <w:vMerge w:val="restart"/>
            <w:tcBorders>
              <w:top w:val="single" w:sz="4" w:space="0" w:color="auto"/>
              <w:left w:val="single" w:sz="4" w:space="0" w:color="auto"/>
              <w:right w:val="single" w:sz="4" w:space="0" w:color="auto"/>
            </w:tcBorders>
            <w:shd w:val="clear" w:color="auto" w:fill="auto"/>
          </w:tcPr>
          <w:p w14:paraId="3589DFE5" w14:textId="77777777" w:rsidR="00AB0A81" w:rsidRPr="00360AC8" w:rsidRDefault="00AB0A81" w:rsidP="00617862">
            <w:pPr>
              <w:jc w:val="center"/>
              <w:rPr>
                <w:rFonts w:ascii="Times New Roman" w:eastAsia="Times New Roman" w:hAnsi="Times New Roman" w:cs="Times New Roman"/>
                <w:b/>
                <w:bCs/>
                <w:sz w:val="20"/>
                <w:szCs w:val="20"/>
                <w:lang w:eastAsia="ja-JP"/>
              </w:rPr>
            </w:pPr>
          </w:p>
          <w:p w14:paraId="055F1E60" w14:textId="77777777" w:rsidR="00AB0A81" w:rsidRPr="00360AC8" w:rsidRDefault="00AB0A81" w:rsidP="00617862">
            <w:pPr>
              <w:jc w:val="center"/>
              <w:rPr>
                <w:rFonts w:ascii="Times New Roman" w:eastAsia="Times New Roman" w:hAnsi="Times New Roman" w:cs="Times New Roman"/>
                <w:b/>
                <w:bCs/>
                <w:sz w:val="20"/>
                <w:szCs w:val="20"/>
                <w:lang w:eastAsia="ja-JP"/>
              </w:rPr>
            </w:pPr>
          </w:p>
          <w:p w14:paraId="2D1CF59C" w14:textId="77777777" w:rsidR="00AB0A81" w:rsidRPr="00360AC8" w:rsidRDefault="00AB0A81" w:rsidP="00617862">
            <w:pPr>
              <w:jc w:val="center"/>
              <w:rPr>
                <w:rFonts w:ascii="Times New Roman" w:eastAsia="Times New Roman" w:hAnsi="Times New Roman" w:cs="Times New Roman"/>
                <w:b/>
                <w:bCs/>
                <w:sz w:val="20"/>
                <w:szCs w:val="20"/>
                <w:lang w:eastAsia="ja-JP"/>
              </w:rPr>
            </w:pPr>
          </w:p>
          <w:p w14:paraId="4B072602" w14:textId="77777777" w:rsidR="00AB0A81" w:rsidRPr="00360AC8" w:rsidRDefault="00AB0A81" w:rsidP="00617862">
            <w:pPr>
              <w:jc w:val="center"/>
              <w:rPr>
                <w:rFonts w:ascii="Times New Roman" w:eastAsia="Times New Roman" w:hAnsi="Times New Roman" w:cs="Times New Roman"/>
                <w:b/>
                <w:bCs/>
                <w:sz w:val="20"/>
                <w:szCs w:val="20"/>
                <w:lang w:eastAsia="ja-JP"/>
              </w:rPr>
            </w:pPr>
          </w:p>
          <w:p w14:paraId="6C49E760" w14:textId="77777777" w:rsidR="00AB0A81" w:rsidRPr="00360AC8" w:rsidRDefault="00AB0A81" w:rsidP="00617862">
            <w:pPr>
              <w:jc w:val="center"/>
              <w:rPr>
                <w:rFonts w:ascii="Times New Roman" w:eastAsia="Times New Roman" w:hAnsi="Times New Roman" w:cs="Times New Roman"/>
                <w:b/>
                <w:bCs/>
                <w:sz w:val="20"/>
                <w:szCs w:val="20"/>
                <w:lang w:eastAsia="ja-JP"/>
              </w:rPr>
            </w:pPr>
          </w:p>
          <w:p w14:paraId="6A3E471B" w14:textId="77777777" w:rsidR="00AB0A81" w:rsidRPr="00360AC8" w:rsidRDefault="00AB0A81" w:rsidP="00617862">
            <w:pPr>
              <w:jc w:val="center"/>
              <w:rPr>
                <w:rFonts w:ascii="Times New Roman" w:hAnsi="Times New Roman" w:cs="Times New Roman"/>
                <w:sz w:val="20"/>
                <w:szCs w:val="20"/>
              </w:rPr>
            </w:pPr>
            <w:r w:rsidRPr="00360AC8">
              <w:rPr>
                <w:rFonts w:ascii="Times New Roman" w:eastAsia="Times New Roman" w:hAnsi="Times New Roman" w:cs="Times New Roman"/>
                <w:b/>
                <w:bCs/>
                <w:sz w:val="20"/>
                <w:szCs w:val="20"/>
                <w:lang w:eastAsia="ja-JP"/>
              </w:rPr>
              <w:t>Rādītāji</w:t>
            </w:r>
          </w:p>
        </w:tc>
        <w:tc>
          <w:tcPr>
            <w:tcW w:w="2693" w:type="dxa"/>
            <w:gridSpan w:val="2"/>
            <w:vMerge w:val="restart"/>
            <w:tcBorders>
              <w:top w:val="single" w:sz="4" w:space="0" w:color="auto"/>
              <w:left w:val="single" w:sz="4" w:space="0" w:color="auto"/>
              <w:right w:val="single" w:sz="4" w:space="0" w:color="auto"/>
            </w:tcBorders>
            <w:shd w:val="clear" w:color="auto" w:fill="auto"/>
          </w:tcPr>
          <w:p w14:paraId="723AD31D" w14:textId="77777777" w:rsidR="00AB0A81" w:rsidRPr="00360AC8" w:rsidRDefault="00AB0A81" w:rsidP="00617862">
            <w:pPr>
              <w:pStyle w:val="ListParagraph"/>
              <w:tabs>
                <w:tab w:val="left" w:pos="317"/>
              </w:tabs>
              <w:ind w:left="34"/>
              <w:jc w:val="center"/>
              <w:rPr>
                <w:bCs/>
                <w:sz w:val="20"/>
                <w:szCs w:val="20"/>
              </w:rPr>
            </w:pPr>
            <w:r w:rsidRPr="00360AC8">
              <w:rPr>
                <w:b/>
                <w:bCs/>
                <w:sz w:val="20"/>
                <w:szCs w:val="20"/>
                <w:lang w:eastAsia="ja-JP"/>
              </w:rPr>
              <w:t>2020.gads</w:t>
            </w:r>
          </w:p>
        </w:tc>
        <w:tc>
          <w:tcPr>
            <w:tcW w:w="6106" w:type="dxa"/>
            <w:gridSpan w:val="5"/>
            <w:tcBorders>
              <w:top w:val="single" w:sz="4" w:space="0" w:color="auto"/>
              <w:left w:val="single" w:sz="4" w:space="0" w:color="auto"/>
              <w:right w:val="single" w:sz="4" w:space="0" w:color="auto"/>
            </w:tcBorders>
          </w:tcPr>
          <w:p w14:paraId="55C1E67C" w14:textId="77777777" w:rsidR="00AB0A81" w:rsidRPr="00360AC8" w:rsidRDefault="00AB0A81" w:rsidP="00617862">
            <w:pPr>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Turpmākie trīs gadi (</w:t>
            </w:r>
            <w:r w:rsidRPr="00360AC8">
              <w:rPr>
                <w:rFonts w:ascii="Times New Roman" w:eastAsia="Times New Roman" w:hAnsi="Times New Roman" w:cs="Times New Roman"/>
                <w:i/>
                <w:iCs/>
                <w:sz w:val="20"/>
                <w:szCs w:val="20"/>
                <w:lang w:eastAsia="ja-JP"/>
              </w:rPr>
              <w:t>euro</w:t>
            </w:r>
            <w:r w:rsidRPr="00360AC8">
              <w:rPr>
                <w:rFonts w:ascii="Times New Roman" w:eastAsia="Times New Roman" w:hAnsi="Times New Roman" w:cs="Times New Roman"/>
                <w:sz w:val="20"/>
                <w:szCs w:val="20"/>
                <w:lang w:eastAsia="ja-JP"/>
              </w:rPr>
              <w:t>)</w:t>
            </w:r>
          </w:p>
        </w:tc>
      </w:tr>
      <w:tr w:rsidR="00AB0A81" w:rsidRPr="00AB0A81" w14:paraId="0ACC5823" w14:textId="77777777" w:rsidTr="00360AC8">
        <w:tc>
          <w:tcPr>
            <w:tcW w:w="1413" w:type="dxa"/>
            <w:vMerge/>
            <w:tcBorders>
              <w:left w:val="single" w:sz="4" w:space="0" w:color="auto"/>
              <w:right w:val="single" w:sz="4" w:space="0" w:color="auto"/>
            </w:tcBorders>
            <w:shd w:val="clear" w:color="auto" w:fill="auto"/>
          </w:tcPr>
          <w:p w14:paraId="394C3BDB" w14:textId="77777777" w:rsidR="00AB0A81" w:rsidRPr="00360AC8" w:rsidRDefault="00AB0A81" w:rsidP="00617862">
            <w:pPr>
              <w:jc w:val="center"/>
              <w:rPr>
                <w:rFonts w:ascii="Times New Roman" w:hAnsi="Times New Roman" w:cs="Times New Roman"/>
                <w:sz w:val="20"/>
                <w:szCs w:val="20"/>
              </w:rPr>
            </w:pPr>
          </w:p>
        </w:tc>
        <w:tc>
          <w:tcPr>
            <w:tcW w:w="2693" w:type="dxa"/>
            <w:gridSpan w:val="2"/>
            <w:vMerge/>
            <w:tcBorders>
              <w:left w:val="single" w:sz="4" w:space="0" w:color="auto"/>
              <w:bottom w:val="single" w:sz="4" w:space="0" w:color="auto"/>
              <w:right w:val="single" w:sz="4" w:space="0" w:color="auto"/>
            </w:tcBorders>
            <w:shd w:val="clear" w:color="auto" w:fill="auto"/>
          </w:tcPr>
          <w:p w14:paraId="3CA121BE" w14:textId="77777777" w:rsidR="00AB0A81" w:rsidRPr="00360AC8" w:rsidRDefault="00AB0A81" w:rsidP="00617862">
            <w:pPr>
              <w:pStyle w:val="ListParagraph"/>
              <w:tabs>
                <w:tab w:val="left" w:pos="317"/>
              </w:tabs>
              <w:ind w:left="34"/>
              <w:jc w:val="center"/>
              <w:rPr>
                <w:bCs/>
                <w:sz w:val="20"/>
                <w:szCs w:val="20"/>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98400E" w14:textId="77777777" w:rsidR="00AB0A81" w:rsidRPr="00360AC8" w:rsidRDefault="00AB0A81" w:rsidP="00617862">
            <w:pPr>
              <w:jc w:val="center"/>
              <w:rPr>
                <w:rFonts w:ascii="Times New Roman" w:eastAsia="Times New Roman" w:hAnsi="Times New Roman" w:cs="Times New Roman"/>
                <w:b/>
                <w:bCs/>
                <w:sz w:val="20"/>
                <w:szCs w:val="20"/>
                <w:lang w:eastAsia="ja-JP"/>
              </w:rPr>
            </w:pPr>
            <w:r w:rsidRPr="00360AC8">
              <w:rPr>
                <w:rFonts w:ascii="Times New Roman" w:eastAsia="Times New Roman" w:hAnsi="Times New Roman" w:cs="Times New Roman"/>
                <w:b/>
                <w:bCs/>
                <w:sz w:val="20"/>
                <w:szCs w:val="20"/>
                <w:lang w:eastAsia="ja-JP"/>
              </w:rPr>
              <w:t>2021</w:t>
            </w:r>
          </w:p>
        </w:tc>
        <w:tc>
          <w:tcPr>
            <w:tcW w:w="2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DE1E3F" w14:textId="77777777" w:rsidR="00AB0A81" w:rsidRPr="00360AC8" w:rsidRDefault="00AB0A81" w:rsidP="00617862">
            <w:pPr>
              <w:jc w:val="center"/>
              <w:rPr>
                <w:rFonts w:ascii="Times New Roman" w:eastAsia="Times New Roman" w:hAnsi="Times New Roman" w:cs="Times New Roman"/>
                <w:b/>
                <w:bCs/>
                <w:sz w:val="20"/>
                <w:szCs w:val="20"/>
                <w:lang w:eastAsia="ja-JP"/>
              </w:rPr>
            </w:pPr>
            <w:r w:rsidRPr="00360AC8">
              <w:rPr>
                <w:rFonts w:ascii="Times New Roman" w:eastAsia="Times New Roman" w:hAnsi="Times New Roman" w:cs="Times New Roman"/>
                <w:b/>
                <w:bCs/>
                <w:sz w:val="20"/>
                <w:szCs w:val="20"/>
                <w:lang w:eastAsia="ja-JP"/>
              </w:rPr>
              <w:t>2022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B2377" w14:textId="77777777" w:rsidR="00AB0A81" w:rsidRPr="00360AC8" w:rsidRDefault="00AB0A81" w:rsidP="00617862">
            <w:pPr>
              <w:jc w:val="center"/>
              <w:rPr>
                <w:rFonts w:ascii="Times New Roman" w:eastAsia="Times New Roman" w:hAnsi="Times New Roman" w:cs="Times New Roman"/>
                <w:b/>
                <w:bCs/>
                <w:sz w:val="20"/>
                <w:szCs w:val="20"/>
                <w:lang w:eastAsia="ja-JP"/>
              </w:rPr>
            </w:pPr>
            <w:r w:rsidRPr="00360AC8">
              <w:rPr>
                <w:rFonts w:ascii="Times New Roman" w:eastAsia="Times New Roman" w:hAnsi="Times New Roman" w:cs="Times New Roman"/>
                <w:b/>
                <w:bCs/>
                <w:sz w:val="20"/>
                <w:szCs w:val="20"/>
                <w:lang w:eastAsia="ja-JP"/>
              </w:rPr>
              <w:t>2023</w:t>
            </w:r>
          </w:p>
        </w:tc>
      </w:tr>
      <w:tr w:rsidR="00337D95" w:rsidRPr="00AB0A81" w14:paraId="1FC034F1" w14:textId="77777777" w:rsidTr="00360AC8">
        <w:tc>
          <w:tcPr>
            <w:tcW w:w="1413" w:type="dxa"/>
            <w:vMerge/>
            <w:tcBorders>
              <w:left w:val="single" w:sz="4" w:space="0" w:color="auto"/>
              <w:bottom w:val="single" w:sz="4" w:space="0" w:color="auto"/>
              <w:right w:val="single" w:sz="4" w:space="0" w:color="auto"/>
            </w:tcBorders>
            <w:shd w:val="clear" w:color="auto" w:fill="auto"/>
          </w:tcPr>
          <w:p w14:paraId="5C5DEA44" w14:textId="77777777" w:rsidR="00AB0A81" w:rsidRPr="00360AC8" w:rsidRDefault="00AB0A81" w:rsidP="00F800B4">
            <w:pPr>
              <w:spacing w:after="0"/>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F10B59"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saskaņā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4D043D"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izmaiņas kārtējā gadā, salīdzinot ar valsts budžetu kārtējam gadam</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A866C2"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saskaņā ar vidēja termiņa budžeta ietvaru</w:t>
            </w:r>
          </w:p>
          <w:p w14:paraId="4F7B0F12"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p>
        </w:tc>
        <w:tc>
          <w:tcPr>
            <w:tcW w:w="1276" w:type="dxa"/>
            <w:tcBorders>
              <w:top w:val="single" w:sz="4" w:space="0" w:color="auto"/>
              <w:left w:val="single" w:sz="4" w:space="0" w:color="auto"/>
              <w:bottom w:val="single" w:sz="4" w:space="0" w:color="auto"/>
              <w:right w:val="single" w:sz="4" w:space="0" w:color="auto"/>
            </w:tcBorders>
          </w:tcPr>
          <w:p w14:paraId="3EFE0346"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izmaiņas, salīdzinot ar vidēja termiņa budžeta ietvaru 2021. gadam</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31D07730"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saskaņā ar vidēja termiņa budžeta ietvaru</w:t>
            </w:r>
          </w:p>
          <w:p w14:paraId="25792F5A"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p>
        </w:tc>
        <w:tc>
          <w:tcPr>
            <w:tcW w:w="1139" w:type="dxa"/>
            <w:tcBorders>
              <w:top w:val="single" w:sz="4" w:space="0" w:color="auto"/>
              <w:left w:val="single" w:sz="4" w:space="0" w:color="auto"/>
              <w:bottom w:val="single" w:sz="4" w:space="0" w:color="auto"/>
              <w:right w:val="single" w:sz="4" w:space="0" w:color="auto"/>
            </w:tcBorders>
          </w:tcPr>
          <w:p w14:paraId="351A4B0A" w14:textId="77777777"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izmaiņas, salīdzinot ar vidēja termiņa budžeta ietvaru 2022.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BD9314" w14:textId="450F5685" w:rsidR="00AB0A81" w:rsidRPr="00360AC8" w:rsidRDefault="00AB0A81" w:rsidP="00F800B4">
            <w:pPr>
              <w:spacing w:after="0"/>
              <w:jc w:val="cente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izmaiņas, salīdzinot ar vidēja termiņa budžeta ietvaru 202</w:t>
            </w:r>
            <w:r w:rsidR="004E61F8" w:rsidRPr="00360AC8">
              <w:rPr>
                <w:rFonts w:ascii="Times New Roman" w:eastAsia="Times New Roman" w:hAnsi="Times New Roman" w:cs="Times New Roman"/>
                <w:sz w:val="20"/>
                <w:szCs w:val="20"/>
                <w:lang w:eastAsia="ja-JP"/>
              </w:rPr>
              <w:t>2</w:t>
            </w:r>
            <w:r w:rsidRPr="00360AC8">
              <w:rPr>
                <w:rFonts w:ascii="Times New Roman" w:eastAsia="Times New Roman" w:hAnsi="Times New Roman" w:cs="Times New Roman"/>
                <w:sz w:val="20"/>
                <w:szCs w:val="20"/>
                <w:lang w:eastAsia="ja-JP"/>
              </w:rPr>
              <w:t>. gadam</w:t>
            </w:r>
          </w:p>
        </w:tc>
      </w:tr>
      <w:tr w:rsidR="00337D95" w:rsidRPr="00AB0A81" w14:paraId="4E88A72C" w14:textId="77777777" w:rsidTr="00360AC8">
        <w:trPr>
          <w:trHeight w:val="28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BBBD0C0"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1</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F442F5D"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9E5EA" w14:textId="77777777" w:rsidR="00AB0A81" w:rsidRPr="00360AC8" w:rsidRDefault="00AB0A81" w:rsidP="00F800B4">
            <w:pPr>
              <w:spacing w:after="0"/>
              <w:jc w:val="center"/>
              <w:rPr>
                <w:rFonts w:ascii="Times New Roman" w:hAnsi="Times New Roman" w:cs="Times New Roman"/>
                <w:bCs/>
                <w:sz w:val="20"/>
                <w:szCs w:val="20"/>
              </w:rPr>
            </w:pPr>
            <w:r w:rsidRPr="00360AC8">
              <w:rPr>
                <w:rFonts w:ascii="Times New Roman" w:hAnsi="Times New Roman" w:cs="Times New Roman"/>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5627C3" w14:textId="77777777" w:rsidR="00AB0A81" w:rsidRPr="00360AC8" w:rsidRDefault="00AB0A81" w:rsidP="00F800B4">
            <w:pPr>
              <w:pStyle w:val="ListParagraph"/>
              <w:tabs>
                <w:tab w:val="left" w:pos="317"/>
              </w:tabs>
              <w:ind w:left="34"/>
              <w:jc w:val="center"/>
              <w:rPr>
                <w:bCs/>
                <w:sz w:val="20"/>
                <w:szCs w:val="20"/>
              </w:rPr>
            </w:pPr>
            <w:r w:rsidRPr="00360AC8">
              <w:rPr>
                <w:bCs/>
                <w:sz w:val="20"/>
                <w:szCs w:val="20"/>
              </w:rPr>
              <w:t>4</w:t>
            </w:r>
          </w:p>
        </w:tc>
        <w:tc>
          <w:tcPr>
            <w:tcW w:w="1276" w:type="dxa"/>
            <w:tcBorders>
              <w:top w:val="single" w:sz="4" w:space="0" w:color="auto"/>
              <w:left w:val="single" w:sz="4" w:space="0" w:color="auto"/>
              <w:bottom w:val="single" w:sz="4" w:space="0" w:color="auto"/>
              <w:right w:val="single" w:sz="4" w:space="0" w:color="auto"/>
            </w:tcBorders>
          </w:tcPr>
          <w:p w14:paraId="3B4030F1" w14:textId="77777777" w:rsidR="00AB0A81" w:rsidRPr="00360AC8" w:rsidRDefault="00AB0A81" w:rsidP="00F800B4">
            <w:pPr>
              <w:pStyle w:val="ListParagraph"/>
              <w:tabs>
                <w:tab w:val="left" w:pos="317"/>
              </w:tabs>
              <w:ind w:left="34"/>
              <w:jc w:val="center"/>
              <w:rPr>
                <w:bCs/>
                <w:sz w:val="20"/>
                <w:szCs w:val="20"/>
              </w:rPr>
            </w:pPr>
            <w:r w:rsidRPr="00360AC8">
              <w:rPr>
                <w:bCs/>
                <w:sz w:val="20"/>
                <w:szCs w:val="20"/>
              </w:rPr>
              <w:t>5</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28A263DF" w14:textId="77777777" w:rsidR="00AB0A81" w:rsidRPr="00360AC8" w:rsidRDefault="00AB0A81" w:rsidP="00F800B4">
            <w:pPr>
              <w:pStyle w:val="ListParagraph"/>
              <w:tabs>
                <w:tab w:val="left" w:pos="317"/>
              </w:tabs>
              <w:ind w:left="34"/>
              <w:jc w:val="center"/>
              <w:rPr>
                <w:bCs/>
                <w:sz w:val="20"/>
                <w:szCs w:val="20"/>
              </w:rPr>
            </w:pPr>
            <w:r w:rsidRPr="00360AC8">
              <w:rPr>
                <w:bCs/>
                <w:sz w:val="20"/>
                <w:szCs w:val="20"/>
              </w:rPr>
              <w:t>6</w:t>
            </w:r>
          </w:p>
        </w:tc>
        <w:tc>
          <w:tcPr>
            <w:tcW w:w="1139" w:type="dxa"/>
            <w:tcBorders>
              <w:top w:val="single" w:sz="4" w:space="0" w:color="auto"/>
              <w:left w:val="single" w:sz="4" w:space="0" w:color="auto"/>
              <w:bottom w:val="single" w:sz="4" w:space="0" w:color="auto"/>
              <w:right w:val="single" w:sz="4" w:space="0" w:color="auto"/>
            </w:tcBorders>
          </w:tcPr>
          <w:p w14:paraId="78DE1F13" w14:textId="77777777" w:rsidR="00AB0A81" w:rsidRPr="00360AC8" w:rsidRDefault="00AB0A81" w:rsidP="00F800B4">
            <w:pPr>
              <w:pStyle w:val="ListParagraph"/>
              <w:tabs>
                <w:tab w:val="left" w:pos="317"/>
              </w:tabs>
              <w:ind w:left="34"/>
              <w:jc w:val="center"/>
              <w:rPr>
                <w:bCs/>
                <w:sz w:val="20"/>
                <w:szCs w:val="20"/>
              </w:rPr>
            </w:pPr>
            <w:r w:rsidRPr="00360AC8">
              <w:rPr>
                <w:bCs/>
                <w:sz w:val="20"/>
                <w:szCs w:val="20"/>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5B1D86" w14:textId="77777777" w:rsidR="00AB0A81" w:rsidRPr="00360AC8" w:rsidRDefault="00AB0A81" w:rsidP="00F800B4">
            <w:pPr>
              <w:pStyle w:val="ListParagraph"/>
              <w:tabs>
                <w:tab w:val="left" w:pos="317"/>
              </w:tabs>
              <w:ind w:left="34"/>
              <w:jc w:val="center"/>
              <w:rPr>
                <w:bCs/>
                <w:sz w:val="20"/>
                <w:szCs w:val="20"/>
              </w:rPr>
            </w:pPr>
            <w:r w:rsidRPr="00360AC8">
              <w:rPr>
                <w:bCs/>
                <w:sz w:val="20"/>
                <w:szCs w:val="20"/>
              </w:rPr>
              <w:t>8</w:t>
            </w:r>
          </w:p>
        </w:tc>
      </w:tr>
      <w:tr w:rsidR="00337D95" w:rsidRPr="00AB0A81" w14:paraId="5E2B5011"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6B8228CF" w14:textId="77777777" w:rsidR="00AB0A81" w:rsidRPr="00360AC8" w:rsidRDefault="00AB0A81" w:rsidP="00F800B4">
            <w:pPr>
              <w:spacing w:after="0"/>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1. Budžeta ieņēmumi: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B6487A1" w14:textId="5DF72587" w:rsidR="00AB0A81" w:rsidRPr="00360AC8" w:rsidRDefault="007B7CFA" w:rsidP="00F800B4">
            <w:pPr>
              <w:spacing w:after="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21 079 285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B42432" w14:textId="092B714B"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9 477 500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DD83FB" w14:textId="6D678F78" w:rsidR="00AB0A81" w:rsidRPr="00360AC8" w:rsidRDefault="000152F8"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35 062 500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C1D0AA8" w14:textId="09A22FA9" w:rsidR="00AB0A81" w:rsidRPr="00360AC8" w:rsidRDefault="00643CC6"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13 387 500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12E73AC" w14:textId="38F7F038" w:rsidR="00AB0A81" w:rsidRPr="00360AC8" w:rsidRDefault="002C6145" w:rsidP="00F800B4">
            <w:pPr>
              <w:spacing w:after="0"/>
              <w:jc w:val="center"/>
              <w:rPr>
                <w:rFonts w:ascii="Times New Roman" w:eastAsia="Times New Roman" w:hAnsi="Times New Roman" w:cs="Times New Roman"/>
                <w:b/>
                <w:sz w:val="20"/>
                <w:szCs w:val="20"/>
                <w:lang w:eastAsia="ja-JP"/>
              </w:rPr>
            </w:pPr>
            <w:r>
              <w:rPr>
                <w:rFonts w:ascii="Times New Roman" w:hAnsi="Times New Roman" w:cs="Times New Roman"/>
                <w:sz w:val="20"/>
                <w:szCs w:val="20"/>
              </w:rPr>
              <w:t>42 699 568</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E186080" w14:textId="4B33F153" w:rsidR="00AB0A81" w:rsidRPr="00360AC8" w:rsidRDefault="00643CC6"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6 885 000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83B1899" w14:textId="1AC7777A" w:rsidR="00AB0A81" w:rsidRPr="00360AC8" w:rsidRDefault="00D85E5E"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-6 964 767</w:t>
            </w:r>
          </w:p>
        </w:tc>
      </w:tr>
      <w:tr w:rsidR="00337D95" w:rsidRPr="00AB0A81" w14:paraId="0D06DFF4"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3EAB75A4" w14:textId="77777777" w:rsidR="00AB0A81" w:rsidRPr="00360AC8" w:rsidRDefault="00AB0A81" w:rsidP="00F800B4">
            <w:pPr>
              <w:spacing w:after="0"/>
              <w:jc w:val="both"/>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1.1.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CCE9C5" w14:textId="713F42B5" w:rsidR="00AB0A81" w:rsidRPr="00360AC8" w:rsidRDefault="007B7CFA" w:rsidP="00F800B4">
            <w:pPr>
              <w:spacing w:after="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21 079 285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311890" w14:textId="1F6988C1"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9 477 500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8818AA" w14:textId="22EF0D38" w:rsidR="00AB0A81" w:rsidRPr="00360AC8" w:rsidRDefault="000152F8"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35 062 500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270F1E" w14:textId="0C3A23D2" w:rsidR="00AB0A81" w:rsidRPr="00360AC8" w:rsidRDefault="00643CC6"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13 387 500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D7BD82E" w14:textId="47DAF3BC" w:rsidR="00AB0A81" w:rsidRPr="00360AC8" w:rsidRDefault="002C6145" w:rsidP="00F800B4">
            <w:pPr>
              <w:spacing w:after="0"/>
              <w:jc w:val="center"/>
              <w:rPr>
                <w:rFonts w:ascii="Times New Roman" w:eastAsia="Times New Roman" w:hAnsi="Times New Roman" w:cs="Times New Roman"/>
                <w:b/>
                <w:sz w:val="20"/>
                <w:szCs w:val="20"/>
                <w:lang w:eastAsia="ja-JP"/>
              </w:rPr>
            </w:pPr>
            <w:r>
              <w:rPr>
                <w:rFonts w:ascii="Times New Roman" w:hAnsi="Times New Roman" w:cs="Times New Roman"/>
                <w:sz w:val="20"/>
                <w:szCs w:val="20"/>
              </w:rPr>
              <w:t>42 699 568</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3210DDD" w14:textId="3CAEF703" w:rsidR="00AB0A81" w:rsidRPr="00360AC8" w:rsidRDefault="00643CC6"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6 885 000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61DB71F" w14:textId="35C55DB2" w:rsidR="00AB0A81" w:rsidRPr="00360AC8" w:rsidRDefault="00D85E5E" w:rsidP="00F800B4">
            <w:pPr>
              <w:tabs>
                <w:tab w:val="left" w:pos="315"/>
                <w:tab w:val="center" w:pos="459"/>
              </w:tabs>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-6 964 767</w:t>
            </w:r>
          </w:p>
        </w:tc>
      </w:tr>
      <w:tr w:rsidR="00337D95" w:rsidRPr="00AB0A81" w14:paraId="1FAACE41"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5BCA5640" w14:textId="77777777" w:rsidR="00AB0A81" w:rsidRPr="00360AC8" w:rsidRDefault="00AB0A81" w:rsidP="00F800B4">
            <w:pPr>
              <w:spacing w:after="0"/>
              <w:jc w:val="both"/>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1.2.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C5BC171"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191757"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A15838"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C24098"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73508C5"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89E49A6"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B7C6E92"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r>
      <w:tr w:rsidR="00337D95" w:rsidRPr="00AB0A81" w14:paraId="1EFDAE52"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76B746C9" w14:textId="77777777" w:rsidR="00AB0A81" w:rsidRPr="00360AC8" w:rsidRDefault="00AB0A81" w:rsidP="00F800B4">
            <w:pPr>
              <w:spacing w:after="0"/>
              <w:jc w:val="both"/>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1.3.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0238F8B"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46B186"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15160D"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1FBEFA7"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5925A81E"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14AF678F"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8249891"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r>
      <w:tr w:rsidR="00337D95" w:rsidRPr="00AB0A81" w14:paraId="7BAF8177"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051549BF" w14:textId="77777777" w:rsidR="00AB0A81" w:rsidRPr="00360AC8" w:rsidRDefault="00AB0A81" w:rsidP="00F800B4">
            <w:pPr>
              <w:spacing w:after="0"/>
              <w:rPr>
                <w:rFonts w:ascii="Times New Roman" w:eastAsia="Times New Roman" w:hAnsi="Times New Roman" w:cs="Times New Roman"/>
                <w:sz w:val="20"/>
                <w:szCs w:val="20"/>
                <w:lang w:eastAsia="ja-JP"/>
              </w:rPr>
            </w:pPr>
            <w:bookmarkStart w:id="3" w:name="_Hlk40710046"/>
            <w:r w:rsidRPr="00360AC8">
              <w:rPr>
                <w:rFonts w:ascii="Times New Roman" w:eastAsia="Times New Roman" w:hAnsi="Times New Roman" w:cs="Times New Roman"/>
                <w:sz w:val="20"/>
                <w:szCs w:val="20"/>
                <w:lang w:eastAsia="ja-JP"/>
              </w:rPr>
              <w:t>2. Budžeta izdevumi: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CBAE294" w14:textId="2C767629" w:rsidR="00AB0A81" w:rsidRPr="00A52F16" w:rsidRDefault="00E6013E" w:rsidP="00F800B4">
            <w:pPr>
              <w:spacing w:after="0"/>
              <w:jc w:val="center"/>
              <w:rPr>
                <w:rFonts w:ascii="Times New Roman" w:eastAsia="Arial Unicode MS" w:hAnsi="Times New Roman" w:cs="Times New Roman"/>
                <w:sz w:val="20"/>
                <w:szCs w:val="20"/>
              </w:rPr>
            </w:pPr>
            <w:r w:rsidRPr="00A52F16">
              <w:rPr>
                <w:rFonts w:ascii="Times New Roman" w:eastAsia="Arial Unicode MS" w:hAnsi="Times New Roman" w:cs="Times New Roman"/>
                <w:sz w:val="20"/>
                <w:szCs w:val="20"/>
              </w:rPr>
              <w:t>24</w:t>
            </w:r>
            <w:r w:rsidR="004D1E90" w:rsidRPr="00A52F16">
              <w:rPr>
                <w:rFonts w:ascii="Times New Roman" w:eastAsia="Arial Unicode MS" w:hAnsi="Times New Roman" w:cs="Times New Roman"/>
                <w:sz w:val="20"/>
                <w:szCs w:val="20"/>
              </w:rPr>
              <w:t xml:space="preserve"> 799 159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8931877" w14:textId="4A4CF2DD" w:rsidR="00AB0A81" w:rsidRPr="00A52F16" w:rsidRDefault="00643CC6" w:rsidP="00F800B4">
            <w:pPr>
              <w:spacing w:after="0"/>
              <w:jc w:val="center"/>
              <w:rPr>
                <w:rFonts w:ascii="Times New Roman" w:eastAsia="Arial Unicode MS" w:hAnsi="Times New Roman" w:cs="Times New Roman"/>
                <w:sz w:val="20"/>
                <w:szCs w:val="20"/>
              </w:rPr>
            </w:pPr>
            <w:r w:rsidRPr="00A52F16">
              <w:rPr>
                <w:rFonts w:ascii="Times New Roman" w:eastAsia="Arial Unicode MS" w:hAnsi="Times New Roman" w:cs="Times New Roman"/>
                <w:sz w:val="20"/>
                <w:szCs w:val="20"/>
              </w:rPr>
              <w:t>11 150 000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1E58C2" w14:textId="7D58C0B7" w:rsidR="00AB0A81" w:rsidRPr="00A52F16" w:rsidRDefault="004D1E90" w:rsidP="004E61F8">
            <w:pPr>
              <w:spacing w:after="0"/>
              <w:jc w:val="center"/>
              <w:rPr>
                <w:rFonts w:ascii="Times New Roman" w:eastAsia="Times New Roman" w:hAnsi="Times New Roman" w:cs="Times New Roman"/>
                <w:bCs/>
                <w:sz w:val="20"/>
                <w:szCs w:val="20"/>
                <w:lang w:eastAsia="ja-JP"/>
              </w:rPr>
            </w:pPr>
            <w:r w:rsidRPr="00A52F16">
              <w:rPr>
                <w:rFonts w:ascii="Times New Roman" w:eastAsia="Times New Roman" w:hAnsi="Times New Roman" w:cs="Times New Roman"/>
                <w:bCs/>
                <w:sz w:val="20"/>
                <w:szCs w:val="20"/>
                <w:lang w:eastAsia="ja-JP"/>
              </w:rPr>
              <w:t>41 250 000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3FE7E9" w14:textId="1139E5B3" w:rsidR="00AB0A81" w:rsidRPr="00A52F16" w:rsidRDefault="00643CC6" w:rsidP="004E61F8">
            <w:pPr>
              <w:spacing w:after="0"/>
              <w:jc w:val="center"/>
              <w:rPr>
                <w:rFonts w:ascii="Times New Roman" w:hAnsi="Times New Roman" w:cs="Times New Roman"/>
                <w:sz w:val="20"/>
                <w:szCs w:val="20"/>
              </w:rPr>
            </w:pPr>
            <w:r w:rsidRPr="00A52F16">
              <w:rPr>
                <w:rFonts w:ascii="Times New Roman" w:eastAsia="Arial Unicode MS" w:hAnsi="Times New Roman" w:cs="Times New Roman"/>
                <w:sz w:val="20"/>
                <w:szCs w:val="20"/>
              </w:rPr>
              <w:t>15 750 000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7B0C2E5" w14:textId="209C50A2" w:rsidR="00AB0A81" w:rsidRPr="00A52F16" w:rsidRDefault="004D1E90" w:rsidP="004E61F8">
            <w:pPr>
              <w:spacing w:after="0"/>
              <w:jc w:val="center"/>
              <w:rPr>
                <w:rFonts w:ascii="Times New Roman" w:eastAsia="Times New Roman" w:hAnsi="Times New Roman" w:cs="Times New Roman"/>
                <w:bCs/>
                <w:sz w:val="20"/>
                <w:szCs w:val="20"/>
                <w:lang w:eastAsia="ja-JP"/>
              </w:rPr>
            </w:pPr>
            <w:r w:rsidRPr="00A52F16">
              <w:rPr>
                <w:rFonts w:ascii="Times New Roman" w:eastAsia="Times New Roman" w:hAnsi="Times New Roman" w:cs="Times New Roman"/>
                <w:bCs/>
                <w:sz w:val="20"/>
                <w:szCs w:val="20"/>
                <w:lang w:eastAsia="ja-JP"/>
              </w:rPr>
              <w:t>50 234 786</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331785F" w14:textId="728C7E56" w:rsidR="00AB0A81" w:rsidRPr="00360AC8" w:rsidRDefault="00643CC6" w:rsidP="004E61F8">
            <w:pPr>
              <w:spacing w:after="0"/>
              <w:jc w:val="center"/>
              <w:rPr>
                <w:rFonts w:ascii="Times New Roman" w:hAnsi="Times New Roman" w:cs="Times New Roman"/>
                <w:sz w:val="20"/>
                <w:szCs w:val="20"/>
              </w:rPr>
            </w:pPr>
            <w:r w:rsidRPr="00360AC8">
              <w:rPr>
                <w:rFonts w:ascii="Times New Roman" w:hAnsi="Times New Roman" w:cs="Times New Roman"/>
                <w:sz w:val="20"/>
                <w:szCs w:val="20"/>
              </w:rPr>
              <w:t>8 100 000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BE3C2A8" w14:textId="6FA84CCE" w:rsidR="00AB0A81" w:rsidRPr="00360AC8" w:rsidRDefault="008278A3" w:rsidP="004E61F8">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-8 193 843</w:t>
            </w:r>
          </w:p>
        </w:tc>
      </w:tr>
      <w:bookmarkEnd w:id="3"/>
      <w:tr w:rsidR="00337D95" w:rsidRPr="00AB0A81" w14:paraId="64F3ED06"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1706BBA7"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2.1.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59AE3C" w14:textId="7C35DA12" w:rsidR="00AB0A81" w:rsidRPr="00A52F16" w:rsidRDefault="004D1E90" w:rsidP="00F800B4">
            <w:pPr>
              <w:spacing w:after="0"/>
              <w:jc w:val="center"/>
              <w:rPr>
                <w:rFonts w:ascii="Times New Roman" w:hAnsi="Times New Roman" w:cs="Times New Roman"/>
                <w:sz w:val="20"/>
                <w:szCs w:val="20"/>
              </w:rPr>
            </w:pPr>
            <w:r w:rsidRPr="00A52F16">
              <w:rPr>
                <w:rFonts w:ascii="Times New Roman" w:hAnsi="Times New Roman" w:cs="Times New Roman"/>
                <w:sz w:val="20"/>
                <w:szCs w:val="20"/>
              </w:rPr>
              <w:t>24 799 159</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37E3952" w14:textId="60DED72A" w:rsidR="00AB0A81" w:rsidRPr="00A52F16" w:rsidRDefault="00643CC6" w:rsidP="00F800B4">
            <w:pPr>
              <w:spacing w:after="0"/>
              <w:jc w:val="center"/>
              <w:rPr>
                <w:rFonts w:ascii="Times New Roman" w:hAnsi="Times New Roman" w:cs="Times New Roman"/>
                <w:sz w:val="20"/>
                <w:szCs w:val="20"/>
              </w:rPr>
            </w:pPr>
            <w:r w:rsidRPr="00A52F16">
              <w:rPr>
                <w:rFonts w:ascii="Times New Roman" w:hAnsi="Times New Roman" w:cs="Times New Roman"/>
                <w:sz w:val="20"/>
                <w:szCs w:val="20"/>
              </w:rPr>
              <w:t>11 150 000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C69CCA4" w14:textId="7FFE61ED" w:rsidR="00AB0A81" w:rsidRPr="00A52F16" w:rsidRDefault="004D1E90" w:rsidP="00F800B4">
            <w:pPr>
              <w:spacing w:after="0"/>
              <w:jc w:val="center"/>
              <w:rPr>
                <w:rFonts w:ascii="Times New Roman" w:eastAsia="Times New Roman" w:hAnsi="Times New Roman" w:cs="Times New Roman"/>
                <w:bCs/>
                <w:sz w:val="20"/>
                <w:szCs w:val="20"/>
                <w:lang w:eastAsia="ja-JP"/>
              </w:rPr>
            </w:pPr>
            <w:r w:rsidRPr="00A52F16">
              <w:rPr>
                <w:rFonts w:ascii="Times New Roman" w:eastAsia="Times New Roman" w:hAnsi="Times New Roman" w:cs="Times New Roman"/>
                <w:bCs/>
                <w:sz w:val="20"/>
                <w:szCs w:val="20"/>
                <w:lang w:eastAsia="ja-JP"/>
              </w:rPr>
              <w:t>41 250 000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DC7EDA" w14:textId="363F08A7" w:rsidR="00AB0A81" w:rsidRPr="00A52F16" w:rsidRDefault="00643CC6" w:rsidP="00F800B4">
            <w:pPr>
              <w:spacing w:after="0"/>
              <w:jc w:val="center"/>
              <w:rPr>
                <w:rFonts w:ascii="Times New Roman" w:hAnsi="Times New Roman" w:cs="Times New Roman"/>
                <w:sz w:val="20"/>
                <w:szCs w:val="20"/>
              </w:rPr>
            </w:pPr>
            <w:r w:rsidRPr="00A52F16">
              <w:rPr>
                <w:rFonts w:ascii="Times New Roman" w:hAnsi="Times New Roman" w:cs="Times New Roman"/>
                <w:sz w:val="20"/>
                <w:szCs w:val="20"/>
              </w:rPr>
              <w:t>15 750 000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2FB51C7" w14:textId="57791DD5" w:rsidR="00AB0A81" w:rsidRPr="00A52F16" w:rsidRDefault="00360AC8" w:rsidP="00A40471">
            <w:pPr>
              <w:spacing w:after="0"/>
              <w:ind w:right="35"/>
              <w:jc w:val="center"/>
              <w:rPr>
                <w:rFonts w:ascii="Times New Roman" w:eastAsia="Times New Roman" w:hAnsi="Times New Roman" w:cs="Times New Roman"/>
                <w:bCs/>
                <w:sz w:val="20"/>
                <w:szCs w:val="20"/>
                <w:lang w:eastAsia="ja-JP"/>
              </w:rPr>
            </w:pPr>
            <w:r w:rsidRPr="00A52F16">
              <w:rPr>
                <w:rFonts w:ascii="Times New Roman" w:eastAsia="Times New Roman" w:hAnsi="Times New Roman" w:cs="Times New Roman"/>
                <w:bCs/>
                <w:sz w:val="20"/>
                <w:szCs w:val="20"/>
                <w:lang w:eastAsia="ja-JP"/>
              </w:rPr>
              <w:t>50 234 786</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E7D1E4D" w14:textId="0646B31B" w:rsidR="00AB0A81" w:rsidRPr="00360AC8" w:rsidDel="007A71B8" w:rsidRDefault="00643CC6"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8 100 000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1005619" w14:textId="26975E31" w:rsidR="00AB0A81" w:rsidRPr="00360AC8" w:rsidRDefault="008278A3" w:rsidP="00F800B4">
            <w:pPr>
              <w:spacing w:after="0"/>
              <w:jc w:val="center"/>
              <w:rPr>
                <w:rFonts w:ascii="Times New Roman" w:eastAsia="Times New Roman" w:hAnsi="Times New Roman" w:cs="Times New Roman"/>
                <w:b/>
                <w:sz w:val="20"/>
                <w:szCs w:val="20"/>
                <w:lang w:eastAsia="ja-JP"/>
              </w:rPr>
            </w:pPr>
            <w:r>
              <w:rPr>
                <w:rFonts w:ascii="Times New Roman" w:hAnsi="Times New Roman" w:cs="Times New Roman"/>
                <w:sz w:val="20"/>
                <w:szCs w:val="20"/>
              </w:rPr>
              <w:t>-8 193 843</w:t>
            </w:r>
          </w:p>
        </w:tc>
      </w:tr>
      <w:tr w:rsidR="00337D95" w:rsidRPr="00AB0A81" w14:paraId="0C370629"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7CD8E740"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2.2. valsts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82C8DEB"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4D3A06"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B7E739"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2E56E3"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33C832DC"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2253E715"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D4DD36"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r>
      <w:tr w:rsidR="00337D95" w:rsidRPr="00AB0A81" w14:paraId="231359C8"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35F40672"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2.3.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DA81C0D"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491A5A"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4E3CF"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524525E"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1D78B5A5"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3ADD3815"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3BD5FDC" w14:textId="77777777" w:rsidR="00AB0A81" w:rsidRPr="00360AC8" w:rsidRDefault="00AB0A81" w:rsidP="00F800B4">
            <w:pPr>
              <w:spacing w:after="0"/>
              <w:jc w:val="center"/>
              <w:rPr>
                <w:rFonts w:ascii="Times New Roman" w:eastAsia="Times New Roman" w:hAnsi="Times New Roman" w:cs="Times New Roman"/>
                <w:b/>
                <w:sz w:val="20"/>
                <w:szCs w:val="20"/>
                <w:lang w:eastAsia="ja-JP"/>
              </w:rPr>
            </w:pPr>
            <w:r w:rsidRPr="00360AC8">
              <w:rPr>
                <w:rFonts w:ascii="Times New Roman" w:hAnsi="Times New Roman" w:cs="Times New Roman"/>
                <w:sz w:val="20"/>
                <w:szCs w:val="20"/>
              </w:rPr>
              <w:t>0</w:t>
            </w:r>
          </w:p>
        </w:tc>
      </w:tr>
      <w:tr w:rsidR="00337D95" w:rsidRPr="00AB0A81" w14:paraId="5A4E925A"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386825D9" w14:textId="77777777" w:rsidR="00AB0A81" w:rsidRPr="00360AC8" w:rsidRDefault="00AB0A81" w:rsidP="00F800B4">
            <w:pPr>
              <w:spacing w:after="0"/>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3.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E80C7A8" w14:textId="1805523F" w:rsidR="00AB0A81" w:rsidRPr="00360AC8" w:rsidRDefault="0084535C" w:rsidP="00F800B4">
            <w:pPr>
              <w:spacing w:after="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-3 719 874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7838FE" w14:textId="14A26209" w:rsidR="00AB0A81" w:rsidRPr="00360AC8" w:rsidRDefault="00C5294A"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 xml:space="preserve">- </w:t>
            </w:r>
            <w:r w:rsidR="00643CC6" w:rsidRPr="00360AC8">
              <w:rPr>
                <w:rFonts w:ascii="Times New Roman" w:eastAsia="Arial Unicode MS" w:hAnsi="Times New Roman" w:cs="Times New Roman"/>
                <w:sz w:val="20"/>
                <w:szCs w:val="20"/>
              </w:rPr>
              <w:t xml:space="preserve">1 672 500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2F54A0" w14:textId="1F310990" w:rsidR="00AB0A81" w:rsidRPr="00360AC8" w:rsidRDefault="000152F8"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-6 187 500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CE246A" w14:textId="787F356E"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- 2 362 500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7157C960" w14:textId="3748A883" w:rsidR="00AB0A81" w:rsidRPr="00360AC8" w:rsidRDefault="002C6145"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-7 535 218</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4FD56408" w14:textId="713AC9CF"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- 1 215 000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86B5FFF" w14:textId="79758333" w:rsidR="00AB0A81" w:rsidRPr="00360AC8" w:rsidRDefault="00D85E5E" w:rsidP="00F800B4">
            <w:pPr>
              <w:spacing w:after="0"/>
              <w:jc w:val="center"/>
              <w:rPr>
                <w:rFonts w:ascii="Times New Roman" w:eastAsia="Times New Roman" w:hAnsi="Times New Roman" w:cs="Times New Roman"/>
                <w:b/>
                <w:sz w:val="20"/>
                <w:szCs w:val="20"/>
                <w:lang w:eastAsia="ja-JP"/>
              </w:rPr>
            </w:pPr>
            <w:r>
              <w:rPr>
                <w:rFonts w:ascii="Times New Roman" w:eastAsia="Arial Unicode MS" w:hAnsi="Times New Roman" w:cs="Times New Roman"/>
                <w:sz w:val="20"/>
                <w:szCs w:val="20"/>
              </w:rPr>
              <w:t>1 229 076</w:t>
            </w:r>
          </w:p>
        </w:tc>
      </w:tr>
      <w:tr w:rsidR="00337D95" w:rsidRPr="00AB0A81" w14:paraId="6FECABFC"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135162EF"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3.1. valsts pamatbudžets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44D354E" w14:textId="2C374506" w:rsidR="00AB0A81" w:rsidRPr="00360AC8" w:rsidRDefault="007B7CFA" w:rsidP="00F800B4">
            <w:pPr>
              <w:spacing w:after="0"/>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-3 719 874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2B9F2" w14:textId="0713E649"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 xml:space="preserve">- 1 672 500 </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A42CC4" w14:textId="75EEAC02" w:rsidR="00AB0A81" w:rsidRPr="00360AC8" w:rsidRDefault="000152F8" w:rsidP="004E61F8">
            <w:pPr>
              <w:rPr>
                <w:rFonts w:ascii="Times New Roman" w:hAnsi="Times New Roman" w:cs="Times New Roman"/>
                <w:sz w:val="20"/>
                <w:szCs w:val="20"/>
              </w:rPr>
            </w:pPr>
            <w:r>
              <w:rPr>
                <w:rFonts w:ascii="Times New Roman" w:hAnsi="Times New Roman" w:cs="Times New Roman"/>
                <w:sz w:val="20"/>
                <w:szCs w:val="20"/>
              </w:rPr>
              <w:t xml:space="preserve">  -6 187 500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56295B" w14:textId="7BBA139A"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- 2 362 500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757D4CD7" w14:textId="6049C149" w:rsidR="00AB0A81" w:rsidRPr="00360AC8" w:rsidRDefault="002C6145" w:rsidP="00F800B4">
            <w:pPr>
              <w:spacing w:after="0"/>
              <w:jc w:val="center"/>
              <w:rPr>
                <w:rFonts w:ascii="Times New Roman" w:hAnsi="Times New Roman" w:cs="Times New Roman"/>
                <w:sz w:val="20"/>
                <w:szCs w:val="20"/>
              </w:rPr>
            </w:pPr>
            <w:r>
              <w:rPr>
                <w:rFonts w:ascii="Times New Roman" w:eastAsia="Arial Unicode MS" w:hAnsi="Times New Roman" w:cs="Times New Roman"/>
                <w:sz w:val="20"/>
                <w:szCs w:val="20"/>
              </w:rPr>
              <w:t>-7 535 218</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62F9CA91" w14:textId="554E5F6F" w:rsidR="00AB0A81" w:rsidRPr="00360AC8" w:rsidRDefault="00643CC6" w:rsidP="00F800B4">
            <w:pPr>
              <w:spacing w:after="0"/>
              <w:jc w:val="center"/>
              <w:rPr>
                <w:rFonts w:ascii="Times New Roman" w:eastAsia="Arial Unicode MS" w:hAnsi="Times New Roman" w:cs="Times New Roman"/>
                <w:sz w:val="20"/>
                <w:szCs w:val="20"/>
              </w:rPr>
            </w:pPr>
            <w:r w:rsidRPr="00360AC8">
              <w:rPr>
                <w:rFonts w:ascii="Times New Roman" w:hAnsi="Times New Roman" w:cs="Times New Roman"/>
                <w:sz w:val="20"/>
                <w:szCs w:val="20"/>
              </w:rPr>
              <w:t>- 1 215 000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3DCFD43" w14:textId="0888F167" w:rsidR="00AB0A81" w:rsidRPr="00360AC8" w:rsidRDefault="00D85E5E" w:rsidP="00F800B4">
            <w:pPr>
              <w:spacing w:after="0"/>
              <w:jc w:val="center"/>
              <w:rPr>
                <w:rFonts w:ascii="Times New Roman" w:hAnsi="Times New Roman" w:cs="Times New Roman"/>
                <w:sz w:val="20"/>
                <w:szCs w:val="20"/>
              </w:rPr>
            </w:pPr>
            <w:r>
              <w:rPr>
                <w:rFonts w:ascii="Times New Roman" w:hAnsi="Times New Roman" w:cs="Times New Roman"/>
                <w:sz w:val="20"/>
                <w:szCs w:val="20"/>
              </w:rPr>
              <w:t>1 229 076</w:t>
            </w:r>
          </w:p>
        </w:tc>
      </w:tr>
      <w:tr w:rsidR="00337D95" w:rsidRPr="00AB0A81" w14:paraId="1DC0AA88"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658EC8AC"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3.2. speciālais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1B55E81"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F7438C"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E70CAE"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DE393E"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4B46C4AF"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4F43A26"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867B612"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r>
      <w:tr w:rsidR="00337D95" w:rsidRPr="00AB0A81" w14:paraId="1C9E8E83"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035ADCA8" w14:textId="77777777" w:rsidR="00AB0A81" w:rsidRPr="00360AC8" w:rsidRDefault="00AB0A81" w:rsidP="00F800B4">
            <w:pPr>
              <w:spacing w:after="0"/>
              <w:rPr>
                <w:rFonts w:ascii="Times New Roman" w:eastAsia="Times New Roman" w:hAnsi="Times New Roman" w:cs="Times New Roman"/>
                <w:sz w:val="20"/>
                <w:szCs w:val="20"/>
              </w:rPr>
            </w:pPr>
            <w:r w:rsidRPr="00360AC8">
              <w:rPr>
                <w:rFonts w:ascii="Times New Roman" w:eastAsia="Times New Roman" w:hAnsi="Times New Roman" w:cs="Times New Roman"/>
                <w:sz w:val="20"/>
                <w:szCs w:val="20"/>
              </w:rPr>
              <w:t>3.3. pašvaldību budžets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FCFC3D1"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097F7E6" w14:textId="77777777" w:rsidR="00AB0A81" w:rsidRPr="00360AC8" w:rsidRDefault="00AB0A81" w:rsidP="00F800B4">
            <w:pPr>
              <w:spacing w:after="0"/>
              <w:jc w:val="center"/>
              <w:rPr>
                <w:rFonts w:ascii="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10E1DA1"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59372B1"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64A3DBE5"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D37DA19" w14:textId="77777777" w:rsidR="00AB0A81" w:rsidRPr="00360AC8" w:rsidRDefault="00AB0A81" w:rsidP="00F800B4">
            <w:pPr>
              <w:spacing w:after="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2B6DF3A" w14:textId="77777777" w:rsidR="00AB0A81" w:rsidRPr="00360AC8" w:rsidRDefault="00AB0A81" w:rsidP="00F800B4">
            <w:pPr>
              <w:spacing w:after="0"/>
              <w:jc w:val="center"/>
              <w:rPr>
                <w:rFonts w:ascii="Times New Roman" w:eastAsia="Times New Roman" w:hAnsi="Times New Roman" w:cs="Times New Roman"/>
                <w:sz w:val="20"/>
                <w:szCs w:val="20"/>
              </w:rPr>
            </w:pPr>
            <w:r w:rsidRPr="00360AC8">
              <w:rPr>
                <w:rFonts w:ascii="Times New Roman" w:eastAsia="Arial Unicode MS" w:hAnsi="Times New Roman" w:cs="Times New Roman"/>
                <w:sz w:val="20"/>
                <w:szCs w:val="20"/>
              </w:rPr>
              <w:t>0</w:t>
            </w:r>
          </w:p>
        </w:tc>
      </w:tr>
      <w:tr w:rsidR="00337D95" w:rsidRPr="00AB0A81" w14:paraId="536D5B3F"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09CDF449" w14:textId="77777777" w:rsidR="00AB0A81" w:rsidRPr="00360AC8" w:rsidRDefault="00AB0A81" w:rsidP="00F800B4">
            <w:pPr>
              <w:spacing w:after="0"/>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 xml:space="preserve">4. Finanšu līdzekļi papildu izdevumu </w:t>
            </w:r>
            <w:r w:rsidRPr="00360AC8">
              <w:rPr>
                <w:rFonts w:ascii="Times New Roman" w:eastAsia="Times New Roman" w:hAnsi="Times New Roman" w:cs="Times New Roman"/>
                <w:sz w:val="20"/>
                <w:szCs w:val="20"/>
                <w:lang w:eastAsia="ja-JP"/>
              </w:rPr>
              <w:lastRenderedPageBreak/>
              <w:t>finansēšanai (kompensējošu izdevumu samazinājumu norāda ar "+" zīmi)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D214CF1" w14:textId="6CC1CEA0"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lastRenderedPageBreak/>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918AC6" w14:textId="50BEB436" w:rsidR="00AB0A81" w:rsidRPr="00360AC8" w:rsidRDefault="00AB0A81" w:rsidP="00AB0A81">
            <w:pPr>
              <w:jc w:val="center"/>
              <w:rPr>
                <w:rFonts w:ascii="Times New Roman" w:eastAsia="Arial Unicode MS" w:hAnsi="Times New Roman" w:cs="Times New Roman"/>
                <w:b/>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785A3E0" w14:textId="1D8C335E" w:rsidR="00AB0A81" w:rsidRPr="00360AC8" w:rsidRDefault="00AB0A81" w:rsidP="00AB0A81">
            <w:pPr>
              <w:ind w:left="-30"/>
              <w:jc w:val="center"/>
              <w:rPr>
                <w:rFonts w:ascii="Times New Roman" w:eastAsia="Times New Roman" w:hAnsi="Times New Roman" w:cs="Times New Roman"/>
                <w:bCs/>
                <w:sz w:val="20"/>
                <w:szCs w:val="20"/>
              </w:rPr>
            </w:pPr>
            <w:r w:rsidRPr="00360AC8">
              <w:rPr>
                <w:rFonts w:ascii="Times New Roman" w:eastAsia="Times New Roman" w:hAnsi="Times New Roman" w:cs="Times New Roman"/>
                <w:bCs/>
                <w:sz w:val="20"/>
                <w:szCs w:val="20"/>
              </w:rPr>
              <w:t>0</w:t>
            </w:r>
          </w:p>
        </w:tc>
        <w:tc>
          <w:tcPr>
            <w:tcW w:w="1276" w:type="dxa"/>
            <w:tcBorders>
              <w:top w:val="single" w:sz="4" w:space="0" w:color="auto"/>
              <w:left w:val="single" w:sz="4" w:space="0" w:color="auto"/>
              <w:bottom w:val="single" w:sz="4" w:space="0" w:color="auto"/>
              <w:right w:val="single" w:sz="4" w:space="0" w:color="auto"/>
            </w:tcBorders>
          </w:tcPr>
          <w:p w14:paraId="2CEC88F7" w14:textId="38C8AF9F" w:rsidR="00AB0A81" w:rsidRPr="00360AC8" w:rsidRDefault="00AB0A81" w:rsidP="00AB0A81">
            <w:pPr>
              <w:ind w:left="-30"/>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tcPr>
          <w:p w14:paraId="094F353D" w14:textId="340E46A5" w:rsidR="00AB0A81" w:rsidRPr="00360AC8" w:rsidRDefault="00AB0A81" w:rsidP="00AB0A81">
            <w:pPr>
              <w:ind w:left="-30"/>
              <w:jc w:val="center"/>
              <w:rPr>
                <w:rFonts w:ascii="Times New Roman" w:eastAsia="Times New Roman" w:hAnsi="Times New Roman" w:cs="Times New Roman"/>
                <w:bCs/>
                <w:sz w:val="20"/>
                <w:szCs w:val="20"/>
              </w:rPr>
            </w:pPr>
            <w:r w:rsidRPr="00360AC8">
              <w:rPr>
                <w:rFonts w:ascii="Times New Roman" w:eastAsia="Times New Roman" w:hAnsi="Times New Roman" w:cs="Times New Roman"/>
                <w:bCs/>
                <w:sz w:val="20"/>
                <w:szCs w:val="20"/>
              </w:rPr>
              <w:t>0</w:t>
            </w:r>
          </w:p>
        </w:tc>
        <w:tc>
          <w:tcPr>
            <w:tcW w:w="1139" w:type="dxa"/>
            <w:tcBorders>
              <w:top w:val="single" w:sz="4" w:space="0" w:color="auto"/>
              <w:left w:val="single" w:sz="4" w:space="0" w:color="auto"/>
              <w:bottom w:val="single" w:sz="4" w:space="0" w:color="auto"/>
              <w:right w:val="single" w:sz="4" w:space="0" w:color="auto"/>
            </w:tcBorders>
          </w:tcPr>
          <w:p w14:paraId="3EBA1FE8" w14:textId="597866F0" w:rsidR="00AB0A81" w:rsidRPr="00360AC8" w:rsidRDefault="00AB0A81" w:rsidP="00AB0A81">
            <w:pPr>
              <w:ind w:left="-30"/>
              <w:jc w:val="center"/>
              <w:rPr>
                <w:rFonts w:ascii="Times New Roman" w:eastAsia="Arial Unicode MS" w:hAnsi="Times New Roman" w:cs="Times New Roman"/>
                <w:bCs/>
                <w:sz w:val="20"/>
                <w:szCs w:val="20"/>
              </w:rPr>
            </w:pPr>
            <w:r w:rsidRPr="00360AC8">
              <w:rPr>
                <w:rFonts w:ascii="Times New Roman" w:eastAsia="Arial Unicode MS" w:hAnsi="Times New Roman" w:cs="Times New Roman"/>
                <w:bCs/>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566CA59" w14:textId="2D979210" w:rsidR="00AB0A81" w:rsidRPr="00360AC8" w:rsidRDefault="00AB0A81" w:rsidP="00AB0A81">
            <w:pPr>
              <w:ind w:left="-30"/>
              <w:jc w:val="center"/>
              <w:rPr>
                <w:rFonts w:ascii="Times New Roman" w:eastAsia="Times New Roman" w:hAnsi="Times New Roman" w:cs="Times New Roman"/>
                <w:bCs/>
                <w:sz w:val="20"/>
                <w:szCs w:val="20"/>
              </w:rPr>
            </w:pPr>
            <w:r w:rsidRPr="00360AC8">
              <w:rPr>
                <w:rFonts w:ascii="Times New Roman" w:eastAsia="Times New Roman" w:hAnsi="Times New Roman" w:cs="Times New Roman"/>
                <w:bCs/>
                <w:sz w:val="20"/>
                <w:szCs w:val="20"/>
              </w:rPr>
              <w:t>0</w:t>
            </w:r>
          </w:p>
        </w:tc>
      </w:tr>
      <w:tr w:rsidR="00337D95" w:rsidRPr="00AB0A81" w14:paraId="01F73B8F"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25527274" w14:textId="77777777" w:rsidR="00AB0A81" w:rsidRPr="00360AC8" w:rsidRDefault="00AB0A81" w:rsidP="00F800B4">
            <w:pPr>
              <w:spacing w:after="0"/>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5. Precizēta finansiālā ietekme: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FD9B90" w14:textId="72EB253B" w:rsidR="00AB0A81" w:rsidRPr="00360AC8" w:rsidRDefault="00C5294A"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45D1D5" w14:textId="7E9A1AFE" w:rsidR="00AB0A81" w:rsidRPr="00360AC8" w:rsidRDefault="00C86F48" w:rsidP="0007029A">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FAF25" w14:textId="534883AD"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14:paraId="4A3F0551" w14:textId="77777777"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281" w:type="dxa"/>
            <w:tcBorders>
              <w:top w:val="single" w:sz="4" w:space="0" w:color="auto"/>
              <w:left w:val="single" w:sz="4" w:space="0" w:color="auto"/>
              <w:bottom w:val="single" w:sz="4" w:space="0" w:color="auto"/>
              <w:right w:val="single" w:sz="4" w:space="0" w:color="auto"/>
            </w:tcBorders>
            <w:shd w:val="clear" w:color="auto" w:fill="auto"/>
            <w:vAlign w:val="center"/>
          </w:tcPr>
          <w:p w14:paraId="6EBBDD53" w14:textId="64B9C9ED"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139" w:type="dxa"/>
            <w:tcBorders>
              <w:top w:val="single" w:sz="4" w:space="0" w:color="auto"/>
              <w:left w:val="single" w:sz="4" w:space="0" w:color="auto"/>
              <w:bottom w:val="single" w:sz="4" w:space="0" w:color="auto"/>
              <w:right w:val="single" w:sz="4" w:space="0" w:color="auto"/>
            </w:tcBorders>
            <w:vAlign w:val="center"/>
          </w:tcPr>
          <w:p w14:paraId="38269E62" w14:textId="77777777"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96D85D" w14:textId="6094FA31" w:rsidR="00AB0A81" w:rsidRPr="00360AC8" w:rsidRDefault="00AB0A81" w:rsidP="00AB0A81">
            <w:pPr>
              <w:jc w:val="center"/>
              <w:rPr>
                <w:rFonts w:ascii="Times New Roman" w:eastAsia="Arial Unicode MS" w:hAnsi="Times New Roman" w:cs="Times New Roman"/>
                <w:sz w:val="20"/>
                <w:szCs w:val="20"/>
              </w:rPr>
            </w:pPr>
            <w:r w:rsidRPr="00360AC8">
              <w:rPr>
                <w:rFonts w:ascii="Times New Roman" w:eastAsia="Arial Unicode MS" w:hAnsi="Times New Roman" w:cs="Times New Roman"/>
                <w:sz w:val="20"/>
                <w:szCs w:val="20"/>
              </w:rPr>
              <w:t>0</w:t>
            </w:r>
          </w:p>
        </w:tc>
      </w:tr>
      <w:tr w:rsidR="00AB0A81" w:rsidRPr="00AB0A81" w14:paraId="17013A4C"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04B49347" w14:textId="77777777" w:rsidR="00AB0A81" w:rsidRPr="00360AC8" w:rsidRDefault="00AB0A81" w:rsidP="00AB0A81">
            <w:pPr>
              <w:rPr>
                <w:rFonts w:ascii="Times New Roman" w:hAnsi="Times New Roman" w:cs="Times New Roman"/>
                <w:iCs/>
                <w:color w:val="000000"/>
                <w:sz w:val="20"/>
                <w:szCs w:val="20"/>
              </w:rPr>
            </w:pPr>
            <w:r w:rsidRPr="00360AC8">
              <w:rPr>
                <w:rFonts w:ascii="Times New Roman" w:hAnsi="Times New Roman" w:cs="Times New Roman"/>
                <w:iCs/>
                <w:color w:val="000000"/>
                <w:sz w:val="20"/>
                <w:szCs w:val="20"/>
              </w:rPr>
              <w:t>6. Detalizēts ieņēmumu un izdevumu aprēķins (ja nepieciešams, detalizētu ieņēmumu un izdevumu aprēķinu var pievienot anotācijas pielikumā):</w:t>
            </w:r>
          </w:p>
        </w:tc>
        <w:tc>
          <w:tcPr>
            <w:tcW w:w="8799" w:type="dxa"/>
            <w:gridSpan w:val="7"/>
            <w:vMerge w:val="restart"/>
            <w:tcBorders>
              <w:top w:val="single" w:sz="4" w:space="0" w:color="auto"/>
              <w:left w:val="single" w:sz="4" w:space="0" w:color="auto"/>
              <w:right w:val="single" w:sz="4" w:space="0" w:color="auto"/>
            </w:tcBorders>
          </w:tcPr>
          <w:p w14:paraId="0929298E" w14:textId="77777777" w:rsidR="00825A16" w:rsidRPr="00360AC8" w:rsidRDefault="00825A16" w:rsidP="00AB0A81">
            <w:pPr>
              <w:jc w:val="both"/>
              <w:rPr>
                <w:rFonts w:ascii="Times New Roman" w:hAnsi="Times New Roman" w:cs="Times New Roman"/>
                <w:sz w:val="20"/>
                <w:szCs w:val="20"/>
              </w:rPr>
            </w:pPr>
          </w:p>
          <w:p w14:paraId="7DC5F041" w14:textId="77777777" w:rsidR="00DC402A" w:rsidRPr="00360AC8" w:rsidRDefault="00D103E6" w:rsidP="00AE5878">
            <w:pPr>
              <w:jc w:val="both"/>
              <w:rPr>
                <w:rFonts w:ascii="Times New Roman" w:hAnsi="Times New Roman" w:cs="Times New Roman"/>
                <w:sz w:val="20"/>
                <w:szCs w:val="20"/>
              </w:rPr>
            </w:pPr>
            <w:r w:rsidRPr="00360AC8">
              <w:rPr>
                <w:rFonts w:ascii="Times New Roman" w:hAnsi="Times New Roman" w:cs="Times New Roman"/>
                <w:sz w:val="20"/>
                <w:szCs w:val="20"/>
              </w:rPr>
              <w:t xml:space="preserve">Noteikumu projekts paredz papildu finansējumu 4.2.1.1. specifiskā atbalsta mērķa pasākumu “Vecināt energoefektivitātes paaugstināšanu dzīvojamās ēkās” īstenošanai 35 000 000 euro apmērā, kas ir </w:t>
            </w:r>
            <w:r w:rsidRPr="00360AC8">
              <w:rPr>
                <w:sz w:val="20"/>
                <w:szCs w:val="20"/>
              </w:rPr>
              <w:t xml:space="preserve"> </w:t>
            </w:r>
            <w:r w:rsidRPr="00360AC8">
              <w:rPr>
                <w:rFonts w:ascii="Times New Roman" w:hAnsi="Times New Roman" w:cs="Times New Roman"/>
                <w:sz w:val="20"/>
                <w:szCs w:val="20"/>
              </w:rPr>
              <w:t xml:space="preserve">ES fondu virssaistības. </w:t>
            </w:r>
          </w:p>
          <w:p w14:paraId="5B5F4F71" w14:textId="25FF33A6" w:rsidR="00AE5878" w:rsidRDefault="00AE5878" w:rsidP="00AE5878">
            <w:pPr>
              <w:jc w:val="both"/>
              <w:rPr>
                <w:rFonts w:ascii="Times New Roman" w:hAnsi="Times New Roman" w:cs="Times New Roman"/>
                <w:sz w:val="20"/>
                <w:szCs w:val="20"/>
              </w:rPr>
            </w:pPr>
            <w:r w:rsidRPr="00360AC8">
              <w:rPr>
                <w:rFonts w:ascii="Times New Roman" w:hAnsi="Times New Roman" w:cs="Times New Roman"/>
                <w:sz w:val="20"/>
                <w:szCs w:val="20"/>
              </w:rPr>
              <w:t>Nepieciešam</w:t>
            </w:r>
            <w:r w:rsidR="00DC402A" w:rsidRPr="00360AC8">
              <w:rPr>
                <w:rFonts w:ascii="Times New Roman" w:hAnsi="Times New Roman" w:cs="Times New Roman"/>
                <w:sz w:val="20"/>
                <w:szCs w:val="20"/>
              </w:rPr>
              <w:t>ā</w:t>
            </w:r>
            <w:r w:rsidRPr="00360AC8">
              <w:rPr>
                <w:rFonts w:ascii="Times New Roman" w:hAnsi="Times New Roman" w:cs="Times New Roman"/>
                <w:sz w:val="20"/>
                <w:szCs w:val="20"/>
              </w:rPr>
              <w:t xml:space="preserve"> papildus finansējuma apmēr</w:t>
            </w:r>
            <w:r w:rsidR="00DC402A" w:rsidRPr="00360AC8">
              <w:rPr>
                <w:rFonts w:ascii="Times New Roman" w:hAnsi="Times New Roman" w:cs="Times New Roman"/>
                <w:sz w:val="20"/>
                <w:szCs w:val="20"/>
              </w:rPr>
              <w:t>s</w:t>
            </w:r>
            <w:r w:rsidRPr="00360AC8">
              <w:rPr>
                <w:rFonts w:ascii="Times New Roman" w:hAnsi="Times New Roman" w:cs="Times New Roman"/>
                <w:sz w:val="20"/>
                <w:szCs w:val="20"/>
              </w:rPr>
              <w:t xml:space="preserve"> 35 000 000 euro ir noteikts, veicot  provizorisku aprēķinu, pieņemot, ka tiktu nodrošināta finansējuma pieejamība visiem iesniegtajiem  projektiem, kuru pieteikumi tika iesniegti Altum līdz 2020. gada 11. janvārim. Kopējā  grantu summa sasniegtu 166 835 885 euro, savukārt kopējā izsniegto</w:t>
            </w:r>
            <w:r w:rsidR="007D50C5" w:rsidRPr="00360AC8">
              <w:rPr>
                <w:rFonts w:ascii="Times New Roman" w:hAnsi="Times New Roman" w:cs="Times New Roman"/>
                <w:sz w:val="20"/>
                <w:szCs w:val="20"/>
              </w:rPr>
              <w:t xml:space="preserve"> </w:t>
            </w:r>
            <w:r w:rsidRPr="00360AC8">
              <w:rPr>
                <w:rFonts w:ascii="Times New Roman" w:hAnsi="Times New Roman" w:cs="Times New Roman"/>
                <w:sz w:val="20"/>
                <w:szCs w:val="20"/>
              </w:rPr>
              <w:t xml:space="preserve">garantiju summa 92 550 000 euro apmērā. </w:t>
            </w:r>
          </w:p>
          <w:p w14:paraId="7D9FFCA9" w14:textId="1D761953" w:rsidR="00E72389" w:rsidRPr="00360AC8" w:rsidRDefault="00E72389" w:rsidP="00E72389">
            <w:pPr>
              <w:jc w:val="both"/>
              <w:rPr>
                <w:rFonts w:ascii="Times New Roman" w:hAnsi="Times New Roman" w:cs="Times New Roman"/>
                <w:sz w:val="20"/>
                <w:szCs w:val="20"/>
              </w:rPr>
            </w:pPr>
            <w:r w:rsidRPr="00360AC8">
              <w:rPr>
                <w:rFonts w:ascii="Times New Roman" w:hAnsi="Times New Roman" w:cs="Times New Roman"/>
                <w:sz w:val="20"/>
                <w:szCs w:val="20"/>
              </w:rPr>
              <w:t xml:space="preserve">Prognozējams, ka saskaņā ar </w:t>
            </w:r>
            <w:r w:rsidRPr="00360AC8">
              <w:rPr>
                <w:sz w:val="20"/>
                <w:szCs w:val="20"/>
              </w:rPr>
              <w:t xml:space="preserve"> </w:t>
            </w:r>
            <w:r w:rsidRPr="00360AC8">
              <w:rPr>
                <w:rFonts w:ascii="Times New Roman" w:hAnsi="Times New Roman" w:cs="Times New Roman"/>
                <w:sz w:val="20"/>
                <w:szCs w:val="20"/>
              </w:rPr>
              <w:t xml:space="preserve">MK noteikumu Nr. 160 75. un 76.punktā noteikto maksājumu veikšanas kārtību un avansa maksājumiem (ilgtermiņa saistībām) </w:t>
            </w:r>
            <w:r>
              <w:rPr>
                <w:rFonts w:ascii="Times New Roman" w:hAnsi="Times New Roman" w:cs="Times New Roman"/>
                <w:sz w:val="20"/>
                <w:szCs w:val="20"/>
              </w:rPr>
              <w:t>papild</w:t>
            </w:r>
            <w:r w:rsidR="00F06294">
              <w:rPr>
                <w:rFonts w:ascii="Times New Roman" w:hAnsi="Times New Roman" w:cs="Times New Roman"/>
                <w:sz w:val="20"/>
                <w:szCs w:val="20"/>
              </w:rPr>
              <w:t>u</w:t>
            </w:r>
            <w:r>
              <w:rPr>
                <w:rFonts w:ascii="Times New Roman" w:hAnsi="Times New Roman" w:cs="Times New Roman"/>
                <w:sz w:val="20"/>
                <w:szCs w:val="20"/>
              </w:rPr>
              <w:t xml:space="preserve"> piešķirtais</w:t>
            </w:r>
            <w:r w:rsidRPr="00360AC8">
              <w:rPr>
                <w:rFonts w:ascii="Times New Roman" w:hAnsi="Times New Roman" w:cs="Times New Roman"/>
                <w:sz w:val="20"/>
                <w:szCs w:val="20"/>
              </w:rPr>
              <w:t xml:space="preserve"> finansējums </w:t>
            </w:r>
            <w:r w:rsidR="007B7CFA" w:rsidRPr="007B7CFA">
              <w:rPr>
                <w:rFonts w:ascii="Times New Roman" w:hAnsi="Times New Roman" w:cs="Times New Roman"/>
                <w:sz w:val="20"/>
                <w:szCs w:val="20"/>
              </w:rPr>
              <w:t xml:space="preserve">35 000 000 euro apmērā </w:t>
            </w:r>
            <w:r w:rsidR="007B7CFA">
              <w:rPr>
                <w:rFonts w:ascii="Times New Roman" w:hAnsi="Times New Roman" w:cs="Times New Roman"/>
                <w:sz w:val="20"/>
                <w:szCs w:val="20"/>
              </w:rPr>
              <w:t>būs nepieciešams</w:t>
            </w:r>
            <w:r w:rsidR="003109DB">
              <w:rPr>
                <w:rFonts w:ascii="Times New Roman" w:hAnsi="Times New Roman" w:cs="Times New Roman"/>
                <w:sz w:val="20"/>
                <w:szCs w:val="20"/>
              </w:rPr>
              <w:t xml:space="preserve"> 2020.-2022.gadā šādā apmērā</w:t>
            </w:r>
            <w:r w:rsidRPr="00360AC8">
              <w:rPr>
                <w:rFonts w:ascii="Times New Roman" w:hAnsi="Times New Roman" w:cs="Times New Roman"/>
                <w:sz w:val="20"/>
                <w:szCs w:val="20"/>
              </w:rPr>
              <w:t>:</w:t>
            </w:r>
            <w:r w:rsidR="007B7CFA">
              <w:rPr>
                <w:rFonts w:ascii="Times New Roman" w:hAnsi="Times New Roman" w:cs="Times New Roman"/>
                <w:sz w:val="20"/>
                <w:szCs w:val="20"/>
              </w:rPr>
              <w:t xml:space="preserve"> </w:t>
            </w:r>
          </w:p>
          <w:p w14:paraId="7DACDFBE" w14:textId="7A0F6053" w:rsidR="00E72389" w:rsidRPr="00360AC8" w:rsidRDefault="00E72389" w:rsidP="00E72389">
            <w:pPr>
              <w:jc w:val="both"/>
              <w:rPr>
                <w:rFonts w:ascii="Times New Roman" w:hAnsi="Times New Roman" w:cs="Times New Roman"/>
                <w:sz w:val="20"/>
                <w:szCs w:val="20"/>
              </w:rPr>
            </w:pPr>
            <w:r w:rsidRPr="00360AC8">
              <w:rPr>
                <w:rFonts w:ascii="Times New Roman" w:hAnsi="Times New Roman" w:cs="Times New Roman"/>
                <w:sz w:val="20"/>
                <w:szCs w:val="20"/>
              </w:rPr>
              <w:t>2020. gadā – 11 150 000 euro (t.sk. ERAF 9 477 500 euro un valsts budžets 1 672 500 euro);</w:t>
            </w:r>
          </w:p>
          <w:p w14:paraId="6C108211" w14:textId="07438BFC" w:rsidR="00E72389" w:rsidRPr="00360AC8" w:rsidRDefault="00E72389" w:rsidP="00E72389">
            <w:pPr>
              <w:jc w:val="both"/>
              <w:rPr>
                <w:rFonts w:ascii="Times New Roman" w:hAnsi="Times New Roman" w:cs="Times New Roman"/>
                <w:sz w:val="20"/>
                <w:szCs w:val="20"/>
              </w:rPr>
            </w:pPr>
            <w:r w:rsidRPr="00360AC8">
              <w:rPr>
                <w:rFonts w:ascii="Times New Roman" w:hAnsi="Times New Roman" w:cs="Times New Roman"/>
                <w:sz w:val="20"/>
                <w:szCs w:val="20"/>
              </w:rPr>
              <w:t>2021. gadā – 15 750 000 euro (t.sk ERAF 13 387 500 euro un valsts budžets 2 362 500 euro);</w:t>
            </w:r>
          </w:p>
          <w:p w14:paraId="4A6D3E99" w14:textId="17BEAD6C" w:rsidR="00E72389" w:rsidRDefault="00E72389" w:rsidP="00E72389">
            <w:pPr>
              <w:jc w:val="both"/>
              <w:rPr>
                <w:rFonts w:ascii="Times New Roman" w:hAnsi="Times New Roman" w:cs="Times New Roman"/>
                <w:sz w:val="20"/>
                <w:szCs w:val="20"/>
              </w:rPr>
            </w:pPr>
            <w:r w:rsidRPr="00360AC8">
              <w:rPr>
                <w:rFonts w:ascii="Times New Roman" w:hAnsi="Times New Roman" w:cs="Times New Roman"/>
                <w:sz w:val="20"/>
                <w:szCs w:val="20"/>
              </w:rPr>
              <w:t>2022. gadā – 8 100 000 euro (t.sk ERAF  6 885 000 euro un valsts budžets 1 215 000 euro).</w:t>
            </w:r>
          </w:p>
          <w:p w14:paraId="2C5D0DD2" w14:textId="3FFF4527" w:rsidR="00E72389" w:rsidRPr="00360AC8" w:rsidRDefault="007B7CFA" w:rsidP="007B7CFA">
            <w:pPr>
              <w:jc w:val="both"/>
              <w:rPr>
                <w:rFonts w:ascii="Times New Roman" w:hAnsi="Times New Roman" w:cs="Times New Roman"/>
                <w:sz w:val="20"/>
                <w:szCs w:val="20"/>
              </w:rPr>
            </w:pPr>
            <w:r w:rsidRPr="00360AC8">
              <w:rPr>
                <w:rFonts w:ascii="Times New Roman" w:hAnsi="Times New Roman" w:cs="Times New Roman"/>
                <w:sz w:val="20"/>
                <w:szCs w:val="20"/>
              </w:rPr>
              <w:t>Veicot minētos aprēķinus, tiek pieņemts, ka 32 milj. euro tiek novirzīti grantu instrumenta  finansējumam un 3 milj. euro garantiju finanšu instrumenta finansējumam, ņemot vērā grantu izmaksas, garantiju riska segumu un instrumentu vadības izmaksas.</w:t>
            </w:r>
          </w:p>
          <w:p w14:paraId="72779117" w14:textId="5010BAA4" w:rsidR="00AE5878" w:rsidRPr="00360AC8" w:rsidRDefault="00AE5878" w:rsidP="00AE5878">
            <w:pPr>
              <w:jc w:val="both"/>
              <w:rPr>
                <w:rFonts w:ascii="Times New Roman" w:hAnsi="Times New Roman" w:cs="Times New Roman"/>
                <w:sz w:val="20"/>
                <w:szCs w:val="20"/>
              </w:rPr>
            </w:pPr>
            <w:r w:rsidRPr="00360AC8">
              <w:rPr>
                <w:rFonts w:ascii="Times New Roman" w:hAnsi="Times New Roman" w:cs="Times New Roman"/>
                <w:sz w:val="20"/>
                <w:szCs w:val="20"/>
              </w:rPr>
              <w:t>Atbilstoši aktuālajām Altum prognozēm</w:t>
            </w:r>
            <w:r w:rsidR="007B7CFA">
              <w:rPr>
                <w:rFonts w:ascii="Times New Roman" w:hAnsi="Times New Roman" w:cs="Times New Roman"/>
                <w:sz w:val="20"/>
                <w:szCs w:val="20"/>
              </w:rPr>
              <w:t xml:space="preserve"> </w:t>
            </w:r>
            <w:r w:rsidR="008E7ED7">
              <w:rPr>
                <w:rFonts w:ascii="Times New Roman" w:hAnsi="Times New Roman" w:cs="Times New Roman"/>
                <w:sz w:val="20"/>
                <w:szCs w:val="20"/>
              </w:rPr>
              <w:t xml:space="preserve">2020.-2023.gadā </w:t>
            </w:r>
            <w:r w:rsidR="007B7CFA">
              <w:rPr>
                <w:rFonts w:ascii="Times New Roman" w:hAnsi="Times New Roman" w:cs="Times New Roman"/>
                <w:sz w:val="20"/>
                <w:szCs w:val="20"/>
              </w:rPr>
              <w:t xml:space="preserve">ir </w:t>
            </w:r>
            <w:r w:rsidRPr="00360AC8">
              <w:rPr>
                <w:rFonts w:ascii="Times New Roman" w:hAnsi="Times New Roman" w:cs="Times New Roman"/>
                <w:sz w:val="20"/>
                <w:szCs w:val="20"/>
              </w:rPr>
              <w:t>plānota finansējuma izsniegšana</w:t>
            </w:r>
            <w:r w:rsidR="007B7CFA">
              <w:rPr>
                <w:rFonts w:ascii="Times New Roman" w:hAnsi="Times New Roman" w:cs="Times New Roman"/>
                <w:sz w:val="20"/>
                <w:szCs w:val="20"/>
              </w:rPr>
              <w:t xml:space="preserve"> šādā apmērā</w:t>
            </w:r>
            <w:r w:rsidRPr="00360AC8">
              <w:rPr>
                <w:rFonts w:ascii="Times New Roman" w:hAnsi="Times New Roman" w:cs="Times New Roman"/>
                <w:sz w:val="20"/>
                <w:szCs w:val="20"/>
              </w:rPr>
              <w:t>:</w:t>
            </w:r>
          </w:p>
          <w:p w14:paraId="700626E6" w14:textId="00C50FA7" w:rsidR="00AE5878" w:rsidRPr="00360AC8" w:rsidRDefault="00AE5878" w:rsidP="00AE5878">
            <w:pPr>
              <w:jc w:val="both"/>
              <w:rPr>
                <w:rFonts w:ascii="Times New Roman" w:hAnsi="Times New Roman" w:cs="Times New Roman"/>
                <w:sz w:val="20"/>
                <w:szCs w:val="20"/>
              </w:rPr>
            </w:pPr>
            <w:r w:rsidRPr="00360AC8">
              <w:rPr>
                <w:rFonts w:ascii="Times New Roman" w:hAnsi="Times New Roman" w:cs="Times New Roman"/>
                <w:sz w:val="20"/>
                <w:szCs w:val="20"/>
              </w:rPr>
              <w:t xml:space="preserve">2020. gadā </w:t>
            </w:r>
            <w:r w:rsidR="007B7CFA">
              <w:rPr>
                <w:rFonts w:ascii="Times New Roman" w:hAnsi="Times New Roman" w:cs="Times New Roman"/>
                <w:sz w:val="20"/>
                <w:szCs w:val="20"/>
              </w:rPr>
              <w:t>–</w:t>
            </w:r>
            <w:r w:rsidRPr="00360AC8">
              <w:rPr>
                <w:rFonts w:ascii="Times New Roman" w:hAnsi="Times New Roman" w:cs="Times New Roman"/>
                <w:sz w:val="20"/>
                <w:szCs w:val="20"/>
              </w:rPr>
              <w:t xml:space="preserve"> </w:t>
            </w:r>
            <w:r w:rsidR="007B7CFA">
              <w:rPr>
                <w:rFonts w:ascii="Times New Roman" w:hAnsi="Times New Roman" w:cs="Times New Roman"/>
                <w:sz w:val="20"/>
                <w:szCs w:val="20"/>
              </w:rPr>
              <w:t>35 949 159 euro (</w:t>
            </w:r>
            <w:r w:rsidRPr="00360AC8">
              <w:rPr>
                <w:rFonts w:ascii="Times New Roman" w:hAnsi="Times New Roman" w:cs="Times New Roman"/>
                <w:sz w:val="20"/>
                <w:szCs w:val="20"/>
              </w:rPr>
              <w:t>granti 22 809 159 euro un g</w:t>
            </w:r>
            <w:r w:rsidR="00337D95" w:rsidRPr="00360AC8">
              <w:rPr>
                <w:rFonts w:ascii="Times New Roman" w:hAnsi="Times New Roman" w:cs="Times New Roman"/>
                <w:sz w:val="20"/>
                <w:szCs w:val="20"/>
              </w:rPr>
              <w:t>a</w:t>
            </w:r>
            <w:r w:rsidRPr="00360AC8">
              <w:rPr>
                <w:rFonts w:ascii="Times New Roman" w:hAnsi="Times New Roman" w:cs="Times New Roman"/>
                <w:sz w:val="20"/>
                <w:szCs w:val="20"/>
              </w:rPr>
              <w:t>rantijas 13 140 000 euro</w:t>
            </w:r>
            <w:r w:rsidR="007B7CFA">
              <w:rPr>
                <w:rFonts w:ascii="Times New Roman" w:hAnsi="Times New Roman" w:cs="Times New Roman"/>
                <w:sz w:val="20"/>
                <w:szCs w:val="20"/>
              </w:rPr>
              <w:t>)</w:t>
            </w:r>
            <w:r w:rsidRPr="00360AC8">
              <w:rPr>
                <w:rFonts w:ascii="Times New Roman" w:hAnsi="Times New Roman" w:cs="Times New Roman"/>
                <w:sz w:val="20"/>
                <w:szCs w:val="20"/>
              </w:rPr>
              <w:t>;</w:t>
            </w:r>
          </w:p>
          <w:p w14:paraId="370F3606" w14:textId="5956F44D" w:rsidR="00AE5878" w:rsidRPr="00360AC8" w:rsidRDefault="00AE5878" w:rsidP="00AE5878">
            <w:pPr>
              <w:jc w:val="both"/>
              <w:rPr>
                <w:rFonts w:ascii="Times New Roman" w:hAnsi="Times New Roman" w:cs="Times New Roman"/>
                <w:sz w:val="20"/>
                <w:szCs w:val="20"/>
              </w:rPr>
            </w:pPr>
            <w:r w:rsidRPr="00360AC8">
              <w:rPr>
                <w:rFonts w:ascii="Times New Roman" w:hAnsi="Times New Roman" w:cs="Times New Roman"/>
                <w:sz w:val="20"/>
                <w:szCs w:val="20"/>
              </w:rPr>
              <w:t xml:space="preserve">2021. gadā </w:t>
            </w:r>
            <w:r w:rsidR="007B7CFA">
              <w:rPr>
                <w:rFonts w:ascii="Times New Roman" w:hAnsi="Times New Roman" w:cs="Times New Roman"/>
                <w:sz w:val="20"/>
                <w:szCs w:val="20"/>
              </w:rPr>
              <w:t>–</w:t>
            </w:r>
            <w:r w:rsidRPr="00360AC8">
              <w:rPr>
                <w:rFonts w:ascii="Times New Roman" w:hAnsi="Times New Roman" w:cs="Times New Roman"/>
                <w:sz w:val="20"/>
                <w:szCs w:val="20"/>
              </w:rPr>
              <w:t xml:space="preserve"> </w:t>
            </w:r>
            <w:r w:rsidR="007B7CFA">
              <w:rPr>
                <w:rFonts w:ascii="Times New Roman" w:hAnsi="Times New Roman" w:cs="Times New Roman"/>
                <w:sz w:val="20"/>
                <w:szCs w:val="20"/>
              </w:rPr>
              <w:t>57 000 000 euro (</w:t>
            </w:r>
            <w:r w:rsidRPr="00360AC8">
              <w:rPr>
                <w:rFonts w:ascii="Times New Roman" w:hAnsi="Times New Roman" w:cs="Times New Roman"/>
                <w:sz w:val="20"/>
                <w:szCs w:val="20"/>
              </w:rPr>
              <w:t>granti 36 600 000 euro un g</w:t>
            </w:r>
            <w:r w:rsidR="00337D95" w:rsidRPr="00360AC8">
              <w:rPr>
                <w:rFonts w:ascii="Times New Roman" w:hAnsi="Times New Roman" w:cs="Times New Roman"/>
                <w:sz w:val="20"/>
                <w:szCs w:val="20"/>
              </w:rPr>
              <w:t>a</w:t>
            </w:r>
            <w:r w:rsidRPr="00360AC8">
              <w:rPr>
                <w:rFonts w:ascii="Times New Roman" w:hAnsi="Times New Roman" w:cs="Times New Roman"/>
                <w:sz w:val="20"/>
                <w:szCs w:val="20"/>
              </w:rPr>
              <w:t>rantijas 20 400 000 euro</w:t>
            </w:r>
            <w:r w:rsidR="007B7CFA">
              <w:rPr>
                <w:rFonts w:ascii="Times New Roman" w:hAnsi="Times New Roman" w:cs="Times New Roman"/>
                <w:sz w:val="20"/>
                <w:szCs w:val="20"/>
              </w:rPr>
              <w:t>)</w:t>
            </w:r>
            <w:r w:rsidRPr="00360AC8">
              <w:rPr>
                <w:rFonts w:ascii="Times New Roman" w:hAnsi="Times New Roman" w:cs="Times New Roman"/>
                <w:sz w:val="20"/>
                <w:szCs w:val="20"/>
              </w:rPr>
              <w:t>;</w:t>
            </w:r>
          </w:p>
          <w:p w14:paraId="5D985061" w14:textId="79A5A458" w:rsidR="00AE5878" w:rsidRPr="00360AC8" w:rsidRDefault="00AE5878" w:rsidP="00AE5878">
            <w:pPr>
              <w:jc w:val="both"/>
              <w:rPr>
                <w:rFonts w:ascii="Times New Roman" w:hAnsi="Times New Roman" w:cs="Times New Roman"/>
                <w:sz w:val="20"/>
                <w:szCs w:val="20"/>
              </w:rPr>
            </w:pPr>
            <w:r w:rsidRPr="00360AC8">
              <w:rPr>
                <w:rFonts w:ascii="Times New Roman" w:hAnsi="Times New Roman" w:cs="Times New Roman"/>
                <w:sz w:val="20"/>
                <w:szCs w:val="20"/>
              </w:rPr>
              <w:t xml:space="preserve">2022. gadā </w:t>
            </w:r>
            <w:r w:rsidR="007B7CFA">
              <w:rPr>
                <w:rFonts w:ascii="Times New Roman" w:hAnsi="Times New Roman" w:cs="Times New Roman"/>
                <w:sz w:val="20"/>
                <w:szCs w:val="20"/>
              </w:rPr>
              <w:t>–</w:t>
            </w:r>
            <w:r w:rsidRPr="00360AC8">
              <w:rPr>
                <w:rFonts w:ascii="Times New Roman" w:hAnsi="Times New Roman" w:cs="Times New Roman"/>
                <w:sz w:val="20"/>
                <w:szCs w:val="20"/>
              </w:rPr>
              <w:t xml:space="preserve"> </w:t>
            </w:r>
            <w:r w:rsidR="007B7CFA">
              <w:rPr>
                <w:rFonts w:ascii="Times New Roman" w:hAnsi="Times New Roman" w:cs="Times New Roman"/>
                <w:sz w:val="20"/>
                <w:szCs w:val="20"/>
              </w:rPr>
              <w:t>58 334 786 euro (</w:t>
            </w:r>
            <w:r w:rsidRPr="00360AC8">
              <w:rPr>
                <w:rFonts w:ascii="Times New Roman" w:hAnsi="Times New Roman" w:cs="Times New Roman"/>
                <w:sz w:val="20"/>
                <w:szCs w:val="20"/>
              </w:rPr>
              <w:t>granti 31 664 786 euro un g</w:t>
            </w:r>
            <w:r w:rsidR="00337D95" w:rsidRPr="00360AC8">
              <w:rPr>
                <w:rFonts w:ascii="Times New Roman" w:hAnsi="Times New Roman" w:cs="Times New Roman"/>
                <w:sz w:val="20"/>
                <w:szCs w:val="20"/>
              </w:rPr>
              <w:t>a</w:t>
            </w:r>
            <w:r w:rsidRPr="00360AC8">
              <w:rPr>
                <w:rFonts w:ascii="Times New Roman" w:hAnsi="Times New Roman" w:cs="Times New Roman"/>
                <w:sz w:val="20"/>
                <w:szCs w:val="20"/>
              </w:rPr>
              <w:t>rantijas 26 670 000 euro</w:t>
            </w:r>
            <w:r w:rsidR="007B7CFA">
              <w:rPr>
                <w:rFonts w:ascii="Times New Roman" w:hAnsi="Times New Roman" w:cs="Times New Roman"/>
                <w:sz w:val="20"/>
                <w:szCs w:val="20"/>
              </w:rPr>
              <w:t>)</w:t>
            </w:r>
            <w:r w:rsidRPr="00360AC8">
              <w:rPr>
                <w:rFonts w:ascii="Times New Roman" w:hAnsi="Times New Roman" w:cs="Times New Roman"/>
                <w:sz w:val="20"/>
                <w:szCs w:val="20"/>
              </w:rPr>
              <w:t>;</w:t>
            </w:r>
          </w:p>
          <w:p w14:paraId="1E82B25C" w14:textId="0B7F1C21" w:rsidR="005D21DE" w:rsidRPr="00360AC8" w:rsidRDefault="00AE5878" w:rsidP="00AB0A81">
            <w:pPr>
              <w:jc w:val="both"/>
              <w:rPr>
                <w:rFonts w:ascii="Times New Roman" w:hAnsi="Times New Roman" w:cs="Times New Roman"/>
                <w:sz w:val="20"/>
                <w:szCs w:val="20"/>
              </w:rPr>
            </w:pPr>
            <w:r w:rsidRPr="00360AC8">
              <w:rPr>
                <w:rFonts w:ascii="Times New Roman" w:hAnsi="Times New Roman" w:cs="Times New Roman"/>
                <w:sz w:val="20"/>
                <w:szCs w:val="20"/>
              </w:rPr>
              <w:t xml:space="preserve">2023. gadā </w:t>
            </w:r>
            <w:r w:rsidR="007B7CFA">
              <w:rPr>
                <w:rFonts w:ascii="Times New Roman" w:hAnsi="Times New Roman" w:cs="Times New Roman"/>
                <w:sz w:val="20"/>
                <w:szCs w:val="20"/>
              </w:rPr>
              <w:t>–</w:t>
            </w:r>
            <w:r w:rsidRPr="00360AC8">
              <w:rPr>
                <w:rFonts w:ascii="Times New Roman" w:hAnsi="Times New Roman" w:cs="Times New Roman"/>
                <w:sz w:val="20"/>
                <w:szCs w:val="20"/>
              </w:rPr>
              <w:t xml:space="preserve"> </w:t>
            </w:r>
            <w:r w:rsidR="007B7CFA">
              <w:rPr>
                <w:rFonts w:ascii="Times New Roman" w:hAnsi="Times New Roman" w:cs="Times New Roman"/>
                <w:sz w:val="20"/>
                <w:szCs w:val="20"/>
              </w:rPr>
              <w:t>42 040 943 euro (</w:t>
            </w:r>
            <w:r w:rsidRPr="00360AC8">
              <w:rPr>
                <w:rFonts w:ascii="Times New Roman" w:hAnsi="Times New Roman" w:cs="Times New Roman"/>
                <w:sz w:val="20"/>
                <w:szCs w:val="20"/>
              </w:rPr>
              <w:t>granti 32 409 695 euro un g</w:t>
            </w:r>
            <w:r w:rsidR="00337D95" w:rsidRPr="00360AC8">
              <w:rPr>
                <w:rFonts w:ascii="Times New Roman" w:hAnsi="Times New Roman" w:cs="Times New Roman"/>
                <w:sz w:val="20"/>
                <w:szCs w:val="20"/>
              </w:rPr>
              <w:t>a</w:t>
            </w:r>
            <w:r w:rsidRPr="00360AC8">
              <w:rPr>
                <w:rFonts w:ascii="Times New Roman" w:hAnsi="Times New Roman" w:cs="Times New Roman"/>
                <w:sz w:val="20"/>
                <w:szCs w:val="20"/>
              </w:rPr>
              <w:t>rantijas   9 631 248 euro</w:t>
            </w:r>
            <w:r w:rsidR="007B7CFA">
              <w:rPr>
                <w:rFonts w:ascii="Times New Roman" w:hAnsi="Times New Roman" w:cs="Times New Roman"/>
                <w:sz w:val="20"/>
                <w:szCs w:val="20"/>
              </w:rPr>
              <w:t>)</w:t>
            </w:r>
            <w:r w:rsidRPr="00360AC8">
              <w:rPr>
                <w:rFonts w:ascii="Times New Roman" w:hAnsi="Times New Roman" w:cs="Times New Roman"/>
                <w:sz w:val="20"/>
                <w:szCs w:val="20"/>
              </w:rPr>
              <w:t>.</w:t>
            </w:r>
          </w:p>
        </w:tc>
      </w:tr>
      <w:tr w:rsidR="00AB0A81" w:rsidRPr="00AB0A81" w14:paraId="1ABD15D3"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252639C2" w14:textId="77777777" w:rsidR="00AB0A81" w:rsidRPr="00360AC8" w:rsidRDefault="00AB0A81" w:rsidP="00AB0A81">
            <w:pPr>
              <w:rPr>
                <w:rFonts w:ascii="Times New Roman" w:hAnsi="Times New Roman" w:cs="Times New Roman"/>
                <w:iCs/>
                <w:color w:val="000000"/>
                <w:sz w:val="20"/>
                <w:szCs w:val="20"/>
              </w:rPr>
            </w:pPr>
            <w:r w:rsidRPr="00360AC8">
              <w:rPr>
                <w:rFonts w:ascii="Times New Roman" w:hAnsi="Times New Roman" w:cs="Times New Roman"/>
                <w:iCs/>
                <w:color w:val="000000"/>
                <w:sz w:val="20"/>
                <w:szCs w:val="20"/>
              </w:rPr>
              <w:t>6.1. detalizēts ieņēmumu aprēķins</w:t>
            </w:r>
          </w:p>
        </w:tc>
        <w:tc>
          <w:tcPr>
            <w:tcW w:w="8799" w:type="dxa"/>
            <w:gridSpan w:val="7"/>
            <w:vMerge/>
            <w:tcBorders>
              <w:left w:val="single" w:sz="4" w:space="0" w:color="auto"/>
              <w:right w:val="single" w:sz="4" w:space="0" w:color="auto"/>
            </w:tcBorders>
          </w:tcPr>
          <w:p w14:paraId="468295E4" w14:textId="77777777" w:rsidR="00AB0A81" w:rsidRPr="00360AC8" w:rsidRDefault="00AB0A81" w:rsidP="00AB0A81">
            <w:pPr>
              <w:pStyle w:val="ListParagraph"/>
              <w:tabs>
                <w:tab w:val="left" w:pos="317"/>
              </w:tabs>
              <w:ind w:left="34"/>
              <w:jc w:val="both"/>
              <w:rPr>
                <w:iCs/>
                <w:color w:val="000000"/>
                <w:sz w:val="20"/>
                <w:szCs w:val="20"/>
              </w:rPr>
            </w:pPr>
          </w:p>
        </w:tc>
      </w:tr>
      <w:tr w:rsidR="00AB0A81" w:rsidRPr="00AB0A81" w14:paraId="008E181D"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62FAEE1B" w14:textId="77777777" w:rsidR="00AB0A81" w:rsidRPr="00360AC8" w:rsidRDefault="00AB0A81" w:rsidP="00AB0A81">
            <w:pPr>
              <w:rPr>
                <w:rFonts w:ascii="Times New Roman" w:hAnsi="Times New Roman" w:cs="Times New Roman"/>
                <w:iCs/>
                <w:color w:val="000000"/>
                <w:sz w:val="20"/>
                <w:szCs w:val="20"/>
              </w:rPr>
            </w:pPr>
            <w:r w:rsidRPr="00360AC8">
              <w:rPr>
                <w:rFonts w:ascii="Times New Roman" w:hAnsi="Times New Roman" w:cs="Times New Roman"/>
                <w:iCs/>
                <w:color w:val="000000"/>
                <w:sz w:val="20"/>
                <w:szCs w:val="20"/>
              </w:rPr>
              <w:t>6.2. detalizēts izdevumu aprēķins</w:t>
            </w:r>
          </w:p>
        </w:tc>
        <w:tc>
          <w:tcPr>
            <w:tcW w:w="8799" w:type="dxa"/>
            <w:gridSpan w:val="7"/>
            <w:vMerge/>
            <w:tcBorders>
              <w:left w:val="single" w:sz="4" w:space="0" w:color="auto"/>
              <w:bottom w:val="single" w:sz="4" w:space="0" w:color="auto"/>
              <w:right w:val="single" w:sz="4" w:space="0" w:color="auto"/>
            </w:tcBorders>
          </w:tcPr>
          <w:p w14:paraId="4F8D7353" w14:textId="77777777" w:rsidR="00AB0A81" w:rsidRPr="00360AC8" w:rsidRDefault="00AB0A81" w:rsidP="00AB0A81">
            <w:pPr>
              <w:pStyle w:val="ListParagraph"/>
              <w:tabs>
                <w:tab w:val="left" w:pos="317"/>
              </w:tabs>
              <w:ind w:left="34"/>
              <w:jc w:val="both"/>
              <w:rPr>
                <w:iCs/>
                <w:color w:val="000000"/>
                <w:sz w:val="20"/>
                <w:szCs w:val="20"/>
              </w:rPr>
            </w:pPr>
          </w:p>
        </w:tc>
      </w:tr>
      <w:tr w:rsidR="00AB0A81" w:rsidRPr="00AB0A81" w14:paraId="78E5CF49"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663FC5A8" w14:textId="77777777" w:rsidR="00AB0A81" w:rsidRPr="00360AC8" w:rsidRDefault="00AB0A81" w:rsidP="00AB0A81">
            <w:pP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7. Amata vietu skaita izmaiņas</w:t>
            </w:r>
          </w:p>
        </w:tc>
        <w:tc>
          <w:tcPr>
            <w:tcW w:w="8799" w:type="dxa"/>
            <w:gridSpan w:val="7"/>
            <w:tcBorders>
              <w:top w:val="single" w:sz="4" w:space="0" w:color="auto"/>
              <w:left w:val="single" w:sz="4" w:space="0" w:color="auto"/>
              <w:bottom w:val="single" w:sz="4" w:space="0" w:color="auto"/>
              <w:right w:val="single" w:sz="4" w:space="0" w:color="auto"/>
            </w:tcBorders>
          </w:tcPr>
          <w:p w14:paraId="378EB5EB" w14:textId="77777777" w:rsidR="00AB0A81" w:rsidRPr="00360AC8" w:rsidRDefault="00AB0A81" w:rsidP="00AB0A81">
            <w:pPr>
              <w:jc w:val="both"/>
              <w:rPr>
                <w:rFonts w:ascii="Times New Roman" w:eastAsia="Times New Roman" w:hAnsi="Times New Roman" w:cs="Times New Roman"/>
                <w:sz w:val="20"/>
                <w:szCs w:val="20"/>
                <w:lang w:eastAsia="ja-JP"/>
              </w:rPr>
            </w:pPr>
            <w:r w:rsidRPr="00360AC8">
              <w:rPr>
                <w:rFonts w:ascii="Times New Roman" w:hAnsi="Times New Roman" w:cs="Times New Roman"/>
                <w:iCs/>
                <w:color w:val="000000"/>
                <w:sz w:val="20"/>
                <w:szCs w:val="20"/>
              </w:rPr>
              <w:t>Noteikumu projekts šo jomu neskar.</w:t>
            </w:r>
          </w:p>
        </w:tc>
      </w:tr>
      <w:tr w:rsidR="00AB0A81" w:rsidRPr="00AB0A81" w14:paraId="290E4149" w14:textId="77777777" w:rsidTr="00360AC8">
        <w:tc>
          <w:tcPr>
            <w:tcW w:w="1413" w:type="dxa"/>
            <w:tcBorders>
              <w:top w:val="single" w:sz="4" w:space="0" w:color="auto"/>
              <w:left w:val="single" w:sz="4" w:space="0" w:color="auto"/>
              <w:bottom w:val="single" w:sz="4" w:space="0" w:color="auto"/>
              <w:right w:val="single" w:sz="4" w:space="0" w:color="auto"/>
            </w:tcBorders>
            <w:shd w:val="clear" w:color="auto" w:fill="auto"/>
          </w:tcPr>
          <w:p w14:paraId="234E1856" w14:textId="77777777" w:rsidR="00AB0A81" w:rsidRPr="00360AC8" w:rsidRDefault="00AB0A81" w:rsidP="00AB0A81">
            <w:pPr>
              <w:rPr>
                <w:rFonts w:ascii="Times New Roman" w:eastAsia="Times New Roman" w:hAnsi="Times New Roman" w:cs="Times New Roman"/>
                <w:sz w:val="20"/>
                <w:szCs w:val="20"/>
                <w:lang w:eastAsia="ja-JP"/>
              </w:rPr>
            </w:pPr>
            <w:r w:rsidRPr="00360AC8">
              <w:rPr>
                <w:rFonts w:ascii="Times New Roman" w:eastAsia="Times New Roman" w:hAnsi="Times New Roman" w:cs="Times New Roman"/>
                <w:sz w:val="20"/>
                <w:szCs w:val="20"/>
                <w:lang w:eastAsia="ja-JP"/>
              </w:rPr>
              <w:t>8. Cita informācija</w:t>
            </w:r>
          </w:p>
        </w:tc>
        <w:tc>
          <w:tcPr>
            <w:tcW w:w="8799" w:type="dxa"/>
            <w:gridSpan w:val="7"/>
            <w:tcBorders>
              <w:top w:val="single" w:sz="4" w:space="0" w:color="auto"/>
              <w:left w:val="single" w:sz="4" w:space="0" w:color="auto"/>
              <w:bottom w:val="single" w:sz="4" w:space="0" w:color="auto"/>
              <w:right w:val="single" w:sz="4" w:space="0" w:color="auto"/>
            </w:tcBorders>
          </w:tcPr>
          <w:p w14:paraId="08C92E9F" w14:textId="2666D896" w:rsidR="00AB0A81" w:rsidRPr="00360AC8" w:rsidRDefault="005E41A2" w:rsidP="00AB0A81">
            <w:pPr>
              <w:ind w:right="57"/>
              <w:jc w:val="both"/>
              <w:rPr>
                <w:rFonts w:ascii="Times New Roman" w:eastAsia="Times New Roman" w:hAnsi="Times New Roman" w:cs="Times New Roman"/>
                <w:sz w:val="20"/>
                <w:szCs w:val="20"/>
                <w:lang w:eastAsia="ja-JP"/>
              </w:rPr>
            </w:pPr>
            <w:r>
              <w:rPr>
                <w:rFonts w:ascii="Times New Roman" w:eastAsia="Times New Roman" w:hAnsi="Times New Roman" w:cs="Times New Roman"/>
                <w:sz w:val="20"/>
                <w:szCs w:val="20"/>
                <w:lang w:eastAsia="ja-JP"/>
              </w:rPr>
              <w:t>Virssaistībām papildu n</w:t>
            </w:r>
            <w:r w:rsidR="00C12329" w:rsidRPr="00360AC8">
              <w:rPr>
                <w:rFonts w:ascii="Times New Roman" w:eastAsia="Times New Roman" w:hAnsi="Times New Roman" w:cs="Times New Roman"/>
                <w:sz w:val="20"/>
                <w:szCs w:val="20"/>
                <w:lang w:eastAsia="ja-JP"/>
              </w:rPr>
              <w:t>epieciešamo valsts budžeta finansējumu Finanšu ministrija lūgs pārdalīt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bl>
    <w:bookmarkEnd w:id="2"/>
    <w:p w14:paraId="75C637EC"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E5323B" w:rsidRPr="00AB0A81" w14:paraId="02C9B58F" w14:textId="77777777" w:rsidTr="00AB0A8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505C5F88"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E75D95" w:rsidRPr="00AB0A81" w14:paraId="7D3E913F" w14:textId="77777777" w:rsidTr="00AB0A8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tcPr>
          <w:p w14:paraId="517B2B72" w14:textId="7D77C6AF" w:rsidR="00E75D95" w:rsidRPr="00AB0A81" w:rsidRDefault="00E75D95" w:rsidP="00E75D95">
            <w:pPr>
              <w:spacing w:after="0" w:line="240" w:lineRule="auto"/>
              <w:jc w:val="center"/>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Projekts šo jomu neskar.</w:t>
            </w:r>
          </w:p>
        </w:tc>
      </w:tr>
    </w:tbl>
    <w:p w14:paraId="61C17EB7" w14:textId="16500D53" w:rsidR="008E6FFD"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66"/>
      </w:tblGrid>
      <w:tr w:rsidR="003072A1" w:rsidRPr="00AB0A81" w14:paraId="48E60ED1" w14:textId="77777777" w:rsidTr="00AB0A81">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4BD1C101" w14:textId="77777777" w:rsidR="003072A1" w:rsidRPr="00AB0A81" w:rsidRDefault="003072A1" w:rsidP="00700481">
            <w:pPr>
              <w:spacing w:after="0" w:line="240" w:lineRule="auto"/>
              <w:rPr>
                <w:rFonts w:ascii="Times New Roman" w:eastAsia="Times New Roman" w:hAnsi="Times New Roman" w:cs="Times New Roman"/>
                <w:b/>
                <w:bCs/>
                <w:iCs/>
                <w:sz w:val="24"/>
                <w:szCs w:val="24"/>
                <w:lang w:eastAsia="lv-LV"/>
              </w:rPr>
            </w:pPr>
            <w:r w:rsidRPr="00AB0A8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444D1" w:rsidRPr="00AB0A81" w14:paraId="0E7A04AC" w14:textId="77777777" w:rsidTr="00AB0A81">
        <w:trPr>
          <w:trHeight w:val="245"/>
          <w:tblCellSpacing w:w="15" w:type="dxa"/>
        </w:trPr>
        <w:tc>
          <w:tcPr>
            <w:tcW w:w="4970" w:type="pct"/>
            <w:tcBorders>
              <w:top w:val="outset" w:sz="6" w:space="0" w:color="auto"/>
              <w:left w:val="outset" w:sz="6" w:space="0" w:color="auto"/>
              <w:right w:val="outset" w:sz="6" w:space="0" w:color="auto"/>
            </w:tcBorders>
          </w:tcPr>
          <w:p w14:paraId="187D001D" w14:textId="4B9C025A" w:rsidR="008444D1" w:rsidRPr="00AB0A81" w:rsidRDefault="008444D1" w:rsidP="008444D1">
            <w:pPr>
              <w:spacing w:after="0" w:line="240" w:lineRule="auto"/>
              <w:jc w:val="center"/>
              <w:rPr>
                <w:rFonts w:ascii="Times New Roman" w:hAnsi="Times New Roman" w:cs="Times New Roman"/>
                <w:iCs/>
                <w:sz w:val="24"/>
                <w:szCs w:val="24"/>
              </w:rPr>
            </w:pPr>
            <w:r w:rsidRPr="00AB0A81">
              <w:rPr>
                <w:rFonts w:ascii="Times New Roman" w:eastAsia="Times New Roman" w:hAnsi="Times New Roman" w:cs="Times New Roman"/>
                <w:iCs/>
                <w:sz w:val="24"/>
                <w:szCs w:val="24"/>
                <w:lang w:eastAsia="lv-LV"/>
              </w:rPr>
              <w:t>Projekts šo jomu neskar.</w:t>
            </w:r>
          </w:p>
        </w:tc>
      </w:tr>
    </w:tbl>
    <w:p w14:paraId="1F4F2383" w14:textId="025D7963" w:rsidR="00E5323B" w:rsidRPr="00AB0A81" w:rsidRDefault="003072A1"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9"/>
        <w:gridCol w:w="3070"/>
        <w:gridCol w:w="6437"/>
      </w:tblGrid>
      <w:tr w:rsidR="003D1800" w:rsidRPr="00AB0A81" w14:paraId="6229310D" w14:textId="77777777" w:rsidTr="00AB0A81">
        <w:trPr>
          <w:tblCellSpacing w:w="15" w:type="dxa"/>
        </w:trPr>
        <w:tc>
          <w:tcPr>
            <w:tcW w:w="10005" w:type="dxa"/>
            <w:gridSpan w:val="3"/>
            <w:tcBorders>
              <w:top w:val="outset" w:sz="6" w:space="0" w:color="auto"/>
              <w:left w:val="outset" w:sz="6" w:space="0" w:color="auto"/>
              <w:bottom w:val="outset" w:sz="6" w:space="0" w:color="auto"/>
              <w:right w:val="outset" w:sz="6" w:space="0" w:color="auto"/>
            </w:tcBorders>
            <w:vAlign w:val="center"/>
            <w:hideMark/>
          </w:tcPr>
          <w:p w14:paraId="3A121129"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lastRenderedPageBreak/>
              <w:t>VI. Sabiedrības līdzdalība un komunikācijas aktivitātes</w:t>
            </w:r>
          </w:p>
        </w:tc>
      </w:tr>
      <w:tr w:rsidR="003D1800" w:rsidRPr="00AB0A81" w14:paraId="20A56262"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614BB3C9"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3040" w:type="dxa"/>
            <w:tcBorders>
              <w:top w:val="outset" w:sz="6" w:space="0" w:color="auto"/>
              <w:left w:val="outset" w:sz="6" w:space="0" w:color="auto"/>
              <w:bottom w:val="outset" w:sz="6" w:space="0" w:color="auto"/>
              <w:right w:val="outset" w:sz="6" w:space="0" w:color="auto"/>
            </w:tcBorders>
            <w:hideMark/>
          </w:tcPr>
          <w:p w14:paraId="303D0DB9"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391" w:type="dxa"/>
            <w:tcBorders>
              <w:top w:val="outset" w:sz="6" w:space="0" w:color="auto"/>
              <w:left w:val="outset" w:sz="6" w:space="0" w:color="auto"/>
              <w:bottom w:val="outset" w:sz="6" w:space="0" w:color="auto"/>
              <w:right w:val="outset" w:sz="6" w:space="0" w:color="auto"/>
            </w:tcBorders>
            <w:hideMark/>
          </w:tcPr>
          <w:p w14:paraId="314434AB" w14:textId="4852D04B" w:rsidR="00E5323B" w:rsidRPr="00AB0A81" w:rsidRDefault="00E75D95"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Pēc noteikumu projekta apstiprināšanas sabiedrība “Altum” nodrošinās informēšanas pasākumus.</w:t>
            </w:r>
          </w:p>
        </w:tc>
      </w:tr>
      <w:tr w:rsidR="003D1800" w:rsidRPr="00AB0A81" w14:paraId="20F5A14F"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3BC106A"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3040" w:type="dxa"/>
            <w:tcBorders>
              <w:top w:val="outset" w:sz="6" w:space="0" w:color="auto"/>
              <w:left w:val="outset" w:sz="6" w:space="0" w:color="auto"/>
              <w:bottom w:val="outset" w:sz="6" w:space="0" w:color="auto"/>
              <w:right w:val="outset" w:sz="6" w:space="0" w:color="auto"/>
            </w:tcBorders>
            <w:hideMark/>
          </w:tcPr>
          <w:p w14:paraId="60CE5892"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 projekta izstrādē</w:t>
            </w:r>
          </w:p>
        </w:tc>
        <w:tc>
          <w:tcPr>
            <w:tcW w:w="6391" w:type="dxa"/>
            <w:tcBorders>
              <w:top w:val="outset" w:sz="6" w:space="0" w:color="auto"/>
              <w:left w:val="outset" w:sz="6" w:space="0" w:color="auto"/>
              <w:bottom w:val="outset" w:sz="6" w:space="0" w:color="auto"/>
              <w:right w:val="outset" w:sz="6" w:space="0" w:color="auto"/>
            </w:tcBorders>
            <w:hideMark/>
          </w:tcPr>
          <w:p w14:paraId="6728BD5E" w14:textId="463697D2" w:rsidR="0054488C" w:rsidRPr="00AB0A81" w:rsidRDefault="0054488C" w:rsidP="00F441DB">
            <w:pPr>
              <w:spacing w:after="0" w:line="240" w:lineRule="auto"/>
              <w:jc w:val="both"/>
              <w:rPr>
                <w:rFonts w:ascii="Times New Roman" w:eastAsia="Times New Roman" w:hAnsi="Times New Roman" w:cs="Times New Roman"/>
                <w:iCs/>
                <w:color w:val="000000" w:themeColor="text1"/>
                <w:sz w:val="24"/>
                <w:szCs w:val="24"/>
                <w:lang w:eastAsia="lv-LV"/>
              </w:rPr>
            </w:pPr>
          </w:p>
        </w:tc>
      </w:tr>
      <w:tr w:rsidR="003D1800" w:rsidRPr="00AB0A81" w14:paraId="0F416249"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0A3A053B"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3040" w:type="dxa"/>
            <w:tcBorders>
              <w:top w:val="outset" w:sz="6" w:space="0" w:color="auto"/>
              <w:left w:val="outset" w:sz="6" w:space="0" w:color="auto"/>
              <w:bottom w:val="outset" w:sz="6" w:space="0" w:color="auto"/>
              <w:right w:val="outset" w:sz="6" w:space="0" w:color="auto"/>
            </w:tcBorders>
            <w:hideMark/>
          </w:tcPr>
          <w:p w14:paraId="6EE75E61"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Sabiedrības līdzdalības rezultāti</w:t>
            </w:r>
          </w:p>
        </w:tc>
        <w:tc>
          <w:tcPr>
            <w:tcW w:w="6391" w:type="dxa"/>
            <w:tcBorders>
              <w:top w:val="outset" w:sz="6" w:space="0" w:color="auto"/>
              <w:left w:val="outset" w:sz="6" w:space="0" w:color="auto"/>
              <w:bottom w:val="outset" w:sz="6" w:space="0" w:color="auto"/>
              <w:right w:val="outset" w:sz="6" w:space="0" w:color="auto"/>
            </w:tcBorders>
            <w:hideMark/>
          </w:tcPr>
          <w:p w14:paraId="3D1CA70D" w14:textId="72934C13"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p>
        </w:tc>
      </w:tr>
      <w:tr w:rsidR="003D1800" w:rsidRPr="00AB0A81" w14:paraId="4B72EE77" w14:textId="77777777" w:rsidTr="00AB0A81">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14:paraId="5A6445B6"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4.</w:t>
            </w:r>
          </w:p>
        </w:tc>
        <w:tc>
          <w:tcPr>
            <w:tcW w:w="3040" w:type="dxa"/>
            <w:tcBorders>
              <w:top w:val="outset" w:sz="6" w:space="0" w:color="auto"/>
              <w:left w:val="outset" w:sz="6" w:space="0" w:color="auto"/>
              <w:bottom w:val="outset" w:sz="6" w:space="0" w:color="auto"/>
              <w:right w:val="outset" w:sz="6" w:space="0" w:color="auto"/>
            </w:tcBorders>
            <w:hideMark/>
          </w:tcPr>
          <w:p w14:paraId="53D343FD" w14:textId="77777777"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6391" w:type="dxa"/>
            <w:tcBorders>
              <w:top w:val="outset" w:sz="6" w:space="0" w:color="auto"/>
              <w:left w:val="outset" w:sz="6" w:space="0" w:color="auto"/>
              <w:bottom w:val="outset" w:sz="6" w:space="0" w:color="auto"/>
              <w:right w:val="outset" w:sz="6" w:space="0" w:color="auto"/>
            </w:tcBorders>
            <w:hideMark/>
          </w:tcPr>
          <w:p w14:paraId="6AE417D3" w14:textId="041FE70B" w:rsidR="0054488C" w:rsidRPr="00AB0A81" w:rsidRDefault="0054488C" w:rsidP="0054488C">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13332BF7"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 xml:space="preserve">  </w:t>
      </w:r>
    </w:p>
    <w:tbl>
      <w:tblPr>
        <w:tblW w:w="5558" w:type="pct"/>
        <w:tblCellSpacing w:w="15" w:type="dxa"/>
        <w:tblInd w:w="-434"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8"/>
        <w:gridCol w:w="3050"/>
        <w:gridCol w:w="6438"/>
      </w:tblGrid>
      <w:tr w:rsidR="00E5323B" w:rsidRPr="00AB0A81" w14:paraId="4F16FFF2" w14:textId="77777777" w:rsidTr="00AB0A81">
        <w:trPr>
          <w:tblCellSpacing w:w="15" w:type="dxa"/>
        </w:trPr>
        <w:tc>
          <w:tcPr>
            <w:tcW w:w="4970" w:type="pct"/>
            <w:gridSpan w:val="3"/>
            <w:tcBorders>
              <w:top w:val="outset" w:sz="6" w:space="0" w:color="auto"/>
              <w:left w:val="outset" w:sz="6" w:space="0" w:color="auto"/>
              <w:bottom w:val="outset" w:sz="6" w:space="0" w:color="auto"/>
              <w:right w:val="outset" w:sz="6" w:space="0" w:color="auto"/>
            </w:tcBorders>
            <w:vAlign w:val="center"/>
            <w:hideMark/>
          </w:tcPr>
          <w:p w14:paraId="2D2A6950" w14:textId="77777777" w:rsidR="00655F2C" w:rsidRPr="00AB0A81" w:rsidRDefault="00E5323B" w:rsidP="00E5323B">
            <w:pPr>
              <w:spacing w:after="0" w:line="240" w:lineRule="auto"/>
              <w:rPr>
                <w:rFonts w:ascii="Times New Roman" w:eastAsia="Times New Roman" w:hAnsi="Times New Roman" w:cs="Times New Roman"/>
                <w:b/>
                <w:bCs/>
                <w:iCs/>
                <w:color w:val="000000" w:themeColor="text1"/>
                <w:sz w:val="24"/>
                <w:szCs w:val="24"/>
                <w:lang w:eastAsia="lv-LV"/>
              </w:rPr>
            </w:pPr>
            <w:r w:rsidRPr="00AB0A8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E5323B" w:rsidRPr="00AB0A81" w14:paraId="6FBF5536"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4065D79B"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1.</w:t>
            </w:r>
          </w:p>
        </w:tc>
        <w:tc>
          <w:tcPr>
            <w:tcW w:w="1509" w:type="pct"/>
            <w:tcBorders>
              <w:top w:val="outset" w:sz="6" w:space="0" w:color="auto"/>
              <w:left w:val="outset" w:sz="6" w:space="0" w:color="auto"/>
              <w:bottom w:val="outset" w:sz="6" w:space="0" w:color="auto"/>
              <w:right w:val="outset" w:sz="6" w:space="0" w:color="auto"/>
            </w:tcBorders>
            <w:hideMark/>
          </w:tcPr>
          <w:p w14:paraId="1E0D3658"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izpildē iesaistītās institūcijas</w:t>
            </w:r>
          </w:p>
        </w:tc>
        <w:tc>
          <w:tcPr>
            <w:tcW w:w="3165" w:type="pct"/>
            <w:tcBorders>
              <w:top w:val="outset" w:sz="6" w:space="0" w:color="auto"/>
              <w:left w:val="outset" w:sz="6" w:space="0" w:color="auto"/>
              <w:bottom w:val="outset" w:sz="6" w:space="0" w:color="auto"/>
              <w:right w:val="outset" w:sz="6" w:space="0" w:color="auto"/>
            </w:tcBorders>
            <w:hideMark/>
          </w:tcPr>
          <w:p w14:paraId="7BEA8A0F" w14:textId="305F2B4F" w:rsidR="00E5323B" w:rsidRPr="00AB0A81"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izpildi nodrošinās Ekonomikas ministrija un sabiedrība “Altum”.</w:t>
            </w:r>
          </w:p>
        </w:tc>
      </w:tr>
      <w:tr w:rsidR="00E5323B" w:rsidRPr="00AB0A81" w14:paraId="31844BE1"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1A34EAE3"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2.</w:t>
            </w:r>
          </w:p>
        </w:tc>
        <w:tc>
          <w:tcPr>
            <w:tcW w:w="1509" w:type="pct"/>
            <w:tcBorders>
              <w:top w:val="outset" w:sz="6" w:space="0" w:color="auto"/>
              <w:left w:val="outset" w:sz="6" w:space="0" w:color="auto"/>
              <w:bottom w:val="outset" w:sz="6" w:space="0" w:color="auto"/>
              <w:right w:val="outset" w:sz="6" w:space="0" w:color="auto"/>
            </w:tcBorders>
            <w:hideMark/>
          </w:tcPr>
          <w:p w14:paraId="7B23BA16"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AB0A81">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165" w:type="pct"/>
            <w:tcBorders>
              <w:top w:val="outset" w:sz="6" w:space="0" w:color="auto"/>
              <w:left w:val="outset" w:sz="6" w:space="0" w:color="auto"/>
              <w:bottom w:val="outset" w:sz="6" w:space="0" w:color="auto"/>
              <w:right w:val="outset" w:sz="6" w:space="0" w:color="auto"/>
            </w:tcBorders>
            <w:hideMark/>
          </w:tcPr>
          <w:p w14:paraId="727FE9A3" w14:textId="77777777" w:rsidR="00ED2B23" w:rsidRPr="00AB0A81"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nodrošināta sabiedrības “Altum” esošo funkciju ietvaros, nav nepieciešams izveidot jaunas institūcijas, likvidēt esošas institūcijas vai veikt reorganizāciju.</w:t>
            </w:r>
          </w:p>
          <w:p w14:paraId="24A6E3F7" w14:textId="30330874" w:rsidR="00E5323B" w:rsidRPr="00AB0A81" w:rsidRDefault="00ED2B23" w:rsidP="00F441DB">
            <w:pPr>
              <w:spacing w:after="0" w:line="240" w:lineRule="auto"/>
              <w:jc w:val="both"/>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Noteikumu projekta izpilde tiks organizēta esošo cilvēkresursu ietvaros.</w:t>
            </w:r>
          </w:p>
        </w:tc>
      </w:tr>
      <w:tr w:rsidR="003D1800" w:rsidRPr="00AB0A81" w14:paraId="55C28117" w14:textId="77777777" w:rsidTr="00AB0A81">
        <w:trPr>
          <w:tblCellSpacing w:w="15" w:type="dxa"/>
        </w:trPr>
        <w:tc>
          <w:tcPr>
            <w:tcW w:w="266" w:type="pct"/>
            <w:tcBorders>
              <w:top w:val="outset" w:sz="6" w:space="0" w:color="auto"/>
              <w:left w:val="outset" w:sz="6" w:space="0" w:color="auto"/>
              <w:bottom w:val="outset" w:sz="6" w:space="0" w:color="auto"/>
              <w:right w:val="outset" w:sz="6" w:space="0" w:color="auto"/>
            </w:tcBorders>
            <w:hideMark/>
          </w:tcPr>
          <w:p w14:paraId="3B5FC5B7" w14:textId="77777777" w:rsidR="00655F2C"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3.</w:t>
            </w:r>
          </w:p>
        </w:tc>
        <w:tc>
          <w:tcPr>
            <w:tcW w:w="1509" w:type="pct"/>
            <w:tcBorders>
              <w:top w:val="outset" w:sz="6" w:space="0" w:color="auto"/>
              <w:left w:val="outset" w:sz="6" w:space="0" w:color="auto"/>
              <w:bottom w:val="outset" w:sz="6" w:space="0" w:color="auto"/>
              <w:right w:val="outset" w:sz="6" w:space="0" w:color="auto"/>
            </w:tcBorders>
            <w:hideMark/>
          </w:tcPr>
          <w:p w14:paraId="6430C230" w14:textId="77777777" w:rsidR="00E5323B" w:rsidRPr="00AB0A81"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Cita informācija</w:t>
            </w:r>
          </w:p>
        </w:tc>
        <w:tc>
          <w:tcPr>
            <w:tcW w:w="3165" w:type="pct"/>
            <w:tcBorders>
              <w:top w:val="outset" w:sz="6" w:space="0" w:color="auto"/>
              <w:left w:val="outset" w:sz="6" w:space="0" w:color="auto"/>
              <w:bottom w:val="outset" w:sz="6" w:space="0" w:color="auto"/>
              <w:right w:val="outset" w:sz="6" w:space="0" w:color="auto"/>
            </w:tcBorders>
            <w:hideMark/>
          </w:tcPr>
          <w:p w14:paraId="3D969AEE" w14:textId="26582176" w:rsidR="00E5323B" w:rsidRPr="00AB0A81" w:rsidRDefault="00ED2B23" w:rsidP="00E5323B">
            <w:pPr>
              <w:spacing w:after="0" w:line="240" w:lineRule="auto"/>
              <w:rPr>
                <w:rFonts w:ascii="Times New Roman" w:eastAsia="Times New Roman" w:hAnsi="Times New Roman" w:cs="Times New Roman"/>
                <w:iCs/>
                <w:color w:val="000000" w:themeColor="text1"/>
                <w:sz w:val="24"/>
                <w:szCs w:val="24"/>
                <w:lang w:eastAsia="lv-LV"/>
              </w:rPr>
            </w:pPr>
            <w:r w:rsidRPr="00AB0A81">
              <w:rPr>
                <w:rFonts w:ascii="Times New Roman" w:eastAsia="Times New Roman" w:hAnsi="Times New Roman" w:cs="Times New Roman"/>
                <w:iCs/>
                <w:color w:val="000000" w:themeColor="text1"/>
                <w:sz w:val="24"/>
                <w:szCs w:val="24"/>
                <w:lang w:eastAsia="lv-LV"/>
              </w:rPr>
              <w:t>Nav</w:t>
            </w:r>
          </w:p>
        </w:tc>
      </w:tr>
    </w:tbl>
    <w:p w14:paraId="21DF2706" w14:textId="529538E5" w:rsidR="00C25B49" w:rsidRDefault="00C25B49" w:rsidP="00894C55">
      <w:pPr>
        <w:spacing w:after="0" w:line="240" w:lineRule="auto"/>
        <w:rPr>
          <w:rFonts w:ascii="Times New Roman" w:hAnsi="Times New Roman" w:cs="Times New Roman"/>
          <w:color w:val="000000" w:themeColor="text1"/>
          <w:sz w:val="24"/>
          <w:szCs w:val="24"/>
        </w:rPr>
      </w:pPr>
    </w:p>
    <w:p w14:paraId="41B47C5D" w14:textId="4413C717" w:rsidR="00474881" w:rsidRDefault="00474881" w:rsidP="00894C55">
      <w:pPr>
        <w:spacing w:after="0" w:line="240" w:lineRule="auto"/>
        <w:rPr>
          <w:rFonts w:ascii="Times New Roman" w:hAnsi="Times New Roman" w:cs="Times New Roman"/>
          <w:color w:val="000000" w:themeColor="text1"/>
          <w:sz w:val="24"/>
          <w:szCs w:val="24"/>
        </w:rPr>
      </w:pPr>
    </w:p>
    <w:p w14:paraId="45C985E3" w14:textId="5F2228B5" w:rsidR="00474881" w:rsidRDefault="00474881" w:rsidP="00894C55">
      <w:pPr>
        <w:spacing w:after="0" w:line="240" w:lineRule="auto"/>
        <w:rPr>
          <w:rFonts w:ascii="Times New Roman" w:hAnsi="Times New Roman" w:cs="Times New Roman"/>
          <w:color w:val="000000" w:themeColor="text1"/>
          <w:sz w:val="24"/>
          <w:szCs w:val="24"/>
        </w:rPr>
      </w:pPr>
    </w:p>
    <w:p w14:paraId="3C80A064" w14:textId="77777777" w:rsidR="00474881" w:rsidRPr="00AB0A81" w:rsidRDefault="00474881" w:rsidP="00894C55">
      <w:pPr>
        <w:spacing w:after="0" w:line="240" w:lineRule="auto"/>
        <w:rPr>
          <w:rFonts w:ascii="Times New Roman" w:hAnsi="Times New Roman" w:cs="Times New Roman"/>
          <w:color w:val="000000" w:themeColor="text1"/>
          <w:sz w:val="24"/>
          <w:szCs w:val="24"/>
        </w:rPr>
      </w:pPr>
    </w:p>
    <w:p w14:paraId="035025EF" w14:textId="0258C901" w:rsidR="00ED2B23" w:rsidRPr="00AB0A81" w:rsidRDefault="00ED2B23" w:rsidP="008444D1">
      <w:pPr>
        <w:tabs>
          <w:tab w:val="left" w:pos="7655"/>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Ekonomikas ministrs</w:t>
      </w:r>
      <w:r w:rsidRPr="00AB0A81">
        <w:rPr>
          <w:rFonts w:ascii="Times New Roman" w:hAnsi="Times New Roman" w:cs="Times New Roman"/>
          <w:color w:val="000000" w:themeColor="text1"/>
          <w:sz w:val="24"/>
          <w:szCs w:val="24"/>
        </w:rPr>
        <w:tab/>
      </w:r>
      <w:r w:rsidR="008444D1" w:rsidRPr="00AB0A81">
        <w:rPr>
          <w:rFonts w:ascii="Times New Roman" w:hAnsi="Times New Roman" w:cs="Times New Roman"/>
          <w:color w:val="000000" w:themeColor="text1"/>
          <w:sz w:val="24"/>
          <w:szCs w:val="24"/>
        </w:rPr>
        <w:t>J. Vitenbergs</w:t>
      </w:r>
    </w:p>
    <w:p w14:paraId="0EEA8406" w14:textId="5209918E" w:rsidR="00ED2B23" w:rsidRDefault="00ED2B23" w:rsidP="00ED2B23">
      <w:pPr>
        <w:contextualSpacing/>
        <w:rPr>
          <w:rFonts w:ascii="Times New Roman" w:hAnsi="Times New Roman" w:cs="Times New Roman"/>
          <w:color w:val="000000" w:themeColor="text1"/>
          <w:sz w:val="24"/>
          <w:szCs w:val="24"/>
        </w:rPr>
      </w:pPr>
    </w:p>
    <w:p w14:paraId="5421E37B" w14:textId="3320B8EE" w:rsidR="00972930" w:rsidRDefault="00972930" w:rsidP="00ED2B23">
      <w:pPr>
        <w:contextualSpacing/>
        <w:rPr>
          <w:rFonts w:ascii="Times New Roman" w:hAnsi="Times New Roman" w:cs="Times New Roman"/>
          <w:color w:val="000000" w:themeColor="text1"/>
          <w:sz w:val="24"/>
          <w:szCs w:val="24"/>
        </w:rPr>
      </w:pPr>
    </w:p>
    <w:p w14:paraId="096354BC" w14:textId="77777777" w:rsidR="00972930" w:rsidRPr="00AB0A81" w:rsidRDefault="00972930" w:rsidP="00ED2B23">
      <w:pPr>
        <w:contextualSpacing/>
        <w:rPr>
          <w:rFonts w:ascii="Times New Roman" w:hAnsi="Times New Roman" w:cs="Times New Roman"/>
          <w:color w:val="000000" w:themeColor="text1"/>
          <w:sz w:val="24"/>
          <w:szCs w:val="24"/>
        </w:rPr>
      </w:pPr>
    </w:p>
    <w:p w14:paraId="3AE28BC4" w14:textId="4FB3A5F7" w:rsidR="00A96A65" w:rsidRDefault="00ED2B23" w:rsidP="00ED2B23">
      <w:pPr>
        <w:tabs>
          <w:tab w:val="left" w:pos="7938"/>
        </w:tabs>
        <w:contextualSpacing/>
        <w:rPr>
          <w:rFonts w:ascii="Times New Roman" w:hAnsi="Times New Roman" w:cs="Times New Roman"/>
          <w:color w:val="000000" w:themeColor="text1"/>
          <w:sz w:val="24"/>
          <w:szCs w:val="24"/>
        </w:rPr>
      </w:pPr>
      <w:r w:rsidRPr="00AB0A81">
        <w:rPr>
          <w:rFonts w:ascii="Times New Roman" w:hAnsi="Times New Roman" w:cs="Times New Roman"/>
          <w:color w:val="000000" w:themeColor="text1"/>
          <w:sz w:val="24"/>
          <w:szCs w:val="24"/>
        </w:rPr>
        <w:t>Vīza: Valsts sekretār</w:t>
      </w:r>
      <w:r w:rsidR="00A96A65">
        <w:rPr>
          <w:rFonts w:ascii="Times New Roman" w:hAnsi="Times New Roman" w:cs="Times New Roman"/>
          <w:color w:val="000000" w:themeColor="text1"/>
          <w:sz w:val="24"/>
          <w:szCs w:val="24"/>
        </w:rPr>
        <w:t>a pienākumu izpildītāj</w:t>
      </w:r>
      <w:r w:rsidR="003833B6">
        <w:rPr>
          <w:rFonts w:ascii="Times New Roman" w:hAnsi="Times New Roman" w:cs="Times New Roman"/>
          <w:color w:val="000000" w:themeColor="text1"/>
          <w:sz w:val="24"/>
          <w:szCs w:val="24"/>
        </w:rPr>
        <w:t>a</w:t>
      </w:r>
    </w:p>
    <w:p w14:paraId="55D78291" w14:textId="39596D0B" w:rsidR="00ED2B23" w:rsidRPr="00AB0A81" w:rsidRDefault="00A96A65" w:rsidP="00ED2B23">
      <w:pPr>
        <w:tabs>
          <w:tab w:val="left" w:pos="7938"/>
        </w:tabs>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valsts sekretāra vietnie</w:t>
      </w:r>
      <w:r w:rsidR="003833B6">
        <w:rPr>
          <w:rFonts w:ascii="Times New Roman" w:hAnsi="Times New Roman" w:cs="Times New Roman"/>
          <w:color w:val="000000" w:themeColor="text1"/>
          <w:sz w:val="24"/>
          <w:szCs w:val="24"/>
        </w:rPr>
        <w:t>ce</w:t>
      </w:r>
      <w:r w:rsidR="00ED2B23" w:rsidRPr="00AB0A81">
        <w:rPr>
          <w:rFonts w:ascii="Times New Roman" w:hAnsi="Times New Roman" w:cs="Times New Roman"/>
          <w:color w:val="000000" w:themeColor="text1"/>
          <w:sz w:val="24"/>
          <w:szCs w:val="24"/>
        </w:rPr>
        <w:tab/>
      </w:r>
      <w:r w:rsidR="003833B6">
        <w:rPr>
          <w:rFonts w:ascii="Times New Roman" w:hAnsi="Times New Roman" w:cs="Times New Roman"/>
          <w:color w:val="000000" w:themeColor="text1"/>
          <w:sz w:val="24"/>
          <w:szCs w:val="24"/>
        </w:rPr>
        <w:t>Z.Liepiņa</w:t>
      </w:r>
      <w:bookmarkStart w:id="4" w:name="_GoBack"/>
      <w:bookmarkEnd w:id="4"/>
    </w:p>
    <w:p w14:paraId="199C3C02" w14:textId="77777777" w:rsidR="00894C55" w:rsidRPr="00AB0A81" w:rsidRDefault="00894C55" w:rsidP="00894C55">
      <w:pPr>
        <w:tabs>
          <w:tab w:val="left" w:pos="6237"/>
        </w:tabs>
        <w:spacing w:after="0" w:line="240" w:lineRule="auto"/>
        <w:ind w:firstLine="720"/>
        <w:rPr>
          <w:rFonts w:ascii="Times New Roman" w:hAnsi="Times New Roman" w:cs="Times New Roman"/>
          <w:color w:val="000000" w:themeColor="text1"/>
          <w:sz w:val="20"/>
          <w:szCs w:val="20"/>
        </w:rPr>
      </w:pPr>
    </w:p>
    <w:p w14:paraId="21FD4C76" w14:textId="429B9675" w:rsidR="0074044E" w:rsidRDefault="0074044E" w:rsidP="00841A28">
      <w:pPr>
        <w:tabs>
          <w:tab w:val="left" w:pos="6237"/>
        </w:tabs>
        <w:spacing w:after="0" w:line="240" w:lineRule="auto"/>
        <w:rPr>
          <w:rFonts w:ascii="Times New Roman" w:hAnsi="Times New Roman" w:cs="Times New Roman"/>
          <w:color w:val="000000" w:themeColor="text1"/>
          <w:sz w:val="20"/>
          <w:szCs w:val="20"/>
        </w:rPr>
      </w:pPr>
    </w:p>
    <w:p w14:paraId="65E7D507" w14:textId="09E4552C"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17A4347B" w14:textId="117E0EB4"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0C554F15" w14:textId="3FC787FC" w:rsidR="00C12329" w:rsidRDefault="00C12329" w:rsidP="00841A28">
      <w:pPr>
        <w:tabs>
          <w:tab w:val="left" w:pos="6237"/>
        </w:tabs>
        <w:spacing w:after="0" w:line="240" w:lineRule="auto"/>
        <w:rPr>
          <w:rFonts w:ascii="Times New Roman" w:hAnsi="Times New Roman" w:cs="Times New Roman"/>
          <w:color w:val="000000" w:themeColor="text1"/>
          <w:sz w:val="20"/>
          <w:szCs w:val="20"/>
        </w:rPr>
      </w:pPr>
    </w:p>
    <w:p w14:paraId="64B8A097" w14:textId="19F5BD17" w:rsidR="00C12329" w:rsidRDefault="00C12329" w:rsidP="00841A28">
      <w:pPr>
        <w:tabs>
          <w:tab w:val="left" w:pos="6237"/>
        </w:tabs>
        <w:spacing w:after="0" w:line="240" w:lineRule="auto"/>
        <w:rPr>
          <w:rFonts w:ascii="Times New Roman" w:hAnsi="Times New Roman" w:cs="Times New Roman"/>
          <w:color w:val="000000" w:themeColor="text1"/>
          <w:sz w:val="20"/>
          <w:szCs w:val="20"/>
        </w:rPr>
      </w:pPr>
    </w:p>
    <w:p w14:paraId="03BAC853" w14:textId="2FA3BA19" w:rsidR="00C12329" w:rsidRDefault="00C12329" w:rsidP="00841A28">
      <w:pPr>
        <w:tabs>
          <w:tab w:val="left" w:pos="6237"/>
        </w:tabs>
        <w:spacing w:after="0" w:line="240" w:lineRule="auto"/>
        <w:rPr>
          <w:rFonts w:ascii="Times New Roman" w:hAnsi="Times New Roman" w:cs="Times New Roman"/>
          <w:color w:val="000000" w:themeColor="text1"/>
          <w:sz w:val="20"/>
          <w:szCs w:val="20"/>
        </w:rPr>
      </w:pPr>
    </w:p>
    <w:p w14:paraId="37270F6C" w14:textId="170A735C" w:rsidR="00C12329" w:rsidRDefault="00C12329" w:rsidP="00841A28">
      <w:pPr>
        <w:tabs>
          <w:tab w:val="left" w:pos="6237"/>
        </w:tabs>
        <w:spacing w:after="0" w:line="240" w:lineRule="auto"/>
        <w:rPr>
          <w:rFonts w:ascii="Times New Roman" w:hAnsi="Times New Roman" w:cs="Times New Roman"/>
          <w:color w:val="000000" w:themeColor="text1"/>
          <w:sz w:val="20"/>
          <w:szCs w:val="20"/>
        </w:rPr>
      </w:pPr>
    </w:p>
    <w:p w14:paraId="06F85D74" w14:textId="0125D421"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2347B72E" w14:textId="114B143D"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085433CE" w14:textId="2154142E"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14969DA8" w14:textId="712AE17D"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15195FBD" w14:textId="097A9BB9"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3FB4B550" w14:textId="129CA53E"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1E7BF392" w14:textId="143BFCC9"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5C5D6F34" w14:textId="77777777" w:rsidR="00A96A65" w:rsidRDefault="00A96A65" w:rsidP="00841A28">
      <w:pPr>
        <w:tabs>
          <w:tab w:val="left" w:pos="6237"/>
        </w:tabs>
        <w:spacing w:after="0" w:line="240" w:lineRule="auto"/>
        <w:rPr>
          <w:rFonts w:ascii="Times New Roman" w:hAnsi="Times New Roman" w:cs="Times New Roman"/>
          <w:color w:val="000000" w:themeColor="text1"/>
          <w:sz w:val="20"/>
          <w:szCs w:val="20"/>
        </w:rPr>
      </w:pPr>
    </w:p>
    <w:p w14:paraId="03DE1019" w14:textId="791C2ED9"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493E3BA2" w14:textId="738298FB" w:rsidR="00C51A6A" w:rsidRDefault="00C51A6A" w:rsidP="00841A28">
      <w:pPr>
        <w:tabs>
          <w:tab w:val="left" w:pos="6237"/>
        </w:tabs>
        <w:spacing w:after="0" w:line="240" w:lineRule="auto"/>
        <w:rPr>
          <w:rFonts w:ascii="Times New Roman" w:hAnsi="Times New Roman" w:cs="Times New Roman"/>
          <w:color w:val="000000" w:themeColor="text1"/>
          <w:sz w:val="20"/>
          <w:szCs w:val="20"/>
        </w:rPr>
      </w:pPr>
    </w:p>
    <w:p w14:paraId="7433BAEF" w14:textId="4C95C99F" w:rsidR="00C51A6A" w:rsidRPr="00AB0A81" w:rsidRDefault="00C51A6A" w:rsidP="00841A28">
      <w:pPr>
        <w:tabs>
          <w:tab w:val="left" w:pos="6237"/>
        </w:tabs>
        <w:spacing w:after="0" w:line="240" w:lineRule="auto"/>
        <w:rPr>
          <w:rFonts w:ascii="Times New Roman" w:hAnsi="Times New Roman" w:cs="Times New Roman"/>
          <w:color w:val="000000" w:themeColor="text1"/>
          <w:sz w:val="20"/>
          <w:szCs w:val="20"/>
        </w:rPr>
      </w:pPr>
      <w:r w:rsidRPr="00C51A6A">
        <w:rPr>
          <w:rFonts w:ascii="Times New Roman" w:hAnsi="Times New Roman" w:cs="Times New Roman"/>
          <w:color w:val="000000" w:themeColor="text1"/>
          <w:sz w:val="20"/>
          <w:szCs w:val="20"/>
        </w:rPr>
        <w:t>Grīnberga 67013231</w:t>
      </w:r>
    </w:p>
    <w:sectPr w:rsidR="00C51A6A" w:rsidRPr="00AB0A81" w:rsidSect="00D76C7F">
      <w:headerReference w:type="default" r:id="rId8"/>
      <w:footerReference w:type="default" r:id="rId9"/>
      <w:footerReference w:type="first" r:id="rId10"/>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A54F0" w14:textId="77777777" w:rsidR="00766BFE" w:rsidRDefault="00766BFE" w:rsidP="00894C55">
      <w:pPr>
        <w:spacing w:after="0" w:line="240" w:lineRule="auto"/>
      </w:pPr>
      <w:r>
        <w:separator/>
      </w:r>
    </w:p>
  </w:endnote>
  <w:endnote w:type="continuationSeparator" w:id="0">
    <w:p w14:paraId="2DC2CCCB" w14:textId="77777777" w:rsidR="00766BFE" w:rsidRDefault="00766BF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711B" w14:textId="220103B5"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FB3EBB">
      <w:rPr>
        <w:rFonts w:ascii="Times New Roman" w:hAnsi="Times New Roman" w:cs="Times New Roman"/>
        <w:noProof/>
        <w:sz w:val="20"/>
        <w:szCs w:val="20"/>
      </w:rPr>
      <w:t>EMAnot_</w:t>
    </w:r>
    <w:r w:rsidR="00474881">
      <w:rPr>
        <w:rFonts w:ascii="Times New Roman" w:hAnsi="Times New Roman" w:cs="Times New Roman"/>
        <w:noProof/>
        <w:sz w:val="20"/>
        <w:szCs w:val="20"/>
      </w:rPr>
      <w:t>1</w:t>
    </w:r>
    <w:r w:rsidR="005B6863">
      <w:rPr>
        <w:rFonts w:ascii="Times New Roman" w:hAnsi="Times New Roman" w:cs="Times New Roman"/>
        <w:noProof/>
        <w:sz w:val="20"/>
        <w:szCs w:val="20"/>
      </w:rPr>
      <w:t>80</w:t>
    </w:r>
    <w:r w:rsidR="00474881">
      <w:rPr>
        <w:rFonts w:ascii="Times New Roman" w:hAnsi="Times New Roman" w:cs="Times New Roman"/>
        <w:noProof/>
        <w:sz w:val="20"/>
        <w:szCs w:val="20"/>
      </w:rPr>
      <w:t>6</w:t>
    </w:r>
    <w:r w:rsidR="00FB3EBB">
      <w:rPr>
        <w:rFonts w:ascii="Times New Roman" w:hAnsi="Times New Roman" w:cs="Times New Roman"/>
        <w:noProof/>
        <w:sz w:val="20"/>
        <w:szCs w:val="20"/>
      </w:rPr>
      <w:t>2020_</w:t>
    </w:r>
    <w:r w:rsidR="0039108D">
      <w:rPr>
        <w:rFonts w:ascii="Times New Roman" w:hAnsi="Times New Roman" w:cs="Times New Roman"/>
        <w:noProof/>
        <w:sz w:val="20"/>
        <w:szCs w:val="20"/>
      </w:rPr>
      <w:t>Groz1</w:t>
    </w:r>
    <w:r w:rsidR="00FB3EBB">
      <w:rPr>
        <w:rFonts w:ascii="Times New Roman" w:hAnsi="Times New Roman" w:cs="Times New Roman"/>
        <w:noProof/>
        <w:sz w:val="20"/>
        <w:szCs w:val="20"/>
      </w:rPr>
      <w:t>60.docx</w:t>
    </w:r>
    <w:r w:rsidRPr="00FA1F16">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B9950" w14:textId="63EC17EF" w:rsidR="00700481" w:rsidRPr="00FA1F16" w:rsidRDefault="00700481" w:rsidP="00FA1F16">
    <w:pPr>
      <w:pStyle w:val="Footer"/>
      <w:rPr>
        <w:rFonts w:ascii="Times New Roman" w:hAnsi="Times New Roman" w:cs="Times New Roman"/>
        <w:sz w:val="20"/>
        <w:szCs w:val="20"/>
      </w:rPr>
    </w:pPr>
    <w:r w:rsidRPr="00FA1F16">
      <w:rPr>
        <w:rFonts w:ascii="Times New Roman" w:hAnsi="Times New Roman" w:cs="Times New Roman"/>
        <w:sz w:val="20"/>
        <w:szCs w:val="20"/>
      </w:rPr>
      <w:fldChar w:fldCharType="begin"/>
    </w:r>
    <w:r w:rsidRPr="00FA1F16">
      <w:rPr>
        <w:rFonts w:ascii="Times New Roman" w:hAnsi="Times New Roman" w:cs="Times New Roman"/>
        <w:sz w:val="20"/>
        <w:szCs w:val="20"/>
      </w:rPr>
      <w:instrText xml:space="preserve"> FILENAME   \* MERGEFORMAT </w:instrText>
    </w:r>
    <w:r w:rsidRPr="00FA1F16">
      <w:rPr>
        <w:rFonts w:ascii="Times New Roman" w:hAnsi="Times New Roman" w:cs="Times New Roman"/>
        <w:sz w:val="20"/>
        <w:szCs w:val="20"/>
      </w:rPr>
      <w:fldChar w:fldCharType="separate"/>
    </w:r>
    <w:r w:rsidR="00FB3EBB">
      <w:rPr>
        <w:rFonts w:ascii="Times New Roman" w:hAnsi="Times New Roman" w:cs="Times New Roman"/>
        <w:noProof/>
        <w:sz w:val="20"/>
        <w:szCs w:val="20"/>
      </w:rPr>
      <w:t>EMAnot_</w:t>
    </w:r>
    <w:r w:rsidR="00474881">
      <w:rPr>
        <w:rFonts w:ascii="Times New Roman" w:hAnsi="Times New Roman" w:cs="Times New Roman"/>
        <w:noProof/>
        <w:sz w:val="20"/>
        <w:szCs w:val="20"/>
      </w:rPr>
      <w:t>1</w:t>
    </w:r>
    <w:r w:rsidR="005B6863">
      <w:rPr>
        <w:rFonts w:ascii="Times New Roman" w:hAnsi="Times New Roman" w:cs="Times New Roman"/>
        <w:noProof/>
        <w:sz w:val="20"/>
        <w:szCs w:val="20"/>
      </w:rPr>
      <w:t>8</w:t>
    </w:r>
    <w:r w:rsidR="00474881">
      <w:rPr>
        <w:rFonts w:ascii="Times New Roman" w:hAnsi="Times New Roman" w:cs="Times New Roman"/>
        <w:noProof/>
        <w:sz w:val="20"/>
        <w:szCs w:val="20"/>
      </w:rPr>
      <w:t>06</w:t>
    </w:r>
    <w:r w:rsidR="00FB3EBB">
      <w:rPr>
        <w:rFonts w:ascii="Times New Roman" w:hAnsi="Times New Roman" w:cs="Times New Roman"/>
        <w:noProof/>
        <w:sz w:val="20"/>
        <w:szCs w:val="20"/>
      </w:rPr>
      <w:t>2020_</w:t>
    </w:r>
    <w:r w:rsidR="001B06CB">
      <w:rPr>
        <w:rFonts w:ascii="Times New Roman" w:hAnsi="Times New Roman" w:cs="Times New Roman"/>
        <w:noProof/>
        <w:sz w:val="20"/>
        <w:szCs w:val="20"/>
      </w:rPr>
      <w:t>Groz</w:t>
    </w:r>
    <w:r w:rsidR="00FB3EBB">
      <w:rPr>
        <w:rFonts w:ascii="Times New Roman" w:hAnsi="Times New Roman" w:cs="Times New Roman"/>
        <w:noProof/>
        <w:sz w:val="20"/>
        <w:szCs w:val="20"/>
      </w:rPr>
      <w:t>160.docx</w:t>
    </w:r>
    <w:r w:rsidRPr="00FA1F1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F7598" w14:textId="77777777" w:rsidR="00766BFE" w:rsidRDefault="00766BFE" w:rsidP="00894C55">
      <w:pPr>
        <w:spacing w:after="0" w:line="240" w:lineRule="auto"/>
      </w:pPr>
      <w:r>
        <w:separator/>
      </w:r>
    </w:p>
  </w:footnote>
  <w:footnote w:type="continuationSeparator" w:id="0">
    <w:p w14:paraId="3835C53F" w14:textId="77777777" w:rsidR="00766BFE" w:rsidRDefault="00766BF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02FF69F" w14:textId="65C80D68" w:rsidR="00700481" w:rsidRPr="00C25B49" w:rsidRDefault="0070048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26A10">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2D1"/>
    <w:multiLevelType w:val="hybridMultilevel"/>
    <w:tmpl w:val="B23E61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A60350"/>
    <w:multiLevelType w:val="hybridMultilevel"/>
    <w:tmpl w:val="EAD2FE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DB35A1"/>
    <w:multiLevelType w:val="multilevel"/>
    <w:tmpl w:val="557CE1CE"/>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15:restartNumberingAfterBreak="0">
    <w:nsid w:val="0CE14A0F"/>
    <w:multiLevelType w:val="multilevel"/>
    <w:tmpl w:val="E65CEFFC"/>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15:restartNumberingAfterBreak="0">
    <w:nsid w:val="0FED2B95"/>
    <w:multiLevelType w:val="hybridMultilevel"/>
    <w:tmpl w:val="87E61B9E"/>
    <w:lvl w:ilvl="0" w:tplc="03AE850E">
      <w:start w:val="1"/>
      <w:numFmt w:val="decimal"/>
      <w:lvlText w:val="%1)"/>
      <w:lvlJc w:val="left"/>
      <w:pPr>
        <w:ind w:left="360" w:hanging="360"/>
      </w:pPr>
      <w:rPr>
        <w:rFonts w:hint="default"/>
        <w:b/>
        <w:bCs w:val="0"/>
        <w:i/>
        <w:iCs/>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2D7570"/>
    <w:multiLevelType w:val="hybridMultilevel"/>
    <w:tmpl w:val="20FE20B4"/>
    <w:lvl w:ilvl="0" w:tplc="04260011">
      <w:start w:val="1"/>
      <w:numFmt w:val="decimal"/>
      <w:lvlText w:val="%1)"/>
      <w:lvlJc w:val="left"/>
      <w:pPr>
        <w:ind w:left="1329" w:hanging="360"/>
      </w:pPr>
    </w:lvl>
    <w:lvl w:ilvl="1" w:tplc="04260019" w:tentative="1">
      <w:start w:val="1"/>
      <w:numFmt w:val="lowerLetter"/>
      <w:lvlText w:val="%2."/>
      <w:lvlJc w:val="left"/>
      <w:pPr>
        <w:ind w:left="2049" w:hanging="360"/>
      </w:pPr>
    </w:lvl>
    <w:lvl w:ilvl="2" w:tplc="0426001B" w:tentative="1">
      <w:start w:val="1"/>
      <w:numFmt w:val="lowerRoman"/>
      <w:lvlText w:val="%3."/>
      <w:lvlJc w:val="right"/>
      <w:pPr>
        <w:ind w:left="2769" w:hanging="180"/>
      </w:pPr>
    </w:lvl>
    <w:lvl w:ilvl="3" w:tplc="0426000F" w:tentative="1">
      <w:start w:val="1"/>
      <w:numFmt w:val="decimal"/>
      <w:lvlText w:val="%4."/>
      <w:lvlJc w:val="left"/>
      <w:pPr>
        <w:ind w:left="3489" w:hanging="360"/>
      </w:pPr>
    </w:lvl>
    <w:lvl w:ilvl="4" w:tplc="04260019" w:tentative="1">
      <w:start w:val="1"/>
      <w:numFmt w:val="lowerLetter"/>
      <w:lvlText w:val="%5."/>
      <w:lvlJc w:val="left"/>
      <w:pPr>
        <w:ind w:left="4209" w:hanging="360"/>
      </w:pPr>
    </w:lvl>
    <w:lvl w:ilvl="5" w:tplc="0426001B" w:tentative="1">
      <w:start w:val="1"/>
      <w:numFmt w:val="lowerRoman"/>
      <w:lvlText w:val="%6."/>
      <w:lvlJc w:val="right"/>
      <w:pPr>
        <w:ind w:left="4929" w:hanging="180"/>
      </w:pPr>
    </w:lvl>
    <w:lvl w:ilvl="6" w:tplc="0426000F" w:tentative="1">
      <w:start w:val="1"/>
      <w:numFmt w:val="decimal"/>
      <w:lvlText w:val="%7."/>
      <w:lvlJc w:val="left"/>
      <w:pPr>
        <w:ind w:left="5649" w:hanging="360"/>
      </w:pPr>
    </w:lvl>
    <w:lvl w:ilvl="7" w:tplc="04260019" w:tentative="1">
      <w:start w:val="1"/>
      <w:numFmt w:val="lowerLetter"/>
      <w:lvlText w:val="%8."/>
      <w:lvlJc w:val="left"/>
      <w:pPr>
        <w:ind w:left="6369" w:hanging="360"/>
      </w:pPr>
    </w:lvl>
    <w:lvl w:ilvl="8" w:tplc="0426001B" w:tentative="1">
      <w:start w:val="1"/>
      <w:numFmt w:val="lowerRoman"/>
      <w:lvlText w:val="%9."/>
      <w:lvlJc w:val="right"/>
      <w:pPr>
        <w:ind w:left="7089" w:hanging="180"/>
      </w:pPr>
    </w:lvl>
  </w:abstractNum>
  <w:abstractNum w:abstractNumId="6" w15:restartNumberingAfterBreak="0">
    <w:nsid w:val="2BD836B4"/>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C114067"/>
    <w:multiLevelType w:val="hybridMultilevel"/>
    <w:tmpl w:val="3FE834AC"/>
    <w:lvl w:ilvl="0" w:tplc="37F89728">
      <w:numFmt w:val="bullet"/>
      <w:lvlText w:val="-"/>
      <w:lvlJc w:val="left"/>
      <w:pPr>
        <w:ind w:left="720" w:hanging="360"/>
      </w:pPr>
      <w:rPr>
        <w:rFonts w:ascii="Times New Roman" w:eastAsia="Arial Unicode MS"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F5B01A9"/>
    <w:multiLevelType w:val="multilevel"/>
    <w:tmpl w:val="D408C0C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41FF23F0"/>
    <w:multiLevelType w:val="hybridMultilevel"/>
    <w:tmpl w:val="55FAD448"/>
    <w:lvl w:ilvl="0" w:tplc="A0A8FAE2">
      <w:start w:val="1"/>
      <w:numFmt w:val="decimal"/>
      <w:lvlText w:val="%1."/>
      <w:lvlJc w:val="left"/>
      <w:pPr>
        <w:ind w:left="864" w:hanging="360"/>
      </w:pPr>
      <w:rPr>
        <w:rFonts w:hint="default"/>
      </w:rPr>
    </w:lvl>
    <w:lvl w:ilvl="1" w:tplc="04260019" w:tentative="1">
      <w:start w:val="1"/>
      <w:numFmt w:val="lowerLetter"/>
      <w:lvlText w:val="%2."/>
      <w:lvlJc w:val="left"/>
      <w:pPr>
        <w:ind w:left="1584" w:hanging="360"/>
      </w:pPr>
    </w:lvl>
    <w:lvl w:ilvl="2" w:tplc="0426001B" w:tentative="1">
      <w:start w:val="1"/>
      <w:numFmt w:val="lowerRoman"/>
      <w:lvlText w:val="%3."/>
      <w:lvlJc w:val="right"/>
      <w:pPr>
        <w:ind w:left="2304" w:hanging="180"/>
      </w:pPr>
    </w:lvl>
    <w:lvl w:ilvl="3" w:tplc="0426000F" w:tentative="1">
      <w:start w:val="1"/>
      <w:numFmt w:val="decimal"/>
      <w:lvlText w:val="%4."/>
      <w:lvlJc w:val="left"/>
      <w:pPr>
        <w:ind w:left="3024" w:hanging="360"/>
      </w:pPr>
    </w:lvl>
    <w:lvl w:ilvl="4" w:tplc="04260019" w:tentative="1">
      <w:start w:val="1"/>
      <w:numFmt w:val="lowerLetter"/>
      <w:lvlText w:val="%5."/>
      <w:lvlJc w:val="left"/>
      <w:pPr>
        <w:ind w:left="3744" w:hanging="360"/>
      </w:pPr>
    </w:lvl>
    <w:lvl w:ilvl="5" w:tplc="0426001B" w:tentative="1">
      <w:start w:val="1"/>
      <w:numFmt w:val="lowerRoman"/>
      <w:lvlText w:val="%6."/>
      <w:lvlJc w:val="right"/>
      <w:pPr>
        <w:ind w:left="4464" w:hanging="180"/>
      </w:pPr>
    </w:lvl>
    <w:lvl w:ilvl="6" w:tplc="0426000F" w:tentative="1">
      <w:start w:val="1"/>
      <w:numFmt w:val="decimal"/>
      <w:lvlText w:val="%7."/>
      <w:lvlJc w:val="left"/>
      <w:pPr>
        <w:ind w:left="5184" w:hanging="360"/>
      </w:pPr>
    </w:lvl>
    <w:lvl w:ilvl="7" w:tplc="04260019" w:tentative="1">
      <w:start w:val="1"/>
      <w:numFmt w:val="lowerLetter"/>
      <w:lvlText w:val="%8."/>
      <w:lvlJc w:val="left"/>
      <w:pPr>
        <w:ind w:left="5904" w:hanging="360"/>
      </w:pPr>
    </w:lvl>
    <w:lvl w:ilvl="8" w:tplc="0426001B" w:tentative="1">
      <w:start w:val="1"/>
      <w:numFmt w:val="lowerRoman"/>
      <w:lvlText w:val="%9."/>
      <w:lvlJc w:val="right"/>
      <w:pPr>
        <w:ind w:left="6624" w:hanging="180"/>
      </w:pPr>
    </w:lvl>
  </w:abstractNum>
  <w:abstractNum w:abstractNumId="10" w15:restartNumberingAfterBreak="0">
    <w:nsid w:val="455478B8"/>
    <w:multiLevelType w:val="hybridMultilevel"/>
    <w:tmpl w:val="06C06286"/>
    <w:lvl w:ilvl="0" w:tplc="A9DE4F7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54025A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9A2A95"/>
    <w:multiLevelType w:val="hybridMultilevel"/>
    <w:tmpl w:val="D5BE66CE"/>
    <w:lvl w:ilvl="0" w:tplc="63CA92F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B8E7898"/>
    <w:multiLevelType w:val="hybridMultilevel"/>
    <w:tmpl w:val="4D68E83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4" w15:restartNumberingAfterBreak="0">
    <w:nsid w:val="6DCE5455"/>
    <w:multiLevelType w:val="hybridMultilevel"/>
    <w:tmpl w:val="03AE8CF4"/>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5" w15:restartNumberingAfterBreak="0">
    <w:nsid w:val="7C4C5125"/>
    <w:multiLevelType w:val="hybridMultilevel"/>
    <w:tmpl w:val="700ABCFA"/>
    <w:lvl w:ilvl="0" w:tplc="669CDAE6">
      <w:start w:val="1"/>
      <w:numFmt w:val="decimal"/>
      <w:lvlText w:val="%1."/>
      <w:lvlJc w:val="left"/>
      <w:pPr>
        <w:ind w:left="360" w:hanging="360"/>
      </w:pPr>
      <w:rPr>
        <w:b/>
        <w:bCs/>
        <w:i/>
        <w:iCs/>
        <w:u w:val="single"/>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6" w15:restartNumberingAfterBreak="0">
    <w:nsid w:val="7D514DD7"/>
    <w:multiLevelType w:val="hybridMultilevel"/>
    <w:tmpl w:val="CC265FBC"/>
    <w:lvl w:ilvl="0" w:tplc="04260011">
      <w:start w:val="1"/>
      <w:numFmt w:val="decimal"/>
      <w:lvlText w:val="%1)"/>
      <w:lvlJc w:val="left"/>
      <w:pPr>
        <w:ind w:left="1253" w:hanging="360"/>
      </w:pPr>
    </w:lvl>
    <w:lvl w:ilvl="1" w:tplc="04260019" w:tentative="1">
      <w:start w:val="1"/>
      <w:numFmt w:val="lowerLetter"/>
      <w:lvlText w:val="%2."/>
      <w:lvlJc w:val="left"/>
      <w:pPr>
        <w:ind w:left="1973" w:hanging="360"/>
      </w:pPr>
    </w:lvl>
    <w:lvl w:ilvl="2" w:tplc="0426001B" w:tentative="1">
      <w:start w:val="1"/>
      <w:numFmt w:val="lowerRoman"/>
      <w:lvlText w:val="%3."/>
      <w:lvlJc w:val="right"/>
      <w:pPr>
        <w:ind w:left="2693" w:hanging="180"/>
      </w:pPr>
    </w:lvl>
    <w:lvl w:ilvl="3" w:tplc="0426000F" w:tentative="1">
      <w:start w:val="1"/>
      <w:numFmt w:val="decimal"/>
      <w:lvlText w:val="%4."/>
      <w:lvlJc w:val="left"/>
      <w:pPr>
        <w:ind w:left="3413" w:hanging="360"/>
      </w:pPr>
    </w:lvl>
    <w:lvl w:ilvl="4" w:tplc="04260019" w:tentative="1">
      <w:start w:val="1"/>
      <w:numFmt w:val="lowerLetter"/>
      <w:lvlText w:val="%5."/>
      <w:lvlJc w:val="left"/>
      <w:pPr>
        <w:ind w:left="4133" w:hanging="360"/>
      </w:pPr>
    </w:lvl>
    <w:lvl w:ilvl="5" w:tplc="0426001B" w:tentative="1">
      <w:start w:val="1"/>
      <w:numFmt w:val="lowerRoman"/>
      <w:lvlText w:val="%6."/>
      <w:lvlJc w:val="right"/>
      <w:pPr>
        <w:ind w:left="4853" w:hanging="180"/>
      </w:pPr>
    </w:lvl>
    <w:lvl w:ilvl="6" w:tplc="0426000F" w:tentative="1">
      <w:start w:val="1"/>
      <w:numFmt w:val="decimal"/>
      <w:lvlText w:val="%7."/>
      <w:lvlJc w:val="left"/>
      <w:pPr>
        <w:ind w:left="5573" w:hanging="360"/>
      </w:pPr>
    </w:lvl>
    <w:lvl w:ilvl="7" w:tplc="04260019" w:tentative="1">
      <w:start w:val="1"/>
      <w:numFmt w:val="lowerLetter"/>
      <w:lvlText w:val="%8."/>
      <w:lvlJc w:val="left"/>
      <w:pPr>
        <w:ind w:left="6293" w:hanging="360"/>
      </w:pPr>
    </w:lvl>
    <w:lvl w:ilvl="8" w:tplc="0426001B" w:tentative="1">
      <w:start w:val="1"/>
      <w:numFmt w:val="lowerRoman"/>
      <w:lvlText w:val="%9."/>
      <w:lvlJc w:val="right"/>
      <w:pPr>
        <w:ind w:left="7013" w:hanging="180"/>
      </w:pPr>
    </w:lvl>
  </w:abstractNum>
  <w:num w:numId="1">
    <w:abstractNumId w:val="5"/>
  </w:num>
  <w:num w:numId="2">
    <w:abstractNumId w:val="15"/>
  </w:num>
  <w:num w:numId="3">
    <w:abstractNumId w:val="16"/>
  </w:num>
  <w:num w:numId="4">
    <w:abstractNumId w:val="12"/>
  </w:num>
  <w:num w:numId="5">
    <w:abstractNumId w:val="3"/>
  </w:num>
  <w:num w:numId="6">
    <w:abstractNumId w:val="8"/>
  </w:num>
  <w:num w:numId="7">
    <w:abstractNumId w:val="2"/>
  </w:num>
  <w:num w:numId="8">
    <w:abstractNumId w:val="6"/>
  </w:num>
  <w:num w:numId="9">
    <w:abstractNumId w:val="10"/>
  </w:num>
  <w:num w:numId="10">
    <w:abstractNumId w:val="11"/>
  </w:num>
  <w:num w:numId="11">
    <w:abstractNumId w:val="9"/>
  </w:num>
  <w:num w:numId="12">
    <w:abstractNumId w:val="0"/>
  </w:num>
  <w:num w:numId="13">
    <w:abstractNumId w:val="1"/>
  </w:num>
  <w:num w:numId="14">
    <w:abstractNumId w:val="4"/>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316"/>
    <w:rsid w:val="00003A14"/>
    <w:rsid w:val="00010E0F"/>
    <w:rsid w:val="00011A56"/>
    <w:rsid w:val="000152F8"/>
    <w:rsid w:val="00016332"/>
    <w:rsid w:val="00022657"/>
    <w:rsid w:val="00022B95"/>
    <w:rsid w:val="0003689C"/>
    <w:rsid w:val="000472AB"/>
    <w:rsid w:val="0007029A"/>
    <w:rsid w:val="000B2764"/>
    <w:rsid w:val="000E6D14"/>
    <w:rsid w:val="00114642"/>
    <w:rsid w:val="00115EAC"/>
    <w:rsid w:val="00122363"/>
    <w:rsid w:val="00124E01"/>
    <w:rsid w:val="00126A10"/>
    <w:rsid w:val="00127577"/>
    <w:rsid w:val="00155CB2"/>
    <w:rsid w:val="00156323"/>
    <w:rsid w:val="001A10E7"/>
    <w:rsid w:val="001A15DA"/>
    <w:rsid w:val="001A787B"/>
    <w:rsid w:val="001B06CB"/>
    <w:rsid w:val="001D0551"/>
    <w:rsid w:val="001D6351"/>
    <w:rsid w:val="001E567D"/>
    <w:rsid w:val="001E6E18"/>
    <w:rsid w:val="001E7E40"/>
    <w:rsid w:val="001F6E74"/>
    <w:rsid w:val="0020009D"/>
    <w:rsid w:val="00202519"/>
    <w:rsid w:val="00224972"/>
    <w:rsid w:val="00232346"/>
    <w:rsid w:val="002409DC"/>
    <w:rsid w:val="00243426"/>
    <w:rsid w:val="00254397"/>
    <w:rsid w:val="00254D5A"/>
    <w:rsid w:val="00255C93"/>
    <w:rsid w:val="002565AF"/>
    <w:rsid w:val="00270D14"/>
    <w:rsid w:val="0027371A"/>
    <w:rsid w:val="002854FE"/>
    <w:rsid w:val="002B24DE"/>
    <w:rsid w:val="002B73AF"/>
    <w:rsid w:val="002C6145"/>
    <w:rsid w:val="002D3082"/>
    <w:rsid w:val="002E1C05"/>
    <w:rsid w:val="002E725A"/>
    <w:rsid w:val="002F242F"/>
    <w:rsid w:val="002F3626"/>
    <w:rsid w:val="00306F89"/>
    <w:rsid w:val="003072A1"/>
    <w:rsid w:val="003109DB"/>
    <w:rsid w:val="00314E97"/>
    <w:rsid w:val="0032134F"/>
    <w:rsid w:val="00323D65"/>
    <w:rsid w:val="003264D2"/>
    <w:rsid w:val="00326B2C"/>
    <w:rsid w:val="00337D95"/>
    <w:rsid w:val="00343462"/>
    <w:rsid w:val="00347AE9"/>
    <w:rsid w:val="00354CD3"/>
    <w:rsid w:val="00355D8F"/>
    <w:rsid w:val="00360AC8"/>
    <w:rsid w:val="00365146"/>
    <w:rsid w:val="003833B6"/>
    <w:rsid w:val="0039108D"/>
    <w:rsid w:val="00394366"/>
    <w:rsid w:val="003B0BF9"/>
    <w:rsid w:val="003C1CD4"/>
    <w:rsid w:val="003D1800"/>
    <w:rsid w:val="003D54E4"/>
    <w:rsid w:val="003D5A50"/>
    <w:rsid w:val="003D6339"/>
    <w:rsid w:val="003D6372"/>
    <w:rsid w:val="003E0791"/>
    <w:rsid w:val="003F2084"/>
    <w:rsid w:val="003F28AC"/>
    <w:rsid w:val="003F3F8B"/>
    <w:rsid w:val="004174ED"/>
    <w:rsid w:val="0042366F"/>
    <w:rsid w:val="00424006"/>
    <w:rsid w:val="004454FE"/>
    <w:rsid w:val="00446DBE"/>
    <w:rsid w:val="00456E40"/>
    <w:rsid w:val="004625E6"/>
    <w:rsid w:val="004656D5"/>
    <w:rsid w:val="00471F27"/>
    <w:rsid w:val="00474881"/>
    <w:rsid w:val="004A4336"/>
    <w:rsid w:val="004C3524"/>
    <w:rsid w:val="004C72A4"/>
    <w:rsid w:val="004D1E90"/>
    <w:rsid w:val="004E61F8"/>
    <w:rsid w:val="004F3400"/>
    <w:rsid w:val="00500622"/>
    <w:rsid w:val="0050178F"/>
    <w:rsid w:val="005360C5"/>
    <w:rsid w:val="0054488C"/>
    <w:rsid w:val="0055018D"/>
    <w:rsid w:val="00550D57"/>
    <w:rsid w:val="005523DC"/>
    <w:rsid w:val="00566EDD"/>
    <w:rsid w:val="0058611F"/>
    <w:rsid w:val="00590A43"/>
    <w:rsid w:val="005B6863"/>
    <w:rsid w:val="005C2D32"/>
    <w:rsid w:val="005C52EB"/>
    <w:rsid w:val="005C7E25"/>
    <w:rsid w:val="005D21DE"/>
    <w:rsid w:val="005D469E"/>
    <w:rsid w:val="005E41A2"/>
    <w:rsid w:val="005E6441"/>
    <w:rsid w:val="00611DED"/>
    <w:rsid w:val="00615524"/>
    <w:rsid w:val="006316B6"/>
    <w:rsid w:val="00643CC6"/>
    <w:rsid w:val="006449F2"/>
    <w:rsid w:val="0065018B"/>
    <w:rsid w:val="00651063"/>
    <w:rsid w:val="00651859"/>
    <w:rsid w:val="00655F2C"/>
    <w:rsid w:val="00665AF0"/>
    <w:rsid w:val="006A39F5"/>
    <w:rsid w:val="006D3672"/>
    <w:rsid w:val="006E1081"/>
    <w:rsid w:val="006F766D"/>
    <w:rsid w:val="0070007C"/>
    <w:rsid w:val="00700481"/>
    <w:rsid w:val="00720585"/>
    <w:rsid w:val="00720DE9"/>
    <w:rsid w:val="00724A85"/>
    <w:rsid w:val="00727EF7"/>
    <w:rsid w:val="0074044E"/>
    <w:rsid w:val="00751AA1"/>
    <w:rsid w:val="00766BFE"/>
    <w:rsid w:val="0077033E"/>
    <w:rsid w:val="00773AF6"/>
    <w:rsid w:val="00775E88"/>
    <w:rsid w:val="00783EE1"/>
    <w:rsid w:val="00795DD7"/>
    <w:rsid w:val="00795F71"/>
    <w:rsid w:val="007B7CFA"/>
    <w:rsid w:val="007D13F1"/>
    <w:rsid w:val="007D4A10"/>
    <w:rsid w:val="007D50C5"/>
    <w:rsid w:val="007D7968"/>
    <w:rsid w:val="007D7C09"/>
    <w:rsid w:val="007E5E18"/>
    <w:rsid w:val="007E5F7A"/>
    <w:rsid w:val="007E73AB"/>
    <w:rsid w:val="00805ED6"/>
    <w:rsid w:val="0081673D"/>
    <w:rsid w:val="00816C11"/>
    <w:rsid w:val="00825A16"/>
    <w:rsid w:val="008278A3"/>
    <w:rsid w:val="00835AC1"/>
    <w:rsid w:val="00841A28"/>
    <w:rsid w:val="00843F9B"/>
    <w:rsid w:val="008444D1"/>
    <w:rsid w:val="0084535C"/>
    <w:rsid w:val="00847A5A"/>
    <w:rsid w:val="008538A1"/>
    <w:rsid w:val="008824C5"/>
    <w:rsid w:val="0088564C"/>
    <w:rsid w:val="00893365"/>
    <w:rsid w:val="00894C55"/>
    <w:rsid w:val="008B01FB"/>
    <w:rsid w:val="008B6F86"/>
    <w:rsid w:val="008C318B"/>
    <w:rsid w:val="008C715F"/>
    <w:rsid w:val="008E044E"/>
    <w:rsid w:val="008E601C"/>
    <w:rsid w:val="008E6FFD"/>
    <w:rsid w:val="008E7ED7"/>
    <w:rsid w:val="009024D7"/>
    <w:rsid w:val="00904F2B"/>
    <w:rsid w:val="009111E4"/>
    <w:rsid w:val="009148E2"/>
    <w:rsid w:val="00916C59"/>
    <w:rsid w:val="00925F18"/>
    <w:rsid w:val="009265C1"/>
    <w:rsid w:val="009405B1"/>
    <w:rsid w:val="00965455"/>
    <w:rsid w:val="00972930"/>
    <w:rsid w:val="0098077B"/>
    <w:rsid w:val="00980C3C"/>
    <w:rsid w:val="0099670C"/>
    <w:rsid w:val="009A2654"/>
    <w:rsid w:val="009C7BFA"/>
    <w:rsid w:val="009D11E1"/>
    <w:rsid w:val="009F10AC"/>
    <w:rsid w:val="009F396A"/>
    <w:rsid w:val="00A10FC3"/>
    <w:rsid w:val="00A270BA"/>
    <w:rsid w:val="00A271D0"/>
    <w:rsid w:val="00A40471"/>
    <w:rsid w:val="00A40FD9"/>
    <w:rsid w:val="00A47CDE"/>
    <w:rsid w:val="00A50301"/>
    <w:rsid w:val="00A52F16"/>
    <w:rsid w:val="00A56575"/>
    <w:rsid w:val="00A578A9"/>
    <w:rsid w:val="00A6073E"/>
    <w:rsid w:val="00A637B7"/>
    <w:rsid w:val="00A6572F"/>
    <w:rsid w:val="00A76AEA"/>
    <w:rsid w:val="00A7755F"/>
    <w:rsid w:val="00A81BD9"/>
    <w:rsid w:val="00A96A65"/>
    <w:rsid w:val="00A97B10"/>
    <w:rsid w:val="00AB0A81"/>
    <w:rsid w:val="00AB2496"/>
    <w:rsid w:val="00AB272C"/>
    <w:rsid w:val="00AD309A"/>
    <w:rsid w:val="00AE34E5"/>
    <w:rsid w:val="00AE4FAF"/>
    <w:rsid w:val="00AE5567"/>
    <w:rsid w:val="00AE5878"/>
    <w:rsid w:val="00AF1239"/>
    <w:rsid w:val="00B14492"/>
    <w:rsid w:val="00B16480"/>
    <w:rsid w:val="00B2165C"/>
    <w:rsid w:val="00B30691"/>
    <w:rsid w:val="00B336C8"/>
    <w:rsid w:val="00B44468"/>
    <w:rsid w:val="00B478CF"/>
    <w:rsid w:val="00B53C4A"/>
    <w:rsid w:val="00B577DF"/>
    <w:rsid w:val="00B631A9"/>
    <w:rsid w:val="00B6589C"/>
    <w:rsid w:val="00B6646D"/>
    <w:rsid w:val="00B77AB7"/>
    <w:rsid w:val="00B87E6E"/>
    <w:rsid w:val="00B925D0"/>
    <w:rsid w:val="00BA20AA"/>
    <w:rsid w:val="00BC4970"/>
    <w:rsid w:val="00BC798F"/>
    <w:rsid w:val="00BD4425"/>
    <w:rsid w:val="00BE01A5"/>
    <w:rsid w:val="00BE0B3B"/>
    <w:rsid w:val="00BE1FEB"/>
    <w:rsid w:val="00BF4E50"/>
    <w:rsid w:val="00C12329"/>
    <w:rsid w:val="00C1730D"/>
    <w:rsid w:val="00C20B69"/>
    <w:rsid w:val="00C24108"/>
    <w:rsid w:val="00C25B49"/>
    <w:rsid w:val="00C312FB"/>
    <w:rsid w:val="00C32F69"/>
    <w:rsid w:val="00C423F9"/>
    <w:rsid w:val="00C5175B"/>
    <w:rsid w:val="00C51A6A"/>
    <w:rsid w:val="00C5294A"/>
    <w:rsid w:val="00C65B5C"/>
    <w:rsid w:val="00C708D9"/>
    <w:rsid w:val="00C709F9"/>
    <w:rsid w:val="00C725A0"/>
    <w:rsid w:val="00C86F48"/>
    <w:rsid w:val="00C92B4B"/>
    <w:rsid w:val="00CA3D3E"/>
    <w:rsid w:val="00CA5562"/>
    <w:rsid w:val="00CC0D2D"/>
    <w:rsid w:val="00CC5F0D"/>
    <w:rsid w:val="00CD2F80"/>
    <w:rsid w:val="00CD5B50"/>
    <w:rsid w:val="00CE5657"/>
    <w:rsid w:val="00CF0422"/>
    <w:rsid w:val="00CF544A"/>
    <w:rsid w:val="00D01BF6"/>
    <w:rsid w:val="00D02C31"/>
    <w:rsid w:val="00D103E6"/>
    <w:rsid w:val="00D133F8"/>
    <w:rsid w:val="00D148FC"/>
    <w:rsid w:val="00D14A3E"/>
    <w:rsid w:val="00D24EAD"/>
    <w:rsid w:val="00D32380"/>
    <w:rsid w:val="00D339AD"/>
    <w:rsid w:val="00D4114C"/>
    <w:rsid w:val="00D5167C"/>
    <w:rsid w:val="00D51FB8"/>
    <w:rsid w:val="00D55C77"/>
    <w:rsid w:val="00D62BCA"/>
    <w:rsid w:val="00D76C7F"/>
    <w:rsid w:val="00D85E5E"/>
    <w:rsid w:val="00D91AD0"/>
    <w:rsid w:val="00D9483B"/>
    <w:rsid w:val="00DA5C24"/>
    <w:rsid w:val="00DC402A"/>
    <w:rsid w:val="00DF2C3B"/>
    <w:rsid w:val="00DF4400"/>
    <w:rsid w:val="00E04044"/>
    <w:rsid w:val="00E043FC"/>
    <w:rsid w:val="00E16BBC"/>
    <w:rsid w:val="00E34282"/>
    <w:rsid w:val="00E3716B"/>
    <w:rsid w:val="00E425E7"/>
    <w:rsid w:val="00E44EBC"/>
    <w:rsid w:val="00E5323B"/>
    <w:rsid w:val="00E6013E"/>
    <w:rsid w:val="00E65939"/>
    <w:rsid w:val="00E72389"/>
    <w:rsid w:val="00E75D95"/>
    <w:rsid w:val="00E86DB9"/>
    <w:rsid w:val="00E8749E"/>
    <w:rsid w:val="00E90C01"/>
    <w:rsid w:val="00E91901"/>
    <w:rsid w:val="00E937E5"/>
    <w:rsid w:val="00E971B0"/>
    <w:rsid w:val="00EA3E5B"/>
    <w:rsid w:val="00EA486E"/>
    <w:rsid w:val="00EC2678"/>
    <w:rsid w:val="00ED2B23"/>
    <w:rsid w:val="00ED2EEA"/>
    <w:rsid w:val="00EE0258"/>
    <w:rsid w:val="00EF6317"/>
    <w:rsid w:val="00EF6D10"/>
    <w:rsid w:val="00F0056A"/>
    <w:rsid w:val="00F06294"/>
    <w:rsid w:val="00F11DEA"/>
    <w:rsid w:val="00F202DD"/>
    <w:rsid w:val="00F441DB"/>
    <w:rsid w:val="00F57B0C"/>
    <w:rsid w:val="00F60E5F"/>
    <w:rsid w:val="00F730A0"/>
    <w:rsid w:val="00F75FB9"/>
    <w:rsid w:val="00F800B4"/>
    <w:rsid w:val="00F81E55"/>
    <w:rsid w:val="00F879AD"/>
    <w:rsid w:val="00F94B18"/>
    <w:rsid w:val="00FA1F16"/>
    <w:rsid w:val="00FB3EBB"/>
    <w:rsid w:val="00FB566F"/>
    <w:rsid w:val="00FB6A51"/>
    <w:rsid w:val="00FC69DF"/>
    <w:rsid w:val="00FD5EA0"/>
    <w:rsid w:val="00FE0850"/>
    <w:rsid w:val="00FF1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57601F"/>
  <w15:docId w15:val="{6022FE5C-93A4-4528-92C6-E0FA80B8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F2C3B"/>
    <w:rPr>
      <w:sz w:val="16"/>
      <w:szCs w:val="16"/>
    </w:rPr>
  </w:style>
  <w:style w:type="paragraph" w:styleId="CommentText">
    <w:name w:val="annotation text"/>
    <w:basedOn w:val="Normal"/>
    <w:link w:val="CommentTextChar"/>
    <w:uiPriority w:val="99"/>
    <w:semiHidden/>
    <w:unhideWhenUsed/>
    <w:rsid w:val="00DF2C3B"/>
    <w:pPr>
      <w:spacing w:after="0" w:line="240" w:lineRule="auto"/>
    </w:pPr>
    <w:rPr>
      <w:rFonts w:ascii="Times New Roman" w:eastAsia="Calibri"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DF2C3B"/>
    <w:rPr>
      <w:rFonts w:ascii="Times New Roman" w:eastAsia="Calibri" w:hAnsi="Times New Roman" w:cs="Times New Roman"/>
      <w:sz w:val="20"/>
      <w:szCs w:val="20"/>
      <w:lang w:eastAsia="lv-LV"/>
    </w:rPr>
  </w:style>
  <w:style w:type="paragraph" w:styleId="ListParagraph">
    <w:name w:val="List Paragraph"/>
    <w:aliases w:val="2,Strip,Normal bullet 2,Bullet list,Saistīto dokumentu saraksts,Syle 1,Numurets,List Paragraph11,OBC Bullet,Bullet Style,L,H&amp;P List Paragraph,List Paragraph1,Akapit z listą BS,Bullet 1,Bullet Points,Dot pt,F5 List Paragraph,Indicator Text"/>
    <w:basedOn w:val="Normal"/>
    <w:link w:val="ListParagraphChar"/>
    <w:uiPriority w:val="34"/>
    <w:qFormat/>
    <w:rsid w:val="00CD2F80"/>
    <w:pPr>
      <w:spacing w:after="0" w:line="240" w:lineRule="auto"/>
      <w:ind w:left="720"/>
      <w:contextualSpacing/>
    </w:pPr>
    <w:rPr>
      <w:rFonts w:ascii="Times New Roman" w:eastAsia="Times New Roman" w:hAnsi="Times New Roman" w:cs="Times New Roman"/>
      <w:lang w:eastAsia="lv-LV"/>
    </w:rPr>
  </w:style>
  <w:style w:type="character" w:customStyle="1" w:styleId="ListParagraphChar">
    <w:name w:val="List Paragraph Char"/>
    <w:aliases w:val="2 Char,Strip Char,Normal bullet 2 Char,Bullet list Char,Saistīto dokumentu saraksts Char,Syle 1 Char,Numurets Char,List Paragraph11 Char,OBC Bullet Char,Bullet Style Char,L Char,H&amp;P List Paragraph Char,List Paragraph1 Char"/>
    <w:link w:val="ListParagraph"/>
    <w:uiPriority w:val="34"/>
    <w:qFormat/>
    <w:rsid w:val="00CD2F80"/>
    <w:rPr>
      <w:rFonts w:ascii="Times New Roman" w:eastAsia="Times New Roman" w:hAnsi="Times New Roman" w:cs="Times New Roman"/>
      <w:lang w:eastAsia="lv-LV"/>
    </w:rPr>
  </w:style>
  <w:style w:type="paragraph" w:styleId="CommentSubject">
    <w:name w:val="annotation subject"/>
    <w:basedOn w:val="CommentText"/>
    <w:next w:val="CommentText"/>
    <w:link w:val="CommentSubjectChar"/>
    <w:uiPriority w:val="99"/>
    <w:semiHidden/>
    <w:unhideWhenUsed/>
    <w:rsid w:val="0025439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254397"/>
    <w:rPr>
      <w:rFonts w:ascii="Times New Roman" w:eastAsia="Calibri" w:hAnsi="Times New Roman" w:cs="Times New Roman"/>
      <w:b/>
      <w:bCs/>
      <w:sz w:val="20"/>
      <w:szCs w:val="20"/>
      <w:lang w:eastAsia="lv-LV"/>
    </w:rPr>
  </w:style>
  <w:style w:type="paragraph" w:styleId="FootnoteText">
    <w:name w:val="footnote text"/>
    <w:basedOn w:val="Normal"/>
    <w:link w:val="FootnoteTextChar"/>
    <w:uiPriority w:val="99"/>
    <w:semiHidden/>
    <w:unhideWhenUsed/>
    <w:rsid w:val="001E56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567D"/>
    <w:rPr>
      <w:sz w:val="20"/>
      <w:szCs w:val="20"/>
    </w:rPr>
  </w:style>
  <w:style w:type="character" w:styleId="FootnoteReference">
    <w:name w:val="footnote reference"/>
    <w:basedOn w:val="DefaultParagraphFont"/>
    <w:uiPriority w:val="99"/>
    <w:semiHidden/>
    <w:unhideWhenUsed/>
    <w:rsid w:val="001E567D"/>
    <w:rPr>
      <w:vertAlign w:val="superscript"/>
    </w:rPr>
  </w:style>
  <w:style w:type="character" w:customStyle="1" w:styleId="UnresolvedMention1">
    <w:name w:val="Unresolved Mention1"/>
    <w:basedOn w:val="DefaultParagraphFont"/>
    <w:uiPriority w:val="99"/>
    <w:semiHidden/>
    <w:unhideWhenUsed/>
    <w:rsid w:val="001E567D"/>
    <w:rPr>
      <w:color w:val="605E5C"/>
      <w:shd w:val="clear" w:color="auto" w:fill="E1DFDD"/>
    </w:rPr>
  </w:style>
  <w:style w:type="paragraph" w:styleId="Revision">
    <w:name w:val="Revision"/>
    <w:hidden/>
    <w:uiPriority w:val="99"/>
    <w:semiHidden/>
    <w:rsid w:val="008E6F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B162F"/>
    <w:rsid w:val="00137DE1"/>
    <w:rsid w:val="00141C0A"/>
    <w:rsid w:val="00177E07"/>
    <w:rsid w:val="00202461"/>
    <w:rsid w:val="00257482"/>
    <w:rsid w:val="002D6FF7"/>
    <w:rsid w:val="00300903"/>
    <w:rsid w:val="003425CF"/>
    <w:rsid w:val="00344186"/>
    <w:rsid w:val="00375922"/>
    <w:rsid w:val="003766DC"/>
    <w:rsid w:val="00385832"/>
    <w:rsid w:val="003C6ED4"/>
    <w:rsid w:val="003F19F8"/>
    <w:rsid w:val="0044445F"/>
    <w:rsid w:val="00472F39"/>
    <w:rsid w:val="004A2E09"/>
    <w:rsid w:val="004D4D0E"/>
    <w:rsid w:val="00523A63"/>
    <w:rsid w:val="0067652F"/>
    <w:rsid w:val="0069624F"/>
    <w:rsid w:val="006F1566"/>
    <w:rsid w:val="007030C4"/>
    <w:rsid w:val="007117EC"/>
    <w:rsid w:val="00715BE1"/>
    <w:rsid w:val="007D5079"/>
    <w:rsid w:val="008334BF"/>
    <w:rsid w:val="008B623B"/>
    <w:rsid w:val="008C69D9"/>
    <w:rsid w:val="008D39C9"/>
    <w:rsid w:val="009318A2"/>
    <w:rsid w:val="009518D0"/>
    <w:rsid w:val="00957E11"/>
    <w:rsid w:val="009632CF"/>
    <w:rsid w:val="009B07EE"/>
    <w:rsid w:val="009B36AB"/>
    <w:rsid w:val="009B55AC"/>
    <w:rsid w:val="009C1B4C"/>
    <w:rsid w:val="00AD4A2F"/>
    <w:rsid w:val="00AF45E7"/>
    <w:rsid w:val="00B04FB7"/>
    <w:rsid w:val="00B062B4"/>
    <w:rsid w:val="00B13CE5"/>
    <w:rsid w:val="00B3767C"/>
    <w:rsid w:val="00B757E9"/>
    <w:rsid w:val="00C00671"/>
    <w:rsid w:val="00C81D5A"/>
    <w:rsid w:val="00CE0143"/>
    <w:rsid w:val="00D36FC9"/>
    <w:rsid w:val="00DA4926"/>
    <w:rsid w:val="00DB413A"/>
    <w:rsid w:val="00DE3D16"/>
    <w:rsid w:val="00E0483C"/>
    <w:rsid w:val="00EB4993"/>
    <w:rsid w:val="00ED4ED0"/>
    <w:rsid w:val="00EF53C9"/>
    <w:rsid w:val="00F36C7D"/>
    <w:rsid w:val="00F95F73"/>
    <w:rsid w:val="00FA3C4D"/>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E52C1-781D-43BF-927F-9689AE7E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10645</Words>
  <Characters>6068</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EMAnot_01112019_Groz160</vt:lpstr>
    </vt:vector>
  </TitlesOfParts>
  <Company>Iestādes nosaukums</Company>
  <LinksUpToDate>false</LinksUpToDate>
  <CharactersWithSpaces>16680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EMAnot_01112019_Groz160</dc:title>
  <dc:subject>Anotācija</dc:subject>
  <dc:creator>Janis.Silins@em.gov.lv</dc:creator>
  <dc:description>67013005, Janis.Silins@em.gov.lv</dc:description>
  <cp:lastModifiedBy>Dzintars Kauliņš</cp:lastModifiedBy>
  <cp:revision>11</cp:revision>
  <dcterms:created xsi:type="dcterms:W3CDTF">2020-06-18T12:49:00Z</dcterms:created>
  <dcterms:modified xsi:type="dcterms:W3CDTF">2020-06-19T11:05:00Z</dcterms:modified>
</cp:coreProperties>
</file>