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CFBC" w14:textId="77777777" w:rsidR="00155C74" w:rsidRDefault="00C2339A" w:rsidP="00C2339A">
      <w:pPr>
        <w:pStyle w:val="ListParagraph"/>
        <w:spacing w:before="120" w:after="120" w:line="276" w:lineRule="auto"/>
        <w:ind w:left="0" w:firstLine="709"/>
        <w:jc w:val="center"/>
        <w:rPr>
          <w:rFonts w:cs="Times New Roman"/>
          <w:b/>
          <w:bCs/>
          <w:sz w:val="28"/>
          <w:szCs w:val="28"/>
        </w:rPr>
      </w:pPr>
      <w:bookmarkStart w:id="0" w:name="_Hlk42683596"/>
      <w:r w:rsidRPr="00C2339A">
        <w:rPr>
          <w:rFonts w:cs="Times New Roman"/>
          <w:b/>
          <w:bCs/>
          <w:sz w:val="28"/>
          <w:szCs w:val="28"/>
        </w:rPr>
        <w:t xml:space="preserve">Informatīvais ziņojums </w:t>
      </w:r>
    </w:p>
    <w:p w14:paraId="6C76AD38" w14:textId="7D44416C" w:rsidR="00C2339A" w:rsidRPr="00C2339A" w:rsidRDefault="00C2339A" w:rsidP="00C2339A">
      <w:pPr>
        <w:pStyle w:val="ListParagraph"/>
        <w:spacing w:before="120" w:after="120" w:line="276" w:lineRule="auto"/>
        <w:ind w:left="0" w:firstLine="709"/>
        <w:jc w:val="center"/>
        <w:rPr>
          <w:rFonts w:cs="Times New Roman"/>
          <w:b/>
          <w:bCs/>
          <w:sz w:val="28"/>
          <w:szCs w:val="28"/>
        </w:rPr>
      </w:pPr>
      <w:r w:rsidRPr="00C2339A">
        <w:rPr>
          <w:rFonts w:cs="Times New Roman"/>
          <w:b/>
          <w:bCs/>
          <w:sz w:val="28"/>
          <w:szCs w:val="28"/>
        </w:rPr>
        <w:t xml:space="preserve">„Par neatbilstoši veikto izdevumu norakstīšanu darbības programmas „Infrastruktūra un pakalpojumi” 3.4.4.1.aktivitāti „Daudzdzīvokļu māju </w:t>
      </w:r>
      <w:proofErr w:type="spellStart"/>
      <w:r w:rsidRPr="00C2339A">
        <w:rPr>
          <w:rFonts w:cs="Times New Roman"/>
          <w:b/>
          <w:bCs/>
          <w:sz w:val="28"/>
          <w:szCs w:val="28"/>
        </w:rPr>
        <w:t>siltumnoturības</w:t>
      </w:r>
      <w:proofErr w:type="spellEnd"/>
      <w:r w:rsidRPr="00C2339A">
        <w:rPr>
          <w:rFonts w:cs="Times New Roman"/>
          <w:b/>
          <w:bCs/>
          <w:sz w:val="28"/>
          <w:szCs w:val="28"/>
        </w:rPr>
        <w:t xml:space="preserve"> uzlabošanas pasākumi””</w:t>
      </w:r>
      <w:r w:rsidR="008D4316">
        <w:rPr>
          <w:rFonts w:cs="Times New Roman"/>
          <w:b/>
          <w:bCs/>
          <w:sz w:val="28"/>
          <w:szCs w:val="28"/>
        </w:rPr>
        <w:t>”’</w:t>
      </w:r>
    </w:p>
    <w:bookmarkEnd w:id="0"/>
    <w:p w14:paraId="74E0210F" w14:textId="0E40D622" w:rsidR="00C2339A" w:rsidRDefault="00C2339A" w:rsidP="00662F8E">
      <w:pPr>
        <w:pStyle w:val="ListParagraph"/>
        <w:spacing w:before="120" w:after="120" w:line="276" w:lineRule="auto"/>
        <w:ind w:left="0" w:firstLine="709"/>
        <w:jc w:val="both"/>
        <w:rPr>
          <w:rFonts w:cs="Times New Roman"/>
          <w:sz w:val="28"/>
          <w:szCs w:val="28"/>
        </w:rPr>
      </w:pPr>
    </w:p>
    <w:p w14:paraId="68638AF3" w14:textId="4DD679BF" w:rsidR="009135F9" w:rsidRDefault="009135F9" w:rsidP="00662F8E">
      <w:pPr>
        <w:pStyle w:val="ListParagraph"/>
        <w:spacing w:before="120" w:after="120" w:line="276" w:lineRule="auto"/>
        <w:ind w:left="0" w:firstLine="709"/>
        <w:jc w:val="both"/>
        <w:rPr>
          <w:rFonts w:cs="Times New Roman"/>
          <w:sz w:val="28"/>
          <w:szCs w:val="28"/>
        </w:rPr>
      </w:pPr>
    </w:p>
    <w:p w14:paraId="38097CB0" w14:textId="5D302142" w:rsidR="009135F9" w:rsidRDefault="009135F9" w:rsidP="00662F8E">
      <w:pPr>
        <w:pStyle w:val="ListParagraph"/>
        <w:spacing w:before="120" w:after="120" w:line="276" w:lineRule="auto"/>
        <w:ind w:left="0" w:firstLine="709"/>
        <w:jc w:val="both"/>
        <w:rPr>
          <w:rFonts w:cs="Times New Roman"/>
          <w:sz w:val="28"/>
          <w:szCs w:val="28"/>
        </w:rPr>
      </w:pPr>
      <w:r w:rsidRPr="009135F9">
        <w:rPr>
          <w:rFonts w:cs="Times New Roman"/>
          <w:sz w:val="28"/>
          <w:szCs w:val="28"/>
        </w:rPr>
        <w:t xml:space="preserve">Informatīvais ziņojums “Par neatbilstoši veikto izdevumu norakstīšanu darbības programmas “Infrastruktūra un pakalpojumi” 3.4.4.1. aktivitāti “Daudzdzīvokļu māju </w:t>
      </w:r>
      <w:proofErr w:type="spellStart"/>
      <w:r w:rsidRPr="009135F9">
        <w:rPr>
          <w:rFonts w:cs="Times New Roman"/>
          <w:sz w:val="28"/>
          <w:szCs w:val="28"/>
        </w:rPr>
        <w:t>siltumnoturības</w:t>
      </w:r>
      <w:proofErr w:type="spellEnd"/>
      <w:r w:rsidRPr="009135F9">
        <w:rPr>
          <w:rFonts w:cs="Times New Roman"/>
          <w:sz w:val="28"/>
          <w:szCs w:val="28"/>
        </w:rPr>
        <w:t xml:space="preserve"> </w:t>
      </w:r>
      <w:proofErr w:type="spellStart"/>
      <w:r w:rsidRPr="009135F9">
        <w:rPr>
          <w:rFonts w:cs="Times New Roman"/>
          <w:sz w:val="28"/>
          <w:szCs w:val="28"/>
        </w:rPr>
        <w:t>uzlabošabas</w:t>
      </w:r>
      <w:proofErr w:type="spellEnd"/>
      <w:r w:rsidRPr="009135F9">
        <w:rPr>
          <w:rFonts w:cs="Times New Roman"/>
          <w:sz w:val="28"/>
          <w:szCs w:val="28"/>
        </w:rPr>
        <w:t xml:space="preserve"> pasākumi”” izstrādāts</w:t>
      </w:r>
      <w:r>
        <w:rPr>
          <w:rFonts w:cs="Times New Roman"/>
          <w:sz w:val="28"/>
          <w:szCs w:val="28"/>
        </w:rPr>
        <w:t xml:space="preserve">, lai izvērtētu </w:t>
      </w:r>
      <w:r w:rsidRPr="009135F9">
        <w:rPr>
          <w:rFonts w:cs="Times New Roman"/>
          <w:sz w:val="28"/>
          <w:szCs w:val="28"/>
        </w:rPr>
        <w:t>2007. - 2013. gada plānošanas period</w:t>
      </w:r>
      <w:r>
        <w:rPr>
          <w:rFonts w:cs="Times New Roman"/>
          <w:sz w:val="28"/>
          <w:szCs w:val="28"/>
        </w:rPr>
        <w:t>ā</w:t>
      </w:r>
      <w:r w:rsidRPr="009135F9">
        <w:rPr>
          <w:rFonts w:cs="Times New Roman"/>
          <w:sz w:val="28"/>
          <w:szCs w:val="28"/>
        </w:rPr>
        <w:t xml:space="preserve"> Eiropas Reģionālās attīstības fonda projekta Nr. DMS/3.4.4.1.0/12/09/641 “Daudzdzīvokļu dzīvojamās mājas Teātra ielā 4, Balvi, energoefektivitātes paaugstināšana” (turpmāk –Projekts) ietvaros neatbilstoši veikto izdevumu 26 892,28 </w:t>
      </w:r>
      <w:proofErr w:type="spellStart"/>
      <w:r w:rsidRPr="009135F9">
        <w:rPr>
          <w:rFonts w:cs="Times New Roman"/>
          <w:sz w:val="28"/>
          <w:szCs w:val="28"/>
        </w:rPr>
        <w:t>euro</w:t>
      </w:r>
      <w:proofErr w:type="spellEnd"/>
      <w:r w:rsidRPr="009135F9">
        <w:rPr>
          <w:rFonts w:cs="Times New Roman"/>
          <w:sz w:val="28"/>
          <w:szCs w:val="28"/>
        </w:rPr>
        <w:t xml:space="preserve"> atgūšanas iespēj</w:t>
      </w:r>
      <w:r>
        <w:rPr>
          <w:rFonts w:cs="Times New Roman"/>
          <w:sz w:val="28"/>
          <w:szCs w:val="28"/>
        </w:rPr>
        <w:t>as.</w:t>
      </w:r>
    </w:p>
    <w:p w14:paraId="061D2DA3" w14:textId="77777777" w:rsidR="009135F9" w:rsidRDefault="009135F9" w:rsidP="00662F8E">
      <w:pPr>
        <w:pStyle w:val="ListParagraph"/>
        <w:spacing w:before="120" w:after="120" w:line="276" w:lineRule="auto"/>
        <w:ind w:left="0" w:firstLine="709"/>
        <w:jc w:val="both"/>
        <w:rPr>
          <w:rFonts w:eastAsia="Times New Roman"/>
          <w:sz w:val="28"/>
          <w:szCs w:val="28"/>
        </w:rPr>
      </w:pPr>
    </w:p>
    <w:p w14:paraId="35D89361" w14:textId="104BB80F" w:rsidR="009135F9" w:rsidRDefault="009135F9" w:rsidP="009135F9">
      <w:pPr>
        <w:pStyle w:val="ListParagraph"/>
        <w:numPr>
          <w:ilvl w:val="0"/>
          <w:numId w:val="1"/>
        </w:numPr>
        <w:spacing w:before="120" w:after="120" w:line="276" w:lineRule="auto"/>
        <w:jc w:val="center"/>
        <w:rPr>
          <w:rFonts w:eastAsia="Times New Roman"/>
          <w:b/>
          <w:bCs/>
          <w:sz w:val="28"/>
          <w:szCs w:val="28"/>
        </w:rPr>
      </w:pPr>
      <w:r w:rsidRPr="009135F9">
        <w:rPr>
          <w:rFonts w:eastAsia="Times New Roman"/>
          <w:b/>
          <w:bCs/>
          <w:sz w:val="28"/>
          <w:szCs w:val="28"/>
        </w:rPr>
        <w:t>Esošās situācijas izklāsts</w:t>
      </w:r>
    </w:p>
    <w:p w14:paraId="65A89AE9" w14:textId="77777777" w:rsidR="009135F9" w:rsidRPr="009135F9" w:rsidRDefault="009135F9" w:rsidP="009135F9">
      <w:pPr>
        <w:pStyle w:val="ListParagraph"/>
        <w:spacing w:before="120" w:after="120" w:line="276" w:lineRule="auto"/>
        <w:ind w:left="1441"/>
        <w:rPr>
          <w:rFonts w:eastAsia="Times New Roman"/>
          <w:b/>
          <w:bCs/>
          <w:sz w:val="28"/>
          <w:szCs w:val="28"/>
        </w:rPr>
      </w:pPr>
    </w:p>
    <w:p w14:paraId="394F2C82" w14:textId="28862F8B" w:rsidR="00662F8E" w:rsidRDefault="009135F9" w:rsidP="009135F9">
      <w:pPr>
        <w:pStyle w:val="ListParagraph"/>
        <w:spacing w:before="120" w:after="120" w:line="276" w:lineRule="auto"/>
        <w:ind w:left="0" w:firstLine="709"/>
        <w:jc w:val="both"/>
        <w:rPr>
          <w:rFonts w:eastAsia="Times New Roman"/>
          <w:sz w:val="28"/>
          <w:szCs w:val="28"/>
        </w:rPr>
      </w:pPr>
      <w:r>
        <w:rPr>
          <w:rFonts w:cs="Times New Roman"/>
          <w:sz w:val="28"/>
          <w:szCs w:val="28"/>
        </w:rPr>
        <w:t xml:space="preserve">Ekonomikas ministrija (turpmāk – EM) un Latvijas Investīciju un attīstības aģentūra (turpmāk – </w:t>
      </w:r>
      <w:r w:rsidRPr="00DB28C3">
        <w:rPr>
          <w:rFonts w:cs="Times New Roman"/>
          <w:sz w:val="28"/>
          <w:szCs w:val="28"/>
        </w:rPr>
        <w:t>LIAA</w:t>
      </w:r>
      <w:r>
        <w:rPr>
          <w:rFonts w:cs="Times New Roman"/>
          <w:sz w:val="28"/>
          <w:szCs w:val="28"/>
        </w:rPr>
        <w:t>)</w:t>
      </w:r>
      <w:r w:rsidRPr="00DB28C3">
        <w:rPr>
          <w:rFonts w:cs="Times New Roman"/>
          <w:sz w:val="28"/>
          <w:szCs w:val="28"/>
        </w:rPr>
        <w:t xml:space="preserve"> </w:t>
      </w:r>
      <w:r>
        <w:rPr>
          <w:rFonts w:cs="Times New Roman"/>
          <w:sz w:val="28"/>
          <w:szCs w:val="28"/>
        </w:rPr>
        <w:t>ir veikušas</w:t>
      </w:r>
      <w:r w:rsidRPr="00DB28C3">
        <w:rPr>
          <w:rFonts w:cs="Times New Roman"/>
          <w:sz w:val="28"/>
          <w:szCs w:val="28"/>
        </w:rPr>
        <w:t xml:space="preserve"> situācijas </w:t>
      </w:r>
      <w:proofErr w:type="spellStart"/>
      <w:r w:rsidRPr="00DB28C3">
        <w:rPr>
          <w:rFonts w:cs="Times New Roman"/>
          <w:sz w:val="28"/>
          <w:szCs w:val="28"/>
        </w:rPr>
        <w:t>izvērtējumu</w:t>
      </w:r>
      <w:proofErr w:type="spellEnd"/>
      <w:r w:rsidRPr="00DB28C3">
        <w:rPr>
          <w:rFonts w:cs="Times New Roman"/>
          <w:sz w:val="28"/>
          <w:szCs w:val="28"/>
        </w:rPr>
        <w:t xml:space="preserve"> </w:t>
      </w:r>
      <w:r w:rsidRPr="00DB28C3">
        <w:rPr>
          <w:rFonts w:eastAsia="Times New Roman"/>
          <w:sz w:val="28"/>
          <w:szCs w:val="28"/>
        </w:rPr>
        <w:t xml:space="preserve">par </w:t>
      </w:r>
      <w:r>
        <w:rPr>
          <w:rFonts w:eastAsia="Times New Roman"/>
          <w:sz w:val="28"/>
          <w:szCs w:val="28"/>
        </w:rPr>
        <w:t>2007. - 2013. </w:t>
      </w:r>
      <w:r w:rsidRPr="00BF63A3">
        <w:rPr>
          <w:rFonts w:eastAsia="Times New Roman"/>
          <w:sz w:val="28"/>
          <w:szCs w:val="28"/>
        </w:rPr>
        <w:t>gada plānošanas perioda Eiropas Reģionālās attīstības fonda projekt</w:t>
      </w:r>
      <w:r>
        <w:rPr>
          <w:rFonts w:eastAsia="Times New Roman"/>
          <w:sz w:val="28"/>
          <w:szCs w:val="28"/>
        </w:rPr>
        <w:t>a</w:t>
      </w:r>
      <w:r w:rsidRPr="00BF63A3">
        <w:rPr>
          <w:rFonts w:eastAsia="Times New Roman"/>
          <w:sz w:val="28"/>
          <w:szCs w:val="28"/>
        </w:rPr>
        <w:t xml:space="preserve"> </w:t>
      </w:r>
      <w:r w:rsidRPr="00ED11FE">
        <w:rPr>
          <w:sz w:val="28"/>
        </w:rPr>
        <w:t>Nr.</w:t>
      </w:r>
      <w:r>
        <w:rPr>
          <w:rFonts w:eastAsia="Times New Roman"/>
          <w:sz w:val="28"/>
          <w:szCs w:val="28"/>
        </w:rPr>
        <w:t> </w:t>
      </w:r>
      <w:r w:rsidRPr="00ED11FE">
        <w:rPr>
          <w:sz w:val="28"/>
        </w:rPr>
        <w:t>DMS/3.4.4.1.0/12/09/641 “Daudzdzīvokļu dzīvojamās mājas Teātra</w:t>
      </w:r>
      <w:r w:rsidRPr="00BF63A3">
        <w:rPr>
          <w:rFonts w:eastAsia="Times New Roman"/>
          <w:sz w:val="28"/>
          <w:szCs w:val="28"/>
        </w:rPr>
        <w:t xml:space="preserve"> </w:t>
      </w:r>
      <w:r w:rsidRPr="00ED11FE">
        <w:rPr>
          <w:sz w:val="28"/>
        </w:rPr>
        <w:t>ielā</w:t>
      </w:r>
      <w:r w:rsidRPr="00BF63A3">
        <w:rPr>
          <w:rFonts w:eastAsia="Times New Roman"/>
          <w:sz w:val="28"/>
          <w:szCs w:val="28"/>
        </w:rPr>
        <w:t xml:space="preserve"> </w:t>
      </w:r>
      <w:r w:rsidRPr="00ED11FE">
        <w:rPr>
          <w:sz w:val="28"/>
        </w:rPr>
        <w:t>4, Balvi, energoefektivitātes paaugstināšana</w:t>
      </w:r>
      <w:r>
        <w:rPr>
          <w:rFonts w:eastAsia="Times New Roman"/>
          <w:sz w:val="28"/>
          <w:szCs w:val="28"/>
        </w:rPr>
        <w:t xml:space="preserve">” (turpmāk –Projekts) ietvaros </w:t>
      </w:r>
      <w:r w:rsidRPr="00DB28C3">
        <w:rPr>
          <w:sz w:val="28"/>
          <w:szCs w:val="28"/>
        </w:rPr>
        <w:t xml:space="preserve">neatbilstoši veikto </w:t>
      </w:r>
      <w:r>
        <w:rPr>
          <w:rFonts w:eastAsia="Times New Roman"/>
          <w:sz w:val="28"/>
          <w:szCs w:val="28"/>
        </w:rPr>
        <w:t>izdevumu</w:t>
      </w:r>
      <w:r w:rsidRPr="00DB28C3">
        <w:rPr>
          <w:rFonts w:eastAsia="Times New Roman"/>
          <w:sz w:val="28"/>
          <w:szCs w:val="28"/>
        </w:rPr>
        <w:t xml:space="preserve"> </w:t>
      </w:r>
      <w:r w:rsidRPr="00BF63A3">
        <w:rPr>
          <w:rFonts w:eastAsia="Times New Roman"/>
          <w:sz w:val="28"/>
          <w:szCs w:val="28"/>
        </w:rPr>
        <w:t xml:space="preserve">26 892,28 </w:t>
      </w:r>
      <w:proofErr w:type="spellStart"/>
      <w:r w:rsidRPr="00A664F3">
        <w:rPr>
          <w:rFonts w:eastAsia="Times New Roman"/>
          <w:i/>
          <w:sz w:val="28"/>
          <w:szCs w:val="28"/>
        </w:rPr>
        <w:t>euro</w:t>
      </w:r>
      <w:proofErr w:type="spellEnd"/>
      <w:r w:rsidRPr="00BF63A3">
        <w:rPr>
          <w:rFonts w:eastAsia="Times New Roman"/>
          <w:sz w:val="28"/>
          <w:szCs w:val="28"/>
        </w:rPr>
        <w:t xml:space="preserve"> </w:t>
      </w:r>
      <w:r w:rsidRPr="00DB28C3">
        <w:rPr>
          <w:rFonts w:eastAsia="Times New Roman"/>
          <w:sz w:val="28"/>
          <w:szCs w:val="28"/>
        </w:rPr>
        <w:t xml:space="preserve">atgūšanas </w:t>
      </w:r>
      <w:r>
        <w:rPr>
          <w:rFonts w:eastAsia="Times New Roman"/>
          <w:sz w:val="28"/>
          <w:szCs w:val="28"/>
        </w:rPr>
        <w:t xml:space="preserve">iespējām </w:t>
      </w:r>
      <w:r w:rsidRPr="00DB28C3">
        <w:rPr>
          <w:rFonts w:eastAsia="Times New Roman"/>
          <w:sz w:val="28"/>
          <w:szCs w:val="28"/>
        </w:rPr>
        <w:t xml:space="preserve">no daudzdzīvokļu mājas </w:t>
      </w:r>
      <w:r w:rsidRPr="006F3B93">
        <w:rPr>
          <w:rFonts w:cs="Times New Roman"/>
          <w:iCs/>
          <w:sz w:val="28"/>
          <w:szCs w:val="28"/>
        </w:rPr>
        <w:t>Teātra ielā 4, Balvos</w:t>
      </w:r>
      <w:r w:rsidRPr="00DB28C3">
        <w:rPr>
          <w:rFonts w:eastAsia="Times New Roman"/>
          <w:sz w:val="28"/>
          <w:szCs w:val="28"/>
        </w:rPr>
        <w:t xml:space="preserve"> </w:t>
      </w:r>
      <w:r>
        <w:rPr>
          <w:rFonts w:eastAsia="Times New Roman"/>
          <w:sz w:val="28"/>
          <w:szCs w:val="28"/>
        </w:rPr>
        <w:t xml:space="preserve">dzīvokļu </w:t>
      </w:r>
      <w:r w:rsidRPr="00DB28C3">
        <w:rPr>
          <w:rFonts w:eastAsia="Times New Roman"/>
          <w:sz w:val="28"/>
          <w:szCs w:val="28"/>
        </w:rPr>
        <w:t>īpašniekiem</w:t>
      </w:r>
      <w:r>
        <w:rPr>
          <w:rFonts w:eastAsia="Times New Roman"/>
          <w:sz w:val="28"/>
          <w:szCs w:val="28"/>
        </w:rPr>
        <w:t xml:space="preserve"> (turpmāk – finansējuma saņēmēji)</w:t>
      </w:r>
      <w:r w:rsidR="00AB3C70">
        <w:rPr>
          <w:rFonts w:eastAsia="Times New Roman"/>
          <w:sz w:val="28"/>
          <w:szCs w:val="28"/>
        </w:rPr>
        <w:t xml:space="preserve"> </w:t>
      </w:r>
      <w:r w:rsidR="00662F8E">
        <w:rPr>
          <w:rFonts w:eastAsia="Times New Roman"/>
          <w:sz w:val="28"/>
          <w:szCs w:val="28"/>
        </w:rPr>
        <w:t>un secina, ka izdevumu atgūšanas process</w:t>
      </w:r>
      <w:r w:rsidR="00662F8E" w:rsidRPr="00BF63A3">
        <w:rPr>
          <w:rFonts w:eastAsia="Times New Roman"/>
          <w:sz w:val="28"/>
          <w:szCs w:val="28"/>
        </w:rPr>
        <w:t xml:space="preserve"> </w:t>
      </w:r>
      <w:r w:rsidR="00662F8E">
        <w:rPr>
          <w:rFonts w:eastAsia="Times New Roman"/>
          <w:sz w:val="28"/>
          <w:szCs w:val="28"/>
        </w:rPr>
        <w:t xml:space="preserve">no finanšu pārvaldības viedokļa </w:t>
      </w:r>
      <w:r w:rsidR="00662F8E" w:rsidRPr="00BF63A3">
        <w:rPr>
          <w:rFonts w:eastAsia="Times New Roman"/>
          <w:sz w:val="28"/>
          <w:szCs w:val="28"/>
        </w:rPr>
        <w:t>ievērojam</w:t>
      </w:r>
      <w:r w:rsidR="00662F8E">
        <w:rPr>
          <w:rFonts w:eastAsia="Times New Roman"/>
          <w:sz w:val="28"/>
          <w:szCs w:val="28"/>
        </w:rPr>
        <w:t>i</w:t>
      </w:r>
      <w:r w:rsidR="00662F8E" w:rsidRPr="00BF63A3">
        <w:rPr>
          <w:rFonts w:eastAsia="Times New Roman"/>
          <w:sz w:val="28"/>
          <w:szCs w:val="28"/>
        </w:rPr>
        <w:t xml:space="preserve"> </w:t>
      </w:r>
      <w:r w:rsidR="00662F8E">
        <w:rPr>
          <w:rFonts w:eastAsia="Times New Roman"/>
          <w:sz w:val="28"/>
          <w:szCs w:val="28"/>
        </w:rPr>
        <w:t>pārsniedz</w:t>
      </w:r>
      <w:r w:rsidR="00662F8E" w:rsidRPr="00BF63A3">
        <w:rPr>
          <w:rFonts w:eastAsia="Times New Roman"/>
          <w:sz w:val="28"/>
          <w:szCs w:val="28"/>
        </w:rPr>
        <w:t xml:space="preserve"> sagaidām</w:t>
      </w:r>
      <w:r w:rsidR="00662F8E">
        <w:rPr>
          <w:rFonts w:eastAsia="Times New Roman"/>
          <w:sz w:val="28"/>
          <w:szCs w:val="28"/>
        </w:rPr>
        <w:t>o</w:t>
      </w:r>
      <w:r w:rsidR="00662F8E" w:rsidRPr="00BF63A3">
        <w:rPr>
          <w:rFonts w:eastAsia="Times New Roman"/>
          <w:sz w:val="28"/>
          <w:szCs w:val="28"/>
        </w:rPr>
        <w:t xml:space="preserve"> ieguvum</w:t>
      </w:r>
      <w:r w:rsidR="00662F8E">
        <w:rPr>
          <w:rFonts w:eastAsia="Times New Roman"/>
          <w:sz w:val="28"/>
          <w:szCs w:val="28"/>
        </w:rPr>
        <w:t>u</w:t>
      </w:r>
      <w:r w:rsidR="00F17AF5">
        <w:rPr>
          <w:rFonts w:eastAsia="Times New Roman"/>
          <w:sz w:val="28"/>
          <w:szCs w:val="28"/>
        </w:rPr>
        <w:t xml:space="preserve"> un atgūšana nav samērīga ar iespējamo finansējuma saņēmēju </w:t>
      </w:r>
      <w:proofErr w:type="spellStart"/>
      <w:r w:rsidR="00F17AF5">
        <w:rPr>
          <w:rFonts w:eastAsia="Times New Roman"/>
          <w:sz w:val="28"/>
          <w:szCs w:val="28"/>
        </w:rPr>
        <w:t>pamattiesību</w:t>
      </w:r>
      <w:proofErr w:type="spellEnd"/>
      <w:r w:rsidR="00F17AF5">
        <w:rPr>
          <w:rFonts w:eastAsia="Times New Roman"/>
          <w:sz w:val="28"/>
          <w:szCs w:val="28"/>
        </w:rPr>
        <w:t xml:space="preserve"> aizskārumu</w:t>
      </w:r>
      <w:r w:rsidR="00662F8E">
        <w:rPr>
          <w:rFonts w:eastAsia="Times New Roman"/>
          <w:sz w:val="28"/>
          <w:szCs w:val="28"/>
        </w:rPr>
        <w:t>.</w:t>
      </w:r>
    </w:p>
    <w:p w14:paraId="2D6B545D" w14:textId="5E166CB1" w:rsidR="009D270F" w:rsidRDefault="0036047A" w:rsidP="00592B6A">
      <w:pPr>
        <w:pStyle w:val="ListParagraph"/>
        <w:spacing w:line="276" w:lineRule="auto"/>
        <w:ind w:left="0" w:firstLine="709"/>
        <w:jc w:val="both"/>
        <w:rPr>
          <w:rFonts w:cs="Times New Roman"/>
          <w:iCs/>
          <w:sz w:val="28"/>
          <w:szCs w:val="28"/>
        </w:rPr>
      </w:pPr>
      <w:r w:rsidRPr="009F0417">
        <w:rPr>
          <w:sz w:val="28"/>
          <w:szCs w:val="28"/>
        </w:rPr>
        <w:t>Aktivitāti regulējošo MK noteikumu</w:t>
      </w:r>
      <w:r w:rsidRPr="009F0417">
        <w:rPr>
          <w:rFonts w:cs="Times New Roman"/>
          <w:sz w:val="28"/>
          <w:szCs w:val="28"/>
        </w:rPr>
        <w:t xml:space="preserve"> </w:t>
      </w:r>
      <w:r w:rsidRPr="009F0417">
        <w:rPr>
          <w:sz w:val="28"/>
          <w:szCs w:val="28"/>
        </w:rPr>
        <w:t>Nr.</w:t>
      </w:r>
      <w:r w:rsidR="009F0417">
        <w:rPr>
          <w:sz w:val="28"/>
          <w:szCs w:val="28"/>
        </w:rPr>
        <w:t> </w:t>
      </w:r>
      <w:r w:rsidRPr="009F0417">
        <w:rPr>
          <w:sz w:val="28"/>
          <w:szCs w:val="28"/>
        </w:rPr>
        <w:t>272</w:t>
      </w:r>
      <w:r w:rsidR="009F0417">
        <w:rPr>
          <w:rStyle w:val="FootnoteReference"/>
          <w:sz w:val="28"/>
          <w:szCs w:val="28"/>
        </w:rPr>
        <w:footnoteReference w:id="1"/>
      </w:r>
      <w:r w:rsidRPr="009F0417">
        <w:rPr>
          <w:sz w:val="28"/>
          <w:szCs w:val="28"/>
        </w:rPr>
        <w:t xml:space="preserve"> 8.</w:t>
      </w:r>
      <w:r w:rsidR="009F0417" w:rsidRPr="009F0417">
        <w:rPr>
          <w:sz w:val="28"/>
          <w:szCs w:val="28"/>
        </w:rPr>
        <w:t> </w:t>
      </w:r>
      <w:r w:rsidRPr="009F0417">
        <w:rPr>
          <w:sz w:val="28"/>
          <w:szCs w:val="28"/>
        </w:rPr>
        <w:t>punktā noteikts, ka aktivitātes ietvaros projekta iesniedzējs ir daudzdzīvokļu dzīvojamās mā</w:t>
      </w:r>
      <w:r w:rsidR="009F0417" w:rsidRPr="009F0417">
        <w:rPr>
          <w:sz w:val="28"/>
          <w:szCs w:val="28"/>
        </w:rPr>
        <w:t>jas dzīvokļu īpašnieku kopība</w:t>
      </w:r>
      <w:r w:rsidR="00497120">
        <w:rPr>
          <w:sz w:val="28"/>
          <w:szCs w:val="28"/>
        </w:rPr>
        <w:t xml:space="preserve"> un </w:t>
      </w:r>
      <w:r w:rsidR="009F0417" w:rsidRPr="009F0417">
        <w:rPr>
          <w:sz w:val="28"/>
          <w:szCs w:val="28"/>
        </w:rPr>
        <w:t>d</w:t>
      </w:r>
      <w:r w:rsidRPr="009F0417">
        <w:rPr>
          <w:sz w:val="28"/>
          <w:szCs w:val="28"/>
        </w:rPr>
        <w:t>zīvokļu īpašnieki projekta iesniegumu iesniedz ar pilnvarotās personas starpniecību</w:t>
      </w:r>
      <w:r w:rsidRPr="00685E6A">
        <w:rPr>
          <w:sz w:val="28"/>
          <w:szCs w:val="28"/>
        </w:rPr>
        <w:t xml:space="preserve">. </w:t>
      </w:r>
      <w:r w:rsidR="0033128A" w:rsidRPr="00685E6A">
        <w:rPr>
          <w:sz w:val="28"/>
          <w:szCs w:val="28"/>
        </w:rPr>
        <w:t>Finansējuma saņēmēji 2012. gada</w:t>
      </w:r>
      <w:r w:rsidR="0033128A">
        <w:t xml:space="preserve"> </w:t>
      </w:r>
      <w:r w:rsidR="0033128A" w:rsidRPr="0033128A">
        <w:rPr>
          <w:sz w:val="28"/>
          <w:szCs w:val="28"/>
        </w:rPr>
        <w:t>14. jūnijā dzīvokļu īpašnieku kopsapulcē nolēma pilnvarot SIA „</w:t>
      </w:r>
      <w:proofErr w:type="spellStart"/>
      <w:r w:rsidR="0033128A" w:rsidRPr="0033128A">
        <w:rPr>
          <w:sz w:val="28"/>
          <w:szCs w:val="28"/>
        </w:rPr>
        <w:t>Energo</w:t>
      </w:r>
      <w:proofErr w:type="spellEnd"/>
      <w:r w:rsidR="0033128A" w:rsidRPr="0033128A">
        <w:rPr>
          <w:sz w:val="28"/>
          <w:szCs w:val="28"/>
        </w:rPr>
        <w:t xml:space="preserve"> pārvalde” dzīvokļu īpašnieku vārdā organizēt un nodrošināt </w:t>
      </w:r>
      <w:r w:rsidR="0033128A" w:rsidRPr="0033128A">
        <w:rPr>
          <w:rFonts w:eastAsia="Times New Roman"/>
          <w:sz w:val="28"/>
          <w:szCs w:val="28"/>
        </w:rPr>
        <w:t xml:space="preserve">daudzdzīvokļu mājas </w:t>
      </w:r>
      <w:r w:rsidR="0033128A" w:rsidRPr="0033128A">
        <w:rPr>
          <w:rFonts w:cs="Times New Roman"/>
          <w:iCs/>
          <w:sz w:val="28"/>
          <w:szCs w:val="28"/>
        </w:rPr>
        <w:t>Teātra ielā 4, Balvos</w:t>
      </w:r>
      <w:r w:rsidR="0033128A" w:rsidRPr="0033128A">
        <w:rPr>
          <w:sz w:val="28"/>
          <w:szCs w:val="28"/>
        </w:rPr>
        <w:t xml:space="preserve"> renovācijas darbus, kā arī noslēdza pilnvarojuma līgumu ar SIA „</w:t>
      </w:r>
      <w:proofErr w:type="spellStart"/>
      <w:r w:rsidR="0033128A" w:rsidRPr="0033128A">
        <w:rPr>
          <w:sz w:val="28"/>
          <w:szCs w:val="28"/>
        </w:rPr>
        <w:t>Energo</w:t>
      </w:r>
      <w:proofErr w:type="spellEnd"/>
      <w:r w:rsidR="0033128A" w:rsidRPr="0033128A">
        <w:rPr>
          <w:sz w:val="28"/>
          <w:szCs w:val="28"/>
        </w:rPr>
        <w:t xml:space="preserve"> pārvalde” par daudzdzīvokļu </w:t>
      </w:r>
      <w:r w:rsidR="0033128A" w:rsidRPr="0033128A">
        <w:rPr>
          <w:sz w:val="28"/>
          <w:szCs w:val="28"/>
        </w:rPr>
        <w:lastRenderedPageBreak/>
        <w:t>mājas energoefektivitāti veicinošu pasākumu organizēšanu.</w:t>
      </w:r>
      <w:r w:rsidR="0033128A">
        <w:rPr>
          <w:rFonts w:cs="Times New Roman"/>
          <w:sz w:val="28"/>
          <w:szCs w:val="28"/>
        </w:rPr>
        <w:t xml:space="preserve"> </w:t>
      </w:r>
      <w:r w:rsidR="00662F8E">
        <w:rPr>
          <w:rFonts w:cs="Times New Roman"/>
          <w:sz w:val="28"/>
          <w:szCs w:val="28"/>
        </w:rPr>
        <w:t xml:space="preserve">LIAA un </w:t>
      </w:r>
      <w:r w:rsidR="00AB3C70">
        <w:rPr>
          <w:rFonts w:cs="Times New Roman"/>
          <w:sz w:val="28"/>
          <w:szCs w:val="28"/>
        </w:rPr>
        <w:t xml:space="preserve">finansējuma saņēmēju pilnvarotā persona </w:t>
      </w:r>
      <w:r w:rsidR="00662F8E" w:rsidRPr="00BF63A3">
        <w:rPr>
          <w:rFonts w:cs="Times New Roman"/>
          <w:sz w:val="28"/>
          <w:szCs w:val="28"/>
        </w:rPr>
        <w:t>SIA “</w:t>
      </w:r>
      <w:proofErr w:type="spellStart"/>
      <w:r w:rsidR="00662F8E" w:rsidRPr="00BF63A3">
        <w:rPr>
          <w:rFonts w:cs="Times New Roman"/>
          <w:sz w:val="28"/>
          <w:szCs w:val="28"/>
        </w:rPr>
        <w:t>Energo</w:t>
      </w:r>
      <w:proofErr w:type="spellEnd"/>
      <w:r w:rsidR="00662F8E" w:rsidRPr="00BF63A3">
        <w:rPr>
          <w:rFonts w:cs="Times New Roman"/>
          <w:sz w:val="28"/>
          <w:szCs w:val="28"/>
        </w:rPr>
        <w:t xml:space="preserve"> pārvalde”</w:t>
      </w:r>
      <w:r w:rsidR="00662F8E">
        <w:rPr>
          <w:rFonts w:cs="Times New Roman"/>
          <w:sz w:val="28"/>
          <w:szCs w:val="28"/>
        </w:rPr>
        <w:t xml:space="preserve"> 2013.</w:t>
      </w:r>
      <w:r w:rsidR="00646B38">
        <w:rPr>
          <w:rFonts w:cs="Times New Roman"/>
          <w:sz w:val="28"/>
          <w:szCs w:val="28"/>
        </w:rPr>
        <w:t> </w:t>
      </w:r>
      <w:r w:rsidR="00662F8E">
        <w:rPr>
          <w:rFonts w:cs="Times New Roman"/>
          <w:sz w:val="28"/>
          <w:szCs w:val="28"/>
        </w:rPr>
        <w:t xml:space="preserve">gada 12. martā noslēdza līgumu par </w:t>
      </w:r>
      <w:r w:rsidR="006D5A2A">
        <w:rPr>
          <w:rFonts w:cs="Times New Roman"/>
          <w:sz w:val="28"/>
          <w:szCs w:val="28"/>
        </w:rPr>
        <w:t>P</w:t>
      </w:r>
      <w:r w:rsidR="00662F8E">
        <w:rPr>
          <w:rFonts w:cs="Times New Roman"/>
          <w:sz w:val="28"/>
          <w:szCs w:val="28"/>
        </w:rPr>
        <w:t xml:space="preserve">rojekta ieviešanu. Saskaņā ar līguma nosacījumiem LIAA izmaksāja SIA </w:t>
      </w:r>
      <w:r w:rsidR="00662F8E" w:rsidRPr="00DB28C3">
        <w:rPr>
          <w:rFonts w:cs="Times New Roman"/>
          <w:sz w:val="28"/>
          <w:szCs w:val="28"/>
        </w:rPr>
        <w:t>“</w:t>
      </w:r>
      <w:proofErr w:type="spellStart"/>
      <w:r w:rsidR="00662F8E" w:rsidRPr="00DB28C3">
        <w:rPr>
          <w:rFonts w:cs="Times New Roman"/>
          <w:sz w:val="28"/>
          <w:szCs w:val="28"/>
        </w:rPr>
        <w:t>Energo</w:t>
      </w:r>
      <w:proofErr w:type="spellEnd"/>
      <w:r w:rsidR="00662F8E" w:rsidRPr="00DB28C3">
        <w:rPr>
          <w:rFonts w:cs="Times New Roman"/>
          <w:sz w:val="28"/>
          <w:szCs w:val="28"/>
        </w:rPr>
        <w:t xml:space="preserve"> pārvalde”</w:t>
      </w:r>
      <w:r w:rsidR="006D5A2A">
        <w:rPr>
          <w:rFonts w:cs="Times New Roman"/>
          <w:sz w:val="28"/>
          <w:szCs w:val="28"/>
        </w:rPr>
        <w:t xml:space="preserve"> P</w:t>
      </w:r>
      <w:r w:rsidR="00662F8E">
        <w:rPr>
          <w:rFonts w:cs="Times New Roman"/>
          <w:sz w:val="28"/>
          <w:szCs w:val="28"/>
        </w:rPr>
        <w:t xml:space="preserve">rojekta avansa </w:t>
      </w:r>
      <w:r w:rsidR="00662F8E" w:rsidRPr="00CA7B75">
        <w:rPr>
          <w:rFonts w:cs="Times New Roman"/>
          <w:sz w:val="28"/>
          <w:szCs w:val="28"/>
        </w:rPr>
        <w:t>maksājumu 26 892,28 </w:t>
      </w:r>
      <w:proofErr w:type="spellStart"/>
      <w:r w:rsidR="00662F8E" w:rsidRPr="00CA7B75">
        <w:rPr>
          <w:rFonts w:cs="Times New Roman"/>
          <w:i/>
          <w:iCs/>
          <w:sz w:val="28"/>
          <w:szCs w:val="28"/>
        </w:rPr>
        <w:t>euro</w:t>
      </w:r>
      <w:proofErr w:type="spellEnd"/>
      <w:r w:rsidR="00662F8E" w:rsidRPr="00CA7B75">
        <w:rPr>
          <w:rFonts w:cs="Times New Roman"/>
          <w:sz w:val="28"/>
          <w:szCs w:val="28"/>
        </w:rPr>
        <w:t>. 2015. gada 15. oktobrī SIA</w:t>
      </w:r>
      <w:r w:rsidR="00A74C5A" w:rsidRPr="00CA7B75">
        <w:rPr>
          <w:rFonts w:cs="Times New Roman"/>
          <w:sz w:val="28"/>
          <w:szCs w:val="28"/>
        </w:rPr>
        <w:t> </w:t>
      </w:r>
      <w:r w:rsidR="00662F8E" w:rsidRPr="00CA7B75">
        <w:rPr>
          <w:rFonts w:cs="Times New Roman"/>
          <w:sz w:val="28"/>
          <w:szCs w:val="28"/>
        </w:rPr>
        <w:t>“</w:t>
      </w:r>
      <w:proofErr w:type="spellStart"/>
      <w:r w:rsidR="00662F8E" w:rsidRPr="00CA7B75">
        <w:rPr>
          <w:rFonts w:cs="Times New Roman"/>
          <w:sz w:val="28"/>
          <w:szCs w:val="28"/>
        </w:rPr>
        <w:t>Energo</w:t>
      </w:r>
      <w:proofErr w:type="spellEnd"/>
      <w:r w:rsidR="00662F8E" w:rsidRPr="00CA7B75">
        <w:rPr>
          <w:rFonts w:cs="Times New Roman"/>
          <w:sz w:val="28"/>
          <w:szCs w:val="28"/>
        </w:rPr>
        <w:t xml:space="preserve"> pārvalde”</w:t>
      </w:r>
      <w:r w:rsidR="006D5A2A" w:rsidRPr="00CA7B75">
        <w:rPr>
          <w:rFonts w:cs="Times New Roman"/>
          <w:sz w:val="28"/>
          <w:szCs w:val="28"/>
        </w:rPr>
        <w:t xml:space="preserve"> iesniedza LIAA P</w:t>
      </w:r>
      <w:r w:rsidR="00662F8E" w:rsidRPr="00CA7B75">
        <w:rPr>
          <w:rFonts w:cs="Times New Roman"/>
          <w:sz w:val="28"/>
          <w:szCs w:val="28"/>
        </w:rPr>
        <w:t>rojekta noslēguma pārskatu, t.sk. noslēguma maksājuma pieprasījumu, kuru izvērtējot, LIAA secināja, ka</w:t>
      </w:r>
      <w:r w:rsidR="006F5018" w:rsidRPr="00CA7B75">
        <w:rPr>
          <w:rFonts w:cs="Times New Roman"/>
          <w:sz w:val="28"/>
          <w:szCs w:val="28"/>
        </w:rPr>
        <w:t xml:space="preserve">, </w:t>
      </w:r>
      <w:r w:rsidR="006F5018" w:rsidRPr="00CA7B75" w:rsidDel="006F5018">
        <w:rPr>
          <w:rFonts w:cs="Times New Roman"/>
          <w:sz w:val="28"/>
          <w:szCs w:val="28"/>
        </w:rPr>
        <w:t xml:space="preserve"> </w:t>
      </w:r>
      <w:r w:rsidR="006F5018" w:rsidRPr="00CA7B75">
        <w:rPr>
          <w:rFonts w:cs="Times New Roman"/>
          <w:sz w:val="28"/>
          <w:szCs w:val="28"/>
        </w:rPr>
        <w:t xml:space="preserve">lai gan ir veikti vairāki </w:t>
      </w:r>
      <w:r w:rsidR="00E803F1">
        <w:rPr>
          <w:rFonts w:cs="Times New Roman"/>
          <w:sz w:val="28"/>
          <w:szCs w:val="28"/>
        </w:rPr>
        <w:t xml:space="preserve">Projektā plānotie </w:t>
      </w:r>
      <w:r w:rsidR="006F5018" w:rsidRPr="00CA7B75">
        <w:rPr>
          <w:rFonts w:cs="Times New Roman"/>
          <w:sz w:val="28"/>
          <w:szCs w:val="28"/>
        </w:rPr>
        <w:t>būvdarbi, kuru izmaksas ir attiecināmas aktivitātes ietvaros, tomēr</w:t>
      </w:r>
      <w:r w:rsidR="00662F8E" w:rsidRPr="00CA7B75">
        <w:rPr>
          <w:rFonts w:cs="Times New Roman"/>
          <w:sz w:val="28"/>
          <w:szCs w:val="28"/>
        </w:rPr>
        <w:t xml:space="preserve"> </w:t>
      </w:r>
      <w:r w:rsidR="00E803F1">
        <w:rPr>
          <w:rFonts w:cs="Times New Roman"/>
          <w:sz w:val="28"/>
          <w:szCs w:val="28"/>
        </w:rPr>
        <w:t xml:space="preserve">Projekta mērķis nav sasniegts, proti, </w:t>
      </w:r>
      <w:r w:rsidR="00662F8E" w:rsidRPr="00CA7B75">
        <w:rPr>
          <w:rFonts w:cs="Times New Roman"/>
          <w:sz w:val="28"/>
          <w:szCs w:val="28"/>
        </w:rPr>
        <w:t xml:space="preserve">ēka </w:t>
      </w:r>
      <w:r w:rsidR="006D5A2A" w:rsidRPr="00CA7B75">
        <w:rPr>
          <w:rFonts w:cs="Times New Roman"/>
          <w:sz w:val="28"/>
          <w:szCs w:val="28"/>
        </w:rPr>
        <w:t xml:space="preserve">nav atjaunota </w:t>
      </w:r>
      <w:r w:rsidR="00FE2DCE" w:rsidRPr="00CA7B75">
        <w:rPr>
          <w:rFonts w:cs="Times New Roman"/>
          <w:sz w:val="28"/>
          <w:szCs w:val="28"/>
        </w:rPr>
        <w:t xml:space="preserve">pilnībā </w:t>
      </w:r>
      <w:r w:rsidR="006F5018" w:rsidRPr="00CA7B75">
        <w:rPr>
          <w:rFonts w:cs="Times New Roman"/>
          <w:sz w:val="28"/>
          <w:szCs w:val="28"/>
        </w:rPr>
        <w:t xml:space="preserve">atbilstoši Projektā paredzētajam </w:t>
      </w:r>
      <w:r w:rsidR="006D5A2A" w:rsidRPr="00CA7B75">
        <w:rPr>
          <w:rFonts w:cs="Times New Roman"/>
          <w:sz w:val="28"/>
          <w:szCs w:val="28"/>
        </w:rPr>
        <w:t>un nav sasniegts</w:t>
      </w:r>
      <w:r w:rsidR="00E803F1">
        <w:rPr>
          <w:rFonts w:cs="Times New Roman"/>
          <w:sz w:val="28"/>
          <w:szCs w:val="28"/>
        </w:rPr>
        <w:t xml:space="preserve"> nedz</w:t>
      </w:r>
      <w:r w:rsidR="006D5A2A" w:rsidRPr="00CA7B75">
        <w:rPr>
          <w:rFonts w:cs="Times New Roman"/>
          <w:sz w:val="28"/>
          <w:szCs w:val="28"/>
        </w:rPr>
        <w:t xml:space="preserve"> P</w:t>
      </w:r>
      <w:r w:rsidR="00662F8E" w:rsidRPr="00CA7B75">
        <w:rPr>
          <w:rFonts w:cs="Times New Roman"/>
          <w:sz w:val="28"/>
          <w:szCs w:val="28"/>
        </w:rPr>
        <w:t>rojekta ietvaros plānotais siltumenerģijas ietaupījums</w:t>
      </w:r>
      <w:r w:rsidR="00E803F1">
        <w:rPr>
          <w:rFonts w:cs="Times New Roman"/>
          <w:sz w:val="28"/>
          <w:szCs w:val="28"/>
        </w:rPr>
        <w:t xml:space="preserve">, nedz attiecīgo aktivitāti regulējošajos Ministru kabineta noteikumos noteiktais minimāli nepieciešamais </w:t>
      </w:r>
      <w:r w:rsidR="00662F8E" w:rsidRPr="00CA7B75">
        <w:rPr>
          <w:rFonts w:cs="Times New Roman"/>
          <w:sz w:val="28"/>
          <w:szCs w:val="28"/>
        </w:rPr>
        <w:t>siltumenerģijas ietaupījum</w:t>
      </w:r>
      <w:r w:rsidR="00E803F1">
        <w:rPr>
          <w:rFonts w:cs="Times New Roman"/>
          <w:sz w:val="28"/>
          <w:szCs w:val="28"/>
        </w:rPr>
        <w:t>s</w:t>
      </w:r>
      <w:r w:rsidR="00662F8E" w:rsidRPr="00CA7B75">
        <w:rPr>
          <w:rFonts w:cs="Times New Roman"/>
          <w:sz w:val="28"/>
          <w:szCs w:val="28"/>
        </w:rPr>
        <w:t xml:space="preserve"> (20,0 %)</w:t>
      </w:r>
      <w:r w:rsidR="0091705B" w:rsidRPr="00CA7B75">
        <w:rPr>
          <w:rStyle w:val="FootnoteReference"/>
          <w:rFonts w:cs="Times New Roman"/>
          <w:sz w:val="28"/>
          <w:szCs w:val="28"/>
        </w:rPr>
        <w:footnoteReference w:id="2"/>
      </w:r>
      <w:r w:rsidR="00662F8E" w:rsidRPr="00CA7B75">
        <w:rPr>
          <w:rFonts w:cs="Times New Roman"/>
          <w:sz w:val="28"/>
          <w:szCs w:val="28"/>
        </w:rPr>
        <w:t>.</w:t>
      </w:r>
      <w:r w:rsidR="00624E81">
        <w:rPr>
          <w:rFonts w:cs="Times New Roman"/>
          <w:sz w:val="28"/>
          <w:szCs w:val="28"/>
        </w:rPr>
        <w:t xml:space="preserve"> </w:t>
      </w:r>
      <w:r w:rsidR="00527D07" w:rsidRPr="00EF0E9B">
        <w:rPr>
          <w:spacing w:val="-4"/>
          <w:sz w:val="28"/>
          <w:szCs w:val="28"/>
        </w:rPr>
        <w:t xml:space="preserve">Tā kā nav sasniegts Projekta mērķis, LIAA ir pamats vienpusēji atkāpties no Līguma saistību izpildes un atgūt no finansējuma saņēmējiem </w:t>
      </w:r>
      <w:r w:rsidR="005A7EC2">
        <w:rPr>
          <w:sz w:val="28"/>
          <w:szCs w:val="28"/>
        </w:rPr>
        <w:t xml:space="preserve">avansa maksājumu </w:t>
      </w:r>
      <w:r w:rsidR="00527D07" w:rsidRPr="00EF0E9B">
        <w:rPr>
          <w:sz w:val="28"/>
          <w:szCs w:val="28"/>
        </w:rPr>
        <w:t xml:space="preserve">26 892,28 </w:t>
      </w:r>
      <w:proofErr w:type="spellStart"/>
      <w:r w:rsidR="00527D07" w:rsidRPr="00EF0E9B">
        <w:rPr>
          <w:sz w:val="28"/>
          <w:szCs w:val="28"/>
        </w:rPr>
        <w:t>euro</w:t>
      </w:r>
      <w:proofErr w:type="spellEnd"/>
      <w:r w:rsidR="005A7EC2">
        <w:rPr>
          <w:sz w:val="28"/>
          <w:szCs w:val="28"/>
        </w:rPr>
        <w:t>, kas ir uzskatāms par neatbilstoši veiktiem izdevumiem</w:t>
      </w:r>
      <w:r w:rsidR="00527D07" w:rsidRPr="00EF0E9B">
        <w:rPr>
          <w:sz w:val="28"/>
          <w:szCs w:val="28"/>
        </w:rPr>
        <w:t>.</w:t>
      </w:r>
      <w:r w:rsidR="00A660A5">
        <w:rPr>
          <w:sz w:val="28"/>
          <w:szCs w:val="28"/>
        </w:rPr>
        <w:t xml:space="preserve"> </w:t>
      </w:r>
      <w:r w:rsidR="00A660A5">
        <w:rPr>
          <w:rFonts w:cs="Times New Roman"/>
          <w:bCs/>
          <w:sz w:val="28"/>
          <w:szCs w:val="28"/>
        </w:rPr>
        <w:t xml:space="preserve">Tādējādi, lai varētu atgūt neatbilstoši veiktos izdevumus projektā, </w:t>
      </w:r>
      <w:r w:rsidR="00A660A5" w:rsidRPr="00DB28C3">
        <w:rPr>
          <w:rFonts w:cs="Times New Roman"/>
          <w:bCs/>
          <w:sz w:val="28"/>
          <w:szCs w:val="28"/>
        </w:rPr>
        <w:t xml:space="preserve">LIAA būtu jāvēršas pie </w:t>
      </w:r>
      <w:r w:rsidR="00A660A5" w:rsidRPr="00DB28C3">
        <w:rPr>
          <w:rFonts w:cs="Times New Roman"/>
          <w:iCs/>
          <w:sz w:val="28"/>
          <w:szCs w:val="28"/>
        </w:rPr>
        <w:t>katra daudzdzīvokļu mājas dzīvokļu īpašnieka atsevišķi</w:t>
      </w:r>
      <w:r w:rsidR="00A660A5" w:rsidRPr="00DB28C3">
        <w:rPr>
          <w:rFonts w:cs="Times New Roman"/>
          <w:bCs/>
          <w:sz w:val="28"/>
          <w:szCs w:val="28"/>
        </w:rPr>
        <w:t>, pieprasot atmaksāt saņemto finansējumu</w:t>
      </w:r>
      <w:r w:rsidR="00A660A5" w:rsidRPr="00DB28C3">
        <w:rPr>
          <w:rFonts w:cs="Times New Roman"/>
          <w:iCs/>
          <w:sz w:val="28"/>
          <w:szCs w:val="28"/>
        </w:rPr>
        <w:t xml:space="preserve">. </w:t>
      </w:r>
      <w:r w:rsidR="00A660A5">
        <w:rPr>
          <w:rFonts w:cs="Times New Roman"/>
          <w:iCs/>
          <w:sz w:val="28"/>
          <w:szCs w:val="28"/>
        </w:rPr>
        <w:t>Atbilstoši V</w:t>
      </w:r>
      <w:r w:rsidR="00A660A5" w:rsidRPr="006F3B93">
        <w:rPr>
          <w:rFonts w:cs="Times New Roman"/>
          <w:iCs/>
          <w:sz w:val="28"/>
          <w:szCs w:val="28"/>
        </w:rPr>
        <w:t xml:space="preserve">alsts vienotās datorizētās zemesgrāmatas ierakstiem </w:t>
      </w:r>
      <w:r w:rsidR="00A660A5">
        <w:rPr>
          <w:rFonts w:cs="Times New Roman"/>
          <w:iCs/>
          <w:sz w:val="28"/>
          <w:szCs w:val="28"/>
        </w:rPr>
        <w:t xml:space="preserve">daudzdzīvokļu mājā </w:t>
      </w:r>
      <w:r w:rsidR="00A660A5" w:rsidRPr="006F3B93">
        <w:rPr>
          <w:rFonts w:cs="Times New Roman"/>
          <w:iCs/>
          <w:sz w:val="28"/>
          <w:szCs w:val="28"/>
        </w:rPr>
        <w:t>Teātra ielā 4, Balvos ir 55 dzīvokļi, no kuriem 2 dzīvokļi pieder kopīpašniekiem, savukārt 8 dzīvokļiem ir viens īpašnieks (pašvaldība), līdz ar to kopējais dzīvokļu īpašnieku skaits ir 51.</w:t>
      </w:r>
      <w:r w:rsidR="00A660A5">
        <w:rPr>
          <w:rFonts w:cs="Times New Roman"/>
          <w:iCs/>
          <w:sz w:val="28"/>
          <w:szCs w:val="28"/>
        </w:rPr>
        <w:t xml:space="preserve"> </w:t>
      </w:r>
    </w:p>
    <w:p w14:paraId="0D96F57A" w14:textId="77777777" w:rsidR="009135F9" w:rsidRDefault="009135F9" w:rsidP="00592B6A">
      <w:pPr>
        <w:pStyle w:val="ListParagraph"/>
        <w:spacing w:line="276" w:lineRule="auto"/>
        <w:ind w:left="0" w:firstLine="709"/>
        <w:jc w:val="both"/>
        <w:rPr>
          <w:rFonts w:cs="Times New Roman"/>
          <w:iCs/>
          <w:sz w:val="28"/>
          <w:szCs w:val="28"/>
        </w:rPr>
      </w:pPr>
    </w:p>
    <w:p w14:paraId="1D549B8B" w14:textId="7FE84B20" w:rsidR="009135F9" w:rsidRPr="009135F9" w:rsidRDefault="009135F9" w:rsidP="009135F9">
      <w:pPr>
        <w:pStyle w:val="ListParagraph"/>
        <w:spacing w:line="276" w:lineRule="auto"/>
        <w:ind w:left="0" w:firstLine="709"/>
        <w:jc w:val="center"/>
        <w:rPr>
          <w:rFonts w:cs="Times New Roman"/>
          <w:b/>
          <w:bCs/>
          <w:iCs/>
          <w:sz w:val="28"/>
          <w:szCs w:val="28"/>
        </w:rPr>
      </w:pPr>
      <w:r w:rsidRPr="009135F9">
        <w:rPr>
          <w:rFonts w:cs="Times New Roman"/>
          <w:b/>
          <w:bCs/>
          <w:iCs/>
          <w:sz w:val="28"/>
          <w:szCs w:val="28"/>
        </w:rPr>
        <w:t>2.</w:t>
      </w:r>
      <w:r w:rsidRPr="009135F9">
        <w:rPr>
          <w:rFonts w:cs="Times New Roman"/>
          <w:b/>
          <w:bCs/>
          <w:iCs/>
          <w:sz w:val="28"/>
          <w:szCs w:val="28"/>
        </w:rPr>
        <w:tab/>
        <w:t>Problēmas izklāsts</w:t>
      </w:r>
    </w:p>
    <w:p w14:paraId="09904529" w14:textId="7353FDB1" w:rsidR="00662F8E" w:rsidRPr="009135F9" w:rsidRDefault="00662F8E" w:rsidP="009135F9">
      <w:pPr>
        <w:pStyle w:val="ListParagraph"/>
        <w:spacing w:line="276" w:lineRule="auto"/>
        <w:ind w:left="0" w:firstLine="709"/>
        <w:jc w:val="center"/>
        <w:rPr>
          <w:rFonts w:cs="Times New Roman"/>
          <w:b/>
          <w:bCs/>
          <w:iCs/>
          <w:sz w:val="28"/>
          <w:szCs w:val="28"/>
        </w:rPr>
      </w:pPr>
    </w:p>
    <w:p w14:paraId="7EB9F368" w14:textId="7A8BCBAF" w:rsidR="00E17F83" w:rsidRPr="00CA7B75" w:rsidRDefault="008743F4" w:rsidP="00E17F83">
      <w:pPr>
        <w:pStyle w:val="ListParagraph"/>
        <w:spacing w:line="276" w:lineRule="auto"/>
        <w:ind w:left="0" w:firstLine="709"/>
        <w:jc w:val="both"/>
        <w:rPr>
          <w:rFonts w:cs="Times New Roman"/>
          <w:iCs/>
          <w:sz w:val="28"/>
          <w:szCs w:val="28"/>
        </w:rPr>
      </w:pPr>
      <w:r>
        <w:rPr>
          <w:rFonts w:cs="Times New Roman"/>
          <w:iCs/>
          <w:sz w:val="28"/>
          <w:szCs w:val="28"/>
        </w:rPr>
        <w:t xml:space="preserve">LIAA un EM ieskatā, </w:t>
      </w:r>
      <w:r w:rsidR="004A4BFA">
        <w:rPr>
          <w:rFonts w:cs="Times New Roman"/>
          <w:iCs/>
          <w:sz w:val="28"/>
          <w:szCs w:val="28"/>
        </w:rPr>
        <w:t xml:space="preserve">nebūtu pamatoti </w:t>
      </w:r>
      <w:r w:rsidR="00A07391">
        <w:rPr>
          <w:rFonts w:cs="Times New Roman"/>
          <w:iCs/>
          <w:sz w:val="28"/>
          <w:szCs w:val="28"/>
        </w:rPr>
        <w:t>atgūt</w:t>
      </w:r>
      <w:r w:rsidR="004A4BFA">
        <w:rPr>
          <w:rFonts w:cs="Times New Roman"/>
          <w:iCs/>
          <w:sz w:val="28"/>
          <w:szCs w:val="28"/>
        </w:rPr>
        <w:t xml:space="preserve"> no </w:t>
      </w:r>
      <w:r w:rsidR="00ED0D50">
        <w:rPr>
          <w:rFonts w:cs="Times New Roman"/>
          <w:iCs/>
          <w:sz w:val="28"/>
          <w:szCs w:val="28"/>
        </w:rPr>
        <w:t>finansējuma saņēmējiem</w:t>
      </w:r>
      <w:r w:rsidR="002B28DC">
        <w:rPr>
          <w:rFonts w:cs="Times New Roman"/>
          <w:iCs/>
          <w:sz w:val="28"/>
          <w:szCs w:val="28"/>
        </w:rPr>
        <w:t xml:space="preserve"> </w:t>
      </w:r>
      <w:r w:rsidR="006D5A2A">
        <w:rPr>
          <w:rFonts w:cs="Times New Roman"/>
          <w:iCs/>
          <w:sz w:val="28"/>
          <w:szCs w:val="28"/>
        </w:rPr>
        <w:t>neatbilstoši veiktos izdevumus P</w:t>
      </w:r>
      <w:r w:rsidR="002B28DC">
        <w:rPr>
          <w:rFonts w:cs="Times New Roman"/>
          <w:iCs/>
          <w:sz w:val="28"/>
          <w:szCs w:val="28"/>
        </w:rPr>
        <w:t xml:space="preserve">rojektā, jo </w:t>
      </w:r>
      <w:r w:rsidR="006D5A2A">
        <w:rPr>
          <w:rFonts w:cs="Times New Roman"/>
          <w:iCs/>
          <w:sz w:val="28"/>
          <w:szCs w:val="28"/>
        </w:rPr>
        <w:t>neatbilstoši veiktie izdevumi P</w:t>
      </w:r>
      <w:r w:rsidR="00AB3C70">
        <w:rPr>
          <w:rFonts w:cs="Times New Roman"/>
          <w:iCs/>
          <w:sz w:val="28"/>
          <w:szCs w:val="28"/>
        </w:rPr>
        <w:t>rojektā ir radušies no finansējuma saņēmēju</w:t>
      </w:r>
      <w:r w:rsidR="00031868">
        <w:rPr>
          <w:rFonts w:cs="Times New Roman"/>
          <w:iCs/>
          <w:sz w:val="28"/>
          <w:szCs w:val="28"/>
        </w:rPr>
        <w:t> </w:t>
      </w:r>
      <w:r w:rsidR="00AB3C70">
        <w:rPr>
          <w:rFonts w:cs="Times New Roman"/>
          <w:iCs/>
          <w:sz w:val="28"/>
          <w:szCs w:val="28"/>
        </w:rPr>
        <w:t xml:space="preserve">– daudzdzīvokļu mājas dzīvokļu īpašnieku - neatkarīgu iemeslu dēļ. </w:t>
      </w:r>
      <w:r w:rsidR="00AB3C70">
        <w:rPr>
          <w:rFonts w:cs="Times New Roman"/>
          <w:sz w:val="28"/>
          <w:szCs w:val="28"/>
        </w:rPr>
        <w:t xml:space="preserve">2015. gada 15. oktobrī </w:t>
      </w:r>
      <w:r w:rsidR="00AB3C70" w:rsidRPr="00CD5505">
        <w:rPr>
          <w:rFonts w:cs="Times New Roman"/>
          <w:sz w:val="28"/>
          <w:szCs w:val="28"/>
        </w:rPr>
        <w:t>SIA</w:t>
      </w:r>
      <w:r w:rsidR="00A74C5A">
        <w:rPr>
          <w:rFonts w:cs="Times New Roman"/>
          <w:sz w:val="28"/>
          <w:szCs w:val="28"/>
        </w:rPr>
        <w:t> </w:t>
      </w:r>
      <w:r w:rsidR="00AB3C70" w:rsidRPr="00CD5505">
        <w:rPr>
          <w:rFonts w:cs="Times New Roman"/>
          <w:sz w:val="28"/>
          <w:szCs w:val="28"/>
        </w:rPr>
        <w:t>“</w:t>
      </w:r>
      <w:proofErr w:type="spellStart"/>
      <w:r w:rsidR="00AB3C70" w:rsidRPr="00CD5505">
        <w:rPr>
          <w:rFonts w:cs="Times New Roman"/>
          <w:sz w:val="28"/>
          <w:szCs w:val="28"/>
        </w:rPr>
        <w:t>Energo</w:t>
      </w:r>
      <w:proofErr w:type="spellEnd"/>
      <w:r w:rsidR="00AB3C70" w:rsidRPr="00CD5505">
        <w:rPr>
          <w:rFonts w:cs="Times New Roman"/>
          <w:sz w:val="28"/>
          <w:szCs w:val="28"/>
        </w:rPr>
        <w:t xml:space="preserve"> pārvalde”</w:t>
      </w:r>
      <w:r w:rsidR="006D5A2A">
        <w:rPr>
          <w:rFonts w:cs="Times New Roman"/>
          <w:sz w:val="28"/>
          <w:szCs w:val="28"/>
        </w:rPr>
        <w:t xml:space="preserve"> iesniedza LIAA P</w:t>
      </w:r>
      <w:r w:rsidR="00AB3C70">
        <w:rPr>
          <w:rFonts w:cs="Times New Roman"/>
          <w:sz w:val="28"/>
          <w:szCs w:val="28"/>
        </w:rPr>
        <w:t>rojekta noslēguma pārskatu, bet jau 2015. gada 3. decembrī SIA “</w:t>
      </w:r>
      <w:proofErr w:type="spellStart"/>
      <w:r w:rsidR="00AB3C70">
        <w:rPr>
          <w:rFonts w:cs="Times New Roman"/>
          <w:sz w:val="28"/>
          <w:szCs w:val="28"/>
        </w:rPr>
        <w:t>Energo</w:t>
      </w:r>
      <w:proofErr w:type="spellEnd"/>
      <w:r w:rsidR="00AB3C70">
        <w:rPr>
          <w:rFonts w:cs="Times New Roman"/>
          <w:sz w:val="28"/>
          <w:szCs w:val="28"/>
        </w:rPr>
        <w:t xml:space="preserve"> pārvalde” tika uzsākts maksātnespējas process</w:t>
      </w:r>
      <w:r w:rsidR="00031868">
        <w:rPr>
          <w:rStyle w:val="FootnoteReference"/>
          <w:rFonts w:cs="Times New Roman"/>
          <w:sz w:val="28"/>
          <w:szCs w:val="28"/>
        </w:rPr>
        <w:footnoteReference w:id="3"/>
      </w:r>
      <w:r w:rsidR="006D5A2A">
        <w:rPr>
          <w:rFonts w:cs="Times New Roman"/>
          <w:sz w:val="28"/>
          <w:szCs w:val="28"/>
        </w:rPr>
        <w:t xml:space="preserve">. </w:t>
      </w:r>
      <w:r w:rsidR="005E1436">
        <w:rPr>
          <w:rFonts w:cs="Times New Roman"/>
          <w:sz w:val="28"/>
          <w:szCs w:val="28"/>
        </w:rPr>
        <w:t xml:space="preserve">Papildus tam tika konstatēts, ka </w:t>
      </w:r>
      <w:r w:rsidR="005E1436" w:rsidRPr="00DA7AD3">
        <w:rPr>
          <w:rFonts w:cs="Times New Roman"/>
          <w:sz w:val="28"/>
          <w:szCs w:val="28"/>
        </w:rPr>
        <w:t>SIA “</w:t>
      </w:r>
      <w:proofErr w:type="spellStart"/>
      <w:r w:rsidR="005E1436" w:rsidRPr="00DA7AD3">
        <w:rPr>
          <w:rFonts w:cs="Times New Roman"/>
          <w:sz w:val="28"/>
          <w:szCs w:val="28"/>
        </w:rPr>
        <w:t>Energo</w:t>
      </w:r>
      <w:proofErr w:type="spellEnd"/>
      <w:r w:rsidR="005E1436" w:rsidRPr="00DA7AD3">
        <w:rPr>
          <w:rFonts w:cs="Times New Roman"/>
          <w:sz w:val="28"/>
          <w:szCs w:val="28"/>
        </w:rPr>
        <w:t xml:space="preserve"> pārvalde” </w:t>
      </w:r>
      <w:r w:rsidR="005E1436">
        <w:rPr>
          <w:rFonts w:cs="Times New Roman"/>
          <w:sz w:val="28"/>
          <w:szCs w:val="28"/>
        </w:rPr>
        <w:t xml:space="preserve">vienīgais valdes loceklis ir atstājis amatu un </w:t>
      </w:r>
      <w:r w:rsidR="005E1436" w:rsidRPr="00DA7AD3">
        <w:rPr>
          <w:rFonts w:cs="Times New Roman"/>
          <w:sz w:val="28"/>
          <w:szCs w:val="28"/>
        </w:rPr>
        <w:t>ir atsavinājis sev piederošās kapitāldaļas</w:t>
      </w:r>
      <w:r w:rsidR="005E1436">
        <w:rPr>
          <w:rFonts w:cs="Times New Roman"/>
          <w:sz w:val="28"/>
          <w:szCs w:val="28"/>
        </w:rPr>
        <w:t xml:space="preserve"> </w:t>
      </w:r>
      <w:r w:rsidR="005E1436" w:rsidRPr="00DA7AD3">
        <w:rPr>
          <w:rFonts w:cs="Times New Roman"/>
          <w:sz w:val="28"/>
          <w:szCs w:val="28"/>
        </w:rPr>
        <w:lastRenderedPageBreak/>
        <w:t>SIA</w:t>
      </w:r>
      <w:r w:rsidR="005E1436">
        <w:rPr>
          <w:rFonts w:cs="Times New Roman"/>
          <w:sz w:val="28"/>
          <w:szCs w:val="28"/>
        </w:rPr>
        <w:t> </w:t>
      </w:r>
      <w:r w:rsidR="005E1436" w:rsidRPr="00DA7AD3">
        <w:rPr>
          <w:rFonts w:cs="Times New Roman"/>
          <w:sz w:val="28"/>
          <w:szCs w:val="28"/>
        </w:rPr>
        <w:t>“</w:t>
      </w:r>
      <w:proofErr w:type="spellStart"/>
      <w:r w:rsidR="005E1436" w:rsidRPr="00DA7AD3">
        <w:rPr>
          <w:rFonts w:cs="Times New Roman"/>
          <w:sz w:val="28"/>
          <w:szCs w:val="28"/>
        </w:rPr>
        <w:t>Energo</w:t>
      </w:r>
      <w:proofErr w:type="spellEnd"/>
      <w:r w:rsidR="005E1436" w:rsidRPr="00DA7AD3">
        <w:rPr>
          <w:rFonts w:cs="Times New Roman"/>
          <w:sz w:val="28"/>
          <w:szCs w:val="28"/>
        </w:rPr>
        <w:t xml:space="preserve"> pārvalde”</w:t>
      </w:r>
      <w:r w:rsidR="005E1436">
        <w:rPr>
          <w:rStyle w:val="FootnoteReference"/>
          <w:rFonts w:cs="Times New Roman"/>
          <w:sz w:val="28"/>
          <w:szCs w:val="28"/>
        </w:rPr>
        <w:footnoteReference w:id="4"/>
      </w:r>
      <w:r w:rsidR="005E1436">
        <w:rPr>
          <w:rFonts w:cs="Times New Roman"/>
          <w:sz w:val="28"/>
          <w:szCs w:val="28"/>
        </w:rPr>
        <w:t xml:space="preserve">. </w:t>
      </w:r>
      <w:r w:rsidR="006D5A2A">
        <w:rPr>
          <w:rFonts w:cs="Times New Roman"/>
          <w:sz w:val="28"/>
          <w:szCs w:val="28"/>
        </w:rPr>
        <w:t>Ņemot vērā, ka P</w:t>
      </w:r>
      <w:r w:rsidR="00AB3C70">
        <w:rPr>
          <w:rFonts w:cs="Times New Roman"/>
          <w:sz w:val="28"/>
          <w:szCs w:val="28"/>
        </w:rPr>
        <w:t>rojektam bija jābūt pabeigtam līdz 2015. gada 31. decembrim</w:t>
      </w:r>
      <w:r w:rsidR="002A3515">
        <w:rPr>
          <w:rStyle w:val="FootnoteReference"/>
          <w:rFonts w:cs="Times New Roman"/>
          <w:sz w:val="28"/>
          <w:szCs w:val="28"/>
        </w:rPr>
        <w:footnoteReference w:id="5"/>
      </w:r>
      <w:r w:rsidR="00AB3C70">
        <w:rPr>
          <w:rFonts w:cs="Times New Roman"/>
          <w:sz w:val="28"/>
          <w:szCs w:val="28"/>
        </w:rPr>
        <w:t xml:space="preserve">, </w:t>
      </w:r>
      <w:r w:rsidR="00D54574">
        <w:rPr>
          <w:rFonts w:cs="Times New Roman"/>
          <w:sz w:val="28"/>
          <w:szCs w:val="28"/>
        </w:rPr>
        <w:t>finan</w:t>
      </w:r>
      <w:r w:rsidR="002A5D40">
        <w:rPr>
          <w:rFonts w:cs="Times New Roman"/>
          <w:sz w:val="28"/>
          <w:szCs w:val="28"/>
        </w:rPr>
        <w:t>sējuma saņēmējiem vair</w:t>
      </w:r>
      <w:r w:rsidR="00AB3C70">
        <w:rPr>
          <w:rFonts w:cs="Times New Roman"/>
          <w:sz w:val="28"/>
          <w:szCs w:val="28"/>
        </w:rPr>
        <w:t>s nebija iespēju ie</w:t>
      </w:r>
      <w:r w:rsidR="006D5A2A">
        <w:rPr>
          <w:rFonts w:cs="Times New Roman"/>
          <w:sz w:val="28"/>
          <w:szCs w:val="28"/>
        </w:rPr>
        <w:t>tekmēt P</w:t>
      </w:r>
      <w:r w:rsidR="002A5D40">
        <w:rPr>
          <w:rFonts w:cs="Times New Roman"/>
          <w:sz w:val="28"/>
          <w:szCs w:val="28"/>
        </w:rPr>
        <w:t xml:space="preserve">rojekta realizāciju, izvēloties jaunu pilnvaroto personu, </w:t>
      </w:r>
      <w:r w:rsidR="006D5A2A">
        <w:rPr>
          <w:rFonts w:cs="Times New Roman"/>
          <w:sz w:val="28"/>
          <w:szCs w:val="28"/>
        </w:rPr>
        <w:t>kura varētu sekmīgi pabeigt P</w:t>
      </w:r>
      <w:r w:rsidR="002A5D40">
        <w:rPr>
          <w:rFonts w:cs="Times New Roman"/>
          <w:sz w:val="28"/>
          <w:szCs w:val="28"/>
        </w:rPr>
        <w:t>rojekta realizāciju</w:t>
      </w:r>
      <w:r w:rsidR="002A5D40" w:rsidRPr="00CA7B75">
        <w:rPr>
          <w:rFonts w:cs="Times New Roman"/>
          <w:sz w:val="28"/>
          <w:szCs w:val="28"/>
        </w:rPr>
        <w:t>.</w:t>
      </w:r>
      <w:r w:rsidR="001654F0" w:rsidRPr="00CA7B75">
        <w:rPr>
          <w:rFonts w:cs="Times New Roman"/>
          <w:sz w:val="28"/>
          <w:szCs w:val="28"/>
        </w:rPr>
        <w:t xml:space="preserve"> </w:t>
      </w:r>
      <w:r w:rsidR="00D54574" w:rsidRPr="00CA7B75">
        <w:rPr>
          <w:rFonts w:cs="Times New Roman"/>
          <w:sz w:val="28"/>
          <w:szCs w:val="28"/>
        </w:rPr>
        <w:t>Minēto iemeslu dēļ finansējuma saņēmēj</w:t>
      </w:r>
      <w:r w:rsidR="00813112" w:rsidRPr="00CA7B75">
        <w:rPr>
          <w:rFonts w:cs="Times New Roman"/>
          <w:sz w:val="28"/>
          <w:szCs w:val="28"/>
        </w:rPr>
        <w:t>i</w:t>
      </w:r>
      <w:r w:rsidR="00D54574" w:rsidRPr="00CA7B75">
        <w:rPr>
          <w:rFonts w:cs="Times New Roman"/>
          <w:sz w:val="28"/>
          <w:szCs w:val="28"/>
        </w:rPr>
        <w:t xml:space="preserve"> </w:t>
      </w:r>
      <w:r w:rsidR="00451119">
        <w:rPr>
          <w:rFonts w:cs="Times New Roman"/>
          <w:sz w:val="28"/>
          <w:szCs w:val="28"/>
        </w:rPr>
        <w:t xml:space="preserve">vairs </w:t>
      </w:r>
      <w:r w:rsidR="00961AD5" w:rsidRPr="00CA7B75">
        <w:rPr>
          <w:rFonts w:cs="Times New Roman"/>
          <w:sz w:val="28"/>
          <w:szCs w:val="28"/>
        </w:rPr>
        <w:t>nevarēja</w:t>
      </w:r>
      <w:r w:rsidR="00D54574" w:rsidRPr="00CA7B75">
        <w:rPr>
          <w:rFonts w:cs="Times New Roman"/>
          <w:sz w:val="28"/>
          <w:szCs w:val="28"/>
        </w:rPr>
        <w:t xml:space="preserve"> ietekmēt pilnv</w:t>
      </w:r>
      <w:r w:rsidR="006D5A2A" w:rsidRPr="00CA7B75">
        <w:rPr>
          <w:rFonts w:cs="Times New Roman"/>
          <w:sz w:val="28"/>
          <w:szCs w:val="28"/>
        </w:rPr>
        <w:t>arotās personas rīcību un Projekta realizāciju P</w:t>
      </w:r>
      <w:r w:rsidR="00D54574" w:rsidRPr="00CA7B75">
        <w:rPr>
          <w:rFonts w:cs="Times New Roman"/>
          <w:sz w:val="28"/>
          <w:szCs w:val="28"/>
        </w:rPr>
        <w:t>rojekta noslēguma fāzē</w:t>
      </w:r>
      <w:r w:rsidR="00961AD5" w:rsidRPr="00CA7B75">
        <w:rPr>
          <w:rFonts w:cs="Times New Roman"/>
          <w:sz w:val="28"/>
          <w:szCs w:val="28"/>
        </w:rPr>
        <w:t>.</w:t>
      </w:r>
    </w:p>
    <w:p w14:paraId="3EBBE1DB" w14:textId="77777777" w:rsidR="00F17AF5" w:rsidRDefault="00E17F83" w:rsidP="00314434">
      <w:pPr>
        <w:spacing w:after="0"/>
        <w:ind w:firstLine="709"/>
        <w:jc w:val="both"/>
        <w:rPr>
          <w:rFonts w:ascii="Times New Roman" w:hAnsi="Times New Roman" w:cs="Times New Roman"/>
          <w:sz w:val="28"/>
          <w:szCs w:val="28"/>
        </w:rPr>
      </w:pPr>
      <w:r w:rsidRPr="00CA7B75">
        <w:rPr>
          <w:rFonts w:ascii="Times New Roman" w:hAnsi="Times New Roman" w:cs="Times New Roman"/>
          <w:sz w:val="28"/>
          <w:szCs w:val="28"/>
        </w:rPr>
        <w:t>Finanšu ministrijas izstrādāt</w:t>
      </w:r>
      <w:r w:rsidR="00451119">
        <w:rPr>
          <w:rFonts w:ascii="Times New Roman" w:hAnsi="Times New Roman" w:cs="Times New Roman"/>
          <w:sz w:val="28"/>
          <w:szCs w:val="28"/>
        </w:rPr>
        <w:t>ā</w:t>
      </w:r>
      <w:r w:rsidRPr="00CA7B75">
        <w:rPr>
          <w:rFonts w:ascii="Times New Roman" w:hAnsi="Times New Roman" w:cs="Times New Roman"/>
          <w:sz w:val="28"/>
          <w:szCs w:val="28"/>
        </w:rPr>
        <w:t>s darbības programmas „Infrast</w:t>
      </w:r>
      <w:r w:rsidRPr="00AE5821">
        <w:rPr>
          <w:rFonts w:ascii="Times New Roman" w:hAnsi="Times New Roman" w:cs="Times New Roman"/>
          <w:sz w:val="28"/>
          <w:szCs w:val="28"/>
        </w:rPr>
        <w:t>r</w:t>
      </w:r>
      <w:r w:rsidR="00451119">
        <w:rPr>
          <w:rFonts w:ascii="Times New Roman" w:hAnsi="Times New Roman" w:cs="Times New Roman"/>
          <w:sz w:val="28"/>
          <w:szCs w:val="28"/>
        </w:rPr>
        <w:t>u</w:t>
      </w:r>
      <w:r w:rsidRPr="00AE5821">
        <w:rPr>
          <w:rFonts w:ascii="Times New Roman" w:hAnsi="Times New Roman" w:cs="Times New Roman"/>
          <w:sz w:val="28"/>
          <w:szCs w:val="28"/>
        </w:rPr>
        <w:t>ktūra un pakalpojumi”</w:t>
      </w:r>
      <w:r>
        <w:rPr>
          <w:rFonts w:ascii="Times New Roman" w:hAnsi="Times New Roman" w:cs="Times New Roman"/>
          <w:sz w:val="28"/>
          <w:szCs w:val="28"/>
        </w:rPr>
        <w:t xml:space="preserve"> </w:t>
      </w:r>
      <w:r w:rsidRPr="00AE5821">
        <w:rPr>
          <w:rFonts w:ascii="Times New Roman" w:hAnsi="Times New Roman" w:cs="Times New Roman"/>
          <w:sz w:val="28"/>
          <w:szCs w:val="28"/>
        </w:rPr>
        <w:t>1070. punktā ietverts pasākuma „Mājokļa energoefektivitāte”</w:t>
      </w:r>
      <w:r>
        <w:rPr>
          <w:rFonts w:ascii="Times New Roman" w:hAnsi="Times New Roman" w:cs="Times New Roman"/>
          <w:sz w:val="28"/>
          <w:szCs w:val="28"/>
        </w:rPr>
        <w:t xml:space="preserve"> mērķis -</w:t>
      </w:r>
      <w:r w:rsidRPr="00AE5821">
        <w:rPr>
          <w:rFonts w:ascii="Times New Roman" w:hAnsi="Times New Roman" w:cs="Times New Roman"/>
          <w:sz w:val="28"/>
          <w:szCs w:val="28"/>
        </w:rPr>
        <w:t xml:space="preserve"> veicināt mājokļu pieejamību, to ilgtspēju, efektivitāti un mazināt sociālo spriedzi pašvaldību teritorijās, investējot daudzdzīvokļu un sociāli dzīvojamo māju atjaunošanas un energoefektivitātes pasākumos, nodrošinot sociāli </w:t>
      </w:r>
      <w:proofErr w:type="spellStart"/>
      <w:r w:rsidRPr="00AE5821">
        <w:rPr>
          <w:rFonts w:ascii="Times New Roman" w:hAnsi="Times New Roman" w:cs="Times New Roman"/>
          <w:sz w:val="28"/>
          <w:szCs w:val="28"/>
        </w:rPr>
        <w:t>mazaizsargāto</w:t>
      </w:r>
      <w:proofErr w:type="spellEnd"/>
      <w:r w:rsidRPr="00AE5821">
        <w:rPr>
          <w:rFonts w:ascii="Times New Roman" w:hAnsi="Times New Roman" w:cs="Times New Roman"/>
          <w:sz w:val="28"/>
          <w:szCs w:val="28"/>
        </w:rPr>
        <w:t xml:space="preserve"> personu grupas ar adekvātu mājokli.</w:t>
      </w:r>
      <w:r w:rsidR="00CE673F">
        <w:rPr>
          <w:rFonts w:ascii="Times New Roman" w:hAnsi="Times New Roman" w:cs="Times New Roman"/>
          <w:sz w:val="28"/>
          <w:szCs w:val="28"/>
        </w:rPr>
        <w:t xml:space="preserve"> Lai arī nav sasniegts Projekta mērķis, P</w:t>
      </w:r>
      <w:r>
        <w:rPr>
          <w:rFonts w:ascii="Times New Roman" w:hAnsi="Times New Roman" w:cs="Times New Roman"/>
          <w:sz w:val="28"/>
          <w:szCs w:val="28"/>
        </w:rPr>
        <w:t>rojekta īstenošana</w:t>
      </w:r>
      <w:r w:rsidR="003F4CF6">
        <w:rPr>
          <w:rFonts w:ascii="Times New Roman" w:hAnsi="Times New Roman" w:cs="Times New Roman"/>
          <w:sz w:val="28"/>
          <w:szCs w:val="28"/>
        </w:rPr>
        <w:t>,</w:t>
      </w:r>
      <w:r>
        <w:rPr>
          <w:rFonts w:ascii="Times New Roman" w:hAnsi="Times New Roman" w:cs="Times New Roman"/>
          <w:sz w:val="28"/>
          <w:szCs w:val="28"/>
        </w:rPr>
        <w:t xml:space="preserve"> </w:t>
      </w:r>
      <w:r w:rsidR="003F4CF6">
        <w:rPr>
          <w:rFonts w:ascii="Times New Roman" w:hAnsi="Times New Roman" w:cs="Times New Roman"/>
          <w:sz w:val="28"/>
          <w:szCs w:val="28"/>
        </w:rPr>
        <w:t xml:space="preserve">veicot ieguldījumus dzīvojamajā mājā, </w:t>
      </w:r>
      <w:r>
        <w:rPr>
          <w:rFonts w:ascii="Times New Roman" w:hAnsi="Times New Roman" w:cs="Times New Roman"/>
          <w:sz w:val="28"/>
          <w:szCs w:val="28"/>
        </w:rPr>
        <w:t>tomēr ir devusi pienesumu dzīvojamās mājas</w:t>
      </w:r>
      <w:r w:rsidR="003F4CF6">
        <w:rPr>
          <w:rFonts w:ascii="Times New Roman" w:hAnsi="Times New Roman" w:cs="Times New Roman"/>
          <w:sz w:val="28"/>
          <w:szCs w:val="28"/>
        </w:rPr>
        <w:t xml:space="preserve"> uzlabošanai.</w:t>
      </w:r>
    </w:p>
    <w:p w14:paraId="48D458D0" w14:textId="77777777" w:rsidR="00BA23DB" w:rsidRPr="00D5448A" w:rsidRDefault="00E17F83" w:rsidP="00AA4FFF">
      <w:pPr>
        <w:spacing w:after="0"/>
        <w:ind w:firstLine="709"/>
        <w:jc w:val="both"/>
        <w:rPr>
          <w:rFonts w:ascii="Times New Roman" w:hAnsi="Times New Roman" w:cs="Times New Roman"/>
          <w:iCs/>
          <w:sz w:val="28"/>
          <w:szCs w:val="28"/>
        </w:rPr>
      </w:pPr>
      <w:r>
        <w:rPr>
          <w:rFonts w:ascii="Times New Roman" w:hAnsi="Times New Roman" w:cs="Times New Roman"/>
          <w:sz w:val="28"/>
          <w:szCs w:val="28"/>
        </w:rPr>
        <w:t xml:space="preserve">Centrālās statistikas pārvaldes datu bāzē ietvertā informācija par 2019. gadu liecina, </w:t>
      </w:r>
      <w:r w:rsidRPr="00DE3987">
        <w:rPr>
          <w:rFonts w:ascii="Times New Roman" w:hAnsi="Times New Roman" w:cs="Times New Roman"/>
          <w:sz w:val="28"/>
          <w:szCs w:val="28"/>
        </w:rPr>
        <w:t xml:space="preserve">ka Balvu novadā strādājošo mēneša vidējā </w:t>
      </w:r>
      <w:r w:rsidR="00C7745D">
        <w:rPr>
          <w:rFonts w:ascii="Times New Roman" w:hAnsi="Times New Roman" w:cs="Times New Roman"/>
          <w:sz w:val="28"/>
          <w:szCs w:val="28"/>
        </w:rPr>
        <w:t xml:space="preserve">bruto </w:t>
      </w:r>
      <w:r w:rsidRPr="00DE3987">
        <w:rPr>
          <w:rFonts w:ascii="Times New Roman" w:hAnsi="Times New Roman" w:cs="Times New Roman"/>
          <w:sz w:val="28"/>
          <w:szCs w:val="28"/>
        </w:rPr>
        <w:t xml:space="preserve">darba samaksa </w:t>
      </w:r>
      <w:r w:rsidRPr="00C7745D">
        <w:rPr>
          <w:rFonts w:ascii="Times New Roman" w:hAnsi="Times New Roman" w:cs="Times New Roman"/>
          <w:sz w:val="28"/>
          <w:szCs w:val="28"/>
        </w:rPr>
        <w:t xml:space="preserve">pirms nodokļu nomaksas sastādīja 694 </w:t>
      </w:r>
      <w:proofErr w:type="spellStart"/>
      <w:r w:rsidR="00F92285" w:rsidRPr="00592B6A">
        <w:rPr>
          <w:rFonts w:ascii="Times New Roman" w:hAnsi="Times New Roman" w:cs="Times New Roman"/>
          <w:sz w:val="28"/>
          <w:szCs w:val="28"/>
        </w:rPr>
        <w:t>euro</w:t>
      </w:r>
      <w:proofErr w:type="spellEnd"/>
      <w:r w:rsidR="00F92285" w:rsidRPr="00592B6A">
        <w:footnoteReference w:id="6"/>
      </w:r>
      <w:r w:rsidRPr="00553BE9">
        <w:rPr>
          <w:rFonts w:ascii="Times New Roman" w:hAnsi="Times New Roman" w:cs="Times New Roman"/>
          <w:sz w:val="28"/>
          <w:szCs w:val="28"/>
        </w:rPr>
        <w:t xml:space="preserve">, </w:t>
      </w:r>
      <w:r w:rsidR="00C7745D" w:rsidRPr="00553BE9">
        <w:rPr>
          <w:rFonts w:ascii="Times New Roman" w:hAnsi="Times New Roman" w:cs="Times New Roman"/>
          <w:sz w:val="28"/>
          <w:szCs w:val="28"/>
        </w:rPr>
        <w:t>savukārt</w:t>
      </w:r>
      <w:r w:rsidR="00F92285" w:rsidRPr="00592B6A">
        <w:rPr>
          <w:rFonts w:ascii="Times New Roman" w:hAnsi="Times New Roman" w:cs="Times New Roman"/>
          <w:sz w:val="28"/>
          <w:szCs w:val="28"/>
        </w:rPr>
        <w:t xml:space="preserve"> mēneša vidējā bruto darba samaksa Latvijas Republikā par pilnas slodzes darbu bija 1 076 </w:t>
      </w:r>
      <w:proofErr w:type="spellStart"/>
      <w:r w:rsidR="00F92285" w:rsidRPr="00592B6A">
        <w:rPr>
          <w:rFonts w:ascii="Times New Roman" w:hAnsi="Times New Roman" w:cs="Times New Roman"/>
          <w:sz w:val="28"/>
          <w:szCs w:val="28"/>
        </w:rPr>
        <w:t>euro</w:t>
      </w:r>
      <w:proofErr w:type="spellEnd"/>
      <w:r w:rsidR="00F92285" w:rsidRPr="00592B6A">
        <w:footnoteReference w:id="7"/>
      </w:r>
      <w:r w:rsidR="00F92285" w:rsidRPr="00592B6A">
        <w:rPr>
          <w:rFonts w:ascii="Times New Roman" w:hAnsi="Times New Roman" w:cs="Times New Roman"/>
          <w:sz w:val="28"/>
          <w:szCs w:val="28"/>
        </w:rPr>
        <w:t xml:space="preserve">. </w:t>
      </w:r>
      <w:r w:rsidR="00C7745D" w:rsidRPr="00553BE9">
        <w:rPr>
          <w:rFonts w:ascii="Times New Roman" w:hAnsi="Times New Roman" w:cs="Times New Roman"/>
          <w:sz w:val="28"/>
          <w:szCs w:val="28"/>
        </w:rPr>
        <w:t>Tātad vidējā mēneša darba samaksa Balvu novadā ir ievērojami</w:t>
      </w:r>
      <w:r w:rsidR="00C7745D" w:rsidRPr="00DF5901">
        <w:rPr>
          <w:rFonts w:ascii="Times New Roman" w:hAnsi="Times New Roman" w:cs="Times New Roman"/>
          <w:sz w:val="28"/>
          <w:szCs w:val="28"/>
        </w:rPr>
        <w:t xml:space="preserve"> mazāka</w:t>
      </w:r>
      <w:r w:rsidR="00F92285" w:rsidRPr="00592B6A">
        <w:rPr>
          <w:rFonts w:ascii="Times New Roman" w:hAnsi="Times New Roman" w:cs="Times New Roman"/>
          <w:sz w:val="28"/>
          <w:szCs w:val="28"/>
        </w:rPr>
        <w:t xml:space="preserve"> nekā mēneša vidējā darba samaksa Latvijas Republikā. Latvijas Republikā ar Ministru Kabineta 2020. gada 12. marta rīkojumu Nr. 103 „Par ārkārtējās situācijas izsludināšanu” izsludināta ārkārtējā situācija, lai ierobežotu Covid-19 izplatību. Minētajā rīkojumā ir noteikti dažādi ierobežojumi, kas ietekmē arī ekonomisko situāciju Latvijas Republikā un kā rezultātā ir pieaudzis arī bezdarbnieku un dīkstāvē esošo nodarbināto skaits, kā rezultātā ievērojami pasliktinās ekonomiskā situācija un fizisku personu ienākumi samazinās. Fiziskas personas, kurām arī pirms ārkārtējās situācijas izsludināšanas bija zems vai vidējs ienākumu līmenis, ir īpašā riska grupā, jo viņām nav iespēju veidot iekrājumus, ar ko segt neparedzētus izdevumus. Pašlaik pat nav iespējams precīzi paredzēt nelabvēlīgo ekonomisko seku apjomu, taču domājams, ka šīs sekas nebūs īslaicīgas un būs nepieciešams </w:t>
      </w:r>
      <w:r w:rsidR="00F92285" w:rsidRPr="00592B6A">
        <w:rPr>
          <w:rFonts w:ascii="Times New Roman" w:hAnsi="Times New Roman" w:cs="Times New Roman"/>
          <w:sz w:val="28"/>
          <w:szCs w:val="28"/>
        </w:rPr>
        <w:lastRenderedPageBreak/>
        <w:t>ilgāks laika periods, lai Latvija un tās novadi (piemēram, Latgale, kur strādājošo darba samaksa jau pirms ārkārtējā stāvokļa izsludināšanas bija ievērojamu zemāka nekā vidēji Latvijā) atgūtos no Covid</w:t>
      </w:r>
      <w:r w:rsidR="00A03CFD" w:rsidRPr="00D5448A">
        <w:rPr>
          <w:rFonts w:ascii="Times New Roman" w:hAnsi="Times New Roman" w:cs="Times New Roman"/>
          <w:color w:val="0D0D0D" w:themeColor="text1" w:themeTint="F2"/>
          <w:sz w:val="28"/>
          <w:szCs w:val="28"/>
        </w:rPr>
        <w:t xml:space="preserve">-19 rezultātā radušās krīzes. </w:t>
      </w:r>
    </w:p>
    <w:p w14:paraId="155FFDA1" w14:textId="77777777" w:rsidR="00505B01" w:rsidRDefault="00505B01" w:rsidP="00BA23DB">
      <w:pPr>
        <w:pStyle w:val="ListParagraph"/>
        <w:spacing w:line="276" w:lineRule="auto"/>
        <w:ind w:left="0" w:firstLine="709"/>
        <w:jc w:val="both"/>
        <w:rPr>
          <w:rFonts w:cs="Times New Roman"/>
          <w:color w:val="000000" w:themeColor="text1"/>
          <w:sz w:val="28"/>
          <w:szCs w:val="28"/>
        </w:rPr>
      </w:pPr>
      <w:r>
        <w:rPr>
          <w:rFonts w:cs="Times New Roman"/>
          <w:sz w:val="28"/>
          <w:szCs w:val="28"/>
        </w:rPr>
        <w:t xml:space="preserve">LIAA vēršanās pret finansējuma saņēmējiem, realizējot neatbilstoši veikto izdevumu atgūšanas procesu, ievērojami palielinātu </w:t>
      </w:r>
      <w:r w:rsidR="004857F7">
        <w:rPr>
          <w:rFonts w:cs="Times New Roman"/>
          <w:sz w:val="28"/>
          <w:szCs w:val="28"/>
        </w:rPr>
        <w:t>fi</w:t>
      </w:r>
      <w:r w:rsidR="00553BE9">
        <w:rPr>
          <w:rFonts w:cs="Times New Roman"/>
          <w:sz w:val="28"/>
          <w:szCs w:val="28"/>
        </w:rPr>
        <w:t>n</w:t>
      </w:r>
      <w:r w:rsidR="004857F7">
        <w:rPr>
          <w:rFonts w:cs="Times New Roman"/>
          <w:sz w:val="28"/>
          <w:szCs w:val="28"/>
        </w:rPr>
        <w:t>an</w:t>
      </w:r>
      <w:r w:rsidR="008D3680">
        <w:rPr>
          <w:rFonts w:cs="Times New Roman"/>
          <w:sz w:val="28"/>
          <w:szCs w:val="28"/>
        </w:rPr>
        <w:t xml:space="preserve">sējuma saņēmēju </w:t>
      </w:r>
      <w:r w:rsidRPr="00C42EFE">
        <w:rPr>
          <w:rFonts w:cs="Times New Roman"/>
          <w:sz w:val="28"/>
          <w:szCs w:val="28"/>
        </w:rPr>
        <w:t>māj</w:t>
      </w:r>
      <w:r>
        <w:rPr>
          <w:rFonts w:cs="Times New Roman"/>
          <w:sz w:val="28"/>
          <w:szCs w:val="28"/>
        </w:rPr>
        <w:t xml:space="preserve">saimniecības ikmēneša izdevumus. </w:t>
      </w:r>
      <w:r w:rsidRPr="00C42EFE">
        <w:rPr>
          <w:rFonts w:cs="Times New Roman"/>
          <w:sz w:val="28"/>
          <w:szCs w:val="28"/>
        </w:rPr>
        <w:t>Šāda situācija varētu novest pat pie</w:t>
      </w:r>
      <w:r>
        <w:rPr>
          <w:rFonts w:cs="Times New Roman"/>
          <w:sz w:val="28"/>
          <w:szCs w:val="28"/>
        </w:rPr>
        <w:t xml:space="preserve"> </w:t>
      </w:r>
      <w:r w:rsidRPr="00C42EFE">
        <w:rPr>
          <w:rFonts w:cs="Times New Roman"/>
          <w:sz w:val="28"/>
          <w:szCs w:val="28"/>
        </w:rPr>
        <w:t>fizisku personu maksātnespējas</w:t>
      </w:r>
      <w:r>
        <w:rPr>
          <w:rFonts w:cs="Times New Roman"/>
          <w:sz w:val="28"/>
          <w:szCs w:val="28"/>
        </w:rPr>
        <w:t xml:space="preserve"> vai situācijas, ka</w:t>
      </w:r>
      <w:r w:rsidR="00132B3B">
        <w:rPr>
          <w:rFonts w:cs="Times New Roman"/>
          <w:sz w:val="28"/>
          <w:szCs w:val="28"/>
        </w:rPr>
        <w:t>d</w:t>
      </w:r>
      <w:r>
        <w:rPr>
          <w:rFonts w:cs="Times New Roman"/>
          <w:sz w:val="28"/>
          <w:szCs w:val="28"/>
        </w:rPr>
        <w:t xml:space="preserve"> piedziņas procesa rezultātā </w:t>
      </w:r>
      <w:r w:rsidR="008D3680">
        <w:rPr>
          <w:rFonts w:cs="Times New Roman"/>
          <w:sz w:val="28"/>
          <w:szCs w:val="28"/>
        </w:rPr>
        <w:t>finansējuma saņēmējs</w:t>
      </w:r>
      <w:r>
        <w:rPr>
          <w:rFonts w:cs="Times New Roman"/>
          <w:sz w:val="28"/>
          <w:szCs w:val="28"/>
        </w:rPr>
        <w:t xml:space="preserve"> zaudē savu vienīgo mājokli, jo nav citu finanšu līdzekļu un mantas, pret ko tiesu izpildītājs </w:t>
      </w:r>
      <w:r w:rsidRPr="007F1978">
        <w:rPr>
          <w:rFonts w:cs="Times New Roman"/>
          <w:sz w:val="28"/>
          <w:szCs w:val="28"/>
        </w:rPr>
        <w:t xml:space="preserve">varētu vērst piedziņu. </w:t>
      </w:r>
      <w:r w:rsidR="007F1978" w:rsidRPr="007F1978">
        <w:rPr>
          <w:rFonts w:cs="Times New Roman"/>
          <w:sz w:val="28"/>
          <w:szCs w:val="28"/>
        </w:rPr>
        <w:t>Latvijas Republikas Satversmes 105. pants nosaka</w:t>
      </w:r>
      <w:r w:rsidR="00553BE9">
        <w:rPr>
          <w:rFonts w:cs="Times New Roman"/>
          <w:sz w:val="28"/>
          <w:szCs w:val="28"/>
        </w:rPr>
        <w:t xml:space="preserve">, ka </w:t>
      </w:r>
      <w:r w:rsidR="00553BE9">
        <w:rPr>
          <w:rFonts w:cs="Times New Roman"/>
          <w:color w:val="000000" w:themeColor="text1"/>
          <w:sz w:val="28"/>
          <w:szCs w:val="28"/>
        </w:rPr>
        <w:t>“i</w:t>
      </w:r>
      <w:r w:rsidR="007F1978" w:rsidRPr="007F1978">
        <w:rPr>
          <w:rFonts w:cs="Times New Roman"/>
          <w:color w:val="000000" w:themeColor="text1"/>
          <w:sz w:val="28"/>
          <w:szCs w:val="28"/>
        </w:rPr>
        <w:t>kvienam ir tiesības uz īpašumu. Īpašumu nedrīkst izmantot pretēji sabiedrības interesēm. Īpašuma tiesības var ierobežot vienīgi saskaņā ar likumu.</w:t>
      </w:r>
      <w:r w:rsidR="007F1978">
        <w:rPr>
          <w:rFonts w:cs="Times New Roman"/>
          <w:color w:val="000000" w:themeColor="text1"/>
          <w:sz w:val="28"/>
          <w:szCs w:val="28"/>
        </w:rPr>
        <w:t xml:space="preserve">” Lai ierobežotu personas </w:t>
      </w:r>
      <w:proofErr w:type="spellStart"/>
      <w:r w:rsidR="007F1978">
        <w:rPr>
          <w:rFonts w:cs="Times New Roman"/>
          <w:color w:val="000000" w:themeColor="text1"/>
          <w:sz w:val="28"/>
          <w:szCs w:val="28"/>
        </w:rPr>
        <w:t>pamattiesības</w:t>
      </w:r>
      <w:proofErr w:type="spellEnd"/>
      <w:r w:rsidR="007F1978">
        <w:rPr>
          <w:rFonts w:cs="Times New Roman"/>
          <w:color w:val="000000" w:themeColor="text1"/>
          <w:sz w:val="28"/>
          <w:szCs w:val="28"/>
        </w:rPr>
        <w:t>, ierobežojuma</w:t>
      </w:r>
      <w:r w:rsidR="00804F9C">
        <w:rPr>
          <w:rFonts w:cs="Times New Roman"/>
          <w:color w:val="000000" w:themeColor="text1"/>
          <w:sz w:val="28"/>
          <w:szCs w:val="28"/>
        </w:rPr>
        <w:t>m</w:t>
      </w:r>
      <w:r w:rsidR="007F1978">
        <w:rPr>
          <w:rFonts w:cs="Times New Roman"/>
          <w:color w:val="000000" w:themeColor="text1"/>
          <w:sz w:val="28"/>
          <w:szCs w:val="28"/>
        </w:rPr>
        <w:t xml:space="preserve">  jābūt samērīgam. </w:t>
      </w:r>
    </w:p>
    <w:p w14:paraId="1E91C9B4" w14:textId="77777777" w:rsidR="006630B9" w:rsidRDefault="001D0A89" w:rsidP="006630B9">
      <w:pPr>
        <w:pStyle w:val="ListParagraph"/>
        <w:spacing w:before="120" w:after="120" w:line="276" w:lineRule="auto"/>
        <w:ind w:left="0" w:firstLine="709"/>
        <w:jc w:val="both"/>
        <w:rPr>
          <w:bCs/>
          <w:sz w:val="28"/>
          <w:szCs w:val="28"/>
        </w:rPr>
      </w:pPr>
      <w:r w:rsidRPr="001D0A89">
        <w:rPr>
          <w:rFonts w:eastAsia="Calibri" w:cs="Times New Roman"/>
          <w:sz w:val="28"/>
          <w:szCs w:val="28"/>
        </w:rPr>
        <w:t>Ministru kabineta 2010. gada 10. augusta noteikumu Nr. 740 „Kārtība, kādā ziņo par Eiropas Savienības struktūrfondu un Kohēzijas fonda ieviešanā konstatētajām neatbilstībām, pieņem pārvaldes lēmumu par piešķirtā finansējuma izlietojumu un atgūst neatbilstošos izdevumus” (turpmāk – MK noteikumi Nr. 740) 6. punkts nosaka, ka līgumslēdzējs (izskatāmajā gadījumā LIAA), ņemot vērā tā rīcībā esošo informāciju, pieņem lēmumu par neatbilstības konstatēšanu.</w:t>
      </w:r>
      <w:r>
        <w:rPr>
          <w:sz w:val="28"/>
          <w:szCs w:val="28"/>
        </w:rPr>
        <w:t xml:space="preserve"> </w:t>
      </w:r>
      <w:r w:rsidR="0008125F">
        <w:rPr>
          <w:sz w:val="28"/>
          <w:szCs w:val="28"/>
        </w:rPr>
        <w:t>Savukārt MK noteikumu Nr. 740 25. </w:t>
      </w:r>
      <w:r w:rsidR="0069103C">
        <w:rPr>
          <w:sz w:val="28"/>
          <w:szCs w:val="28"/>
        </w:rPr>
        <w:t>p</w:t>
      </w:r>
      <w:r w:rsidR="0008125F">
        <w:rPr>
          <w:sz w:val="28"/>
          <w:szCs w:val="28"/>
        </w:rPr>
        <w:t>unktā noteikta neatbilstoši veikto izdevumu atgūšanas kārtība, ka</w:t>
      </w:r>
      <w:r w:rsidR="00DC7613">
        <w:rPr>
          <w:sz w:val="28"/>
          <w:szCs w:val="28"/>
        </w:rPr>
        <w:t>d</w:t>
      </w:r>
      <w:r w:rsidR="0008125F">
        <w:rPr>
          <w:sz w:val="28"/>
          <w:szCs w:val="28"/>
        </w:rPr>
        <w:t xml:space="preserve"> finansējuma saņēmējs ir privātpersona. </w:t>
      </w:r>
      <w:r w:rsidR="00DC7613" w:rsidRPr="00DC7613">
        <w:rPr>
          <w:rFonts w:cs="Times New Roman"/>
          <w:color w:val="000000" w:themeColor="text1"/>
          <w:sz w:val="28"/>
          <w:szCs w:val="28"/>
        </w:rPr>
        <w:t>MK noteikumu Nr. 740 25.2. apakšpunkts nosaka, ja neatbilstoši veiktos izdevumus nav iespējams ieturēt saskaņā ar šo noteikumu 25.1.</w:t>
      </w:r>
      <w:r w:rsidR="00553BE9">
        <w:rPr>
          <w:rFonts w:cs="Times New Roman"/>
          <w:color w:val="000000" w:themeColor="text1"/>
          <w:sz w:val="28"/>
          <w:szCs w:val="28"/>
        </w:rPr>
        <w:t> </w:t>
      </w:r>
      <w:r w:rsidR="00DC7613" w:rsidRPr="00DC7613">
        <w:rPr>
          <w:rFonts w:cs="Times New Roman"/>
          <w:color w:val="000000" w:themeColor="text1"/>
          <w:sz w:val="28"/>
          <w:szCs w:val="28"/>
        </w:rPr>
        <w:t xml:space="preserve">apakšpunktu un vienam projektam vienas neatbilstības gadījumā neatbilstoši veikto izdevumu summa nepārsniedz 120 </w:t>
      </w:r>
      <w:proofErr w:type="spellStart"/>
      <w:r w:rsidR="00DC7613" w:rsidRPr="00DC7613">
        <w:rPr>
          <w:rFonts w:cs="Times New Roman"/>
          <w:i/>
          <w:iCs/>
          <w:color w:val="000000" w:themeColor="text1"/>
          <w:sz w:val="28"/>
          <w:szCs w:val="28"/>
        </w:rPr>
        <w:t>euro</w:t>
      </w:r>
      <w:proofErr w:type="spellEnd"/>
      <w:r w:rsidR="00DC7613" w:rsidRPr="00DC7613">
        <w:rPr>
          <w:rFonts w:cs="Times New Roman"/>
          <w:color w:val="000000" w:themeColor="text1"/>
          <w:sz w:val="28"/>
          <w:szCs w:val="28"/>
        </w:rPr>
        <w:t>, neatbilstoši veiktos izdevumus var norakstīt izdevumos.</w:t>
      </w:r>
      <w:r w:rsidR="00DC7613">
        <w:rPr>
          <w:rFonts w:cs="Times New Roman"/>
          <w:color w:val="000000" w:themeColor="text1"/>
          <w:sz w:val="28"/>
          <w:szCs w:val="28"/>
        </w:rPr>
        <w:t xml:space="preserve"> </w:t>
      </w:r>
      <w:r w:rsidR="00DF1D88">
        <w:rPr>
          <w:rFonts w:cs="Times New Roman"/>
          <w:color w:val="000000" w:themeColor="text1"/>
          <w:sz w:val="28"/>
          <w:szCs w:val="28"/>
        </w:rPr>
        <w:t xml:space="preserve">Konkrētajā gadījumā </w:t>
      </w:r>
      <w:r w:rsidR="00DF1D88" w:rsidRPr="00DC7613">
        <w:rPr>
          <w:rFonts w:cs="Times New Roman"/>
          <w:color w:val="000000" w:themeColor="text1"/>
          <w:sz w:val="28"/>
          <w:szCs w:val="28"/>
        </w:rPr>
        <w:t>neatb</w:t>
      </w:r>
      <w:r w:rsidR="00DF1D88">
        <w:rPr>
          <w:rFonts w:cs="Times New Roman"/>
          <w:color w:val="000000" w:themeColor="text1"/>
          <w:sz w:val="28"/>
          <w:szCs w:val="28"/>
        </w:rPr>
        <w:t xml:space="preserve">ilstoši veikto izdevumu summa </w:t>
      </w:r>
      <w:r w:rsidR="00DF1D88" w:rsidRPr="00DC7613">
        <w:rPr>
          <w:rFonts w:cs="Times New Roman"/>
          <w:color w:val="000000" w:themeColor="text1"/>
          <w:sz w:val="28"/>
          <w:szCs w:val="28"/>
        </w:rPr>
        <w:t xml:space="preserve">pārsniedz 120 </w:t>
      </w:r>
      <w:proofErr w:type="spellStart"/>
      <w:r w:rsidR="00DF1D88" w:rsidRPr="00DC7613">
        <w:rPr>
          <w:rFonts w:cs="Times New Roman"/>
          <w:i/>
          <w:iCs/>
          <w:color w:val="000000" w:themeColor="text1"/>
          <w:sz w:val="28"/>
          <w:szCs w:val="28"/>
        </w:rPr>
        <w:t>euro</w:t>
      </w:r>
      <w:proofErr w:type="spellEnd"/>
      <w:r w:rsidR="00DF1D88">
        <w:rPr>
          <w:rFonts w:cs="Times New Roman"/>
          <w:iCs/>
          <w:color w:val="000000" w:themeColor="text1"/>
          <w:sz w:val="28"/>
          <w:szCs w:val="28"/>
        </w:rPr>
        <w:t>.</w:t>
      </w:r>
      <w:r w:rsidR="00643CDC">
        <w:rPr>
          <w:rFonts w:cs="Times New Roman"/>
          <w:iCs/>
          <w:color w:val="000000" w:themeColor="text1"/>
          <w:sz w:val="28"/>
          <w:szCs w:val="28"/>
        </w:rPr>
        <w:t xml:space="preserve"> </w:t>
      </w:r>
      <w:r w:rsidR="00643CDC" w:rsidRPr="003A3D19">
        <w:rPr>
          <w:rFonts w:eastAsia="Times New Roman"/>
          <w:sz w:val="28"/>
          <w:szCs w:val="28"/>
          <w:lang w:eastAsia="lv-LV"/>
        </w:rPr>
        <w:t>No MK noteikumu Nr. 740 anotācijas izriet, ka ar šiem noteikumiem bija paredzēts palielināt vienam projektam vienas neatbilstības gadījumā norakstāmās summas apmēru uz 85 Ls, ieviešot</w:t>
      </w:r>
      <w:r w:rsidR="00643CDC" w:rsidRPr="00894306">
        <w:rPr>
          <w:rFonts w:eastAsia="Times New Roman"/>
          <w:i/>
          <w:sz w:val="28"/>
          <w:szCs w:val="28"/>
          <w:lang w:eastAsia="lv-LV"/>
        </w:rPr>
        <w:t xml:space="preserve"> </w:t>
      </w:r>
      <w:proofErr w:type="spellStart"/>
      <w:r w:rsidR="00643CDC" w:rsidRPr="00894306">
        <w:rPr>
          <w:rFonts w:eastAsia="Times New Roman"/>
          <w:i/>
          <w:sz w:val="28"/>
          <w:szCs w:val="28"/>
          <w:lang w:eastAsia="lv-LV"/>
        </w:rPr>
        <w:t>euro</w:t>
      </w:r>
      <w:proofErr w:type="spellEnd"/>
      <w:r w:rsidR="00643CDC" w:rsidRPr="003A3D19">
        <w:rPr>
          <w:rFonts w:eastAsia="Times New Roman"/>
          <w:sz w:val="28"/>
          <w:szCs w:val="28"/>
          <w:lang w:eastAsia="lv-LV"/>
        </w:rPr>
        <w:t xml:space="preserve"> šī summa tika noteikta 120 </w:t>
      </w:r>
      <w:proofErr w:type="spellStart"/>
      <w:r w:rsidR="00643CDC" w:rsidRPr="003A3D19">
        <w:rPr>
          <w:rFonts w:eastAsia="Times New Roman"/>
          <w:i/>
          <w:sz w:val="28"/>
          <w:szCs w:val="28"/>
          <w:lang w:eastAsia="lv-LV"/>
        </w:rPr>
        <w:t>euro</w:t>
      </w:r>
      <w:proofErr w:type="spellEnd"/>
      <w:r w:rsidR="00643CDC" w:rsidRPr="003A3D19">
        <w:rPr>
          <w:rFonts w:eastAsia="Times New Roman"/>
          <w:sz w:val="28"/>
          <w:szCs w:val="28"/>
          <w:lang w:eastAsia="lv-LV"/>
        </w:rPr>
        <w:t>.</w:t>
      </w:r>
      <w:r w:rsidR="003A3D19" w:rsidRPr="003A3D19">
        <w:rPr>
          <w:rFonts w:eastAsia="Times New Roman"/>
          <w:sz w:val="28"/>
          <w:szCs w:val="28"/>
          <w:lang w:eastAsia="lv-LV"/>
        </w:rPr>
        <w:t xml:space="preserve"> Par pamatu šādas summas noteikšanai bija </w:t>
      </w:r>
      <w:r w:rsidR="00643CDC" w:rsidRPr="003A3D19">
        <w:rPr>
          <w:rFonts w:eastAsia="Times New Roman"/>
          <w:sz w:val="28"/>
          <w:szCs w:val="28"/>
          <w:lang w:eastAsia="lv-LV"/>
        </w:rPr>
        <w:t>2009.</w:t>
      </w:r>
      <w:r w:rsidR="003A3D19" w:rsidRPr="003A3D19">
        <w:rPr>
          <w:rFonts w:eastAsia="Times New Roman"/>
          <w:sz w:val="28"/>
          <w:szCs w:val="28"/>
          <w:lang w:eastAsia="lv-LV"/>
        </w:rPr>
        <w:t> </w:t>
      </w:r>
      <w:r w:rsidR="00643CDC" w:rsidRPr="003A3D19">
        <w:rPr>
          <w:rFonts w:eastAsia="Times New Roman"/>
          <w:sz w:val="28"/>
          <w:szCs w:val="28"/>
          <w:lang w:eastAsia="lv-LV"/>
        </w:rPr>
        <w:t xml:space="preserve">gadā </w:t>
      </w:r>
      <w:r w:rsidR="00643CDC" w:rsidRPr="003A3D19">
        <w:rPr>
          <w:bCs/>
          <w:sz w:val="28"/>
          <w:szCs w:val="28"/>
        </w:rPr>
        <w:t>SIA "</w:t>
      </w:r>
      <w:proofErr w:type="spellStart"/>
      <w:r w:rsidR="00643CDC" w:rsidRPr="003A3D19">
        <w:rPr>
          <w:bCs/>
          <w:sz w:val="28"/>
          <w:szCs w:val="28"/>
        </w:rPr>
        <w:t>PricewaterhouseCoopers</w:t>
      </w:r>
      <w:proofErr w:type="spellEnd"/>
      <w:r w:rsidR="00643CDC" w:rsidRPr="003A3D19">
        <w:rPr>
          <w:bCs/>
          <w:sz w:val="28"/>
          <w:szCs w:val="28"/>
        </w:rPr>
        <w:t>" veiktais un Finanšu ministrijas pasūtītais pētījums</w:t>
      </w:r>
      <w:r w:rsidR="00643CDC" w:rsidRPr="003A3D19">
        <w:rPr>
          <w:sz w:val="28"/>
          <w:szCs w:val="28"/>
        </w:rPr>
        <w:t xml:space="preserve"> par </w:t>
      </w:r>
      <w:r w:rsidR="00643CDC" w:rsidRPr="003A3D19">
        <w:rPr>
          <w:bCs/>
          <w:sz w:val="28"/>
          <w:szCs w:val="28"/>
        </w:rPr>
        <w:t xml:space="preserve">Eiropas Savienības  fondu finanšu vadības un kontroles sistēmas efektivitātes </w:t>
      </w:r>
      <w:proofErr w:type="spellStart"/>
      <w:r w:rsidR="00643CDC" w:rsidRPr="003A3D19">
        <w:rPr>
          <w:bCs/>
          <w:sz w:val="28"/>
          <w:szCs w:val="28"/>
        </w:rPr>
        <w:t>izvērtējumu</w:t>
      </w:r>
      <w:proofErr w:type="spellEnd"/>
      <w:r w:rsidR="00643CDC" w:rsidRPr="003A3D19">
        <w:rPr>
          <w:bCs/>
          <w:sz w:val="28"/>
          <w:szCs w:val="28"/>
        </w:rPr>
        <w:t>, nosakot pieļaujamās kļūdas līmeni, zem kura neatbilstību un kļūdas novēršanas procedūra nav finansiāli efektīva.</w:t>
      </w:r>
      <w:r w:rsidR="002178EB">
        <w:rPr>
          <w:bCs/>
          <w:sz w:val="28"/>
          <w:szCs w:val="28"/>
        </w:rPr>
        <w:t xml:space="preserve"> Tomēr jāņem vērā, ka anotācijā minēts pieļaujamais kļūdas līmenis, </w:t>
      </w:r>
      <w:r w:rsidR="00C0689A">
        <w:rPr>
          <w:bCs/>
          <w:sz w:val="28"/>
          <w:szCs w:val="28"/>
        </w:rPr>
        <w:t>konkrētajā</w:t>
      </w:r>
      <w:r w:rsidR="002178EB">
        <w:rPr>
          <w:bCs/>
          <w:sz w:val="28"/>
          <w:szCs w:val="28"/>
        </w:rPr>
        <w:t xml:space="preserve"> gadījumā nav runa par iestādes vai finansējuma saņēmēja kļūdu, bet </w:t>
      </w:r>
      <w:proofErr w:type="spellStart"/>
      <w:r w:rsidR="002178EB">
        <w:rPr>
          <w:bCs/>
          <w:sz w:val="28"/>
          <w:szCs w:val="28"/>
        </w:rPr>
        <w:lastRenderedPageBreak/>
        <w:t>sarežgītāku</w:t>
      </w:r>
      <w:proofErr w:type="spellEnd"/>
      <w:r w:rsidR="002178EB">
        <w:rPr>
          <w:bCs/>
          <w:sz w:val="28"/>
          <w:szCs w:val="28"/>
        </w:rPr>
        <w:t xml:space="preserve"> apstākļu kopumu, kas novedis pie situācij</w:t>
      </w:r>
      <w:r w:rsidR="00A93318">
        <w:rPr>
          <w:bCs/>
          <w:sz w:val="28"/>
          <w:szCs w:val="28"/>
        </w:rPr>
        <w:t>as, kad tiek vērtēta</w:t>
      </w:r>
      <w:r w:rsidR="002178EB">
        <w:rPr>
          <w:bCs/>
          <w:sz w:val="28"/>
          <w:szCs w:val="28"/>
        </w:rPr>
        <w:t xml:space="preserve"> neatbilstoši veikto izdevumu atgūšana.</w:t>
      </w:r>
    </w:p>
    <w:p w14:paraId="59F3CB6A" w14:textId="77777777" w:rsidR="00823AEE" w:rsidRPr="00823AEE" w:rsidRDefault="0022167D" w:rsidP="00823AEE">
      <w:pPr>
        <w:pStyle w:val="ListParagraph"/>
        <w:spacing w:before="120" w:after="120" w:line="276" w:lineRule="auto"/>
        <w:ind w:left="0" w:firstLine="709"/>
        <w:jc w:val="both"/>
        <w:rPr>
          <w:sz w:val="28"/>
          <w:szCs w:val="28"/>
        </w:rPr>
      </w:pPr>
      <w:r>
        <w:rPr>
          <w:sz w:val="28"/>
          <w:szCs w:val="28"/>
        </w:rPr>
        <w:t>U</w:t>
      </w:r>
      <w:r w:rsidR="0008125F">
        <w:rPr>
          <w:sz w:val="28"/>
          <w:szCs w:val="28"/>
        </w:rPr>
        <w:t>zskatām,</w:t>
      </w:r>
      <w:r>
        <w:rPr>
          <w:sz w:val="28"/>
          <w:szCs w:val="28"/>
        </w:rPr>
        <w:t xml:space="preserve"> ka būtu pamats atkāpties no MK noteikumos Nr. 740 noteiktās</w:t>
      </w:r>
      <w:r w:rsidR="0008125F">
        <w:rPr>
          <w:sz w:val="28"/>
          <w:szCs w:val="28"/>
        </w:rPr>
        <w:t xml:space="preserve"> </w:t>
      </w:r>
      <w:r>
        <w:rPr>
          <w:sz w:val="28"/>
          <w:szCs w:val="28"/>
        </w:rPr>
        <w:t xml:space="preserve">neatbilstoši veikto izdevumu atgūšanas kārtības </w:t>
      </w:r>
      <w:r w:rsidR="0008125F">
        <w:rPr>
          <w:sz w:val="28"/>
          <w:szCs w:val="28"/>
        </w:rPr>
        <w:t>konkrētajā gadīj</w:t>
      </w:r>
      <w:r w:rsidR="004C41DE">
        <w:rPr>
          <w:sz w:val="28"/>
          <w:szCs w:val="28"/>
        </w:rPr>
        <w:t xml:space="preserve">umā, jo </w:t>
      </w:r>
      <w:r w:rsidR="0008125F">
        <w:rPr>
          <w:sz w:val="28"/>
          <w:szCs w:val="28"/>
        </w:rPr>
        <w:t>iepriekš</w:t>
      </w:r>
      <w:r w:rsidR="00553BE9">
        <w:rPr>
          <w:sz w:val="28"/>
          <w:szCs w:val="28"/>
        </w:rPr>
        <w:t xml:space="preserve"> </w:t>
      </w:r>
      <w:r w:rsidR="0008125F">
        <w:rPr>
          <w:sz w:val="28"/>
          <w:szCs w:val="28"/>
        </w:rPr>
        <w:t xml:space="preserve">aprakstīto iemeslu dēļ šis būtu uzskatāms par netipisku gadījumu. </w:t>
      </w:r>
      <w:r w:rsidR="00176D1D">
        <w:rPr>
          <w:sz w:val="28"/>
          <w:szCs w:val="28"/>
        </w:rPr>
        <w:t xml:space="preserve">Latvijas Republikas </w:t>
      </w:r>
      <w:r w:rsidR="0008125F">
        <w:rPr>
          <w:sz w:val="28"/>
          <w:szCs w:val="28"/>
        </w:rPr>
        <w:t>Satversmes tiesa</w:t>
      </w:r>
      <w:r w:rsidR="00176D1D">
        <w:rPr>
          <w:sz w:val="28"/>
          <w:szCs w:val="28"/>
        </w:rPr>
        <w:t xml:space="preserve"> ir norādījusi</w:t>
      </w:r>
      <w:r w:rsidR="0008125F">
        <w:rPr>
          <w:rStyle w:val="FootnoteReference"/>
          <w:sz w:val="28"/>
          <w:szCs w:val="28"/>
        </w:rPr>
        <w:footnoteReference w:id="8"/>
      </w:r>
      <w:r w:rsidR="0008125F">
        <w:rPr>
          <w:sz w:val="28"/>
          <w:szCs w:val="28"/>
        </w:rPr>
        <w:t xml:space="preserve">, ka </w:t>
      </w:r>
      <w:r w:rsidR="00F1676E">
        <w:rPr>
          <w:sz w:val="28"/>
          <w:szCs w:val="28"/>
        </w:rPr>
        <w:t>no Satversmes 1. panta izriet arī samērīguma princips, kas prasa, lai visos gadījumos (ne tikai izdodot brīvo vai daļēji brīvo administratīvo aktu), kad publiskā vara ierobežo personas tiesības un likumiskās intereses, tā ievēro saprātīgu līdzsvaru starp personas un valsts vai sabiedrības interesēm. Nav pieļaujama formāla normu piemērošana, ignorējot faktiskos apstākļu</w:t>
      </w:r>
      <w:r w:rsidR="00554279">
        <w:rPr>
          <w:sz w:val="28"/>
          <w:szCs w:val="28"/>
        </w:rPr>
        <w:t>s, kas konkrētu gadījumu būtiski</w:t>
      </w:r>
      <w:r w:rsidR="00F1676E">
        <w:rPr>
          <w:sz w:val="28"/>
          <w:szCs w:val="28"/>
        </w:rPr>
        <w:t xml:space="preserve"> atšķir no citiem gadījumiem, kuros likumdevējs ir paredzējis noteiktu valsts varas izmantošanas veidu. Satversmes tiesa </w:t>
      </w:r>
      <w:r w:rsidR="00D36D34">
        <w:rPr>
          <w:sz w:val="28"/>
          <w:szCs w:val="28"/>
        </w:rPr>
        <w:t>uzskata, ka iestādei ir tiesības atkāpties no tiesisko seku īstenošanas, tomēr šādai atkāpei ir jābūt pamatotai ar īpašiem, uzrādāmiem un pārliecinošiem argumentiem.</w:t>
      </w:r>
      <w:r w:rsidR="00962E59">
        <w:rPr>
          <w:sz w:val="28"/>
          <w:szCs w:val="28"/>
        </w:rPr>
        <w:t xml:space="preserve"> </w:t>
      </w:r>
      <w:r w:rsidR="00AD47EB">
        <w:rPr>
          <w:sz w:val="28"/>
          <w:szCs w:val="28"/>
        </w:rPr>
        <w:t>Dr.iur. Egils Levits</w:t>
      </w:r>
      <w:r w:rsidR="004055CB">
        <w:rPr>
          <w:sz w:val="28"/>
          <w:szCs w:val="28"/>
        </w:rPr>
        <w:t>,</w:t>
      </w:r>
      <w:r w:rsidR="00AD47EB">
        <w:rPr>
          <w:sz w:val="28"/>
          <w:szCs w:val="28"/>
        </w:rPr>
        <w:t xml:space="preserve"> analizējot netipiska gadījuma jēdzienu, norāda, ka </w:t>
      </w:r>
      <w:r w:rsidR="006630B9">
        <w:rPr>
          <w:sz w:val="28"/>
          <w:szCs w:val="28"/>
        </w:rPr>
        <w:t>„n</w:t>
      </w:r>
      <w:r w:rsidR="006630B9" w:rsidRPr="006630B9">
        <w:rPr>
          <w:sz w:val="28"/>
          <w:szCs w:val="28"/>
        </w:rPr>
        <w:t>etipisks ir tāds gadījums, kas izpilda visus likuma normas tiesiskā sastāva nosacījumus, taču ar to nesaraujami ir saistīti papildu apstākļi, kas būtiski maina šī gadījuma raksturu. Netipiskus gadījumus likumdevējs nav apzinīgi ietvēris savā likuma normā īstenotajā gribā, jo tas tos nav paredzējis (ja tas tos būtu paredzējis, tad, attiecīgā normas sastāva ietvaros definējot tipisko gadījumu, būtu to iekļāvis). Tas līdz ar to attiecībā uz netipiskajiem gadījumiem nav izdarījis arī samērīguma apsvērumus un nav iekļāvis tos normā paredzētajās tiesiskajās sekās.</w:t>
      </w:r>
      <w:r w:rsidR="006630B9">
        <w:rPr>
          <w:sz w:val="28"/>
          <w:szCs w:val="28"/>
        </w:rPr>
        <w:t>”</w:t>
      </w:r>
      <w:r w:rsidR="005E7359">
        <w:rPr>
          <w:rStyle w:val="FootnoteReference"/>
          <w:sz w:val="28"/>
          <w:szCs w:val="28"/>
        </w:rPr>
        <w:footnoteReference w:id="9"/>
      </w:r>
      <w:r w:rsidR="005213E4">
        <w:rPr>
          <w:sz w:val="28"/>
          <w:szCs w:val="28"/>
        </w:rPr>
        <w:t xml:space="preserve"> </w:t>
      </w:r>
      <w:proofErr w:type="spellStart"/>
      <w:r w:rsidR="005213E4">
        <w:rPr>
          <w:sz w:val="28"/>
          <w:szCs w:val="28"/>
        </w:rPr>
        <w:t>E.Levits</w:t>
      </w:r>
      <w:proofErr w:type="spellEnd"/>
      <w:r w:rsidR="005213E4">
        <w:rPr>
          <w:sz w:val="28"/>
          <w:szCs w:val="28"/>
        </w:rPr>
        <w:t xml:space="preserve"> arī norāda, ka, ņ</w:t>
      </w:r>
      <w:r w:rsidR="005213E4" w:rsidRPr="005213E4">
        <w:rPr>
          <w:sz w:val="28"/>
          <w:szCs w:val="28"/>
        </w:rPr>
        <w:t>emot vērā samērīguma jēdziena plašo izpratni, būtu jārunā nevis “vienkārši” par nesamērīgu rezultātu, jo domas par to parasti dalīsies, bet gan par “klaji” nesamērīgu rezultātu, ar to uzsverot, ka likuma noregulējums, no taisnīguma viedokļa, nav vienkārši uzskatāms tikai par (pamatoti) apšaubāmu, bet gan ir pretrunā ar sabiedrības vairākuma taisnīguma izjūtu, kā rezultātā par likuma noteiktā risinājuma nesamērīgum</w:t>
      </w:r>
      <w:r w:rsidR="005213E4">
        <w:rPr>
          <w:sz w:val="28"/>
          <w:szCs w:val="28"/>
        </w:rPr>
        <w:t>u konkrētajā gadījumā pastāvētu</w:t>
      </w:r>
      <w:r w:rsidR="005213E4" w:rsidRPr="005213E4">
        <w:rPr>
          <w:sz w:val="28"/>
          <w:szCs w:val="28"/>
        </w:rPr>
        <w:t xml:space="preserve"> plaša vienprātība gan sabiedrībā, gan ekspertu aprindās.</w:t>
      </w:r>
      <w:r w:rsidR="005213E4">
        <w:rPr>
          <w:sz w:val="28"/>
          <w:szCs w:val="28"/>
        </w:rPr>
        <w:t xml:space="preserve"> </w:t>
      </w:r>
      <w:r w:rsidR="00823AEE">
        <w:rPr>
          <w:sz w:val="28"/>
          <w:szCs w:val="28"/>
        </w:rPr>
        <w:t xml:space="preserve">LIAA </w:t>
      </w:r>
      <w:r w:rsidR="005368FD">
        <w:rPr>
          <w:sz w:val="28"/>
          <w:szCs w:val="28"/>
        </w:rPr>
        <w:t xml:space="preserve">un EM, </w:t>
      </w:r>
      <w:r w:rsidR="00823AEE">
        <w:rPr>
          <w:sz w:val="28"/>
          <w:szCs w:val="28"/>
        </w:rPr>
        <w:t>analizējot minētā</w:t>
      </w:r>
      <w:r w:rsidR="00896D2A">
        <w:rPr>
          <w:sz w:val="28"/>
          <w:szCs w:val="28"/>
        </w:rPr>
        <w:t>s</w:t>
      </w:r>
      <w:r w:rsidR="00823AEE">
        <w:rPr>
          <w:sz w:val="28"/>
          <w:szCs w:val="28"/>
        </w:rPr>
        <w:t xml:space="preserve"> </w:t>
      </w:r>
      <w:r w:rsidR="00896D2A">
        <w:rPr>
          <w:sz w:val="28"/>
          <w:szCs w:val="28"/>
        </w:rPr>
        <w:t>situācijas</w:t>
      </w:r>
      <w:r w:rsidR="00553BE9">
        <w:rPr>
          <w:sz w:val="28"/>
          <w:szCs w:val="28"/>
        </w:rPr>
        <w:t xml:space="preserve"> </w:t>
      </w:r>
      <w:r w:rsidR="00823AEE">
        <w:rPr>
          <w:sz w:val="28"/>
          <w:szCs w:val="28"/>
        </w:rPr>
        <w:t xml:space="preserve">apstākļus, it sevišķi ņemot vērā, ka neatbilstoši veiktie izdevumi </w:t>
      </w:r>
      <w:r w:rsidR="00823AEE" w:rsidRPr="00CA7B75">
        <w:rPr>
          <w:sz w:val="28"/>
          <w:szCs w:val="28"/>
        </w:rPr>
        <w:t>Projektā ir radušies no finansējuma saņēmēj</w:t>
      </w:r>
      <w:r w:rsidR="00896D2A" w:rsidRPr="00CA7B75">
        <w:rPr>
          <w:sz w:val="28"/>
          <w:szCs w:val="28"/>
        </w:rPr>
        <w:t>iem</w:t>
      </w:r>
      <w:r w:rsidR="00823AEE" w:rsidRPr="00CA7B75">
        <w:rPr>
          <w:sz w:val="28"/>
          <w:szCs w:val="28"/>
        </w:rPr>
        <w:t xml:space="preserve"> neatkarīgu iemeslu dēļ, </w:t>
      </w:r>
      <w:r w:rsidR="00896D2A" w:rsidRPr="00CA7B75">
        <w:rPr>
          <w:sz w:val="28"/>
          <w:szCs w:val="28"/>
        </w:rPr>
        <w:t xml:space="preserve">jo </w:t>
      </w:r>
      <w:r w:rsidR="00896D2A" w:rsidRPr="00CA7B75">
        <w:rPr>
          <w:rFonts w:cs="Times New Roman"/>
          <w:sz w:val="28"/>
          <w:szCs w:val="28"/>
        </w:rPr>
        <w:t xml:space="preserve">finansējuma saņēmēji ar savām </w:t>
      </w:r>
      <w:r w:rsidR="00896D2A" w:rsidRPr="00CA7B75">
        <w:rPr>
          <w:rFonts w:cs="Times New Roman"/>
          <w:sz w:val="28"/>
          <w:szCs w:val="28"/>
        </w:rPr>
        <w:lastRenderedPageBreak/>
        <w:t xml:space="preserve">darbībām nav pārkāpuši normatīvo aktu prasības </w:t>
      </w:r>
      <w:r w:rsidR="00896D2A" w:rsidRPr="00592B6A">
        <w:rPr>
          <w:rFonts w:cs="Times New Roman"/>
          <w:sz w:val="28"/>
          <w:szCs w:val="28"/>
        </w:rPr>
        <w:t xml:space="preserve">un </w:t>
      </w:r>
      <w:r w:rsidR="00F92285" w:rsidRPr="00592B6A">
        <w:rPr>
          <w:rFonts w:cs="Times New Roman"/>
          <w:sz w:val="28"/>
          <w:szCs w:val="28"/>
        </w:rPr>
        <w:t>nevarēja ietekmēt SIA “</w:t>
      </w:r>
      <w:proofErr w:type="spellStart"/>
      <w:r w:rsidR="00F92285" w:rsidRPr="00592B6A">
        <w:rPr>
          <w:rFonts w:cs="Times New Roman"/>
          <w:sz w:val="28"/>
          <w:szCs w:val="28"/>
        </w:rPr>
        <w:t>Energo</w:t>
      </w:r>
      <w:proofErr w:type="spellEnd"/>
      <w:r w:rsidR="00F92285" w:rsidRPr="00592B6A">
        <w:rPr>
          <w:rFonts w:cs="Times New Roman"/>
          <w:sz w:val="28"/>
          <w:szCs w:val="28"/>
        </w:rPr>
        <w:t xml:space="preserve"> pārvalde” rīcību</w:t>
      </w:r>
      <w:r w:rsidR="006F25B1" w:rsidRPr="00592B6A">
        <w:rPr>
          <w:rFonts w:cs="Times New Roman"/>
          <w:sz w:val="28"/>
          <w:szCs w:val="28"/>
        </w:rPr>
        <w:t>,</w:t>
      </w:r>
      <w:r w:rsidR="00896D2A" w:rsidRPr="00592B6A">
        <w:rPr>
          <w:sz w:val="28"/>
          <w:szCs w:val="28"/>
        </w:rPr>
        <w:t xml:space="preserve"> </w:t>
      </w:r>
      <w:r w:rsidR="00EC40B7" w:rsidRPr="00592B6A">
        <w:rPr>
          <w:sz w:val="28"/>
          <w:szCs w:val="28"/>
        </w:rPr>
        <w:t>secina,</w:t>
      </w:r>
      <w:r w:rsidR="00EC40B7" w:rsidRPr="00CA7B75">
        <w:rPr>
          <w:sz w:val="28"/>
          <w:szCs w:val="28"/>
        </w:rPr>
        <w:t xml:space="preserve"> ka</w:t>
      </w:r>
      <w:r w:rsidR="00BD7AE3" w:rsidRPr="00CA7B75">
        <w:rPr>
          <w:sz w:val="28"/>
          <w:szCs w:val="28"/>
        </w:rPr>
        <w:t>,</w:t>
      </w:r>
      <w:r w:rsidR="00823AEE" w:rsidRPr="00CA7B75">
        <w:rPr>
          <w:sz w:val="28"/>
          <w:szCs w:val="28"/>
        </w:rPr>
        <w:t xml:space="preserve"> atgūstot neatbilstoši</w:t>
      </w:r>
      <w:r w:rsidR="00823AEE">
        <w:rPr>
          <w:sz w:val="28"/>
          <w:szCs w:val="28"/>
        </w:rPr>
        <w:t xml:space="preserve"> veiktos izdevumus, vēl vairāk pasliktinātos finansējuma saņēmēju finansiālā situācija, ko jau ir ietekmējusi arī ārkārtējās situācijas izsludināšana, un nev</w:t>
      </w:r>
      <w:r w:rsidR="00DE290B">
        <w:rPr>
          <w:sz w:val="28"/>
          <w:szCs w:val="28"/>
        </w:rPr>
        <w:t>ar izslēgt situācijas, kad fi</w:t>
      </w:r>
      <w:r w:rsidR="00553BE9">
        <w:rPr>
          <w:sz w:val="28"/>
          <w:szCs w:val="28"/>
        </w:rPr>
        <w:t>n</w:t>
      </w:r>
      <w:r w:rsidR="00DE290B">
        <w:rPr>
          <w:sz w:val="28"/>
          <w:szCs w:val="28"/>
        </w:rPr>
        <w:t>an</w:t>
      </w:r>
      <w:r w:rsidR="00823AEE">
        <w:rPr>
          <w:sz w:val="28"/>
          <w:szCs w:val="28"/>
        </w:rPr>
        <w:t>sējuma saņēmēji varētu zaudēt savu vienīgo mājokli</w:t>
      </w:r>
      <w:r w:rsidR="00EC40B7">
        <w:rPr>
          <w:sz w:val="28"/>
          <w:szCs w:val="28"/>
        </w:rPr>
        <w:t>.</w:t>
      </w:r>
      <w:r w:rsidR="00823AEE">
        <w:rPr>
          <w:sz w:val="28"/>
          <w:szCs w:val="28"/>
        </w:rPr>
        <w:t xml:space="preserve"> </w:t>
      </w:r>
      <w:r w:rsidR="00EC40B7">
        <w:rPr>
          <w:sz w:val="28"/>
          <w:szCs w:val="28"/>
        </w:rPr>
        <w:t>Š</w:t>
      </w:r>
      <w:r w:rsidR="00823AEE">
        <w:rPr>
          <w:sz w:val="28"/>
          <w:szCs w:val="28"/>
        </w:rPr>
        <w:t>ajā gadījumā nebūtu samērīgi valsts vai sabiedrības intereses vērtēt augstāk par finansējuma saņēmēju interesēm</w:t>
      </w:r>
      <w:r w:rsidR="006106BF">
        <w:rPr>
          <w:sz w:val="28"/>
          <w:szCs w:val="28"/>
        </w:rPr>
        <w:t>, būtu „klaji” nesamērīgi un pretēji taisnīguma izjūtai atgūt neatbilstoši veiktos izdevumus no finansējuma saņēmējiem</w:t>
      </w:r>
    </w:p>
    <w:p w14:paraId="78CF9738" w14:textId="4CCEA01D" w:rsidR="00F17AF5" w:rsidRDefault="00A12F34" w:rsidP="00BA23DB">
      <w:pPr>
        <w:pStyle w:val="ListParagraph"/>
        <w:spacing w:before="120" w:after="120" w:line="276" w:lineRule="auto"/>
        <w:ind w:left="0" w:firstLine="709"/>
        <w:jc w:val="both"/>
        <w:rPr>
          <w:rFonts w:cs="Times New Roman"/>
          <w:sz w:val="28"/>
          <w:szCs w:val="28"/>
        </w:rPr>
      </w:pPr>
      <w:r>
        <w:rPr>
          <w:rFonts w:cs="Times New Roman"/>
          <w:iCs/>
          <w:sz w:val="28"/>
          <w:szCs w:val="28"/>
        </w:rPr>
        <w:t xml:space="preserve">Papildus iepriekš minētajiem argumentiem, </w:t>
      </w:r>
      <w:r w:rsidR="00BA23DB" w:rsidRPr="00DA7AD3">
        <w:rPr>
          <w:rFonts w:cs="Times New Roman"/>
          <w:iCs/>
          <w:sz w:val="28"/>
          <w:szCs w:val="28"/>
        </w:rPr>
        <w:t xml:space="preserve">LIAA ir veikusi minimālo izdevumu aprēķinu, kas tai būtu nepieciešami neatbilstoši veikto izdevumu atgūšanas procesa nodrošināšanai šādā kārtībā, un secinājusi, ka atgūšanas procesa izdevumi ievērojami </w:t>
      </w:r>
      <w:r w:rsidR="00BA23DB" w:rsidRPr="0038233C">
        <w:rPr>
          <w:rFonts w:cs="Times New Roman"/>
          <w:iCs/>
          <w:sz w:val="28"/>
          <w:szCs w:val="28"/>
        </w:rPr>
        <w:t xml:space="preserve">pārsniegs sagaidāmo ieguvumu, proti, par katru dzīvokļa īpašumu ir jāatgūst vidēji 488,95 EUR, savukārt LIAA darbības atgūšanas procesa nodrošināšanai valstij izmaksātu vismaz 1043,12 EUR uz vienu dzīvokļa īpašumu, </w:t>
      </w:r>
      <w:r w:rsidR="00BA23DB" w:rsidRPr="0038233C">
        <w:rPr>
          <w:rFonts w:cs="Times New Roman"/>
          <w:bCs/>
          <w:iCs/>
          <w:sz w:val="28"/>
          <w:szCs w:val="28"/>
        </w:rPr>
        <w:t xml:space="preserve">kas kopsummā veidotu 57 371,60 EUR </w:t>
      </w:r>
      <w:r w:rsidR="00BA23DB">
        <w:rPr>
          <w:rFonts w:cs="Times New Roman"/>
          <w:bCs/>
          <w:iCs/>
          <w:sz w:val="28"/>
          <w:szCs w:val="28"/>
        </w:rPr>
        <w:t xml:space="preserve">valsts budžeta </w:t>
      </w:r>
      <w:r w:rsidR="00BA23DB" w:rsidRPr="0038233C">
        <w:rPr>
          <w:rFonts w:cs="Times New Roman"/>
          <w:bCs/>
          <w:iCs/>
          <w:sz w:val="28"/>
          <w:szCs w:val="28"/>
        </w:rPr>
        <w:t>izdevumus.</w:t>
      </w:r>
      <w:r w:rsidR="00BA23DB" w:rsidRPr="0038233C">
        <w:rPr>
          <w:rFonts w:cs="Times New Roman"/>
          <w:iCs/>
          <w:sz w:val="28"/>
          <w:szCs w:val="28"/>
        </w:rPr>
        <w:t xml:space="preserve"> Vienlaikus vēršam uzmanību, ka LIAA izmaksas, atgūstot neatbilstoši veiktos izdevumus</w:t>
      </w:r>
      <w:r w:rsidR="00BA23DB" w:rsidRPr="003D55BC">
        <w:rPr>
          <w:rFonts w:cs="Times New Roman"/>
          <w:iCs/>
          <w:sz w:val="28"/>
          <w:szCs w:val="28"/>
        </w:rPr>
        <w:t xml:space="preserve">, varētu būt arī lielākas no LIAA neatkarīgu apstākļu dēļ, piemēram, ilgstoša komunikācija ar finansējuma saņēmējiem </w:t>
      </w:r>
      <w:proofErr w:type="spellStart"/>
      <w:r w:rsidR="00BA23DB" w:rsidRPr="003D55BC">
        <w:rPr>
          <w:rFonts w:cs="Times New Roman"/>
          <w:iCs/>
          <w:sz w:val="28"/>
          <w:szCs w:val="28"/>
        </w:rPr>
        <w:t>pirmstiesas</w:t>
      </w:r>
      <w:proofErr w:type="spellEnd"/>
      <w:r w:rsidR="00BA23DB" w:rsidRPr="003D55BC">
        <w:rPr>
          <w:rFonts w:cs="Times New Roman"/>
          <w:iCs/>
          <w:sz w:val="28"/>
          <w:szCs w:val="28"/>
        </w:rPr>
        <w:t xml:space="preserve"> stadijā, kā arī atkarībā no tiesas sēžu norises - tiesas sēžu pārcelšana/atlikšana otras puses neierašanās dēļ, lietu nosūtīšana izskatīšanai citā pilsētā, tiesvedības turpināšana kasācijas instancē, kas izmaksu aprēķinā šobrīd nav iekļauta. Izdevumu apmērs var pieaugt arī darbinieku mainības dēļ, kā arī kvalitatīva un ātra atgūšanas procesa nodrošināšanai var nākties piesaistīt vēl vienu juriskonsultu atkarībā no komunikācijas ar finansējuma saņēmējiem </w:t>
      </w:r>
      <w:proofErr w:type="spellStart"/>
      <w:r w:rsidR="00BA23DB" w:rsidRPr="003D55BC">
        <w:rPr>
          <w:rFonts w:cs="Times New Roman"/>
          <w:iCs/>
          <w:sz w:val="28"/>
          <w:szCs w:val="28"/>
        </w:rPr>
        <w:t>pirmstiesas</w:t>
      </w:r>
      <w:proofErr w:type="spellEnd"/>
      <w:r w:rsidR="00BA23DB" w:rsidRPr="003D55BC">
        <w:rPr>
          <w:rFonts w:cs="Times New Roman"/>
          <w:iCs/>
          <w:sz w:val="28"/>
          <w:szCs w:val="28"/>
        </w:rPr>
        <w:t xml:space="preserve"> stadijā un lietu sadalījuma tiesās.</w:t>
      </w:r>
      <w:r w:rsidR="00BA23DB">
        <w:rPr>
          <w:rFonts w:cs="Times New Roman"/>
          <w:iCs/>
          <w:sz w:val="28"/>
          <w:szCs w:val="28"/>
        </w:rPr>
        <w:t xml:space="preserve"> </w:t>
      </w:r>
      <w:r w:rsidR="00BA23DB" w:rsidRPr="00DA7AD3">
        <w:rPr>
          <w:rFonts w:cs="Times New Roman"/>
          <w:iCs/>
          <w:sz w:val="28"/>
          <w:szCs w:val="28"/>
        </w:rPr>
        <w:t>Turklāt papildus LIAA izdevumiem atgūšanas procesa nodrošināšanai, valstij būtu jāsedz arī izdevumi saistībā ar tiesas un tiesu sistēmai piekritīgo iestāžu darba nodrošināšanu civilprocesu ietvaros.</w:t>
      </w:r>
      <w:r w:rsidR="00BA23DB">
        <w:rPr>
          <w:rFonts w:cs="Times New Roman"/>
          <w:iCs/>
          <w:sz w:val="28"/>
          <w:szCs w:val="28"/>
        </w:rPr>
        <w:t xml:space="preserve"> </w:t>
      </w:r>
      <w:r w:rsidR="00BA23DB" w:rsidRPr="00DB28C3">
        <w:rPr>
          <w:rFonts w:cs="Times New Roman"/>
          <w:sz w:val="28"/>
          <w:szCs w:val="28"/>
        </w:rPr>
        <w:t xml:space="preserve">EM, balstoties uz </w:t>
      </w:r>
      <w:r w:rsidR="00BA23DB" w:rsidRPr="00DB28C3">
        <w:rPr>
          <w:rFonts w:cs="Times New Roman"/>
          <w:iCs/>
          <w:sz w:val="28"/>
          <w:szCs w:val="28"/>
        </w:rPr>
        <w:t>LIAA veikto minimālo izdevumu aprēķinu, kas tai būtu nepieciešami neatbilstoši veikto izdevumu atgū</w:t>
      </w:r>
      <w:r w:rsidR="00BA23DB" w:rsidRPr="00DB28C3">
        <w:rPr>
          <w:rFonts w:cs="Times New Roman"/>
          <w:sz w:val="28"/>
          <w:szCs w:val="28"/>
        </w:rPr>
        <w:t>šanas procesa nodrošināšanai (tikai LIAA</w:t>
      </w:r>
      <w:r w:rsidR="00BA23DB">
        <w:rPr>
          <w:rFonts w:cs="Times New Roman"/>
          <w:sz w:val="28"/>
          <w:szCs w:val="28"/>
        </w:rPr>
        <w:t xml:space="preserve">, </w:t>
      </w:r>
      <w:r w:rsidR="00BA23DB" w:rsidRPr="00DB28C3">
        <w:rPr>
          <w:rFonts w:cs="Times New Roman"/>
          <w:sz w:val="28"/>
          <w:szCs w:val="28"/>
        </w:rPr>
        <w:t xml:space="preserve">neņemot vērā citas budžeta iestādes un resursus, piemēram, tiesas, tiesu izpildītāji), secina, ka </w:t>
      </w:r>
      <w:r w:rsidR="00BA23DB">
        <w:rPr>
          <w:rFonts w:cs="Times New Roman"/>
          <w:sz w:val="28"/>
          <w:szCs w:val="28"/>
        </w:rPr>
        <w:t xml:space="preserve">no lietderības viedokļa </w:t>
      </w:r>
      <w:r w:rsidR="00BA23DB" w:rsidRPr="00A664F3">
        <w:rPr>
          <w:rFonts w:cs="Times New Roman"/>
          <w:sz w:val="28"/>
          <w:szCs w:val="28"/>
        </w:rPr>
        <w:t xml:space="preserve">26 892,28 </w:t>
      </w:r>
      <w:proofErr w:type="spellStart"/>
      <w:r w:rsidR="00BA23DB" w:rsidRPr="00A664F3">
        <w:rPr>
          <w:rFonts w:cs="Times New Roman"/>
          <w:i/>
          <w:sz w:val="28"/>
          <w:szCs w:val="28"/>
        </w:rPr>
        <w:t>euro</w:t>
      </w:r>
      <w:proofErr w:type="spellEnd"/>
      <w:r w:rsidR="00BA23DB" w:rsidRPr="00A664F3" w:rsidDel="00A664F3">
        <w:rPr>
          <w:rFonts w:cs="Times New Roman"/>
          <w:sz w:val="28"/>
          <w:szCs w:val="28"/>
        </w:rPr>
        <w:t xml:space="preserve"> </w:t>
      </w:r>
      <w:r w:rsidR="00BA23DB">
        <w:rPr>
          <w:rFonts w:cs="Times New Roman"/>
          <w:sz w:val="28"/>
          <w:szCs w:val="28"/>
        </w:rPr>
        <w:t xml:space="preserve">atgūšanas </w:t>
      </w:r>
      <w:r w:rsidR="00BA23DB" w:rsidRPr="00DB28C3">
        <w:rPr>
          <w:rFonts w:cs="Times New Roman"/>
          <w:sz w:val="28"/>
          <w:szCs w:val="28"/>
        </w:rPr>
        <w:t>procesa nodrošināšana ir nesamērīgi dārgāka (valstij neizdevī</w:t>
      </w:r>
      <w:r w:rsidR="00BA23DB">
        <w:rPr>
          <w:rFonts w:cs="Times New Roman"/>
          <w:sz w:val="28"/>
          <w:szCs w:val="28"/>
        </w:rPr>
        <w:t>gāka) nekā sagaidāmais ieguvums (izdevumi divreiz lielāki par atgūstamo summu).</w:t>
      </w:r>
      <w:r w:rsidR="00BA23DB" w:rsidRPr="00DB28C3">
        <w:rPr>
          <w:rFonts w:cs="Times New Roman"/>
          <w:sz w:val="28"/>
          <w:szCs w:val="28"/>
        </w:rPr>
        <w:t xml:space="preserve"> </w:t>
      </w:r>
    </w:p>
    <w:p w14:paraId="2DE14D21" w14:textId="3758C79A" w:rsidR="009135F9" w:rsidRDefault="009135F9" w:rsidP="00BA23DB">
      <w:pPr>
        <w:pStyle w:val="ListParagraph"/>
        <w:spacing w:before="120" w:after="120" w:line="276" w:lineRule="auto"/>
        <w:ind w:left="0" w:firstLine="709"/>
        <w:jc w:val="both"/>
        <w:rPr>
          <w:rFonts w:cs="Times New Roman"/>
          <w:sz w:val="28"/>
          <w:szCs w:val="28"/>
        </w:rPr>
      </w:pPr>
    </w:p>
    <w:p w14:paraId="63EE25E7" w14:textId="77777777" w:rsidR="009135F9" w:rsidRDefault="009135F9" w:rsidP="00BA23DB">
      <w:pPr>
        <w:pStyle w:val="ListParagraph"/>
        <w:spacing w:before="120" w:after="120" w:line="276" w:lineRule="auto"/>
        <w:ind w:left="0" w:firstLine="709"/>
        <w:jc w:val="both"/>
        <w:rPr>
          <w:rFonts w:cs="Times New Roman"/>
          <w:sz w:val="28"/>
          <w:szCs w:val="28"/>
        </w:rPr>
      </w:pPr>
    </w:p>
    <w:p w14:paraId="27E99BE3" w14:textId="480E0DD5" w:rsidR="009135F9" w:rsidRDefault="009135F9" w:rsidP="00BA23DB">
      <w:pPr>
        <w:pStyle w:val="ListParagraph"/>
        <w:spacing w:before="120" w:after="120" w:line="276" w:lineRule="auto"/>
        <w:ind w:left="0" w:firstLine="709"/>
        <w:jc w:val="both"/>
        <w:rPr>
          <w:rFonts w:cs="Times New Roman"/>
          <w:sz w:val="28"/>
          <w:szCs w:val="28"/>
        </w:rPr>
      </w:pPr>
    </w:p>
    <w:p w14:paraId="5E359153" w14:textId="4230E948" w:rsidR="009135F9" w:rsidRDefault="009135F9" w:rsidP="009135F9">
      <w:pPr>
        <w:pStyle w:val="ListParagraph"/>
        <w:spacing w:before="120" w:after="120" w:line="276" w:lineRule="auto"/>
        <w:ind w:left="0" w:firstLine="709"/>
        <w:jc w:val="center"/>
        <w:rPr>
          <w:rFonts w:cs="Times New Roman"/>
          <w:b/>
          <w:bCs/>
          <w:sz w:val="28"/>
          <w:szCs w:val="28"/>
        </w:rPr>
      </w:pPr>
      <w:r w:rsidRPr="009135F9">
        <w:rPr>
          <w:rFonts w:cs="Times New Roman"/>
          <w:b/>
          <w:bCs/>
          <w:sz w:val="28"/>
          <w:szCs w:val="28"/>
        </w:rPr>
        <w:lastRenderedPageBreak/>
        <w:t>3.</w:t>
      </w:r>
      <w:r w:rsidRPr="009135F9">
        <w:rPr>
          <w:rFonts w:cs="Times New Roman"/>
          <w:b/>
          <w:bCs/>
          <w:sz w:val="28"/>
          <w:szCs w:val="28"/>
        </w:rPr>
        <w:tab/>
        <w:t>Piedāvātais problēmas risinājums</w:t>
      </w:r>
    </w:p>
    <w:p w14:paraId="69724B3E" w14:textId="77777777" w:rsidR="009135F9" w:rsidRPr="009135F9" w:rsidRDefault="009135F9" w:rsidP="009135F9">
      <w:pPr>
        <w:pStyle w:val="ListParagraph"/>
        <w:spacing w:before="120" w:after="120" w:line="276" w:lineRule="auto"/>
        <w:ind w:left="0" w:firstLine="709"/>
        <w:jc w:val="center"/>
        <w:rPr>
          <w:rFonts w:cs="Times New Roman"/>
          <w:b/>
          <w:bCs/>
          <w:sz w:val="28"/>
          <w:szCs w:val="28"/>
        </w:rPr>
      </w:pPr>
    </w:p>
    <w:p w14:paraId="0F642CC7" w14:textId="2F5B9436" w:rsidR="00A07391" w:rsidRPr="00A07391" w:rsidRDefault="00A07391" w:rsidP="00A07391">
      <w:pPr>
        <w:pStyle w:val="ListParagraph"/>
        <w:spacing w:before="120" w:after="120" w:line="276" w:lineRule="auto"/>
        <w:ind w:left="142" w:firstLine="709"/>
        <w:jc w:val="both"/>
        <w:rPr>
          <w:rFonts w:cs="Times New Roman"/>
          <w:sz w:val="28"/>
          <w:szCs w:val="28"/>
        </w:rPr>
      </w:pPr>
      <w:r>
        <w:rPr>
          <w:rFonts w:cs="Times New Roman"/>
          <w:sz w:val="28"/>
          <w:szCs w:val="28"/>
        </w:rPr>
        <w:t>D</w:t>
      </w:r>
      <w:r w:rsidRPr="00A07391">
        <w:rPr>
          <w:rFonts w:cs="Times New Roman"/>
          <w:sz w:val="28"/>
          <w:szCs w:val="28"/>
        </w:rPr>
        <w:t>arbības programma</w:t>
      </w:r>
      <w:r>
        <w:rPr>
          <w:rFonts w:cs="Times New Roman"/>
          <w:sz w:val="28"/>
          <w:szCs w:val="28"/>
        </w:rPr>
        <w:t>s</w:t>
      </w:r>
      <w:r w:rsidRPr="00A07391">
        <w:rPr>
          <w:rFonts w:cs="Times New Roman"/>
          <w:sz w:val="28"/>
          <w:szCs w:val="28"/>
        </w:rPr>
        <w:t xml:space="preserve"> “Infrastruktūra un pakalpojumi” papildinājuma 3.4.4.1.aktivitātes “Daudzdzīvokļu māju </w:t>
      </w:r>
      <w:proofErr w:type="spellStart"/>
      <w:r w:rsidRPr="00A07391">
        <w:rPr>
          <w:rFonts w:cs="Times New Roman"/>
          <w:sz w:val="28"/>
          <w:szCs w:val="28"/>
        </w:rPr>
        <w:t>siltumnoturības</w:t>
      </w:r>
      <w:proofErr w:type="spellEnd"/>
      <w:r w:rsidRPr="00A07391">
        <w:rPr>
          <w:rFonts w:cs="Times New Roman"/>
          <w:sz w:val="28"/>
          <w:szCs w:val="28"/>
        </w:rPr>
        <w:t xml:space="preserve"> uzlabošanas pasākumi” (turpmāk – aktivitāte) mērķis</w:t>
      </w:r>
      <w:r>
        <w:rPr>
          <w:rFonts w:cs="Times New Roman"/>
          <w:sz w:val="28"/>
          <w:szCs w:val="28"/>
        </w:rPr>
        <w:t xml:space="preserve"> un būtība</w:t>
      </w:r>
      <w:r w:rsidRPr="00A07391">
        <w:rPr>
          <w:rFonts w:cs="Times New Roman"/>
          <w:sz w:val="28"/>
          <w:szCs w:val="28"/>
        </w:rPr>
        <w:t xml:space="preserve"> ir paaugstināt daudzdzīvokļu dzīvojamo māju energoefektivitāti, lai nodrošinātu dzīvojamā fonda ilgtspēju un energoresursu efektīvu izmantošanu.</w:t>
      </w:r>
    </w:p>
    <w:p w14:paraId="11167748" w14:textId="77777777" w:rsidR="00A07391" w:rsidRPr="00A07391" w:rsidRDefault="00A07391" w:rsidP="009A1E14">
      <w:pPr>
        <w:pStyle w:val="ListParagraph"/>
        <w:spacing w:before="120" w:after="120" w:line="276" w:lineRule="auto"/>
        <w:ind w:left="142" w:firstLine="425"/>
        <w:jc w:val="both"/>
        <w:rPr>
          <w:rFonts w:cs="Times New Roman"/>
          <w:sz w:val="28"/>
          <w:szCs w:val="28"/>
        </w:rPr>
      </w:pPr>
      <w:r w:rsidRPr="00A07391">
        <w:rPr>
          <w:rFonts w:cs="Times New Roman"/>
          <w:sz w:val="28"/>
          <w:szCs w:val="28"/>
        </w:rPr>
        <w:t xml:space="preserve">     Valsts līmenī katra renovētā ēka dod būtisku ieguldījumu valsts ilgtspējīgā attīstībā un kopējā energoefektivitātes mērķa sasniegšanā.</w:t>
      </w:r>
    </w:p>
    <w:p w14:paraId="25EAC659" w14:textId="0A66E43E" w:rsidR="00A07391" w:rsidRPr="00A07391" w:rsidRDefault="00A07391" w:rsidP="009A1E14">
      <w:pPr>
        <w:pStyle w:val="ListParagraph"/>
        <w:tabs>
          <w:tab w:val="left" w:pos="709"/>
        </w:tabs>
        <w:spacing w:before="120" w:after="120" w:line="276" w:lineRule="auto"/>
        <w:ind w:left="142" w:firstLine="709"/>
        <w:jc w:val="both"/>
        <w:rPr>
          <w:rFonts w:cs="Times New Roman"/>
          <w:sz w:val="28"/>
          <w:szCs w:val="28"/>
        </w:rPr>
      </w:pPr>
      <w:r w:rsidRPr="00A07391">
        <w:rPr>
          <w:rFonts w:cs="Times New Roman"/>
          <w:sz w:val="28"/>
          <w:szCs w:val="28"/>
        </w:rPr>
        <w:t xml:space="preserve"> Ņemot vērā, ka dzīvojamais fonds Latvijā strauji noveco, ēku uzturēšana ir dārga un nenodrošina ēkas ilgtspēju. Tādējādi aktivitātes ietvaros, veicot ēkas atjaunošanu, to ir iespējams ne tikai siltināt, bet arī nepieciešamības gadījumā veikt būtiskus uzlabojumus, piemēram, nesošo konstrukciju stiprināšanā, pagarinot ēkas mūžu. Turklāt energoefektivitātes uzlabošana daudzdzīvokļu dzīvojamās ēkās ne tikai samazina iedzīvotājiem izmaksas, bet arī uzlabo komforta līmeni dzīvokļos, dod iespēju katram iedzīvotājam izvēlēties sev vispiemērotāko apkures režīmu un atstāj pozitīvu iespaidu uz iedzīvotāju veselību.</w:t>
      </w:r>
    </w:p>
    <w:p w14:paraId="3AC7F8DB" w14:textId="01D8A933" w:rsidR="00A07391" w:rsidRPr="00A07391" w:rsidRDefault="00A07391" w:rsidP="00A07391">
      <w:pPr>
        <w:pStyle w:val="ListParagraph"/>
        <w:spacing w:before="120" w:after="120" w:line="276" w:lineRule="auto"/>
        <w:ind w:left="142" w:firstLine="709"/>
        <w:jc w:val="both"/>
        <w:rPr>
          <w:rFonts w:cs="Times New Roman"/>
          <w:sz w:val="28"/>
          <w:szCs w:val="28"/>
        </w:rPr>
      </w:pPr>
      <w:r w:rsidRPr="00A07391">
        <w:rPr>
          <w:rFonts w:cs="Times New Roman"/>
          <w:sz w:val="28"/>
          <w:szCs w:val="28"/>
        </w:rPr>
        <w:t xml:space="preserve">  Līdz ar to situācijās, kad aktivitātes ietvaros projekts kaut kādu apsvērumu dēļ netiek īstenots un gala rezultātā ir veicama neatbilstoši veikto izdevumu atgūšana no aktivitātes gala labuma saņēmējiem, kas šajā gadījumā ir daudzdzīvokļu dzīvojamās mājas dzīvokļu īpašnieki, netiek sasniegts  aktivitātes mērķis. Turklāt šajā gadījumā finansiāli zaudējumi rodas ne tikai dzīvokļu īpašniekiem, bet valstij kopumā. Pretēji minētajam aktivitātes mērķim, dzīvokļu īpašnieki, kam jāveic maksājumi (neatbilstoši izsniegto finansējumu gadījumā) par būtībā nesaņemtajiem pakalpojumiem,  var tikt novesti līdz pat maksātnespējai atkarībā no katra konkrētā iedzīvotāja ienākumiem, kas attiecīgi ietekmē kopējo attīstības līmeni valstī – iedzīvotāju dzīves kvalitātes pasliktināšanos, nesakoptu vidi utt.</w:t>
      </w:r>
    </w:p>
    <w:p w14:paraId="24A2D010" w14:textId="731F0447" w:rsidR="00A07391" w:rsidRPr="00A07391" w:rsidRDefault="00A07391" w:rsidP="00A07391">
      <w:pPr>
        <w:pStyle w:val="ListParagraph"/>
        <w:spacing w:before="120" w:after="120" w:line="276" w:lineRule="auto"/>
        <w:ind w:left="142" w:firstLine="709"/>
        <w:jc w:val="both"/>
        <w:rPr>
          <w:rFonts w:cs="Times New Roman"/>
          <w:sz w:val="28"/>
          <w:szCs w:val="28"/>
        </w:rPr>
      </w:pPr>
      <w:r w:rsidRPr="00A07391">
        <w:rPr>
          <w:rFonts w:cs="Times New Roman"/>
          <w:sz w:val="28"/>
          <w:szCs w:val="28"/>
        </w:rPr>
        <w:t xml:space="preserve"> Valsts interesēs ir panākt dzīvojamo māju sakopšanu, aizsargājot iedzīvotāju tiesības uz pilnvērtīgiem dzīves apstākļiem, kad dzīvojamā māja tiek atjaunota un iegūst “otru iespēju” un dzīvot šādā mājā ir ne tikai patīkami un droši, bet arī izdevīgi finansiālajā ziņā. </w:t>
      </w:r>
    </w:p>
    <w:p w14:paraId="3D60FA62" w14:textId="1743AFE7" w:rsidR="00A07391" w:rsidRDefault="00A07391" w:rsidP="00A07391">
      <w:pPr>
        <w:pStyle w:val="ListParagraph"/>
        <w:spacing w:before="120" w:after="120" w:line="276" w:lineRule="auto"/>
        <w:ind w:left="0" w:firstLine="709"/>
        <w:jc w:val="both"/>
        <w:rPr>
          <w:rFonts w:cs="Times New Roman"/>
          <w:sz w:val="28"/>
          <w:szCs w:val="28"/>
        </w:rPr>
      </w:pPr>
      <w:r w:rsidRPr="00A07391">
        <w:rPr>
          <w:rFonts w:cs="Times New Roman"/>
          <w:sz w:val="28"/>
          <w:szCs w:val="28"/>
        </w:rPr>
        <w:t xml:space="preserve">   </w:t>
      </w:r>
      <w:r w:rsidR="00BE092D">
        <w:rPr>
          <w:rFonts w:cs="Times New Roman"/>
          <w:sz w:val="28"/>
          <w:szCs w:val="28"/>
        </w:rPr>
        <w:t xml:space="preserve">Konkrētajā gadījumā </w:t>
      </w:r>
      <w:r w:rsidRPr="00A07391">
        <w:rPr>
          <w:rFonts w:cs="Times New Roman"/>
          <w:sz w:val="28"/>
          <w:szCs w:val="28"/>
        </w:rPr>
        <w:t xml:space="preserve">daudzdzīvokļu dzīvojamās mājas dzīvokļu īpašnieku dzīves apstākļi varētu </w:t>
      </w:r>
      <w:r w:rsidR="00BE092D">
        <w:rPr>
          <w:rFonts w:cs="Times New Roman"/>
          <w:sz w:val="28"/>
          <w:szCs w:val="28"/>
        </w:rPr>
        <w:t xml:space="preserve">tikai </w:t>
      </w:r>
      <w:r w:rsidRPr="00A07391">
        <w:rPr>
          <w:rFonts w:cs="Times New Roman"/>
          <w:sz w:val="28"/>
          <w:szCs w:val="28"/>
        </w:rPr>
        <w:t>pasliktināties</w:t>
      </w:r>
      <w:r w:rsidR="00BE092D">
        <w:rPr>
          <w:rFonts w:cs="Times New Roman"/>
          <w:sz w:val="28"/>
          <w:szCs w:val="28"/>
        </w:rPr>
        <w:t xml:space="preserve">, </w:t>
      </w:r>
      <w:r w:rsidR="009A1E14">
        <w:rPr>
          <w:rFonts w:cs="Times New Roman"/>
          <w:sz w:val="28"/>
          <w:szCs w:val="28"/>
        </w:rPr>
        <w:t xml:space="preserve">un </w:t>
      </w:r>
      <w:r w:rsidR="00BE092D">
        <w:rPr>
          <w:rFonts w:cs="Times New Roman"/>
          <w:sz w:val="28"/>
          <w:szCs w:val="28"/>
        </w:rPr>
        <w:t xml:space="preserve">nesasniedzot </w:t>
      </w:r>
      <w:r w:rsidRPr="00A07391">
        <w:rPr>
          <w:rFonts w:cs="Times New Roman"/>
          <w:sz w:val="28"/>
          <w:szCs w:val="28"/>
        </w:rPr>
        <w:t>aktivitātes pamatmērķi</w:t>
      </w:r>
      <w:r w:rsidR="00BE092D">
        <w:rPr>
          <w:rFonts w:cs="Times New Roman"/>
          <w:sz w:val="28"/>
          <w:szCs w:val="28"/>
        </w:rPr>
        <w:t>.</w:t>
      </w:r>
    </w:p>
    <w:p w14:paraId="5A6FCC9E" w14:textId="77777777" w:rsidR="00A07391" w:rsidRDefault="00A07391" w:rsidP="009135F9">
      <w:pPr>
        <w:pStyle w:val="ListParagraph"/>
        <w:spacing w:before="120" w:after="120" w:line="276" w:lineRule="auto"/>
        <w:ind w:left="0" w:firstLine="709"/>
        <w:jc w:val="both"/>
        <w:rPr>
          <w:rFonts w:cs="Times New Roman"/>
          <w:sz w:val="28"/>
          <w:szCs w:val="28"/>
        </w:rPr>
      </w:pPr>
    </w:p>
    <w:p w14:paraId="2523D1AD" w14:textId="77777777" w:rsidR="00A07391" w:rsidRDefault="00A07391" w:rsidP="009135F9">
      <w:pPr>
        <w:pStyle w:val="ListParagraph"/>
        <w:spacing w:before="120" w:after="120" w:line="276" w:lineRule="auto"/>
        <w:ind w:left="0" w:firstLine="709"/>
        <w:jc w:val="both"/>
        <w:rPr>
          <w:rFonts w:cs="Times New Roman"/>
          <w:sz w:val="28"/>
          <w:szCs w:val="28"/>
        </w:rPr>
      </w:pPr>
    </w:p>
    <w:p w14:paraId="245659A4" w14:textId="0E09B2FA" w:rsidR="009135F9" w:rsidRPr="00F81DF3" w:rsidRDefault="009135F9" w:rsidP="009135F9">
      <w:pPr>
        <w:pStyle w:val="ListParagraph"/>
        <w:spacing w:before="120" w:after="120" w:line="276" w:lineRule="auto"/>
        <w:ind w:left="0" w:firstLine="709"/>
        <w:jc w:val="both"/>
        <w:rPr>
          <w:sz w:val="28"/>
          <w:szCs w:val="28"/>
        </w:rPr>
      </w:pPr>
      <w:r>
        <w:rPr>
          <w:rFonts w:cs="Times New Roman"/>
          <w:sz w:val="28"/>
          <w:szCs w:val="28"/>
        </w:rPr>
        <w:t>Ievērojot minētos apsvērumus un</w:t>
      </w:r>
      <w:r w:rsidRPr="00225434">
        <w:rPr>
          <w:rFonts w:cs="Times New Roman"/>
          <w:color w:val="0D0D0D" w:themeColor="text1" w:themeTint="F2"/>
          <w:sz w:val="28"/>
          <w:szCs w:val="28"/>
        </w:rPr>
        <w:t xml:space="preserve"> apstākļ</w:t>
      </w:r>
      <w:r>
        <w:rPr>
          <w:rFonts w:cs="Times New Roman"/>
          <w:color w:val="0D0D0D" w:themeColor="text1" w:themeTint="F2"/>
          <w:sz w:val="28"/>
          <w:szCs w:val="28"/>
        </w:rPr>
        <w:t>u</w:t>
      </w:r>
      <w:r w:rsidRPr="00225434">
        <w:rPr>
          <w:rFonts w:cs="Times New Roman"/>
          <w:color w:val="0D0D0D" w:themeColor="text1" w:themeTint="F2"/>
          <w:sz w:val="28"/>
          <w:szCs w:val="28"/>
        </w:rPr>
        <w:t>s</w:t>
      </w:r>
      <w:r>
        <w:rPr>
          <w:rFonts w:cs="Times New Roman"/>
          <w:color w:val="0D0D0D" w:themeColor="text1" w:themeTint="F2"/>
          <w:sz w:val="28"/>
          <w:szCs w:val="28"/>
        </w:rPr>
        <w:t>,</w:t>
      </w:r>
      <w:r w:rsidRPr="00225434">
        <w:rPr>
          <w:rFonts w:cs="Times New Roman"/>
          <w:sz w:val="28"/>
          <w:szCs w:val="28"/>
        </w:rPr>
        <w:t xml:space="preserve"> EM</w:t>
      </w:r>
      <w:r>
        <w:rPr>
          <w:rFonts w:cs="Times New Roman"/>
          <w:sz w:val="28"/>
          <w:szCs w:val="28"/>
        </w:rPr>
        <w:t xml:space="preserve"> uzskata</w:t>
      </w:r>
      <w:r w:rsidRPr="00225434">
        <w:rPr>
          <w:rFonts w:cs="Times New Roman"/>
          <w:sz w:val="28"/>
          <w:szCs w:val="28"/>
        </w:rPr>
        <w:t>, ka vēršanās pie d</w:t>
      </w:r>
      <w:r w:rsidRPr="00225434">
        <w:rPr>
          <w:rFonts w:cs="Times New Roman"/>
          <w:sz w:val="28"/>
        </w:rPr>
        <w:t>audzdzīvokļu dzīvojamās mājas Teātra</w:t>
      </w:r>
      <w:r w:rsidRPr="00225434">
        <w:rPr>
          <w:rFonts w:eastAsia="Times New Roman" w:cs="Times New Roman"/>
          <w:sz w:val="28"/>
          <w:szCs w:val="28"/>
        </w:rPr>
        <w:t xml:space="preserve"> </w:t>
      </w:r>
      <w:r w:rsidRPr="00225434">
        <w:rPr>
          <w:rFonts w:cs="Times New Roman"/>
          <w:sz w:val="28"/>
        </w:rPr>
        <w:t>ielā</w:t>
      </w:r>
      <w:r w:rsidRPr="00225434">
        <w:rPr>
          <w:rFonts w:eastAsia="Times New Roman" w:cs="Times New Roman"/>
          <w:sz w:val="28"/>
          <w:szCs w:val="28"/>
        </w:rPr>
        <w:t xml:space="preserve"> </w:t>
      </w:r>
      <w:r w:rsidRPr="00225434">
        <w:rPr>
          <w:rFonts w:cs="Times New Roman"/>
          <w:sz w:val="28"/>
        </w:rPr>
        <w:t xml:space="preserve">4, Balvi dzīvokļu īpašniekiem </w:t>
      </w:r>
      <w:r>
        <w:rPr>
          <w:rFonts w:cs="Times New Roman"/>
          <w:sz w:val="28"/>
        </w:rPr>
        <w:t xml:space="preserve">nebūtu samērīga un nesasniegtu tiesību mērķi – taisnīgumu. </w:t>
      </w:r>
      <w:r>
        <w:rPr>
          <w:rFonts w:cs="Times New Roman"/>
          <w:sz w:val="28"/>
          <w:szCs w:val="28"/>
        </w:rPr>
        <w:t xml:space="preserve">Līdz ar to tiek piedāvāts  priekšlikums MK sēdē izskatīt jautājumu par </w:t>
      </w:r>
      <w:r>
        <w:rPr>
          <w:rFonts w:eastAsia="Times New Roman"/>
          <w:sz w:val="28"/>
          <w:szCs w:val="28"/>
        </w:rPr>
        <w:t>atļauju</w:t>
      </w:r>
      <w:r w:rsidRPr="00F81DF3">
        <w:rPr>
          <w:rFonts w:eastAsia="Times New Roman"/>
          <w:sz w:val="28"/>
          <w:szCs w:val="28"/>
        </w:rPr>
        <w:t xml:space="preserve"> </w:t>
      </w:r>
      <w:r>
        <w:rPr>
          <w:rFonts w:eastAsia="Times New Roman"/>
          <w:sz w:val="28"/>
          <w:szCs w:val="28"/>
        </w:rPr>
        <w:t>LIAA</w:t>
      </w:r>
      <w:r w:rsidRPr="00F81DF3">
        <w:rPr>
          <w:rFonts w:eastAsia="Times New Roman"/>
          <w:sz w:val="28"/>
          <w:szCs w:val="28"/>
        </w:rPr>
        <w:t xml:space="preserve"> neturpināt </w:t>
      </w:r>
      <w:r>
        <w:rPr>
          <w:color w:val="000000" w:themeColor="text1"/>
          <w:sz w:val="28"/>
          <w:szCs w:val="28"/>
        </w:rPr>
        <w:t>26 892,28 </w:t>
      </w:r>
      <w:proofErr w:type="spellStart"/>
      <w:r w:rsidRPr="00F81DF3">
        <w:rPr>
          <w:i/>
          <w:color w:val="000000" w:themeColor="text1"/>
          <w:sz w:val="28"/>
          <w:szCs w:val="28"/>
        </w:rPr>
        <w:t>euro</w:t>
      </w:r>
      <w:proofErr w:type="spellEnd"/>
      <w:r w:rsidRPr="00F81DF3">
        <w:rPr>
          <w:rFonts w:eastAsia="Times New Roman"/>
          <w:sz w:val="28"/>
          <w:szCs w:val="28"/>
        </w:rPr>
        <w:t xml:space="preserve"> piedziņu no daudzdzīvokļu mājas dzīvokļu īpašniekiem</w:t>
      </w:r>
      <w:r w:rsidR="00A07391">
        <w:rPr>
          <w:sz w:val="28"/>
          <w:szCs w:val="28"/>
        </w:rPr>
        <w:t xml:space="preserve"> un</w:t>
      </w:r>
      <w:r w:rsidR="00A07391" w:rsidRPr="00A07391">
        <w:rPr>
          <w:sz w:val="28"/>
          <w:szCs w:val="28"/>
        </w:rPr>
        <w:t xml:space="preserve"> pieņemt lēmumu par neatbilstoši veikto izdevumu norakstīšanu valsts budžeta zaudējumos.</w:t>
      </w:r>
    </w:p>
    <w:p w14:paraId="4EE926E5" w14:textId="0AE325A5" w:rsidR="00BA23DB" w:rsidRPr="00F96DCE" w:rsidRDefault="00BA23DB" w:rsidP="00F96DCE">
      <w:pPr>
        <w:pStyle w:val="ListParagraph"/>
        <w:spacing w:before="120" w:after="120" w:line="276" w:lineRule="auto"/>
        <w:ind w:left="0" w:firstLine="709"/>
        <w:jc w:val="both"/>
        <w:rPr>
          <w:rFonts w:cs="Times New Roman"/>
          <w:sz w:val="28"/>
          <w:szCs w:val="28"/>
        </w:rPr>
      </w:pPr>
      <w:r w:rsidRPr="00DB28C3">
        <w:rPr>
          <w:rFonts w:cs="Times New Roman"/>
          <w:sz w:val="28"/>
          <w:szCs w:val="28"/>
        </w:rPr>
        <w:t>EM ieskat</w:t>
      </w:r>
      <w:r w:rsidR="009135F9">
        <w:rPr>
          <w:rFonts w:cs="Times New Roman"/>
          <w:sz w:val="28"/>
          <w:szCs w:val="28"/>
        </w:rPr>
        <w:t>ā</w:t>
      </w:r>
      <w:r w:rsidR="00BE092D">
        <w:rPr>
          <w:rFonts w:cs="Times New Roman"/>
          <w:sz w:val="28"/>
          <w:szCs w:val="28"/>
        </w:rPr>
        <w:t xml:space="preserve"> šajā konkrētajā gadījumā</w:t>
      </w:r>
      <w:r w:rsidRPr="00DB28C3">
        <w:rPr>
          <w:rFonts w:cs="Times New Roman"/>
          <w:sz w:val="28"/>
          <w:szCs w:val="28"/>
        </w:rPr>
        <w:t xml:space="preserve"> būtu atbalstāms izņēmums neatbilstoši veikto izdevumu segšanai no valsts budžeta līdzekļiem, atzīstot to par efektīvāko publisko līdzekļu labākās izmantošanas un neizšķērdēšanas risinājumu.</w:t>
      </w:r>
      <w:r>
        <w:rPr>
          <w:rFonts w:cs="Times New Roman"/>
          <w:sz w:val="28"/>
          <w:szCs w:val="28"/>
        </w:rPr>
        <w:t xml:space="preserve"> </w:t>
      </w:r>
    </w:p>
    <w:p w14:paraId="6BDD7782" w14:textId="6E3DA83F" w:rsidR="00A03CFD" w:rsidRDefault="00A03CFD" w:rsidP="00F8429E">
      <w:pPr>
        <w:spacing w:after="0"/>
        <w:ind w:firstLine="720"/>
        <w:jc w:val="both"/>
        <w:rPr>
          <w:rFonts w:ascii="Times New Roman" w:hAnsi="Times New Roman" w:cs="Times New Roman"/>
          <w:color w:val="0D0D0D" w:themeColor="text1" w:themeTint="F2"/>
          <w:sz w:val="28"/>
          <w:szCs w:val="28"/>
        </w:rPr>
      </w:pPr>
    </w:p>
    <w:p w14:paraId="4E6C6502" w14:textId="2F6BDBC3" w:rsidR="009135F9" w:rsidRDefault="009135F9" w:rsidP="00F8429E">
      <w:pPr>
        <w:spacing w:after="0"/>
        <w:ind w:firstLine="720"/>
        <w:jc w:val="both"/>
        <w:rPr>
          <w:rFonts w:ascii="Times New Roman" w:hAnsi="Times New Roman" w:cs="Times New Roman"/>
          <w:color w:val="0D0D0D" w:themeColor="text1" w:themeTint="F2"/>
          <w:sz w:val="28"/>
          <w:szCs w:val="28"/>
        </w:rPr>
      </w:pPr>
    </w:p>
    <w:p w14:paraId="57DAA01B" w14:textId="793D0498" w:rsidR="009135F9" w:rsidRDefault="009135F9" w:rsidP="00F8429E">
      <w:pPr>
        <w:spacing w:after="0"/>
        <w:ind w:firstLine="720"/>
        <w:jc w:val="both"/>
        <w:rPr>
          <w:rFonts w:ascii="Times New Roman" w:hAnsi="Times New Roman" w:cs="Times New Roman"/>
          <w:color w:val="0D0D0D" w:themeColor="text1" w:themeTint="F2"/>
          <w:sz w:val="28"/>
          <w:szCs w:val="28"/>
        </w:rPr>
      </w:pPr>
    </w:p>
    <w:p w14:paraId="457A0253" w14:textId="77777777" w:rsidR="009135F9" w:rsidRPr="009135F9" w:rsidRDefault="009135F9" w:rsidP="009135F9">
      <w:pPr>
        <w:spacing w:after="0"/>
        <w:ind w:firstLine="720"/>
        <w:jc w:val="both"/>
        <w:rPr>
          <w:rFonts w:ascii="Times New Roman" w:hAnsi="Times New Roman" w:cs="Times New Roman"/>
          <w:color w:val="0D0D0D" w:themeColor="text1" w:themeTint="F2"/>
          <w:sz w:val="28"/>
          <w:szCs w:val="28"/>
        </w:rPr>
      </w:pPr>
    </w:p>
    <w:p w14:paraId="74B813CC" w14:textId="54B1AC74" w:rsidR="009135F9" w:rsidRPr="009135F9" w:rsidRDefault="009135F9" w:rsidP="009135F9">
      <w:pPr>
        <w:spacing w:after="0"/>
        <w:jc w:val="both"/>
        <w:rPr>
          <w:rFonts w:ascii="Times New Roman" w:hAnsi="Times New Roman" w:cs="Times New Roman"/>
          <w:color w:val="0D0D0D" w:themeColor="text1" w:themeTint="F2"/>
          <w:sz w:val="28"/>
          <w:szCs w:val="28"/>
        </w:rPr>
      </w:pPr>
      <w:r w:rsidRPr="009135F9">
        <w:rPr>
          <w:rFonts w:ascii="Times New Roman" w:hAnsi="Times New Roman" w:cs="Times New Roman"/>
          <w:color w:val="0D0D0D" w:themeColor="text1" w:themeTint="F2"/>
          <w:sz w:val="28"/>
          <w:szCs w:val="28"/>
        </w:rPr>
        <w:t>Ekonomikas ministrs</w:t>
      </w:r>
      <w:r w:rsidRPr="009135F9">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J.Vitenbergs</w:t>
      </w:r>
      <w:proofErr w:type="spellEnd"/>
      <w:r w:rsidRPr="009135F9">
        <w:rPr>
          <w:rFonts w:ascii="Times New Roman" w:hAnsi="Times New Roman" w:cs="Times New Roman"/>
          <w:color w:val="0D0D0D" w:themeColor="text1" w:themeTint="F2"/>
          <w:sz w:val="28"/>
          <w:szCs w:val="28"/>
        </w:rPr>
        <w:tab/>
        <w:t xml:space="preserve">                                                   </w:t>
      </w:r>
    </w:p>
    <w:p w14:paraId="54DC7DA8" w14:textId="77777777" w:rsidR="009135F9" w:rsidRPr="009135F9" w:rsidRDefault="009135F9" w:rsidP="009135F9">
      <w:pPr>
        <w:spacing w:after="0"/>
        <w:ind w:firstLine="720"/>
        <w:jc w:val="both"/>
        <w:rPr>
          <w:rFonts w:ascii="Times New Roman" w:hAnsi="Times New Roman" w:cs="Times New Roman"/>
          <w:color w:val="0D0D0D" w:themeColor="text1" w:themeTint="F2"/>
          <w:sz w:val="28"/>
          <w:szCs w:val="28"/>
        </w:rPr>
      </w:pPr>
    </w:p>
    <w:p w14:paraId="29CD7C4F" w14:textId="77777777" w:rsidR="009135F9" w:rsidRPr="009135F9" w:rsidRDefault="009135F9" w:rsidP="009135F9">
      <w:pPr>
        <w:spacing w:after="0"/>
        <w:jc w:val="both"/>
        <w:rPr>
          <w:rFonts w:ascii="Times New Roman" w:hAnsi="Times New Roman" w:cs="Times New Roman"/>
          <w:color w:val="0D0D0D" w:themeColor="text1" w:themeTint="F2"/>
          <w:sz w:val="28"/>
          <w:szCs w:val="28"/>
        </w:rPr>
      </w:pPr>
      <w:r w:rsidRPr="009135F9">
        <w:rPr>
          <w:rFonts w:ascii="Times New Roman" w:hAnsi="Times New Roman" w:cs="Times New Roman"/>
          <w:color w:val="0D0D0D" w:themeColor="text1" w:themeTint="F2"/>
          <w:sz w:val="28"/>
          <w:szCs w:val="28"/>
        </w:rPr>
        <w:t xml:space="preserve">Vīza: </w:t>
      </w:r>
      <w:r w:rsidRPr="009135F9">
        <w:rPr>
          <w:rFonts w:ascii="Times New Roman" w:hAnsi="Times New Roman" w:cs="Times New Roman"/>
          <w:color w:val="0D0D0D" w:themeColor="text1" w:themeTint="F2"/>
          <w:sz w:val="28"/>
          <w:szCs w:val="28"/>
        </w:rPr>
        <w:tab/>
      </w:r>
      <w:r w:rsidRPr="009135F9">
        <w:rPr>
          <w:rFonts w:ascii="Times New Roman" w:hAnsi="Times New Roman" w:cs="Times New Roman"/>
          <w:color w:val="0D0D0D" w:themeColor="text1" w:themeTint="F2"/>
          <w:sz w:val="28"/>
          <w:szCs w:val="28"/>
        </w:rPr>
        <w:tab/>
      </w:r>
    </w:p>
    <w:p w14:paraId="0889F6E2" w14:textId="441CD99B" w:rsidR="009135F9" w:rsidRDefault="009135F9" w:rsidP="009135F9">
      <w:pPr>
        <w:spacing w:after="0"/>
        <w:jc w:val="both"/>
        <w:rPr>
          <w:rFonts w:ascii="Times New Roman" w:hAnsi="Times New Roman" w:cs="Times New Roman"/>
          <w:color w:val="0D0D0D" w:themeColor="text1" w:themeTint="F2"/>
          <w:sz w:val="28"/>
          <w:szCs w:val="28"/>
        </w:rPr>
      </w:pPr>
      <w:r w:rsidRPr="009135F9">
        <w:rPr>
          <w:rFonts w:ascii="Times New Roman" w:hAnsi="Times New Roman" w:cs="Times New Roman"/>
          <w:color w:val="0D0D0D" w:themeColor="text1" w:themeTint="F2"/>
          <w:sz w:val="28"/>
          <w:szCs w:val="28"/>
        </w:rPr>
        <w:t>Ekonomikas ministrijas valsts sekretār</w:t>
      </w:r>
      <w:r>
        <w:rPr>
          <w:rFonts w:ascii="Times New Roman" w:hAnsi="Times New Roman" w:cs="Times New Roman"/>
          <w:color w:val="0D0D0D" w:themeColor="text1" w:themeTint="F2"/>
          <w:sz w:val="28"/>
          <w:szCs w:val="28"/>
        </w:rPr>
        <w:t>s</w:t>
      </w:r>
      <w:r w:rsidRPr="009135F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r w:rsidRPr="009135F9">
        <w:rPr>
          <w:rFonts w:ascii="Times New Roman" w:hAnsi="Times New Roman" w:cs="Times New Roman"/>
          <w:color w:val="0D0D0D" w:themeColor="text1" w:themeTint="F2"/>
          <w:sz w:val="28"/>
          <w:szCs w:val="28"/>
        </w:rPr>
        <w:t xml:space="preserve">       </w:t>
      </w:r>
      <w:proofErr w:type="spellStart"/>
      <w:r w:rsidRPr="009135F9">
        <w:rPr>
          <w:rFonts w:ascii="Times New Roman" w:hAnsi="Times New Roman" w:cs="Times New Roman"/>
          <w:color w:val="0D0D0D" w:themeColor="text1" w:themeTint="F2"/>
          <w:sz w:val="28"/>
          <w:szCs w:val="28"/>
        </w:rPr>
        <w:t>E.Valantis</w:t>
      </w:r>
      <w:proofErr w:type="spellEnd"/>
      <w:r w:rsidRPr="009135F9">
        <w:rPr>
          <w:rFonts w:ascii="Times New Roman" w:hAnsi="Times New Roman" w:cs="Times New Roman"/>
          <w:color w:val="0D0D0D" w:themeColor="text1" w:themeTint="F2"/>
          <w:sz w:val="28"/>
          <w:szCs w:val="28"/>
        </w:rPr>
        <w:tab/>
      </w:r>
      <w:r w:rsidRPr="009135F9">
        <w:rPr>
          <w:rFonts w:ascii="Times New Roman" w:hAnsi="Times New Roman" w:cs="Times New Roman"/>
          <w:color w:val="0D0D0D" w:themeColor="text1" w:themeTint="F2"/>
          <w:sz w:val="28"/>
          <w:szCs w:val="28"/>
        </w:rPr>
        <w:tab/>
      </w:r>
      <w:r w:rsidRPr="009135F9">
        <w:rPr>
          <w:rFonts w:ascii="Times New Roman" w:hAnsi="Times New Roman" w:cs="Times New Roman"/>
          <w:color w:val="0D0D0D" w:themeColor="text1" w:themeTint="F2"/>
          <w:sz w:val="28"/>
          <w:szCs w:val="28"/>
        </w:rPr>
        <w:tab/>
      </w:r>
      <w:r w:rsidRPr="009135F9">
        <w:rPr>
          <w:rFonts w:ascii="Times New Roman" w:hAnsi="Times New Roman" w:cs="Times New Roman"/>
          <w:color w:val="0D0D0D" w:themeColor="text1" w:themeTint="F2"/>
          <w:sz w:val="28"/>
          <w:szCs w:val="28"/>
        </w:rPr>
        <w:tab/>
      </w:r>
    </w:p>
    <w:p w14:paraId="7F277F8D"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48EF472B"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34EB0341"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1393F6B1"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722E8D81"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771DF5DB"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389FC48D" w14:textId="77777777" w:rsidR="009135F9" w:rsidRDefault="009135F9" w:rsidP="009135F9">
      <w:pPr>
        <w:spacing w:after="0"/>
        <w:ind w:firstLine="720"/>
        <w:jc w:val="both"/>
        <w:rPr>
          <w:rFonts w:ascii="Times New Roman" w:hAnsi="Times New Roman" w:cs="Times New Roman"/>
          <w:color w:val="0D0D0D" w:themeColor="text1" w:themeTint="F2"/>
          <w:sz w:val="28"/>
          <w:szCs w:val="28"/>
        </w:rPr>
      </w:pPr>
    </w:p>
    <w:p w14:paraId="27C2AFD1" w14:textId="536DDC0D" w:rsidR="009135F9" w:rsidRPr="009135F9" w:rsidRDefault="009135F9" w:rsidP="009135F9">
      <w:pPr>
        <w:spacing w:after="0"/>
        <w:jc w:val="both"/>
        <w:rPr>
          <w:rFonts w:ascii="Times New Roman" w:hAnsi="Times New Roman" w:cs="Times New Roman"/>
          <w:color w:val="0D0D0D" w:themeColor="text1" w:themeTint="F2"/>
          <w:sz w:val="28"/>
          <w:szCs w:val="28"/>
        </w:rPr>
      </w:pPr>
      <w:r w:rsidRPr="009135F9">
        <w:rPr>
          <w:rFonts w:ascii="Times New Roman" w:hAnsi="Times New Roman" w:cs="Times New Roman"/>
          <w:color w:val="0D0D0D" w:themeColor="text1" w:themeTint="F2"/>
          <w:sz w:val="28"/>
          <w:szCs w:val="28"/>
        </w:rPr>
        <w:tab/>
      </w:r>
      <w:r w:rsidRPr="009135F9">
        <w:rPr>
          <w:rFonts w:ascii="Times New Roman" w:hAnsi="Times New Roman" w:cs="Times New Roman"/>
          <w:color w:val="0D0D0D" w:themeColor="text1" w:themeTint="F2"/>
          <w:sz w:val="28"/>
          <w:szCs w:val="28"/>
        </w:rPr>
        <w:tab/>
      </w:r>
      <w:r w:rsidRPr="009135F9">
        <w:rPr>
          <w:rFonts w:ascii="Times New Roman" w:hAnsi="Times New Roman" w:cs="Times New Roman"/>
          <w:color w:val="0D0D0D" w:themeColor="text1" w:themeTint="F2"/>
          <w:sz w:val="28"/>
          <w:szCs w:val="28"/>
        </w:rPr>
        <w:tab/>
      </w:r>
    </w:p>
    <w:p w14:paraId="72DFA49D" w14:textId="77777777" w:rsidR="009135F9" w:rsidRPr="009135F9" w:rsidRDefault="009135F9" w:rsidP="009135F9">
      <w:pPr>
        <w:spacing w:after="0"/>
        <w:ind w:firstLine="720"/>
        <w:jc w:val="both"/>
        <w:rPr>
          <w:rFonts w:ascii="Times New Roman" w:hAnsi="Times New Roman" w:cs="Times New Roman"/>
          <w:color w:val="0D0D0D" w:themeColor="text1" w:themeTint="F2"/>
          <w:sz w:val="28"/>
          <w:szCs w:val="28"/>
        </w:rPr>
      </w:pPr>
    </w:p>
    <w:p w14:paraId="708E93D0" w14:textId="77777777" w:rsidR="009135F9" w:rsidRDefault="009135F9" w:rsidP="009135F9">
      <w:pPr>
        <w:spacing w:after="0"/>
        <w:ind w:firstLine="720"/>
        <w:jc w:val="both"/>
        <w:rPr>
          <w:rFonts w:ascii="Times New Roman" w:hAnsi="Times New Roman" w:cs="Times New Roman"/>
          <w:color w:val="0D0D0D" w:themeColor="text1" w:themeTint="F2"/>
          <w:sz w:val="20"/>
          <w:szCs w:val="20"/>
        </w:rPr>
      </w:pPr>
    </w:p>
    <w:p w14:paraId="53CECBE3" w14:textId="77777777" w:rsidR="009135F9" w:rsidRDefault="009135F9" w:rsidP="009135F9">
      <w:pPr>
        <w:spacing w:after="0"/>
        <w:ind w:firstLine="720"/>
        <w:jc w:val="both"/>
        <w:rPr>
          <w:rFonts w:ascii="Times New Roman" w:hAnsi="Times New Roman" w:cs="Times New Roman"/>
          <w:color w:val="0D0D0D" w:themeColor="text1" w:themeTint="F2"/>
          <w:sz w:val="20"/>
          <w:szCs w:val="20"/>
        </w:rPr>
      </w:pPr>
    </w:p>
    <w:p w14:paraId="0C8EB1C8" w14:textId="1AC0019E" w:rsidR="009135F9" w:rsidRDefault="009135F9" w:rsidP="009A1E14">
      <w:pPr>
        <w:spacing w:after="0"/>
        <w:jc w:val="both"/>
        <w:rPr>
          <w:rFonts w:ascii="Times New Roman" w:hAnsi="Times New Roman" w:cs="Times New Roman"/>
          <w:color w:val="0D0D0D" w:themeColor="text1" w:themeTint="F2"/>
          <w:sz w:val="20"/>
          <w:szCs w:val="20"/>
        </w:rPr>
      </w:pPr>
    </w:p>
    <w:p w14:paraId="530AD5ED" w14:textId="61BDC288" w:rsidR="009A1E14" w:rsidRDefault="009A1E14" w:rsidP="009A1E14">
      <w:pPr>
        <w:spacing w:after="0"/>
        <w:jc w:val="both"/>
        <w:rPr>
          <w:rFonts w:ascii="Times New Roman" w:hAnsi="Times New Roman" w:cs="Times New Roman"/>
          <w:color w:val="0D0D0D" w:themeColor="text1" w:themeTint="F2"/>
          <w:sz w:val="20"/>
          <w:szCs w:val="20"/>
        </w:rPr>
      </w:pPr>
    </w:p>
    <w:p w14:paraId="134079FC" w14:textId="77777777" w:rsidR="009135F9" w:rsidRDefault="009135F9" w:rsidP="008D4316">
      <w:pPr>
        <w:spacing w:after="0"/>
        <w:jc w:val="both"/>
        <w:rPr>
          <w:rFonts w:ascii="Times New Roman" w:hAnsi="Times New Roman" w:cs="Times New Roman"/>
          <w:color w:val="0D0D0D" w:themeColor="text1" w:themeTint="F2"/>
          <w:sz w:val="20"/>
          <w:szCs w:val="20"/>
        </w:rPr>
      </w:pPr>
    </w:p>
    <w:p w14:paraId="629726D9" w14:textId="77777777" w:rsidR="009135F9" w:rsidRDefault="009135F9" w:rsidP="009135F9">
      <w:pPr>
        <w:spacing w:after="0"/>
        <w:ind w:firstLine="720"/>
        <w:jc w:val="both"/>
        <w:rPr>
          <w:rFonts w:ascii="Times New Roman" w:hAnsi="Times New Roman" w:cs="Times New Roman"/>
          <w:color w:val="0D0D0D" w:themeColor="text1" w:themeTint="F2"/>
          <w:sz w:val="20"/>
          <w:szCs w:val="20"/>
        </w:rPr>
      </w:pPr>
    </w:p>
    <w:p w14:paraId="34E644CA" w14:textId="55060268" w:rsidR="009135F9" w:rsidRPr="009135F9" w:rsidRDefault="009135F9" w:rsidP="00BE092D">
      <w:pPr>
        <w:spacing w:after="0"/>
        <w:jc w:val="both"/>
        <w:rPr>
          <w:rFonts w:ascii="Times New Roman" w:hAnsi="Times New Roman" w:cs="Times New Roman"/>
          <w:color w:val="0D0D0D" w:themeColor="text1" w:themeTint="F2"/>
          <w:sz w:val="20"/>
          <w:szCs w:val="20"/>
        </w:rPr>
      </w:pPr>
      <w:r w:rsidRPr="009135F9">
        <w:rPr>
          <w:rFonts w:ascii="Times New Roman" w:hAnsi="Times New Roman" w:cs="Times New Roman"/>
          <w:color w:val="0D0D0D" w:themeColor="text1" w:themeTint="F2"/>
          <w:sz w:val="20"/>
          <w:szCs w:val="20"/>
        </w:rPr>
        <w:t>Grīnberga 67013231</w:t>
      </w:r>
    </w:p>
    <w:p w14:paraId="226DA501" w14:textId="635FEE0E" w:rsidR="009135F9" w:rsidRDefault="009135F9" w:rsidP="00F8429E">
      <w:pPr>
        <w:spacing w:after="0"/>
        <w:ind w:firstLine="720"/>
        <w:jc w:val="both"/>
        <w:rPr>
          <w:rFonts w:ascii="Times New Roman" w:hAnsi="Times New Roman" w:cs="Times New Roman"/>
          <w:color w:val="0D0D0D" w:themeColor="text1" w:themeTint="F2"/>
          <w:sz w:val="28"/>
          <w:szCs w:val="28"/>
        </w:rPr>
      </w:pPr>
    </w:p>
    <w:p w14:paraId="6BEAFF59" w14:textId="3152DEF0" w:rsidR="009135F9" w:rsidRDefault="009135F9" w:rsidP="008D4316">
      <w:pPr>
        <w:spacing w:after="0"/>
        <w:jc w:val="both"/>
        <w:rPr>
          <w:rFonts w:ascii="Times New Roman" w:hAnsi="Times New Roman" w:cs="Times New Roman"/>
          <w:color w:val="0D0D0D" w:themeColor="text1" w:themeTint="F2"/>
          <w:sz w:val="28"/>
          <w:szCs w:val="28"/>
        </w:rPr>
      </w:pPr>
    </w:p>
    <w:p w14:paraId="533F5C5A" w14:textId="77777777" w:rsidR="009135F9" w:rsidRPr="00225434" w:rsidRDefault="009135F9" w:rsidP="00F8429E">
      <w:pPr>
        <w:spacing w:after="0"/>
        <w:ind w:firstLine="720"/>
        <w:jc w:val="both"/>
        <w:rPr>
          <w:rFonts w:ascii="Times New Roman" w:hAnsi="Times New Roman" w:cs="Times New Roman"/>
          <w:color w:val="0D0D0D" w:themeColor="text1" w:themeTint="F2"/>
          <w:sz w:val="28"/>
          <w:szCs w:val="28"/>
        </w:rPr>
      </w:pPr>
    </w:p>
    <w:sectPr w:rsidR="009135F9" w:rsidRPr="00225434" w:rsidSect="00991F3A">
      <w:headerReference w:type="default" r:id="rId8"/>
      <w:footerReference w:type="default" r:id="rId9"/>
      <w:footerReference w:type="first" r:id="rId10"/>
      <w:pgSz w:w="11906" w:h="16838"/>
      <w:pgMar w:top="993"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6C84" w14:textId="77777777" w:rsidR="00CD665D" w:rsidRDefault="00CD665D" w:rsidP="00662F8E">
      <w:pPr>
        <w:spacing w:after="0" w:line="240" w:lineRule="auto"/>
      </w:pPr>
      <w:r>
        <w:separator/>
      </w:r>
    </w:p>
  </w:endnote>
  <w:endnote w:type="continuationSeparator" w:id="0">
    <w:p w14:paraId="18550C1C" w14:textId="77777777" w:rsidR="00CD665D" w:rsidRDefault="00CD665D" w:rsidP="0066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F8EB" w14:textId="141346FB" w:rsidR="00991F3A" w:rsidRPr="00991F3A" w:rsidRDefault="00991F3A">
    <w:pPr>
      <w:pStyle w:val="Footer"/>
      <w:rPr>
        <w:rFonts w:ascii="Times New Roman" w:hAnsi="Times New Roman" w:cs="Times New Roman"/>
      </w:rPr>
    </w:pPr>
    <w:r w:rsidRPr="00991F3A">
      <w:rPr>
        <w:rFonts w:ascii="Times New Roman" w:hAnsi="Times New Roman" w:cs="Times New Roman"/>
      </w:rPr>
      <w:t>EM</w:t>
    </w:r>
    <w:r w:rsidR="007570FB">
      <w:rPr>
        <w:rFonts w:ascii="Times New Roman" w:hAnsi="Times New Roman" w:cs="Times New Roman"/>
      </w:rPr>
      <w:t>Zin</w:t>
    </w:r>
    <w:r w:rsidRPr="00991F3A">
      <w:rPr>
        <w:rFonts w:ascii="Times New Roman" w:hAnsi="Times New Roman" w:cs="Times New Roman"/>
      </w:rPr>
      <w:t>_10062020</w:t>
    </w:r>
    <w:r>
      <w:rPr>
        <w:rFonts w:ascii="Times New Roman" w:hAnsi="Times New Roman" w:cs="Times New Roman"/>
      </w:rPr>
      <w:t xml:space="preserve">_NVI; </w:t>
    </w:r>
    <w:r w:rsidRPr="00991F3A">
      <w:rPr>
        <w:rFonts w:ascii="Times New Roman" w:hAnsi="Times New Roman" w:cs="Times New Roman"/>
      </w:rPr>
      <w:t xml:space="preserve">Informatīvais ziņojums „Par neatbilstoši veikto izdevumu norakstīšanu darbības programmas „Infrastruktūra un pakalpojumi” 3.4.4.1.aktivitāti „Daudzdzīvokļu māju </w:t>
    </w:r>
    <w:proofErr w:type="spellStart"/>
    <w:r w:rsidRPr="00991F3A">
      <w:rPr>
        <w:rFonts w:ascii="Times New Roman" w:hAnsi="Times New Roman" w:cs="Times New Roman"/>
      </w:rPr>
      <w:t>siltumnoturības</w:t>
    </w:r>
    <w:proofErr w:type="spellEnd"/>
    <w:r w:rsidRPr="00991F3A">
      <w:rPr>
        <w:rFonts w:ascii="Times New Roman" w:hAnsi="Times New Roman" w:cs="Times New Roman"/>
      </w:rPr>
      <w:t xml:space="preserve"> uzlabošanas pasākumi”””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C79" w14:textId="25443BBC" w:rsidR="009F4041" w:rsidRPr="009F4041" w:rsidRDefault="009F4041" w:rsidP="009F4041">
    <w:pPr>
      <w:pStyle w:val="Footer"/>
      <w:jc w:val="both"/>
      <w:rPr>
        <w:rFonts w:ascii="Times New Roman" w:hAnsi="Times New Roman" w:cs="Times New Roman"/>
      </w:rPr>
    </w:pPr>
    <w:r w:rsidRPr="009F4041">
      <w:rPr>
        <w:rFonts w:ascii="Times New Roman" w:hAnsi="Times New Roman" w:cs="Times New Roman"/>
      </w:rPr>
      <w:t>EM</w:t>
    </w:r>
    <w:r w:rsidR="007570FB">
      <w:rPr>
        <w:rFonts w:ascii="Times New Roman" w:hAnsi="Times New Roman" w:cs="Times New Roman"/>
      </w:rPr>
      <w:t>Zin</w:t>
    </w:r>
    <w:r w:rsidRPr="009F4041">
      <w:rPr>
        <w:rFonts w:ascii="Times New Roman" w:hAnsi="Times New Roman" w:cs="Times New Roman"/>
      </w:rPr>
      <w:t xml:space="preserve">_10062020_NVI; Informatīvais ziņojums „Par neatbilstoši veikto izdevumu norakstīšanu darbības programmas „Infrastruktūra un pakalpojumi” 3.4.4.1.aktivitāti „Daudzdzīvokļu māju </w:t>
    </w:r>
    <w:proofErr w:type="spellStart"/>
    <w:r w:rsidRPr="009F4041">
      <w:rPr>
        <w:rFonts w:ascii="Times New Roman" w:hAnsi="Times New Roman" w:cs="Times New Roman"/>
      </w:rPr>
      <w:t>siltumnoturības</w:t>
    </w:r>
    <w:proofErr w:type="spellEnd"/>
    <w:r w:rsidRPr="009F4041">
      <w:rPr>
        <w:rFonts w:ascii="Times New Roman" w:hAnsi="Times New Roman" w:cs="Times New Roman"/>
      </w:rPr>
      <w:t xml:space="preserve"> uzlabošanas pasākumi”””’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3FDD" w14:textId="77777777" w:rsidR="00CD665D" w:rsidRDefault="00CD665D" w:rsidP="00662F8E">
      <w:pPr>
        <w:spacing w:after="0" w:line="240" w:lineRule="auto"/>
      </w:pPr>
      <w:r>
        <w:separator/>
      </w:r>
    </w:p>
  </w:footnote>
  <w:footnote w:type="continuationSeparator" w:id="0">
    <w:p w14:paraId="5CE13AC8" w14:textId="77777777" w:rsidR="00CD665D" w:rsidRDefault="00CD665D" w:rsidP="00662F8E">
      <w:pPr>
        <w:spacing w:after="0" w:line="240" w:lineRule="auto"/>
      </w:pPr>
      <w:r>
        <w:continuationSeparator/>
      </w:r>
    </w:p>
  </w:footnote>
  <w:footnote w:id="1">
    <w:p w14:paraId="6E6023B8" w14:textId="77777777" w:rsidR="009F0417" w:rsidRDefault="009F0417" w:rsidP="00592B6A">
      <w:pPr>
        <w:pStyle w:val="FootnoteText"/>
        <w:jc w:val="both"/>
      </w:pPr>
      <w:r>
        <w:rPr>
          <w:rStyle w:val="FootnoteReference"/>
        </w:rPr>
        <w:footnoteRef/>
      </w:r>
      <w:r w:rsidR="00101A05">
        <w:t xml:space="preserve"> </w:t>
      </w:r>
      <w:r w:rsidRPr="00CA7B75">
        <w:rPr>
          <w:rFonts w:cs="Times New Roman"/>
        </w:rPr>
        <w:t>Ministru kabinet</w:t>
      </w:r>
      <w:r>
        <w:rPr>
          <w:rFonts w:cs="Times New Roman"/>
        </w:rPr>
        <w:t xml:space="preserve">a 2011. gada 5. aprīļa noteikumi </w:t>
      </w:r>
      <w:r w:rsidRPr="00CA7B75">
        <w:rPr>
          <w:rFonts w:cs="Times New Roman"/>
        </w:rPr>
        <w:t xml:space="preserve"> Nr. 272 „</w:t>
      </w:r>
      <w:r w:rsidRPr="00CA7B75">
        <w:rPr>
          <w:rFonts w:cs="Times New Roman"/>
          <w:bCs/>
        </w:rPr>
        <w:t xml:space="preserve">Noteikumi par darbības programmas „Infrastruktūra un pakalpojumi”  papildinājuma 3.4.4.1. aktivitātes „Daudzdzīvokļu māju </w:t>
      </w:r>
      <w:proofErr w:type="spellStart"/>
      <w:r w:rsidRPr="00CA7B75">
        <w:rPr>
          <w:rFonts w:cs="Times New Roman"/>
          <w:bCs/>
        </w:rPr>
        <w:t>siltumnoturības</w:t>
      </w:r>
      <w:proofErr w:type="spellEnd"/>
      <w:r w:rsidRPr="00CA7B75">
        <w:rPr>
          <w:rFonts w:cs="Times New Roman"/>
          <w:bCs/>
        </w:rPr>
        <w:t xml:space="preserve"> uzlabošanas pasākumi” projektu iesniegumu atlases devīto un desmito kārtu”</w:t>
      </w:r>
    </w:p>
  </w:footnote>
  <w:footnote w:id="2">
    <w:p w14:paraId="79473A88" w14:textId="77777777" w:rsidR="0091705B" w:rsidRPr="00CA7B75" w:rsidRDefault="0091705B" w:rsidP="0091705B">
      <w:pPr>
        <w:pStyle w:val="FootnoteText"/>
        <w:jc w:val="both"/>
        <w:rPr>
          <w:rFonts w:cs="Times New Roman"/>
        </w:rPr>
      </w:pPr>
      <w:r w:rsidRPr="00CA7B75">
        <w:rPr>
          <w:rStyle w:val="FootnoteReference"/>
          <w:rFonts w:cs="Times New Roman"/>
        </w:rPr>
        <w:footnoteRef/>
      </w:r>
      <w:r w:rsidRPr="00CA7B75">
        <w:rPr>
          <w:rFonts w:cs="Times New Roman"/>
        </w:rPr>
        <w:t xml:space="preserve"> </w:t>
      </w:r>
      <w:r w:rsidR="00110C7B">
        <w:rPr>
          <w:rFonts w:cs="Times New Roman"/>
        </w:rPr>
        <w:t>MK</w:t>
      </w:r>
      <w:r w:rsidRPr="00CA7B75">
        <w:rPr>
          <w:rFonts w:cs="Times New Roman"/>
        </w:rPr>
        <w:t xml:space="preserve"> noteikumu Nr. 272 5. pielikuma „Projektu iesniegumu vērtēšanas kritēriji” 13. kritērijs nosaka, ka d</w:t>
      </w:r>
      <w:r w:rsidRPr="00CA7B75">
        <w:rPr>
          <w:rFonts w:cs="Times New Roman"/>
          <w:iCs/>
          <w:bdr w:val="none" w:sz="0" w:space="0" w:color="auto" w:frame="1"/>
        </w:rPr>
        <w:t xml:space="preserve">audzdzīvokļu dzīvojamai mājai siltumenerģijas ietaupījumam pēc renovācijas ir jābūt ne mazāk kā 20 % gadā no projekta iesniegumam pievienotajā </w:t>
      </w:r>
      <w:proofErr w:type="spellStart"/>
      <w:r w:rsidRPr="00CA7B75">
        <w:rPr>
          <w:rFonts w:cs="Times New Roman"/>
          <w:iCs/>
          <w:bdr w:val="none" w:sz="0" w:space="0" w:color="auto" w:frame="1"/>
        </w:rPr>
        <w:t>energoaudita</w:t>
      </w:r>
      <w:proofErr w:type="spellEnd"/>
      <w:r w:rsidRPr="00CA7B75">
        <w:rPr>
          <w:rFonts w:cs="Times New Roman"/>
          <w:iCs/>
          <w:bdr w:val="none" w:sz="0" w:space="0" w:color="auto" w:frame="1"/>
        </w:rPr>
        <w:t xml:space="preserve"> pārskatā aprēķinātā energoefektivitātes novērtējuma</w:t>
      </w:r>
      <w:r w:rsidR="00E803F1">
        <w:rPr>
          <w:rFonts w:cs="Times New Roman"/>
          <w:iCs/>
          <w:bdr w:val="none" w:sz="0" w:space="0" w:color="auto" w:frame="1"/>
        </w:rPr>
        <w:t>.</w:t>
      </w:r>
    </w:p>
  </w:footnote>
  <w:footnote w:id="3">
    <w:p w14:paraId="3C9D7ACD" w14:textId="77777777" w:rsidR="00031868" w:rsidRPr="00031868" w:rsidRDefault="00031868">
      <w:pPr>
        <w:pStyle w:val="FootnoteText"/>
      </w:pPr>
      <w:r w:rsidRPr="00031868">
        <w:rPr>
          <w:rStyle w:val="FootnoteReference"/>
        </w:rPr>
        <w:footnoteRef/>
      </w:r>
      <w:r w:rsidRPr="00031868">
        <w:t xml:space="preserve"> </w:t>
      </w:r>
      <w:r w:rsidR="005E1436">
        <w:t xml:space="preserve"> </w:t>
      </w:r>
      <w:r w:rsidRPr="00031868">
        <w:rPr>
          <w:rFonts w:cs="Times New Roman"/>
        </w:rPr>
        <w:t>2019. gada 3. oktobrī  SIA “</w:t>
      </w:r>
      <w:proofErr w:type="spellStart"/>
      <w:r w:rsidRPr="00031868">
        <w:rPr>
          <w:rFonts w:cs="Times New Roman"/>
        </w:rPr>
        <w:t>Energo</w:t>
      </w:r>
      <w:proofErr w:type="spellEnd"/>
      <w:r w:rsidRPr="00031868">
        <w:rPr>
          <w:rFonts w:cs="Times New Roman"/>
        </w:rPr>
        <w:t xml:space="preserve"> pārvalde” ir likvidēta.</w:t>
      </w:r>
      <w:r w:rsidR="005E1436">
        <w:rPr>
          <w:rFonts w:cs="Times New Roman"/>
        </w:rPr>
        <w:t xml:space="preserve"> </w:t>
      </w:r>
      <w:r w:rsidR="005E1436" w:rsidRPr="005E1436">
        <w:rPr>
          <w:rFonts w:cs="Times New Roman"/>
        </w:rPr>
        <w:t>https://company.lursoft.lv/energo-parvalde/44103064576</w:t>
      </w:r>
    </w:p>
  </w:footnote>
  <w:footnote w:id="4">
    <w:p w14:paraId="007CED02" w14:textId="77777777" w:rsidR="005E1436" w:rsidRDefault="005E1436" w:rsidP="005E1436">
      <w:pPr>
        <w:pStyle w:val="FootnoteText"/>
        <w:jc w:val="both"/>
      </w:pPr>
      <w:r>
        <w:rPr>
          <w:rStyle w:val="FootnoteReference"/>
        </w:rPr>
        <w:footnoteRef/>
      </w:r>
      <w:r>
        <w:t xml:space="preserve"> </w:t>
      </w:r>
      <w:r w:rsidRPr="0029165C">
        <w:t>LIAA 2016.</w:t>
      </w:r>
      <w:r>
        <w:t> </w:t>
      </w:r>
      <w:r w:rsidRPr="0029165C">
        <w:t>gada 21.</w:t>
      </w:r>
      <w:r>
        <w:t> </w:t>
      </w:r>
      <w:r w:rsidRPr="0029165C">
        <w:t>aprīlī nosūtīja Valsts policijai iesniegum</w:t>
      </w:r>
      <w:r>
        <w:t xml:space="preserve">u par kriminālprocesa uzsākšanu. </w:t>
      </w:r>
      <w:r w:rsidRPr="0029165C">
        <w:t>2018.</w:t>
      </w:r>
      <w:r>
        <w:t> </w:t>
      </w:r>
      <w:r w:rsidRPr="0029165C">
        <w:t>gada 20.</w:t>
      </w:r>
      <w:r>
        <w:t> </w:t>
      </w:r>
      <w:r w:rsidRPr="0029165C">
        <w:t xml:space="preserve">aprīlī kriminālprocess tika izbeigts noziedzīga nodarījuma sastāva neesamības dēļ, nekonstatējot </w:t>
      </w:r>
      <w:r>
        <w:t>SIA “</w:t>
      </w:r>
      <w:proofErr w:type="spellStart"/>
      <w:r>
        <w:t>Energo</w:t>
      </w:r>
      <w:proofErr w:type="spellEnd"/>
      <w:r>
        <w:t xml:space="preserve"> pārvalde”</w:t>
      </w:r>
      <w:r w:rsidRPr="0029165C">
        <w:t xml:space="preserve"> valdes locekļa prettiesisku rīcību, saņemot </w:t>
      </w:r>
      <w:r>
        <w:t>ES</w:t>
      </w:r>
      <w:r w:rsidRPr="0029165C">
        <w:t xml:space="preserve"> fondu līdzekļus</w:t>
      </w:r>
      <w:r>
        <w:t>.</w:t>
      </w:r>
    </w:p>
  </w:footnote>
  <w:footnote w:id="5">
    <w:p w14:paraId="539D13BB" w14:textId="77777777" w:rsidR="002A3515" w:rsidRDefault="002A3515" w:rsidP="00CA7B75">
      <w:pPr>
        <w:pStyle w:val="FootnoteText"/>
        <w:jc w:val="both"/>
      </w:pPr>
      <w:r>
        <w:rPr>
          <w:rStyle w:val="FootnoteReference"/>
        </w:rPr>
        <w:footnoteRef/>
      </w:r>
      <w:r>
        <w:t xml:space="preserve"> </w:t>
      </w:r>
      <w:r w:rsidRPr="00554CA6">
        <w:rPr>
          <w:rFonts w:eastAsia="Calibri" w:cs="Times New Roman"/>
        </w:rPr>
        <w:t>Eiropas Padomes regulas (EK) Nr.</w:t>
      </w:r>
      <w:r>
        <w:rPr>
          <w:rFonts w:eastAsia="Calibri" w:cs="Times New Roman"/>
        </w:rPr>
        <w:t> </w:t>
      </w:r>
      <w:r w:rsidRPr="00554CA6">
        <w:rPr>
          <w:rFonts w:eastAsia="Calibri" w:cs="Times New Roman"/>
        </w:rPr>
        <w:t>1083/2006 (2006.</w:t>
      </w:r>
      <w:r>
        <w:rPr>
          <w:rFonts w:eastAsia="Calibri" w:cs="Times New Roman"/>
        </w:rPr>
        <w:t> </w:t>
      </w:r>
      <w:r w:rsidRPr="00554CA6">
        <w:rPr>
          <w:rFonts w:eastAsia="Calibri" w:cs="Times New Roman"/>
        </w:rPr>
        <w:t>gada 11.</w:t>
      </w:r>
      <w:r>
        <w:rPr>
          <w:rFonts w:eastAsia="Calibri" w:cs="Times New Roman"/>
        </w:rPr>
        <w:t> </w:t>
      </w:r>
      <w:r w:rsidRPr="00554CA6">
        <w:rPr>
          <w:rFonts w:eastAsia="Calibri" w:cs="Times New Roman"/>
        </w:rPr>
        <w:t>jūlijs), ar ko paredz vispārīgus noteikumus par Eiropas Reģionālās attīstības fondu, Eiropas Sociālo fondu un Kohēzijas fondu un atceļ Regulu (EK) Nr.</w:t>
      </w:r>
      <w:r>
        <w:rPr>
          <w:rFonts w:eastAsia="Calibri" w:cs="Times New Roman"/>
        </w:rPr>
        <w:t> </w:t>
      </w:r>
      <w:r w:rsidRPr="00554CA6">
        <w:rPr>
          <w:rFonts w:eastAsia="Calibri" w:cs="Times New Roman"/>
        </w:rPr>
        <w:t>1260/1999</w:t>
      </w:r>
      <w:r>
        <w:t xml:space="preserve"> 56. panta 1. punkts paredz, ka</w:t>
      </w:r>
      <w:r w:rsidRPr="002A3515">
        <w:t xml:space="preserve"> izdevumu </w:t>
      </w:r>
      <w:proofErr w:type="spellStart"/>
      <w:r w:rsidRPr="002A3515">
        <w:t>attiecināmības</w:t>
      </w:r>
      <w:proofErr w:type="spellEnd"/>
      <w:r w:rsidRPr="002A3515">
        <w:t xml:space="preserve"> termiņa pēdējā diena ir 2015.</w:t>
      </w:r>
      <w:r>
        <w:t> </w:t>
      </w:r>
      <w:r w:rsidRPr="002A3515">
        <w:t>gada 31.</w:t>
      </w:r>
      <w:r>
        <w:t> </w:t>
      </w:r>
      <w:r w:rsidRPr="002A3515">
        <w:t>decembris</w:t>
      </w:r>
    </w:p>
  </w:footnote>
  <w:footnote w:id="6">
    <w:p w14:paraId="4C0ADB01" w14:textId="77777777" w:rsidR="00BF2E47" w:rsidRDefault="00BF2E47">
      <w:pPr>
        <w:pStyle w:val="FootnoteText"/>
      </w:pPr>
      <w:r>
        <w:rPr>
          <w:rStyle w:val="FootnoteReference"/>
        </w:rPr>
        <w:footnoteRef/>
      </w:r>
      <w:r w:rsidRPr="00BF2E47">
        <w:t>https://data1.csb.gov.lv/pxweb/lv/sociala/sociala__dsamaksa__ikgad/D</w:t>
      </w:r>
      <w:r w:rsidR="007D5A0E">
        <w:t>SG070.px/table/tableViewLayout</w:t>
      </w:r>
    </w:p>
  </w:footnote>
  <w:footnote w:id="7">
    <w:p w14:paraId="57809425" w14:textId="77777777" w:rsidR="00C7745D" w:rsidRDefault="00C7745D">
      <w:pPr>
        <w:pStyle w:val="FootnoteText"/>
      </w:pPr>
      <w:r>
        <w:rPr>
          <w:rStyle w:val="FootnoteReference"/>
        </w:rPr>
        <w:footnoteRef/>
      </w:r>
      <w:r>
        <w:t xml:space="preserve"> </w:t>
      </w:r>
      <w:r w:rsidRPr="00C7745D">
        <w:t>https://www.csb.gov.lv/lv/statistika/statistikas-temas</w:t>
      </w:r>
      <w:bookmarkStart w:id="1" w:name="_GoBack"/>
      <w:bookmarkEnd w:id="1"/>
      <w:r w:rsidRPr="00C7745D">
        <w:t>/socialie-procesi/darba-samaksa/meklet-tema/2635-darba-samaksas-parmainas-2019-gada-4</w:t>
      </w:r>
      <w:r w:rsidRPr="00C7745D">
        <w:cr/>
      </w:r>
    </w:p>
  </w:footnote>
  <w:footnote w:id="8">
    <w:p w14:paraId="7AC04706" w14:textId="77777777" w:rsidR="0008125F" w:rsidRDefault="0008125F">
      <w:pPr>
        <w:pStyle w:val="FootnoteText"/>
      </w:pPr>
      <w:r>
        <w:rPr>
          <w:rStyle w:val="FootnoteReference"/>
        </w:rPr>
        <w:footnoteRef/>
      </w:r>
      <w:r>
        <w:t xml:space="preserve"> Latvijas Republikas Satversmes tiesas 2007. </w:t>
      </w:r>
      <w:r w:rsidR="00176D1D">
        <w:t>g</w:t>
      </w:r>
      <w:r>
        <w:t>ada 28. </w:t>
      </w:r>
      <w:r w:rsidR="00176D1D">
        <w:t>f</w:t>
      </w:r>
      <w:r>
        <w:t xml:space="preserve">ebruāra Lēmums par tiesvedības izbeigšanu Lietā </w:t>
      </w:r>
      <w:r w:rsidRPr="0008125F">
        <w:t>Nr. 2006-41-01</w:t>
      </w:r>
      <w:r>
        <w:t xml:space="preserve">. </w:t>
      </w:r>
      <w:r w:rsidRPr="0008125F">
        <w:t>http://www.satv.tiesa.gov.lv/wp-content/uploads/2016/02/2006-41-01_Lemums_izbeigsana.pdf</w:t>
      </w:r>
    </w:p>
  </w:footnote>
  <w:footnote w:id="9">
    <w:p w14:paraId="3D71AD7C" w14:textId="77777777" w:rsidR="005E7359" w:rsidRDefault="005E7359">
      <w:pPr>
        <w:pStyle w:val="FootnoteText"/>
      </w:pPr>
      <w:r>
        <w:rPr>
          <w:rStyle w:val="FootnoteReference"/>
        </w:rPr>
        <w:footnoteRef/>
      </w:r>
      <w:r>
        <w:t xml:space="preserve"> Levits E. Samērīguma princips un obligātais administratīvais akts. Jurista Vārds, 27.03.2007., Nr.13.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11352"/>
      <w:docPartObj>
        <w:docPartGallery w:val="Page Numbers (Top of Page)"/>
        <w:docPartUnique/>
      </w:docPartObj>
    </w:sdtPr>
    <w:sdtEndPr>
      <w:rPr>
        <w:noProof/>
      </w:rPr>
    </w:sdtEndPr>
    <w:sdtContent>
      <w:p w14:paraId="66924A14" w14:textId="0E4F5564" w:rsidR="00991F3A" w:rsidRDefault="00991F3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A89EB1" w14:textId="77777777" w:rsidR="00991F3A" w:rsidRDefault="00991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0254A"/>
    <w:multiLevelType w:val="hybridMultilevel"/>
    <w:tmpl w:val="9F7C08B8"/>
    <w:lvl w:ilvl="0" w:tplc="0444FD36">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8E"/>
    <w:rsid w:val="00014B4A"/>
    <w:rsid w:val="00031868"/>
    <w:rsid w:val="00037AE9"/>
    <w:rsid w:val="00053406"/>
    <w:rsid w:val="0008125F"/>
    <w:rsid w:val="00101A05"/>
    <w:rsid w:val="00110C7B"/>
    <w:rsid w:val="00132B3B"/>
    <w:rsid w:val="00155C74"/>
    <w:rsid w:val="001654F0"/>
    <w:rsid w:val="00176D1D"/>
    <w:rsid w:val="00186EA4"/>
    <w:rsid w:val="001D0A89"/>
    <w:rsid w:val="001E091F"/>
    <w:rsid w:val="002178EB"/>
    <w:rsid w:val="0022167D"/>
    <w:rsid w:val="00225434"/>
    <w:rsid w:val="00241541"/>
    <w:rsid w:val="002A3515"/>
    <w:rsid w:val="002A5D40"/>
    <w:rsid w:val="002B28DC"/>
    <w:rsid w:val="003019B8"/>
    <w:rsid w:val="00314434"/>
    <w:rsid w:val="00325086"/>
    <w:rsid w:val="0033128A"/>
    <w:rsid w:val="0036047A"/>
    <w:rsid w:val="00370779"/>
    <w:rsid w:val="00391B94"/>
    <w:rsid w:val="003A3D19"/>
    <w:rsid w:val="003F4CF6"/>
    <w:rsid w:val="003F722F"/>
    <w:rsid w:val="004055CB"/>
    <w:rsid w:val="00416997"/>
    <w:rsid w:val="00442AB2"/>
    <w:rsid w:val="004505FE"/>
    <w:rsid w:val="00451119"/>
    <w:rsid w:val="004857F7"/>
    <w:rsid w:val="00497120"/>
    <w:rsid w:val="004A4BFA"/>
    <w:rsid w:val="004C41DE"/>
    <w:rsid w:val="004E78EA"/>
    <w:rsid w:val="00505B01"/>
    <w:rsid w:val="005213E4"/>
    <w:rsid w:val="00527D07"/>
    <w:rsid w:val="005368FD"/>
    <w:rsid w:val="00540002"/>
    <w:rsid w:val="00540768"/>
    <w:rsid w:val="00553BE9"/>
    <w:rsid w:val="00554279"/>
    <w:rsid w:val="00592B6A"/>
    <w:rsid w:val="005A7EC2"/>
    <w:rsid w:val="005E1436"/>
    <w:rsid w:val="005E2FC3"/>
    <w:rsid w:val="005E7359"/>
    <w:rsid w:val="006106BF"/>
    <w:rsid w:val="00624E81"/>
    <w:rsid w:val="00643CDC"/>
    <w:rsid w:val="00646B38"/>
    <w:rsid w:val="00662F8E"/>
    <w:rsid w:val="006630B9"/>
    <w:rsid w:val="006772AE"/>
    <w:rsid w:val="00683923"/>
    <w:rsid w:val="00685E6A"/>
    <w:rsid w:val="0069088F"/>
    <w:rsid w:val="0069103C"/>
    <w:rsid w:val="006A7642"/>
    <w:rsid w:val="006D5A2A"/>
    <w:rsid w:val="006E04A8"/>
    <w:rsid w:val="006F1D0E"/>
    <w:rsid w:val="006F25B1"/>
    <w:rsid w:val="006F5018"/>
    <w:rsid w:val="007325F3"/>
    <w:rsid w:val="007570FB"/>
    <w:rsid w:val="007844D8"/>
    <w:rsid w:val="007D5A0E"/>
    <w:rsid w:val="007D72BD"/>
    <w:rsid w:val="007F1978"/>
    <w:rsid w:val="00804F9C"/>
    <w:rsid w:val="00805F72"/>
    <w:rsid w:val="0081127B"/>
    <w:rsid w:val="00813112"/>
    <w:rsid w:val="00816620"/>
    <w:rsid w:val="008218A4"/>
    <w:rsid w:val="00823AEE"/>
    <w:rsid w:val="00862E51"/>
    <w:rsid w:val="00870FB8"/>
    <w:rsid w:val="008743F4"/>
    <w:rsid w:val="00894306"/>
    <w:rsid w:val="00896D2A"/>
    <w:rsid w:val="008C07C0"/>
    <w:rsid w:val="008D3680"/>
    <w:rsid w:val="008D4316"/>
    <w:rsid w:val="008F3FB2"/>
    <w:rsid w:val="00902B78"/>
    <w:rsid w:val="009135F9"/>
    <w:rsid w:val="0091705B"/>
    <w:rsid w:val="00943FFC"/>
    <w:rsid w:val="00961AD5"/>
    <w:rsid w:val="00962E59"/>
    <w:rsid w:val="00991F3A"/>
    <w:rsid w:val="009A1E14"/>
    <w:rsid w:val="009D270F"/>
    <w:rsid w:val="009F0417"/>
    <w:rsid w:val="009F4041"/>
    <w:rsid w:val="00A03CFD"/>
    <w:rsid w:val="00A07391"/>
    <w:rsid w:val="00A12F34"/>
    <w:rsid w:val="00A660A5"/>
    <w:rsid w:val="00A70111"/>
    <w:rsid w:val="00A74C5A"/>
    <w:rsid w:val="00A93318"/>
    <w:rsid w:val="00AA4FFF"/>
    <w:rsid w:val="00AB3C70"/>
    <w:rsid w:val="00AD47EB"/>
    <w:rsid w:val="00AE2BDB"/>
    <w:rsid w:val="00AE36F0"/>
    <w:rsid w:val="00AE5821"/>
    <w:rsid w:val="00B356D6"/>
    <w:rsid w:val="00B61A01"/>
    <w:rsid w:val="00B62B7B"/>
    <w:rsid w:val="00BA23DB"/>
    <w:rsid w:val="00BC2CFB"/>
    <w:rsid w:val="00BD7AE3"/>
    <w:rsid w:val="00BE092D"/>
    <w:rsid w:val="00BF2E47"/>
    <w:rsid w:val="00C0689A"/>
    <w:rsid w:val="00C2339A"/>
    <w:rsid w:val="00C244B7"/>
    <w:rsid w:val="00C5513F"/>
    <w:rsid w:val="00C72D96"/>
    <w:rsid w:val="00C7745D"/>
    <w:rsid w:val="00C95FA7"/>
    <w:rsid w:val="00CA5224"/>
    <w:rsid w:val="00CA7B75"/>
    <w:rsid w:val="00CD665D"/>
    <w:rsid w:val="00CE673F"/>
    <w:rsid w:val="00D36D34"/>
    <w:rsid w:val="00D51314"/>
    <w:rsid w:val="00D5448A"/>
    <w:rsid w:val="00D54574"/>
    <w:rsid w:val="00DC7613"/>
    <w:rsid w:val="00DD1785"/>
    <w:rsid w:val="00DE290B"/>
    <w:rsid w:val="00DE3987"/>
    <w:rsid w:val="00DF1D88"/>
    <w:rsid w:val="00DF5901"/>
    <w:rsid w:val="00E1430B"/>
    <w:rsid w:val="00E17F83"/>
    <w:rsid w:val="00E3621D"/>
    <w:rsid w:val="00E75D0B"/>
    <w:rsid w:val="00E803F1"/>
    <w:rsid w:val="00EA42BD"/>
    <w:rsid w:val="00EC40B7"/>
    <w:rsid w:val="00ED0D50"/>
    <w:rsid w:val="00EF0E9B"/>
    <w:rsid w:val="00F1676E"/>
    <w:rsid w:val="00F17AF5"/>
    <w:rsid w:val="00F55432"/>
    <w:rsid w:val="00F8429E"/>
    <w:rsid w:val="00F92285"/>
    <w:rsid w:val="00F96DCE"/>
    <w:rsid w:val="00FD286A"/>
    <w:rsid w:val="00FD49BB"/>
    <w:rsid w:val="00FE2DC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61DC"/>
  <w15:docId w15:val="{ADD3EFB6-80C1-4D86-B719-D56E17FA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662F8E"/>
    <w:pPr>
      <w:spacing w:after="0" w:line="240" w:lineRule="auto"/>
      <w:ind w:left="720"/>
      <w:contextualSpacing/>
    </w:pPr>
    <w:rPr>
      <w:rFonts w:ascii="Times New Roman" w:hAnsi="Times New Roman"/>
      <w:sz w:val="24"/>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662F8E"/>
    <w:rPr>
      <w:rFonts w:ascii="Times New Roman" w:hAnsi="Times New Roman"/>
      <w:sz w:val="24"/>
    </w:rPr>
  </w:style>
  <w:style w:type="paragraph" w:styleId="FootnoteText">
    <w:name w:val="footnote text"/>
    <w:basedOn w:val="Normal"/>
    <w:link w:val="FootnoteTextChar"/>
    <w:uiPriority w:val="99"/>
    <w:semiHidden/>
    <w:unhideWhenUsed/>
    <w:rsid w:val="00662F8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62F8E"/>
    <w:rPr>
      <w:rFonts w:ascii="Times New Roman" w:hAnsi="Times New Roman"/>
      <w:sz w:val="20"/>
      <w:szCs w:val="20"/>
    </w:rPr>
  </w:style>
  <w:style w:type="character" w:styleId="FootnoteReference">
    <w:name w:val="footnote reference"/>
    <w:basedOn w:val="DefaultParagraphFont"/>
    <w:uiPriority w:val="99"/>
    <w:semiHidden/>
    <w:unhideWhenUsed/>
    <w:rsid w:val="00662F8E"/>
    <w:rPr>
      <w:vertAlign w:val="superscript"/>
    </w:rPr>
  </w:style>
  <w:style w:type="character" w:styleId="CommentReference">
    <w:name w:val="annotation reference"/>
    <w:basedOn w:val="DefaultParagraphFont"/>
    <w:uiPriority w:val="99"/>
    <w:unhideWhenUsed/>
    <w:rsid w:val="00BA23DB"/>
    <w:rPr>
      <w:sz w:val="16"/>
      <w:szCs w:val="16"/>
    </w:rPr>
  </w:style>
  <w:style w:type="paragraph" w:styleId="CommentText">
    <w:name w:val="annotation text"/>
    <w:basedOn w:val="Normal"/>
    <w:link w:val="CommentTextChar"/>
    <w:uiPriority w:val="99"/>
    <w:unhideWhenUsed/>
    <w:rsid w:val="00BA23D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A23DB"/>
    <w:rPr>
      <w:rFonts w:ascii="Times New Roman" w:hAnsi="Times New Roman"/>
      <w:sz w:val="20"/>
      <w:szCs w:val="20"/>
    </w:rPr>
  </w:style>
  <w:style w:type="paragraph" w:styleId="BalloonText">
    <w:name w:val="Balloon Text"/>
    <w:basedOn w:val="Normal"/>
    <w:link w:val="BalloonTextChar"/>
    <w:uiPriority w:val="99"/>
    <w:semiHidden/>
    <w:unhideWhenUsed/>
    <w:rsid w:val="00BA2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4C5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74C5A"/>
    <w:rPr>
      <w:rFonts w:ascii="Times New Roman" w:hAnsi="Times New Roman"/>
      <w:b/>
      <w:bCs/>
      <w:sz w:val="20"/>
      <w:szCs w:val="20"/>
    </w:rPr>
  </w:style>
  <w:style w:type="character" w:styleId="Hyperlink">
    <w:name w:val="Hyperlink"/>
    <w:basedOn w:val="DefaultParagraphFont"/>
    <w:uiPriority w:val="99"/>
    <w:semiHidden/>
    <w:unhideWhenUsed/>
    <w:rsid w:val="007325F3"/>
    <w:rPr>
      <w:color w:val="0000FF"/>
      <w:u w:val="single"/>
    </w:rPr>
  </w:style>
  <w:style w:type="paragraph" w:styleId="Header">
    <w:name w:val="header"/>
    <w:basedOn w:val="Normal"/>
    <w:link w:val="HeaderChar"/>
    <w:uiPriority w:val="99"/>
    <w:unhideWhenUsed/>
    <w:rsid w:val="00991F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F3A"/>
  </w:style>
  <w:style w:type="paragraph" w:styleId="Footer">
    <w:name w:val="footer"/>
    <w:basedOn w:val="Normal"/>
    <w:link w:val="FooterChar"/>
    <w:uiPriority w:val="99"/>
    <w:unhideWhenUsed/>
    <w:rsid w:val="00991F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10336-14B3-453A-9B0E-CA9C2DB4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11056</Words>
  <Characters>6302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Ilze Grīnberga</cp:lastModifiedBy>
  <cp:revision>9</cp:revision>
  <cp:lastPrinted>2020-05-06T09:21:00Z</cp:lastPrinted>
  <dcterms:created xsi:type="dcterms:W3CDTF">2020-06-05T06:22:00Z</dcterms:created>
  <dcterms:modified xsi:type="dcterms:W3CDTF">2020-06-10T15:08:00Z</dcterms:modified>
</cp:coreProperties>
</file>