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5D45" w14:textId="77777777" w:rsidR="007D0E8A" w:rsidRPr="002A4D6D" w:rsidRDefault="00AA590B" w:rsidP="002A4D6D">
      <w:pPr>
        <w:jc w:val="center"/>
        <w:rPr>
          <w:b/>
          <w:spacing w:val="-2"/>
          <w:szCs w:val="28"/>
        </w:rPr>
      </w:pPr>
      <w:bookmarkStart w:id="0" w:name="OLE_LINK1"/>
      <w:bookmarkStart w:id="1" w:name="OLE_LINK2"/>
      <w:r w:rsidRPr="002A4D6D">
        <w:rPr>
          <w:b/>
          <w:spacing w:val="-2"/>
          <w:szCs w:val="28"/>
        </w:rPr>
        <w:t xml:space="preserve">Likumprojekta “Grozījumi Pievienotās vērtības nodokļa likumā” </w:t>
      </w:r>
      <w:r w:rsidR="007D0E8A" w:rsidRPr="002A4D6D">
        <w:rPr>
          <w:b/>
          <w:spacing w:val="-2"/>
          <w:szCs w:val="28"/>
        </w:rPr>
        <w:t>sākotnējās ietekmes novērtējuma ziņojums (anotācija)</w:t>
      </w:r>
    </w:p>
    <w:p w14:paraId="3766085E" w14:textId="77777777" w:rsidR="008A238C" w:rsidRPr="002A4D6D" w:rsidRDefault="008A238C" w:rsidP="002A4D6D">
      <w:pPr>
        <w:jc w:val="center"/>
        <w:rPr>
          <w:spacing w:val="-2"/>
          <w:sz w:val="26"/>
          <w:szCs w:val="26"/>
          <w:lang w:eastAsia="lv-LV"/>
        </w:rPr>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30"/>
        <w:gridCol w:w="50"/>
        <w:gridCol w:w="660"/>
        <w:gridCol w:w="1129"/>
        <w:gridCol w:w="540"/>
        <w:gridCol w:w="142"/>
        <w:gridCol w:w="142"/>
        <w:gridCol w:w="1134"/>
        <w:gridCol w:w="301"/>
        <w:gridCol w:w="976"/>
        <w:gridCol w:w="155"/>
        <w:gridCol w:w="1271"/>
        <w:gridCol w:w="985"/>
        <w:gridCol w:w="1274"/>
        <w:gridCol w:w="7"/>
      </w:tblGrid>
      <w:tr w:rsidR="00F207FB" w:rsidRPr="002A4D6D" w14:paraId="3D93E0EE" w14:textId="77777777" w:rsidTr="005E7435">
        <w:tc>
          <w:tcPr>
            <w:tcW w:w="5000" w:type="pct"/>
            <w:gridSpan w:val="16"/>
            <w:vAlign w:val="center"/>
            <w:hideMark/>
          </w:tcPr>
          <w:p w14:paraId="605BD1FE" w14:textId="77777777" w:rsidR="009E66E6" w:rsidRPr="002A4D6D" w:rsidRDefault="009E66E6" w:rsidP="002A4D6D">
            <w:pPr>
              <w:ind w:firstLine="300"/>
              <w:jc w:val="center"/>
              <w:rPr>
                <w:rFonts w:eastAsia="Times New Roman"/>
                <w:b/>
                <w:bCs/>
                <w:spacing w:val="-2"/>
                <w:sz w:val="26"/>
                <w:szCs w:val="26"/>
                <w:lang w:eastAsia="lv-LV"/>
              </w:rPr>
            </w:pPr>
            <w:r w:rsidRPr="002A4D6D">
              <w:rPr>
                <w:rFonts w:eastAsia="Times New Roman"/>
                <w:b/>
                <w:bCs/>
                <w:spacing w:val="-2"/>
                <w:sz w:val="26"/>
                <w:szCs w:val="26"/>
                <w:lang w:eastAsia="lv-LV"/>
              </w:rPr>
              <w:t>Tiesību akta projekta anotācijas kopsavilkums</w:t>
            </w:r>
          </w:p>
        </w:tc>
      </w:tr>
      <w:tr w:rsidR="00D96306" w:rsidRPr="002A4D6D" w14:paraId="7001CDB6" w14:textId="77777777" w:rsidTr="005E7435">
        <w:tc>
          <w:tcPr>
            <w:tcW w:w="1537" w:type="pct"/>
            <w:gridSpan w:val="6"/>
            <w:hideMark/>
          </w:tcPr>
          <w:p w14:paraId="6D28D443" w14:textId="77777777" w:rsidR="009E66E6" w:rsidRPr="002A4D6D" w:rsidRDefault="009E66E6" w:rsidP="002A4D6D">
            <w:pPr>
              <w:jc w:val="both"/>
              <w:rPr>
                <w:rFonts w:eastAsia="Times New Roman"/>
                <w:spacing w:val="-2"/>
                <w:sz w:val="26"/>
                <w:szCs w:val="26"/>
                <w:lang w:eastAsia="lv-LV"/>
              </w:rPr>
            </w:pPr>
            <w:r w:rsidRPr="002A4D6D">
              <w:rPr>
                <w:rFonts w:eastAsia="Times New Roman"/>
                <w:spacing w:val="-2"/>
                <w:sz w:val="26"/>
                <w:szCs w:val="26"/>
                <w:lang w:eastAsia="lv-LV"/>
              </w:rPr>
              <w:t>Mērķis, risinājums un projekta spēkā stāšanās laiks (500 zīmes bez atstarpēm)</w:t>
            </w:r>
          </w:p>
        </w:tc>
        <w:tc>
          <w:tcPr>
            <w:tcW w:w="3463" w:type="pct"/>
            <w:gridSpan w:val="10"/>
            <w:hideMark/>
          </w:tcPr>
          <w:p w14:paraId="3B6CCF9E" w14:textId="2E28D601" w:rsidR="00EC0FC1" w:rsidRPr="002A4D6D" w:rsidRDefault="00EC0FC1" w:rsidP="002A4D6D">
            <w:pPr>
              <w:ind w:left="113" w:right="113"/>
              <w:jc w:val="both"/>
              <w:rPr>
                <w:spacing w:val="-2"/>
                <w:sz w:val="26"/>
                <w:szCs w:val="26"/>
              </w:rPr>
            </w:pPr>
            <w:r w:rsidRPr="002A4D6D">
              <w:rPr>
                <w:spacing w:val="-2"/>
                <w:sz w:val="26"/>
                <w:szCs w:val="26"/>
              </w:rPr>
              <w:t xml:space="preserve">Likumprojekta mērķis ir </w:t>
            </w:r>
            <w:r w:rsidR="007A01C1" w:rsidRPr="002A4D6D">
              <w:rPr>
                <w:spacing w:val="-2"/>
                <w:sz w:val="26"/>
                <w:szCs w:val="26"/>
              </w:rPr>
              <w:t xml:space="preserve">noteikt </w:t>
            </w:r>
            <w:r w:rsidR="00C10635" w:rsidRPr="002A4D6D">
              <w:rPr>
                <w:spacing w:val="-2"/>
                <w:sz w:val="26"/>
                <w:szCs w:val="26"/>
              </w:rPr>
              <w:t>PVN piemērošanas vienkāršošanas noteikumus e-komercijas jomā</w:t>
            </w:r>
            <w:r w:rsidR="00B52D76" w:rsidRPr="002A4D6D">
              <w:rPr>
                <w:spacing w:val="-2"/>
                <w:sz w:val="26"/>
                <w:szCs w:val="26"/>
              </w:rPr>
              <w:t xml:space="preserve">, </w:t>
            </w:r>
            <w:r w:rsidR="009C5056" w:rsidRPr="002A4D6D">
              <w:rPr>
                <w:spacing w:val="-2"/>
                <w:sz w:val="26"/>
                <w:szCs w:val="26"/>
              </w:rPr>
              <w:t>nodrošinot godīgas konkurences vidi E</w:t>
            </w:r>
            <w:r w:rsidR="00794215" w:rsidRPr="002A4D6D">
              <w:rPr>
                <w:spacing w:val="-2"/>
                <w:sz w:val="26"/>
                <w:szCs w:val="26"/>
              </w:rPr>
              <w:t xml:space="preserve">iropas </w:t>
            </w:r>
            <w:r w:rsidR="009C5056" w:rsidRPr="002A4D6D">
              <w:rPr>
                <w:spacing w:val="-2"/>
                <w:sz w:val="26"/>
                <w:szCs w:val="26"/>
              </w:rPr>
              <w:t>S</w:t>
            </w:r>
            <w:r w:rsidR="00794215" w:rsidRPr="002A4D6D">
              <w:rPr>
                <w:spacing w:val="-2"/>
                <w:sz w:val="26"/>
                <w:szCs w:val="26"/>
              </w:rPr>
              <w:t>avienības</w:t>
            </w:r>
            <w:r w:rsidR="009C5056" w:rsidRPr="002A4D6D">
              <w:rPr>
                <w:spacing w:val="-2"/>
                <w:sz w:val="26"/>
                <w:szCs w:val="26"/>
              </w:rPr>
              <w:t xml:space="preserve"> līmenī visiem uzņēmējiem neatkarīgi no to reģistrācijas valsts, </w:t>
            </w:r>
            <w:r w:rsidR="00B52D76" w:rsidRPr="002A4D6D">
              <w:rPr>
                <w:spacing w:val="-2"/>
                <w:sz w:val="26"/>
                <w:szCs w:val="26"/>
              </w:rPr>
              <w:t>paplašin</w:t>
            </w:r>
            <w:r w:rsidR="00A0197E" w:rsidRPr="002A4D6D">
              <w:rPr>
                <w:spacing w:val="-2"/>
                <w:sz w:val="26"/>
                <w:szCs w:val="26"/>
              </w:rPr>
              <w:t>ot</w:t>
            </w:r>
            <w:r w:rsidR="00B52D76" w:rsidRPr="002A4D6D">
              <w:rPr>
                <w:spacing w:val="-2"/>
                <w:sz w:val="26"/>
                <w:szCs w:val="26"/>
              </w:rPr>
              <w:t xml:space="preserve"> </w:t>
            </w:r>
            <w:r w:rsidR="0087028A" w:rsidRPr="002A4D6D">
              <w:rPr>
                <w:spacing w:val="-2"/>
                <w:sz w:val="26"/>
                <w:szCs w:val="26"/>
              </w:rPr>
              <w:t xml:space="preserve">spēkā esošo </w:t>
            </w:r>
            <w:r w:rsidR="00B52D76" w:rsidRPr="002A4D6D">
              <w:rPr>
                <w:spacing w:val="-2"/>
                <w:sz w:val="26"/>
                <w:szCs w:val="26"/>
              </w:rPr>
              <w:t xml:space="preserve">īpašu PVN režīmu </w:t>
            </w:r>
            <w:r w:rsidR="00A0197E" w:rsidRPr="002A4D6D">
              <w:rPr>
                <w:spacing w:val="-2"/>
                <w:sz w:val="26"/>
                <w:szCs w:val="26"/>
              </w:rPr>
              <w:t xml:space="preserve">piemērošanas </w:t>
            </w:r>
            <w:r w:rsidR="00B52D76" w:rsidRPr="002A4D6D">
              <w:rPr>
                <w:spacing w:val="-2"/>
                <w:sz w:val="26"/>
                <w:szCs w:val="26"/>
              </w:rPr>
              <w:t>tvērum</w:t>
            </w:r>
            <w:r w:rsidR="00A0197E" w:rsidRPr="002A4D6D">
              <w:rPr>
                <w:spacing w:val="-2"/>
                <w:sz w:val="26"/>
                <w:szCs w:val="26"/>
              </w:rPr>
              <w:t>u un ieviešot jaunu īpašu PVN režīmu preču sūtījumiem no trešajām va</w:t>
            </w:r>
            <w:r w:rsidR="009C5056" w:rsidRPr="002A4D6D">
              <w:rPr>
                <w:spacing w:val="-2"/>
                <w:sz w:val="26"/>
                <w:szCs w:val="26"/>
              </w:rPr>
              <w:t>lstīm vai trešajām teritorijām</w:t>
            </w:r>
            <w:r w:rsidR="00C10635" w:rsidRPr="002A4D6D">
              <w:rPr>
                <w:spacing w:val="-2"/>
                <w:sz w:val="26"/>
                <w:szCs w:val="26"/>
              </w:rPr>
              <w:t>.</w:t>
            </w:r>
          </w:p>
          <w:p w14:paraId="631321BA" w14:textId="5865C301" w:rsidR="00F61984" w:rsidRPr="002A4D6D" w:rsidRDefault="00EC0FC1" w:rsidP="002A4D6D">
            <w:pPr>
              <w:ind w:left="113" w:right="113"/>
              <w:jc w:val="both"/>
              <w:rPr>
                <w:rFonts w:eastAsia="Times New Roman"/>
                <w:spacing w:val="-2"/>
                <w:sz w:val="26"/>
                <w:szCs w:val="26"/>
                <w:lang w:eastAsia="lv-LV"/>
              </w:rPr>
            </w:pPr>
            <w:r w:rsidRPr="002A4D6D">
              <w:rPr>
                <w:spacing w:val="-2"/>
                <w:sz w:val="26"/>
                <w:szCs w:val="26"/>
              </w:rPr>
              <w:t>Likumprojekts stājas spēkā 2021.gada 1.janvārī.</w:t>
            </w:r>
          </w:p>
        </w:tc>
      </w:tr>
      <w:bookmarkEnd w:id="0"/>
      <w:bookmarkEnd w:id="1"/>
      <w:tr w:rsidR="00F207FB" w:rsidRPr="002A4D6D" w14:paraId="27B9EE63" w14:textId="77777777" w:rsidTr="005E7435">
        <w:tblPrEx>
          <w:tblCellSpacing w:w="0" w:type="dxa"/>
          <w:tblCellMar>
            <w:top w:w="0" w:type="dxa"/>
            <w:left w:w="0" w:type="dxa"/>
            <w:bottom w:w="0" w:type="dxa"/>
            <w:right w:w="0" w:type="dxa"/>
          </w:tblCellMar>
        </w:tblPrEx>
        <w:trPr>
          <w:trHeight w:val="362"/>
          <w:tblCellSpacing w:w="0" w:type="dxa"/>
        </w:trPr>
        <w:tc>
          <w:tcPr>
            <w:tcW w:w="5000" w:type="pct"/>
            <w:gridSpan w:val="16"/>
            <w:tcBorders>
              <w:top w:val="single" w:sz="4" w:space="0" w:color="auto"/>
              <w:left w:val="nil"/>
              <w:bottom w:val="single" w:sz="4" w:space="0" w:color="auto"/>
              <w:right w:val="nil"/>
            </w:tcBorders>
            <w:vAlign w:val="center"/>
            <w:hideMark/>
          </w:tcPr>
          <w:p w14:paraId="103DA399" w14:textId="77777777" w:rsidR="005A039A" w:rsidRPr="002A4D6D" w:rsidRDefault="005A039A" w:rsidP="002A4D6D">
            <w:pPr>
              <w:ind w:right="-213"/>
              <w:jc w:val="center"/>
              <w:rPr>
                <w:rFonts w:eastAsia="Times New Roman"/>
                <w:spacing w:val="-2"/>
                <w:sz w:val="26"/>
                <w:szCs w:val="26"/>
                <w:lang w:eastAsia="lv-LV"/>
              </w:rPr>
            </w:pPr>
            <w:r w:rsidRPr="002A4D6D">
              <w:rPr>
                <w:rFonts w:eastAsia="Times New Roman"/>
                <w:b/>
                <w:bCs/>
                <w:spacing w:val="-2"/>
                <w:sz w:val="26"/>
                <w:szCs w:val="26"/>
                <w:lang w:eastAsia="lv-LV"/>
              </w:rPr>
              <w:t>I. Tiesību akta projekta izstrādes nepieciešamība</w:t>
            </w:r>
          </w:p>
        </w:tc>
      </w:tr>
      <w:tr w:rsidR="00F207FB" w:rsidRPr="002A4D6D" w14:paraId="7D966FE7" w14:textId="77777777" w:rsidTr="005E7435">
        <w:tblPrEx>
          <w:tblCellSpacing w:w="0" w:type="dxa"/>
          <w:tblCellMar>
            <w:top w:w="0" w:type="dxa"/>
            <w:left w:w="0" w:type="dxa"/>
            <w:bottom w:w="0" w:type="dxa"/>
            <w:right w:w="0" w:type="dxa"/>
          </w:tblCellMar>
        </w:tblPrEx>
        <w:trPr>
          <w:trHeight w:val="361"/>
          <w:tblCellSpacing w:w="0" w:type="dxa"/>
        </w:trPr>
        <w:tc>
          <w:tcPr>
            <w:tcW w:w="274" w:type="pct"/>
            <w:gridSpan w:val="3"/>
            <w:tcBorders>
              <w:top w:val="single" w:sz="4" w:space="0" w:color="auto"/>
              <w:bottom w:val="single" w:sz="4" w:space="0" w:color="auto"/>
              <w:right w:val="single" w:sz="4" w:space="0" w:color="auto"/>
            </w:tcBorders>
            <w:hideMark/>
          </w:tcPr>
          <w:p w14:paraId="22FB2296" w14:textId="77777777" w:rsidR="005A039A" w:rsidRPr="002A4D6D" w:rsidRDefault="005A039A" w:rsidP="002A4D6D">
            <w:pPr>
              <w:rPr>
                <w:rFonts w:eastAsia="Times New Roman"/>
                <w:spacing w:val="-2"/>
                <w:sz w:val="26"/>
                <w:szCs w:val="26"/>
                <w:lang w:eastAsia="lv-LV"/>
              </w:rPr>
            </w:pPr>
            <w:r w:rsidRPr="002A4D6D">
              <w:rPr>
                <w:rFonts w:eastAsia="Times New Roman"/>
                <w:spacing w:val="-2"/>
                <w:sz w:val="26"/>
                <w:szCs w:val="26"/>
                <w:lang w:eastAsia="lv-LV"/>
              </w:rPr>
              <w:t>1.</w:t>
            </w:r>
          </w:p>
        </w:tc>
        <w:tc>
          <w:tcPr>
            <w:tcW w:w="1263" w:type="pct"/>
            <w:gridSpan w:val="3"/>
            <w:tcBorders>
              <w:top w:val="single" w:sz="4" w:space="0" w:color="auto"/>
              <w:left w:val="single" w:sz="4" w:space="0" w:color="auto"/>
              <w:bottom w:val="single" w:sz="4" w:space="0" w:color="auto"/>
              <w:right w:val="single" w:sz="4" w:space="0" w:color="auto"/>
            </w:tcBorders>
            <w:hideMark/>
          </w:tcPr>
          <w:p w14:paraId="176A8712" w14:textId="77777777" w:rsidR="005A039A" w:rsidRPr="002A4D6D" w:rsidRDefault="005A039A" w:rsidP="002A4D6D">
            <w:pPr>
              <w:rPr>
                <w:rFonts w:eastAsia="Times New Roman"/>
                <w:spacing w:val="-2"/>
                <w:sz w:val="26"/>
                <w:szCs w:val="26"/>
                <w:lang w:eastAsia="lv-LV"/>
              </w:rPr>
            </w:pPr>
            <w:r w:rsidRPr="002A4D6D">
              <w:rPr>
                <w:rFonts w:eastAsia="Times New Roman"/>
                <w:spacing w:val="-2"/>
                <w:sz w:val="26"/>
                <w:szCs w:val="26"/>
                <w:lang w:eastAsia="lv-LV"/>
              </w:rPr>
              <w:t> Pamatojums</w:t>
            </w:r>
          </w:p>
        </w:tc>
        <w:tc>
          <w:tcPr>
            <w:tcW w:w="3463" w:type="pct"/>
            <w:gridSpan w:val="10"/>
            <w:tcBorders>
              <w:top w:val="single" w:sz="4" w:space="0" w:color="auto"/>
              <w:left w:val="single" w:sz="4" w:space="0" w:color="auto"/>
              <w:bottom w:val="single" w:sz="4" w:space="0" w:color="auto"/>
              <w:right w:val="nil"/>
            </w:tcBorders>
            <w:hideMark/>
          </w:tcPr>
          <w:p w14:paraId="1A98E1F5" w14:textId="77777777" w:rsidR="00EC0FC1" w:rsidRPr="002A4D6D" w:rsidRDefault="00EC0FC1" w:rsidP="002A4D6D">
            <w:pPr>
              <w:ind w:left="124" w:right="109"/>
              <w:jc w:val="both"/>
              <w:rPr>
                <w:spacing w:val="-2"/>
                <w:sz w:val="26"/>
                <w:szCs w:val="26"/>
              </w:rPr>
            </w:pPr>
            <w:r w:rsidRPr="002A4D6D">
              <w:rPr>
                <w:spacing w:val="-2"/>
                <w:sz w:val="26"/>
                <w:szCs w:val="26"/>
              </w:rPr>
              <w:t xml:space="preserve">Likumprojekts “Grozījumi Pievienotās vērtības nodokļa likumā” (turpmāk – likumprojekts) ir </w:t>
            </w:r>
            <w:r w:rsidRPr="002A4D6D">
              <w:rPr>
                <w:iCs/>
                <w:spacing w:val="-2"/>
                <w:sz w:val="26"/>
                <w:szCs w:val="26"/>
              </w:rPr>
              <w:t>izstrādāts</w:t>
            </w:r>
            <w:r w:rsidRPr="002A4D6D">
              <w:rPr>
                <w:spacing w:val="-2"/>
                <w:sz w:val="26"/>
                <w:szCs w:val="26"/>
              </w:rPr>
              <w:t>, lai:</w:t>
            </w:r>
          </w:p>
          <w:p w14:paraId="762146E9" w14:textId="77777777" w:rsidR="00EC0FC1" w:rsidRPr="002A4D6D" w:rsidRDefault="00EC0FC1" w:rsidP="002A4D6D">
            <w:pPr>
              <w:pStyle w:val="ListParagraph"/>
              <w:numPr>
                <w:ilvl w:val="0"/>
                <w:numId w:val="2"/>
              </w:numPr>
              <w:spacing w:after="0" w:line="240" w:lineRule="auto"/>
              <w:ind w:left="58" w:right="157" w:firstLine="302"/>
              <w:jc w:val="both"/>
              <w:rPr>
                <w:spacing w:val="-2"/>
                <w:sz w:val="26"/>
                <w:szCs w:val="26"/>
              </w:rPr>
            </w:pPr>
            <w:r w:rsidRPr="002A4D6D">
              <w:rPr>
                <w:spacing w:val="-2"/>
                <w:sz w:val="26"/>
                <w:szCs w:val="26"/>
              </w:rPr>
              <w:t>pārņemtu Padomes 2017.gada 5.decembra direktīvas (ES) 2017/2455, ar ko groza Direktīvu 2006/112/EK un Direktīvas 2009/132/EK attiecībā uz konkrētām pievienotās vērtības nodokļa saistībām pakalpojumu sniegšanā un preču tālpārdošanā (turpmāk – Direktīva 2017/2455) regulējumu, kas stājas spēkā 2021.gada 1.janvārī;</w:t>
            </w:r>
          </w:p>
          <w:p w14:paraId="75AA451A" w14:textId="77777777" w:rsidR="00EC0FC1" w:rsidRPr="002A4D6D" w:rsidRDefault="00EC0FC1" w:rsidP="002A4D6D">
            <w:pPr>
              <w:pStyle w:val="ListParagraph"/>
              <w:numPr>
                <w:ilvl w:val="0"/>
                <w:numId w:val="2"/>
              </w:numPr>
              <w:spacing w:after="0" w:line="240" w:lineRule="auto"/>
              <w:ind w:left="58" w:right="157" w:firstLine="302"/>
              <w:jc w:val="both"/>
              <w:rPr>
                <w:spacing w:val="-2"/>
                <w:sz w:val="26"/>
                <w:szCs w:val="26"/>
              </w:rPr>
            </w:pPr>
            <w:r w:rsidRPr="002A4D6D">
              <w:rPr>
                <w:spacing w:val="-2"/>
                <w:sz w:val="26"/>
                <w:szCs w:val="26"/>
              </w:rPr>
              <w:t>pārņemtu Padomes 2019.gada 21.novembra direktīvas (ES) 2019/1995, ar ko attiecībā uz noteikumiem par preču tālpārdošanu un konkrētām preču piegādēm iekšzemē groza Direktīvu 2006/112/EK (turpmāk – Direktīva 2019/1995), regulējumu;</w:t>
            </w:r>
          </w:p>
          <w:p w14:paraId="6CCC8851" w14:textId="2BFDD807" w:rsidR="00C10635" w:rsidRPr="002A4D6D" w:rsidRDefault="00C10635" w:rsidP="002A4D6D">
            <w:pPr>
              <w:pStyle w:val="ListParagraph"/>
              <w:numPr>
                <w:ilvl w:val="0"/>
                <w:numId w:val="2"/>
              </w:numPr>
              <w:spacing w:after="0" w:line="240" w:lineRule="auto"/>
              <w:ind w:left="58" w:right="157" w:firstLine="302"/>
              <w:jc w:val="both"/>
              <w:rPr>
                <w:spacing w:val="-2"/>
                <w:sz w:val="26"/>
                <w:szCs w:val="26"/>
              </w:rPr>
            </w:pPr>
            <w:r w:rsidRPr="002A4D6D">
              <w:rPr>
                <w:spacing w:val="-2"/>
                <w:sz w:val="26"/>
                <w:szCs w:val="26"/>
              </w:rPr>
              <w:t>pārņemtu Padomes 2018.gada 4.decembra direktīvas (ES) 2018/1910, ar ko groza Direktīvu 2006/112/EK attiecībā uz atsevišķu pievienotās vērtības nodokļa sistēmas noteikumu saskaņošanu un vienkāršošanu tirdzniecībā starp dalībvalstīm, 36.panta 4.punktu.</w:t>
            </w:r>
          </w:p>
        </w:tc>
      </w:tr>
      <w:tr w:rsidR="00F207FB" w:rsidRPr="002A4D6D" w14:paraId="5670652C" w14:textId="77777777" w:rsidTr="005E7435">
        <w:tblPrEx>
          <w:tblCellSpacing w:w="0" w:type="dxa"/>
          <w:tblCellMar>
            <w:top w:w="0" w:type="dxa"/>
            <w:left w:w="0" w:type="dxa"/>
            <w:bottom w:w="0" w:type="dxa"/>
            <w:right w:w="0" w:type="dxa"/>
          </w:tblCellMar>
        </w:tblPrEx>
        <w:trPr>
          <w:trHeight w:val="699"/>
          <w:tblCellSpacing w:w="0" w:type="dxa"/>
        </w:trPr>
        <w:tc>
          <w:tcPr>
            <w:tcW w:w="274" w:type="pct"/>
            <w:gridSpan w:val="3"/>
            <w:hideMark/>
          </w:tcPr>
          <w:p w14:paraId="0F4FE117" w14:textId="77777777" w:rsidR="005A039A" w:rsidRPr="002A4D6D" w:rsidRDefault="007D6062" w:rsidP="002A4D6D">
            <w:pPr>
              <w:jc w:val="both"/>
              <w:rPr>
                <w:rFonts w:eastAsia="Times New Roman"/>
                <w:spacing w:val="-2"/>
                <w:sz w:val="26"/>
                <w:szCs w:val="26"/>
                <w:lang w:eastAsia="lv-LV"/>
              </w:rPr>
            </w:pPr>
            <w:r w:rsidRPr="002A4D6D">
              <w:rPr>
                <w:rFonts w:eastAsia="Times New Roman"/>
                <w:spacing w:val="-2"/>
                <w:sz w:val="26"/>
                <w:szCs w:val="26"/>
                <w:lang w:eastAsia="lv-LV"/>
              </w:rPr>
              <w:t>2.</w:t>
            </w:r>
          </w:p>
        </w:tc>
        <w:tc>
          <w:tcPr>
            <w:tcW w:w="1263" w:type="pct"/>
            <w:gridSpan w:val="3"/>
            <w:hideMark/>
          </w:tcPr>
          <w:p w14:paraId="067ADFB0" w14:textId="53B03E1B" w:rsidR="00C2713F" w:rsidRPr="002A4D6D" w:rsidRDefault="002F024F" w:rsidP="002A4D6D">
            <w:pPr>
              <w:tabs>
                <w:tab w:val="left" w:pos="341"/>
              </w:tabs>
              <w:ind w:left="114" w:right="126"/>
              <w:rPr>
                <w:rFonts w:eastAsia="Times New Roman"/>
                <w:spacing w:val="-2"/>
                <w:sz w:val="26"/>
                <w:szCs w:val="26"/>
                <w:lang w:eastAsia="lv-LV"/>
              </w:rPr>
            </w:pPr>
            <w:r w:rsidRPr="002A4D6D">
              <w:rPr>
                <w:rFonts w:eastAsia="Times New Roman"/>
                <w:spacing w:val="-2"/>
                <w:sz w:val="26"/>
                <w:szCs w:val="26"/>
                <w:lang w:eastAsia="lv-LV"/>
              </w:rPr>
              <w:t xml:space="preserve">Pašreizējā situācija un </w:t>
            </w:r>
            <w:r w:rsidR="005A039A" w:rsidRPr="002A4D6D">
              <w:rPr>
                <w:rFonts w:eastAsia="Times New Roman"/>
                <w:spacing w:val="-2"/>
                <w:sz w:val="26"/>
                <w:szCs w:val="26"/>
                <w:lang w:eastAsia="lv-LV"/>
              </w:rPr>
              <w:t>problēmas</w:t>
            </w:r>
            <w:r w:rsidR="00BD669C" w:rsidRPr="002A4D6D">
              <w:rPr>
                <w:rFonts w:eastAsia="Times New Roman"/>
                <w:spacing w:val="-2"/>
                <w:sz w:val="26"/>
                <w:szCs w:val="26"/>
                <w:lang w:eastAsia="lv-LV"/>
              </w:rPr>
              <w:t>, kuru risināšanai tiesību akta projekts izstrādāts, izstrādātā tiesi</w:t>
            </w:r>
            <w:r w:rsidR="00BD2110" w:rsidRPr="002A4D6D">
              <w:rPr>
                <w:rFonts w:eastAsia="Times New Roman"/>
                <w:spacing w:val="-2"/>
                <w:sz w:val="26"/>
                <w:szCs w:val="26"/>
                <w:lang w:eastAsia="lv-LV"/>
              </w:rPr>
              <w:t>s</w:t>
            </w:r>
            <w:r w:rsidR="00BD669C" w:rsidRPr="002A4D6D">
              <w:rPr>
                <w:rFonts w:eastAsia="Times New Roman"/>
                <w:spacing w:val="-2"/>
                <w:sz w:val="26"/>
                <w:szCs w:val="26"/>
                <w:lang w:eastAsia="lv-LV"/>
              </w:rPr>
              <w:t>kā regulējuma mērķis un būtība</w:t>
            </w:r>
          </w:p>
          <w:p w14:paraId="18DC135C" w14:textId="77777777" w:rsidR="00C2713F" w:rsidRPr="002A4D6D" w:rsidRDefault="00C2713F" w:rsidP="002A4D6D">
            <w:pPr>
              <w:rPr>
                <w:rFonts w:eastAsia="Times New Roman"/>
                <w:spacing w:val="-2"/>
                <w:sz w:val="26"/>
                <w:szCs w:val="26"/>
                <w:lang w:eastAsia="lv-LV"/>
              </w:rPr>
            </w:pPr>
          </w:p>
          <w:p w14:paraId="1246CF58" w14:textId="77777777" w:rsidR="00C2713F" w:rsidRPr="002A4D6D" w:rsidRDefault="00C2713F" w:rsidP="002A4D6D">
            <w:pPr>
              <w:rPr>
                <w:rFonts w:eastAsia="Times New Roman"/>
                <w:spacing w:val="-2"/>
                <w:sz w:val="26"/>
                <w:szCs w:val="26"/>
                <w:lang w:eastAsia="lv-LV"/>
              </w:rPr>
            </w:pPr>
          </w:p>
          <w:p w14:paraId="5ED64BBD" w14:textId="77777777" w:rsidR="00C2713F" w:rsidRPr="002A4D6D" w:rsidRDefault="00C2713F" w:rsidP="002A4D6D">
            <w:pPr>
              <w:rPr>
                <w:rFonts w:eastAsia="Times New Roman"/>
                <w:spacing w:val="-2"/>
                <w:sz w:val="26"/>
                <w:szCs w:val="26"/>
                <w:lang w:eastAsia="lv-LV"/>
              </w:rPr>
            </w:pPr>
          </w:p>
          <w:p w14:paraId="35DB2392" w14:textId="77777777" w:rsidR="00C2713F" w:rsidRPr="002A4D6D" w:rsidRDefault="00C2713F" w:rsidP="002A4D6D">
            <w:pPr>
              <w:rPr>
                <w:rFonts w:eastAsia="Times New Roman"/>
                <w:spacing w:val="-2"/>
                <w:sz w:val="26"/>
                <w:szCs w:val="26"/>
                <w:lang w:eastAsia="lv-LV"/>
              </w:rPr>
            </w:pPr>
          </w:p>
          <w:p w14:paraId="4B3CAE35" w14:textId="77777777" w:rsidR="00C2713F" w:rsidRPr="002A4D6D" w:rsidRDefault="00C2713F" w:rsidP="002A4D6D">
            <w:pPr>
              <w:rPr>
                <w:rFonts w:eastAsia="Times New Roman"/>
                <w:spacing w:val="-2"/>
                <w:sz w:val="26"/>
                <w:szCs w:val="26"/>
                <w:lang w:eastAsia="lv-LV"/>
              </w:rPr>
            </w:pPr>
          </w:p>
          <w:p w14:paraId="377097B0" w14:textId="77777777" w:rsidR="00C2713F" w:rsidRPr="002A4D6D" w:rsidRDefault="00C2713F" w:rsidP="002A4D6D">
            <w:pPr>
              <w:rPr>
                <w:rFonts w:eastAsia="Times New Roman"/>
                <w:spacing w:val="-2"/>
                <w:sz w:val="26"/>
                <w:szCs w:val="26"/>
                <w:lang w:eastAsia="lv-LV"/>
              </w:rPr>
            </w:pPr>
          </w:p>
          <w:p w14:paraId="18048786" w14:textId="77777777" w:rsidR="00C2713F" w:rsidRPr="002A4D6D" w:rsidRDefault="00C2713F" w:rsidP="002A4D6D">
            <w:pPr>
              <w:rPr>
                <w:rFonts w:eastAsia="Times New Roman"/>
                <w:spacing w:val="-2"/>
                <w:sz w:val="26"/>
                <w:szCs w:val="26"/>
                <w:lang w:eastAsia="lv-LV"/>
              </w:rPr>
            </w:pPr>
          </w:p>
          <w:p w14:paraId="410F69C1" w14:textId="77777777" w:rsidR="00C2713F" w:rsidRPr="002A4D6D" w:rsidRDefault="00C2713F" w:rsidP="002A4D6D">
            <w:pPr>
              <w:rPr>
                <w:rFonts w:eastAsia="Times New Roman"/>
                <w:spacing w:val="-2"/>
                <w:sz w:val="26"/>
                <w:szCs w:val="26"/>
                <w:lang w:eastAsia="lv-LV"/>
              </w:rPr>
            </w:pPr>
          </w:p>
          <w:p w14:paraId="782C3BEE" w14:textId="77777777" w:rsidR="00C2713F" w:rsidRPr="002A4D6D" w:rsidRDefault="00C2713F" w:rsidP="002A4D6D">
            <w:pPr>
              <w:rPr>
                <w:rFonts w:eastAsia="Times New Roman"/>
                <w:spacing w:val="-2"/>
                <w:sz w:val="26"/>
                <w:szCs w:val="26"/>
                <w:lang w:eastAsia="lv-LV"/>
              </w:rPr>
            </w:pPr>
          </w:p>
          <w:p w14:paraId="3BA44894" w14:textId="77777777" w:rsidR="00C2713F" w:rsidRPr="002A4D6D" w:rsidRDefault="00C2713F" w:rsidP="002A4D6D">
            <w:pPr>
              <w:rPr>
                <w:rFonts w:eastAsia="Times New Roman"/>
                <w:spacing w:val="-2"/>
                <w:sz w:val="26"/>
                <w:szCs w:val="26"/>
                <w:lang w:eastAsia="lv-LV"/>
              </w:rPr>
            </w:pPr>
          </w:p>
          <w:p w14:paraId="7DA4CF25" w14:textId="77777777" w:rsidR="00C2713F" w:rsidRPr="002A4D6D" w:rsidRDefault="00C2713F" w:rsidP="002A4D6D">
            <w:pPr>
              <w:rPr>
                <w:rFonts w:eastAsia="Times New Roman"/>
                <w:spacing w:val="-2"/>
                <w:sz w:val="26"/>
                <w:szCs w:val="26"/>
                <w:lang w:eastAsia="lv-LV"/>
              </w:rPr>
            </w:pPr>
          </w:p>
          <w:p w14:paraId="72621847" w14:textId="77777777" w:rsidR="00C2713F" w:rsidRPr="002A4D6D" w:rsidRDefault="00C2713F" w:rsidP="002A4D6D">
            <w:pPr>
              <w:rPr>
                <w:rFonts w:eastAsia="Times New Roman"/>
                <w:spacing w:val="-2"/>
                <w:sz w:val="26"/>
                <w:szCs w:val="26"/>
                <w:lang w:eastAsia="lv-LV"/>
              </w:rPr>
            </w:pPr>
          </w:p>
          <w:p w14:paraId="2B4B7B4F" w14:textId="384A601E" w:rsidR="00C2713F" w:rsidRPr="002A4D6D" w:rsidRDefault="00C2713F" w:rsidP="002A4D6D">
            <w:pPr>
              <w:rPr>
                <w:rFonts w:eastAsia="Times New Roman"/>
                <w:spacing w:val="-2"/>
                <w:sz w:val="26"/>
                <w:szCs w:val="26"/>
                <w:lang w:eastAsia="lv-LV"/>
              </w:rPr>
            </w:pPr>
          </w:p>
          <w:p w14:paraId="18563059" w14:textId="77777777" w:rsidR="005A039A" w:rsidRPr="002A4D6D" w:rsidRDefault="005A039A" w:rsidP="002A4D6D">
            <w:pPr>
              <w:jc w:val="center"/>
              <w:rPr>
                <w:rFonts w:eastAsia="Times New Roman"/>
                <w:spacing w:val="-2"/>
                <w:sz w:val="26"/>
                <w:szCs w:val="26"/>
                <w:lang w:eastAsia="lv-LV"/>
              </w:rPr>
            </w:pPr>
          </w:p>
        </w:tc>
        <w:tc>
          <w:tcPr>
            <w:tcW w:w="3463" w:type="pct"/>
            <w:gridSpan w:val="10"/>
          </w:tcPr>
          <w:p w14:paraId="6EC33A89" w14:textId="368EB1D6" w:rsidR="00037265" w:rsidRPr="002A4D6D" w:rsidRDefault="00A854E8" w:rsidP="002A4D6D">
            <w:pPr>
              <w:ind w:left="113" w:right="113"/>
              <w:jc w:val="both"/>
              <w:rPr>
                <w:spacing w:val="-2"/>
                <w:sz w:val="26"/>
                <w:szCs w:val="26"/>
              </w:rPr>
            </w:pPr>
            <w:r w:rsidRPr="002A4D6D">
              <w:rPr>
                <w:spacing w:val="-2"/>
                <w:sz w:val="26"/>
                <w:szCs w:val="26"/>
              </w:rPr>
              <w:lastRenderedPageBreak/>
              <w:t>G</w:t>
            </w:r>
            <w:r w:rsidR="001559DE" w:rsidRPr="002A4D6D">
              <w:rPr>
                <w:spacing w:val="-2"/>
                <w:sz w:val="26"/>
                <w:szCs w:val="26"/>
              </w:rPr>
              <w:t xml:space="preserve">lobalizācijas un tehnoloģiju pilnveidošanas rezultātā </w:t>
            </w:r>
            <w:r w:rsidRPr="002A4D6D">
              <w:rPr>
                <w:spacing w:val="-2"/>
                <w:sz w:val="26"/>
                <w:szCs w:val="26"/>
              </w:rPr>
              <w:t xml:space="preserve">notikusi strauja </w:t>
            </w:r>
            <w:r w:rsidR="001559DE" w:rsidRPr="002A4D6D">
              <w:rPr>
                <w:spacing w:val="-2"/>
                <w:sz w:val="26"/>
                <w:szCs w:val="26"/>
              </w:rPr>
              <w:t>e-komercija</w:t>
            </w:r>
            <w:r w:rsidR="00B373E2" w:rsidRPr="002A4D6D">
              <w:rPr>
                <w:spacing w:val="-2"/>
                <w:sz w:val="26"/>
                <w:szCs w:val="26"/>
              </w:rPr>
              <w:t>s</w:t>
            </w:r>
            <w:r w:rsidR="00F87F76" w:rsidRPr="002A4D6D">
              <w:rPr>
                <w:rStyle w:val="FootnoteReference"/>
                <w:spacing w:val="-2"/>
                <w:sz w:val="26"/>
                <w:szCs w:val="26"/>
              </w:rPr>
              <w:footnoteReference w:id="1"/>
            </w:r>
            <w:r w:rsidR="00B373E2" w:rsidRPr="002A4D6D">
              <w:rPr>
                <w:spacing w:val="-2"/>
                <w:sz w:val="26"/>
                <w:szCs w:val="26"/>
              </w:rPr>
              <w:t xml:space="preserve"> attīstība un </w:t>
            </w:r>
            <w:r w:rsidRPr="002A4D6D">
              <w:rPr>
                <w:spacing w:val="-2"/>
                <w:sz w:val="26"/>
                <w:szCs w:val="26"/>
              </w:rPr>
              <w:t>uzplaukums</w:t>
            </w:r>
            <w:r w:rsidR="00C54D53" w:rsidRPr="002A4D6D">
              <w:rPr>
                <w:spacing w:val="-2"/>
                <w:sz w:val="26"/>
                <w:szCs w:val="26"/>
              </w:rPr>
              <w:t xml:space="preserve"> </w:t>
            </w:r>
            <w:r w:rsidR="0003052E" w:rsidRPr="002A4D6D">
              <w:rPr>
                <w:spacing w:val="-2"/>
                <w:sz w:val="26"/>
                <w:szCs w:val="26"/>
              </w:rPr>
              <w:t xml:space="preserve">Eiropas Savienības (turpmāk – </w:t>
            </w:r>
            <w:r w:rsidR="00C54D53" w:rsidRPr="002A4D6D">
              <w:rPr>
                <w:spacing w:val="-2"/>
                <w:sz w:val="26"/>
                <w:szCs w:val="26"/>
              </w:rPr>
              <w:t>ES</w:t>
            </w:r>
            <w:r w:rsidR="0003052E" w:rsidRPr="002A4D6D">
              <w:rPr>
                <w:spacing w:val="-2"/>
                <w:sz w:val="26"/>
                <w:szCs w:val="26"/>
              </w:rPr>
              <w:t>)</w:t>
            </w:r>
            <w:r w:rsidR="00C54D53" w:rsidRPr="002A4D6D">
              <w:rPr>
                <w:spacing w:val="-2"/>
                <w:sz w:val="26"/>
                <w:szCs w:val="26"/>
              </w:rPr>
              <w:t xml:space="preserve"> līmenī.</w:t>
            </w:r>
            <w:r w:rsidRPr="002A4D6D">
              <w:rPr>
                <w:spacing w:val="-2"/>
                <w:sz w:val="26"/>
                <w:szCs w:val="26"/>
              </w:rPr>
              <w:t xml:space="preserve"> </w:t>
            </w:r>
            <w:r w:rsidR="00C54D53" w:rsidRPr="002A4D6D">
              <w:rPr>
                <w:spacing w:val="-2"/>
                <w:sz w:val="26"/>
                <w:szCs w:val="26"/>
              </w:rPr>
              <w:t>L</w:t>
            </w:r>
            <w:r w:rsidRPr="002A4D6D">
              <w:rPr>
                <w:spacing w:val="-2"/>
                <w:sz w:val="26"/>
                <w:szCs w:val="26"/>
              </w:rPr>
              <w:t>ai</w:t>
            </w:r>
            <w:r w:rsidR="00C54D53" w:rsidRPr="002A4D6D">
              <w:rPr>
                <w:spacing w:val="-2"/>
                <w:sz w:val="26"/>
                <w:szCs w:val="26"/>
              </w:rPr>
              <w:t xml:space="preserve"> </w:t>
            </w:r>
            <w:r w:rsidRPr="002A4D6D">
              <w:rPr>
                <w:spacing w:val="-2"/>
                <w:sz w:val="26"/>
                <w:szCs w:val="26"/>
              </w:rPr>
              <w:t>aizsargātu dalībvalstu ieņēmumus un radītu vienlīdzīgus konkurences apstākļus uzņēmējiem, ka</w:t>
            </w:r>
            <w:r w:rsidR="00BB6BD9" w:rsidRPr="002A4D6D">
              <w:rPr>
                <w:spacing w:val="-2"/>
                <w:sz w:val="26"/>
                <w:szCs w:val="26"/>
              </w:rPr>
              <w:t>s veic saimniecisko darbību ES</w:t>
            </w:r>
            <w:r w:rsidRPr="002A4D6D">
              <w:rPr>
                <w:spacing w:val="-2"/>
                <w:sz w:val="26"/>
                <w:szCs w:val="26"/>
              </w:rPr>
              <w:t xml:space="preserve">, un </w:t>
            </w:r>
            <w:r w:rsidR="009A58AF" w:rsidRPr="002A4D6D">
              <w:rPr>
                <w:spacing w:val="-2"/>
                <w:sz w:val="26"/>
                <w:szCs w:val="26"/>
              </w:rPr>
              <w:t xml:space="preserve">trešo </w:t>
            </w:r>
            <w:r w:rsidR="008C212F" w:rsidRPr="002A4D6D">
              <w:rPr>
                <w:spacing w:val="-2"/>
                <w:sz w:val="26"/>
                <w:szCs w:val="26"/>
              </w:rPr>
              <w:t xml:space="preserve">valstu un trešo </w:t>
            </w:r>
            <w:r w:rsidR="009A58AF" w:rsidRPr="002A4D6D">
              <w:rPr>
                <w:spacing w:val="-2"/>
                <w:sz w:val="26"/>
                <w:szCs w:val="26"/>
              </w:rPr>
              <w:t xml:space="preserve">teritoriju </w:t>
            </w:r>
            <w:r w:rsidR="00C54D53" w:rsidRPr="002A4D6D">
              <w:rPr>
                <w:spacing w:val="-2"/>
                <w:sz w:val="26"/>
                <w:szCs w:val="26"/>
              </w:rPr>
              <w:t>uzņēmējiem,</w:t>
            </w:r>
            <w:r w:rsidR="00037265" w:rsidRPr="002A4D6D">
              <w:rPr>
                <w:spacing w:val="-2"/>
                <w:sz w:val="26"/>
                <w:szCs w:val="26"/>
              </w:rPr>
              <w:t xml:space="preserve"> </w:t>
            </w:r>
            <w:r w:rsidR="0003052E" w:rsidRPr="002A4D6D">
              <w:rPr>
                <w:spacing w:val="-2"/>
                <w:sz w:val="26"/>
                <w:szCs w:val="26"/>
              </w:rPr>
              <w:t xml:space="preserve">kā arī samazinātu administratīvu slogu, </w:t>
            </w:r>
            <w:r w:rsidR="00037265" w:rsidRPr="002A4D6D">
              <w:rPr>
                <w:spacing w:val="-2"/>
                <w:sz w:val="26"/>
                <w:szCs w:val="26"/>
              </w:rPr>
              <w:t>ES Padome 2017.gada 5.decembrī pieņ</w:t>
            </w:r>
            <w:r w:rsidRPr="002A4D6D">
              <w:rPr>
                <w:spacing w:val="-2"/>
                <w:sz w:val="26"/>
                <w:szCs w:val="26"/>
              </w:rPr>
              <w:t>ēma</w:t>
            </w:r>
            <w:r w:rsidR="00037265" w:rsidRPr="002A4D6D">
              <w:rPr>
                <w:spacing w:val="-2"/>
                <w:sz w:val="26"/>
                <w:szCs w:val="26"/>
              </w:rPr>
              <w:t xml:space="preserve"> Direktīv</w:t>
            </w:r>
            <w:r w:rsidRPr="002A4D6D">
              <w:rPr>
                <w:spacing w:val="-2"/>
                <w:sz w:val="26"/>
                <w:szCs w:val="26"/>
              </w:rPr>
              <w:t>u</w:t>
            </w:r>
            <w:r w:rsidR="00037265" w:rsidRPr="002A4D6D">
              <w:rPr>
                <w:spacing w:val="-2"/>
                <w:sz w:val="26"/>
                <w:szCs w:val="26"/>
              </w:rPr>
              <w:t xml:space="preserve"> 2017/2455, </w:t>
            </w:r>
            <w:r w:rsidRPr="002A4D6D">
              <w:rPr>
                <w:spacing w:val="-2"/>
                <w:sz w:val="26"/>
                <w:szCs w:val="26"/>
              </w:rPr>
              <w:t xml:space="preserve">ar kuru pilnveidots Padomes 2006.gada 28.novembra direktīvas 2006/112/EK par kopējo pievienotās vērtības nodokļa sistēmu (turpmāk – </w:t>
            </w:r>
            <w:r w:rsidR="001C5C30" w:rsidRPr="002A4D6D">
              <w:rPr>
                <w:spacing w:val="-2"/>
                <w:sz w:val="26"/>
                <w:szCs w:val="26"/>
              </w:rPr>
              <w:t xml:space="preserve">Direktīva </w:t>
            </w:r>
            <w:hyperlink r:id="rId8" w:tgtFrame="_blank" w:history="1">
              <w:r w:rsidR="001C5C30" w:rsidRPr="002A4D6D">
                <w:rPr>
                  <w:spacing w:val="-2"/>
                  <w:sz w:val="26"/>
                  <w:szCs w:val="26"/>
                </w:rPr>
                <w:t>2006/112/EK</w:t>
              </w:r>
            </w:hyperlink>
            <w:r w:rsidRPr="002A4D6D">
              <w:rPr>
                <w:spacing w:val="-2"/>
                <w:sz w:val="26"/>
                <w:szCs w:val="26"/>
              </w:rPr>
              <w:t>) regulējums</w:t>
            </w:r>
            <w:r w:rsidR="00242655" w:rsidRPr="002A4D6D">
              <w:rPr>
                <w:spacing w:val="-2"/>
                <w:sz w:val="26"/>
                <w:szCs w:val="26"/>
              </w:rPr>
              <w:t xml:space="preserve"> e-komercijas jomā</w:t>
            </w:r>
            <w:r w:rsidRPr="002A4D6D">
              <w:rPr>
                <w:spacing w:val="-2"/>
                <w:sz w:val="26"/>
                <w:szCs w:val="26"/>
              </w:rPr>
              <w:t xml:space="preserve">, </w:t>
            </w:r>
            <w:r w:rsidR="00037265" w:rsidRPr="002A4D6D">
              <w:rPr>
                <w:spacing w:val="-2"/>
                <w:sz w:val="26"/>
                <w:szCs w:val="26"/>
              </w:rPr>
              <w:t>atsevišķ</w:t>
            </w:r>
            <w:r w:rsidRPr="002A4D6D">
              <w:rPr>
                <w:spacing w:val="-2"/>
                <w:sz w:val="26"/>
                <w:szCs w:val="26"/>
              </w:rPr>
              <w:t>ām</w:t>
            </w:r>
            <w:r w:rsidR="00037265" w:rsidRPr="002A4D6D">
              <w:rPr>
                <w:spacing w:val="-2"/>
                <w:sz w:val="26"/>
                <w:szCs w:val="26"/>
              </w:rPr>
              <w:t xml:space="preserve"> norm</w:t>
            </w:r>
            <w:r w:rsidRPr="002A4D6D">
              <w:rPr>
                <w:spacing w:val="-2"/>
                <w:sz w:val="26"/>
                <w:szCs w:val="26"/>
              </w:rPr>
              <w:t>ām stājotie</w:t>
            </w:r>
            <w:r w:rsidR="00037265" w:rsidRPr="002A4D6D">
              <w:rPr>
                <w:spacing w:val="-2"/>
                <w:sz w:val="26"/>
                <w:szCs w:val="26"/>
              </w:rPr>
              <w:t>s spēkā 2019.gada 1.janvārī</w:t>
            </w:r>
            <w:r w:rsidR="0003052E" w:rsidRPr="002A4D6D">
              <w:rPr>
                <w:spacing w:val="-2"/>
                <w:sz w:val="26"/>
                <w:szCs w:val="26"/>
              </w:rPr>
              <w:t xml:space="preserve"> (grozījumu I posms)</w:t>
            </w:r>
            <w:r w:rsidR="00600946" w:rsidRPr="002A4D6D">
              <w:rPr>
                <w:spacing w:val="-2"/>
                <w:sz w:val="26"/>
                <w:szCs w:val="26"/>
              </w:rPr>
              <w:t xml:space="preserve">, bet </w:t>
            </w:r>
            <w:r w:rsidR="00037265" w:rsidRPr="002A4D6D">
              <w:rPr>
                <w:spacing w:val="-2"/>
                <w:sz w:val="26"/>
                <w:szCs w:val="26"/>
              </w:rPr>
              <w:t>norm</w:t>
            </w:r>
            <w:r w:rsidR="00600946" w:rsidRPr="002A4D6D">
              <w:rPr>
                <w:spacing w:val="-2"/>
                <w:sz w:val="26"/>
                <w:szCs w:val="26"/>
              </w:rPr>
              <w:t>ām</w:t>
            </w:r>
            <w:r w:rsidR="00037265" w:rsidRPr="002A4D6D">
              <w:rPr>
                <w:spacing w:val="-2"/>
                <w:sz w:val="26"/>
                <w:szCs w:val="26"/>
              </w:rPr>
              <w:t xml:space="preserve">, ar kurām tiek radīts </w:t>
            </w:r>
            <w:r w:rsidR="00BB6BD9" w:rsidRPr="002A4D6D">
              <w:rPr>
                <w:spacing w:val="-2"/>
                <w:sz w:val="26"/>
                <w:szCs w:val="26"/>
              </w:rPr>
              <w:t xml:space="preserve">jauns </w:t>
            </w:r>
            <w:r w:rsidR="00713FC5" w:rsidRPr="002A4D6D">
              <w:rPr>
                <w:spacing w:val="-2"/>
                <w:sz w:val="26"/>
                <w:szCs w:val="26"/>
              </w:rPr>
              <w:t xml:space="preserve">pievienotās </w:t>
            </w:r>
            <w:r w:rsidR="00713FC5" w:rsidRPr="002A4D6D">
              <w:rPr>
                <w:spacing w:val="-2"/>
                <w:sz w:val="26"/>
                <w:szCs w:val="26"/>
              </w:rPr>
              <w:lastRenderedPageBreak/>
              <w:t xml:space="preserve">vērtības nodokļa (turpmāk – </w:t>
            </w:r>
            <w:r w:rsidR="00CF318D" w:rsidRPr="002A4D6D">
              <w:rPr>
                <w:spacing w:val="-2"/>
                <w:sz w:val="26"/>
                <w:szCs w:val="26"/>
              </w:rPr>
              <w:t>PVN</w:t>
            </w:r>
            <w:r w:rsidR="00713FC5" w:rsidRPr="002A4D6D">
              <w:rPr>
                <w:spacing w:val="-2"/>
                <w:sz w:val="26"/>
                <w:szCs w:val="26"/>
              </w:rPr>
              <w:t>)</w:t>
            </w:r>
            <w:r w:rsidR="00CF318D" w:rsidRPr="002A4D6D">
              <w:rPr>
                <w:spacing w:val="-2"/>
                <w:sz w:val="26"/>
                <w:szCs w:val="26"/>
              </w:rPr>
              <w:t xml:space="preserve"> </w:t>
            </w:r>
            <w:r w:rsidR="00037265" w:rsidRPr="002A4D6D">
              <w:rPr>
                <w:spacing w:val="-2"/>
                <w:sz w:val="26"/>
                <w:szCs w:val="26"/>
              </w:rPr>
              <w:t xml:space="preserve">regulējums </w:t>
            </w:r>
            <w:r w:rsidR="00CF318D" w:rsidRPr="002A4D6D">
              <w:rPr>
                <w:spacing w:val="-2"/>
                <w:sz w:val="26"/>
                <w:szCs w:val="26"/>
              </w:rPr>
              <w:t>preču tālpārdošanas darījumiem</w:t>
            </w:r>
            <w:r w:rsidR="00037265" w:rsidRPr="002A4D6D">
              <w:rPr>
                <w:spacing w:val="-2"/>
                <w:sz w:val="26"/>
                <w:szCs w:val="26"/>
              </w:rPr>
              <w:t xml:space="preserve">, </w:t>
            </w:r>
            <w:r w:rsidR="0003052E" w:rsidRPr="002A4D6D">
              <w:rPr>
                <w:spacing w:val="-2"/>
                <w:sz w:val="26"/>
                <w:szCs w:val="26"/>
              </w:rPr>
              <w:t>būtu jā</w:t>
            </w:r>
            <w:r w:rsidR="003B55FD" w:rsidRPr="002A4D6D">
              <w:rPr>
                <w:spacing w:val="-2"/>
                <w:sz w:val="26"/>
                <w:szCs w:val="26"/>
              </w:rPr>
              <w:t>stā</w:t>
            </w:r>
            <w:r w:rsidR="0003052E" w:rsidRPr="002A4D6D">
              <w:rPr>
                <w:spacing w:val="-2"/>
                <w:sz w:val="26"/>
                <w:szCs w:val="26"/>
              </w:rPr>
              <w:t>ja</w:t>
            </w:r>
            <w:r w:rsidR="003B55FD" w:rsidRPr="002A4D6D">
              <w:rPr>
                <w:spacing w:val="-2"/>
                <w:sz w:val="26"/>
                <w:szCs w:val="26"/>
              </w:rPr>
              <w:t>s</w:t>
            </w:r>
            <w:r w:rsidR="00037265" w:rsidRPr="002A4D6D">
              <w:rPr>
                <w:spacing w:val="-2"/>
                <w:sz w:val="26"/>
                <w:szCs w:val="26"/>
              </w:rPr>
              <w:t xml:space="preserve"> spēkā 2021.gada 1.janvārī</w:t>
            </w:r>
            <w:r w:rsidR="0003052E" w:rsidRPr="002A4D6D">
              <w:rPr>
                <w:spacing w:val="-2"/>
                <w:sz w:val="26"/>
                <w:szCs w:val="26"/>
              </w:rPr>
              <w:t xml:space="preserve"> (grozījumu II posms)</w:t>
            </w:r>
            <w:r w:rsidR="00037265" w:rsidRPr="002A4D6D">
              <w:rPr>
                <w:spacing w:val="-2"/>
                <w:sz w:val="26"/>
                <w:szCs w:val="26"/>
              </w:rPr>
              <w:t xml:space="preserve">. </w:t>
            </w:r>
            <w:r w:rsidR="003B55FD" w:rsidRPr="002A4D6D">
              <w:rPr>
                <w:spacing w:val="-2"/>
                <w:sz w:val="26"/>
                <w:szCs w:val="26"/>
              </w:rPr>
              <w:t>Lai padarītu e-komercijas regulējuma piemērošanu nepārprotami skaidru,</w:t>
            </w:r>
            <w:r w:rsidR="00037265" w:rsidRPr="002A4D6D">
              <w:rPr>
                <w:spacing w:val="-2"/>
                <w:sz w:val="26"/>
                <w:szCs w:val="26"/>
              </w:rPr>
              <w:t xml:space="preserve"> ar Direktīvu 2019/1995 ir veikti </w:t>
            </w:r>
            <w:r w:rsidR="003B55FD" w:rsidRPr="002A4D6D">
              <w:rPr>
                <w:spacing w:val="-2"/>
                <w:sz w:val="26"/>
                <w:szCs w:val="26"/>
              </w:rPr>
              <w:t xml:space="preserve">daži </w:t>
            </w:r>
            <w:r w:rsidR="00037265" w:rsidRPr="002A4D6D">
              <w:rPr>
                <w:spacing w:val="-2"/>
                <w:sz w:val="26"/>
                <w:szCs w:val="26"/>
              </w:rPr>
              <w:t xml:space="preserve">tehniski precizējumi </w:t>
            </w:r>
            <w:r w:rsidR="003B55FD" w:rsidRPr="002A4D6D">
              <w:rPr>
                <w:spacing w:val="-2"/>
                <w:sz w:val="26"/>
                <w:szCs w:val="26"/>
              </w:rPr>
              <w:t xml:space="preserve">Direktīvas 2017/2455 </w:t>
            </w:r>
            <w:r w:rsidR="00600946" w:rsidRPr="002A4D6D">
              <w:rPr>
                <w:spacing w:val="-2"/>
                <w:sz w:val="26"/>
                <w:szCs w:val="26"/>
              </w:rPr>
              <w:t>normās</w:t>
            </w:r>
            <w:r w:rsidR="001559DE" w:rsidRPr="002A4D6D">
              <w:rPr>
                <w:spacing w:val="-2"/>
                <w:sz w:val="26"/>
                <w:szCs w:val="26"/>
              </w:rPr>
              <w:t>.</w:t>
            </w:r>
          </w:p>
          <w:p w14:paraId="00EE9073" w14:textId="0CAD58B3" w:rsidR="007A436F" w:rsidRPr="002A4D6D" w:rsidRDefault="00FA0D59" w:rsidP="002A4D6D">
            <w:pPr>
              <w:ind w:left="113" w:right="113"/>
              <w:jc w:val="both"/>
              <w:rPr>
                <w:spacing w:val="-2"/>
                <w:sz w:val="26"/>
                <w:szCs w:val="26"/>
                <w:lang w:eastAsia="lv-LV"/>
              </w:rPr>
            </w:pPr>
            <w:r w:rsidRPr="002A4D6D">
              <w:rPr>
                <w:spacing w:val="-2"/>
                <w:sz w:val="26"/>
                <w:szCs w:val="26"/>
              </w:rPr>
              <w:t>Š</w:t>
            </w:r>
            <w:r w:rsidR="001559DE" w:rsidRPr="002A4D6D">
              <w:rPr>
                <w:spacing w:val="-2"/>
                <w:sz w:val="26"/>
                <w:szCs w:val="26"/>
              </w:rPr>
              <w:t xml:space="preserve">obrīd </w:t>
            </w:r>
            <w:r w:rsidR="004B687F" w:rsidRPr="002A4D6D">
              <w:rPr>
                <w:spacing w:val="-2"/>
                <w:sz w:val="26"/>
                <w:szCs w:val="26"/>
              </w:rPr>
              <w:t>uzņēmumi</w:t>
            </w:r>
            <w:r w:rsidR="00242655" w:rsidRPr="002A4D6D">
              <w:rPr>
                <w:spacing w:val="-2"/>
                <w:sz w:val="26"/>
                <w:szCs w:val="26"/>
              </w:rPr>
              <w:t xml:space="preserve"> PVN maksāšanas nolūkam var reģistrēties </w:t>
            </w:r>
            <w:r w:rsidR="0003052E" w:rsidRPr="002A4D6D">
              <w:rPr>
                <w:spacing w:val="-2"/>
                <w:sz w:val="26"/>
                <w:szCs w:val="26"/>
              </w:rPr>
              <w:t xml:space="preserve">tikai </w:t>
            </w:r>
            <w:r w:rsidR="00242655" w:rsidRPr="002A4D6D">
              <w:rPr>
                <w:spacing w:val="-2"/>
                <w:sz w:val="26"/>
                <w:szCs w:val="26"/>
              </w:rPr>
              <w:t>vienā dalībvalstī, ja tie sniedz elektronisko sakaru, apraides un elektroniski sniegtos pakalpojumus un ir</w:t>
            </w:r>
            <w:r w:rsidR="004B687F" w:rsidRPr="002A4D6D">
              <w:rPr>
                <w:spacing w:val="-2"/>
                <w:sz w:val="26"/>
                <w:szCs w:val="26"/>
              </w:rPr>
              <w:t xml:space="preserve"> </w:t>
            </w:r>
            <w:r w:rsidR="001559DE" w:rsidRPr="002A4D6D">
              <w:rPr>
                <w:spacing w:val="-2"/>
                <w:sz w:val="26"/>
                <w:szCs w:val="26"/>
              </w:rPr>
              <w:t xml:space="preserve">izvēlējušies izmantot īpašu PVN režīmu </w:t>
            </w:r>
            <w:r w:rsidR="00BB6BD9" w:rsidRPr="002A4D6D">
              <w:rPr>
                <w:spacing w:val="-2"/>
                <w:sz w:val="26"/>
                <w:szCs w:val="26"/>
              </w:rPr>
              <w:t xml:space="preserve">– mini vienas pieturas shēmu </w:t>
            </w:r>
            <w:r w:rsidR="001559DE" w:rsidRPr="002A4D6D">
              <w:rPr>
                <w:spacing w:val="-2"/>
                <w:sz w:val="26"/>
                <w:szCs w:val="26"/>
              </w:rPr>
              <w:t>(</w:t>
            </w:r>
            <w:r w:rsidR="00292FD8" w:rsidRPr="002A4D6D">
              <w:rPr>
                <w:i/>
                <w:spacing w:val="-2"/>
                <w:sz w:val="26"/>
                <w:szCs w:val="26"/>
              </w:rPr>
              <w:t xml:space="preserve">Mini </w:t>
            </w:r>
            <w:proofErr w:type="spellStart"/>
            <w:r w:rsidR="00292FD8" w:rsidRPr="002A4D6D">
              <w:rPr>
                <w:i/>
                <w:spacing w:val="-2"/>
                <w:sz w:val="26"/>
                <w:szCs w:val="26"/>
              </w:rPr>
              <w:t>One</w:t>
            </w:r>
            <w:proofErr w:type="spellEnd"/>
            <w:r w:rsidR="00292FD8" w:rsidRPr="002A4D6D">
              <w:rPr>
                <w:i/>
                <w:spacing w:val="-2"/>
                <w:sz w:val="26"/>
                <w:szCs w:val="26"/>
              </w:rPr>
              <w:t xml:space="preserve"> Stop </w:t>
            </w:r>
            <w:proofErr w:type="spellStart"/>
            <w:r w:rsidR="00292FD8" w:rsidRPr="002A4D6D">
              <w:rPr>
                <w:i/>
                <w:spacing w:val="-2"/>
                <w:sz w:val="26"/>
                <w:szCs w:val="26"/>
              </w:rPr>
              <w:t>Shop</w:t>
            </w:r>
            <w:proofErr w:type="spellEnd"/>
            <w:r w:rsidR="00BB6BD9" w:rsidRPr="002A4D6D">
              <w:rPr>
                <w:spacing w:val="-2"/>
                <w:sz w:val="26"/>
                <w:szCs w:val="26"/>
                <w:vertAlign w:val="superscript"/>
              </w:rPr>
              <w:footnoteReference w:id="2"/>
            </w:r>
            <w:r w:rsidR="00292FD8" w:rsidRPr="002A4D6D">
              <w:rPr>
                <w:spacing w:val="-2"/>
                <w:sz w:val="26"/>
                <w:szCs w:val="26"/>
              </w:rPr>
              <w:t xml:space="preserve"> - </w:t>
            </w:r>
            <w:r w:rsidR="001559DE" w:rsidRPr="002A4D6D">
              <w:rPr>
                <w:spacing w:val="-2"/>
                <w:sz w:val="26"/>
                <w:szCs w:val="26"/>
              </w:rPr>
              <w:t>MOSS).</w:t>
            </w:r>
            <w:r w:rsidR="00EA2A15" w:rsidRPr="002A4D6D">
              <w:rPr>
                <w:spacing w:val="-2"/>
                <w:sz w:val="26"/>
                <w:szCs w:val="26"/>
              </w:rPr>
              <w:t xml:space="preserve"> Ar 2021.gada 1.janvāri plānots </w:t>
            </w:r>
            <w:r w:rsidR="009F29D8" w:rsidRPr="002A4D6D">
              <w:rPr>
                <w:spacing w:val="-2"/>
                <w:sz w:val="26"/>
                <w:szCs w:val="26"/>
              </w:rPr>
              <w:t>paplašin</w:t>
            </w:r>
            <w:r w:rsidR="00EA2A15" w:rsidRPr="002A4D6D">
              <w:rPr>
                <w:spacing w:val="-2"/>
                <w:sz w:val="26"/>
                <w:szCs w:val="26"/>
              </w:rPr>
              <w:t>ā</w:t>
            </w:r>
            <w:r w:rsidR="009F29D8" w:rsidRPr="002A4D6D">
              <w:rPr>
                <w:spacing w:val="-2"/>
                <w:sz w:val="26"/>
                <w:szCs w:val="26"/>
              </w:rPr>
              <w:t>t</w:t>
            </w:r>
            <w:r w:rsidR="00CF318D" w:rsidRPr="002A4D6D">
              <w:rPr>
                <w:spacing w:val="-2"/>
                <w:sz w:val="26"/>
                <w:szCs w:val="26"/>
              </w:rPr>
              <w:t xml:space="preserve"> </w:t>
            </w:r>
            <w:r w:rsidR="009F29D8" w:rsidRPr="002A4D6D">
              <w:rPr>
                <w:spacing w:val="-2"/>
                <w:sz w:val="26"/>
                <w:szCs w:val="26"/>
              </w:rPr>
              <w:t xml:space="preserve">esošo </w:t>
            </w:r>
            <w:r w:rsidR="00EA2A15" w:rsidRPr="002A4D6D">
              <w:rPr>
                <w:spacing w:val="-2"/>
                <w:sz w:val="26"/>
                <w:szCs w:val="26"/>
              </w:rPr>
              <w:t>MOSS</w:t>
            </w:r>
            <w:r w:rsidR="009F29D8" w:rsidRPr="002A4D6D">
              <w:rPr>
                <w:spacing w:val="-2"/>
                <w:sz w:val="26"/>
                <w:szCs w:val="26"/>
              </w:rPr>
              <w:t xml:space="preserve"> </w:t>
            </w:r>
            <w:r w:rsidR="00EA2A15" w:rsidRPr="002A4D6D">
              <w:rPr>
                <w:spacing w:val="-2"/>
                <w:sz w:val="26"/>
                <w:szCs w:val="26"/>
              </w:rPr>
              <w:t xml:space="preserve">piemērošanas tvērumu: </w:t>
            </w:r>
            <w:proofErr w:type="spellStart"/>
            <w:r w:rsidR="009F29D8" w:rsidRPr="002A4D6D">
              <w:rPr>
                <w:spacing w:val="-2"/>
                <w:sz w:val="26"/>
                <w:szCs w:val="26"/>
              </w:rPr>
              <w:t>ārpussavienības</w:t>
            </w:r>
            <w:proofErr w:type="spellEnd"/>
            <w:r w:rsidR="009F29D8" w:rsidRPr="002A4D6D">
              <w:rPr>
                <w:spacing w:val="-2"/>
                <w:sz w:val="26"/>
                <w:szCs w:val="26"/>
              </w:rPr>
              <w:t xml:space="preserve"> režīm</w:t>
            </w:r>
            <w:r w:rsidR="00EA2A15" w:rsidRPr="002A4D6D">
              <w:rPr>
                <w:spacing w:val="-2"/>
                <w:sz w:val="26"/>
                <w:szCs w:val="26"/>
              </w:rPr>
              <w:t>u attiecināt uz jebkādiem pakalpojumiem, ko sniedz PVN maksātājs, kurš neveic saimniecisko darbību ES, personām, kuras nav PVN maksātājas,</w:t>
            </w:r>
            <w:r w:rsidR="009F29D8" w:rsidRPr="002A4D6D">
              <w:rPr>
                <w:spacing w:val="-2"/>
                <w:sz w:val="26"/>
                <w:szCs w:val="26"/>
              </w:rPr>
              <w:t xml:space="preserve"> </w:t>
            </w:r>
            <w:r w:rsidR="00D616C3" w:rsidRPr="002A4D6D">
              <w:rPr>
                <w:spacing w:val="-2"/>
                <w:sz w:val="26"/>
                <w:szCs w:val="26"/>
              </w:rPr>
              <w:t xml:space="preserve">un </w:t>
            </w:r>
            <w:r w:rsidR="009F29D8" w:rsidRPr="002A4D6D">
              <w:rPr>
                <w:spacing w:val="-2"/>
                <w:sz w:val="26"/>
                <w:szCs w:val="26"/>
              </w:rPr>
              <w:t>savienības režīm</w:t>
            </w:r>
            <w:r w:rsidR="00D616C3" w:rsidRPr="002A4D6D">
              <w:rPr>
                <w:spacing w:val="-2"/>
                <w:sz w:val="26"/>
                <w:szCs w:val="26"/>
              </w:rPr>
              <w:t xml:space="preserve">u </w:t>
            </w:r>
            <w:r w:rsidR="00600946" w:rsidRPr="002A4D6D">
              <w:rPr>
                <w:spacing w:val="-2"/>
                <w:sz w:val="26"/>
                <w:szCs w:val="26"/>
              </w:rPr>
              <w:t>attiecināt</w:t>
            </w:r>
            <w:r w:rsidR="00D616C3" w:rsidRPr="002A4D6D">
              <w:rPr>
                <w:spacing w:val="-2"/>
                <w:sz w:val="26"/>
                <w:szCs w:val="26"/>
              </w:rPr>
              <w:t xml:space="preserve"> uz</w:t>
            </w:r>
            <w:r w:rsidR="009F29D8" w:rsidRPr="002A4D6D">
              <w:rPr>
                <w:spacing w:val="-2"/>
                <w:sz w:val="26"/>
                <w:szCs w:val="26"/>
              </w:rPr>
              <w:t xml:space="preserve"> </w:t>
            </w:r>
            <w:r w:rsidR="001345BB" w:rsidRPr="002A4D6D">
              <w:rPr>
                <w:spacing w:val="-2"/>
                <w:sz w:val="26"/>
                <w:szCs w:val="26"/>
              </w:rPr>
              <w:t>jebkādu</w:t>
            </w:r>
            <w:r w:rsidR="00D4267B" w:rsidRPr="002A4D6D">
              <w:rPr>
                <w:spacing w:val="-2"/>
                <w:sz w:val="26"/>
                <w:szCs w:val="26"/>
              </w:rPr>
              <w:t xml:space="preserve"> </w:t>
            </w:r>
            <w:r w:rsidR="001A02B1" w:rsidRPr="002A4D6D">
              <w:rPr>
                <w:spacing w:val="-2"/>
                <w:sz w:val="26"/>
                <w:szCs w:val="26"/>
              </w:rPr>
              <w:t xml:space="preserve">pakalpojumu sniegšanu un </w:t>
            </w:r>
            <w:r w:rsidR="00D4267B" w:rsidRPr="002A4D6D">
              <w:rPr>
                <w:spacing w:val="-2"/>
                <w:sz w:val="26"/>
                <w:szCs w:val="26"/>
              </w:rPr>
              <w:t xml:space="preserve">preču </w:t>
            </w:r>
            <w:r w:rsidR="009F29D8" w:rsidRPr="002A4D6D">
              <w:rPr>
                <w:spacing w:val="-2"/>
                <w:sz w:val="26"/>
                <w:szCs w:val="26"/>
              </w:rPr>
              <w:t>tālpārdošanu</w:t>
            </w:r>
            <w:r w:rsidR="00D4267B" w:rsidRPr="002A4D6D">
              <w:rPr>
                <w:spacing w:val="-2"/>
                <w:sz w:val="26"/>
                <w:szCs w:val="26"/>
              </w:rPr>
              <w:t xml:space="preserve"> ES teritorijā</w:t>
            </w:r>
            <w:r w:rsidR="00D616C3" w:rsidRPr="002A4D6D">
              <w:rPr>
                <w:spacing w:val="-2"/>
                <w:sz w:val="26"/>
                <w:szCs w:val="26"/>
              </w:rPr>
              <w:t>. Tāpat tiks ieviests</w:t>
            </w:r>
            <w:r w:rsidR="009F29D8" w:rsidRPr="002A4D6D">
              <w:rPr>
                <w:spacing w:val="-2"/>
                <w:sz w:val="26"/>
                <w:szCs w:val="26"/>
              </w:rPr>
              <w:t xml:space="preserve"> jaun</w:t>
            </w:r>
            <w:r w:rsidR="00D616C3" w:rsidRPr="002A4D6D">
              <w:rPr>
                <w:spacing w:val="-2"/>
                <w:sz w:val="26"/>
                <w:szCs w:val="26"/>
              </w:rPr>
              <w:t>s</w:t>
            </w:r>
            <w:r w:rsidR="009F29D8" w:rsidRPr="002A4D6D">
              <w:rPr>
                <w:spacing w:val="-2"/>
                <w:sz w:val="26"/>
                <w:szCs w:val="26"/>
              </w:rPr>
              <w:t xml:space="preserve"> īpaš</w:t>
            </w:r>
            <w:r w:rsidR="00D616C3" w:rsidRPr="002A4D6D">
              <w:rPr>
                <w:spacing w:val="-2"/>
                <w:sz w:val="26"/>
                <w:szCs w:val="26"/>
              </w:rPr>
              <w:t xml:space="preserve">s </w:t>
            </w:r>
            <w:r w:rsidR="009F29D8" w:rsidRPr="002A4D6D">
              <w:rPr>
                <w:spacing w:val="-2"/>
                <w:sz w:val="26"/>
                <w:szCs w:val="26"/>
              </w:rPr>
              <w:t>režīm</w:t>
            </w:r>
            <w:r w:rsidR="00D616C3" w:rsidRPr="002A4D6D">
              <w:rPr>
                <w:spacing w:val="-2"/>
                <w:sz w:val="26"/>
                <w:szCs w:val="26"/>
              </w:rPr>
              <w:t xml:space="preserve">s </w:t>
            </w:r>
            <w:r w:rsidR="009F29D8" w:rsidRPr="002A4D6D">
              <w:rPr>
                <w:spacing w:val="-2"/>
                <w:sz w:val="26"/>
                <w:szCs w:val="26"/>
              </w:rPr>
              <w:t>no treš</w:t>
            </w:r>
            <w:r w:rsidR="00BB6BD9" w:rsidRPr="002A4D6D">
              <w:rPr>
                <w:spacing w:val="-2"/>
                <w:sz w:val="26"/>
                <w:szCs w:val="26"/>
              </w:rPr>
              <w:t>aj</w:t>
            </w:r>
            <w:r w:rsidR="009F29D8" w:rsidRPr="002A4D6D">
              <w:rPr>
                <w:spacing w:val="-2"/>
                <w:sz w:val="26"/>
                <w:szCs w:val="26"/>
              </w:rPr>
              <w:t>ām valstīm vai treš</w:t>
            </w:r>
            <w:r w:rsidR="00BB6BD9" w:rsidRPr="002A4D6D">
              <w:rPr>
                <w:spacing w:val="-2"/>
                <w:sz w:val="26"/>
                <w:szCs w:val="26"/>
              </w:rPr>
              <w:t>aj</w:t>
            </w:r>
            <w:r w:rsidR="009F29D8" w:rsidRPr="002A4D6D">
              <w:rPr>
                <w:spacing w:val="-2"/>
                <w:sz w:val="26"/>
                <w:szCs w:val="26"/>
              </w:rPr>
              <w:t>ām teritorijām importētu preču</w:t>
            </w:r>
            <w:r w:rsidR="00D616C3" w:rsidRPr="002A4D6D">
              <w:rPr>
                <w:spacing w:val="-2"/>
                <w:sz w:val="26"/>
                <w:szCs w:val="26"/>
              </w:rPr>
              <w:t xml:space="preserve"> tālpārdošanai (</w:t>
            </w:r>
            <w:proofErr w:type="spellStart"/>
            <w:r w:rsidR="00292FD8" w:rsidRPr="002A4D6D">
              <w:rPr>
                <w:i/>
                <w:spacing w:val="-2"/>
                <w:sz w:val="26"/>
                <w:szCs w:val="26"/>
              </w:rPr>
              <w:t>Import</w:t>
            </w:r>
            <w:proofErr w:type="spellEnd"/>
            <w:r w:rsidR="00292FD8" w:rsidRPr="002A4D6D">
              <w:rPr>
                <w:i/>
                <w:spacing w:val="-2"/>
                <w:sz w:val="26"/>
                <w:szCs w:val="26"/>
              </w:rPr>
              <w:t xml:space="preserve"> </w:t>
            </w:r>
            <w:proofErr w:type="spellStart"/>
            <w:r w:rsidR="00292FD8" w:rsidRPr="002A4D6D">
              <w:rPr>
                <w:i/>
                <w:spacing w:val="-2"/>
                <w:sz w:val="26"/>
                <w:szCs w:val="26"/>
              </w:rPr>
              <w:t>One</w:t>
            </w:r>
            <w:proofErr w:type="spellEnd"/>
            <w:r w:rsidR="00292FD8" w:rsidRPr="002A4D6D">
              <w:rPr>
                <w:i/>
                <w:spacing w:val="-2"/>
                <w:sz w:val="26"/>
                <w:szCs w:val="26"/>
              </w:rPr>
              <w:t xml:space="preserve"> Stop </w:t>
            </w:r>
            <w:proofErr w:type="spellStart"/>
            <w:r w:rsidR="00292FD8" w:rsidRPr="002A4D6D">
              <w:rPr>
                <w:i/>
                <w:spacing w:val="-2"/>
                <w:sz w:val="26"/>
                <w:szCs w:val="26"/>
              </w:rPr>
              <w:t>Shop</w:t>
            </w:r>
            <w:proofErr w:type="spellEnd"/>
            <w:r w:rsidR="00292FD8" w:rsidRPr="002A4D6D">
              <w:rPr>
                <w:spacing w:val="-2"/>
                <w:sz w:val="26"/>
                <w:szCs w:val="26"/>
              </w:rPr>
              <w:t xml:space="preserve"> - </w:t>
            </w:r>
            <w:r w:rsidR="00D616C3" w:rsidRPr="002A4D6D">
              <w:rPr>
                <w:spacing w:val="-2"/>
                <w:sz w:val="26"/>
                <w:szCs w:val="26"/>
              </w:rPr>
              <w:t xml:space="preserve">IOSS), </w:t>
            </w:r>
            <w:r w:rsidR="0022251C" w:rsidRPr="002A4D6D">
              <w:rPr>
                <w:spacing w:val="-2"/>
                <w:sz w:val="26"/>
                <w:szCs w:val="26"/>
              </w:rPr>
              <w:t>to</w:t>
            </w:r>
            <w:r w:rsidR="00D616C3" w:rsidRPr="002A4D6D">
              <w:rPr>
                <w:spacing w:val="-2"/>
                <w:sz w:val="26"/>
                <w:szCs w:val="26"/>
              </w:rPr>
              <w:t xml:space="preserve"> attiecin</w:t>
            </w:r>
            <w:r w:rsidR="0022251C" w:rsidRPr="002A4D6D">
              <w:rPr>
                <w:spacing w:val="-2"/>
                <w:sz w:val="26"/>
                <w:szCs w:val="26"/>
              </w:rPr>
              <w:t>o</w:t>
            </w:r>
            <w:r w:rsidR="00D616C3" w:rsidRPr="002A4D6D">
              <w:rPr>
                <w:spacing w:val="-2"/>
                <w:sz w:val="26"/>
                <w:szCs w:val="26"/>
              </w:rPr>
              <w:t>t uz preču sūtījumiem</w:t>
            </w:r>
            <w:r w:rsidR="009F29D8" w:rsidRPr="002A4D6D">
              <w:rPr>
                <w:spacing w:val="-2"/>
                <w:sz w:val="26"/>
                <w:szCs w:val="26"/>
              </w:rPr>
              <w:t xml:space="preserve">, </w:t>
            </w:r>
            <w:r w:rsidR="00D616C3" w:rsidRPr="002A4D6D">
              <w:rPr>
                <w:spacing w:val="-2"/>
                <w:sz w:val="26"/>
                <w:szCs w:val="26"/>
              </w:rPr>
              <w:t>izņemot akcīzes preces, kuru</w:t>
            </w:r>
            <w:r w:rsidR="009F29D8" w:rsidRPr="002A4D6D">
              <w:rPr>
                <w:spacing w:val="-2"/>
                <w:sz w:val="26"/>
                <w:szCs w:val="26"/>
              </w:rPr>
              <w:t xml:space="preserve"> patiesā vērtība nepārsniedz 150 </w:t>
            </w:r>
            <w:proofErr w:type="spellStart"/>
            <w:r w:rsidR="009F29D8" w:rsidRPr="002A4D6D">
              <w:rPr>
                <w:i/>
                <w:spacing w:val="-2"/>
                <w:sz w:val="26"/>
                <w:szCs w:val="26"/>
              </w:rPr>
              <w:t>euro</w:t>
            </w:r>
            <w:proofErr w:type="spellEnd"/>
            <w:r w:rsidR="00D616C3" w:rsidRPr="002A4D6D">
              <w:rPr>
                <w:spacing w:val="-2"/>
                <w:sz w:val="26"/>
                <w:szCs w:val="26"/>
              </w:rPr>
              <w:t xml:space="preserve">. </w:t>
            </w:r>
            <w:r w:rsidR="00600946" w:rsidRPr="002A4D6D">
              <w:rPr>
                <w:spacing w:val="-2"/>
                <w:sz w:val="26"/>
                <w:szCs w:val="26"/>
              </w:rPr>
              <w:t>Kā arī</w:t>
            </w:r>
            <w:r w:rsidR="00937045" w:rsidRPr="002A4D6D">
              <w:rPr>
                <w:spacing w:val="-2"/>
                <w:sz w:val="26"/>
                <w:szCs w:val="26"/>
              </w:rPr>
              <w:t>, ņemot vērā importa režīma ieviešanu no trešajām valstīm vai trešajām teritorijām importētu preču tālpārdošanai un PVN atbrīvojuma atcelšanu mazās vērtības preču sūtījumiem,</w:t>
            </w:r>
            <w:r w:rsidR="00600946" w:rsidRPr="002A4D6D">
              <w:rPr>
                <w:spacing w:val="-2"/>
                <w:sz w:val="26"/>
                <w:szCs w:val="26"/>
              </w:rPr>
              <w:t xml:space="preserve"> plānot</w:t>
            </w:r>
            <w:r w:rsidR="00937045" w:rsidRPr="002A4D6D">
              <w:rPr>
                <w:spacing w:val="-2"/>
                <w:sz w:val="26"/>
                <w:szCs w:val="26"/>
              </w:rPr>
              <w:t>s ieviest</w:t>
            </w:r>
            <w:r w:rsidR="00600946" w:rsidRPr="002A4D6D">
              <w:rPr>
                <w:spacing w:val="-2"/>
                <w:sz w:val="26"/>
                <w:szCs w:val="26"/>
              </w:rPr>
              <w:t xml:space="preserve"> vienkāršošanas pasākum</w:t>
            </w:r>
            <w:r w:rsidR="00937045" w:rsidRPr="002A4D6D">
              <w:rPr>
                <w:spacing w:val="-2"/>
                <w:sz w:val="26"/>
                <w:szCs w:val="26"/>
              </w:rPr>
              <w:t>us</w:t>
            </w:r>
            <w:r w:rsidR="00600946" w:rsidRPr="002A4D6D">
              <w:rPr>
                <w:spacing w:val="-2"/>
                <w:sz w:val="26"/>
                <w:szCs w:val="26"/>
              </w:rPr>
              <w:t xml:space="preserve"> </w:t>
            </w:r>
            <w:r w:rsidR="00DA7100" w:rsidRPr="002A4D6D">
              <w:rPr>
                <w:spacing w:val="-2"/>
                <w:sz w:val="26"/>
                <w:szCs w:val="26"/>
              </w:rPr>
              <w:t>personām, k</w:t>
            </w:r>
            <w:r w:rsidR="009C5056" w:rsidRPr="002A4D6D">
              <w:rPr>
                <w:spacing w:val="-2"/>
                <w:sz w:val="26"/>
                <w:szCs w:val="26"/>
              </w:rPr>
              <w:t xml:space="preserve">as uzrāda preces muitai </w:t>
            </w:r>
            <w:r w:rsidR="00A2754E" w:rsidRPr="002A4D6D">
              <w:rPr>
                <w:spacing w:val="-2"/>
                <w:sz w:val="26"/>
                <w:szCs w:val="26"/>
              </w:rPr>
              <w:t>(pasta operatori, kurjer</w:t>
            </w:r>
            <w:r w:rsidR="00DA7100" w:rsidRPr="002A4D6D">
              <w:rPr>
                <w:spacing w:val="-2"/>
                <w:sz w:val="26"/>
                <w:szCs w:val="26"/>
              </w:rPr>
              <w:t>pasti</w:t>
            </w:r>
            <w:r w:rsidR="009C5056" w:rsidRPr="002A4D6D">
              <w:rPr>
                <w:spacing w:val="-2"/>
                <w:sz w:val="26"/>
                <w:szCs w:val="26"/>
              </w:rPr>
              <w:t>)</w:t>
            </w:r>
            <w:r w:rsidR="00EB49C6" w:rsidRPr="002A4D6D">
              <w:rPr>
                <w:spacing w:val="-2"/>
                <w:sz w:val="26"/>
                <w:szCs w:val="26"/>
              </w:rPr>
              <w:t>, ļ</w:t>
            </w:r>
            <w:r w:rsidR="00DA7100" w:rsidRPr="002A4D6D">
              <w:rPr>
                <w:spacing w:val="-2"/>
                <w:sz w:val="26"/>
                <w:szCs w:val="26"/>
              </w:rPr>
              <w:t>aujot</w:t>
            </w:r>
            <w:r w:rsidR="009C5056" w:rsidRPr="002A4D6D">
              <w:rPr>
                <w:spacing w:val="-2"/>
                <w:sz w:val="26"/>
                <w:szCs w:val="26"/>
              </w:rPr>
              <w:t xml:space="preserve"> deklarēt un </w:t>
            </w:r>
            <w:r w:rsidR="00EB49C6" w:rsidRPr="002A4D6D">
              <w:rPr>
                <w:spacing w:val="-2"/>
                <w:sz w:val="26"/>
                <w:szCs w:val="26"/>
              </w:rPr>
              <w:t>sa</w:t>
            </w:r>
            <w:r w:rsidR="009C5056" w:rsidRPr="002A4D6D">
              <w:rPr>
                <w:spacing w:val="-2"/>
                <w:sz w:val="26"/>
                <w:szCs w:val="26"/>
              </w:rPr>
              <w:t xml:space="preserve">maksāt </w:t>
            </w:r>
            <w:r w:rsidR="00D662F2" w:rsidRPr="002A4D6D">
              <w:rPr>
                <w:spacing w:val="-2"/>
                <w:sz w:val="26"/>
                <w:szCs w:val="26"/>
              </w:rPr>
              <w:t>PVN</w:t>
            </w:r>
            <w:r w:rsidR="0087028A" w:rsidRPr="002A4D6D">
              <w:rPr>
                <w:spacing w:val="-2"/>
                <w:sz w:val="26"/>
                <w:szCs w:val="26"/>
              </w:rPr>
              <w:t xml:space="preserve"> par preču sūtījumiem no trešajām valstīm vai trešajām teritorijām</w:t>
            </w:r>
            <w:r w:rsidR="00D662F2" w:rsidRPr="002A4D6D">
              <w:rPr>
                <w:spacing w:val="-2"/>
                <w:sz w:val="26"/>
                <w:szCs w:val="26"/>
              </w:rPr>
              <w:t xml:space="preserve"> </w:t>
            </w:r>
            <w:r w:rsidR="00CC767E" w:rsidRPr="002A4D6D">
              <w:rPr>
                <w:spacing w:val="-2"/>
                <w:sz w:val="26"/>
                <w:szCs w:val="26"/>
              </w:rPr>
              <w:t>kopsummā par mēnesi</w:t>
            </w:r>
            <w:r w:rsidR="00600946" w:rsidRPr="002A4D6D">
              <w:rPr>
                <w:spacing w:val="-2"/>
                <w:sz w:val="26"/>
                <w:szCs w:val="26"/>
              </w:rPr>
              <w:t xml:space="preserve">, ja PVN </w:t>
            </w:r>
            <w:r w:rsidR="00D662F2" w:rsidRPr="002A4D6D">
              <w:rPr>
                <w:spacing w:val="-2"/>
                <w:sz w:val="26"/>
                <w:szCs w:val="26"/>
              </w:rPr>
              <w:t xml:space="preserve">par </w:t>
            </w:r>
            <w:r w:rsidR="00CC767E" w:rsidRPr="002A4D6D">
              <w:rPr>
                <w:spacing w:val="-2"/>
                <w:sz w:val="26"/>
                <w:szCs w:val="26"/>
              </w:rPr>
              <w:t xml:space="preserve">šiem </w:t>
            </w:r>
            <w:r w:rsidR="00600946" w:rsidRPr="002A4D6D">
              <w:rPr>
                <w:spacing w:val="-2"/>
                <w:sz w:val="26"/>
                <w:szCs w:val="26"/>
              </w:rPr>
              <w:t>pre</w:t>
            </w:r>
            <w:r w:rsidR="00D662F2" w:rsidRPr="002A4D6D">
              <w:rPr>
                <w:spacing w:val="-2"/>
                <w:sz w:val="26"/>
                <w:szCs w:val="26"/>
              </w:rPr>
              <w:t>ču</w:t>
            </w:r>
            <w:r w:rsidR="00600946" w:rsidRPr="002A4D6D">
              <w:rPr>
                <w:spacing w:val="-2"/>
                <w:sz w:val="26"/>
                <w:szCs w:val="26"/>
              </w:rPr>
              <w:t xml:space="preserve"> sūtījum</w:t>
            </w:r>
            <w:r w:rsidR="00EB49C6" w:rsidRPr="002A4D6D">
              <w:rPr>
                <w:spacing w:val="-2"/>
                <w:sz w:val="26"/>
                <w:szCs w:val="26"/>
              </w:rPr>
              <w:t>iem</w:t>
            </w:r>
            <w:r w:rsidR="00600946" w:rsidRPr="002A4D6D">
              <w:rPr>
                <w:spacing w:val="-2"/>
                <w:sz w:val="26"/>
                <w:szCs w:val="26"/>
              </w:rPr>
              <w:t xml:space="preserve"> netiek deklarēts saskaņā ar </w:t>
            </w:r>
            <w:r w:rsidR="0087028A" w:rsidRPr="002A4D6D">
              <w:rPr>
                <w:spacing w:val="-2"/>
                <w:sz w:val="26"/>
                <w:szCs w:val="26"/>
              </w:rPr>
              <w:t>IOSS</w:t>
            </w:r>
            <w:r w:rsidR="00600946" w:rsidRPr="002A4D6D">
              <w:rPr>
                <w:spacing w:val="-2"/>
                <w:sz w:val="26"/>
                <w:szCs w:val="26"/>
              </w:rPr>
              <w:t xml:space="preserve">. Līdz </w:t>
            </w:r>
            <w:r w:rsidR="00D616C3" w:rsidRPr="002A4D6D">
              <w:rPr>
                <w:color w:val="000000"/>
                <w:spacing w:val="-2"/>
                <w:sz w:val="26"/>
                <w:szCs w:val="26"/>
              </w:rPr>
              <w:t>ar to e-komercijas jomā no 2021.gada 1.janvāra PVN piemērošanas nolūkā pastāvēs četri īpaši režīmi.</w:t>
            </w:r>
            <w:r w:rsidR="0022251C" w:rsidRPr="002A4D6D">
              <w:rPr>
                <w:color w:val="000000"/>
                <w:spacing w:val="-2"/>
                <w:sz w:val="26"/>
                <w:szCs w:val="26"/>
              </w:rPr>
              <w:t xml:space="preserve"> </w:t>
            </w:r>
            <w:r w:rsidR="00937045" w:rsidRPr="002A4D6D">
              <w:rPr>
                <w:color w:val="000000"/>
                <w:spacing w:val="-2"/>
                <w:sz w:val="26"/>
                <w:szCs w:val="26"/>
              </w:rPr>
              <w:t>Neskatoties uz to, ka</w:t>
            </w:r>
            <w:r w:rsidR="0022251C" w:rsidRPr="002A4D6D">
              <w:rPr>
                <w:color w:val="000000"/>
                <w:spacing w:val="-2"/>
                <w:sz w:val="26"/>
                <w:szCs w:val="26"/>
              </w:rPr>
              <w:t xml:space="preserve"> </w:t>
            </w:r>
            <w:r w:rsidR="00937045" w:rsidRPr="002A4D6D">
              <w:rPr>
                <w:color w:val="000000"/>
                <w:spacing w:val="-2"/>
                <w:sz w:val="26"/>
                <w:szCs w:val="26"/>
              </w:rPr>
              <w:t xml:space="preserve">iepriekš </w:t>
            </w:r>
            <w:r w:rsidR="0022251C" w:rsidRPr="002A4D6D">
              <w:rPr>
                <w:color w:val="000000"/>
                <w:spacing w:val="-2"/>
                <w:sz w:val="26"/>
                <w:szCs w:val="26"/>
              </w:rPr>
              <w:t>minēto režīmu</w:t>
            </w:r>
            <w:r w:rsidR="007A436F" w:rsidRPr="002A4D6D">
              <w:rPr>
                <w:spacing w:val="-2"/>
                <w:sz w:val="26"/>
                <w:szCs w:val="26"/>
                <w:lang w:eastAsia="lv-LV"/>
              </w:rPr>
              <w:t xml:space="preserve"> izmantošana ir brīvprātīga</w:t>
            </w:r>
            <w:r w:rsidR="00937045" w:rsidRPr="002A4D6D">
              <w:rPr>
                <w:spacing w:val="-2"/>
                <w:sz w:val="26"/>
                <w:szCs w:val="26"/>
                <w:lang w:eastAsia="lv-LV"/>
              </w:rPr>
              <w:t>, lai tos izmantotu, ir jāievēro</w:t>
            </w:r>
            <w:r w:rsidR="007A436F" w:rsidRPr="002A4D6D">
              <w:rPr>
                <w:spacing w:val="-2"/>
                <w:sz w:val="26"/>
                <w:szCs w:val="26"/>
                <w:lang w:eastAsia="lv-LV"/>
              </w:rPr>
              <w:t xml:space="preserve"> speciāli nosacījumi</w:t>
            </w:r>
            <w:r w:rsidR="00937045" w:rsidRPr="002A4D6D">
              <w:rPr>
                <w:spacing w:val="-2"/>
                <w:sz w:val="26"/>
                <w:szCs w:val="26"/>
                <w:lang w:eastAsia="lv-LV"/>
              </w:rPr>
              <w:t>.</w:t>
            </w:r>
            <w:r w:rsidR="007A436F" w:rsidRPr="002A4D6D">
              <w:rPr>
                <w:spacing w:val="-2"/>
                <w:sz w:val="26"/>
                <w:szCs w:val="26"/>
                <w:lang w:eastAsia="lv-LV"/>
              </w:rPr>
              <w:t xml:space="preserve"> PVN maksātāju ērtībai Pievienotās vērtības nodokļa likumā </w:t>
            </w:r>
            <w:r w:rsidR="00105936" w:rsidRPr="002A4D6D">
              <w:rPr>
                <w:spacing w:val="-2"/>
                <w:sz w:val="26"/>
                <w:szCs w:val="26"/>
                <w:lang w:eastAsia="lv-LV"/>
              </w:rPr>
              <w:t>tiek</w:t>
            </w:r>
            <w:r w:rsidR="007A436F" w:rsidRPr="002A4D6D">
              <w:rPr>
                <w:spacing w:val="-2"/>
                <w:sz w:val="26"/>
                <w:szCs w:val="26"/>
                <w:lang w:eastAsia="lv-LV"/>
              </w:rPr>
              <w:t xml:space="preserve"> izveidot</w:t>
            </w:r>
            <w:r w:rsidR="00105936" w:rsidRPr="002A4D6D">
              <w:rPr>
                <w:spacing w:val="-2"/>
                <w:sz w:val="26"/>
                <w:szCs w:val="26"/>
                <w:lang w:eastAsia="lv-LV"/>
              </w:rPr>
              <w:t>i atsevišķi panti, kuros</w:t>
            </w:r>
            <w:r w:rsidR="007A436F" w:rsidRPr="002A4D6D">
              <w:rPr>
                <w:spacing w:val="-2"/>
                <w:sz w:val="26"/>
                <w:szCs w:val="26"/>
                <w:lang w:eastAsia="lv-LV"/>
              </w:rPr>
              <w:t xml:space="preserve"> vienuviet </w:t>
            </w:r>
            <w:r w:rsidR="00105936" w:rsidRPr="002A4D6D">
              <w:rPr>
                <w:spacing w:val="-2"/>
                <w:sz w:val="26"/>
                <w:szCs w:val="26"/>
                <w:lang w:eastAsia="lv-LV"/>
              </w:rPr>
              <w:t>tiek</w:t>
            </w:r>
            <w:r w:rsidR="007A436F" w:rsidRPr="002A4D6D">
              <w:rPr>
                <w:spacing w:val="-2"/>
                <w:sz w:val="26"/>
                <w:szCs w:val="26"/>
                <w:lang w:eastAsia="lv-LV"/>
              </w:rPr>
              <w:t xml:space="preserve"> noteikta kārtība </w:t>
            </w:r>
            <w:r w:rsidR="00105936" w:rsidRPr="002A4D6D">
              <w:rPr>
                <w:spacing w:val="-2"/>
                <w:sz w:val="26"/>
                <w:szCs w:val="26"/>
                <w:lang w:eastAsia="lv-LV"/>
              </w:rPr>
              <w:t>konkrētā</w:t>
            </w:r>
            <w:r w:rsidR="007A436F" w:rsidRPr="002A4D6D">
              <w:rPr>
                <w:spacing w:val="-2"/>
                <w:sz w:val="26"/>
                <w:szCs w:val="26"/>
                <w:lang w:eastAsia="lv-LV"/>
              </w:rPr>
              <w:t xml:space="preserve"> režīma izmantošanai</w:t>
            </w:r>
            <w:r w:rsidR="00093B22" w:rsidRPr="002A4D6D">
              <w:rPr>
                <w:spacing w:val="-2"/>
                <w:sz w:val="26"/>
                <w:szCs w:val="26"/>
                <w:lang w:eastAsia="lv-LV"/>
              </w:rPr>
              <w:t xml:space="preserve">, tajā skaitā </w:t>
            </w:r>
            <w:r w:rsidR="00A2754E" w:rsidRPr="002A4D6D">
              <w:rPr>
                <w:spacing w:val="-2"/>
                <w:sz w:val="26"/>
                <w:szCs w:val="26"/>
                <w:lang w:eastAsia="lv-LV"/>
              </w:rPr>
              <w:t xml:space="preserve">iekļaujot </w:t>
            </w:r>
            <w:r w:rsidR="00C5595D" w:rsidRPr="002A4D6D">
              <w:rPr>
                <w:spacing w:val="-2"/>
                <w:sz w:val="26"/>
                <w:szCs w:val="26"/>
                <w:lang w:eastAsia="lv-LV"/>
              </w:rPr>
              <w:t>no Ministru kabineta 2013.gada 3.janvāra noteikumu Nr.17 “</w:t>
            </w:r>
            <w:hyperlink r:id="rId9" w:tgtFrame="_blank" w:history="1">
              <w:r w:rsidR="00C5595D" w:rsidRPr="002A4D6D">
                <w:rPr>
                  <w:spacing w:val="-2"/>
                  <w:sz w:val="26"/>
                  <w:szCs w:val="26"/>
                  <w:lang w:eastAsia="lv-LV"/>
                </w:rPr>
                <w:t>Pievienotās vērtības nodokļa likuma</w:t>
              </w:r>
            </w:hyperlink>
            <w:r w:rsidR="00C5595D" w:rsidRPr="002A4D6D">
              <w:rPr>
                <w:spacing w:val="-2"/>
                <w:sz w:val="26"/>
                <w:szCs w:val="26"/>
                <w:lang w:eastAsia="lv-LV"/>
              </w:rPr>
              <w:t xml:space="preserve"> normu piemērošanas kārtība un atsevišķas prasības pievienotās vērtības nodokļa maksāšanai un administrēšanai” XI</w:t>
            </w:r>
            <w:r w:rsidR="00C5595D" w:rsidRPr="002A4D6D">
              <w:rPr>
                <w:spacing w:val="-2"/>
                <w:sz w:val="26"/>
                <w:szCs w:val="26"/>
                <w:vertAlign w:val="superscript"/>
                <w:lang w:eastAsia="lv-LV"/>
              </w:rPr>
              <w:t>1</w:t>
            </w:r>
            <w:r w:rsidR="00C5595D" w:rsidRPr="002A4D6D">
              <w:rPr>
                <w:spacing w:val="-2"/>
                <w:sz w:val="26"/>
                <w:szCs w:val="26"/>
                <w:lang w:eastAsia="lv-LV"/>
              </w:rPr>
              <w:t> sadaļas</w:t>
            </w:r>
            <w:r w:rsidR="00A2754E" w:rsidRPr="002A4D6D">
              <w:rPr>
                <w:spacing w:val="-2"/>
                <w:sz w:val="26"/>
                <w:szCs w:val="26"/>
                <w:lang w:eastAsia="lv-LV"/>
              </w:rPr>
              <w:t xml:space="preserve"> spēkā esošo reģistrācijas kārtību </w:t>
            </w:r>
            <w:proofErr w:type="spellStart"/>
            <w:r w:rsidR="00A2754E" w:rsidRPr="002A4D6D">
              <w:rPr>
                <w:spacing w:val="-2"/>
                <w:sz w:val="26"/>
                <w:szCs w:val="26"/>
                <w:lang w:eastAsia="lv-LV"/>
              </w:rPr>
              <w:t>ārpussavienības</w:t>
            </w:r>
            <w:proofErr w:type="spellEnd"/>
            <w:r w:rsidR="00A2754E" w:rsidRPr="002A4D6D">
              <w:rPr>
                <w:spacing w:val="-2"/>
                <w:sz w:val="26"/>
                <w:szCs w:val="26"/>
                <w:lang w:eastAsia="lv-LV"/>
              </w:rPr>
              <w:t xml:space="preserve"> režīma un savienības režīma reģistrā un nosacījumus reģistrētā PVN maksātāja izslēgšanai no </w:t>
            </w:r>
            <w:proofErr w:type="spellStart"/>
            <w:r w:rsidR="00A2754E" w:rsidRPr="002A4D6D">
              <w:rPr>
                <w:spacing w:val="-2"/>
                <w:sz w:val="26"/>
                <w:szCs w:val="26"/>
                <w:lang w:eastAsia="lv-LV"/>
              </w:rPr>
              <w:t>ārpussavienības</w:t>
            </w:r>
            <w:proofErr w:type="spellEnd"/>
            <w:r w:rsidR="00A2754E" w:rsidRPr="002A4D6D">
              <w:rPr>
                <w:spacing w:val="-2"/>
                <w:sz w:val="26"/>
                <w:szCs w:val="26"/>
                <w:lang w:eastAsia="lv-LV"/>
              </w:rPr>
              <w:t xml:space="preserve"> režīma un savienības režīma reģistra</w:t>
            </w:r>
            <w:r w:rsidR="00EB49C6" w:rsidRPr="002A4D6D">
              <w:rPr>
                <w:spacing w:val="-2"/>
                <w:sz w:val="26"/>
                <w:szCs w:val="26"/>
                <w:lang w:eastAsia="lv-LV"/>
              </w:rPr>
              <w:t xml:space="preserve">. Tādējādi, sākot ar 2021.gadu, Pievienotās vērtības nodokļa </w:t>
            </w:r>
            <w:r w:rsidR="00EB49C6" w:rsidRPr="002A4D6D">
              <w:rPr>
                <w:spacing w:val="-2"/>
                <w:sz w:val="26"/>
                <w:szCs w:val="26"/>
                <w:lang w:eastAsia="lv-LV"/>
              </w:rPr>
              <w:lastRenderedPageBreak/>
              <w:t>likumā būs ie</w:t>
            </w:r>
            <w:r w:rsidR="00DC1E7F" w:rsidRPr="002A4D6D">
              <w:rPr>
                <w:spacing w:val="-2"/>
                <w:sz w:val="26"/>
                <w:szCs w:val="26"/>
                <w:lang w:eastAsia="lv-LV"/>
              </w:rPr>
              <w:t xml:space="preserve">kļauts visaptverošs regulējums </w:t>
            </w:r>
            <w:r w:rsidR="00C20247" w:rsidRPr="002A4D6D">
              <w:rPr>
                <w:spacing w:val="-2"/>
                <w:sz w:val="26"/>
                <w:szCs w:val="26"/>
                <w:lang w:eastAsia="lv-LV"/>
              </w:rPr>
              <w:t>konkrētā režīma piemērošan</w:t>
            </w:r>
            <w:r w:rsidR="00DC1E7F" w:rsidRPr="002A4D6D">
              <w:rPr>
                <w:spacing w:val="-2"/>
                <w:sz w:val="26"/>
                <w:szCs w:val="26"/>
                <w:lang w:eastAsia="lv-LV"/>
              </w:rPr>
              <w:t>ai</w:t>
            </w:r>
            <w:r w:rsidR="007A436F" w:rsidRPr="002A4D6D">
              <w:rPr>
                <w:spacing w:val="-2"/>
                <w:sz w:val="26"/>
                <w:szCs w:val="26"/>
                <w:lang w:eastAsia="lv-LV"/>
              </w:rPr>
              <w:t xml:space="preserve">: personu loks, kuras var reģistrēties </w:t>
            </w:r>
            <w:r w:rsidR="0022251C" w:rsidRPr="002A4D6D">
              <w:rPr>
                <w:spacing w:val="-2"/>
                <w:sz w:val="26"/>
                <w:szCs w:val="26"/>
                <w:lang w:eastAsia="lv-LV"/>
              </w:rPr>
              <w:t xml:space="preserve">konkrētā </w:t>
            </w:r>
            <w:r w:rsidR="007A436F" w:rsidRPr="002A4D6D">
              <w:rPr>
                <w:spacing w:val="-2"/>
                <w:sz w:val="26"/>
                <w:szCs w:val="26"/>
                <w:lang w:eastAsia="lv-LV"/>
              </w:rPr>
              <w:t xml:space="preserve">režīma izmantošanai, reģistrācijas </w:t>
            </w:r>
            <w:r w:rsidR="00F87F76" w:rsidRPr="002A4D6D">
              <w:rPr>
                <w:spacing w:val="-2"/>
                <w:sz w:val="26"/>
                <w:szCs w:val="26"/>
                <w:lang w:eastAsia="lv-LV"/>
              </w:rPr>
              <w:t>procedūra</w:t>
            </w:r>
            <w:r w:rsidR="0022251C" w:rsidRPr="002A4D6D">
              <w:rPr>
                <w:spacing w:val="-2"/>
                <w:sz w:val="26"/>
                <w:szCs w:val="26"/>
                <w:lang w:eastAsia="lv-LV"/>
              </w:rPr>
              <w:t xml:space="preserve"> un termiņi</w:t>
            </w:r>
            <w:r w:rsidR="007A436F" w:rsidRPr="002A4D6D">
              <w:rPr>
                <w:spacing w:val="-2"/>
                <w:sz w:val="26"/>
                <w:szCs w:val="26"/>
                <w:lang w:eastAsia="lv-LV"/>
              </w:rPr>
              <w:t xml:space="preserve">, </w:t>
            </w:r>
            <w:r w:rsidR="0022251C" w:rsidRPr="002A4D6D">
              <w:rPr>
                <w:spacing w:val="-2"/>
                <w:sz w:val="26"/>
                <w:szCs w:val="26"/>
                <w:lang w:eastAsia="lv-LV"/>
              </w:rPr>
              <w:t>iesniegumā norādāmā informācija, izsl</w:t>
            </w:r>
            <w:r w:rsidR="00937045" w:rsidRPr="002A4D6D">
              <w:rPr>
                <w:spacing w:val="-2"/>
                <w:sz w:val="26"/>
                <w:szCs w:val="26"/>
                <w:lang w:eastAsia="lv-LV"/>
              </w:rPr>
              <w:t xml:space="preserve">ēgšanas iemesli, PVN maksātāja </w:t>
            </w:r>
            <w:r w:rsidR="0022251C" w:rsidRPr="002A4D6D">
              <w:rPr>
                <w:spacing w:val="-2"/>
                <w:sz w:val="26"/>
                <w:szCs w:val="26"/>
                <w:lang w:eastAsia="lv-LV"/>
              </w:rPr>
              <w:t>pienākumi</w:t>
            </w:r>
            <w:r w:rsidR="00937045" w:rsidRPr="002A4D6D">
              <w:rPr>
                <w:spacing w:val="-2"/>
                <w:sz w:val="26"/>
                <w:szCs w:val="26"/>
                <w:lang w:eastAsia="lv-LV"/>
              </w:rPr>
              <w:t xml:space="preserve"> režīma piemērošanas nolūkā</w:t>
            </w:r>
            <w:r w:rsidR="0022251C" w:rsidRPr="002A4D6D">
              <w:rPr>
                <w:spacing w:val="-2"/>
                <w:sz w:val="26"/>
                <w:szCs w:val="26"/>
                <w:lang w:eastAsia="lv-LV"/>
              </w:rPr>
              <w:t xml:space="preserve">, </w:t>
            </w:r>
            <w:r w:rsidR="007A436F" w:rsidRPr="002A4D6D">
              <w:rPr>
                <w:spacing w:val="-2"/>
                <w:sz w:val="26"/>
                <w:szCs w:val="26"/>
                <w:lang w:eastAsia="lv-LV"/>
              </w:rPr>
              <w:t xml:space="preserve">PVN deklarācijas iesniegšanas </w:t>
            </w:r>
            <w:r w:rsidR="0022251C" w:rsidRPr="002A4D6D">
              <w:rPr>
                <w:spacing w:val="-2"/>
                <w:sz w:val="26"/>
                <w:szCs w:val="26"/>
                <w:lang w:eastAsia="lv-LV"/>
              </w:rPr>
              <w:t xml:space="preserve">kārtība </w:t>
            </w:r>
            <w:r w:rsidR="007A436F" w:rsidRPr="002A4D6D">
              <w:rPr>
                <w:spacing w:val="-2"/>
                <w:sz w:val="26"/>
                <w:szCs w:val="26"/>
                <w:lang w:eastAsia="lv-LV"/>
              </w:rPr>
              <w:t xml:space="preserve">un nodokļa samaksas termiņš, kā arī deleģējums Ministru kabinetam noteikt kārtību, kādā PVN maksātājs, kas ir reģistrēts </w:t>
            </w:r>
            <w:r w:rsidR="009864D9" w:rsidRPr="002A4D6D">
              <w:rPr>
                <w:spacing w:val="-2"/>
                <w:sz w:val="26"/>
                <w:szCs w:val="26"/>
                <w:lang w:eastAsia="lv-LV"/>
              </w:rPr>
              <w:t xml:space="preserve">Valsts ieņēmumu dienesta (turpmāk – </w:t>
            </w:r>
            <w:r w:rsidR="007A436F" w:rsidRPr="002A4D6D">
              <w:rPr>
                <w:spacing w:val="-2"/>
                <w:sz w:val="26"/>
                <w:szCs w:val="26"/>
                <w:lang w:eastAsia="lv-LV"/>
              </w:rPr>
              <w:t>VID</w:t>
            </w:r>
            <w:r w:rsidR="009864D9" w:rsidRPr="002A4D6D">
              <w:rPr>
                <w:spacing w:val="-2"/>
                <w:sz w:val="26"/>
                <w:szCs w:val="26"/>
                <w:lang w:eastAsia="lv-LV"/>
              </w:rPr>
              <w:t xml:space="preserve">) </w:t>
            </w:r>
            <w:r w:rsidR="007A436F" w:rsidRPr="002A4D6D">
              <w:rPr>
                <w:spacing w:val="-2"/>
                <w:sz w:val="26"/>
                <w:szCs w:val="26"/>
                <w:lang w:eastAsia="lv-LV"/>
              </w:rPr>
              <w:t xml:space="preserve">PVN maksātāju reģistrā </w:t>
            </w:r>
            <w:r w:rsidR="0022251C" w:rsidRPr="002A4D6D">
              <w:rPr>
                <w:spacing w:val="-2"/>
                <w:sz w:val="26"/>
                <w:szCs w:val="26"/>
                <w:lang w:eastAsia="lv-LV"/>
              </w:rPr>
              <w:t>konkrētā</w:t>
            </w:r>
            <w:r w:rsidR="007A436F" w:rsidRPr="002A4D6D">
              <w:rPr>
                <w:spacing w:val="-2"/>
                <w:sz w:val="26"/>
                <w:szCs w:val="26"/>
                <w:lang w:eastAsia="lv-LV"/>
              </w:rPr>
              <w:t xml:space="preserve"> režīma izmantošanai, sagatavo un aizpilda PVN deklarāciju, un deklarācijā norādāmo informāciju.</w:t>
            </w:r>
            <w:r w:rsidR="00EB49C6" w:rsidRPr="002A4D6D">
              <w:rPr>
                <w:spacing w:val="-2"/>
                <w:sz w:val="26"/>
                <w:szCs w:val="26"/>
                <w:lang w:eastAsia="lv-LV"/>
              </w:rPr>
              <w:t xml:space="preserve"> </w:t>
            </w:r>
            <w:bookmarkStart w:id="2" w:name="n-526807"/>
            <w:bookmarkStart w:id="3" w:name="n11.1"/>
            <w:bookmarkEnd w:id="2"/>
            <w:bookmarkEnd w:id="3"/>
          </w:p>
          <w:p w14:paraId="3ED2939E" w14:textId="5B422A5F" w:rsidR="00037265" w:rsidRPr="002A4D6D" w:rsidRDefault="00E60C06" w:rsidP="002A4D6D">
            <w:pPr>
              <w:ind w:left="113" w:right="113"/>
              <w:jc w:val="both"/>
              <w:rPr>
                <w:b/>
                <w:i/>
                <w:color w:val="000000"/>
                <w:spacing w:val="-2"/>
                <w:sz w:val="26"/>
                <w:szCs w:val="26"/>
              </w:rPr>
            </w:pPr>
            <w:r w:rsidRPr="002A4D6D">
              <w:rPr>
                <w:b/>
                <w:i/>
                <w:color w:val="000000"/>
                <w:spacing w:val="-2"/>
                <w:sz w:val="26"/>
                <w:szCs w:val="26"/>
              </w:rPr>
              <w:t>1. </w:t>
            </w:r>
            <w:proofErr w:type="spellStart"/>
            <w:r w:rsidR="004A33E7" w:rsidRPr="002A4D6D">
              <w:rPr>
                <w:b/>
                <w:i/>
                <w:color w:val="000000"/>
                <w:spacing w:val="-2"/>
                <w:sz w:val="26"/>
                <w:szCs w:val="26"/>
              </w:rPr>
              <w:t>Ārpussavienības</w:t>
            </w:r>
            <w:proofErr w:type="spellEnd"/>
            <w:r w:rsidR="004A33E7" w:rsidRPr="002A4D6D">
              <w:rPr>
                <w:b/>
                <w:i/>
                <w:color w:val="000000"/>
                <w:spacing w:val="-2"/>
                <w:sz w:val="26"/>
                <w:szCs w:val="26"/>
              </w:rPr>
              <w:t xml:space="preserve"> režīms jeb ī</w:t>
            </w:r>
            <w:r w:rsidR="00CF318D" w:rsidRPr="002A4D6D">
              <w:rPr>
                <w:b/>
                <w:i/>
                <w:color w:val="000000"/>
                <w:spacing w:val="-2"/>
                <w:sz w:val="26"/>
                <w:szCs w:val="26"/>
              </w:rPr>
              <w:t xml:space="preserve">pašs režīms </w:t>
            </w:r>
            <w:r w:rsidR="00C54D53" w:rsidRPr="002A4D6D">
              <w:rPr>
                <w:b/>
                <w:i/>
                <w:color w:val="000000"/>
                <w:spacing w:val="-2"/>
                <w:sz w:val="26"/>
                <w:szCs w:val="26"/>
              </w:rPr>
              <w:t xml:space="preserve">pakalpojumiem, ko sniedz </w:t>
            </w:r>
            <w:r w:rsidR="004A33E7" w:rsidRPr="002A4D6D">
              <w:rPr>
                <w:b/>
                <w:i/>
                <w:color w:val="000000"/>
                <w:spacing w:val="-2"/>
                <w:sz w:val="26"/>
                <w:szCs w:val="26"/>
              </w:rPr>
              <w:t>PVN maksātāji, kuri</w:t>
            </w:r>
            <w:r w:rsidR="00CF318D" w:rsidRPr="002A4D6D">
              <w:rPr>
                <w:b/>
                <w:i/>
                <w:color w:val="000000"/>
                <w:spacing w:val="-2"/>
                <w:sz w:val="26"/>
                <w:szCs w:val="26"/>
              </w:rPr>
              <w:t xml:space="preserve"> neveic saimniecisko darbību </w:t>
            </w:r>
            <w:r w:rsidR="00C54D53" w:rsidRPr="002A4D6D">
              <w:rPr>
                <w:b/>
                <w:i/>
                <w:color w:val="000000"/>
                <w:spacing w:val="-2"/>
                <w:sz w:val="26"/>
                <w:szCs w:val="26"/>
              </w:rPr>
              <w:t>ES</w:t>
            </w:r>
          </w:p>
          <w:p w14:paraId="6B11D630" w14:textId="515D424F" w:rsidR="002028EF" w:rsidRPr="002A4D6D" w:rsidRDefault="00E60C06" w:rsidP="002A4D6D">
            <w:pPr>
              <w:ind w:left="118" w:right="113"/>
              <w:jc w:val="both"/>
              <w:rPr>
                <w:spacing w:val="-2"/>
                <w:sz w:val="26"/>
                <w:szCs w:val="26"/>
                <w:lang w:eastAsia="lv-LV"/>
              </w:rPr>
            </w:pPr>
            <w:r w:rsidRPr="002A4D6D">
              <w:rPr>
                <w:spacing w:val="-2"/>
                <w:sz w:val="26"/>
                <w:szCs w:val="26"/>
                <w:lang w:eastAsia="lv-LV"/>
              </w:rPr>
              <w:t>1.1. </w:t>
            </w:r>
            <w:r w:rsidR="00D662F2" w:rsidRPr="002A4D6D">
              <w:rPr>
                <w:spacing w:val="-2"/>
                <w:sz w:val="26"/>
                <w:szCs w:val="26"/>
                <w:lang w:eastAsia="lv-LV"/>
              </w:rPr>
              <w:t>S</w:t>
            </w:r>
            <w:r w:rsidR="00242655" w:rsidRPr="002A4D6D">
              <w:rPr>
                <w:spacing w:val="-2"/>
                <w:sz w:val="26"/>
                <w:szCs w:val="26"/>
                <w:lang w:eastAsia="lv-LV"/>
              </w:rPr>
              <w:t xml:space="preserve">ākot ar 2021.gadu, </w:t>
            </w:r>
            <w:proofErr w:type="spellStart"/>
            <w:r w:rsidR="004A33E7" w:rsidRPr="002A4D6D">
              <w:rPr>
                <w:spacing w:val="-2"/>
                <w:sz w:val="26"/>
                <w:szCs w:val="26"/>
                <w:lang w:eastAsia="lv-LV"/>
              </w:rPr>
              <w:t>ārpussavienības</w:t>
            </w:r>
            <w:proofErr w:type="spellEnd"/>
            <w:r w:rsidR="004A33E7" w:rsidRPr="002A4D6D">
              <w:rPr>
                <w:spacing w:val="-2"/>
                <w:sz w:val="26"/>
                <w:szCs w:val="26"/>
                <w:lang w:eastAsia="lv-LV"/>
              </w:rPr>
              <w:t xml:space="preserve"> režīma tvērums</w:t>
            </w:r>
            <w:r w:rsidR="00C652C8" w:rsidRPr="002A4D6D">
              <w:rPr>
                <w:rStyle w:val="FootnoteReference"/>
                <w:spacing w:val="-2"/>
                <w:sz w:val="26"/>
                <w:szCs w:val="26"/>
                <w:lang w:eastAsia="lv-LV"/>
              </w:rPr>
              <w:footnoteReference w:id="3"/>
            </w:r>
            <w:r w:rsidR="004A33E7" w:rsidRPr="002A4D6D">
              <w:rPr>
                <w:spacing w:val="-2"/>
                <w:sz w:val="26"/>
                <w:szCs w:val="26"/>
                <w:lang w:eastAsia="lv-LV"/>
              </w:rPr>
              <w:t xml:space="preserve"> </w:t>
            </w:r>
            <w:r w:rsidR="002028EF" w:rsidRPr="002A4D6D">
              <w:rPr>
                <w:spacing w:val="-2"/>
                <w:sz w:val="26"/>
                <w:szCs w:val="26"/>
                <w:lang w:eastAsia="lv-LV"/>
              </w:rPr>
              <w:t>PVN maksāšanas nolūkā</w:t>
            </w:r>
            <w:r w:rsidR="00DD32B4" w:rsidRPr="002A4D6D">
              <w:rPr>
                <w:spacing w:val="-2"/>
                <w:sz w:val="26"/>
                <w:szCs w:val="26"/>
                <w:lang w:eastAsia="lv-LV"/>
              </w:rPr>
              <w:t xml:space="preserve"> </w:t>
            </w:r>
            <w:r w:rsidR="004A33E7" w:rsidRPr="002A4D6D">
              <w:rPr>
                <w:spacing w:val="-2"/>
                <w:sz w:val="26"/>
                <w:szCs w:val="26"/>
                <w:lang w:eastAsia="lv-LV"/>
              </w:rPr>
              <w:t>tiek paplašināts uz</w:t>
            </w:r>
            <w:r w:rsidR="00DD32B4" w:rsidRPr="002A4D6D">
              <w:rPr>
                <w:spacing w:val="-2"/>
                <w:sz w:val="26"/>
                <w:szCs w:val="26"/>
                <w:lang w:eastAsia="lv-LV"/>
              </w:rPr>
              <w:t xml:space="preserve"> </w:t>
            </w:r>
            <w:r w:rsidR="002C04A9" w:rsidRPr="002A4D6D">
              <w:rPr>
                <w:spacing w:val="-2"/>
                <w:sz w:val="26"/>
                <w:szCs w:val="26"/>
                <w:lang w:eastAsia="lv-LV"/>
              </w:rPr>
              <w:t xml:space="preserve">jebkādiem </w:t>
            </w:r>
            <w:r w:rsidR="00E435C8" w:rsidRPr="002A4D6D">
              <w:rPr>
                <w:spacing w:val="-2"/>
                <w:sz w:val="26"/>
                <w:szCs w:val="26"/>
                <w:lang w:eastAsia="lv-LV"/>
              </w:rPr>
              <w:t>ES sniegtiem</w:t>
            </w:r>
            <w:r w:rsidR="00DD32B4" w:rsidRPr="002A4D6D">
              <w:rPr>
                <w:spacing w:val="-2"/>
                <w:sz w:val="26"/>
                <w:szCs w:val="26"/>
                <w:lang w:eastAsia="lv-LV"/>
              </w:rPr>
              <w:t xml:space="preserve"> pakalpojumiem</w:t>
            </w:r>
            <w:r w:rsidR="00C54D53" w:rsidRPr="002A4D6D">
              <w:rPr>
                <w:spacing w:val="-2"/>
                <w:sz w:val="26"/>
                <w:szCs w:val="26"/>
                <w:lang w:eastAsia="lv-LV"/>
              </w:rPr>
              <w:t>.</w:t>
            </w:r>
            <w:r w:rsidR="00DD32B4" w:rsidRPr="002A4D6D">
              <w:rPr>
                <w:spacing w:val="-2"/>
                <w:sz w:val="26"/>
                <w:szCs w:val="26"/>
                <w:lang w:eastAsia="lv-LV"/>
              </w:rPr>
              <w:t xml:space="preserve"> </w:t>
            </w:r>
            <w:r w:rsidR="00C652C8" w:rsidRPr="002A4D6D">
              <w:rPr>
                <w:spacing w:val="-2"/>
                <w:sz w:val="26"/>
                <w:szCs w:val="26"/>
                <w:lang w:eastAsia="lv-LV"/>
              </w:rPr>
              <w:t>Tādēļ ir nepieciešams veikt grozījumus Pievienotās vērtības nodokļa likumā</w:t>
            </w:r>
            <w:r w:rsidR="00D662F2" w:rsidRPr="002A4D6D">
              <w:rPr>
                <w:spacing w:val="-2"/>
                <w:sz w:val="26"/>
                <w:szCs w:val="26"/>
                <w:lang w:eastAsia="lv-LV"/>
              </w:rPr>
              <w:t xml:space="preserve">, paplašinot </w:t>
            </w:r>
            <w:proofErr w:type="spellStart"/>
            <w:r w:rsidR="00D662F2" w:rsidRPr="002A4D6D">
              <w:rPr>
                <w:spacing w:val="-2"/>
                <w:sz w:val="26"/>
                <w:szCs w:val="26"/>
                <w:lang w:eastAsia="lv-LV"/>
              </w:rPr>
              <w:t>ārpussavienības</w:t>
            </w:r>
            <w:proofErr w:type="spellEnd"/>
            <w:r w:rsidR="00D662F2" w:rsidRPr="002A4D6D">
              <w:rPr>
                <w:spacing w:val="-2"/>
                <w:sz w:val="26"/>
                <w:szCs w:val="26"/>
                <w:lang w:eastAsia="lv-LV"/>
              </w:rPr>
              <w:t xml:space="preserve"> režīma piemērošanas tvērumu un attiecīgi precizējot patēriņa dalībvalsts definīciju</w:t>
            </w:r>
            <w:r w:rsidR="00C652C8" w:rsidRPr="002A4D6D">
              <w:rPr>
                <w:spacing w:val="-2"/>
                <w:sz w:val="26"/>
                <w:szCs w:val="26"/>
                <w:lang w:eastAsia="lv-LV"/>
              </w:rPr>
              <w:t>.</w:t>
            </w:r>
          </w:p>
          <w:p w14:paraId="55CA1538" w14:textId="466B91DE" w:rsidR="00A172AD" w:rsidRPr="002A4D6D" w:rsidRDefault="00E60C06" w:rsidP="002A4D6D">
            <w:pPr>
              <w:ind w:left="118" w:right="113"/>
              <w:jc w:val="both"/>
              <w:rPr>
                <w:spacing w:val="-2"/>
                <w:sz w:val="26"/>
                <w:szCs w:val="26"/>
                <w:lang w:eastAsia="lv-LV"/>
              </w:rPr>
            </w:pPr>
            <w:r w:rsidRPr="002A4D6D">
              <w:rPr>
                <w:spacing w:val="-2"/>
                <w:sz w:val="26"/>
                <w:szCs w:val="26"/>
                <w:lang w:eastAsia="lv-LV"/>
              </w:rPr>
              <w:t>1.2. </w:t>
            </w:r>
            <w:r w:rsidR="00CA62BC" w:rsidRPr="002A4D6D">
              <w:rPr>
                <w:spacing w:val="-2"/>
                <w:sz w:val="26"/>
                <w:szCs w:val="26"/>
                <w:lang w:eastAsia="lv-LV"/>
              </w:rPr>
              <w:t xml:space="preserve">Eiropas Komisijas (turpmāk – </w:t>
            </w:r>
            <w:r w:rsidR="00E435C8" w:rsidRPr="002A4D6D">
              <w:rPr>
                <w:color w:val="000000"/>
                <w:spacing w:val="-2"/>
                <w:sz w:val="26"/>
                <w:szCs w:val="26"/>
              </w:rPr>
              <w:t>EK</w:t>
            </w:r>
            <w:r w:rsidR="00CA62BC" w:rsidRPr="002A4D6D">
              <w:rPr>
                <w:color w:val="000000"/>
                <w:spacing w:val="-2"/>
                <w:sz w:val="26"/>
                <w:szCs w:val="26"/>
              </w:rPr>
              <w:t>)</w:t>
            </w:r>
            <w:r w:rsidR="00E435C8" w:rsidRPr="002A4D6D">
              <w:rPr>
                <w:color w:val="000000"/>
                <w:spacing w:val="-2"/>
                <w:sz w:val="26"/>
                <w:szCs w:val="26"/>
              </w:rPr>
              <w:t xml:space="preserve"> novērtējumā par īpašiem PVN režīmiem secināts, ka PVN deklarācijas iesniegšanas termiņš</w:t>
            </w:r>
            <w:r w:rsidR="007235A5" w:rsidRPr="002A4D6D">
              <w:rPr>
                <w:rStyle w:val="FootnoteReference"/>
                <w:color w:val="000000"/>
                <w:spacing w:val="-2"/>
                <w:sz w:val="26"/>
                <w:szCs w:val="26"/>
              </w:rPr>
              <w:footnoteReference w:id="4"/>
            </w:r>
            <w:r w:rsidR="00E435C8" w:rsidRPr="002A4D6D">
              <w:rPr>
                <w:color w:val="000000"/>
                <w:spacing w:val="-2"/>
                <w:sz w:val="26"/>
                <w:szCs w:val="26"/>
              </w:rPr>
              <w:t xml:space="preserve"> ir par īsu, it īpaši tādiem pakalpojumiem, ko sniedz, izmantojot </w:t>
            </w:r>
            <w:r w:rsidR="000B73EF" w:rsidRPr="002A4D6D">
              <w:rPr>
                <w:color w:val="000000"/>
                <w:spacing w:val="-2"/>
                <w:sz w:val="26"/>
                <w:szCs w:val="26"/>
              </w:rPr>
              <w:t>elektronisku saskarni</w:t>
            </w:r>
            <w:r w:rsidR="00D662F2" w:rsidRPr="002A4D6D">
              <w:rPr>
                <w:color w:val="000000"/>
                <w:spacing w:val="-2"/>
                <w:sz w:val="26"/>
                <w:szCs w:val="26"/>
              </w:rPr>
              <w:t>,</w:t>
            </w:r>
            <w:r w:rsidR="00E435C8" w:rsidRPr="002A4D6D">
              <w:rPr>
                <w:color w:val="000000"/>
                <w:spacing w:val="-2"/>
                <w:sz w:val="26"/>
                <w:szCs w:val="26"/>
              </w:rPr>
              <w:t xml:space="preserve"> tādēļ</w:t>
            </w:r>
            <w:r w:rsidR="00E76544" w:rsidRPr="002A4D6D">
              <w:rPr>
                <w:color w:val="000000"/>
                <w:spacing w:val="-2"/>
                <w:sz w:val="26"/>
                <w:szCs w:val="26"/>
              </w:rPr>
              <w:t>,</w:t>
            </w:r>
            <w:r w:rsidR="00E435C8" w:rsidRPr="002A4D6D">
              <w:rPr>
                <w:color w:val="000000"/>
                <w:spacing w:val="-2"/>
                <w:sz w:val="26"/>
                <w:szCs w:val="26"/>
              </w:rPr>
              <w:t xml:space="preserve"> </w:t>
            </w:r>
            <w:r w:rsidR="00D662F2" w:rsidRPr="002A4D6D">
              <w:rPr>
                <w:color w:val="000000"/>
                <w:spacing w:val="-2"/>
                <w:sz w:val="26"/>
                <w:szCs w:val="26"/>
              </w:rPr>
              <w:t>sākot ar</w:t>
            </w:r>
            <w:r w:rsidR="00E435C8" w:rsidRPr="002A4D6D">
              <w:rPr>
                <w:color w:val="000000"/>
                <w:spacing w:val="-2"/>
                <w:sz w:val="26"/>
                <w:szCs w:val="26"/>
              </w:rPr>
              <w:t xml:space="preserve"> 2021.gada 1.janvār</w:t>
            </w:r>
            <w:r w:rsidR="00D662F2" w:rsidRPr="002A4D6D">
              <w:rPr>
                <w:color w:val="000000"/>
                <w:spacing w:val="-2"/>
                <w:sz w:val="26"/>
                <w:szCs w:val="26"/>
              </w:rPr>
              <w:t>i</w:t>
            </w:r>
            <w:r w:rsidR="00E76544" w:rsidRPr="002A4D6D">
              <w:rPr>
                <w:color w:val="000000"/>
                <w:spacing w:val="-2"/>
                <w:sz w:val="26"/>
                <w:szCs w:val="26"/>
              </w:rPr>
              <w:t>,</w:t>
            </w:r>
            <w:r w:rsidR="00E435C8" w:rsidRPr="002A4D6D">
              <w:rPr>
                <w:color w:val="000000"/>
                <w:spacing w:val="-2"/>
                <w:sz w:val="26"/>
                <w:szCs w:val="26"/>
              </w:rPr>
              <w:t xml:space="preserve"> </w:t>
            </w:r>
            <w:r w:rsidR="001A02B1" w:rsidRPr="002A4D6D">
              <w:rPr>
                <w:spacing w:val="-2"/>
                <w:sz w:val="26"/>
                <w:szCs w:val="26"/>
                <w:lang w:eastAsia="lv-LV"/>
              </w:rPr>
              <w:t xml:space="preserve">PVN deklarācijas iesniegšanas termiņš </w:t>
            </w:r>
            <w:r w:rsidR="00E435C8" w:rsidRPr="002A4D6D">
              <w:rPr>
                <w:color w:val="000000"/>
                <w:spacing w:val="-2"/>
                <w:sz w:val="26"/>
                <w:szCs w:val="26"/>
              </w:rPr>
              <w:t xml:space="preserve">tiek pagarināts </w:t>
            </w:r>
            <w:r w:rsidR="00E435C8" w:rsidRPr="002A4D6D">
              <w:rPr>
                <w:spacing w:val="-2"/>
                <w:sz w:val="26"/>
                <w:szCs w:val="26"/>
                <w:lang w:eastAsia="lv-LV"/>
              </w:rPr>
              <w:t xml:space="preserve">no 20 dienām līdz </w:t>
            </w:r>
            <w:r w:rsidR="007A436F" w:rsidRPr="002A4D6D">
              <w:rPr>
                <w:spacing w:val="-2"/>
                <w:sz w:val="26"/>
                <w:szCs w:val="26"/>
                <w:lang w:eastAsia="lv-LV"/>
              </w:rPr>
              <w:t xml:space="preserve">nākamā </w:t>
            </w:r>
            <w:r w:rsidR="00E435C8" w:rsidRPr="002A4D6D">
              <w:rPr>
                <w:spacing w:val="-2"/>
                <w:sz w:val="26"/>
                <w:szCs w:val="26"/>
                <w:lang w:eastAsia="lv-LV"/>
              </w:rPr>
              <w:t>mēneša beigām, kas seko taksācijas periodam</w:t>
            </w:r>
            <w:r w:rsidR="007A436F" w:rsidRPr="002A4D6D">
              <w:rPr>
                <w:spacing w:val="-2"/>
                <w:sz w:val="26"/>
                <w:szCs w:val="26"/>
                <w:lang w:eastAsia="lv-LV"/>
              </w:rPr>
              <w:t xml:space="preserve">. </w:t>
            </w:r>
            <w:r w:rsidR="00D662F2" w:rsidRPr="002A4D6D">
              <w:rPr>
                <w:spacing w:val="-2"/>
                <w:sz w:val="26"/>
                <w:szCs w:val="26"/>
                <w:lang w:eastAsia="lv-LV"/>
              </w:rPr>
              <w:t xml:space="preserve">Attiecīgi tiek pagarināts PVN samaksas termiņš valsts budžetā līdz nākamā mēneša beigām, kas seko taksācijas periodam. </w:t>
            </w:r>
            <w:r w:rsidR="007235A5" w:rsidRPr="002A4D6D">
              <w:rPr>
                <w:spacing w:val="-2"/>
                <w:sz w:val="26"/>
                <w:szCs w:val="26"/>
                <w:lang w:eastAsia="lv-LV"/>
              </w:rPr>
              <w:t>Savukārt PVN deklarācijas iesniegšanas kārtība netiek mainīta</w:t>
            </w:r>
            <w:r w:rsidR="00D662F2" w:rsidRPr="002A4D6D">
              <w:rPr>
                <w:spacing w:val="-2"/>
                <w:sz w:val="26"/>
                <w:szCs w:val="26"/>
                <w:lang w:eastAsia="lv-LV"/>
              </w:rPr>
              <w:t>:</w:t>
            </w:r>
            <w:r w:rsidR="007235A5" w:rsidRPr="002A4D6D">
              <w:rPr>
                <w:spacing w:val="-2"/>
                <w:sz w:val="26"/>
                <w:szCs w:val="26"/>
                <w:lang w:eastAsia="lv-LV"/>
              </w:rPr>
              <w:t xml:space="preserve"> arī turpmāk deklarācija ir iesniedzama, izmantojot </w:t>
            </w:r>
            <w:r w:rsidR="006F4EDA" w:rsidRPr="002A4D6D">
              <w:rPr>
                <w:spacing w:val="-2"/>
                <w:sz w:val="26"/>
                <w:szCs w:val="26"/>
                <w:lang w:eastAsia="lv-LV"/>
              </w:rPr>
              <w:t>VID</w:t>
            </w:r>
            <w:r w:rsidR="007235A5" w:rsidRPr="002A4D6D">
              <w:rPr>
                <w:spacing w:val="-2"/>
                <w:sz w:val="26"/>
                <w:szCs w:val="26"/>
                <w:lang w:eastAsia="lv-LV"/>
              </w:rPr>
              <w:t xml:space="preserve"> Elektroniskās deklarē</w:t>
            </w:r>
            <w:r w:rsidR="00D662F2" w:rsidRPr="002A4D6D">
              <w:rPr>
                <w:spacing w:val="-2"/>
                <w:sz w:val="26"/>
                <w:szCs w:val="26"/>
                <w:lang w:eastAsia="lv-LV"/>
              </w:rPr>
              <w:t>šanas sistēmu (turpmāk –</w:t>
            </w:r>
            <w:r w:rsidR="006F4EDA" w:rsidRPr="002A4D6D">
              <w:rPr>
                <w:spacing w:val="-2"/>
                <w:sz w:val="26"/>
                <w:szCs w:val="26"/>
                <w:lang w:eastAsia="lv-LV"/>
              </w:rPr>
              <w:t xml:space="preserve"> </w:t>
            </w:r>
            <w:r w:rsidR="00D662F2" w:rsidRPr="002A4D6D">
              <w:rPr>
                <w:spacing w:val="-2"/>
                <w:sz w:val="26"/>
                <w:szCs w:val="26"/>
                <w:lang w:eastAsia="lv-LV"/>
              </w:rPr>
              <w:t>EDS</w:t>
            </w:r>
            <w:r w:rsidR="00292FD8" w:rsidRPr="002A4D6D">
              <w:rPr>
                <w:spacing w:val="-2"/>
                <w:sz w:val="26"/>
                <w:szCs w:val="26"/>
                <w:lang w:eastAsia="lv-LV"/>
              </w:rPr>
              <w:t>)</w:t>
            </w:r>
            <w:r w:rsidR="00D662F2" w:rsidRPr="002A4D6D">
              <w:rPr>
                <w:spacing w:val="-2"/>
                <w:sz w:val="26"/>
                <w:szCs w:val="26"/>
                <w:lang w:eastAsia="lv-LV"/>
              </w:rPr>
              <w:t>, kā arī</w:t>
            </w:r>
            <w:r w:rsidR="00937045" w:rsidRPr="002A4D6D">
              <w:rPr>
                <w:spacing w:val="-2"/>
                <w:sz w:val="26"/>
                <w:szCs w:val="26"/>
                <w:lang w:eastAsia="lv-LV"/>
              </w:rPr>
              <w:t xml:space="preserve"> iesniedzama</w:t>
            </w:r>
            <w:r w:rsidR="00D662F2" w:rsidRPr="002A4D6D">
              <w:rPr>
                <w:spacing w:val="-2"/>
                <w:sz w:val="26"/>
                <w:szCs w:val="26"/>
                <w:lang w:eastAsia="lv-LV"/>
              </w:rPr>
              <w:t>, ja pakalpojumi nav sniegti</w:t>
            </w:r>
            <w:r w:rsidR="007235A5" w:rsidRPr="002A4D6D">
              <w:rPr>
                <w:spacing w:val="-2"/>
                <w:sz w:val="26"/>
                <w:szCs w:val="26"/>
                <w:lang w:eastAsia="lv-LV"/>
              </w:rPr>
              <w:t>.</w:t>
            </w:r>
            <w:r w:rsidR="00D662F2" w:rsidRPr="002A4D6D">
              <w:rPr>
                <w:spacing w:val="-2"/>
                <w:sz w:val="26"/>
                <w:szCs w:val="26"/>
                <w:lang w:eastAsia="lv-LV"/>
              </w:rPr>
              <w:t xml:space="preserve"> </w:t>
            </w:r>
            <w:r w:rsidR="007A436F" w:rsidRPr="002A4D6D">
              <w:rPr>
                <w:spacing w:val="-2"/>
                <w:sz w:val="26"/>
                <w:szCs w:val="26"/>
                <w:lang w:eastAsia="lv-LV"/>
              </w:rPr>
              <w:t>T</w:t>
            </w:r>
            <w:r w:rsidR="00E435C8" w:rsidRPr="002A4D6D">
              <w:rPr>
                <w:spacing w:val="-2"/>
                <w:sz w:val="26"/>
                <w:szCs w:val="26"/>
                <w:lang w:eastAsia="lv-LV"/>
              </w:rPr>
              <w:t>ādēļ ir nepieciešams veikt grozījumus Pievi</w:t>
            </w:r>
            <w:r w:rsidR="007A436F" w:rsidRPr="002A4D6D">
              <w:rPr>
                <w:spacing w:val="-2"/>
                <w:sz w:val="26"/>
                <w:szCs w:val="26"/>
                <w:lang w:eastAsia="lv-LV"/>
              </w:rPr>
              <w:t>enotās vērtības nodokļa likumā</w:t>
            </w:r>
            <w:r w:rsidR="00D662F2" w:rsidRPr="002A4D6D">
              <w:rPr>
                <w:spacing w:val="-2"/>
                <w:sz w:val="26"/>
                <w:szCs w:val="26"/>
                <w:lang w:eastAsia="lv-LV"/>
              </w:rPr>
              <w:t>, precizējot PVN deklarācijas iesniegšanas termiņu un nodokļa samaksas termiņu</w:t>
            </w:r>
            <w:r w:rsidR="00A172AD" w:rsidRPr="002A4D6D">
              <w:rPr>
                <w:spacing w:val="-2"/>
                <w:sz w:val="26"/>
                <w:szCs w:val="26"/>
                <w:lang w:eastAsia="lv-LV"/>
              </w:rPr>
              <w:t>.</w:t>
            </w:r>
          </w:p>
          <w:p w14:paraId="27C7DCDF" w14:textId="1A2A1770" w:rsidR="007F49D3" w:rsidRPr="002A4D6D" w:rsidRDefault="007F49D3" w:rsidP="002A4D6D">
            <w:pPr>
              <w:ind w:left="118" w:right="113"/>
              <w:jc w:val="both"/>
              <w:rPr>
                <w:spacing w:val="-2"/>
                <w:sz w:val="26"/>
                <w:szCs w:val="26"/>
                <w:lang w:eastAsia="lv-LV"/>
              </w:rPr>
            </w:pPr>
            <w:r w:rsidRPr="002A4D6D">
              <w:rPr>
                <w:spacing w:val="-2"/>
                <w:sz w:val="26"/>
                <w:szCs w:val="26"/>
                <w:lang w:eastAsia="lv-LV"/>
              </w:rPr>
              <w:t xml:space="preserve">1.3. Lai reģistrētos </w:t>
            </w:r>
            <w:proofErr w:type="spellStart"/>
            <w:r w:rsidRPr="002A4D6D">
              <w:rPr>
                <w:spacing w:val="-2"/>
                <w:sz w:val="26"/>
                <w:szCs w:val="26"/>
                <w:lang w:eastAsia="lv-LV"/>
              </w:rPr>
              <w:t>ārpussavienības</w:t>
            </w:r>
            <w:proofErr w:type="spellEnd"/>
            <w:r w:rsidRPr="002A4D6D">
              <w:rPr>
                <w:spacing w:val="-2"/>
                <w:sz w:val="26"/>
                <w:szCs w:val="26"/>
                <w:lang w:eastAsia="lv-LV"/>
              </w:rPr>
              <w:t xml:space="preserve"> režīmam, trešo valstu vai trešo teritoriju uzņēmējam, izmantojot VID EDS, ir jāiesniedz iesniegums, tādējādi paziņojot, kad sāk izmantot šo režīmu. Iesniegumā norāda Komisijas 2020.gada 12.februāra Īstenošanas regulas Nr.2020/194, ar ko nosaka sīki izstrādātus noteikumus Padomes Regulas (ES) Nr. </w:t>
            </w:r>
            <w:hyperlink r:id="rId10" w:tgtFrame="_blank" w:history="1">
              <w:r w:rsidRPr="002A4D6D">
                <w:rPr>
                  <w:spacing w:val="-2"/>
                  <w:sz w:val="26"/>
                  <w:szCs w:val="26"/>
                  <w:lang w:eastAsia="lv-LV"/>
                </w:rPr>
                <w:t>904/2010</w:t>
              </w:r>
            </w:hyperlink>
            <w:r w:rsidRPr="002A4D6D">
              <w:rPr>
                <w:spacing w:val="-2"/>
                <w:sz w:val="26"/>
                <w:szCs w:val="26"/>
                <w:lang w:eastAsia="lv-LV"/>
              </w:rPr>
              <w:t xml:space="preserve"> piemērošanai attiecībā uz īpašajiem režīmiem </w:t>
            </w:r>
            <w:r w:rsidRPr="002A4D6D">
              <w:rPr>
                <w:spacing w:val="-2"/>
                <w:sz w:val="26"/>
                <w:szCs w:val="26"/>
                <w:lang w:eastAsia="lv-LV"/>
              </w:rPr>
              <w:lastRenderedPageBreak/>
              <w:t>nodokļa maksātājiem, kas sniedz pakalpojumus personām, kuras nav nodokļa maksātājas</w:t>
            </w:r>
            <w:r w:rsidR="00B612DD" w:rsidRPr="002A4D6D">
              <w:rPr>
                <w:spacing w:val="-2"/>
                <w:sz w:val="26"/>
                <w:szCs w:val="26"/>
                <w:lang w:eastAsia="lv-LV"/>
              </w:rPr>
              <w:t>, un kas veic preču tālpārdošanu un konkrētas preču piegādes iekšzemē (turpmāk – Regula 2020/194</w:t>
            </w:r>
            <w:r w:rsidRPr="002A4D6D">
              <w:rPr>
                <w:spacing w:val="-2"/>
                <w:sz w:val="26"/>
                <w:szCs w:val="26"/>
                <w:lang w:eastAsia="lv-LV"/>
              </w:rPr>
              <w:t xml:space="preserve">), I pielikuma B slejā no </w:t>
            </w:r>
            <w:r w:rsidR="006B55C6" w:rsidRPr="002A4D6D">
              <w:rPr>
                <w:spacing w:val="-2"/>
                <w:sz w:val="26"/>
                <w:szCs w:val="26"/>
                <w:lang w:eastAsia="lv-LV"/>
              </w:rPr>
              <w:t>2</w:t>
            </w:r>
            <w:r w:rsidR="00601DF3" w:rsidRPr="002A4D6D">
              <w:rPr>
                <w:spacing w:val="-2"/>
                <w:sz w:val="26"/>
                <w:szCs w:val="26"/>
                <w:lang w:eastAsia="lv-LV"/>
              </w:rPr>
              <w:t>. līdz 12.</w:t>
            </w:r>
            <w:r w:rsidRPr="002A4D6D">
              <w:rPr>
                <w:spacing w:val="-2"/>
                <w:sz w:val="26"/>
                <w:szCs w:val="26"/>
                <w:lang w:eastAsia="lv-LV"/>
              </w:rPr>
              <w:t>pun</w:t>
            </w:r>
            <w:r w:rsidR="00A2754E" w:rsidRPr="002A4D6D">
              <w:rPr>
                <w:spacing w:val="-2"/>
                <w:sz w:val="26"/>
                <w:szCs w:val="26"/>
                <w:lang w:eastAsia="lv-LV"/>
              </w:rPr>
              <w:t xml:space="preserve">ktam minēto informāciju un </w:t>
            </w:r>
            <w:r w:rsidR="00B612DD" w:rsidRPr="002A4D6D">
              <w:rPr>
                <w:spacing w:val="-2"/>
                <w:sz w:val="26"/>
                <w:szCs w:val="26"/>
                <w:lang w:eastAsia="lv-LV"/>
              </w:rPr>
              <w:t>17.</w:t>
            </w:r>
            <w:r w:rsidRPr="002A4D6D">
              <w:rPr>
                <w:spacing w:val="-2"/>
                <w:sz w:val="26"/>
                <w:szCs w:val="26"/>
                <w:lang w:eastAsia="lv-LV"/>
              </w:rPr>
              <w:t xml:space="preserve">punktā minēto informāciju, ja </w:t>
            </w:r>
            <w:r w:rsidR="00B612DD" w:rsidRPr="002A4D6D">
              <w:rPr>
                <w:spacing w:val="-2"/>
                <w:sz w:val="26"/>
                <w:szCs w:val="26"/>
                <w:lang w:eastAsia="lv-LV"/>
              </w:rPr>
              <w:t>pakalpojumi</w:t>
            </w:r>
            <w:r w:rsidRPr="002A4D6D">
              <w:rPr>
                <w:spacing w:val="-2"/>
                <w:sz w:val="26"/>
                <w:szCs w:val="26"/>
                <w:lang w:eastAsia="lv-LV"/>
              </w:rPr>
              <w:t xml:space="preserve"> pirmo reizi tiek </w:t>
            </w:r>
            <w:r w:rsidR="00B612DD" w:rsidRPr="002A4D6D">
              <w:rPr>
                <w:spacing w:val="-2"/>
                <w:sz w:val="26"/>
                <w:szCs w:val="26"/>
                <w:lang w:eastAsia="lv-LV"/>
              </w:rPr>
              <w:t>sniegti</w:t>
            </w:r>
            <w:r w:rsidRPr="002A4D6D">
              <w:rPr>
                <w:spacing w:val="-2"/>
                <w:sz w:val="26"/>
                <w:szCs w:val="26"/>
                <w:lang w:eastAsia="lv-LV"/>
              </w:rPr>
              <w:t xml:space="preserve">, ņemot vērā </w:t>
            </w:r>
            <w:r w:rsidR="00B612DD" w:rsidRPr="002A4D6D">
              <w:rPr>
                <w:spacing w:val="-2"/>
                <w:sz w:val="26"/>
                <w:szCs w:val="26"/>
                <w:lang w:eastAsia="lv-LV"/>
              </w:rPr>
              <w:t>Padomes Īstenošanas 2011.gada 15.marta regulas (ES) 282/2011, ar ko nosaka īstenošanas pasākumus Direktīvai 2006/112/EK par kopējo pievienotās vērtības nodokļa sistēmu (pārstrādātā versija) (turpmāk</w:t>
            </w:r>
            <w:r w:rsidR="00F0739A" w:rsidRPr="002A4D6D">
              <w:rPr>
                <w:spacing w:val="-2"/>
                <w:sz w:val="26"/>
                <w:szCs w:val="26"/>
                <w:lang w:eastAsia="lv-LV"/>
              </w:rPr>
              <w:t> </w:t>
            </w:r>
            <w:r w:rsidR="00B612DD" w:rsidRPr="002A4D6D">
              <w:rPr>
                <w:spacing w:val="-2"/>
                <w:sz w:val="26"/>
                <w:szCs w:val="26"/>
                <w:lang w:eastAsia="lv-LV"/>
              </w:rPr>
              <w:t xml:space="preserve">- Regula 282/2011), 57.d panta </w:t>
            </w:r>
            <w:r w:rsidR="006C1487" w:rsidRPr="002A4D6D">
              <w:rPr>
                <w:spacing w:val="-2"/>
                <w:sz w:val="26"/>
                <w:szCs w:val="26"/>
                <w:lang w:eastAsia="lv-LV"/>
              </w:rPr>
              <w:t xml:space="preserve">1.punkta </w:t>
            </w:r>
            <w:r w:rsidR="00B612DD" w:rsidRPr="002A4D6D">
              <w:rPr>
                <w:spacing w:val="-2"/>
                <w:sz w:val="26"/>
                <w:szCs w:val="26"/>
                <w:lang w:eastAsia="lv-LV"/>
              </w:rPr>
              <w:t xml:space="preserve">otrajā rindkopā minēto nosacījumu (Padomes 2019.gada 21.novembra regulas (ES) Nr.2019/2026, ar ko groza Īstenošanas regulu (ES) Nr.282/2011 attiecībā uz preču piegādi vai pakalpojumu sniegšanu, ko veicina elektroniskas saskarnes, un uz īpašiem režīmiem nodokļa maksātājiem, kas sniedz personām, kuras nav nodokļa maksātājas, un kas veic preču tālpārdošanu un konkrētās preču piegādes iekšzemē, redakcijā (turpmāk – Regula 2019/2026)). </w:t>
            </w:r>
            <w:r w:rsidR="00A2754E" w:rsidRPr="002A4D6D">
              <w:rPr>
                <w:spacing w:val="-2"/>
                <w:sz w:val="26"/>
                <w:szCs w:val="26"/>
                <w:lang w:eastAsia="lv-LV"/>
              </w:rPr>
              <w:t>Vienlaikus trešo valstu vai trešo teritoriju uzņēmējam iesniegumā ir</w:t>
            </w:r>
            <w:r w:rsidRPr="002A4D6D">
              <w:rPr>
                <w:spacing w:val="-2"/>
                <w:sz w:val="26"/>
                <w:szCs w:val="26"/>
                <w:lang w:eastAsia="lv-LV"/>
              </w:rPr>
              <w:t xml:space="preserve"> </w:t>
            </w:r>
            <w:r w:rsidR="00A2754E" w:rsidRPr="002A4D6D">
              <w:rPr>
                <w:spacing w:val="-2"/>
                <w:sz w:val="26"/>
                <w:szCs w:val="26"/>
                <w:lang w:eastAsia="lv-LV"/>
              </w:rPr>
              <w:t>jā</w:t>
            </w:r>
            <w:r w:rsidRPr="002A4D6D">
              <w:rPr>
                <w:spacing w:val="-2"/>
                <w:sz w:val="26"/>
                <w:szCs w:val="26"/>
                <w:lang w:eastAsia="lv-LV"/>
              </w:rPr>
              <w:t>apliecina, ka tam Eiropas Savienībā nav saimnieciskās darbības mītnes vietas un pastāvīgās iestādes</w:t>
            </w:r>
            <w:r w:rsidR="00B612DD" w:rsidRPr="002A4D6D">
              <w:rPr>
                <w:spacing w:val="-2"/>
                <w:sz w:val="26"/>
                <w:szCs w:val="26"/>
                <w:lang w:eastAsia="lv-LV"/>
              </w:rPr>
              <w:t xml:space="preserve">. Tā kā regulas ir tieši piemērojamas, VID </w:t>
            </w:r>
            <w:r w:rsidR="004B5DFE" w:rsidRPr="002A4D6D">
              <w:rPr>
                <w:spacing w:val="-2"/>
                <w:sz w:val="26"/>
                <w:szCs w:val="26"/>
                <w:lang w:eastAsia="lv-LV"/>
              </w:rPr>
              <w:t xml:space="preserve">ir nepieciešams </w:t>
            </w:r>
            <w:r w:rsidR="00B612DD" w:rsidRPr="002A4D6D">
              <w:rPr>
                <w:spacing w:val="-2"/>
                <w:sz w:val="26"/>
                <w:szCs w:val="26"/>
                <w:lang w:eastAsia="lv-LV"/>
              </w:rPr>
              <w:t>izstrād</w:t>
            </w:r>
            <w:r w:rsidR="004B5DFE" w:rsidRPr="002A4D6D">
              <w:rPr>
                <w:spacing w:val="-2"/>
                <w:sz w:val="26"/>
                <w:szCs w:val="26"/>
                <w:lang w:eastAsia="lv-LV"/>
              </w:rPr>
              <w:t>āt</w:t>
            </w:r>
            <w:r w:rsidR="00B612DD" w:rsidRPr="002A4D6D">
              <w:rPr>
                <w:spacing w:val="-2"/>
                <w:sz w:val="26"/>
                <w:szCs w:val="26"/>
                <w:lang w:eastAsia="lv-LV"/>
              </w:rPr>
              <w:t xml:space="preserve"> iesniegumu veidlapu, </w:t>
            </w:r>
            <w:r w:rsidR="004B5DFE" w:rsidRPr="002A4D6D">
              <w:rPr>
                <w:spacing w:val="-2"/>
                <w:sz w:val="26"/>
                <w:szCs w:val="26"/>
                <w:lang w:eastAsia="lv-LV"/>
              </w:rPr>
              <w:t>pamatojoties uz Regulas 2020/194 prasībām</w:t>
            </w:r>
            <w:r w:rsidR="00A2754E" w:rsidRPr="002A4D6D">
              <w:rPr>
                <w:spacing w:val="-2"/>
                <w:sz w:val="26"/>
                <w:szCs w:val="26"/>
                <w:lang w:eastAsia="lv-LV"/>
              </w:rPr>
              <w:t xml:space="preserve">, un nodrošināt tās pieejamību VID EDS, lai ikviens uzņēmējs, kas </w:t>
            </w:r>
            <w:r w:rsidR="00601DF3" w:rsidRPr="002A4D6D">
              <w:rPr>
                <w:spacing w:val="-2"/>
                <w:sz w:val="26"/>
                <w:szCs w:val="26"/>
                <w:lang w:eastAsia="lv-LV"/>
              </w:rPr>
              <w:t>iz</w:t>
            </w:r>
            <w:r w:rsidR="00A2754E" w:rsidRPr="002A4D6D">
              <w:rPr>
                <w:spacing w:val="-2"/>
                <w:sz w:val="26"/>
                <w:szCs w:val="26"/>
                <w:lang w:eastAsia="lv-LV"/>
              </w:rPr>
              <w:t xml:space="preserve">vēlēsies reģistrēties </w:t>
            </w:r>
            <w:r w:rsidR="00330B48" w:rsidRPr="002A4D6D">
              <w:rPr>
                <w:spacing w:val="-2"/>
                <w:sz w:val="26"/>
                <w:szCs w:val="26"/>
                <w:lang w:eastAsia="lv-LV"/>
              </w:rPr>
              <w:t xml:space="preserve">Latvijā </w:t>
            </w:r>
            <w:proofErr w:type="spellStart"/>
            <w:r w:rsidR="00A2754E" w:rsidRPr="002A4D6D">
              <w:rPr>
                <w:spacing w:val="-2"/>
                <w:sz w:val="26"/>
                <w:szCs w:val="26"/>
                <w:lang w:eastAsia="lv-LV"/>
              </w:rPr>
              <w:t>ārpussavienības</w:t>
            </w:r>
            <w:proofErr w:type="spellEnd"/>
            <w:r w:rsidR="00A2754E" w:rsidRPr="002A4D6D">
              <w:rPr>
                <w:spacing w:val="-2"/>
                <w:sz w:val="26"/>
                <w:szCs w:val="26"/>
                <w:lang w:eastAsia="lv-LV"/>
              </w:rPr>
              <w:t xml:space="preserve"> režīma </w:t>
            </w:r>
            <w:r w:rsidR="00330B48" w:rsidRPr="002A4D6D">
              <w:rPr>
                <w:spacing w:val="-2"/>
                <w:sz w:val="26"/>
                <w:szCs w:val="26"/>
                <w:lang w:eastAsia="lv-LV"/>
              </w:rPr>
              <w:t>reģistrā</w:t>
            </w:r>
            <w:r w:rsidR="00A2754E" w:rsidRPr="002A4D6D">
              <w:rPr>
                <w:spacing w:val="-2"/>
                <w:sz w:val="26"/>
                <w:szCs w:val="26"/>
                <w:lang w:eastAsia="lv-LV"/>
              </w:rPr>
              <w:t>, varētu aizpildīt</w:t>
            </w:r>
            <w:r w:rsidR="00330B48" w:rsidRPr="002A4D6D">
              <w:rPr>
                <w:spacing w:val="-2"/>
                <w:sz w:val="26"/>
                <w:szCs w:val="26"/>
                <w:lang w:eastAsia="lv-LV"/>
              </w:rPr>
              <w:t xml:space="preserve"> un iesniegt </w:t>
            </w:r>
            <w:r w:rsidR="00601DF3" w:rsidRPr="002A4D6D">
              <w:rPr>
                <w:spacing w:val="-2"/>
                <w:sz w:val="26"/>
                <w:szCs w:val="26"/>
                <w:lang w:eastAsia="lv-LV"/>
              </w:rPr>
              <w:t xml:space="preserve">iesniegumu </w:t>
            </w:r>
            <w:r w:rsidR="00330B48" w:rsidRPr="002A4D6D">
              <w:rPr>
                <w:spacing w:val="-2"/>
                <w:sz w:val="26"/>
                <w:szCs w:val="26"/>
                <w:lang w:eastAsia="lv-LV"/>
              </w:rPr>
              <w:t>elektroniski</w:t>
            </w:r>
            <w:r w:rsidR="004B5DFE" w:rsidRPr="002A4D6D">
              <w:rPr>
                <w:spacing w:val="-2"/>
                <w:sz w:val="26"/>
                <w:szCs w:val="26"/>
                <w:lang w:eastAsia="lv-LV"/>
              </w:rPr>
              <w:t>. Pievienotās vērtības nodokļa likumu ir nepieciešams papildināt ar kārtību</w:t>
            </w:r>
            <w:r w:rsidR="00601DF3" w:rsidRPr="002A4D6D">
              <w:rPr>
                <w:spacing w:val="-2"/>
                <w:sz w:val="26"/>
                <w:szCs w:val="26"/>
                <w:lang w:eastAsia="lv-LV"/>
              </w:rPr>
              <w:t>,</w:t>
            </w:r>
            <w:r w:rsidR="004B5DFE" w:rsidRPr="002A4D6D">
              <w:rPr>
                <w:spacing w:val="-2"/>
                <w:sz w:val="26"/>
                <w:szCs w:val="26"/>
                <w:lang w:eastAsia="lv-LV"/>
              </w:rPr>
              <w:t xml:space="preserve"> </w:t>
            </w:r>
            <w:r w:rsidR="00601DF3" w:rsidRPr="002A4D6D">
              <w:rPr>
                <w:spacing w:val="-2"/>
                <w:sz w:val="26"/>
                <w:szCs w:val="26"/>
                <w:lang w:eastAsia="lv-LV"/>
              </w:rPr>
              <w:t xml:space="preserve">kādā PVN maksātāju reģistrē </w:t>
            </w:r>
            <w:proofErr w:type="spellStart"/>
            <w:r w:rsidR="00794215" w:rsidRPr="002A4D6D">
              <w:rPr>
                <w:spacing w:val="-2"/>
                <w:sz w:val="26"/>
                <w:szCs w:val="26"/>
                <w:lang w:eastAsia="lv-LV"/>
              </w:rPr>
              <w:t>ā</w:t>
            </w:r>
            <w:r w:rsidR="00601DF3" w:rsidRPr="002A4D6D">
              <w:rPr>
                <w:spacing w:val="-2"/>
                <w:sz w:val="26"/>
                <w:szCs w:val="26"/>
                <w:lang w:eastAsia="lv-LV"/>
              </w:rPr>
              <w:t>rpussavienības</w:t>
            </w:r>
            <w:proofErr w:type="spellEnd"/>
            <w:r w:rsidR="00601DF3" w:rsidRPr="002A4D6D">
              <w:rPr>
                <w:spacing w:val="-2"/>
                <w:sz w:val="26"/>
                <w:szCs w:val="26"/>
                <w:lang w:eastAsia="lv-LV"/>
              </w:rPr>
              <w:t xml:space="preserve"> režīma reģistrā, nosakot vispārējo iesniegumā norādāmo informāciju</w:t>
            </w:r>
            <w:r w:rsidR="00794215" w:rsidRPr="002A4D6D">
              <w:rPr>
                <w:spacing w:val="-2"/>
                <w:sz w:val="26"/>
                <w:szCs w:val="26"/>
                <w:lang w:eastAsia="lv-LV"/>
              </w:rPr>
              <w:t xml:space="preserve"> atbilstoši </w:t>
            </w:r>
            <w:r w:rsidR="00601DF3" w:rsidRPr="002A4D6D">
              <w:rPr>
                <w:spacing w:val="-2"/>
                <w:sz w:val="26"/>
                <w:szCs w:val="26"/>
                <w:lang w:eastAsia="lv-LV"/>
              </w:rPr>
              <w:t>Direktīv</w:t>
            </w:r>
            <w:r w:rsidR="00794215" w:rsidRPr="002A4D6D">
              <w:rPr>
                <w:spacing w:val="-2"/>
                <w:sz w:val="26"/>
                <w:szCs w:val="26"/>
                <w:lang w:eastAsia="lv-LV"/>
              </w:rPr>
              <w:t>ā</w:t>
            </w:r>
            <w:r w:rsidR="00601DF3" w:rsidRPr="002A4D6D">
              <w:rPr>
                <w:spacing w:val="-2"/>
                <w:sz w:val="26"/>
                <w:szCs w:val="26"/>
                <w:lang w:eastAsia="lv-LV"/>
              </w:rPr>
              <w:t xml:space="preserve"> 2017/2455</w:t>
            </w:r>
            <w:r w:rsidR="00794215" w:rsidRPr="002A4D6D">
              <w:rPr>
                <w:spacing w:val="-2"/>
                <w:sz w:val="26"/>
                <w:szCs w:val="26"/>
                <w:lang w:eastAsia="lv-LV"/>
              </w:rPr>
              <w:t xml:space="preserve"> minētajam</w:t>
            </w:r>
            <w:r w:rsidR="00601DF3" w:rsidRPr="002A4D6D">
              <w:rPr>
                <w:spacing w:val="-2"/>
                <w:sz w:val="26"/>
                <w:szCs w:val="26"/>
                <w:lang w:eastAsia="lv-LV"/>
              </w:rPr>
              <w:t>.</w:t>
            </w:r>
          </w:p>
          <w:p w14:paraId="1AC7B009" w14:textId="06A36466" w:rsidR="002846CB" w:rsidRPr="002A4D6D" w:rsidRDefault="00E60C06" w:rsidP="002A4D6D">
            <w:pPr>
              <w:ind w:left="113" w:right="113"/>
              <w:jc w:val="both"/>
              <w:rPr>
                <w:b/>
                <w:i/>
                <w:color w:val="000000"/>
                <w:spacing w:val="-2"/>
                <w:sz w:val="26"/>
                <w:szCs w:val="26"/>
              </w:rPr>
            </w:pPr>
            <w:r w:rsidRPr="002A4D6D">
              <w:rPr>
                <w:b/>
                <w:i/>
                <w:color w:val="000000"/>
                <w:spacing w:val="-2"/>
                <w:sz w:val="26"/>
                <w:szCs w:val="26"/>
              </w:rPr>
              <w:t>2. </w:t>
            </w:r>
            <w:r w:rsidR="00A172AD" w:rsidRPr="002A4D6D">
              <w:rPr>
                <w:b/>
                <w:i/>
                <w:color w:val="000000"/>
                <w:spacing w:val="-2"/>
                <w:sz w:val="26"/>
                <w:szCs w:val="26"/>
              </w:rPr>
              <w:t>Savienības režīms jeb ī</w:t>
            </w:r>
            <w:r w:rsidR="002846CB" w:rsidRPr="002A4D6D">
              <w:rPr>
                <w:b/>
                <w:i/>
                <w:color w:val="000000"/>
                <w:spacing w:val="-2"/>
                <w:sz w:val="26"/>
                <w:szCs w:val="26"/>
              </w:rPr>
              <w:t xml:space="preserve">pašs režīms preču tālpārdošanai </w:t>
            </w:r>
            <w:r w:rsidR="00A172AD" w:rsidRPr="002A4D6D">
              <w:rPr>
                <w:b/>
                <w:i/>
                <w:color w:val="000000"/>
                <w:spacing w:val="-2"/>
                <w:sz w:val="26"/>
                <w:szCs w:val="26"/>
              </w:rPr>
              <w:t xml:space="preserve">ES, preču piegādēm, kas veiktas ar šādas piegādes veicinošas elektroniskas saskarnes palīdzību, </w:t>
            </w:r>
            <w:r w:rsidR="002846CB" w:rsidRPr="002A4D6D">
              <w:rPr>
                <w:b/>
                <w:i/>
                <w:color w:val="000000"/>
                <w:spacing w:val="-2"/>
                <w:sz w:val="26"/>
                <w:szCs w:val="26"/>
              </w:rPr>
              <w:t>un pakalpojum</w:t>
            </w:r>
            <w:r w:rsidR="00C54D53" w:rsidRPr="002A4D6D">
              <w:rPr>
                <w:b/>
                <w:i/>
                <w:color w:val="000000"/>
                <w:spacing w:val="-2"/>
                <w:sz w:val="26"/>
                <w:szCs w:val="26"/>
              </w:rPr>
              <w:t>iem</w:t>
            </w:r>
            <w:r w:rsidR="002846CB" w:rsidRPr="002A4D6D">
              <w:rPr>
                <w:b/>
                <w:i/>
                <w:color w:val="000000"/>
                <w:spacing w:val="-2"/>
                <w:sz w:val="26"/>
                <w:szCs w:val="26"/>
              </w:rPr>
              <w:t xml:space="preserve">, ko </w:t>
            </w:r>
            <w:r w:rsidR="00C54D53" w:rsidRPr="002A4D6D">
              <w:rPr>
                <w:b/>
                <w:i/>
                <w:color w:val="000000"/>
                <w:spacing w:val="-2"/>
                <w:sz w:val="26"/>
                <w:szCs w:val="26"/>
              </w:rPr>
              <w:t>sniedz</w:t>
            </w:r>
            <w:r w:rsidR="00A172AD" w:rsidRPr="002A4D6D">
              <w:rPr>
                <w:b/>
                <w:i/>
                <w:color w:val="000000"/>
                <w:spacing w:val="-2"/>
                <w:sz w:val="26"/>
                <w:szCs w:val="26"/>
              </w:rPr>
              <w:t xml:space="preserve"> PVN maksātāji, kuri</w:t>
            </w:r>
            <w:r w:rsidR="002846CB" w:rsidRPr="002A4D6D">
              <w:rPr>
                <w:b/>
                <w:i/>
                <w:color w:val="000000"/>
                <w:spacing w:val="-2"/>
                <w:sz w:val="26"/>
                <w:szCs w:val="26"/>
              </w:rPr>
              <w:t xml:space="preserve"> veic saimniecisko darbību ES, bet ne patēriņa</w:t>
            </w:r>
            <w:r w:rsidR="00A172AD" w:rsidRPr="002A4D6D">
              <w:rPr>
                <w:b/>
                <w:i/>
                <w:color w:val="000000"/>
                <w:spacing w:val="-2"/>
                <w:sz w:val="26"/>
                <w:szCs w:val="26"/>
              </w:rPr>
              <w:t xml:space="preserve"> dalībvalstī</w:t>
            </w:r>
          </w:p>
          <w:p w14:paraId="548BDE21" w14:textId="14CE2D73" w:rsidR="009E0EB4" w:rsidRPr="002A4D6D" w:rsidRDefault="00A172AD" w:rsidP="002A4D6D">
            <w:pPr>
              <w:ind w:left="118" w:right="113"/>
              <w:jc w:val="both"/>
              <w:rPr>
                <w:noProof/>
                <w:spacing w:val="-2"/>
                <w:sz w:val="26"/>
                <w:szCs w:val="26"/>
              </w:rPr>
            </w:pPr>
            <w:r w:rsidRPr="002A4D6D">
              <w:rPr>
                <w:noProof/>
                <w:spacing w:val="-2"/>
                <w:sz w:val="26"/>
                <w:szCs w:val="26"/>
              </w:rPr>
              <w:t>2.1. </w:t>
            </w:r>
            <w:r w:rsidR="00D662F2" w:rsidRPr="002A4D6D">
              <w:rPr>
                <w:noProof/>
                <w:spacing w:val="-2"/>
                <w:sz w:val="26"/>
                <w:szCs w:val="26"/>
              </w:rPr>
              <w:t>Sākot a</w:t>
            </w:r>
            <w:r w:rsidR="00242655" w:rsidRPr="002A4D6D">
              <w:rPr>
                <w:noProof/>
                <w:spacing w:val="-2"/>
                <w:sz w:val="26"/>
                <w:szCs w:val="26"/>
              </w:rPr>
              <w:t>r 2021.gadu</w:t>
            </w:r>
            <w:r w:rsidR="00D662F2" w:rsidRPr="002A4D6D">
              <w:rPr>
                <w:noProof/>
                <w:spacing w:val="-2"/>
                <w:sz w:val="26"/>
                <w:szCs w:val="26"/>
              </w:rPr>
              <w:t>,</w:t>
            </w:r>
            <w:r w:rsidR="00852F31" w:rsidRPr="002A4D6D">
              <w:rPr>
                <w:noProof/>
                <w:spacing w:val="-2"/>
                <w:sz w:val="26"/>
                <w:szCs w:val="26"/>
              </w:rPr>
              <w:t xml:space="preserve"> </w:t>
            </w:r>
            <w:r w:rsidR="00852F31" w:rsidRPr="002A4D6D">
              <w:rPr>
                <w:spacing w:val="-2"/>
                <w:sz w:val="26"/>
                <w:szCs w:val="26"/>
                <w:lang w:eastAsia="lv-LV"/>
              </w:rPr>
              <w:t>savienības režīm</w:t>
            </w:r>
            <w:r w:rsidR="00D662F2" w:rsidRPr="002A4D6D">
              <w:rPr>
                <w:spacing w:val="-2"/>
                <w:sz w:val="26"/>
                <w:szCs w:val="26"/>
                <w:lang w:eastAsia="lv-LV"/>
              </w:rPr>
              <w:t>a tvērums</w:t>
            </w:r>
            <w:r w:rsidR="00D662F2" w:rsidRPr="002A4D6D">
              <w:rPr>
                <w:rStyle w:val="FootnoteReference"/>
                <w:spacing w:val="-2"/>
                <w:sz w:val="26"/>
                <w:szCs w:val="26"/>
                <w:lang w:eastAsia="lv-LV"/>
              </w:rPr>
              <w:footnoteReference w:id="5"/>
            </w:r>
            <w:r w:rsidRPr="002A4D6D">
              <w:rPr>
                <w:spacing w:val="-2"/>
                <w:sz w:val="26"/>
                <w:szCs w:val="26"/>
                <w:lang w:eastAsia="lv-LV"/>
              </w:rPr>
              <w:t xml:space="preserve"> tiek paplašināts uz </w:t>
            </w:r>
            <w:r w:rsidR="00E76544" w:rsidRPr="002A4D6D">
              <w:rPr>
                <w:spacing w:val="-2"/>
                <w:sz w:val="26"/>
                <w:szCs w:val="26"/>
                <w:lang w:eastAsia="lv-LV"/>
              </w:rPr>
              <w:t xml:space="preserve">jebkādām </w:t>
            </w:r>
            <w:r w:rsidRPr="002A4D6D">
              <w:rPr>
                <w:spacing w:val="-2"/>
                <w:sz w:val="26"/>
                <w:szCs w:val="26"/>
                <w:lang w:eastAsia="lv-LV"/>
              </w:rPr>
              <w:t>ES piegādātām precēm</w:t>
            </w:r>
            <w:r w:rsidR="00130973" w:rsidRPr="002A4D6D">
              <w:rPr>
                <w:spacing w:val="-2"/>
                <w:sz w:val="26"/>
                <w:szCs w:val="26"/>
                <w:lang w:eastAsia="lv-LV"/>
              </w:rPr>
              <w:t xml:space="preserve">, ko </w:t>
            </w:r>
            <w:r w:rsidR="00D662F2" w:rsidRPr="002A4D6D">
              <w:rPr>
                <w:spacing w:val="-2"/>
                <w:sz w:val="26"/>
                <w:szCs w:val="26"/>
                <w:lang w:eastAsia="lv-LV"/>
              </w:rPr>
              <w:t>veic</w:t>
            </w:r>
            <w:r w:rsidR="00130973" w:rsidRPr="002A4D6D">
              <w:rPr>
                <w:spacing w:val="-2"/>
                <w:sz w:val="26"/>
                <w:szCs w:val="26"/>
                <w:lang w:eastAsia="lv-LV"/>
              </w:rPr>
              <w:t xml:space="preserve"> PVN maksātāji, kas veic preču tālpārdošanu ES, </w:t>
            </w:r>
            <w:r w:rsidRPr="002A4D6D">
              <w:rPr>
                <w:spacing w:val="-2"/>
                <w:sz w:val="26"/>
                <w:szCs w:val="26"/>
                <w:lang w:eastAsia="lv-LV"/>
              </w:rPr>
              <w:t xml:space="preserve">un </w:t>
            </w:r>
            <w:r w:rsidR="004D7278" w:rsidRPr="002A4D6D">
              <w:rPr>
                <w:spacing w:val="-2"/>
                <w:sz w:val="26"/>
                <w:szCs w:val="26"/>
                <w:lang w:eastAsia="lv-LV"/>
              </w:rPr>
              <w:t xml:space="preserve">jebkādiem </w:t>
            </w:r>
            <w:r w:rsidR="00130973" w:rsidRPr="002A4D6D">
              <w:rPr>
                <w:spacing w:val="-2"/>
                <w:sz w:val="26"/>
                <w:szCs w:val="26"/>
                <w:lang w:eastAsia="lv-LV"/>
              </w:rPr>
              <w:t xml:space="preserve">ES </w:t>
            </w:r>
            <w:r w:rsidRPr="002A4D6D">
              <w:rPr>
                <w:spacing w:val="-2"/>
                <w:sz w:val="26"/>
                <w:szCs w:val="26"/>
                <w:lang w:eastAsia="lv-LV"/>
              </w:rPr>
              <w:t xml:space="preserve">sniegtiem pakalpojumiem, ko sniedz </w:t>
            </w:r>
            <w:r w:rsidR="005761B1" w:rsidRPr="002A4D6D">
              <w:rPr>
                <w:noProof/>
                <w:spacing w:val="-2"/>
                <w:sz w:val="26"/>
                <w:szCs w:val="26"/>
              </w:rPr>
              <w:t>PVN maksātāji, k</w:t>
            </w:r>
            <w:r w:rsidR="00130973" w:rsidRPr="002A4D6D">
              <w:rPr>
                <w:noProof/>
                <w:spacing w:val="-2"/>
                <w:sz w:val="26"/>
                <w:szCs w:val="26"/>
              </w:rPr>
              <w:t>as veic saimniecisko darbību ES</w:t>
            </w:r>
            <w:r w:rsidR="005761B1" w:rsidRPr="002A4D6D">
              <w:rPr>
                <w:noProof/>
                <w:spacing w:val="-2"/>
                <w:sz w:val="26"/>
                <w:szCs w:val="26"/>
              </w:rPr>
              <w:t xml:space="preserve">, bet ne patēriņa dalībvalstī, </w:t>
            </w:r>
            <w:r w:rsidR="00852F31" w:rsidRPr="002A4D6D">
              <w:rPr>
                <w:noProof/>
                <w:spacing w:val="-2"/>
                <w:sz w:val="26"/>
                <w:szCs w:val="26"/>
              </w:rPr>
              <w:t>un kuri sniedz pakalpojumus pers</w:t>
            </w:r>
            <w:r w:rsidR="00130973" w:rsidRPr="002A4D6D">
              <w:rPr>
                <w:noProof/>
                <w:spacing w:val="-2"/>
                <w:sz w:val="26"/>
                <w:szCs w:val="26"/>
              </w:rPr>
              <w:t xml:space="preserve">onām, kuras nav PVN maksātājas. </w:t>
            </w:r>
            <w:r w:rsidR="000B6744" w:rsidRPr="002A4D6D">
              <w:rPr>
                <w:noProof/>
                <w:spacing w:val="-2"/>
                <w:sz w:val="26"/>
                <w:szCs w:val="26"/>
              </w:rPr>
              <w:t>Tā kā p</w:t>
            </w:r>
            <w:proofErr w:type="spellStart"/>
            <w:r w:rsidR="000B6744" w:rsidRPr="002A4D6D">
              <w:rPr>
                <w:spacing w:val="-2"/>
                <w:sz w:val="26"/>
                <w:szCs w:val="26"/>
                <w:lang w:eastAsia="lv-LV"/>
              </w:rPr>
              <w:t>raksē</w:t>
            </w:r>
            <w:proofErr w:type="spellEnd"/>
            <w:r w:rsidR="000B6744" w:rsidRPr="002A4D6D">
              <w:rPr>
                <w:spacing w:val="-2"/>
                <w:sz w:val="26"/>
                <w:szCs w:val="26"/>
                <w:lang w:eastAsia="lv-LV"/>
              </w:rPr>
              <w:t xml:space="preserve"> PVN maksātāji, kas neveic saimniecisko darbību ES un kuri izmanto </w:t>
            </w:r>
            <w:r w:rsidR="000B6744" w:rsidRPr="002A4D6D">
              <w:rPr>
                <w:spacing w:val="-2"/>
                <w:sz w:val="26"/>
                <w:szCs w:val="26"/>
                <w:lang w:eastAsia="lv-LV"/>
              </w:rPr>
              <w:lastRenderedPageBreak/>
              <w:t>elektronisku saskarni (piemēram, tirdzniecības vietu, platformu vai portālu), lai pārdotu preces, bieži vien tur preču krājumus dažādās dalībvalstīs un pasūtījumu izpilde notiek, izmantojot noliktavas (</w:t>
            </w:r>
            <w:proofErr w:type="spellStart"/>
            <w:r w:rsidR="000B6744" w:rsidRPr="002A4D6D">
              <w:rPr>
                <w:i/>
                <w:spacing w:val="-2"/>
                <w:sz w:val="26"/>
                <w:szCs w:val="26"/>
                <w:lang w:eastAsia="lv-LV"/>
              </w:rPr>
              <w:t>fullfilment</w:t>
            </w:r>
            <w:proofErr w:type="spellEnd"/>
            <w:r w:rsidR="000B6744" w:rsidRPr="002A4D6D">
              <w:rPr>
                <w:i/>
                <w:spacing w:val="-2"/>
                <w:sz w:val="26"/>
                <w:szCs w:val="26"/>
                <w:lang w:eastAsia="lv-LV"/>
              </w:rPr>
              <w:t xml:space="preserve"> </w:t>
            </w:r>
            <w:proofErr w:type="spellStart"/>
            <w:r w:rsidR="000B6744" w:rsidRPr="002A4D6D">
              <w:rPr>
                <w:i/>
                <w:spacing w:val="-2"/>
                <w:sz w:val="26"/>
                <w:szCs w:val="26"/>
                <w:lang w:eastAsia="lv-LV"/>
              </w:rPr>
              <w:t>warehouses</w:t>
            </w:r>
            <w:proofErr w:type="spellEnd"/>
            <w:r w:rsidR="000B6744" w:rsidRPr="002A4D6D">
              <w:rPr>
                <w:spacing w:val="-2"/>
                <w:sz w:val="26"/>
                <w:szCs w:val="26"/>
                <w:lang w:eastAsia="lv-LV"/>
              </w:rPr>
              <w:t xml:space="preserve">), tad šādiem PVN maksātājiem PVN deklarēšanas un maksāšanas nolūkā obligāti jāreģistrējas visās šajās dalībvalstīs. Lai mazinātu administratīvo slogu, sākot ar 2021.gada 1.janvāri, savienības režīmu varēs piemērot arī iekšzemes piegādēm, ko veic PVN maksātāji, kuri, izmantojot elektroniskas saskarnes (piemēram, tirdzniecības vietu, platformu vai portālu) veicina šādas preču piegādes. </w:t>
            </w:r>
            <w:r w:rsidR="009E0EB4" w:rsidRPr="002A4D6D">
              <w:rPr>
                <w:spacing w:val="-2"/>
                <w:sz w:val="26"/>
                <w:szCs w:val="26"/>
                <w:lang w:eastAsia="lv-LV"/>
              </w:rPr>
              <w:t>Tādēļ ir nepieciešams veikt grozījumus Pievienotās vērtības nodokļa likumā, paplašinot savienības režīma piemērošanas tvērumu un attiecīgi precizējot patēriņa dalībvalsts definīciju.</w:t>
            </w:r>
          </w:p>
          <w:p w14:paraId="0B0EFEBF" w14:textId="507F5A38" w:rsidR="00130973" w:rsidRPr="002A4D6D" w:rsidRDefault="00130973" w:rsidP="002A4D6D">
            <w:pPr>
              <w:ind w:left="118" w:right="113"/>
              <w:jc w:val="both"/>
              <w:rPr>
                <w:spacing w:val="-2"/>
                <w:sz w:val="26"/>
                <w:szCs w:val="26"/>
                <w:lang w:eastAsia="lv-LV"/>
              </w:rPr>
            </w:pPr>
            <w:r w:rsidRPr="002A4D6D">
              <w:rPr>
                <w:spacing w:val="-2"/>
                <w:sz w:val="26"/>
                <w:szCs w:val="26"/>
                <w:lang w:eastAsia="lv-LV"/>
              </w:rPr>
              <w:t>2.2. </w:t>
            </w:r>
            <w:r w:rsidR="00292FD8" w:rsidRPr="002A4D6D">
              <w:rPr>
                <w:spacing w:val="-2"/>
                <w:sz w:val="26"/>
                <w:szCs w:val="26"/>
                <w:lang w:eastAsia="lv-LV"/>
              </w:rPr>
              <w:t>Ar 2021.gada 1.janvāri</w:t>
            </w:r>
            <w:r w:rsidR="00E87877" w:rsidRPr="002A4D6D">
              <w:rPr>
                <w:spacing w:val="-2"/>
                <w:sz w:val="26"/>
                <w:szCs w:val="26"/>
                <w:lang w:eastAsia="lv-LV"/>
              </w:rPr>
              <w:t xml:space="preserve"> preču tālpārdošanas darījum</w:t>
            </w:r>
            <w:r w:rsidR="00292FD8" w:rsidRPr="002A4D6D">
              <w:rPr>
                <w:spacing w:val="-2"/>
                <w:sz w:val="26"/>
                <w:szCs w:val="26"/>
                <w:lang w:eastAsia="lv-LV"/>
              </w:rPr>
              <w:t>i</w:t>
            </w:r>
            <w:r w:rsidR="00E87877" w:rsidRPr="002A4D6D">
              <w:rPr>
                <w:spacing w:val="-2"/>
                <w:sz w:val="26"/>
                <w:szCs w:val="26"/>
                <w:lang w:eastAsia="lv-LV"/>
              </w:rPr>
              <w:t xml:space="preserve"> t</w:t>
            </w:r>
            <w:r w:rsidR="00292FD8" w:rsidRPr="002A4D6D">
              <w:rPr>
                <w:spacing w:val="-2"/>
                <w:sz w:val="26"/>
                <w:szCs w:val="26"/>
                <w:lang w:eastAsia="lv-LV"/>
              </w:rPr>
              <w:t>iks definēti</w:t>
            </w:r>
            <w:r w:rsidR="00E87877" w:rsidRPr="002A4D6D">
              <w:rPr>
                <w:spacing w:val="-2"/>
                <w:sz w:val="26"/>
                <w:szCs w:val="26"/>
                <w:lang w:eastAsia="lv-LV"/>
              </w:rPr>
              <w:t xml:space="preserve"> pēc teritoriālās piederības – </w:t>
            </w:r>
            <w:r w:rsidR="00292FD8" w:rsidRPr="002A4D6D">
              <w:rPr>
                <w:spacing w:val="-2"/>
                <w:sz w:val="26"/>
                <w:szCs w:val="26"/>
                <w:lang w:eastAsia="lv-LV"/>
              </w:rPr>
              <w:t xml:space="preserve">preču tālpārdošana </w:t>
            </w:r>
            <w:r w:rsidR="00E87877" w:rsidRPr="002A4D6D">
              <w:rPr>
                <w:spacing w:val="-2"/>
                <w:sz w:val="26"/>
                <w:szCs w:val="26"/>
                <w:lang w:eastAsia="lv-LV"/>
              </w:rPr>
              <w:t xml:space="preserve">ES </w:t>
            </w:r>
            <w:r w:rsidR="00292FD8" w:rsidRPr="002A4D6D">
              <w:rPr>
                <w:spacing w:val="-2"/>
                <w:sz w:val="26"/>
                <w:szCs w:val="26"/>
                <w:lang w:eastAsia="lv-LV"/>
              </w:rPr>
              <w:t xml:space="preserve">teritorijā </w:t>
            </w:r>
            <w:r w:rsidR="00E87877" w:rsidRPr="002A4D6D">
              <w:rPr>
                <w:spacing w:val="-2"/>
                <w:sz w:val="26"/>
                <w:szCs w:val="26"/>
                <w:lang w:eastAsia="lv-LV"/>
              </w:rPr>
              <w:t xml:space="preserve">un </w:t>
            </w:r>
            <w:r w:rsidR="00292FD8" w:rsidRPr="002A4D6D">
              <w:rPr>
                <w:spacing w:val="-2"/>
                <w:sz w:val="26"/>
                <w:szCs w:val="26"/>
                <w:lang w:eastAsia="lv-LV"/>
              </w:rPr>
              <w:t xml:space="preserve">no </w:t>
            </w:r>
            <w:r w:rsidR="00E87877" w:rsidRPr="002A4D6D">
              <w:rPr>
                <w:spacing w:val="-2"/>
                <w:sz w:val="26"/>
                <w:szCs w:val="26"/>
                <w:lang w:eastAsia="lv-LV"/>
              </w:rPr>
              <w:t>treš</w:t>
            </w:r>
            <w:r w:rsidR="00D05236" w:rsidRPr="002A4D6D">
              <w:rPr>
                <w:spacing w:val="-2"/>
                <w:sz w:val="26"/>
                <w:szCs w:val="26"/>
                <w:lang w:eastAsia="lv-LV"/>
              </w:rPr>
              <w:t>aj</w:t>
            </w:r>
            <w:r w:rsidR="00E87877" w:rsidRPr="002A4D6D">
              <w:rPr>
                <w:spacing w:val="-2"/>
                <w:sz w:val="26"/>
                <w:szCs w:val="26"/>
                <w:lang w:eastAsia="lv-LV"/>
              </w:rPr>
              <w:t>ā</w:t>
            </w:r>
            <w:r w:rsidR="00292FD8" w:rsidRPr="002A4D6D">
              <w:rPr>
                <w:spacing w:val="-2"/>
                <w:sz w:val="26"/>
                <w:szCs w:val="26"/>
                <w:lang w:eastAsia="lv-LV"/>
              </w:rPr>
              <w:t xml:space="preserve">m </w:t>
            </w:r>
            <w:r w:rsidR="008C212F" w:rsidRPr="002A4D6D">
              <w:rPr>
                <w:spacing w:val="-2"/>
                <w:sz w:val="26"/>
                <w:szCs w:val="26"/>
                <w:lang w:eastAsia="lv-LV"/>
              </w:rPr>
              <w:t xml:space="preserve">valstīm vai trešajām </w:t>
            </w:r>
            <w:r w:rsidR="00292FD8" w:rsidRPr="002A4D6D">
              <w:rPr>
                <w:spacing w:val="-2"/>
                <w:sz w:val="26"/>
                <w:szCs w:val="26"/>
                <w:lang w:eastAsia="lv-LV"/>
              </w:rPr>
              <w:t>teritorijām importētu preču tālpārdošana</w:t>
            </w:r>
            <w:r w:rsidR="00E87877" w:rsidRPr="002A4D6D">
              <w:rPr>
                <w:spacing w:val="-2"/>
                <w:sz w:val="26"/>
                <w:szCs w:val="26"/>
                <w:lang w:eastAsia="lv-LV"/>
              </w:rPr>
              <w:t xml:space="preserve">. </w:t>
            </w:r>
            <w:r w:rsidR="00634A76" w:rsidRPr="002A4D6D">
              <w:rPr>
                <w:spacing w:val="-2"/>
                <w:sz w:val="26"/>
                <w:szCs w:val="26"/>
                <w:lang w:eastAsia="lv-LV"/>
              </w:rPr>
              <w:t>Būtiski atzīmēt to, ka</w:t>
            </w:r>
            <w:r w:rsidR="00D05236" w:rsidRPr="002A4D6D">
              <w:rPr>
                <w:spacing w:val="-2"/>
                <w:sz w:val="26"/>
                <w:szCs w:val="26"/>
                <w:lang w:eastAsia="lv-LV"/>
              </w:rPr>
              <w:t xml:space="preserve"> preču tālpārdošanas tvērumā ti</w:t>
            </w:r>
            <w:r w:rsidR="00634A76" w:rsidRPr="002A4D6D">
              <w:rPr>
                <w:spacing w:val="-2"/>
                <w:sz w:val="26"/>
                <w:szCs w:val="26"/>
                <w:lang w:eastAsia="lv-LV"/>
              </w:rPr>
              <w:t>k</w:t>
            </w:r>
            <w:r w:rsidR="00D05236" w:rsidRPr="002A4D6D">
              <w:rPr>
                <w:spacing w:val="-2"/>
                <w:sz w:val="26"/>
                <w:szCs w:val="26"/>
                <w:lang w:eastAsia="lv-LV"/>
              </w:rPr>
              <w:t>s</w:t>
            </w:r>
            <w:r w:rsidR="00634A76" w:rsidRPr="002A4D6D">
              <w:rPr>
                <w:spacing w:val="-2"/>
                <w:sz w:val="26"/>
                <w:szCs w:val="26"/>
                <w:lang w:eastAsia="lv-LV"/>
              </w:rPr>
              <w:t xml:space="preserve"> iekļauta arī preču piegādātāja netiešā iesaiste preču transportēšanā vai nosūtīšanā.</w:t>
            </w:r>
            <w:r w:rsidR="00292FD8" w:rsidRPr="002A4D6D">
              <w:rPr>
                <w:spacing w:val="-2"/>
                <w:sz w:val="26"/>
                <w:szCs w:val="26"/>
                <w:lang w:eastAsia="lv-LV"/>
              </w:rPr>
              <w:t xml:space="preserve"> Lai nodrošinātu </w:t>
            </w:r>
            <w:r w:rsidR="00D05236" w:rsidRPr="002A4D6D">
              <w:rPr>
                <w:spacing w:val="-2"/>
                <w:sz w:val="26"/>
                <w:szCs w:val="26"/>
                <w:lang w:eastAsia="lv-LV"/>
              </w:rPr>
              <w:t xml:space="preserve">visās dalībvalstīs vienādu </w:t>
            </w:r>
            <w:r w:rsidR="00292FD8" w:rsidRPr="002A4D6D">
              <w:rPr>
                <w:spacing w:val="-2"/>
                <w:sz w:val="26"/>
                <w:szCs w:val="26"/>
                <w:lang w:eastAsia="lv-LV"/>
              </w:rPr>
              <w:t xml:space="preserve">preču tālpārdošanas darījumu definīcijas piemērošanu, jēdziena </w:t>
            </w:r>
            <w:r w:rsidR="00631E78" w:rsidRPr="002A4D6D">
              <w:rPr>
                <w:spacing w:val="-2"/>
                <w:sz w:val="26"/>
                <w:szCs w:val="26"/>
                <w:lang w:eastAsia="lv-LV"/>
              </w:rPr>
              <w:t>“</w:t>
            </w:r>
            <w:r w:rsidR="00292FD8" w:rsidRPr="002A4D6D">
              <w:rPr>
                <w:spacing w:val="-2"/>
                <w:sz w:val="26"/>
                <w:szCs w:val="26"/>
                <w:lang w:eastAsia="lv-LV"/>
              </w:rPr>
              <w:t>netieši” nozīme ir skaidrota Padomes Īstenošanas 2011.gada 15.marta regulas (ES) 282</w:t>
            </w:r>
            <w:r w:rsidR="000637C9" w:rsidRPr="002A4D6D">
              <w:rPr>
                <w:spacing w:val="-2"/>
                <w:sz w:val="26"/>
                <w:szCs w:val="26"/>
                <w:lang w:eastAsia="lv-LV"/>
              </w:rPr>
              <w:t>/2011</w:t>
            </w:r>
            <w:r w:rsidR="00292FD8" w:rsidRPr="002A4D6D">
              <w:rPr>
                <w:spacing w:val="-2"/>
                <w:sz w:val="26"/>
                <w:szCs w:val="26"/>
                <w:lang w:eastAsia="lv-LV"/>
              </w:rPr>
              <w:t>, ar ko nosaka īstenošanas pasākumus Direktīvai 2006/112/EK par kopējo pievienotās vērtības nodokļa sistēmu (pārstrādātā versija) (turpmāk - Regula 282</w:t>
            </w:r>
            <w:r w:rsidR="000637C9" w:rsidRPr="002A4D6D">
              <w:rPr>
                <w:spacing w:val="-2"/>
                <w:sz w:val="26"/>
                <w:szCs w:val="26"/>
                <w:lang w:eastAsia="lv-LV"/>
              </w:rPr>
              <w:t>/2011</w:t>
            </w:r>
            <w:r w:rsidR="00292FD8" w:rsidRPr="002A4D6D">
              <w:rPr>
                <w:spacing w:val="-2"/>
                <w:sz w:val="26"/>
                <w:szCs w:val="26"/>
                <w:lang w:eastAsia="lv-LV"/>
              </w:rPr>
              <w:t>), 5.a p</w:t>
            </w:r>
            <w:r w:rsidR="000F175A" w:rsidRPr="002A4D6D">
              <w:rPr>
                <w:spacing w:val="-2"/>
                <w:sz w:val="26"/>
                <w:szCs w:val="26"/>
                <w:lang w:eastAsia="lv-LV"/>
              </w:rPr>
              <w:t>an</w:t>
            </w:r>
            <w:r w:rsidR="00292FD8" w:rsidRPr="002A4D6D">
              <w:rPr>
                <w:spacing w:val="-2"/>
                <w:sz w:val="26"/>
                <w:szCs w:val="26"/>
                <w:lang w:eastAsia="lv-LV"/>
              </w:rPr>
              <w:t>tā (Padomes 2019.gada 21.novembra regulas (ES) Nr.2019/2026, ar ko groza Īstenošanas regulu (ES) Nr.282/2011 attiecībā uz preču piegādi vai pakalpojumu sniegšanu, ko veicina elektroniskas saskarnes, un uz īpašiem režīmiem nodokļa maksātājiem, kas sniedz personām, kuras nav nodokļa maksātājas, un kas veic preču tālpārdošanu un konkrētās preču piegādes iekšzemē, redakcijā (turpmāk – Regula 2019/2026)).</w:t>
            </w:r>
            <w:r w:rsidR="00634A76" w:rsidRPr="002A4D6D">
              <w:rPr>
                <w:spacing w:val="-2"/>
                <w:sz w:val="26"/>
                <w:szCs w:val="26"/>
                <w:lang w:eastAsia="lv-LV"/>
              </w:rPr>
              <w:t xml:space="preserve"> </w:t>
            </w:r>
            <w:r w:rsidR="0042179A" w:rsidRPr="002A4D6D">
              <w:rPr>
                <w:spacing w:val="-2"/>
                <w:sz w:val="26"/>
                <w:szCs w:val="26"/>
                <w:lang w:eastAsia="lv-LV"/>
              </w:rPr>
              <w:t>Ar</w:t>
            </w:r>
            <w:r w:rsidR="00E87877" w:rsidRPr="002A4D6D">
              <w:rPr>
                <w:spacing w:val="-2"/>
                <w:sz w:val="26"/>
                <w:szCs w:val="26"/>
                <w:lang w:eastAsia="lv-LV"/>
              </w:rPr>
              <w:t xml:space="preserve"> grozījum</w:t>
            </w:r>
            <w:r w:rsidR="0042179A" w:rsidRPr="002A4D6D">
              <w:rPr>
                <w:spacing w:val="-2"/>
                <w:sz w:val="26"/>
                <w:szCs w:val="26"/>
                <w:lang w:eastAsia="lv-LV"/>
              </w:rPr>
              <w:t>iem</w:t>
            </w:r>
            <w:r w:rsidR="00E87877" w:rsidRPr="002A4D6D">
              <w:rPr>
                <w:spacing w:val="-2"/>
                <w:sz w:val="26"/>
                <w:szCs w:val="26"/>
                <w:lang w:eastAsia="lv-LV"/>
              </w:rPr>
              <w:t xml:space="preserve"> Pievienotās vērtības nodokļa likumā</w:t>
            </w:r>
            <w:r w:rsidR="0042179A" w:rsidRPr="002A4D6D">
              <w:rPr>
                <w:spacing w:val="-2"/>
                <w:sz w:val="26"/>
                <w:szCs w:val="26"/>
                <w:lang w:eastAsia="lv-LV"/>
              </w:rPr>
              <w:t xml:space="preserve"> tiks precizēts</w:t>
            </w:r>
            <w:r w:rsidR="00292FD8" w:rsidRPr="002A4D6D">
              <w:rPr>
                <w:spacing w:val="-2"/>
                <w:sz w:val="26"/>
                <w:szCs w:val="26"/>
                <w:lang w:eastAsia="lv-LV"/>
              </w:rPr>
              <w:t xml:space="preserve"> preču tālpārdo</w:t>
            </w:r>
            <w:r w:rsidR="002C79F3" w:rsidRPr="002A4D6D">
              <w:rPr>
                <w:spacing w:val="-2"/>
                <w:sz w:val="26"/>
                <w:szCs w:val="26"/>
                <w:lang w:eastAsia="lv-LV"/>
              </w:rPr>
              <w:t>šanas darī</w:t>
            </w:r>
            <w:r w:rsidR="00292FD8" w:rsidRPr="002A4D6D">
              <w:rPr>
                <w:spacing w:val="-2"/>
                <w:sz w:val="26"/>
                <w:szCs w:val="26"/>
                <w:lang w:eastAsia="lv-LV"/>
              </w:rPr>
              <w:t>jumu tvērum</w:t>
            </w:r>
            <w:r w:rsidR="0042179A" w:rsidRPr="002A4D6D">
              <w:rPr>
                <w:spacing w:val="-2"/>
                <w:sz w:val="26"/>
                <w:szCs w:val="26"/>
                <w:lang w:eastAsia="lv-LV"/>
              </w:rPr>
              <w:t>s</w:t>
            </w:r>
            <w:r w:rsidR="00E87877" w:rsidRPr="002A4D6D">
              <w:rPr>
                <w:spacing w:val="-2"/>
                <w:sz w:val="26"/>
                <w:szCs w:val="26"/>
                <w:lang w:eastAsia="lv-LV"/>
              </w:rPr>
              <w:t>.</w:t>
            </w:r>
          </w:p>
          <w:p w14:paraId="43C3CCB4" w14:textId="5036D55C" w:rsidR="00323441" w:rsidRPr="002A4D6D" w:rsidRDefault="00F60610" w:rsidP="002A4D6D">
            <w:pPr>
              <w:ind w:left="113" w:right="113"/>
              <w:jc w:val="both"/>
              <w:rPr>
                <w:spacing w:val="-2"/>
                <w:sz w:val="26"/>
                <w:szCs w:val="26"/>
                <w:lang w:eastAsia="lv-LV"/>
              </w:rPr>
            </w:pPr>
            <w:r w:rsidRPr="002A4D6D">
              <w:rPr>
                <w:spacing w:val="-2"/>
                <w:sz w:val="26"/>
                <w:szCs w:val="26"/>
                <w:lang w:eastAsia="lv-LV"/>
              </w:rPr>
              <w:t>2.3. </w:t>
            </w:r>
            <w:r w:rsidR="002C79F3" w:rsidRPr="002A4D6D">
              <w:rPr>
                <w:spacing w:val="-2"/>
                <w:sz w:val="26"/>
                <w:szCs w:val="26"/>
                <w:lang w:eastAsia="lv-LV"/>
              </w:rPr>
              <w:t xml:space="preserve">Lai sasniegtu mērķi iekasēt PVN no e-komercijas sūtījumiem un samazināt administratīvu slogu preču piegādātājiem, preču saņēmējiem un VID, </w:t>
            </w:r>
            <w:r w:rsidR="002C79F3" w:rsidRPr="002A4D6D">
              <w:rPr>
                <w:color w:val="000000"/>
                <w:spacing w:val="-2"/>
                <w:sz w:val="26"/>
                <w:szCs w:val="26"/>
              </w:rPr>
              <w:t xml:space="preserve">no 2021.gada 1.janvāra </w:t>
            </w:r>
            <w:r w:rsidR="002C79F3" w:rsidRPr="002A4D6D">
              <w:rPr>
                <w:spacing w:val="-2"/>
                <w:sz w:val="26"/>
                <w:szCs w:val="26"/>
                <w:lang w:eastAsia="lv-LV"/>
              </w:rPr>
              <w:t>preču nosūtīšanas vai transportēšanas veicināšana, izmantojot elektronisku saskarni (piemēram, tirdzniecības vietu, platformu vai portālu)</w:t>
            </w:r>
            <w:r w:rsidR="000B6744" w:rsidRPr="002A4D6D">
              <w:rPr>
                <w:spacing w:val="-2"/>
                <w:sz w:val="26"/>
                <w:szCs w:val="26"/>
                <w:lang w:eastAsia="lv-LV"/>
              </w:rPr>
              <w:t>,</w:t>
            </w:r>
            <w:r w:rsidR="002C79F3" w:rsidRPr="002A4D6D">
              <w:rPr>
                <w:spacing w:val="-2"/>
                <w:sz w:val="26"/>
                <w:szCs w:val="26"/>
                <w:lang w:eastAsia="lv-LV"/>
              </w:rPr>
              <w:t xml:space="preserve"> ti</w:t>
            </w:r>
            <w:r w:rsidR="00D05236" w:rsidRPr="002A4D6D">
              <w:rPr>
                <w:spacing w:val="-2"/>
                <w:sz w:val="26"/>
                <w:szCs w:val="26"/>
                <w:lang w:eastAsia="lv-LV"/>
              </w:rPr>
              <w:t>ks</w:t>
            </w:r>
            <w:r w:rsidR="002C79F3" w:rsidRPr="002A4D6D">
              <w:rPr>
                <w:spacing w:val="-2"/>
                <w:sz w:val="26"/>
                <w:szCs w:val="26"/>
                <w:lang w:eastAsia="lv-LV"/>
              </w:rPr>
              <w:t xml:space="preserve"> pielīdzināta preču piegādei par atlīdzību. Tādējādi </w:t>
            </w:r>
            <w:r w:rsidR="002C79F3" w:rsidRPr="002A4D6D">
              <w:rPr>
                <w:color w:val="000000"/>
                <w:spacing w:val="-2"/>
                <w:sz w:val="26"/>
                <w:szCs w:val="26"/>
              </w:rPr>
              <w:t xml:space="preserve">PVN maksātājs, kurš ar elektroniskas saskarnes </w:t>
            </w:r>
            <w:r w:rsidR="002C79F3" w:rsidRPr="002A4D6D">
              <w:rPr>
                <w:spacing w:val="-2"/>
                <w:sz w:val="26"/>
                <w:szCs w:val="26"/>
                <w:lang w:eastAsia="lv-LV"/>
              </w:rPr>
              <w:t xml:space="preserve">(piemēram, tirdzniecības vietas, platformas vai portāla) </w:t>
            </w:r>
            <w:r w:rsidR="002C79F3" w:rsidRPr="002A4D6D">
              <w:rPr>
                <w:color w:val="000000"/>
                <w:spacing w:val="-2"/>
                <w:sz w:val="26"/>
                <w:szCs w:val="26"/>
              </w:rPr>
              <w:t>starpniecību veicina no treš</w:t>
            </w:r>
            <w:r w:rsidR="0090623D" w:rsidRPr="002A4D6D">
              <w:rPr>
                <w:color w:val="000000"/>
                <w:spacing w:val="-2"/>
                <w:sz w:val="26"/>
                <w:szCs w:val="26"/>
              </w:rPr>
              <w:t>aj</w:t>
            </w:r>
            <w:r w:rsidR="002C79F3" w:rsidRPr="002A4D6D">
              <w:rPr>
                <w:color w:val="000000"/>
                <w:spacing w:val="-2"/>
                <w:sz w:val="26"/>
                <w:szCs w:val="26"/>
              </w:rPr>
              <w:t>ām</w:t>
            </w:r>
            <w:r w:rsidR="008C212F" w:rsidRPr="002A4D6D">
              <w:rPr>
                <w:color w:val="000000"/>
                <w:spacing w:val="-2"/>
                <w:sz w:val="26"/>
                <w:szCs w:val="26"/>
              </w:rPr>
              <w:t xml:space="preserve"> valstīm</w:t>
            </w:r>
            <w:r w:rsidR="002C79F3" w:rsidRPr="002A4D6D">
              <w:rPr>
                <w:color w:val="000000"/>
                <w:spacing w:val="-2"/>
                <w:sz w:val="26"/>
                <w:szCs w:val="26"/>
              </w:rPr>
              <w:t xml:space="preserve"> </w:t>
            </w:r>
            <w:r w:rsidR="008C212F" w:rsidRPr="002A4D6D">
              <w:rPr>
                <w:color w:val="000000"/>
                <w:spacing w:val="-2"/>
                <w:sz w:val="26"/>
                <w:szCs w:val="26"/>
              </w:rPr>
              <w:t>vai trešajām teritorijām</w:t>
            </w:r>
            <w:r w:rsidR="002C79F3" w:rsidRPr="002A4D6D">
              <w:rPr>
                <w:color w:val="000000"/>
                <w:spacing w:val="-2"/>
                <w:sz w:val="26"/>
                <w:szCs w:val="26"/>
              </w:rPr>
              <w:t xml:space="preserve"> importētu preču tālpārdošanu</w:t>
            </w:r>
            <w:r w:rsidR="008C212F" w:rsidRPr="002A4D6D">
              <w:rPr>
                <w:color w:val="000000"/>
                <w:spacing w:val="-2"/>
                <w:sz w:val="26"/>
                <w:szCs w:val="26"/>
              </w:rPr>
              <w:t xml:space="preserve">, ja preču, </w:t>
            </w:r>
            <w:proofErr w:type="spellStart"/>
            <w:r w:rsidR="008C212F" w:rsidRPr="002A4D6D">
              <w:rPr>
                <w:color w:val="000000"/>
                <w:spacing w:val="-2"/>
                <w:sz w:val="26"/>
                <w:szCs w:val="26"/>
              </w:rPr>
              <w:t>ziņemot</w:t>
            </w:r>
            <w:proofErr w:type="spellEnd"/>
            <w:r w:rsidR="008C212F" w:rsidRPr="002A4D6D">
              <w:rPr>
                <w:color w:val="000000"/>
                <w:spacing w:val="-2"/>
                <w:sz w:val="26"/>
                <w:szCs w:val="26"/>
              </w:rPr>
              <w:t xml:space="preserve"> </w:t>
            </w:r>
            <w:proofErr w:type="spellStart"/>
            <w:r w:rsidR="008C212F" w:rsidRPr="002A4D6D">
              <w:rPr>
                <w:color w:val="000000"/>
                <w:spacing w:val="-2"/>
                <w:sz w:val="26"/>
                <w:szCs w:val="26"/>
              </w:rPr>
              <w:t>akcīezs</w:t>
            </w:r>
            <w:proofErr w:type="spellEnd"/>
            <w:r w:rsidR="008C212F" w:rsidRPr="002A4D6D">
              <w:rPr>
                <w:color w:val="000000"/>
                <w:spacing w:val="-2"/>
                <w:sz w:val="26"/>
                <w:szCs w:val="26"/>
              </w:rPr>
              <w:t xml:space="preserve"> preču,</w:t>
            </w:r>
            <w:r w:rsidR="002C79F3" w:rsidRPr="002A4D6D">
              <w:rPr>
                <w:color w:val="000000"/>
                <w:spacing w:val="-2"/>
                <w:sz w:val="26"/>
                <w:szCs w:val="26"/>
              </w:rPr>
              <w:t xml:space="preserve"> sūtī</w:t>
            </w:r>
            <w:r w:rsidR="008C212F" w:rsidRPr="002A4D6D">
              <w:rPr>
                <w:color w:val="000000"/>
                <w:spacing w:val="-2"/>
                <w:sz w:val="26"/>
                <w:szCs w:val="26"/>
              </w:rPr>
              <w:t xml:space="preserve">juma </w:t>
            </w:r>
            <w:r w:rsidR="002C79F3" w:rsidRPr="002A4D6D">
              <w:rPr>
                <w:color w:val="000000"/>
                <w:spacing w:val="-2"/>
                <w:sz w:val="26"/>
                <w:szCs w:val="26"/>
              </w:rPr>
              <w:t>patiesā vērtība nepārsniedz 150 </w:t>
            </w:r>
            <w:proofErr w:type="spellStart"/>
            <w:r w:rsidR="002C79F3" w:rsidRPr="002A4D6D">
              <w:rPr>
                <w:i/>
                <w:color w:val="000000"/>
                <w:spacing w:val="-2"/>
                <w:sz w:val="26"/>
                <w:szCs w:val="26"/>
              </w:rPr>
              <w:t>euro</w:t>
            </w:r>
            <w:proofErr w:type="spellEnd"/>
            <w:r w:rsidR="002C79F3" w:rsidRPr="002A4D6D">
              <w:rPr>
                <w:color w:val="000000"/>
                <w:spacing w:val="-2"/>
                <w:sz w:val="26"/>
                <w:szCs w:val="26"/>
              </w:rPr>
              <w:t xml:space="preserve">, vai tāda PVN maksātāja, kurš neveic saimniecisku </w:t>
            </w:r>
            <w:r w:rsidR="002C79F3" w:rsidRPr="002A4D6D">
              <w:rPr>
                <w:color w:val="000000"/>
                <w:spacing w:val="-2"/>
                <w:sz w:val="26"/>
                <w:szCs w:val="26"/>
              </w:rPr>
              <w:lastRenderedPageBreak/>
              <w:t xml:space="preserve">darbību ES, īstenotu preču piegādi personām, kuras nav PVN maksātājas, tiek iesaistīts PVN iekasēšanā par precēm, kuras iegādātas </w:t>
            </w:r>
            <w:proofErr w:type="spellStart"/>
            <w:r w:rsidR="002C79F3" w:rsidRPr="002A4D6D">
              <w:rPr>
                <w:color w:val="000000"/>
                <w:spacing w:val="-2"/>
                <w:sz w:val="26"/>
                <w:szCs w:val="26"/>
              </w:rPr>
              <w:t>tiešsaitē</w:t>
            </w:r>
            <w:proofErr w:type="spellEnd"/>
            <w:r w:rsidR="002C79F3" w:rsidRPr="002A4D6D">
              <w:rPr>
                <w:color w:val="000000"/>
                <w:spacing w:val="-2"/>
                <w:sz w:val="26"/>
                <w:szCs w:val="26"/>
              </w:rPr>
              <w:t>, uzskatot, ka tas pats saņem un veic preču piegādi.</w:t>
            </w:r>
            <w:r w:rsidR="002C79F3" w:rsidRPr="002A4D6D">
              <w:rPr>
                <w:spacing w:val="-2"/>
                <w:sz w:val="26"/>
                <w:szCs w:val="26"/>
                <w:lang w:eastAsia="lv-LV"/>
              </w:rPr>
              <w:t xml:space="preserve"> Lai nodrošinātu visās dalībvalstīs vienādu noteikumu piemērošanu tiem PVN maksātājiem, kuri veicina preču piegādi vai pakalpojumu sniegšanu ES, jēdziena</w:t>
            </w:r>
            <w:r w:rsidR="00631E78" w:rsidRPr="002A4D6D">
              <w:rPr>
                <w:spacing w:val="-2"/>
                <w:sz w:val="26"/>
                <w:szCs w:val="26"/>
                <w:lang w:eastAsia="lv-LV"/>
              </w:rPr>
              <w:t xml:space="preserve"> “</w:t>
            </w:r>
            <w:r w:rsidR="002C79F3" w:rsidRPr="002A4D6D">
              <w:rPr>
                <w:spacing w:val="-2"/>
                <w:sz w:val="26"/>
                <w:szCs w:val="26"/>
                <w:lang w:eastAsia="lv-LV"/>
              </w:rPr>
              <w:t>veicina” nozīme ir skaidrota Regulas 282</w:t>
            </w:r>
            <w:r w:rsidR="000637C9" w:rsidRPr="002A4D6D">
              <w:rPr>
                <w:spacing w:val="-2"/>
                <w:sz w:val="26"/>
                <w:szCs w:val="26"/>
                <w:lang w:eastAsia="lv-LV"/>
              </w:rPr>
              <w:t>/2011</w:t>
            </w:r>
            <w:r w:rsidR="002C79F3" w:rsidRPr="002A4D6D">
              <w:rPr>
                <w:spacing w:val="-2"/>
                <w:sz w:val="26"/>
                <w:szCs w:val="26"/>
                <w:lang w:eastAsia="lv-LV"/>
              </w:rPr>
              <w:t xml:space="preserve"> 5.b</w:t>
            </w:r>
            <w:r w:rsidR="000F175A" w:rsidRPr="002A4D6D">
              <w:rPr>
                <w:spacing w:val="-2"/>
                <w:sz w:val="26"/>
                <w:szCs w:val="26"/>
                <w:lang w:eastAsia="lv-LV"/>
              </w:rPr>
              <w:t> </w:t>
            </w:r>
            <w:r w:rsidR="002C79F3" w:rsidRPr="002A4D6D">
              <w:rPr>
                <w:spacing w:val="-2"/>
                <w:sz w:val="26"/>
                <w:szCs w:val="26"/>
                <w:lang w:eastAsia="lv-LV"/>
              </w:rPr>
              <w:t>p</w:t>
            </w:r>
            <w:r w:rsidR="000F175A" w:rsidRPr="002A4D6D">
              <w:rPr>
                <w:spacing w:val="-2"/>
                <w:sz w:val="26"/>
                <w:szCs w:val="26"/>
                <w:lang w:eastAsia="lv-LV"/>
              </w:rPr>
              <w:t>an</w:t>
            </w:r>
            <w:r w:rsidR="002C79F3" w:rsidRPr="002A4D6D">
              <w:rPr>
                <w:spacing w:val="-2"/>
                <w:sz w:val="26"/>
                <w:szCs w:val="26"/>
                <w:lang w:eastAsia="lv-LV"/>
              </w:rPr>
              <w:t xml:space="preserve">tā (Regulas 2019/2026 redakcijā). </w:t>
            </w:r>
            <w:r w:rsidR="0042179A" w:rsidRPr="002A4D6D">
              <w:rPr>
                <w:spacing w:val="-2"/>
                <w:sz w:val="26"/>
                <w:szCs w:val="26"/>
                <w:lang w:eastAsia="lv-LV"/>
              </w:rPr>
              <w:t xml:space="preserve">Ar </w:t>
            </w:r>
            <w:r w:rsidR="00323441" w:rsidRPr="002A4D6D">
              <w:rPr>
                <w:spacing w:val="-2"/>
                <w:sz w:val="26"/>
                <w:szCs w:val="26"/>
                <w:lang w:eastAsia="lv-LV"/>
              </w:rPr>
              <w:t>grozījum</w:t>
            </w:r>
            <w:r w:rsidR="0042179A" w:rsidRPr="002A4D6D">
              <w:rPr>
                <w:spacing w:val="-2"/>
                <w:sz w:val="26"/>
                <w:szCs w:val="26"/>
                <w:lang w:eastAsia="lv-LV"/>
              </w:rPr>
              <w:t>iem</w:t>
            </w:r>
            <w:r w:rsidR="00323441" w:rsidRPr="002A4D6D">
              <w:rPr>
                <w:spacing w:val="-2"/>
                <w:sz w:val="26"/>
                <w:szCs w:val="26"/>
                <w:lang w:eastAsia="lv-LV"/>
              </w:rPr>
              <w:t xml:space="preserve"> Pievienot</w:t>
            </w:r>
            <w:r w:rsidR="002C79F3" w:rsidRPr="002A4D6D">
              <w:rPr>
                <w:spacing w:val="-2"/>
                <w:sz w:val="26"/>
                <w:szCs w:val="26"/>
                <w:lang w:eastAsia="lv-LV"/>
              </w:rPr>
              <w:t xml:space="preserve">ās vērtības nodokļa likumā </w:t>
            </w:r>
            <w:r w:rsidR="0042179A" w:rsidRPr="002A4D6D">
              <w:rPr>
                <w:spacing w:val="-2"/>
                <w:sz w:val="26"/>
                <w:szCs w:val="26"/>
                <w:lang w:eastAsia="lv-LV"/>
              </w:rPr>
              <w:t>tiks precizēts</w:t>
            </w:r>
            <w:r w:rsidR="002C79F3" w:rsidRPr="002A4D6D">
              <w:rPr>
                <w:spacing w:val="-2"/>
                <w:sz w:val="26"/>
                <w:szCs w:val="26"/>
                <w:lang w:eastAsia="lv-LV"/>
              </w:rPr>
              <w:t xml:space="preserve"> preču piegādes tvērum</w:t>
            </w:r>
            <w:r w:rsidR="0042179A" w:rsidRPr="002A4D6D">
              <w:rPr>
                <w:spacing w:val="-2"/>
                <w:sz w:val="26"/>
                <w:szCs w:val="26"/>
                <w:lang w:eastAsia="lv-LV"/>
              </w:rPr>
              <w:t>s</w:t>
            </w:r>
            <w:r w:rsidR="002C79F3" w:rsidRPr="002A4D6D">
              <w:rPr>
                <w:spacing w:val="-2"/>
                <w:sz w:val="26"/>
                <w:szCs w:val="26"/>
                <w:lang w:eastAsia="lv-LV"/>
              </w:rPr>
              <w:t>.</w:t>
            </w:r>
          </w:p>
          <w:p w14:paraId="2CC84055" w14:textId="0C29BD29" w:rsidR="007A4E25" w:rsidRPr="002A4D6D" w:rsidRDefault="007A4E25" w:rsidP="002A4D6D">
            <w:pPr>
              <w:ind w:left="118" w:right="113"/>
              <w:jc w:val="both"/>
              <w:rPr>
                <w:color w:val="000000"/>
                <w:spacing w:val="-2"/>
                <w:sz w:val="26"/>
                <w:szCs w:val="26"/>
              </w:rPr>
            </w:pPr>
            <w:r w:rsidRPr="002A4D6D">
              <w:rPr>
                <w:spacing w:val="-2"/>
                <w:sz w:val="26"/>
                <w:szCs w:val="26"/>
                <w:lang w:eastAsia="lv-LV"/>
              </w:rPr>
              <w:t>2.4. </w:t>
            </w:r>
            <w:r w:rsidR="00172ACD" w:rsidRPr="002A4D6D">
              <w:rPr>
                <w:color w:val="000000"/>
                <w:spacing w:val="-2"/>
                <w:sz w:val="26"/>
                <w:szCs w:val="26"/>
              </w:rPr>
              <w:t xml:space="preserve">Tā kā </w:t>
            </w:r>
            <w:r w:rsidR="001937D3" w:rsidRPr="002A4D6D">
              <w:rPr>
                <w:spacing w:val="-2"/>
                <w:sz w:val="26"/>
                <w:szCs w:val="26"/>
                <w:lang w:eastAsia="lv-LV"/>
              </w:rPr>
              <w:t>darījuma veikšanā ir iesaistīts arī</w:t>
            </w:r>
            <w:r w:rsidR="00172ACD" w:rsidRPr="002A4D6D">
              <w:rPr>
                <w:spacing w:val="-2"/>
                <w:sz w:val="26"/>
                <w:szCs w:val="26"/>
                <w:lang w:eastAsia="lv-LV"/>
              </w:rPr>
              <w:t xml:space="preserve"> PVN maksātāj</w:t>
            </w:r>
            <w:r w:rsidR="001937D3" w:rsidRPr="002A4D6D">
              <w:rPr>
                <w:spacing w:val="-2"/>
                <w:sz w:val="26"/>
                <w:szCs w:val="26"/>
                <w:lang w:eastAsia="lv-LV"/>
              </w:rPr>
              <w:t>s</w:t>
            </w:r>
            <w:r w:rsidR="00172ACD" w:rsidRPr="002A4D6D">
              <w:rPr>
                <w:spacing w:val="-2"/>
                <w:sz w:val="26"/>
                <w:szCs w:val="26"/>
                <w:lang w:eastAsia="lv-LV"/>
              </w:rPr>
              <w:t xml:space="preserve">, </w:t>
            </w:r>
            <w:r w:rsidR="001937D3" w:rsidRPr="002A4D6D">
              <w:rPr>
                <w:spacing w:val="-2"/>
                <w:sz w:val="26"/>
                <w:szCs w:val="26"/>
                <w:lang w:eastAsia="lv-LV"/>
              </w:rPr>
              <w:t xml:space="preserve">kas </w:t>
            </w:r>
            <w:r w:rsidR="00172ACD" w:rsidRPr="002A4D6D">
              <w:rPr>
                <w:spacing w:val="-2"/>
                <w:sz w:val="26"/>
                <w:szCs w:val="26"/>
                <w:lang w:eastAsia="lv-LV"/>
              </w:rPr>
              <w:t>veicina preču piegādi,</w:t>
            </w:r>
            <w:r w:rsidR="00172ACD" w:rsidRPr="002A4D6D">
              <w:rPr>
                <w:color w:val="000000"/>
                <w:spacing w:val="-2"/>
                <w:sz w:val="26"/>
                <w:szCs w:val="26"/>
              </w:rPr>
              <w:t xml:space="preserve"> </w:t>
            </w:r>
            <w:r w:rsidR="001937D3" w:rsidRPr="002A4D6D">
              <w:rPr>
                <w:color w:val="000000"/>
                <w:spacing w:val="-2"/>
                <w:sz w:val="26"/>
                <w:szCs w:val="26"/>
              </w:rPr>
              <w:t xml:space="preserve">pēc būtības </w:t>
            </w:r>
            <w:r w:rsidRPr="002A4D6D">
              <w:rPr>
                <w:color w:val="000000"/>
                <w:spacing w:val="-2"/>
                <w:sz w:val="26"/>
                <w:szCs w:val="26"/>
              </w:rPr>
              <w:t>piegādei ir divi posmi: piegāde no konkrētā piegādātāja elektroniskai saskarnei (</w:t>
            </w:r>
            <w:r w:rsidRPr="002A4D6D">
              <w:rPr>
                <w:i/>
                <w:color w:val="000000"/>
                <w:spacing w:val="-2"/>
                <w:sz w:val="26"/>
                <w:szCs w:val="26"/>
              </w:rPr>
              <w:t>B2B</w:t>
            </w:r>
            <w:r w:rsidRPr="002A4D6D">
              <w:rPr>
                <w:color w:val="000000"/>
                <w:spacing w:val="-2"/>
                <w:sz w:val="26"/>
                <w:szCs w:val="26"/>
              </w:rPr>
              <w:t xml:space="preserve"> piegāde) un piegāde no elektroniskās saskarnes pircējam (</w:t>
            </w:r>
            <w:r w:rsidRPr="002A4D6D">
              <w:rPr>
                <w:i/>
                <w:color w:val="000000"/>
                <w:spacing w:val="-2"/>
                <w:sz w:val="26"/>
                <w:szCs w:val="26"/>
              </w:rPr>
              <w:t>B2C</w:t>
            </w:r>
            <w:r w:rsidRPr="002A4D6D">
              <w:rPr>
                <w:color w:val="000000"/>
                <w:spacing w:val="-2"/>
                <w:sz w:val="26"/>
                <w:szCs w:val="26"/>
              </w:rPr>
              <w:t xml:space="preserve"> piegāde). </w:t>
            </w:r>
            <w:r w:rsidR="00172ACD" w:rsidRPr="002A4D6D">
              <w:rPr>
                <w:color w:val="000000"/>
                <w:spacing w:val="-2"/>
                <w:sz w:val="26"/>
                <w:szCs w:val="26"/>
              </w:rPr>
              <w:t>P</w:t>
            </w:r>
            <w:r w:rsidRPr="002A4D6D">
              <w:rPr>
                <w:color w:val="000000"/>
                <w:spacing w:val="-2"/>
                <w:sz w:val="26"/>
                <w:szCs w:val="26"/>
              </w:rPr>
              <w:t xml:space="preserve">reču nosūtīšana vai transportēšana </w:t>
            </w:r>
            <w:r w:rsidR="00172ACD" w:rsidRPr="002A4D6D">
              <w:rPr>
                <w:color w:val="000000"/>
                <w:spacing w:val="-2"/>
                <w:sz w:val="26"/>
                <w:szCs w:val="26"/>
              </w:rPr>
              <w:t xml:space="preserve">šādā gadījumā </w:t>
            </w:r>
            <w:r w:rsidRPr="002A4D6D">
              <w:rPr>
                <w:color w:val="000000"/>
                <w:spacing w:val="-2"/>
                <w:sz w:val="26"/>
                <w:szCs w:val="26"/>
              </w:rPr>
              <w:t>jāattiecina uz piegādes posmu no elektroniskās saskarnes pircējam (</w:t>
            </w:r>
            <w:r w:rsidRPr="002A4D6D">
              <w:rPr>
                <w:i/>
                <w:color w:val="000000"/>
                <w:spacing w:val="-2"/>
                <w:sz w:val="26"/>
                <w:szCs w:val="26"/>
              </w:rPr>
              <w:t>B2C</w:t>
            </w:r>
            <w:r w:rsidRPr="002A4D6D">
              <w:rPr>
                <w:color w:val="000000"/>
                <w:spacing w:val="-2"/>
                <w:sz w:val="26"/>
                <w:szCs w:val="26"/>
              </w:rPr>
              <w:t xml:space="preserve"> piegāde), tādējādi saskaņojot arī preču piegādes vietu un preču nosūtīšanas un transportēšanas vietu. </w:t>
            </w:r>
            <w:r w:rsidR="00172ACD" w:rsidRPr="002A4D6D">
              <w:rPr>
                <w:color w:val="000000"/>
                <w:spacing w:val="-2"/>
                <w:sz w:val="26"/>
                <w:szCs w:val="26"/>
              </w:rPr>
              <w:t>Tādēļ</w:t>
            </w:r>
            <w:r w:rsidRPr="002A4D6D">
              <w:rPr>
                <w:color w:val="000000"/>
                <w:spacing w:val="-2"/>
                <w:sz w:val="26"/>
                <w:szCs w:val="26"/>
              </w:rPr>
              <w:t xml:space="preserve"> ir nepieciešams veikt grozījumus Pievienotās vērtības nodokļa likumā, precizējot darījuma jēdzienu un darījuma vietu.</w:t>
            </w:r>
          </w:p>
          <w:p w14:paraId="5C86A7AE" w14:textId="5B6E678F" w:rsidR="00A34E3F" w:rsidRPr="002A4D6D" w:rsidRDefault="00A34E3F" w:rsidP="002A4D6D">
            <w:pPr>
              <w:ind w:left="118" w:right="113"/>
              <w:jc w:val="both"/>
              <w:rPr>
                <w:color w:val="000000"/>
                <w:spacing w:val="-2"/>
                <w:sz w:val="26"/>
                <w:szCs w:val="26"/>
              </w:rPr>
            </w:pPr>
            <w:r w:rsidRPr="002A4D6D">
              <w:rPr>
                <w:color w:val="000000"/>
                <w:spacing w:val="-2"/>
                <w:sz w:val="26"/>
                <w:szCs w:val="26"/>
              </w:rPr>
              <w:t xml:space="preserve">2.5. Lai neradītu papildu administratīvo slogu PVN maksātājiem, kuri ar elektroniskas saskarnes starpniecību veicina tāda PVN maksātāja, kas neveic saimniecisku darbību ES teritorijā, īstenotu preču piegādi personai, kas nav PVN maksātāja, un </w:t>
            </w:r>
            <w:r w:rsidR="00716C60" w:rsidRPr="002A4D6D">
              <w:rPr>
                <w:color w:val="000000"/>
                <w:spacing w:val="-2"/>
                <w:sz w:val="26"/>
                <w:szCs w:val="26"/>
              </w:rPr>
              <w:t xml:space="preserve">lai nebūtu zaudēti ieņēmumi, jo trešo </w:t>
            </w:r>
            <w:r w:rsidR="00AE1822" w:rsidRPr="002A4D6D">
              <w:rPr>
                <w:color w:val="000000"/>
                <w:spacing w:val="-2"/>
                <w:sz w:val="26"/>
                <w:szCs w:val="26"/>
              </w:rPr>
              <w:t xml:space="preserve">valstu vai trešo </w:t>
            </w:r>
            <w:r w:rsidR="00716C60" w:rsidRPr="002A4D6D">
              <w:rPr>
                <w:color w:val="000000"/>
                <w:spacing w:val="-2"/>
                <w:sz w:val="26"/>
                <w:szCs w:val="26"/>
              </w:rPr>
              <w:t xml:space="preserve">teritoriju preču piegādātājs nesamaksā valstij pienākošo PVN summu, </w:t>
            </w:r>
            <w:r w:rsidRPr="002A4D6D">
              <w:rPr>
                <w:color w:val="000000"/>
                <w:spacing w:val="-2"/>
                <w:sz w:val="26"/>
                <w:szCs w:val="26"/>
              </w:rPr>
              <w:t xml:space="preserve">ar 2021.gada 1.janvāri </w:t>
            </w:r>
            <w:r w:rsidRPr="002A4D6D">
              <w:rPr>
                <w:i/>
                <w:color w:val="000000"/>
                <w:spacing w:val="-2"/>
                <w:sz w:val="26"/>
                <w:szCs w:val="26"/>
              </w:rPr>
              <w:t>B2B</w:t>
            </w:r>
            <w:r w:rsidRPr="002A4D6D">
              <w:rPr>
                <w:color w:val="000000"/>
                <w:spacing w:val="-2"/>
                <w:sz w:val="26"/>
                <w:szCs w:val="26"/>
              </w:rPr>
              <w:t xml:space="preserve"> piegāde no piegādātāja, kas pārdod preces </w:t>
            </w:r>
            <w:r w:rsidR="001937D3" w:rsidRPr="002A4D6D">
              <w:rPr>
                <w:color w:val="000000"/>
                <w:spacing w:val="-2"/>
                <w:sz w:val="26"/>
                <w:szCs w:val="26"/>
              </w:rPr>
              <w:t>tiešsaistē</w:t>
            </w:r>
            <w:r w:rsidRPr="002A4D6D">
              <w:rPr>
                <w:color w:val="000000"/>
                <w:spacing w:val="-2"/>
                <w:sz w:val="26"/>
                <w:szCs w:val="26"/>
              </w:rPr>
              <w:t xml:space="preserve">, elektroniskai saskarnei ir atbrīvota no </w:t>
            </w:r>
            <w:r w:rsidR="00716C60" w:rsidRPr="002A4D6D">
              <w:rPr>
                <w:color w:val="000000"/>
                <w:spacing w:val="-2"/>
                <w:sz w:val="26"/>
                <w:szCs w:val="26"/>
              </w:rPr>
              <w:t xml:space="preserve">PVN, paredzot </w:t>
            </w:r>
            <w:r w:rsidRPr="002A4D6D">
              <w:rPr>
                <w:color w:val="000000"/>
                <w:spacing w:val="-2"/>
                <w:sz w:val="26"/>
                <w:szCs w:val="26"/>
              </w:rPr>
              <w:t>minētajam piegādātājam tiesības atskaitīt priekšnodokli, ko tas samaksājis, pērkot vai importējot piegādātās preces. Tādēļ ir nepieciešams veikt grozījumus Pievienotās vērtības nodokļa likumā, papildinot priekšnodokļa atskaitīšanas tiesīb</w:t>
            </w:r>
            <w:r w:rsidR="00716C60" w:rsidRPr="002A4D6D">
              <w:rPr>
                <w:color w:val="000000"/>
                <w:spacing w:val="-2"/>
                <w:sz w:val="26"/>
                <w:szCs w:val="26"/>
              </w:rPr>
              <w:t>as</w:t>
            </w:r>
            <w:r w:rsidRPr="002A4D6D">
              <w:rPr>
                <w:color w:val="000000"/>
                <w:spacing w:val="-2"/>
                <w:sz w:val="26"/>
                <w:szCs w:val="26"/>
              </w:rPr>
              <w:t xml:space="preserve"> ar preču piegādi ES teritorijā, ko veic PVN maksātājs, kas ir veicinājis preču piegādi ar elektroniskas saskarnes starpniecību. Kā arī ir nepieciešams papildināt Pievienotās vērtības nodokļa likumu ar PVN neapliekamu preču piegādi </w:t>
            </w:r>
            <w:r w:rsidR="00716C60" w:rsidRPr="002A4D6D">
              <w:rPr>
                <w:color w:val="000000"/>
                <w:spacing w:val="-2"/>
                <w:sz w:val="26"/>
                <w:szCs w:val="26"/>
              </w:rPr>
              <w:t>preču tālpārdošanas darījumos</w:t>
            </w:r>
            <w:r w:rsidRPr="002A4D6D">
              <w:rPr>
                <w:color w:val="000000"/>
                <w:spacing w:val="-2"/>
                <w:sz w:val="26"/>
                <w:szCs w:val="26"/>
              </w:rPr>
              <w:t>.</w:t>
            </w:r>
          </w:p>
          <w:p w14:paraId="4603D4C9" w14:textId="01258288" w:rsidR="00BF0145" w:rsidRPr="002A4D6D" w:rsidRDefault="00323441" w:rsidP="002A4D6D">
            <w:pPr>
              <w:ind w:left="113" w:right="113"/>
              <w:jc w:val="both"/>
              <w:rPr>
                <w:noProof/>
                <w:spacing w:val="-2"/>
                <w:sz w:val="26"/>
                <w:szCs w:val="26"/>
              </w:rPr>
            </w:pPr>
            <w:r w:rsidRPr="002A4D6D">
              <w:rPr>
                <w:spacing w:val="-2"/>
                <w:sz w:val="26"/>
                <w:szCs w:val="26"/>
                <w:lang w:eastAsia="lv-LV"/>
              </w:rPr>
              <w:t>2.</w:t>
            </w:r>
            <w:r w:rsidR="00716C60" w:rsidRPr="002A4D6D">
              <w:rPr>
                <w:spacing w:val="-2"/>
                <w:sz w:val="26"/>
                <w:szCs w:val="26"/>
                <w:lang w:eastAsia="lv-LV"/>
              </w:rPr>
              <w:t>6</w:t>
            </w:r>
            <w:r w:rsidR="0045167F" w:rsidRPr="002A4D6D">
              <w:rPr>
                <w:spacing w:val="-2"/>
                <w:sz w:val="26"/>
                <w:szCs w:val="26"/>
                <w:lang w:eastAsia="lv-LV"/>
              </w:rPr>
              <w:t>. </w:t>
            </w:r>
            <w:r w:rsidR="00172ACD" w:rsidRPr="002A4D6D">
              <w:rPr>
                <w:spacing w:val="-2"/>
                <w:sz w:val="26"/>
                <w:szCs w:val="26"/>
                <w:lang w:eastAsia="lv-LV"/>
              </w:rPr>
              <w:t>Ņemot vērā, ka</w:t>
            </w:r>
            <w:r w:rsidR="0045167F" w:rsidRPr="002A4D6D">
              <w:rPr>
                <w:spacing w:val="-2"/>
                <w:sz w:val="26"/>
                <w:szCs w:val="26"/>
                <w:lang w:eastAsia="lv-LV"/>
              </w:rPr>
              <w:t xml:space="preserve"> preču piegādātāji, kas veic preču tālpārdošanu ES teritorijā, sākot ar 2021.gada 1.janvāri, varēs izmantot savienības režīmu</w:t>
            </w:r>
            <w:r w:rsidR="00BF0145" w:rsidRPr="002A4D6D">
              <w:rPr>
                <w:spacing w:val="-2"/>
                <w:sz w:val="26"/>
                <w:szCs w:val="26"/>
                <w:lang w:eastAsia="lv-LV"/>
              </w:rPr>
              <w:t>,</w:t>
            </w:r>
            <w:r w:rsidR="0045167F" w:rsidRPr="002A4D6D">
              <w:rPr>
                <w:spacing w:val="-2"/>
                <w:sz w:val="26"/>
                <w:szCs w:val="26"/>
                <w:lang w:eastAsia="lv-LV"/>
              </w:rPr>
              <w:t xml:space="preserve"> deklarē</w:t>
            </w:r>
            <w:r w:rsidR="00BF0145" w:rsidRPr="002A4D6D">
              <w:rPr>
                <w:spacing w:val="-2"/>
                <w:sz w:val="26"/>
                <w:szCs w:val="26"/>
                <w:lang w:eastAsia="lv-LV"/>
              </w:rPr>
              <w:t>jo</w:t>
            </w:r>
            <w:r w:rsidR="0045167F" w:rsidRPr="002A4D6D">
              <w:rPr>
                <w:spacing w:val="-2"/>
                <w:sz w:val="26"/>
                <w:szCs w:val="26"/>
                <w:lang w:eastAsia="lv-LV"/>
              </w:rPr>
              <w:t>t un maksā</w:t>
            </w:r>
            <w:r w:rsidR="00BF0145" w:rsidRPr="002A4D6D">
              <w:rPr>
                <w:spacing w:val="-2"/>
                <w:sz w:val="26"/>
                <w:szCs w:val="26"/>
                <w:lang w:eastAsia="lv-LV"/>
              </w:rPr>
              <w:t>jo</w:t>
            </w:r>
            <w:r w:rsidR="0045167F" w:rsidRPr="002A4D6D">
              <w:rPr>
                <w:spacing w:val="-2"/>
                <w:sz w:val="26"/>
                <w:szCs w:val="26"/>
                <w:lang w:eastAsia="lv-LV"/>
              </w:rPr>
              <w:t xml:space="preserve">t PVN par preču tālpārdošanas darījumiem vienā dalībvalstī, </w:t>
            </w:r>
            <w:r w:rsidR="00BF0145" w:rsidRPr="002A4D6D">
              <w:rPr>
                <w:spacing w:val="-2"/>
                <w:sz w:val="26"/>
                <w:szCs w:val="26"/>
                <w:lang w:eastAsia="lv-LV"/>
              </w:rPr>
              <w:t xml:space="preserve">ar 2021.gadu </w:t>
            </w:r>
            <w:r w:rsidR="00172ACD" w:rsidRPr="002A4D6D">
              <w:rPr>
                <w:spacing w:val="-2"/>
                <w:sz w:val="26"/>
                <w:szCs w:val="26"/>
                <w:lang w:eastAsia="lv-LV"/>
              </w:rPr>
              <w:t>tiks</w:t>
            </w:r>
            <w:r w:rsidR="0045167F" w:rsidRPr="002A4D6D">
              <w:rPr>
                <w:spacing w:val="-2"/>
                <w:sz w:val="26"/>
                <w:szCs w:val="26"/>
                <w:lang w:eastAsia="lv-LV"/>
              </w:rPr>
              <w:t xml:space="preserve"> atce</w:t>
            </w:r>
            <w:r w:rsidR="00172ACD" w:rsidRPr="002A4D6D">
              <w:rPr>
                <w:spacing w:val="-2"/>
                <w:sz w:val="26"/>
                <w:szCs w:val="26"/>
                <w:lang w:eastAsia="lv-LV"/>
              </w:rPr>
              <w:t>lta</w:t>
            </w:r>
            <w:r w:rsidR="0045167F" w:rsidRPr="002A4D6D">
              <w:rPr>
                <w:spacing w:val="-2"/>
                <w:sz w:val="26"/>
                <w:szCs w:val="26"/>
                <w:lang w:eastAsia="lv-LV"/>
              </w:rPr>
              <w:t xml:space="preserve"> </w:t>
            </w:r>
            <w:r w:rsidR="00CF7ADC" w:rsidRPr="002A4D6D">
              <w:rPr>
                <w:spacing w:val="-2"/>
                <w:sz w:val="26"/>
                <w:szCs w:val="26"/>
                <w:lang w:eastAsia="lv-LV"/>
              </w:rPr>
              <w:t>35 000 </w:t>
            </w:r>
            <w:proofErr w:type="spellStart"/>
            <w:r w:rsidR="00CF7ADC" w:rsidRPr="002A4D6D">
              <w:rPr>
                <w:i/>
                <w:spacing w:val="-2"/>
                <w:sz w:val="26"/>
                <w:szCs w:val="26"/>
                <w:lang w:eastAsia="lv-LV"/>
              </w:rPr>
              <w:t>euro</w:t>
            </w:r>
            <w:proofErr w:type="spellEnd"/>
            <w:r w:rsidR="00CF7ADC" w:rsidRPr="002A4D6D">
              <w:rPr>
                <w:spacing w:val="-2"/>
                <w:sz w:val="26"/>
                <w:szCs w:val="26"/>
                <w:lang w:eastAsia="lv-LV"/>
              </w:rPr>
              <w:t xml:space="preserve"> robežvērtība, kuru nepārsniedzot, </w:t>
            </w:r>
            <w:r w:rsidR="00BF0145" w:rsidRPr="002A4D6D">
              <w:rPr>
                <w:spacing w:val="-2"/>
                <w:sz w:val="26"/>
                <w:szCs w:val="26"/>
                <w:lang w:eastAsia="lv-LV"/>
              </w:rPr>
              <w:t>preču piegādes viet</w:t>
            </w:r>
            <w:r w:rsidR="00CF7ADC" w:rsidRPr="002A4D6D">
              <w:rPr>
                <w:spacing w:val="-2"/>
                <w:sz w:val="26"/>
                <w:szCs w:val="26"/>
                <w:lang w:eastAsia="lv-LV"/>
              </w:rPr>
              <w:t>u</w:t>
            </w:r>
            <w:r w:rsidR="00BF0145" w:rsidRPr="002A4D6D">
              <w:rPr>
                <w:spacing w:val="-2"/>
                <w:sz w:val="26"/>
                <w:szCs w:val="26"/>
                <w:lang w:eastAsia="lv-LV"/>
              </w:rPr>
              <w:t xml:space="preserve"> tālpārdošanas darījumos noteica</w:t>
            </w:r>
            <w:r w:rsidR="0063295A" w:rsidRPr="002A4D6D">
              <w:rPr>
                <w:spacing w:val="-2"/>
                <w:sz w:val="26"/>
                <w:szCs w:val="26"/>
                <w:lang w:eastAsia="lv-LV"/>
              </w:rPr>
              <w:t xml:space="preserve"> tajā dalībvalstī, kurā sākas</w:t>
            </w:r>
            <w:r w:rsidR="0045167F" w:rsidRPr="002A4D6D">
              <w:rPr>
                <w:spacing w:val="-2"/>
                <w:sz w:val="26"/>
                <w:szCs w:val="26"/>
                <w:lang w:eastAsia="lv-LV"/>
              </w:rPr>
              <w:t xml:space="preserve"> </w:t>
            </w:r>
            <w:r w:rsidR="0063295A" w:rsidRPr="002A4D6D">
              <w:rPr>
                <w:spacing w:val="-2"/>
                <w:sz w:val="26"/>
                <w:szCs w:val="26"/>
                <w:lang w:eastAsia="lv-LV"/>
              </w:rPr>
              <w:t xml:space="preserve">preču </w:t>
            </w:r>
            <w:r w:rsidR="0045167F" w:rsidRPr="002A4D6D">
              <w:rPr>
                <w:spacing w:val="-2"/>
                <w:sz w:val="26"/>
                <w:szCs w:val="26"/>
                <w:lang w:eastAsia="lv-LV"/>
              </w:rPr>
              <w:t>transportēšana vai nosūtīšana</w:t>
            </w:r>
            <w:r w:rsidR="00BF0145" w:rsidRPr="002A4D6D">
              <w:rPr>
                <w:spacing w:val="-2"/>
                <w:sz w:val="26"/>
                <w:szCs w:val="26"/>
                <w:lang w:eastAsia="lv-LV"/>
              </w:rPr>
              <w:t xml:space="preserve">. Tā kā no 2019.gada </w:t>
            </w:r>
            <w:r w:rsidR="00BF0145" w:rsidRPr="002A4D6D">
              <w:rPr>
                <w:noProof/>
                <w:spacing w:val="-2"/>
                <w:sz w:val="26"/>
                <w:szCs w:val="26"/>
              </w:rPr>
              <w:t xml:space="preserve">elektronisko sakaru, apraides un elektroniski sniegto pakalpojumu sniegšanas vietu var </w:t>
            </w:r>
            <w:r w:rsidR="00BF0145" w:rsidRPr="002A4D6D">
              <w:rPr>
                <w:noProof/>
                <w:spacing w:val="-2"/>
                <w:sz w:val="26"/>
                <w:szCs w:val="26"/>
              </w:rPr>
              <w:lastRenderedPageBreak/>
              <w:t>noteikt pēc pakalpojuma sniedzēja dalībvalsts, ja nav pārsn</w:t>
            </w:r>
            <w:r w:rsidR="007407B5" w:rsidRPr="002A4D6D">
              <w:rPr>
                <w:noProof/>
                <w:spacing w:val="-2"/>
                <w:sz w:val="26"/>
                <w:szCs w:val="26"/>
              </w:rPr>
              <w:t>ie</w:t>
            </w:r>
            <w:r w:rsidR="00BF0145" w:rsidRPr="002A4D6D">
              <w:rPr>
                <w:noProof/>
                <w:spacing w:val="-2"/>
                <w:sz w:val="26"/>
                <w:szCs w:val="26"/>
              </w:rPr>
              <w:t xml:space="preserve">gta 10 000 </w:t>
            </w:r>
            <w:r w:rsidR="00BF0145" w:rsidRPr="002A4D6D">
              <w:rPr>
                <w:i/>
                <w:noProof/>
                <w:spacing w:val="-2"/>
                <w:sz w:val="26"/>
                <w:szCs w:val="26"/>
              </w:rPr>
              <w:t>euro</w:t>
            </w:r>
            <w:r w:rsidR="00BF0145" w:rsidRPr="002A4D6D">
              <w:rPr>
                <w:noProof/>
                <w:spacing w:val="-2"/>
                <w:sz w:val="26"/>
                <w:szCs w:val="26"/>
              </w:rPr>
              <w:t xml:space="preserve"> robežvērtība</w:t>
            </w:r>
            <w:r w:rsidR="007407B5" w:rsidRPr="002A4D6D">
              <w:rPr>
                <w:noProof/>
                <w:spacing w:val="-2"/>
                <w:sz w:val="26"/>
                <w:szCs w:val="26"/>
              </w:rPr>
              <w:t>, sākot ar 2021.gadu</w:t>
            </w:r>
            <w:r w:rsidR="001937D3" w:rsidRPr="002A4D6D">
              <w:rPr>
                <w:noProof/>
                <w:spacing w:val="-2"/>
                <w:sz w:val="26"/>
                <w:szCs w:val="26"/>
              </w:rPr>
              <w:t>,</w:t>
            </w:r>
            <w:r w:rsidR="007407B5" w:rsidRPr="002A4D6D">
              <w:rPr>
                <w:noProof/>
                <w:spacing w:val="-2"/>
                <w:sz w:val="26"/>
                <w:szCs w:val="26"/>
              </w:rPr>
              <w:t xml:space="preserve"> šo robežvērtību </w:t>
            </w:r>
            <w:r w:rsidR="00CF7ADC" w:rsidRPr="002A4D6D">
              <w:rPr>
                <w:noProof/>
                <w:spacing w:val="-2"/>
                <w:sz w:val="26"/>
                <w:szCs w:val="26"/>
              </w:rPr>
              <w:t xml:space="preserve">plānots </w:t>
            </w:r>
            <w:r w:rsidR="007407B5" w:rsidRPr="002A4D6D">
              <w:rPr>
                <w:noProof/>
                <w:spacing w:val="-2"/>
                <w:sz w:val="26"/>
                <w:szCs w:val="26"/>
              </w:rPr>
              <w:t>piemēro</w:t>
            </w:r>
            <w:r w:rsidR="00CF7ADC" w:rsidRPr="002A4D6D">
              <w:rPr>
                <w:noProof/>
                <w:spacing w:val="-2"/>
                <w:sz w:val="26"/>
                <w:szCs w:val="26"/>
              </w:rPr>
              <w:t>t</w:t>
            </w:r>
            <w:r w:rsidR="007407B5" w:rsidRPr="002A4D6D">
              <w:rPr>
                <w:noProof/>
                <w:spacing w:val="-2"/>
                <w:sz w:val="26"/>
                <w:szCs w:val="26"/>
              </w:rPr>
              <w:t xml:space="preserve"> arī preču </w:t>
            </w:r>
            <w:r w:rsidR="00D278BE" w:rsidRPr="002A4D6D">
              <w:rPr>
                <w:noProof/>
                <w:spacing w:val="-2"/>
                <w:sz w:val="26"/>
                <w:szCs w:val="26"/>
              </w:rPr>
              <w:t xml:space="preserve">piegādes vietas noteikšanai </w:t>
            </w:r>
            <w:r w:rsidR="007407B5" w:rsidRPr="002A4D6D">
              <w:rPr>
                <w:noProof/>
                <w:spacing w:val="-2"/>
                <w:sz w:val="26"/>
                <w:szCs w:val="26"/>
              </w:rPr>
              <w:t>tālpārdošan</w:t>
            </w:r>
            <w:r w:rsidR="00D278BE" w:rsidRPr="002A4D6D">
              <w:rPr>
                <w:noProof/>
                <w:spacing w:val="-2"/>
                <w:sz w:val="26"/>
                <w:szCs w:val="26"/>
              </w:rPr>
              <w:t>os darījumiem</w:t>
            </w:r>
            <w:r w:rsidR="007407B5" w:rsidRPr="002A4D6D">
              <w:rPr>
                <w:noProof/>
                <w:spacing w:val="-2"/>
                <w:sz w:val="26"/>
                <w:szCs w:val="26"/>
              </w:rPr>
              <w:t xml:space="preserve"> ES teritorijā, tadējādi atbalstot </w:t>
            </w:r>
            <w:r w:rsidR="00CF7ADC" w:rsidRPr="002A4D6D">
              <w:rPr>
                <w:noProof/>
                <w:spacing w:val="-2"/>
                <w:sz w:val="26"/>
                <w:szCs w:val="26"/>
              </w:rPr>
              <w:t xml:space="preserve">plašu </w:t>
            </w:r>
            <w:r w:rsidR="007407B5" w:rsidRPr="002A4D6D">
              <w:rPr>
                <w:noProof/>
                <w:spacing w:val="-2"/>
                <w:sz w:val="26"/>
                <w:szCs w:val="26"/>
              </w:rPr>
              <w:t>mazu un vidēju uzņēmumu</w:t>
            </w:r>
            <w:r w:rsidR="00CF7ADC" w:rsidRPr="002A4D6D">
              <w:rPr>
                <w:noProof/>
                <w:spacing w:val="-2"/>
                <w:sz w:val="26"/>
                <w:szCs w:val="26"/>
              </w:rPr>
              <w:t xml:space="preserve"> loku</w:t>
            </w:r>
            <w:r w:rsidR="007407B5" w:rsidRPr="002A4D6D">
              <w:rPr>
                <w:noProof/>
                <w:spacing w:val="-2"/>
                <w:sz w:val="26"/>
                <w:szCs w:val="26"/>
              </w:rPr>
              <w:t xml:space="preserve"> e-komercijas jomā.</w:t>
            </w:r>
            <w:r w:rsidR="00BF0145" w:rsidRPr="002A4D6D">
              <w:rPr>
                <w:noProof/>
                <w:spacing w:val="-2"/>
                <w:sz w:val="26"/>
                <w:szCs w:val="26"/>
              </w:rPr>
              <w:t xml:space="preserve"> Jāņem vērā, ka šie noteikumi</w:t>
            </w:r>
            <w:r w:rsidR="007407B5" w:rsidRPr="002A4D6D">
              <w:rPr>
                <w:noProof/>
                <w:spacing w:val="-2"/>
                <w:sz w:val="26"/>
                <w:szCs w:val="26"/>
              </w:rPr>
              <w:t xml:space="preserve"> gan elektronisko sakaru, apraides un elektroniski sniegto pakalpojumu sniedzējiem, gan preču piegādātājiem ir fakultatīvi,</w:t>
            </w:r>
            <w:r w:rsidR="00BF0145" w:rsidRPr="002A4D6D">
              <w:rPr>
                <w:noProof/>
                <w:spacing w:val="-2"/>
                <w:sz w:val="26"/>
                <w:szCs w:val="26"/>
              </w:rPr>
              <w:t xml:space="preserve"> </w:t>
            </w:r>
            <w:r w:rsidR="007407B5" w:rsidRPr="002A4D6D">
              <w:rPr>
                <w:noProof/>
                <w:spacing w:val="-2"/>
                <w:sz w:val="26"/>
                <w:szCs w:val="26"/>
              </w:rPr>
              <w:t>ļaujot</w:t>
            </w:r>
            <w:r w:rsidR="00BF0145" w:rsidRPr="002A4D6D">
              <w:rPr>
                <w:noProof/>
                <w:spacing w:val="-2"/>
                <w:sz w:val="26"/>
                <w:szCs w:val="26"/>
              </w:rPr>
              <w:t xml:space="preserve"> izmantot </w:t>
            </w:r>
            <w:r w:rsidR="007407B5" w:rsidRPr="002A4D6D">
              <w:rPr>
                <w:noProof/>
                <w:spacing w:val="-2"/>
                <w:sz w:val="26"/>
                <w:szCs w:val="26"/>
              </w:rPr>
              <w:t>savienības režīmu arī tad</w:t>
            </w:r>
            <w:r w:rsidR="00BF0145" w:rsidRPr="002A4D6D">
              <w:rPr>
                <w:noProof/>
                <w:spacing w:val="-2"/>
                <w:sz w:val="26"/>
                <w:szCs w:val="26"/>
              </w:rPr>
              <w:t xml:space="preserve">, ja kalendārajā gadā to apgrozījums būtu zemāks par </w:t>
            </w:r>
            <w:r w:rsidR="00D278BE" w:rsidRPr="002A4D6D">
              <w:rPr>
                <w:noProof/>
                <w:spacing w:val="-2"/>
                <w:sz w:val="26"/>
                <w:szCs w:val="26"/>
              </w:rPr>
              <w:t xml:space="preserve">noteikto </w:t>
            </w:r>
            <w:r w:rsidR="00BF0145" w:rsidRPr="002A4D6D">
              <w:rPr>
                <w:noProof/>
                <w:spacing w:val="-2"/>
                <w:sz w:val="26"/>
                <w:szCs w:val="26"/>
              </w:rPr>
              <w:t>robežvērtību.</w:t>
            </w:r>
            <w:r w:rsidR="007407B5" w:rsidRPr="002A4D6D">
              <w:rPr>
                <w:noProof/>
                <w:spacing w:val="-2"/>
                <w:sz w:val="26"/>
                <w:szCs w:val="26"/>
              </w:rPr>
              <w:t xml:space="preserve"> </w:t>
            </w:r>
            <w:r w:rsidR="00BF0145" w:rsidRPr="002A4D6D">
              <w:rPr>
                <w:noProof/>
                <w:spacing w:val="-2"/>
                <w:sz w:val="26"/>
                <w:szCs w:val="26"/>
              </w:rPr>
              <w:t>Tādēļ ir nepieciešams veikt grozījumus Pievienotās vērtības nodokļa likum</w:t>
            </w:r>
            <w:r w:rsidR="007407B5" w:rsidRPr="002A4D6D">
              <w:rPr>
                <w:noProof/>
                <w:spacing w:val="-2"/>
                <w:sz w:val="26"/>
                <w:szCs w:val="26"/>
              </w:rPr>
              <w:t xml:space="preserve">ā, </w:t>
            </w:r>
            <w:r w:rsidR="00631E78" w:rsidRPr="002A4D6D">
              <w:rPr>
                <w:noProof/>
                <w:spacing w:val="-2"/>
                <w:sz w:val="26"/>
                <w:szCs w:val="26"/>
              </w:rPr>
              <w:t xml:space="preserve">aizstājot </w:t>
            </w:r>
            <w:r w:rsidR="00CF7ADC" w:rsidRPr="002A4D6D">
              <w:rPr>
                <w:noProof/>
                <w:spacing w:val="-2"/>
                <w:sz w:val="26"/>
                <w:szCs w:val="26"/>
              </w:rPr>
              <w:t>35 000 </w:t>
            </w:r>
            <w:r w:rsidR="00CF7ADC" w:rsidRPr="002A4D6D">
              <w:rPr>
                <w:i/>
                <w:noProof/>
                <w:spacing w:val="-2"/>
                <w:sz w:val="26"/>
                <w:szCs w:val="26"/>
              </w:rPr>
              <w:t>euro</w:t>
            </w:r>
            <w:r w:rsidR="00CF7ADC" w:rsidRPr="002A4D6D">
              <w:rPr>
                <w:noProof/>
                <w:spacing w:val="-2"/>
                <w:sz w:val="26"/>
                <w:szCs w:val="26"/>
              </w:rPr>
              <w:t xml:space="preserve"> robežvērtību preču tālpārdošanas darījumos</w:t>
            </w:r>
            <w:r w:rsidR="00631E78" w:rsidRPr="002A4D6D">
              <w:rPr>
                <w:noProof/>
                <w:spacing w:val="-2"/>
                <w:sz w:val="26"/>
                <w:szCs w:val="26"/>
              </w:rPr>
              <w:t xml:space="preserve"> ar 10 000 </w:t>
            </w:r>
            <w:r w:rsidR="00631E78" w:rsidRPr="002A4D6D">
              <w:rPr>
                <w:i/>
                <w:noProof/>
                <w:spacing w:val="-2"/>
                <w:sz w:val="26"/>
                <w:szCs w:val="26"/>
              </w:rPr>
              <w:t xml:space="preserve">euro </w:t>
            </w:r>
            <w:r w:rsidR="00631E78" w:rsidRPr="002A4D6D">
              <w:rPr>
                <w:noProof/>
                <w:spacing w:val="-2"/>
                <w:sz w:val="26"/>
                <w:szCs w:val="26"/>
              </w:rPr>
              <w:t>robežvērtību</w:t>
            </w:r>
            <w:r w:rsidR="00CF7ADC" w:rsidRPr="002A4D6D">
              <w:rPr>
                <w:noProof/>
                <w:spacing w:val="-2"/>
                <w:sz w:val="26"/>
                <w:szCs w:val="26"/>
              </w:rPr>
              <w:t xml:space="preserve">, kuru sasniedzot vai pārsniedzot citas dalībvalsts PVN maksātājam jāreģistrējas </w:t>
            </w:r>
            <w:r w:rsidR="00D278BE" w:rsidRPr="002A4D6D">
              <w:rPr>
                <w:noProof/>
                <w:spacing w:val="-2"/>
                <w:sz w:val="26"/>
                <w:szCs w:val="26"/>
              </w:rPr>
              <w:t>VID PVN</w:t>
            </w:r>
            <w:r w:rsidR="00CF7ADC" w:rsidRPr="002A4D6D">
              <w:rPr>
                <w:noProof/>
                <w:spacing w:val="-2"/>
                <w:sz w:val="26"/>
                <w:szCs w:val="26"/>
              </w:rPr>
              <w:t xml:space="preserve"> maksātāju reģistrā</w:t>
            </w:r>
            <w:r w:rsidR="00D278BE" w:rsidRPr="002A4D6D">
              <w:rPr>
                <w:noProof/>
                <w:spacing w:val="-2"/>
                <w:sz w:val="26"/>
                <w:szCs w:val="26"/>
              </w:rPr>
              <w:t xml:space="preserve">, </w:t>
            </w:r>
            <w:r w:rsidR="00631E78" w:rsidRPr="002A4D6D">
              <w:rPr>
                <w:noProof/>
                <w:spacing w:val="-2"/>
                <w:sz w:val="26"/>
                <w:szCs w:val="26"/>
              </w:rPr>
              <w:t xml:space="preserve">vienlaikus </w:t>
            </w:r>
            <w:r w:rsidR="00D278BE" w:rsidRPr="002A4D6D">
              <w:rPr>
                <w:noProof/>
                <w:spacing w:val="-2"/>
                <w:sz w:val="26"/>
                <w:szCs w:val="26"/>
              </w:rPr>
              <w:t>ieviešot līdzīgus nosacījumus preču piegādes vietas noteikšanai preču tālpārdošanas darījumiem ES teritorijā, kādus šobrīd piemēro elektronisko sakaru, apraides un elektroniski sniegto pakalpojumu sniedzējiem.</w:t>
            </w:r>
          </w:p>
          <w:p w14:paraId="21845878" w14:textId="705D0AF8" w:rsidR="00634A76" w:rsidRPr="002A4D6D" w:rsidRDefault="00634A76" w:rsidP="002A4D6D">
            <w:pPr>
              <w:ind w:left="113" w:right="113"/>
              <w:jc w:val="both"/>
              <w:rPr>
                <w:noProof/>
                <w:spacing w:val="-2"/>
                <w:sz w:val="26"/>
                <w:szCs w:val="26"/>
              </w:rPr>
            </w:pPr>
            <w:r w:rsidRPr="002A4D6D">
              <w:rPr>
                <w:noProof/>
                <w:spacing w:val="-2"/>
                <w:sz w:val="26"/>
                <w:szCs w:val="26"/>
              </w:rPr>
              <w:t>2.</w:t>
            </w:r>
            <w:r w:rsidR="00716C60" w:rsidRPr="002A4D6D">
              <w:rPr>
                <w:noProof/>
                <w:spacing w:val="-2"/>
                <w:sz w:val="26"/>
                <w:szCs w:val="26"/>
              </w:rPr>
              <w:t>7</w:t>
            </w:r>
            <w:r w:rsidRPr="002A4D6D">
              <w:rPr>
                <w:noProof/>
                <w:spacing w:val="-2"/>
                <w:sz w:val="26"/>
                <w:szCs w:val="26"/>
              </w:rPr>
              <w:t>. </w:t>
            </w:r>
            <w:r w:rsidR="00D278BE" w:rsidRPr="002A4D6D">
              <w:rPr>
                <w:noProof/>
                <w:spacing w:val="-2"/>
                <w:sz w:val="26"/>
                <w:szCs w:val="26"/>
              </w:rPr>
              <w:t>Lai samazinātu slogu tiem PVN maksātājiem, kuri veic preču tālpārdošanu ES teritorijā un izmanto savienības režīmu, a</w:t>
            </w:r>
            <w:r w:rsidR="007235A5" w:rsidRPr="002A4D6D">
              <w:rPr>
                <w:noProof/>
                <w:spacing w:val="-2"/>
                <w:sz w:val="26"/>
                <w:szCs w:val="26"/>
              </w:rPr>
              <w:t>r 2021.gad</w:t>
            </w:r>
            <w:r w:rsidR="00D278BE" w:rsidRPr="002A4D6D">
              <w:rPr>
                <w:noProof/>
                <w:spacing w:val="-2"/>
                <w:sz w:val="26"/>
                <w:szCs w:val="26"/>
              </w:rPr>
              <w:t>a 1.janvāri tiks</w:t>
            </w:r>
            <w:r w:rsidR="007235A5" w:rsidRPr="002A4D6D">
              <w:rPr>
                <w:noProof/>
                <w:spacing w:val="-2"/>
                <w:sz w:val="26"/>
                <w:szCs w:val="26"/>
              </w:rPr>
              <w:t xml:space="preserve"> </w:t>
            </w:r>
            <w:r w:rsidRPr="002A4D6D">
              <w:rPr>
                <w:noProof/>
                <w:spacing w:val="-2"/>
                <w:sz w:val="26"/>
                <w:szCs w:val="26"/>
              </w:rPr>
              <w:t>atce</w:t>
            </w:r>
            <w:r w:rsidR="00D278BE" w:rsidRPr="002A4D6D">
              <w:rPr>
                <w:noProof/>
                <w:spacing w:val="-2"/>
                <w:sz w:val="26"/>
                <w:szCs w:val="26"/>
              </w:rPr>
              <w:t>lta</w:t>
            </w:r>
            <w:r w:rsidRPr="002A4D6D">
              <w:rPr>
                <w:noProof/>
                <w:spacing w:val="-2"/>
                <w:sz w:val="26"/>
                <w:szCs w:val="26"/>
              </w:rPr>
              <w:t xml:space="preserve"> prasīb</w:t>
            </w:r>
            <w:r w:rsidR="00D278BE" w:rsidRPr="002A4D6D">
              <w:rPr>
                <w:noProof/>
                <w:spacing w:val="-2"/>
                <w:sz w:val="26"/>
                <w:szCs w:val="26"/>
              </w:rPr>
              <w:t xml:space="preserve">a </w:t>
            </w:r>
            <w:r w:rsidRPr="002A4D6D">
              <w:rPr>
                <w:noProof/>
                <w:spacing w:val="-2"/>
                <w:sz w:val="26"/>
                <w:szCs w:val="26"/>
              </w:rPr>
              <w:t>izsniegt rēķinu par preču tālpārdoš</w:t>
            </w:r>
            <w:r w:rsidR="00D278BE" w:rsidRPr="002A4D6D">
              <w:rPr>
                <w:noProof/>
                <w:spacing w:val="-2"/>
                <w:sz w:val="26"/>
                <w:szCs w:val="26"/>
              </w:rPr>
              <w:t>anas darījumu</w:t>
            </w:r>
            <w:r w:rsidRPr="002A4D6D">
              <w:rPr>
                <w:noProof/>
                <w:spacing w:val="-2"/>
                <w:sz w:val="26"/>
                <w:szCs w:val="26"/>
              </w:rPr>
              <w:t xml:space="preserve">. </w:t>
            </w:r>
            <w:r w:rsidR="009B50E4" w:rsidRPr="002A4D6D">
              <w:rPr>
                <w:noProof/>
                <w:spacing w:val="-2"/>
                <w:sz w:val="26"/>
                <w:szCs w:val="26"/>
              </w:rPr>
              <w:t xml:space="preserve">Minētais nosacījums ir piemērojams arī tad, ja preces nosūta vai transportē preču piegādātāja interesēs, tostarp, ja preču piegādātājs netieši piedalās preču </w:t>
            </w:r>
            <w:r w:rsidR="00631E78" w:rsidRPr="002A4D6D">
              <w:rPr>
                <w:noProof/>
                <w:spacing w:val="-2"/>
                <w:sz w:val="26"/>
                <w:szCs w:val="26"/>
              </w:rPr>
              <w:t xml:space="preserve">nosūtīšanā vai </w:t>
            </w:r>
            <w:r w:rsidR="009B50E4" w:rsidRPr="002A4D6D">
              <w:rPr>
                <w:noProof/>
                <w:spacing w:val="-2"/>
                <w:sz w:val="26"/>
                <w:szCs w:val="26"/>
              </w:rPr>
              <w:t xml:space="preserve">transportēšanā. </w:t>
            </w:r>
            <w:r w:rsidR="00C652C8" w:rsidRPr="002A4D6D">
              <w:rPr>
                <w:spacing w:val="-2"/>
                <w:sz w:val="26"/>
                <w:szCs w:val="26"/>
                <w:lang w:eastAsia="lv-LV"/>
              </w:rPr>
              <w:t>Tādēļ</w:t>
            </w:r>
            <w:r w:rsidRPr="002A4D6D">
              <w:rPr>
                <w:spacing w:val="-2"/>
                <w:sz w:val="26"/>
                <w:szCs w:val="26"/>
                <w:lang w:eastAsia="lv-LV"/>
              </w:rPr>
              <w:t xml:space="preserve"> ir nepieciešams veikt grozījumus Pievienotās vērtības nodokļa likumā</w:t>
            </w:r>
            <w:r w:rsidR="00166A0E" w:rsidRPr="002A4D6D">
              <w:rPr>
                <w:spacing w:val="-2"/>
                <w:sz w:val="26"/>
                <w:szCs w:val="26"/>
                <w:lang w:eastAsia="lv-LV"/>
              </w:rPr>
              <w:t>, papildinot to PVN maksātāju loku, kuriem nav pienākums izrakstīt rēķinu, iestājoties kādam no noteiktajiem apstākļiem</w:t>
            </w:r>
            <w:r w:rsidRPr="002A4D6D">
              <w:rPr>
                <w:spacing w:val="-2"/>
                <w:sz w:val="26"/>
                <w:szCs w:val="26"/>
                <w:lang w:eastAsia="lv-LV"/>
              </w:rPr>
              <w:t>.</w:t>
            </w:r>
          </w:p>
          <w:p w14:paraId="2B021DDD" w14:textId="7DFCA593" w:rsidR="00E60C06" w:rsidRPr="002A4D6D" w:rsidRDefault="0093503F" w:rsidP="002A4D6D">
            <w:pPr>
              <w:ind w:left="118" w:right="113"/>
              <w:jc w:val="both"/>
              <w:rPr>
                <w:spacing w:val="-2"/>
                <w:sz w:val="26"/>
                <w:szCs w:val="26"/>
                <w:lang w:eastAsia="lv-LV"/>
              </w:rPr>
            </w:pPr>
            <w:r w:rsidRPr="002A4D6D">
              <w:rPr>
                <w:spacing w:val="-2"/>
                <w:sz w:val="26"/>
                <w:szCs w:val="26"/>
                <w:lang w:eastAsia="lv-LV"/>
              </w:rPr>
              <w:t>2.</w:t>
            </w:r>
            <w:r w:rsidR="00716C60" w:rsidRPr="002A4D6D">
              <w:rPr>
                <w:spacing w:val="-2"/>
                <w:sz w:val="26"/>
                <w:szCs w:val="26"/>
                <w:lang w:eastAsia="lv-LV"/>
              </w:rPr>
              <w:t>8</w:t>
            </w:r>
            <w:r w:rsidRPr="002A4D6D">
              <w:rPr>
                <w:spacing w:val="-2"/>
                <w:sz w:val="26"/>
                <w:szCs w:val="26"/>
                <w:lang w:eastAsia="lv-LV"/>
              </w:rPr>
              <w:t>. </w:t>
            </w:r>
            <w:r w:rsidR="00166A0E" w:rsidRPr="002A4D6D">
              <w:rPr>
                <w:spacing w:val="-2"/>
                <w:sz w:val="26"/>
                <w:szCs w:val="26"/>
                <w:lang w:eastAsia="lv-LV"/>
              </w:rPr>
              <w:t>L</w:t>
            </w:r>
            <w:r w:rsidR="00C652C8" w:rsidRPr="002A4D6D">
              <w:rPr>
                <w:spacing w:val="-2"/>
                <w:sz w:val="26"/>
                <w:szCs w:val="26"/>
                <w:lang w:eastAsia="lv-LV"/>
              </w:rPr>
              <w:t xml:space="preserve">īdzīgi kā </w:t>
            </w:r>
            <w:proofErr w:type="spellStart"/>
            <w:r w:rsidR="00C652C8" w:rsidRPr="002A4D6D">
              <w:rPr>
                <w:spacing w:val="-2"/>
                <w:sz w:val="26"/>
                <w:szCs w:val="26"/>
                <w:lang w:eastAsia="lv-LV"/>
              </w:rPr>
              <w:t>ārpussavienības</w:t>
            </w:r>
            <w:proofErr w:type="spellEnd"/>
            <w:r w:rsidR="00C652C8" w:rsidRPr="002A4D6D">
              <w:rPr>
                <w:spacing w:val="-2"/>
                <w:sz w:val="26"/>
                <w:szCs w:val="26"/>
                <w:lang w:eastAsia="lv-LV"/>
              </w:rPr>
              <w:t xml:space="preserve"> režīm</w:t>
            </w:r>
            <w:r w:rsidR="00670C78" w:rsidRPr="002A4D6D">
              <w:rPr>
                <w:spacing w:val="-2"/>
                <w:sz w:val="26"/>
                <w:szCs w:val="26"/>
                <w:lang w:eastAsia="lv-LV"/>
              </w:rPr>
              <w:t>am</w:t>
            </w:r>
            <w:r w:rsidR="00C652C8" w:rsidRPr="002A4D6D">
              <w:rPr>
                <w:spacing w:val="-2"/>
                <w:sz w:val="26"/>
                <w:szCs w:val="26"/>
                <w:lang w:eastAsia="lv-LV"/>
              </w:rPr>
              <w:t xml:space="preserve">, </w:t>
            </w:r>
            <w:r w:rsidR="009B50E4" w:rsidRPr="002A4D6D">
              <w:rPr>
                <w:spacing w:val="-2"/>
                <w:sz w:val="26"/>
                <w:szCs w:val="26"/>
                <w:lang w:eastAsia="lv-LV"/>
              </w:rPr>
              <w:t>PVN maksātājiem, kuri izmanto savienības režīmu, ar 2021.gadu 1.janvāri tiks</w:t>
            </w:r>
            <w:r w:rsidRPr="002A4D6D">
              <w:rPr>
                <w:color w:val="000000"/>
                <w:spacing w:val="-2"/>
                <w:sz w:val="26"/>
                <w:szCs w:val="26"/>
              </w:rPr>
              <w:t xml:space="preserve"> pagarināts </w:t>
            </w:r>
            <w:r w:rsidRPr="002A4D6D">
              <w:rPr>
                <w:spacing w:val="-2"/>
                <w:sz w:val="26"/>
                <w:szCs w:val="26"/>
                <w:lang w:eastAsia="lv-LV"/>
              </w:rPr>
              <w:t xml:space="preserve">PVN deklarācijas iesniegšanas termiņš no 20 dienām līdz </w:t>
            </w:r>
            <w:r w:rsidR="00670C78" w:rsidRPr="002A4D6D">
              <w:rPr>
                <w:spacing w:val="-2"/>
                <w:sz w:val="26"/>
                <w:szCs w:val="26"/>
                <w:lang w:eastAsia="lv-LV"/>
              </w:rPr>
              <w:t xml:space="preserve">nākamā </w:t>
            </w:r>
            <w:r w:rsidRPr="002A4D6D">
              <w:rPr>
                <w:spacing w:val="-2"/>
                <w:sz w:val="26"/>
                <w:szCs w:val="26"/>
                <w:lang w:eastAsia="lv-LV"/>
              </w:rPr>
              <w:t xml:space="preserve">mēneša beigām, kas seko taksācijas periodam, attiecīgi pagarinot </w:t>
            </w:r>
            <w:r w:rsidR="00670C78" w:rsidRPr="002A4D6D">
              <w:rPr>
                <w:spacing w:val="-2"/>
                <w:sz w:val="26"/>
                <w:szCs w:val="26"/>
                <w:lang w:eastAsia="lv-LV"/>
              </w:rPr>
              <w:t xml:space="preserve">arī </w:t>
            </w:r>
            <w:r w:rsidRPr="002A4D6D">
              <w:rPr>
                <w:spacing w:val="-2"/>
                <w:sz w:val="26"/>
                <w:szCs w:val="26"/>
                <w:lang w:eastAsia="lv-LV"/>
              </w:rPr>
              <w:t xml:space="preserve">PVN samaksas termiņu valsts budžetā. </w:t>
            </w:r>
            <w:r w:rsidR="00670C78" w:rsidRPr="002A4D6D">
              <w:rPr>
                <w:spacing w:val="-2"/>
                <w:sz w:val="26"/>
                <w:szCs w:val="26"/>
                <w:lang w:eastAsia="lv-LV"/>
              </w:rPr>
              <w:t xml:space="preserve">PVN deklarācija jāiesniedz neatkarīgi no tā, vai ir veikta preču tālpārdošana vai sniegti pakalpojumi, uz ko attiecas savienības režīms. PVN deklarācijas iesniegšanas kārtība netiek mainīta, arī turpmāk deklarācija ir iesniedzama, izmantojot VID EDS. </w:t>
            </w:r>
            <w:r w:rsidRPr="002A4D6D">
              <w:rPr>
                <w:spacing w:val="-2"/>
                <w:sz w:val="26"/>
                <w:szCs w:val="26"/>
                <w:lang w:eastAsia="lv-LV"/>
              </w:rPr>
              <w:t>Tādēļ ir nepieciešams veikt grozījumus Pievi</w:t>
            </w:r>
            <w:r w:rsidR="00670C78" w:rsidRPr="002A4D6D">
              <w:rPr>
                <w:spacing w:val="-2"/>
                <w:sz w:val="26"/>
                <w:szCs w:val="26"/>
                <w:lang w:eastAsia="lv-LV"/>
              </w:rPr>
              <w:t>enotās vērtības nodokļa likumā</w:t>
            </w:r>
            <w:r w:rsidR="009B50E4" w:rsidRPr="002A4D6D">
              <w:rPr>
                <w:spacing w:val="-2"/>
                <w:sz w:val="26"/>
                <w:szCs w:val="26"/>
                <w:lang w:eastAsia="lv-LV"/>
              </w:rPr>
              <w:t>, precizējot PVN deklarācijas iesniegšanas un nodokļa samaksas termiņu</w:t>
            </w:r>
            <w:r w:rsidR="00670C78" w:rsidRPr="002A4D6D">
              <w:rPr>
                <w:spacing w:val="-2"/>
                <w:sz w:val="26"/>
                <w:szCs w:val="26"/>
                <w:lang w:eastAsia="lv-LV"/>
              </w:rPr>
              <w:t>.</w:t>
            </w:r>
          </w:p>
          <w:p w14:paraId="6068FBAD" w14:textId="29092E8B" w:rsidR="006B55C6" w:rsidRPr="002A4D6D" w:rsidRDefault="006B55C6" w:rsidP="002A4D6D">
            <w:pPr>
              <w:ind w:left="118" w:right="113"/>
              <w:jc w:val="both"/>
              <w:rPr>
                <w:spacing w:val="-2"/>
                <w:sz w:val="26"/>
                <w:szCs w:val="26"/>
                <w:lang w:eastAsia="lv-LV"/>
              </w:rPr>
            </w:pPr>
            <w:r w:rsidRPr="002A4D6D">
              <w:rPr>
                <w:spacing w:val="-2"/>
                <w:sz w:val="26"/>
                <w:szCs w:val="26"/>
                <w:lang w:eastAsia="lv-LV"/>
              </w:rPr>
              <w:t>2.9. Lai reģistrētos savienības režīmam, uzņēmējam, izmantojot VID EDS, ir jāiesniedz iesniegums, tādējādi paziņojot, kad sāk izmantot šo režīmu. Iesniegumā norāda Regulas 2020/194 I pielikuma C slejā no 3. līdz 15.1</w:t>
            </w:r>
            <w:r w:rsidR="00601DF3" w:rsidRPr="002A4D6D">
              <w:rPr>
                <w:spacing w:val="-2"/>
                <w:sz w:val="26"/>
                <w:szCs w:val="26"/>
                <w:lang w:eastAsia="lv-LV"/>
              </w:rPr>
              <w:t>.</w:t>
            </w:r>
            <w:r w:rsidRPr="002A4D6D">
              <w:rPr>
                <w:spacing w:val="-2"/>
                <w:sz w:val="26"/>
                <w:szCs w:val="26"/>
                <w:lang w:eastAsia="lv-LV"/>
              </w:rPr>
              <w:t>punktam minēto informāciju</w:t>
            </w:r>
            <w:r w:rsidR="00330B48" w:rsidRPr="002A4D6D">
              <w:rPr>
                <w:spacing w:val="-2"/>
                <w:sz w:val="26"/>
                <w:szCs w:val="26"/>
                <w:lang w:eastAsia="lv-LV"/>
              </w:rPr>
              <w:t xml:space="preserve"> un </w:t>
            </w:r>
            <w:r w:rsidRPr="002A4D6D">
              <w:rPr>
                <w:spacing w:val="-2"/>
                <w:sz w:val="26"/>
                <w:szCs w:val="26"/>
                <w:lang w:eastAsia="lv-LV"/>
              </w:rPr>
              <w:t xml:space="preserve">17.punktā minēto </w:t>
            </w:r>
            <w:r w:rsidRPr="002A4D6D">
              <w:rPr>
                <w:spacing w:val="-2"/>
                <w:sz w:val="26"/>
                <w:szCs w:val="26"/>
                <w:lang w:eastAsia="lv-LV"/>
              </w:rPr>
              <w:lastRenderedPageBreak/>
              <w:t xml:space="preserve">informāciju, ja darījumi pirmo reizi tiek veikti, ņemot vērā Regulas 282/2011 57.d panta </w:t>
            </w:r>
            <w:r w:rsidR="006C1487" w:rsidRPr="002A4D6D">
              <w:rPr>
                <w:spacing w:val="-2"/>
                <w:sz w:val="26"/>
                <w:szCs w:val="26"/>
                <w:lang w:eastAsia="lv-LV"/>
              </w:rPr>
              <w:t xml:space="preserve">1.punkta </w:t>
            </w:r>
            <w:r w:rsidRPr="002A4D6D">
              <w:rPr>
                <w:spacing w:val="-2"/>
                <w:sz w:val="26"/>
                <w:szCs w:val="26"/>
                <w:lang w:eastAsia="lv-LV"/>
              </w:rPr>
              <w:t xml:space="preserve">otrajā rindkopā minēto nosacījumu (Regulas 2019/2026 redakcijā). </w:t>
            </w:r>
            <w:r w:rsidR="00330B48" w:rsidRPr="002A4D6D">
              <w:rPr>
                <w:spacing w:val="-2"/>
                <w:sz w:val="26"/>
                <w:szCs w:val="26"/>
                <w:lang w:eastAsia="lv-LV"/>
              </w:rPr>
              <w:t>Vienlaikus uzņēmējam iesniegumā ir</w:t>
            </w:r>
            <w:r w:rsidRPr="002A4D6D">
              <w:rPr>
                <w:spacing w:val="-2"/>
                <w:sz w:val="26"/>
                <w:szCs w:val="26"/>
                <w:lang w:eastAsia="lv-LV"/>
              </w:rPr>
              <w:t xml:space="preserve"> </w:t>
            </w:r>
            <w:r w:rsidR="00330B48" w:rsidRPr="002A4D6D">
              <w:rPr>
                <w:spacing w:val="-2"/>
                <w:sz w:val="26"/>
                <w:szCs w:val="26"/>
                <w:lang w:eastAsia="lv-LV"/>
              </w:rPr>
              <w:t>jā</w:t>
            </w:r>
            <w:r w:rsidRPr="002A4D6D">
              <w:rPr>
                <w:spacing w:val="-2"/>
                <w:sz w:val="26"/>
                <w:szCs w:val="26"/>
                <w:lang w:eastAsia="lv-LV"/>
              </w:rPr>
              <w:t xml:space="preserve">apliecina, ka tam Eiropas Savienībā nav saimnieciskās darbības mītnes vietas un pastāvīgās iestādes. </w:t>
            </w:r>
            <w:r w:rsidR="00330B48" w:rsidRPr="002A4D6D">
              <w:rPr>
                <w:spacing w:val="-2"/>
                <w:sz w:val="26"/>
                <w:szCs w:val="26"/>
                <w:lang w:eastAsia="lv-LV"/>
              </w:rPr>
              <w:t xml:space="preserve">Tā kā regulas ir tieši piemērojamas, VID ir nepieciešams izstrādāt iesnieguma veidlapu, pamatojoties uz Regulas 2020/194 prasībām, un nodrošināt tās pieejamību VID EDS, lai ikviens uzņēmējs, kas vēlēsies reģistrēties Latvijā savienības režīma reģistrā, varētu aizpildīt un iesniegt iesniegumu elektroniski. Pievienotās vērtības nodokļa likumu ir nepieciešams papildināt ar kārtību, kādā </w:t>
            </w:r>
            <w:r w:rsidR="00601DF3" w:rsidRPr="002A4D6D">
              <w:rPr>
                <w:spacing w:val="-2"/>
                <w:sz w:val="26"/>
                <w:szCs w:val="26"/>
                <w:lang w:eastAsia="lv-LV"/>
              </w:rPr>
              <w:t>PVN maksātāju reģistrē savienības režīma reģistrā</w:t>
            </w:r>
            <w:r w:rsidR="00330B48" w:rsidRPr="002A4D6D">
              <w:rPr>
                <w:spacing w:val="-2"/>
                <w:sz w:val="26"/>
                <w:szCs w:val="26"/>
                <w:lang w:eastAsia="lv-LV"/>
              </w:rPr>
              <w:t xml:space="preserve">, nosakot vispārējo iesniegumā norādāmo informāciju, </w:t>
            </w:r>
            <w:r w:rsidR="00794215" w:rsidRPr="002A4D6D">
              <w:rPr>
                <w:spacing w:val="-2"/>
                <w:sz w:val="26"/>
                <w:szCs w:val="26"/>
                <w:lang w:eastAsia="lv-LV"/>
              </w:rPr>
              <w:t>atbilstoši Direktīvā 2017/2455 minētajam</w:t>
            </w:r>
            <w:r w:rsidR="00330B48" w:rsidRPr="002A4D6D">
              <w:rPr>
                <w:spacing w:val="-2"/>
                <w:sz w:val="26"/>
                <w:szCs w:val="26"/>
                <w:lang w:eastAsia="lv-LV"/>
              </w:rPr>
              <w:t>.</w:t>
            </w:r>
          </w:p>
          <w:p w14:paraId="7AC5A90E" w14:textId="2EAF3A24" w:rsidR="00901A62" w:rsidRPr="002A4D6D" w:rsidRDefault="00E60C06" w:rsidP="002A4D6D">
            <w:pPr>
              <w:ind w:left="113" w:right="113"/>
              <w:jc w:val="both"/>
              <w:rPr>
                <w:b/>
                <w:i/>
                <w:color w:val="000000"/>
                <w:spacing w:val="-2"/>
                <w:sz w:val="26"/>
                <w:szCs w:val="26"/>
              </w:rPr>
            </w:pPr>
            <w:r w:rsidRPr="002A4D6D">
              <w:rPr>
                <w:b/>
                <w:i/>
                <w:color w:val="000000"/>
                <w:spacing w:val="-2"/>
                <w:sz w:val="26"/>
                <w:szCs w:val="26"/>
              </w:rPr>
              <w:t>3. </w:t>
            </w:r>
            <w:r w:rsidR="00AF318F" w:rsidRPr="002A4D6D">
              <w:rPr>
                <w:b/>
                <w:i/>
                <w:color w:val="000000"/>
                <w:spacing w:val="-2"/>
                <w:sz w:val="26"/>
                <w:szCs w:val="26"/>
              </w:rPr>
              <w:t>Importa režīms jeb ī</w:t>
            </w:r>
            <w:r w:rsidR="00901A62" w:rsidRPr="002A4D6D">
              <w:rPr>
                <w:b/>
                <w:i/>
                <w:color w:val="000000"/>
                <w:spacing w:val="-2"/>
                <w:sz w:val="26"/>
                <w:szCs w:val="26"/>
              </w:rPr>
              <w:t>pašs režīms no treš</w:t>
            </w:r>
            <w:r w:rsidR="000A6F0C" w:rsidRPr="002A4D6D">
              <w:rPr>
                <w:b/>
                <w:i/>
                <w:color w:val="000000"/>
                <w:spacing w:val="-2"/>
                <w:sz w:val="26"/>
                <w:szCs w:val="26"/>
              </w:rPr>
              <w:t>aj</w:t>
            </w:r>
            <w:r w:rsidR="00901A62" w:rsidRPr="002A4D6D">
              <w:rPr>
                <w:b/>
                <w:i/>
                <w:color w:val="000000"/>
                <w:spacing w:val="-2"/>
                <w:sz w:val="26"/>
                <w:szCs w:val="26"/>
              </w:rPr>
              <w:t>ām valstīm vai treš</w:t>
            </w:r>
            <w:r w:rsidR="000A6F0C" w:rsidRPr="002A4D6D">
              <w:rPr>
                <w:b/>
                <w:i/>
                <w:color w:val="000000"/>
                <w:spacing w:val="-2"/>
                <w:sz w:val="26"/>
                <w:szCs w:val="26"/>
              </w:rPr>
              <w:t>aj</w:t>
            </w:r>
            <w:r w:rsidR="00901A62" w:rsidRPr="002A4D6D">
              <w:rPr>
                <w:b/>
                <w:i/>
                <w:color w:val="000000"/>
                <w:spacing w:val="-2"/>
                <w:sz w:val="26"/>
                <w:szCs w:val="26"/>
              </w:rPr>
              <w:t xml:space="preserve">ām teritorijām importētu </w:t>
            </w:r>
            <w:r w:rsidR="00E07268" w:rsidRPr="002A4D6D">
              <w:rPr>
                <w:b/>
                <w:i/>
                <w:color w:val="000000"/>
                <w:spacing w:val="-2"/>
                <w:sz w:val="26"/>
                <w:szCs w:val="26"/>
              </w:rPr>
              <w:t xml:space="preserve">preču </w:t>
            </w:r>
            <w:r w:rsidR="00783621" w:rsidRPr="002A4D6D">
              <w:rPr>
                <w:b/>
                <w:i/>
                <w:color w:val="000000"/>
                <w:spacing w:val="-2"/>
                <w:sz w:val="26"/>
                <w:szCs w:val="26"/>
              </w:rPr>
              <w:t>tālpārdošanai</w:t>
            </w:r>
          </w:p>
          <w:p w14:paraId="3FD13AC0" w14:textId="53064C04" w:rsidR="000A6F0C" w:rsidRPr="002A4D6D" w:rsidRDefault="00E60C06" w:rsidP="002A4D6D">
            <w:pPr>
              <w:ind w:left="118" w:right="113"/>
              <w:jc w:val="both"/>
              <w:rPr>
                <w:spacing w:val="-2"/>
                <w:sz w:val="26"/>
                <w:szCs w:val="26"/>
                <w:lang w:eastAsia="lv-LV"/>
              </w:rPr>
            </w:pPr>
            <w:r w:rsidRPr="002A4D6D">
              <w:rPr>
                <w:spacing w:val="-2"/>
                <w:sz w:val="26"/>
                <w:szCs w:val="26"/>
                <w:lang w:eastAsia="lv-LV"/>
              </w:rPr>
              <w:t>3.1. </w:t>
            </w:r>
            <w:r w:rsidR="00E07268" w:rsidRPr="002A4D6D">
              <w:rPr>
                <w:spacing w:val="-2"/>
                <w:sz w:val="26"/>
                <w:szCs w:val="26"/>
                <w:lang w:eastAsia="lv-LV"/>
              </w:rPr>
              <w:t>Balstoties uz t</w:t>
            </w:r>
            <w:r w:rsidR="00347186" w:rsidRPr="002A4D6D">
              <w:rPr>
                <w:spacing w:val="-2"/>
                <w:sz w:val="26"/>
                <w:szCs w:val="26"/>
                <w:lang w:eastAsia="lv-LV"/>
              </w:rPr>
              <w:t>ād</w:t>
            </w:r>
            <w:r w:rsidR="00E07268" w:rsidRPr="002A4D6D">
              <w:rPr>
                <w:spacing w:val="-2"/>
                <w:sz w:val="26"/>
                <w:szCs w:val="26"/>
                <w:lang w:eastAsia="lv-LV"/>
              </w:rPr>
              <w:t xml:space="preserve">iem pašiem principiem, pēc kādiem </w:t>
            </w:r>
            <w:r w:rsidR="003B29D5" w:rsidRPr="002A4D6D">
              <w:rPr>
                <w:spacing w:val="-2"/>
                <w:sz w:val="26"/>
                <w:szCs w:val="26"/>
                <w:lang w:eastAsia="lv-LV"/>
              </w:rPr>
              <w:t xml:space="preserve">2015.gadā </w:t>
            </w:r>
            <w:r w:rsidR="00E07268" w:rsidRPr="002A4D6D">
              <w:rPr>
                <w:spacing w:val="-2"/>
                <w:sz w:val="26"/>
                <w:szCs w:val="26"/>
                <w:lang w:eastAsia="lv-LV"/>
              </w:rPr>
              <w:t xml:space="preserve">tika </w:t>
            </w:r>
            <w:r w:rsidR="003B29D5" w:rsidRPr="002A4D6D">
              <w:rPr>
                <w:spacing w:val="-2"/>
                <w:sz w:val="26"/>
                <w:szCs w:val="26"/>
                <w:lang w:eastAsia="lv-LV"/>
              </w:rPr>
              <w:t>ieviests</w:t>
            </w:r>
            <w:r w:rsidR="00E07268" w:rsidRPr="002A4D6D">
              <w:rPr>
                <w:spacing w:val="-2"/>
                <w:sz w:val="26"/>
                <w:szCs w:val="26"/>
                <w:lang w:eastAsia="lv-LV"/>
              </w:rPr>
              <w:t xml:space="preserve"> </w:t>
            </w:r>
            <w:proofErr w:type="spellStart"/>
            <w:r w:rsidR="00E07268" w:rsidRPr="002A4D6D">
              <w:rPr>
                <w:spacing w:val="-2"/>
                <w:sz w:val="26"/>
                <w:szCs w:val="26"/>
                <w:lang w:eastAsia="lv-LV"/>
              </w:rPr>
              <w:t>ārpussavienības</w:t>
            </w:r>
            <w:proofErr w:type="spellEnd"/>
            <w:r w:rsidR="00E07268" w:rsidRPr="002A4D6D">
              <w:rPr>
                <w:spacing w:val="-2"/>
                <w:sz w:val="26"/>
                <w:szCs w:val="26"/>
                <w:lang w:eastAsia="lv-LV"/>
              </w:rPr>
              <w:t xml:space="preserve"> režīms un savienības režīms, </w:t>
            </w:r>
            <w:r w:rsidR="00783621" w:rsidRPr="002A4D6D">
              <w:rPr>
                <w:color w:val="000000"/>
                <w:spacing w:val="-2"/>
                <w:sz w:val="26"/>
                <w:szCs w:val="26"/>
              </w:rPr>
              <w:t>ar 2021.gada 1.janvāri PVN piemērošanas nolūkā ti</w:t>
            </w:r>
            <w:r w:rsidR="000A6F0C" w:rsidRPr="002A4D6D">
              <w:rPr>
                <w:color w:val="000000"/>
                <w:spacing w:val="-2"/>
                <w:sz w:val="26"/>
                <w:szCs w:val="26"/>
              </w:rPr>
              <w:t>ks</w:t>
            </w:r>
            <w:r w:rsidR="00783621" w:rsidRPr="002A4D6D">
              <w:rPr>
                <w:color w:val="000000"/>
                <w:spacing w:val="-2"/>
                <w:sz w:val="26"/>
                <w:szCs w:val="26"/>
              </w:rPr>
              <w:t xml:space="preserve"> ieviests jauns</w:t>
            </w:r>
            <w:r w:rsidR="00741058" w:rsidRPr="002A4D6D">
              <w:rPr>
                <w:color w:val="000000"/>
                <w:spacing w:val="-2"/>
                <w:sz w:val="26"/>
                <w:szCs w:val="26"/>
              </w:rPr>
              <w:t xml:space="preserve"> </w:t>
            </w:r>
            <w:r w:rsidR="00783621" w:rsidRPr="002A4D6D">
              <w:rPr>
                <w:spacing w:val="-2"/>
                <w:sz w:val="26"/>
                <w:szCs w:val="26"/>
                <w:lang w:eastAsia="lv-LV"/>
              </w:rPr>
              <w:t xml:space="preserve">importa režīms </w:t>
            </w:r>
            <w:r w:rsidR="000A6F0C" w:rsidRPr="002A4D6D">
              <w:rPr>
                <w:spacing w:val="-2"/>
                <w:sz w:val="26"/>
                <w:szCs w:val="26"/>
                <w:lang w:eastAsia="lv-LV"/>
              </w:rPr>
              <w:t xml:space="preserve">no trešajām valstīm vai trešajām teritorijām importētu preču tālpārdošanai </w:t>
            </w:r>
            <w:r w:rsidR="00783621" w:rsidRPr="002A4D6D">
              <w:rPr>
                <w:spacing w:val="-2"/>
                <w:sz w:val="26"/>
                <w:szCs w:val="26"/>
                <w:lang w:eastAsia="lv-LV"/>
              </w:rPr>
              <w:t>(IOSS)</w:t>
            </w:r>
            <w:r w:rsidR="00E07268" w:rsidRPr="002A4D6D">
              <w:rPr>
                <w:spacing w:val="-2"/>
                <w:sz w:val="26"/>
                <w:szCs w:val="26"/>
                <w:lang w:eastAsia="lv-LV"/>
              </w:rPr>
              <w:t xml:space="preserve">. </w:t>
            </w:r>
            <w:r w:rsidR="000A6F0C" w:rsidRPr="002A4D6D">
              <w:rPr>
                <w:spacing w:val="-2"/>
                <w:sz w:val="26"/>
                <w:szCs w:val="26"/>
                <w:lang w:eastAsia="lv-LV"/>
              </w:rPr>
              <w:t>I</w:t>
            </w:r>
            <w:r w:rsidR="00783621" w:rsidRPr="002A4D6D">
              <w:rPr>
                <w:spacing w:val="-2"/>
                <w:sz w:val="26"/>
                <w:szCs w:val="26"/>
                <w:lang w:eastAsia="lv-LV"/>
              </w:rPr>
              <w:t>mporta</w:t>
            </w:r>
            <w:r w:rsidR="00D657D4" w:rsidRPr="002A4D6D">
              <w:rPr>
                <w:spacing w:val="-2"/>
                <w:sz w:val="26"/>
                <w:szCs w:val="26"/>
                <w:lang w:eastAsia="lv-LV"/>
              </w:rPr>
              <w:t xml:space="preserve"> režīma darbības joma ir ierobežota, attiecinot </w:t>
            </w:r>
            <w:r w:rsidR="00E07268" w:rsidRPr="002A4D6D">
              <w:rPr>
                <w:spacing w:val="-2"/>
                <w:sz w:val="26"/>
                <w:szCs w:val="26"/>
                <w:lang w:eastAsia="lv-LV"/>
              </w:rPr>
              <w:t xml:space="preserve">tikai </w:t>
            </w:r>
            <w:r w:rsidR="00347186" w:rsidRPr="002A4D6D">
              <w:rPr>
                <w:spacing w:val="-2"/>
                <w:sz w:val="26"/>
                <w:szCs w:val="26"/>
                <w:lang w:eastAsia="lv-LV"/>
              </w:rPr>
              <w:t xml:space="preserve">uz </w:t>
            </w:r>
            <w:r w:rsidR="00E07268" w:rsidRPr="002A4D6D">
              <w:rPr>
                <w:spacing w:val="-2"/>
                <w:sz w:val="26"/>
                <w:szCs w:val="26"/>
                <w:lang w:eastAsia="lv-LV"/>
              </w:rPr>
              <w:t>tādu no treš</w:t>
            </w:r>
            <w:r w:rsidR="0090623D" w:rsidRPr="002A4D6D">
              <w:rPr>
                <w:spacing w:val="-2"/>
                <w:sz w:val="26"/>
                <w:szCs w:val="26"/>
                <w:lang w:eastAsia="lv-LV"/>
              </w:rPr>
              <w:t>aj</w:t>
            </w:r>
            <w:r w:rsidR="00E07268" w:rsidRPr="002A4D6D">
              <w:rPr>
                <w:spacing w:val="-2"/>
                <w:sz w:val="26"/>
                <w:szCs w:val="26"/>
                <w:lang w:eastAsia="lv-LV"/>
              </w:rPr>
              <w:t xml:space="preserve">ām </w:t>
            </w:r>
            <w:r w:rsidR="00AE1822" w:rsidRPr="002A4D6D">
              <w:rPr>
                <w:spacing w:val="-2"/>
                <w:sz w:val="26"/>
                <w:szCs w:val="26"/>
                <w:lang w:eastAsia="lv-LV"/>
              </w:rPr>
              <w:t xml:space="preserve">valstīm vai trešajām </w:t>
            </w:r>
            <w:r w:rsidR="00E07268" w:rsidRPr="002A4D6D">
              <w:rPr>
                <w:spacing w:val="-2"/>
                <w:sz w:val="26"/>
                <w:szCs w:val="26"/>
                <w:lang w:eastAsia="lv-LV"/>
              </w:rPr>
              <w:t>teritorijām importētu preču tālpārdošan</w:t>
            </w:r>
            <w:r w:rsidR="00FC7BF1" w:rsidRPr="002A4D6D">
              <w:rPr>
                <w:spacing w:val="-2"/>
                <w:sz w:val="26"/>
                <w:szCs w:val="26"/>
                <w:lang w:eastAsia="lv-LV"/>
              </w:rPr>
              <w:t xml:space="preserve">ai, ja preču, izņemot akcīzes preču, </w:t>
            </w:r>
            <w:r w:rsidR="00783621" w:rsidRPr="002A4D6D">
              <w:rPr>
                <w:spacing w:val="-2"/>
                <w:sz w:val="26"/>
                <w:szCs w:val="26"/>
                <w:lang w:eastAsia="lv-LV"/>
              </w:rPr>
              <w:t>sūtījum</w:t>
            </w:r>
            <w:r w:rsidR="00FC7BF1" w:rsidRPr="002A4D6D">
              <w:rPr>
                <w:spacing w:val="-2"/>
                <w:sz w:val="26"/>
                <w:szCs w:val="26"/>
                <w:lang w:eastAsia="lv-LV"/>
              </w:rPr>
              <w:t>a</w:t>
            </w:r>
            <w:r w:rsidR="00E07268" w:rsidRPr="002A4D6D">
              <w:rPr>
                <w:spacing w:val="-2"/>
                <w:sz w:val="26"/>
                <w:szCs w:val="26"/>
                <w:lang w:eastAsia="lv-LV"/>
              </w:rPr>
              <w:t xml:space="preserve"> patiesā vērtība</w:t>
            </w:r>
            <w:r w:rsidR="00166A0E" w:rsidRPr="002A4D6D">
              <w:rPr>
                <w:rStyle w:val="FootnoteReference"/>
                <w:spacing w:val="-2"/>
                <w:sz w:val="26"/>
                <w:szCs w:val="26"/>
                <w:lang w:eastAsia="lv-LV"/>
              </w:rPr>
              <w:footnoteReference w:id="6"/>
            </w:r>
            <w:r w:rsidR="00E07268" w:rsidRPr="002A4D6D">
              <w:rPr>
                <w:spacing w:val="-2"/>
                <w:sz w:val="26"/>
                <w:szCs w:val="26"/>
                <w:lang w:eastAsia="lv-LV"/>
              </w:rPr>
              <w:t xml:space="preserve"> nepārsniedz 150 </w:t>
            </w:r>
            <w:proofErr w:type="spellStart"/>
            <w:r w:rsidR="00E07268" w:rsidRPr="002A4D6D">
              <w:rPr>
                <w:i/>
                <w:spacing w:val="-2"/>
                <w:sz w:val="26"/>
                <w:szCs w:val="26"/>
                <w:lang w:eastAsia="lv-LV"/>
              </w:rPr>
              <w:t>euro</w:t>
            </w:r>
            <w:proofErr w:type="spellEnd"/>
            <w:r w:rsidR="00E07268" w:rsidRPr="002A4D6D">
              <w:rPr>
                <w:spacing w:val="-2"/>
                <w:sz w:val="26"/>
                <w:szCs w:val="26"/>
                <w:lang w:eastAsia="lv-LV"/>
              </w:rPr>
              <w:t>.</w:t>
            </w:r>
            <w:r w:rsidR="00D657D4" w:rsidRPr="002A4D6D">
              <w:rPr>
                <w:spacing w:val="-2"/>
                <w:sz w:val="26"/>
                <w:szCs w:val="26"/>
                <w:lang w:eastAsia="lv-LV"/>
              </w:rPr>
              <w:t xml:space="preserve"> Pārsniedzot minēto </w:t>
            </w:r>
            <w:r w:rsidR="00FC7BF1" w:rsidRPr="002A4D6D">
              <w:rPr>
                <w:spacing w:val="-2"/>
                <w:sz w:val="26"/>
                <w:szCs w:val="26"/>
                <w:lang w:eastAsia="lv-LV"/>
              </w:rPr>
              <w:t xml:space="preserve">preču sūtījuma </w:t>
            </w:r>
            <w:r w:rsidR="00783621" w:rsidRPr="002A4D6D">
              <w:rPr>
                <w:spacing w:val="-2"/>
                <w:sz w:val="26"/>
                <w:szCs w:val="26"/>
                <w:lang w:eastAsia="lv-LV"/>
              </w:rPr>
              <w:t>robež</w:t>
            </w:r>
            <w:r w:rsidR="00D657D4" w:rsidRPr="002A4D6D">
              <w:rPr>
                <w:spacing w:val="-2"/>
                <w:sz w:val="26"/>
                <w:szCs w:val="26"/>
                <w:lang w:eastAsia="lv-LV"/>
              </w:rPr>
              <w:t>vērtību, preču</w:t>
            </w:r>
            <w:r w:rsidR="00783621" w:rsidRPr="002A4D6D">
              <w:rPr>
                <w:spacing w:val="-2"/>
                <w:sz w:val="26"/>
                <w:szCs w:val="26"/>
                <w:lang w:eastAsia="lv-LV"/>
              </w:rPr>
              <w:t xml:space="preserve"> sūtījum</w:t>
            </w:r>
            <w:r w:rsidR="00FC7BF1" w:rsidRPr="002A4D6D">
              <w:rPr>
                <w:spacing w:val="-2"/>
                <w:sz w:val="26"/>
                <w:szCs w:val="26"/>
                <w:lang w:eastAsia="lv-LV"/>
              </w:rPr>
              <w:t>am</w:t>
            </w:r>
            <w:r w:rsidR="00D657D4" w:rsidRPr="002A4D6D">
              <w:rPr>
                <w:spacing w:val="-2"/>
                <w:sz w:val="26"/>
                <w:szCs w:val="26"/>
                <w:lang w:eastAsia="lv-LV"/>
              </w:rPr>
              <w:t xml:space="preserve"> importēšanas </w:t>
            </w:r>
            <w:r w:rsidR="00FC7BF1" w:rsidRPr="002A4D6D">
              <w:rPr>
                <w:spacing w:val="-2"/>
                <w:sz w:val="26"/>
                <w:szCs w:val="26"/>
                <w:lang w:eastAsia="lv-LV"/>
              </w:rPr>
              <w:t>brīdī</w:t>
            </w:r>
            <w:r w:rsidR="00D657D4" w:rsidRPr="002A4D6D">
              <w:rPr>
                <w:spacing w:val="-2"/>
                <w:sz w:val="26"/>
                <w:szCs w:val="26"/>
                <w:lang w:eastAsia="lv-LV"/>
              </w:rPr>
              <w:t xml:space="preserve"> būs </w:t>
            </w:r>
            <w:r w:rsidR="00783621" w:rsidRPr="002A4D6D">
              <w:rPr>
                <w:spacing w:val="-2"/>
                <w:sz w:val="26"/>
                <w:szCs w:val="26"/>
                <w:lang w:eastAsia="lv-LV"/>
              </w:rPr>
              <w:t xml:space="preserve">nepieciešams </w:t>
            </w:r>
            <w:r w:rsidR="003B29D5" w:rsidRPr="002A4D6D">
              <w:rPr>
                <w:spacing w:val="-2"/>
                <w:sz w:val="26"/>
                <w:szCs w:val="26"/>
                <w:lang w:eastAsia="lv-LV"/>
              </w:rPr>
              <w:t>noformēt</w:t>
            </w:r>
            <w:r w:rsidR="00D657D4" w:rsidRPr="002A4D6D">
              <w:rPr>
                <w:spacing w:val="-2"/>
                <w:sz w:val="26"/>
                <w:szCs w:val="26"/>
                <w:lang w:eastAsia="lv-LV"/>
              </w:rPr>
              <w:t xml:space="preserve"> standarta muitas deklarācij</w:t>
            </w:r>
            <w:r w:rsidR="003B29D5" w:rsidRPr="002A4D6D">
              <w:rPr>
                <w:spacing w:val="-2"/>
                <w:sz w:val="26"/>
                <w:szCs w:val="26"/>
                <w:lang w:eastAsia="lv-LV"/>
              </w:rPr>
              <w:t>u</w:t>
            </w:r>
            <w:r w:rsidR="00D657D4" w:rsidRPr="002A4D6D">
              <w:rPr>
                <w:spacing w:val="-2"/>
                <w:sz w:val="26"/>
                <w:szCs w:val="26"/>
                <w:lang w:eastAsia="lv-LV"/>
              </w:rPr>
              <w:t>.</w:t>
            </w:r>
            <w:r w:rsidR="000A6F0C" w:rsidRPr="002A4D6D">
              <w:rPr>
                <w:spacing w:val="-2"/>
                <w:sz w:val="26"/>
                <w:szCs w:val="26"/>
                <w:lang w:eastAsia="lv-LV"/>
              </w:rPr>
              <w:t xml:space="preserve"> Tādēļ ir nepieciešams </w:t>
            </w:r>
            <w:r w:rsidR="00A3597C" w:rsidRPr="002A4D6D">
              <w:rPr>
                <w:spacing w:val="-2"/>
                <w:sz w:val="26"/>
                <w:szCs w:val="26"/>
                <w:lang w:eastAsia="lv-LV"/>
              </w:rPr>
              <w:t>papildināt</w:t>
            </w:r>
            <w:r w:rsidR="000A6F0C" w:rsidRPr="002A4D6D">
              <w:rPr>
                <w:spacing w:val="-2"/>
                <w:sz w:val="26"/>
                <w:szCs w:val="26"/>
                <w:lang w:eastAsia="lv-LV"/>
              </w:rPr>
              <w:t xml:space="preserve"> Pievienotās vērtības nodokļa likum</w:t>
            </w:r>
            <w:r w:rsidR="00A3597C" w:rsidRPr="002A4D6D">
              <w:rPr>
                <w:spacing w:val="-2"/>
                <w:sz w:val="26"/>
                <w:szCs w:val="26"/>
                <w:lang w:eastAsia="lv-LV"/>
              </w:rPr>
              <w:t>u</w:t>
            </w:r>
            <w:r w:rsidR="00250F73" w:rsidRPr="002A4D6D">
              <w:rPr>
                <w:spacing w:val="-2"/>
                <w:sz w:val="26"/>
                <w:szCs w:val="26"/>
                <w:lang w:eastAsia="lv-LV"/>
              </w:rPr>
              <w:t xml:space="preserve"> ar importa režīma tvērumu.</w:t>
            </w:r>
          </w:p>
          <w:p w14:paraId="15C035F0" w14:textId="5429996E" w:rsidR="00250F73" w:rsidRPr="002A4D6D" w:rsidRDefault="000A6F0C" w:rsidP="002A4D6D">
            <w:pPr>
              <w:ind w:left="118" w:right="113"/>
              <w:jc w:val="both"/>
              <w:rPr>
                <w:color w:val="000000"/>
                <w:spacing w:val="-2"/>
                <w:sz w:val="26"/>
                <w:szCs w:val="26"/>
              </w:rPr>
            </w:pPr>
            <w:r w:rsidRPr="002A4D6D">
              <w:rPr>
                <w:spacing w:val="-2"/>
                <w:sz w:val="26"/>
                <w:szCs w:val="26"/>
                <w:lang w:eastAsia="lv-LV"/>
              </w:rPr>
              <w:t>3.2. </w:t>
            </w:r>
            <w:r w:rsidR="00250F73" w:rsidRPr="002A4D6D">
              <w:rPr>
                <w:color w:val="000000"/>
                <w:spacing w:val="-2"/>
                <w:sz w:val="26"/>
                <w:szCs w:val="26"/>
              </w:rPr>
              <w:t xml:space="preserve">Lai izvairītos no konkurences izkropļojumiem starp uzņēmējiem, kas saimniecisku darbību veic ES teritorijā, un trešo </w:t>
            </w:r>
            <w:r w:rsidR="00AE1822" w:rsidRPr="002A4D6D">
              <w:rPr>
                <w:color w:val="000000"/>
                <w:spacing w:val="-2"/>
                <w:sz w:val="26"/>
                <w:szCs w:val="26"/>
              </w:rPr>
              <w:t xml:space="preserve">valstu vai trešo </w:t>
            </w:r>
            <w:r w:rsidR="00250F73" w:rsidRPr="002A4D6D">
              <w:rPr>
                <w:color w:val="000000"/>
                <w:spacing w:val="-2"/>
                <w:sz w:val="26"/>
                <w:szCs w:val="26"/>
              </w:rPr>
              <w:t>teritoriju uzņēmējiem, kas veic preču tālpārdošanas darījumus, ar 2021.gada 1.janvāri tiek atcelts PVN atbrīvojums</w:t>
            </w:r>
            <w:r w:rsidR="00250F73" w:rsidRPr="002A4D6D">
              <w:rPr>
                <w:rStyle w:val="FootnoteReference"/>
                <w:color w:val="000000"/>
                <w:spacing w:val="-2"/>
                <w:sz w:val="26"/>
                <w:szCs w:val="26"/>
              </w:rPr>
              <w:footnoteReference w:id="7"/>
            </w:r>
            <w:r w:rsidR="00250F73" w:rsidRPr="002A4D6D">
              <w:rPr>
                <w:color w:val="000000"/>
                <w:spacing w:val="-2"/>
                <w:sz w:val="26"/>
                <w:szCs w:val="26"/>
              </w:rPr>
              <w:t xml:space="preserve"> mazas vērtības preču sūtījumiem. Līdz ar to ir nepieciešams veikt grozījumus Pievienotās vērtības nodokļa likumā, svītrojot PVN atbrīvojumu mazas vērtības sūtījumiem.</w:t>
            </w:r>
          </w:p>
          <w:p w14:paraId="3DC829B8" w14:textId="7CC5BAC2" w:rsidR="005D7770" w:rsidRPr="002A4D6D" w:rsidRDefault="005D7770" w:rsidP="002A4D6D">
            <w:pPr>
              <w:ind w:left="118" w:right="113"/>
              <w:jc w:val="both"/>
              <w:rPr>
                <w:spacing w:val="-2"/>
                <w:sz w:val="26"/>
                <w:szCs w:val="26"/>
                <w:lang w:eastAsia="lv-LV"/>
              </w:rPr>
            </w:pPr>
            <w:r w:rsidRPr="002A4D6D">
              <w:rPr>
                <w:spacing w:val="-2"/>
                <w:sz w:val="26"/>
                <w:szCs w:val="26"/>
                <w:lang w:eastAsia="lv-LV"/>
              </w:rPr>
              <w:t>3.</w:t>
            </w:r>
            <w:r w:rsidR="004B0C53" w:rsidRPr="002A4D6D">
              <w:rPr>
                <w:spacing w:val="-2"/>
                <w:sz w:val="26"/>
                <w:szCs w:val="26"/>
                <w:lang w:eastAsia="lv-LV"/>
              </w:rPr>
              <w:t>3</w:t>
            </w:r>
            <w:r w:rsidRPr="002A4D6D">
              <w:rPr>
                <w:spacing w:val="-2"/>
                <w:sz w:val="26"/>
                <w:szCs w:val="26"/>
                <w:lang w:eastAsia="lv-LV"/>
              </w:rPr>
              <w:t>. </w:t>
            </w:r>
            <w:r w:rsidR="00250F73" w:rsidRPr="002A4D6D">
              <w:rPr>
                <w:spacing w:val="-2"/>
                <w:sz w:val="26"/>
                <w:szCs w:val="26"/>
                <w:lang w:eastAsia="lv-LV"/>
              </w:rPr>
              <w:t xml:space="preserve">Ar 2021.gada 1.janvāri importa režīmu </w:t>
            </w:r>
            <w:r w:rsidR="00FC7BF1" w:rsidRPr="002A4D6D">
              <w:rPr>
                <w:spacing w:val="-2"/>
                <w:sz w:val="26"/>
                <w:szCs w:val="26"/>
                <w:lang w:eastAsia="lv-LV"/>
              </w:rPr>
              <w:t xml:space="preserve">IOSS </w:t>
            </w:r>
            <w:r w:rsidR="00250F73" w:rsidRPr="002A4D6D">
              <w:rPr>
                <w:spacing w:val="-2"/>
                <w:sz w:val="26"/>
                <w:szCs w:val="26"/>
                <w:lang w:eastAsia="lv-LV"/>
              </w:rPr>
              <w:t>varēs izmantot šādi PVN maksātāji</w:t>
            </w:r>
            <w:r w:rsidR="004B0C53" w:rsidRPr="002A4D6D">
              <w:rPr>
                <w:spacing w:val="-2"/>
                <w:sz w:val="26"/>
                <w:szCs w:val="26"/>
                <w:lang w:eastAsia="lv-LV"/>
              </w:rPr>
              <w:t>:</w:t>
            </w:r>
          </w:p>
          <w:p w14:paraId="30060F5D" w14:textId="3277EE3D" w:rsidR="005D7770" w:rsidRPr="002A4D6D" w:rsidRDefault="005D7770" w:rsidP="002A4D6D">
            <w:pPr>
              <w:ind w:left="118" w:right="113"/>
              <w:jc w:val="both"/>
              <w:rPr>
                <w:spacing w:val="-2"/>
                <w:sz w:val="26"/>
                <w:szCs w:val="26"/>
                <w:lang w:eastAsia="lv-LV"/>
              </w:rPr>
            </w:pPr>
            <w:r w:rsidRPr="002A4D6D">
              <w:rPr>
                <w:spacing w:val="-2"/>
                <w:sz w:val="26"/>
                <w:szCs w:val="26"/>
                <w:lang w:eastAsia="lv-LV"/>
              </w:rPr>
              <w:t>- PVN maksātāj</w:t>
            </w:r>
            <w:r w:rsidR="00097963" w:rsidRPr="002A4D6D">
              <w:rPr>
                <w:spacing w:val="-2"/>
                <w:sz w:val="26"/>
                <w:szCs w:val="26"/>
                <w:lang w:eastAsia="lv-LV"/>
              </w:rPr>
              <w:t>s</w:t>
            </w:r>
            <w:r w:rsidRPr="002A4D6D">
              <w:rPr>
                <w:spacing w:val="-2"/>
                <w:sz w:val="26"/>
                <w:szCs w:val="26"/>
                <w:lang w:eastAsia="lv-LV"/>
              </w:rPr>
              <w:t>, kas veic saimniecisko darbību ES un kur</w:t>
            </w:r>
            <w:r w:rsidR="00097963" w:rsidRPr="002A4D6D">
              <w:rPr>
                <w:spacing w:val="-2"/>
                <w:sz w:val="26"/>
                <w:szCs w:val="26"/>
                <w:lang w:eastAsia="lv-LV"/>
              </w:rPr>
              <w:t>š</w:t>
            </w:r>
            <w:r w:rsidRPr="002A4D6D">
              <w:rPr>
                <w:spacing w:val="-2"/>
                <w:sz w:val="26"/>
                <w:szCs w:val="26"/>
                <w:lang w:eastAsia="lv-LV"/>
              </w:rPr>
              <w:t xml:space="preserve"> veic no treš</w:t>
            </w:r>
            <w:r w:rsidR="00A3597C" w:rsidRPr="002A4D6D">
              <w:rPr>
                <w:spacing w:val="-2"/>
                <w:sz w:val="26"/>
                <w:szCs w:val="26"/>
                <w:lang w:eastAsia="lv-LV"/>
              </w:rPr>
              <w:t>aj</w:t>
            </w:r>
            <w:r w:rsidRPr="002A4D6D">
              <w:rPr>
                <w:spacing w:val="-2"/>
                <w:sz w:val="26"/>
                <w:szCs w:val="26"/>
                <w:lang w:eastAsia="lv-LV"/>
              </w:rPr>
              <w:t xml:space="preserve">ām </w:t>
            </w:r>
            <w:r w:rsidR="00AE1822" w:rsidRPr="002A4D6D">
              <w:rPr>
                <w:spacing w:val="-2"/>
                <w:sz w:val="26"/>
                <w:szCs w:val="26"/>
                <w:lang w:eastAsia="lv-LV"/>
              </w:rPr>
              <w:t xml:space="preserve">valstīm vai trešajām </w:t>
            </w:r>
            <w:r w:rsidRPr="002A4D6D">
              <w:rPr>
                <w:spacing w:val="-2"/>
                <w:sz w:val="26"/>
                <w:szCs w:val="26"/>
                <w:lang w:eastAsia="lv-LV"/>
              </w:rPr>
              <w:t>teritorijām importētu preču tālpārdošanu</w:t>
            </w:r>
            <w:r w:rsidR="00ED36BD" w:rsidRPr="002A4D6D">
              <w:rPr>
                <w:spacing w:val="-2"/>
                <w:sz w:val="26"/>
                <w:szCs w:val="26"/>
                <w:lang w:eastAsia="lv-LV"/>
              </w:rPr>
              <w:t>. Minētais PVN maksātājs pēc saviem ieskatiem var iecelt starpnieku</w:t>
            </w:r>
            <w:r w:rsidR="00A3597C" w:rsidRPr="002A4D6D">
              <w:rPr>
                <w:spacing w:val="-2"/>
                <w:sz w:val="26"/>
                <w:szCs w:val="26"/>
                <w:lang w:eastAsia="lv-LV"/>
              </w:rPr>
              <w:t xml:space="preserve">, kas būs atbildīgs par PVN </w:t>
            </w:r>
            <w:r w:rsidR="00A3597C" w:rsidRPr="002A4D6D">
              <w:rPr>
                <w:spacing w:val="-2"/>
                <w:sz w:val="26"/>
                <w:szCs w:val="26"/>
                <w:lang w:eastAsia="lv-LV"/>
              </w:rPr>
              <w:lastRenderedPageBreak/>
              <w:t>samaksu valsts budžetā un saistību izpildi importa režīma nolūkā</w:t>
            </w:r>
            <w:r w:rsidR="00ED36BD" w:rsidRPr="002A4D6D">
              <w:rPr>
                <w:spacing w:val="-2"/>
                <w:sz w:val="26"/>
                <w:szCs w:val="26"/>
                <w:lang w:eastAsia="lv-LV"/>
              </w:rPr>
              <w:t xml:space="preserve"> tā vārdā un interesēs</w:t>
            </w:r>
            <w:r w:rsidRPr="002A4D6D">
              <w:rPr>
                <w:spacing w:val="-2"/>
                <w:sz w:val="26"/>
                <w:szCs w:val="26"/>
                <w:lang w:eastAsia="lv-LV"/>
              </w:rPr>
              <w:t>;</w:t>
            </w:r>
          </w:p>
          <w:p w14:paraId="36EF5E00" w14:textId="0634DC95" w:rsidR="005D7770" w:rsidRPr="002A4D6D" w:rsidRDefault="005D7770" w:rsidP="002A4D6D">
            <w:pPr>
              <w:ind w:left="118" w:right="113"/>
              <w:jc w:val="both"/>
              <w:rPr>
                <w:spacing w:val="-2"/>
                <w:sz w:val="26"/>
                <w:szCs w:val="26"/>
                <w:lang w:eastAsia="lv-LV"/>
              </w:rPr>
            </w:pPr>
            <w:r w:rsidRPr="002A4D6D">
              <w:rPr>
                <w:spacing w:val="-2"/>
                <w:sz w:val="26"/>
                <w:szCs w:val="26"/>
                <w:lang w:eastAsia="lv-LV"/>
              </w:rPr>
              <w:t>- PVN maksātāj</w:t>
            </w:r>
            <w:r w:rsidR="00097963" w:rsidRPr="002A4D6D">
              <w:rPr>
                <w:spacing w:val="-2"/>
                <w:sz w:val="26"/>
                <w:szCs w:val="26"/>
                <w:lang w:eastAsia="lv-LV"/>
              </w:rPr>
              <w:t>s</w:t>
            </w:r>
            <w:r w:rsidRPr="002A4D6D">
              <w:rPr>
                <w:spacing w:val="-2"/>
                <w:sz w:val="26"/>
                <w:szCs w:val="26"/>
                <w:lang w:eastAsia="lv-LV"/>
              </w:rPr>
              <w:t xml:space="preserve">, kas neveic saimniecisko darbību ES </w:t>
            </w:r>
            <w:r w:rsidR="00097963" w:rsidRPr="002A4D6D">
              <w:rPr>
                <w:spacing w:val="-2"/>
                <w:sz w:val="26"/>
                <w:szCs w:val="26"/>
                <w:lang w:eastAsia="lv-LV"/>
              </w:rPr>
              <w:t>un kurš</w:t>
            </w:r>
            <w:r w:rsidRPr="002A4D6D">
              <w:rPr>
                <w:spacing w:val="-2"/>
                <w:sz w:val="26"/>
                <w:szCs w:val="26"/>
                <w:lang w:eastAsia="lv-LV"/>
              </w:rPr>
              <w:t xml:space="preserve"> veic no treš</w:t>
            </w:r>
            <w:r w:rsidR="00631E78" w:rsidRPr="002A4D6D">
              <w:rPr>
                <w:spacing w:val="-2"/>
                <w:sz w:val="26"/>
                <w:szCs w:val="26"/>
                <w:lang w:eastAsia="lv-LV"/>
              </w:rPr>
              <w:t>aj</w:t>
            </w:r>
            <w:r w:rsidRPr="002A4D6D">
              <w:rPr>
                <w:spacing w:val="-2"/>
                <w:sz w:val="26"/>
                <w:szCs w:val="26"/>
                <w:lang w:eastAsia="lv-LV"/>
              </w:rPr>
              <w:t xml:space="preserve">ām </w:t>
            </w:r>
            <w:r w:rsidR="00AE1822" w:rsidRPr="002A4D6D">
              <w:rPr>
                <w:spacing w:val="-2"/>
                <w:sz w:val="26"/>
                <w:szCs w:val="26"/>
                <w:lang w:eastAsia="lv-LV"/>
              </w:rPr>
              <w:t xml:space="preserve">valstīm vai trešajām </w:t>
            </w:r>
            <w:r w:rsidRPr="002A4D6D">
              <w:rPr>
                <w:spacing w:val="-2"/>
                <w:sz w:val="26"/>
                <w:szCs w:val="26"/>
                <w:lang w:eastAsia="lv-LV"/>
              </w:rPr>
              <w:t>teritorijām importētu preču tālpārdošanu. Minēt</w:t>
            </w:r>
            <w:r w:rsidR="00097963" w:rsidRPr="002A4D6D">
              <w:rPr>
                <w:spacing w:val="-2"/>
                <w:sz w:val="26"/>
                <w:szCs w:val="26"/>
                <w:lang w:eastAsia="lv-LV"/>
              </w:rPr>
              <w:t>āj</w:t>
            </w:r>
            <w:r w:rsidR="00ED36BD" w:rsidRPr="002A4D6D">
              <w:rPr>
                <w:spacing w:val="-2"/>
                <w:sz w:val="26"/>
                <w:szCs w:val="26"/>
                <w:lang w:eastAsia="lv-LV"/>
              </w:rPr>
              <w:t>am</w:t>
            </w:r>
            <w:r w:rsidR="007A219B" w:rsidRPr="002A4D6D">
              <w:rPr>
                <w:spacing w:val="-2"/>
                <w:sz w:val="26"/>
                <w:szCs w:val="26"/>
                <w:lang w:eastAsia="lv-LV"/>
              </w:rPr>
              <w:t xml:space="preserve"> PVN maksātāja</w:t>
            </w:r>
            <w:r w:rsidR="00ED36BD" w:rsidRPr="002A4D6D">
              <w:rPr>
                <w:spacing w:val="-2"/>
                <w:sz w:val="26"/>
                <w:szCs w:val="26"/>
                <w:lang w:eastAsia="lv-LV"/>
              </w:rPr>
              <w:t>m</w:t>
            </w:r>
            <w:r w:rsidR="007A219B" w:rsidRPr="002A4D6D">
              <w:rPr>
                <w:spacing w:val="-2"/>
                <w:sz w:val="26"/>
                <w:szCs w:val="26"/>
                <w:lang w:eastAsia="lv-LV"/>
              </w:rPr>
              <w:t xml:space="preserve"> </w:t>
            </w:r>
            <w:r w:rsidR="00ED36BD" w:rsidRPr="002A4D6D">
              <w:rPr>
                <w:spacing w:val="-2"/>
                <w:sz w:val="26"/>
                <w:szCs w:val="26"/>
                <w:lang w:eastAsia="lv-LV"/>
              </w:rPr>
              <w:t>importa režīma izmantošanai ir nepieciešams iecelt starpnieku. Vienlaicīgi var iecelt tikai vienu starpnieku.</w:t>
            </w:r>
            <w:r w:rsidRPr="002A4D6D">
              <w:rPr>
                <w:spacing w:val="-2"/>
                <w:sz w:val="26"/>
                <w:szCs w:val="26"/>
                <w:lang w:eastAsia="lv-LV"/>
              </w:rPr>
              <w:t xml:space="preserve"> </w:t>
            </w:r>
            <w:r w:rsidR="00ED36BD" w:rsidRPr="002A4D6D">
              <w:rPr>
                <w:spacing w:val="-2"/>
                <w:sz w:val="26"/>
                <w:szCs w:val="26"/>
                <w:lang w:eastAsia="lv-LV"/>
              </w:rPr>
              <w:t>Starpnieku nav nepieciešams iecelt,</w:t>
            </w:r>
            <w:r w:rsidRPr="002A4D6D">
              <w:rPr>
                <w:spacing w:val="-2"/>
                <w:sz w:val="26"/>
                <w:szCs w:val="26"/>
                <w:lang w:eastAsia="lv-LV"/>
              </w:rPr>
              <w:t xml:space="preserve"> ja </w:t>
            </w:r>
            <w:r w:rsidR="00ED36BD" w:rsidRPr="002A4D6D">
              <w:rPr>
                <w:spacing w:val="-2"/>
                <w:sz w:val="26"/>
                <w:szCs w:val="26"/>
                <w:lang w:eastAsia="lv-LV"/>
              </w:rPr>
              <w:t>PVN maksātājs</w:t>
            </w:r>
            <w:r w:rsidRPr="002A4D6D">
              <w:rPr>
                <w:spacing w:val="-2"/>
                <w:sz w:val="26"/>
                <w:szCs w:val="26"/>
                <w:lang w:eastAsia="lv-LV"/>
              </w:rPr>
              <w:t xml:space="preserve"> veic saimniecisko darbību tādā valstī, ar kuru </w:t>
            </w:r>
            <w:r w:rsidR="00ED36BD" w:rsidRPr="002A4D6D">
              <w:rPr>
                <w:spacing w:val="-2"/>
                <w:sz w:val="26"/>
                <w:szCs w:val="26"/>
                <w:lang w:eastAsia="lv-LV"/>
              </w:rPr>
              <w:t>ES</w:t>
            </w:r>
            <w:r w:rsidRPr="002A4D6D">
              <w:rPr>
                <w:spacing w:val="-2"/>
                <w:sz w:val="26"/>
                <w:szCs w:val="26"/>
                <w:lang w:eastAsia="lv-LV"/>
              </w:rPr>
              <w:t xml:space="preserve"> ir noslēgusi</w:t>
            </w:r>
            <w:r w:rsidR="00ED36BD" w:rsidRPr="002A4D6D">
              <w:rPr>
                <w:rStyle w:val="FootnoteReference"/>
                <w:spacing w:val="-2"/>
                <w:sz w:val="26"/>
                <w:szCs w:val="26"/>
                <w:lang w:eastAsia="lv-LV"/>
              </w:rPr>
              <w:footnoteReference w:id="8"/>
            </w:r>
            <w:r w:rsidRPr="002A4D6D">
              <w:rPr>
                <w:spacing w:val="-2"/>
                <w:sz w:val="26"/>
                <w:szCs w:val="26"/>
                <w:lang w:eastAsia="lv-LV"/>
              </w:rPr>
              <w:t xml:space="preserve"> sa</w:t>
            </w:r>
            <w:r w:rsidR="00A3597C" w:rsidRPr="002A4D6D">
              <w:rPr>
                <w:spacing w:val="-2"/>
                <w:sz w:val="26"/>
                <w:szCs w:val="26"/>
                <w:lang w:eastAsia="lv-LV"/>
              </w:rPr>
              <w:t>vstarpējās palīdzības nolīgumu.</w:t>
            </w:r>
          </w:p>
          <w:p w14:paraId="48790A2E" w14:textId="19B51EAC" w:rsidR="00A3597C" w:rsidRPr="002A4D6D" w:rsidRDefault="00A3597C" w:rsidP="002A4D6D">
            <w:pPr>
              <w:ind w:left="118" w:right="113"/>
              <w:jc w:val="both"/>
              <w:rPr>
                <w:spacing w:val="-2"/>
                <w:sz w:val="26"/>
                <w:szCs w:val="26"/>
                <w:lang w:eastAsia="lv-LV"/>
              </w:rPr>
            </w:pPr>
            <w:r w:rsidRPr="002A4D6D">
              <w:rPr>
                <w:spacing w:val="-2"/>
                <w:sz w:val="26"/>
                <w:szCs w:val="26"/>
                <w:lang w:eastAsia="lv-LV"/>
              </w:rPr>
              <w:t>Tādēļ ir nepieciešams papildināt Pievienotās vērtības nodokļa likumu ar personu loku, kuras var izmantot importa režīmu.</w:t>
            </w:r>
          </w:p>
          <w:p w14:paraId="75BE7A92" w14:textId="1A5935DE" w:rsidR="00A3597C" w:rsidRPr="002A4D6D" w:rsidRDefault="00097963" w:rsidP="002A4D6D">
            <w:pPr>
              <w:ind w:left="118" w:right="113"/>
              <w:jc w:val="both"/>
              <w:rPr>
                <w:spacing w:val="-2"/>
                <w:sz w:val="26"/>
                <w:szCs w:val="26"/>
                <w:lang w:eastAsia="lv-LV"/>
              </w:rPr>
            </w:pPr>
            <w:r w:rsidRPr="002A4D6D">
              <w:rPr>
                <w:spacing w:val="-2"/>
                <w:sz w:val="26"/>
                <w:szCs w:val="26"/>
                <w:lang w:eastAsia="lv-LV"/>
              </w:rPr>
              <w:t>3.4</w:t>
            </w:r>
            <w:r w:rsidR="000A4DFA" w:rsidRPr="002A4D6D">
              <w:rPr>
                <w:spacing w:val="-2"/>
                <w:sz w:val="26"/>
                <w:szCs w:val="26"/>
                <w:lang w:eastAsia="lv-LV"/>
              </w:rPr>
              <w:t>. </w:t>
            </w:r>
            <w:r w:rsidR="00A3597C" w:rsidRPr="002A4D6D">
              <w:rPr>
                <w:spacing w:val="-2"/>
                <w:sz w:val="26"/>
                <w:szCs w:val="26"/>
                <w:lang w:eastAsia="lv-LV"/>
              </w:rPr>
              <w:t>I</w:t>
            </w:r>
            <w:r w:rsidR="00176D67" w:rsidRPr="002A4D6D">
              <w:rPr>
                <w:spacing w:val="-2"/>
                <w:sz w:val="26"/>
                <w:szCs w:val="26"/>
                <w:lang w:eastAsia="lv-LV"/>
              </w:rPr>
              <w:t xml:space="preserve">mporta </w:t>
            </w:r>
            <w:r w:rsidR="000A4DFA" w:rsidRPr="002A4D6D">
              <w:rPr>
                <w:spacing w:val="-2"/>
                <w:sz w:val="26"/>
                <w:szCs w:val="26"/>
                <w:lang w:eastAsia="lv-LV"/>
              </w:rPr>
              <w:t xml:space="preserve">režīma </w:t>
            </w:r>
            <w:r w:rsidR="00FC7BF1" w:rsidRPr="002A4D6D">
              <w:rPr>
                <w:spacing w:val="-2"/>
                <w:sz w:val="26"/>
                <w:szCs w:val="26"/>
                <w:lang w:eastAsia="lv-LV"/>
              </w:rPr>
              <w:t xml:space="preserve">IOSS </w:t>
            </w:r>
            <w:r w:rsidR="00176D67" w:rsidRPr="002A4D6D">
              <w:rPr>
                <w:spacing w:val="-2"/>
                <w:sz w:val="26"/>
                <w:szCs w:val="26"/>
                <w:lang w:eastAsia="lv-LV"/>
              </w:rPr>
              <w:t>piemērošanai</w:t>
            </w:r>
            <w:r w:rsidR="000A4DFA" w:rsidRPr="002A4D6D">
              <w:rPr>
                <w:spacing w:val="-2"/>
                <w:sz w:val="26"/>
                <w:szCs w:val="26"/>
                <w:lang w:eastAsia="lv-LV"/>
              </w:rPr>
              <w:t xml:space="preserve"> </w:t>
            </w:r>
            <w:r w:rsidR="00796FA5" w:rsidRPr="002A4D6D">
              <w:rPr>
                <w:spacing w:val="-2"/>
                <w:sz w:val="26"/>
                <w:szCs w:val="26"/>
                <w:lang w:eastAsia="lv-LV"/>
              </w:rPr>
              <w:t xml:space="preserve">gan PVN maksātājam, gan starpniekam </w:t>
            </w:r>
            <w:r w:rsidR="007A219B" w:rsidRPr="002A4D6D">
              <w:rPr>
                <w:spacing w:val="-2"/>
                <w:sz w:val="26"/>
                <w:szCs w:val="26"/>
                <w:lang w:eastAsia="lv-LV"/>
              </w:rPr>
              <w:t xml:space="preserve">VID PVN maksātāju reģistrā </w:t>
            </w:r>
            <w:r w:rsidR="000A4DFA" w:rsidRPr="002A4D6D">
              <w:rPr>
                <w:spacing w:val="-2"/>
                <w:sz w:val="26"/>
                <w:szCs w:val="26"/>
                <w:lang w:eastAsia="lv-LV"/>
              </w:rPr>
              <w:t xml:space="preserve">tiek piešķirts </w:t>
            </w:r>
            <w:r w:rsidR="00ED0BC4" w:rsidRPr="002A4D6D">
              <w:rPr>
                <w:spacing w:val="-2"/>
                <w:sz w:val="26"/>
                <w:szCs w:val="26"/>
                <w:lang w:eastAsia="lv-LV"/>
              </w:rPr>
              <w:t xml:space="preserve">individuāls </w:t>
            </w:r>
            <w:r w:rsidR="000A4DFA" w:rsidRPr="002A4D6D">
              <w:rPr>
                <w:spacing w:val="-2"/>
                <w:sz w:val="26"/>
                <w:szCs w:val="26"/>
                <w:lang w:eastAsia="lv-LV"/>
              </w:rPr>
              <w:t xml:space="preserve">PVN </w:t>
            </w:r>
            <w:r w:rsidR="003F2698" w:rsidRPr="002A4D6D">
              <w:rPr>
                <w:spacing w:val="-2"/>
                <w:sz w:val="26"/>
                <w:szCs w:val="26"/>
                <w:lang w:eastAsia="lv-LV"/>
              </w:rPr>
              <w:t xml:space="preserve">identifikācijas </w:t>
            </w:r>
            <w:r w:rsidR="000A4DFA" w:rsidRPr="002A4D6D">
              <w:rPr>
                <w:spacing w:val="-2"/>
                <w:sz w:val="26"/>
                <w:szCs w:val="26"/>
                <w:lang w:eastAsia="lv-LV"/>
              </w:rPr>
              <w:t xml:space="preserve">numurs. </w:t>
            </w:r>
            <w:r w:rsidR="00796FA5" w:rsidRPr="002A4D6D">
              <w:rPr>
                <w:spacing w:val="-2"/>
                <w:sz w:val="26"/>
                <w:szCs w:val="26"/>
                <w:lang w:eastAsia="lv-LV"/>
              </w:rPr>
              <w:t>Atsevišķs</w:t>
            </w:r>
            <w:r w:rsidR="00ED0BC4" w:rsidRPr="002A4D6D">
              <w:rPr>
                <w:spacing w:val="-2"/>
                <w:sz w:val="26"/>
                <w:szCs w:val="26"/>
                <w:lang w:eastAsia="lv-LV"/>
              </w:rPr>
              <w:t xml:space="preserve"> individuāls</w:t>
            </w:r>
            <w:r w:rsidR="00796FA5" w:rsidRPr="002A4D6D">
              <w:rPr>
                <w:spacing w:val="-2"/>
                <w:sz w:val="26"/>
                <w:szCs w:val="26"/>
                <w:lang w:eastAsia="lv-LV"/>
              </w:rPr>
              <w:t xml:space="preserve"> PVN </w:t>
            </w:r>
            <w:r w:rsidR="003F2698" w:rsidRPr="002A4D6D">
              <w:rPr>
                <w:spacing w:val="-2"/>
                <w:sz w:val="26"/>
                <w:szCs w:val="26"/>
                <w:lang w:eastAsia="lv-LV"/>
              </w:rPr>
              <w:t xml:space="preserve">identifikācijas </w:t>
            </w:r>
            <w:r w:rsidR="00796FA5" w:rsidRPr="002A4D6D">
              <w:rPr>
                <w:spacing w:val="-2"/>
                <w:sz w:val="26"/>
                <w:szCs w:val="26"/>
                <w:lang w:eastAsia="lv-LV"/>
              </w:rPr>
              <w:t xml:space="preserve">numurs tiek piešķirts attiecībā uz katru PVN maksātāju, kuru </w:t>
            </w:r>
            <w:r w:rsidR="007A219B" w:rsidRPr="002A4D6D">
              <w:rPr>
                <w:spacing w:val="-2"/>
                <w:sz w:val="26"/>
                <w:szCs w:val="26"/>
                <w:lang w:eastAsia="lv-LV"/>
              </w:rPr>
              <w:t xml:space="preserve">pārstāv </w:t>
            </w:r>
            <w:r w:rsidR="00796FA5" w:rsidRPr="002A4D6D">
              <w:rPr>
                <w:spacing w:val="-2"/>
                <w:sz w:val="26"/>
                <w:szCs w:val="26"/>
                <w:lang w:eastAsia="lv-LV"/>
              </w:rPr>
              <w:t xml:space="preserve">starpnieks. Minētais </w:t>
            </w:r>
            <w:r w:rsidR="000A4DFA" w:rsidRPr="002A4D6D">
              <w:rPr>
                <w:spacing w:val="-2"/>
                <w:sz w:val="26"/>
                <w:szCs w:val="26"/>
                <w:lang w:eastAsia="lv-LV"/>
              </w:rPr>
              <w:t xml:space="preserve">PVN </w:t>
            </w:r>
            <w:r w:rsidR="003F2698" w:rsidRPr="002A4D6D">
              <w:rPr>
                <w:spacing w:val="-2"/>
                <w:sz w:val="26"/>
                <w:szCs w:val="26"/>
                <w:lang w:eastAsia="lv-LV"/>
              </w:rPr>
              <w:t xml:space="preserve">identifikācijas </w:t>
            </w:r>
            <w:r w:rsidR="000A4DFA" w:rsidRPr="002A4D6D">
              <w:rPr>
                <w:spacing w:val="-2"/>
                <w:sz w:val="26"/>
                <w:szCs w:val="26"/>
                <w:lang w:eastAsia="lv-LV"/>
              </w:rPr>
              <w:t xml:space="preserve">numurs dod tiesības rīkoties konkrētā PVN maksātāja vārdā un interesēs tikai </w:t>
            </w:r>
            <w:r w:rsidR="00176D67" w:rsidRPr="002A4D6D">
              <w:rPr>
                <w:spacing w:val="-2"/>
                <w:sz w:val="26"/>
                <w:szCs w:val="26"/>
                <w:lang w:eastAsia="lv-LV"/>
              </w:rPr>
              <w:t>importa</w:t>
            </w:r>
            <w:r w:rsidR="000A4DFA" w:rsidRPr="002A4D6D">
              <w:rPr>
                <w:spacing w:val="-2"/>
                <w:sz w:val="26"/>
                <w:szCs w:val="26"/>
                <w:lang w:eastAsia="lv-LV"/>
              </w:rPr>
              <w:t xml:space="preserve"> režīma ietvaros un </w:t>
            </w:r>
            <w:r w:rsidR="00796FA5" w:rsidRPr="002A4D6D">
              <w:rPr>
                <w:spacing w:val="-2"/>
                <w:sz w:val="26"/>
                <w:szCs w:val="26"/>
                <w:lang w:eastAsia="lv-LV"/>
              </w:rPr>
              <w:t xml:space="preserve">starpnieks </w:t>
            </w:r>
            <w:r w:rsidR="000A4DFA" w:rsidRPr="002A4D6D">
              <w:rPr>
                <w:spacing w:val="-2"/>
                <w:sz w:val="26"/>
                <w:szCs w:val="26"/>
                <w:lang w:eastAsia="lv-LV"/>
              </w:rPr>
              <w:t>šo numuru nevar izmantot, lai deklarētu PVN par darījumiem, par kuriem PVN uzliekams vispārējā kārtīb</w:t>
            </w:r>
            <w:r w:rsidR="00DA55F1" w:rsidRPr="002A4D6D">
              <w:rPr>
                <w:spacing w:val="-2"/>
                <w:sz w:val="26"/>
                <w:szCs w:val="26"/>
                <w:lang w:eastAsia="lv-LV"/>
              </w:rPr>
              <w:t>ā.</w:t>
            </w:r>
            <w:r w:rsidR="00A3597C" w:rsidRPr="002A4D6D">
              <w:rPr>
                <w:spacing w:val="-2"/>
                <w:sz w:val="26"/>
                <w:szCs w:val="26"/>
                <w:lang w:eastAsia="lv-LV"/>
              </w:rPr>
              <w:t xml:space="preserve"> Tādēļ ir nepieciešams papildināt Pievienotās vērtības nodokļa likumu ar kārtību, kādā reģistrē PVN maksātāju importa režīma reģistrā.</w:t>
            </w:r>
          </w:p>
          <w:p w14:paraId="1F3DDC9A" w14:textId="5C24C0E8" w:rsidR="004C1639" w:rsidRPr="002A4D6D" w:rsidRDefault="005D7770" w:rsidP="002A4D6D">
            <w:pPr>
              <w:ind w:left="118" w:right="113"/>
              <w:jc w:val="both"/>
              <w:rPr>
                <w:spacing w:val="-2"/>
                <w:sz w:val="26"/>
                <w:szCs w:val="26"/>
                <w:lang w:eastAsia="lv-LV"/>
              </w:rPr>
            </w:pPr>
            <w:r w:rsidRPr="002A4D6D">
              <w:rPr>
                <w:spacing w:val="-2"/>
                <w:sz w:val="26"/>
                <w:szCs w:val="26"/>
                <w:lang w:eastAsia="lv-LV"/>
              </w:rPr>
              <w:t>3.</w:t>
            </w:r>
            <w:r w:rsidR="00176D67" w:rsidRPr="002A4D6D">
              <w:rPr>
                <w:spacing w:val="-2"/>
                <w:sz w:val="26"/>
                <w:szCs w:val="26"/>
                <w:lang w:eastAsia="lv-LV"/>
              </w:rPr>
              <w:t>5</w:t>
            </w:r>
            <w:r w:rsidRPr="002A4D6D">
              <w:rPr>
                <w:spacing w:val="-2"/>
                <w:sz w:val="26"/>
                <w:szCs w:val="26"/>
                <w:lang w:eastAsia="lv-LV"/>
              </w:rPr>
              <w:t>. </w:t>
            </w:r>
            <w:r w:rsidR="004C1639" w:rsidRPr="002A4D6D">
              <w:rPr>
                <w:spacing w:val="-2"/>
                <w:sz w:val="26"/>
                <w:szCs w:val="26"/>
                <w:lang w:eastAsia="lv-LV"/>
              </w:rPr>
              <w:t>Lai noteiktu, kurā taksācijas perioda PVN deklarācijā jādeklarē preču piegādes, kas veiktas saskaņā ar importa režīmu</w:t>
            </w:r>
            <w:r w:rsidR="00FC7BF1" w:rsidRPr="002A4D6D">
              <w:rPr>
                <w:spacing w:val="-2"/>
                <w:sz w:val="26"/>
                <w:szCs w:val="26"/>
                <w:lang w:eastAsia="lv-LV"/>
              </w:rPr>
              <w:t xml:space="preserve"> IOSS</w:t>
            </w:r>
            <w:r w:rsidR="004C1639" w:rsidRPr="002A4D6D">
              <w:rPr>
                <w:spacing w:val="-2"/>
                <w:sz w:val="26"/>
                <w:szCs w:val="26"/>
                <w:lang w:eastAsia="lv-LV"/>
              </w:rPr>
              <w:t xml:space="preserve">, ir nepieciešams noteikt </w:t>
            </w:r>
            <w:r w:rsidR="001F6D11" w:rsidRPr="002A4D6D">
              <w:rPr>
                <w:spacing w:val="-2"/>
                <w:sz w:val="26"/>
                <w:szCs w:val="26"/>
                <w:lang w:eastAsia="lv-LV"/>
              </w:rPr>
              <w:t>PVN deklarēšanas</w:t>
            </w:r>
            <w:r w:rsidR="004C1639" w:rsidRPr="002A4D6D">
              <w:rPr>
                <w:spacing w:val="-2"/>
                <w:sz w:val="26"/>
                <w:szCs w:val="26"/>
                <w:lang w:eastAsia="lv-LV"/>
              </w:rPr>
              <w:t xml:space="preserve"> brīdi. Plānots noteikt, ka </w:t>
            </w:r>
            <w:r w:rsidR="008C212F" w:rsidRPr="002A4D6D">
              <w:rPr>
                <w:spacing w:val="-2"/>
                <w:sz w:val="26"/>
                <w:szCs w:val="26"/>
                <w:lang w:eastAsia="lv-LV"/>
              </w:rPr>
              <w:t xml:space="preserve">ar </w:t>
            </w:r>
            <w:r w:rsidR="00176D67" w:rsidRPr="002A4D6D">
              <w:rPr>
                <w:spacing w:val="-2"/>
                <w:sz w:val="26"/>
                <w:szCs w:val="26"/>
                <w:lang w:eastAsia="lv-LV"/>
              </w:rPr>
              <w:t>PVN</w:t>
            </w:r>
            <w:r w:rsidR="00FC7BF1" w:rsidRPr="002A4D6D">
              <w:rPr>
                <w:spacing w:val="-2"/>
                <w:sz w:val="26"/>
                <w:szCs w:val="26"/>
                <w:lang w:eastAsia="lv-LV"/>
              </w:rPr>
              <w:t xml:space="preserve"> </w:t>
            </w:r>
            <w:r w:rsidR="008C212F" w:rsidRPr="002A4D6D">
              <w:rPr>
                <w:spacing w:val="-2"/>
                <w:sz w:val="26"/>
                <w:szCs w:val="26"/>
              </w:rPr>
              <w:t>apliekams darījums ir radies un PVN piemēro preču piegādes brīdī.</w:t>
            </w:r>
            <w:r w:rsidR="002A6AF0" w:rsidRPr="002A4D6D">
              <w:rPr>
                <w:spacing w:val="-2"/>
                <w:sz w:val="26"/>
                <w:szCs w:val="26"/>
                <w:lang w:eastAsia="lv-LV"/>
              </w:rPr>
              <w:t>.</w:t>
            </w:r>
            <w:r w:rsidR="008C212F" w:rsidRPr="002A4D6D">
              <w:rPr>
                <w:spacing w:val="-2"/>
                <w:sz w:val="26"/>
                <w:szCs w:val="26"/>
              </w:rPr>
              <w:t xml:space="preserve"> Preces uzskata par piegādātām brīdī, kad ir saņemts maksājums.</w:t>
            </w:r>
            <w:r w:rsidR="00FA415A" w:rsidRPr="002A4D6D">
              <w:rPr>
                <w:spacing w:val="-2"/>
                <w:sz w:val="26"/>
                <w:szCs w:val="26"/>
                <w:lang w:eastAsia="lv-LV"/>
              </w:rPr>
              <w:t xml:space="preserve"> </w:t>
            </w:r>
            <w:r w:rsidR="00176D67" w:rsidRPr="002A4D6D">
              <w:rPr>
                <w:spacing w:val="-2"/>
                <w:sz w:val="26"/>
                <w:szCs w:val="26"/>
                <w:lang w:eastAsia="lv-LV"/>
              </w:rPr>
              <w:t xml:space="preserve">Lai nodrošinātu </w:t>
            </w:r>
            <w:r w:rsidR="004C1639" w:rsidRPr="002A4D6D">
              <w:rPr>
                <w:spacing w:val="-2"/>
                <w:sz w:val="26"/>
                <w:szCs w:val="26"/>
                <w:lang w:eastAsia="lv-LV"/>
              </w:rPr>
              <w:t xml:space="preserve">visās dalībvalstīs vienotu </w:t>
            </w:r>
            <w:r w:rsidR="00176D67" w:rsidRPr="002A4D6D">
              <w:rPr>
                <w:spacing w:val="-2"/>
                <w:sz w:val="26"/>
                <w:szCs w:val="26"/>
                <w:lang w:eastAsia="lv-LV"/>
              </w:rPr>
              <w:t>PVN noteikumu piemērošanu, brīdis, kad var uzskatīt, ka ir saņemts preču saņēmēja veiktais maks</w:t>
            </w:r>
            <w:r w:rsidR="002A6AF0" w:rsidRPr="002A4D6D">
              <w:rPr>
                <w:spacing w:val="-2"/>
                <w:sz w:val="26"/>
                <w:szCs w:val="26"/>
                <w:lang w:eastAsia="lv-LV"/>
              </w:rPr>
              <w:t>ājums,</w:t>
            </w:r>
            <w:r w:rsidR="00176D67" w:rsidRPr="002A4D6D">
              <w:rPr>
                <w:spacing w:val="-2"/>
                <w:sz w:val="26"/>
                <w:szCs w:val="26"/>
                <w:lang w:eastAsia="lv-LV"/>
              </w:rPr>
              <w:t xml:space="preserve"> ir skaidrot</w:t>
            </w:r>
            <w:r w:rsidR="002A6AF0" w:rsidRPr="002A4D6D">
              <w:rPr>
                <w:spacing w:val="-2"/>
                <w:sz w:val="26"/>
                <w:szCs w:val="26"/>
                <w:lang w:eastAsia="lv-LV"/>
              </w:rPr>
              <w:t>s</w:t>
            </w:r>
            <w:r w:rsidR="00176D67" w:rsidRPr="002A4D6D">
              <w:rPr>
                <w:spacing w:val="-2"/>
                <w:sz w:val="26"/>
                <w:szCs w:val="26"/>
                <w:lang w:eastAsia="lv-LV"/>
              </w:rPr>
              <w:t xml:space="preserve"> Regulas 282</w:t>
            </w:r>
            <w:r w:rsidR="00907275" w:rsidRPr="002A4D6D">
              <w:rPr>
                <w:spacing w:val="-2"/>
                <w:sz w:val="26"/>
                <w:szCs w:val="26"/>
                <w:lang w:eastAsia="lv-LV"/>
              </w:rPr>
              <w:t>/2011</w:t>
            </w:r>
            <w:r w:rsidR="00176D67" w:rsidRPr="002A4D6D">
              <w:rPr>
                <w:spacing w:val="-2"/>
                <w:sz w:val="26"/>
                <w:szCs w:val="26"/>
                <w:lang w:eastAsia="lv-LV"/>
              </w:rPr>
              <w:t xml:space="preserve"> </w:t>
            </w:r>
            <w:r w:rsidR="002A6AF0" w:rsidRPr="002A4D6D">
              <w:rPr>
                <w:spacing w:val="-2"/>
                <w:sz w:val="26"/>
                <w:szCs w:val="26"/>
                <w:lang w:eastAsia="lv-LV"/>
              </w:rPr>
              <w:t>61</w:t>
            </w:r>
            <w:r w:rsidR="00176D67" w:rsidRPr="002A4D6D">
              <w:rPr>
                <w:spacing w:val="-2"/>
                <w:sz w:val="26"/>
                <w:szCs w:val="26"/>
                <w:lang w:eastAsia="lv-LV"/>
              </w:rPr>
              <w:t>.b</w:t>
            </w:r>
            <w:r w:rsidR="002A6AF0" w:rsidRPr="002A4D6D">
              <w:rPr>
                <w:spacing w:val="-2"/>
                <w:sz w:val="26"/>
                <w:szCs w:val="26"/>
                <w:lang w:eastAsia="lv-LV"/>
              </w:rPr>
              <w:t> </w:t>
            </w:r>
            <w:r w:rsidR="00176D67" w:rsidRPr="002A4D6D">
              <w:rPr>
                <w:spacing w:val="-2"/>
                <w:sz w:val="26"/>
                <w:szCs w:val="26"/>
                <w:lang w:eastAsia="lv-LV"/>
              </w:rPr>
              <w:t>p</w:t>
            </w:r>
            <w:r w:rsidR="000F175A" w:rsidRPr="002A4D6D">
              <w:rPr>
                <w:spacing w:val="-2"/>
                <w:sz w:val="26"/>
                <w:szCs w:val="26"/>
                <w:lang w:eastAsia="lv-LV"/>
              </w:rPr>
              <w:t>ant</w:t>
            </w:r>
            <w:r w:rsidR="00176D67" w:rsidRPr="002A4D6D">
              <w:rPr>
                <w:spacing w:val="-2"/>
                <w:sz w:val="26"/>
                <w:szCs w:val="26"/>
                <w:lang w:eastAsia="lv-LV"/>
              </w:rPr>
              <w:t>ā (Regulas 2019/2026 red</w:t>
            </w:r>
            <w:r w:rsidR="004C1639" w:rsidRPr="002A4D6D">
              <w:rPr>
                <w:spacing w:val="-2"/>
                <w:sz w:val="26"/>
                <w:szCs w:val="26"/>
                <w:lang w:eastAsia="lv-LV"/>
              </w:rPr>
              <w:t>akcijā). Tādēļ ir nepieciešams papildināt Pievienotās vērtības nodokļa likumu ar</w:t>
            </w:r>
            <w:r w:rsidR="001F6D11" w:rsidRPr="002A4D6D">
              <w:rPr>
                <w:spacing w:val="-2"/>
                <w:sz w:val="26"/>
                <w:szCs w:val="26"/>
                <w:lang w:eastAsia="lv-LV"/>
              </w:rPr>
              <w:t xml:space="preserve"> PVN deklarēšanas</w:t>
            </w:r>
            <w:r w:rsidR="001F037A" w:rsidRPr="002A4D6D">
              <w:rPr>
                <w:spacing w:val="-2"/>
                <w:sz w:val="26"/>
                <w:szCs w:val="26"/>
                <w:lang w:eastAsia="lv-LV"/>
              </w:rPr>
              <w:t xml:space="preserve"> </w:t>
            </w:r>
            <w:r w:rsidR="001F6D11" w:rsidRPr="002A4D6D">
              <w:rPr>
                <w:spacing w:val="-2"/>
                <w:sz w:val="26"/>
                <w:szCs w:val="26"/>
                <w:lang w:eastAsia="lv-LV"/>
              </w:rPr>
              <w:t>brīdi importa režīma piemērošanas nolūkā</w:t>
            </w:r>
            <w:r w:rsidR="004C1639" w:rsidRPr="002A4D6D">
              <w:rPr>
                <w:spacing w:val="-2"/>
                <w:sz w:val="26"/>
                <w:szCs w:val="26"/>
                <w:lang w:eastAsia="lv-LV"/>
              </w:rPr>
              <w:t>.</w:t>
            </w:r>
          </w:p>
          <w:p w14:paraId="39C523EB" w14:textId="503C39F2" w:rsidR="001F6D11" w:rsidRPr="002A4D6D" w:rsidRDefault="001F6D11" w:rsidP="002A4D6D">
            <w:pPr>
              <w:ind w:left="118" w:right="113"/>
              <w:jc w:val="both"/>
              <w:rPr>
                <w:spacing w:val="-2"/>
                <w:sz w:val="26"/>
                <w:szCs w:val="26"/>
                <w:lang w:eastAsia="lv-LV"/>
              </w:rPr>
            </w:pPr>
            <w:r w:rsidRPr="002A4D6D">
              <w:rPr>
                <w:spacing w:val="-2"/>
                <w:sz w:val="26"/>
                <w:szCs w:val="26"/>
                <w:lang w:eastAsia="lv-LV"/>
              </w:rPr>
              <w:t xml:space="preserve">3.6. Lai ļautu izmantot importa režīmu arī tad, ja dalībvalsts, kurā atrodas preču saņēmējs un importēšanas dalībvalsts sakrīt, plānots paredzēt, ka PVN ir uzliekams šajā dalībvalstī, ja tiek izmantots importa režīms. </w:t>
            </w:r>
            <w:r w:rsidRPr="002A4D6D">
              <w:rPr>
                <w:noProof/>
                <w:spacing w:val="-2"/>
                <w:sz w:val="26"/>
                <w:szCs w:val="26"/>
              </w:rPr>
              <w:t xml:space="preserve">Līdz ar to ir nepieciešams veikt grozījumus Pievienotās vērtības nodokļa likumā, to papildinot ar preču piegādes vietu tālpārdošanas darījumos, </w:t>
            </w:r>
            <w:r w:rsidRPr="002A4D6D">
              <w:rPr>
                <w:spacing w:val="-2"/>
                <w:sz w:val="26"/>
                <w:szCs w:val="26"/>
                <w:lang w:eastAsia="lv-LV"/>
              </w:rPr>
              <w:t xml:space="preserve">ja preces tiek importētas no trešajām </w:t>
            </w:r>
            <w:r w:rsidR="00AE1822" w:rsidRPr="002A4D6D">
              <w:rPr>
                <w:spacing w:val="-2"/>
                <w:sz w:val="26"/>
                <w:szCs w:val="26"/>
                <w:lang w:eastAsia="lv-LV"/>
              </w:rPr>
              <w:t xml:space="preserve">valstīm vai trešajām </w:t>
            </w:r>
            <w:r w:rsidRPr="002A4D6D">
              <w:rPr>
                <w:spacing w:val="-2"/>
                <w:sz w:val="26"/>
                <w:szCs w:val="26"/>
                <w:lang w:eastAsia="lv-LV"/>
              </w:rPr>
              <w:t>teritorijām</w:t>
            </w:r>
            <w:r w:rsidRPr="002A4D6D">
              <w:rPr>
                <w:noProof/>
                <w:spacing w:val="-2"/>
                <w:sz w:val="26"/>
                <w:szCs w:val="26"/>
              </w:rPr>
              <w:t>.</w:t>
            </w:r>
          </w:p>
          <w:p w14:paraId="12F73707" w14:textId="0B1E3FBD" w:rsidR="001F6D11" w:rsidRPr="002A4D6D" w:rsidRDefault="007A219B" w:rsidP="002A4D6D">
            <w:pPr>
              <w:ind w:left="118" w:right="113"/>
              <w:jc w:val="both"/>
              <w:rPr>
                <w:spacing w:val="-2"/>
                <w:sz w:val="26"/>
                <w:szCs w:val="26"/>
                <w:lang w:eastAsia="lv-LV"/>
              </w:rPr>
            </w:pPr>
            <w:r w:rsidRPr="002A4D6D">
              <w:rPr>
                <w:spacing w:val="-2"/>
                <w:sz w:val="26"/>
                <w:szCs w:val="26"/>
                <w:lang w:eastAsia="lv-LV"/>
              </w:rPr>
              <w:lastRenderedPageBreak/>
              <w:t>3.</w:t>
            </w:r>
            <w:r w:rsidR="001F6D11" w:rsidRPr="002A4D6D">
              <w:rPr>
                <w:spacing w:val="-2"/>
                <w:sz w:val="26"/>
                <w:szCs w:val="26"/>
                <w:lang w:eastAsia="lv-LV"/>
              </w:rPr>
              <w:t>7</w:t>
            </w:r>
            <w:r w:rsidRPr="002A4D6D">
              <w:rPr>
                <w:spacing w:val="-2"/>
                <w:sz w:val="26"/>
                <w:szCs w:val="26"/>
                <w:lang w:eastAsia="lv-LV"/>
              </w:rPr>
              <w:t>. </w:t>
            </w:r>
            <w:r w:rsidR="001F6D11" w:rsidRPr="002A4D6D">
              <w:rPr>
                <w:spacing w:val="-2"/>
                <w:sz w:val="26"/>
                <w:szCs w:val="26"/>
                <w:lang w:eastAsia="lv-LV"/>
              </w:rPr>
              <w:t>L</w:t>
            </w:r>
            <w:r w:rsidRPr="002A4D6D">
              <w:rPr>
                <w:spacing w:val="-2"/>
                <w:sz w:val="26"/>
                <w:szCs w:val="26"/>
                <w:lang w:eastAsia="lv-LV"/>
              </w:rPr>
              <w:t xml:space="preserve">īdzīgi kā </w:t>
            </w:r>
            <w:proofErr w:type="spellStart"/>
            <w:r w:rsidRPr="002A4D6D">
              <w:rPr>
                <w:spacing w:val="-2"/>
                <w:sz w:val="26"/>
                <w:szCs w:val="26"/>
                <w:lang w:eastAsia="lv-LV"/>
              </w:rPr>
              <w:t>ārpussavienības</w:t>
            </w:r>
            <w:proofErr w:type="spellEnd"/>
            <w:r w:rsidRPr="002A4D6D">
              <w:rPr>
                <w:spacing w:val="-2"/>
                <w:sz w:val="26"/>
                <w:szCs w:val="26"/>
                <w:lang w:eastAsia="lv-LV"/>
              </w:rPr>
              <w:t xml:space="preserve"> režīm</w:t>
            </w:r>
            <w:r w:rsidR="002A6AF0" w:rsidRPr="002A4D6D">
              <w:rPr>
                <w:spacing w:val="-2"/>
                <w:sz w:val="26"/>
                <w:szCs w:val="26"/>
                <w:lang w:eastAsia="lv-LV"/>
              </w:rPr>
              <w:t>am</w:t>
            </w:r>
            <w:r w:rsidRPr="002A4D6D">
              <w:rPr>
                <w:spacing w:val="-2"/>
                <w:sz w:val="26"/>
                <w:szCs w:val="26"/>
                <w:lang w:eastAsia="lv-LV"/>
              </w:rPr>
              <w:t xml:space="preserve"> </w:t>
            </w:r>
            <w:r w:rsidR="00516BEC" w:rsidRPr="002A4D6D">
              <w:rPr>
                <w:spacing w:val="-2"/>
                <w:sz w:val="26"/>
                <w:szCs w:val="26"/>
                <w:lang w:eastAsia="lv-LV"/>
              </w:rPr>
              <w:t>un</w:t>
            </w:r>
            <w:r w:rsidRPr="002A4D6D">
              <w:rPr>
                <w:spacing w:val="-2"/>
                <w:sz w:val="26"/>
                <w:szCs w:val="26"/>
                <w:lang w:eastAsia="lv-LV"/>
              </w:rPr>
              <w:t xml:space="preserve"> savienības režīm</w:t>
            </w:r>
            <w:r w:rsidR="002A6AF0" w:rsidRPr="002A4D6D">
              <w:rPr>
                <w:spacing w:val="-2"/>
                <w:sz w:val="26"/>
                <w:szCs w:val="26"/>
                <w:lang w:eastAsia="lv-LV"/>
              </w:rPr>
              <w:t>am,</w:t>
            </w:r>
            <w:r w:rsidRPr="002A4D6D">
              <w:rPr>
                <w:spacing w:val="-2"/>
                <w:sz w:val="26"/>
                <w:szCs w:val="26"/>
                <w:lang w:eastAsia="lv-LV"/>
              </w:rPr>
              <w:t xml:space="preserve"> PVN deklarācija par </w:t>
            </w:r>
            <w:r w:rsidR="00516BEC" w:rsidRPr="002A4D6D">
              <w:rPr>
                <w:spacing w:val="-2"/>
                <w:sz w:val="26"/>
                <w:szCs w:val="26"/>
                <w:lang w:eastAsia="lv-LV"/>
              </w:rPr>
              <w:t xml:space="preserve">preču tālpārdošanas </w:t>
            </w:r>
            <w:r w:rsidRPr="002A4D6D">
              <w:rPr>
                <w:spacing w:val="-2"/>
                <w:sz w:val="26"/>
                <w:szCs w:val="26"/>
                <w:lang w:eastAsia="lv-LV"/>
              </w:rPr>
              <w:t>darījumiem, kas veikti</w:t>
            </w:r>
            <w:r w:rsidR="002A6AF0" w:rsidRPr="002A4D6D">
              <w:rPr>
                <w:spacing w:val="-2"/>
                <w:sz w:val="26"/>
                <w:szCs w:val="26"/>
                <w:lang w:eastAsia="lv-LV"/>
              </w:rPr>
              <w:t xml:space="preserve"> saskaņā ar importa</w:t>
            </w:r>
            <w:r w:rsidRPr="002A4D6D">
              <w:rPr>
                <w:spacing w:val="-2"/>
                <w:sz w:val="26"/>
                <w:szCs w:val="26"/>
                <w:lang w:eastAsia="lv-LV"/>
              </w:rPr>
              <w:t xml:space="preserve"> režīmu</w:t>
            </w:r>
            <w:r w:rsidR="001F037A" w:rsidRPr="002A4D6D">
              <w:rPr>
                <w:spacing w:val="-2"/>
                <w:sz w:val="26"/>
                <w:szCs w:val="26"/>
                <w:lang w:eastAsia="lv-LV"/>
              </w:rPr>
              <w:t xml:space="preserve"> IOSS</w:t>
            </w:r>
            <w:r w:rsidRPr="002A4D6D">
              <w:rPr>
                <w:spacing w:val="-2"/>
                <w:sz w:val="26"/>
                <w:szCs w:val="26"/>
                <w:lang w:eastAsia="lv-LV"/>
              </w:rPr>
              <w:t xml:space="preserve">, jāiesniedz līdz </w:t>
            </w:r>
            <w:r w:rsidR="002A6AF0" w:rsidRPr="002A4D6D">
              <w:rPr>
                <w:spacing w:val="-2"/>
                <w:sz w:val="26"/>
                <w:szCs w:val="26"/>
                <w:lang w:eastAsia="lv-LV"/>
              </w:rPr>
              <w:t>nākamā</w:t>
            </w:r>
            <w:r w:rsidRPr="002A4D6D">
              <w:rPr>
                <w:spacing w:val="-2"/>
                <w:sz w:val="26"/>
                <w:szCs w:val="26"/>
                <w:lang w:eastAsia="lv-LV"/>
              </w:rPr>
              <w:t xml:space="preserve"> mēneša beigām, k</w:t>
            </w:r>
            <w:r w:rsidR="002A6AF0" w:rsidRPr="002A4D6D">
              <w:rPr>
                <w:spacing w:val="-2"/>
                <w:sz w:val="26"/>
                <w:szCs w:val="26"/>
                <w:lang w:eastAsia="lv-LV"/>
              </w:rPr>
              <w:t>as</w:t>
            </w:r>
            <w:r w:rsidRPr="002A4D6D">
              <w:rPr>
                <w:spacing w:val="-2"/>
                <w:sz w:val="26"/>
                <w:szCs w:val="26"/>
                <w:lang w:eastAsia="lv-LV"/>
              </w:rPr>
              <w:t xml:space="preserve"> seko taksācijas periodam. PVN deklarācija ir iesniedzama</w:t>
            </w:r>
            <w:r w:rsidR="002A6AF0" w:rsidRPr="002A4D6D">
              <w:rPr>
                <w:spacing w:val="-2"/>
                <w:sz w:val="26"/>
                <w:szCs w:val="26"/>
                <w:lang w:eastAsia="lv-LV"/>
              </w:rPr>
              <w:t>,</w:t>
            </w:r>
            <w:r w:rsidRPr="002A4D6D">
              <w:rPr>
                <w:spacing w:val="-2"/>
                <w:sz w:val="26"/>
                <w:szCs w:val="26"/>
                <w:lang w:eastAsia="lv-LV"/>
              </w:rPr>
              <w:t xml:space="preserve"> </w:t>
            </w:r>
            <w:r w:rsidR="002A6AF0" w:rsidRPr="002A4D6D">
              <w:rPr>
                <w:spacing w:val="-2"/>
                <w:sz w:val="26"/>
                <w:szCs w:val="26"/>
                <w:lang w:eastAsia="lv-LV"/>
              </w:rPr>
              <w:t>izmantojot VID EDS</w:t>
            </w:r>
            <w:r w:rsidRPr="002A4D6D">
              <w:rPr>
                <w:spacing w:val="-2"/>
                <w:sz w:val="26"/>
                <w:szCs w:val="26"/>
                <w:lang w:eastAsia="lv-LV"/>
              </w:rPr>
              <w:t xml:space="preserve">. </w:t>
            </w:r>
            <w:r w:rsidR="00516BEC" w:rsidRPr="002A4D6D">
              <w:rPr>
                <w:spacing w:val="-2"/>
                <w:sz w:val="26"/>
                <w:szCs w:val="26"/>
                <w:lang w:eastAsia="lv-LV"/>
              </w:rPr>
              <w:t>Deklarācija jāiesniedz neatkarīgi no tā, vai ir veikt</w:t>
            </w:r>
            <w:r w:rsidR="001F037A" w:rsidRPr="002A4D6D">
              <w:rPr>
                <w:spacing w:val="-2"/>
                <w:sz w:val="26"/>
                <w:szCs w:val="26"/>
                <w:lang w:eastAsia="lv-LV"/>
              </w:rPr>
              <w:t>i</w:t>
            </w:r>
            <w:r w:rsidR="00516BEC" w:rsidRPr="002A4D6D">
              <w:rPr>
                <w:spacing w:val="-2"/>
                <w:sz w:val="26"/>
                <w:szCs w:val="26"/>
                <w:lang w:eastAsia="lv-LV"/>
              </w:rPr>
              <w:t xml:space="preserve"> no treš</w:t>
            </w:r>
            <w:r w:rsidR="001F6D11" w:rsidRPr="002A4D6D">
              <w:rPr>
                <w:spacing w:val="-2"/>
                <w:sz w:val="26"/>
                <w:szCs w:val="26"/>
                <w:lang w:eastAsia="lv-LV"/>
              </w:rPr>
              <w:t>aj</w:t>
            </w:r>
            <w:r w:rsidR="00516BEC" w:rsidRPr="002A4D6D">
              <w:rPr>
                <w:spacing w:val="-2"/>
                <w:sz w:val="26"/>
                <w:szCs w:val="26"/>
                <w:lang w:eastAsia="lv-LV"/>
              </w:rPr>
              <w:t xml:space="preserve">ām </w:t>
            </w:r>
            <w:r w:rsidR="00AE1822" w:rsidRPr="002A4D6D">
              <w:rPr>
                <w:spacing w:val="-2"/>
                <w:sz w:val="26"/>
                <w:szCs w:val="26"/>
                <w:lang w:eastAsia="lv-LV"/>
              </w:rPr>
              <w:t xml:space="preserve">valstīm vai trešajām </w:t>
            </w:r>
            <w:r w:rsidR="00516BEC" w:rsidRPr="002A4D6D">
              <w:rPr>
                <w:spacing w:val="-2"/>
                <w:sz w:val="26"/>
                <w:szCs w:val="26"/>
                <w:lang w:eastAsia="lv-LV"/>
              </w:rPr>
              <w:t>teritorijām importētu preču tālpārdošana</w:t>
            </w:r>
            <w:r w:rsidR="001F037A" w:rsidRPr="002A4D6D">
              <w:rPr>
                <w:spacing w:val="-2"/>
                <w:sz w:val="26"/>
                <w:szCs w:val="26"/>
                <w:lang w:eastAsia="lv-LV"/>
              </w:rPr>
              <w:t>s darījumi</w:t>
            </w:r>
            <w:r w:rsidR="00516BEC" w:rsidRPr="002A4D6D">
              <w:rPr>
                <w:spacing w:val="-2"/>
                <w:sz w:val="26"/>
                <w:szCs w:val="26"/>
                <w:lang w:eastAsia="lv-LV"/>
              </w:rPr>
              <w:t xml:space="preserve">. </w:t>
            </w:r>
            <w:r w:rsidRPr="002A4D6D">
              <w:rPr>
                <w:spacing w:val="-2"/>
                <w:sz w:val="26"/>
                <w:szCs w:val="26"/>
                <w:lang w:eastAsia="lv-LV"/>
              </w:rPr>
              <w:t xml:space="preserve">Nodokli, kas aprēķināts par taksācijas periodu, jāiemaksā valsts budžetā līdz </w:t>
            </w:r>
            <w:r w:rsidR="002A6AF0" w:rsidRPr="002A4D6D">
              <w:rPr>
                <w:spacing w:val="-2"/>
                <w:sz w:val="26"/>
                <w:szCs w:val="26"/>
                <w:lang w:eastAsia="lv-LV"/>
              </w:rPr>
              <w:t>nākamā</w:t>
            </w:r>
            <w:r w:rsidRPr="002A4D6D">
              <w:rPr>
                <w:spacing w:val="-2"/>
                <w:sz w:val="26"/>
                <w:szCs w:val="26"/>
                <w:lang w:eastAsia="lv-LV"/>
              </w:rPr>
              <w:t xml:space="preserve"> mēneša beigām, k</w:t>
            </w:r>
            <w:r w:rsidR="002A6AF0" w:rsidRPr="002A4D6D">
              <w:rPr>
                <w:spacing w:val="-2"/>
                <w:sz w:val="26"/>
                <w:szCs w:val="26"/>
                <w:lang w:eastAsia="lv-LV"/>
              </w:rPr>
              <w:t>as</w:t>
            </w:r>
            <w:r w:rsidRPr="002A4D6D">
              <w:rPr>
                <w:spacing w:val="-2"/>
                <w:sz w:val="26"/>
                <w:szCs w:val="26"/>
                <w:lang w:eastAsia="lv-LV"/>
              </w:rPr>
              <w:t xml:space="preserve"> seko taksācijas periodam.</w:t>
            </w:r>
            <w:r w:rsidR="001F6D11" w:rsidRPr="002A4D6D">
              <w:rPr>
                <w:spacing w:val="-2"/>
                <w:sz w:val="26"/>
                <w:szCs w:val="26"/>
                <w:lang w:eastAsia="lv-LV"/>
              </w:rPr>
              <w:t xml:space="preserve"> Tādēļ ir nepieciešams papildināt Pievienotās vērtības nodokļa likumu ar PVN deklarācijas iesniegšanas termiņu un nodokļa samaksas termiņu, ja tiek izmantot importa režīms.</w:t>
            </w:r>
          </w:p>
          <w:p w14:paraId="5A64F769" w14:textId="38AAC323" w:rsidR="00DA55F1" w:rsidRPr="002A4D6D" w:rsidRDefault="00DA55F1" w:rsidP="002A4D6D">
            <w:pPr>
              <w:ind w:left="118" w:right="113"/>
              <w:jc w:val="both"/>
              <w:rPr>
                <w:color w:val="000000"/>
                <w:spacing w:val="-2"/>
                <w:sz w:val="26"/>
                <w:szCs w:val="26"/>
              </w:rPr>
            </w:pPr>
            <w:r w:rsidRPr="002A4D6D">
              <w:rPr>
                <w:spacing w:val="-2"/>
                <w:sz w:val="26"/>
                <w:szCs w:val="26"/>
                <w:lang w:eastAsia="lv-LV"/>
              </w:rPr>
              <w:t>3.</w:t>
            </w:r>
            <w:r w:rsidR="001F6D11" w:rsidRPr="002A4D6D">
              <w:rPr>
                <w:spacing w:val="-2"/>
                <w:sz w:val="26"/>
                <w:szCs w:val="26"/>
                <w:lang w:eastAsia="lv-LV"/>
              </w:rPr>
              <w:t>8</w:t>
            </w:r>
            <w:r w:rsidRPr="002A4D6D">
              <w:rPr>
                <w:spacing w:val="-2"/>
                <w:sz w:val="26"/>
                <w:szCs w:val="26"/>
                <w:lang w:eastAsia="lv-LV"/>
              </w:rPr>
              <w:t>. </w:t>
            </w:r>
            <w:r w:rsidR="00187738" w:rsidRPr="002A4D6D">
              <w:rPr>
                <w:spacing w:val="-2"/>
                <w:sz w:val="26"/>
                <w:szCs w:val="26"/>
                <w:lang w:eastAsia="lv-LV"/>
              </w:rPr>
              <w:t>Būtiski atzīmēt to, j</w:t>
            </w:r>
            <w:r w:rsidR="00187738" w:rsidRPr="002A4D6D">
              <w:rPr>
                <w:color w:val="000000"/>
                <w:spacing w:val="-2"/>
                <w:sz w:val="26"/>
                <w:szCs w:val="26"/>
              </w:rPr>
              <w:t xml:space="preserve">a PVN tiek deklarēts </w:t>
            </w:r>
            <w:r w:rsidR="00743898" w:rsidRPr="002A4D6D">
              <w:rPr>
                <w:color w:val="000000"/>
                <w:spacing w:val="-2"/>
                <w:sz w:val="26"/>
                <w:szCs w:val="26"/>
              </w:rPr>
              <w:t>saskaņā ar importa režīmu</w:t>
            </w:r>
            <w:r w:rsidR="00187738" w:rsidRPr="002A4D6D">
              <w:rPr>
                <w:color w:val="000000"/>
                <w:spacing w:val="-2"/>
                <w:sz w:val="26"/>
                <w:szCs w:val="26"/>
              </w:rPr>
              <w:t xml:space="preserve">, tad preču </w:t>
            </w:r>
            <w:r w:rsidR="00743898" w:rsidRPr="002A4D6D">
              <w:rPr>
                <w:color w:val="000000"/>
                <w:spacing w:val="-2"/>
                <w:sz w:val="26"/>
                <w:szCs w:val="26"/>
              </w:rPr>
              <w:t>sūtījum</w:t>
            </w:r>
            <w:r w:rsidR="001F037A" w:rsidRPr="002A4D6D">
              <w:rPr>
                <w:color w:val="000000"/>
                <w:spacing w:val="-2"/>
                <w:sz w:val="26"/>
                <w:szCs w:val="26"/>
              </w:rPr>
              <w:t>a</w:t>
            </w:r>
            <w:r w:rsidR="00743898" w:rsidRPr="002A4D6D">
              <w:rPr>
                <w:color w:val="000000"/>
                <w:spacing w:val="-2"/>
                <w:sz w:val="26"/>
                <w:szCs w:val="26"/>
              </w:rPr>
              <w:t xml:space="preserve"> </w:t>
            </w:r>
            <w:r w:rsidR="00187738" w:rsidRPr="002A4D6D">
              <w:rPr>
                <w:color w:val="000000"/>
                <w:spacing w:val="-2"/>
                <w:sz w:val="26"/>
                <w:szCs w:val="26"/>
              </w:rPr>
              <w:t xml:space="preserve">importēšanas brīdī </w:t>
            </w:r>
            <w:r w:rsidR="00743898" w:rsidRPr="002A4D6D">
              <w:rPr>
                <w:spacing w:val="-2"/>
                <w:sz w:val="26"/>
                <w:szCs w:val="26"/>
                <w:lang w:eastAsia="lv-LV"/>
              </w:rPr>
              <w:t>PVN nav jāmaksā</w:t>
            </w:r>
            <w:r w:rsidR="00187738" w:rsidRPr="002A4D6D">
              <w:rPr>
                <w:spacing w:val="-2"/>
                <w:sz w:val="26"/>
                <w:szCs w:val="26"/>
                <w:lang w:eastAsia="lv-LV"/>
              </w:rPr>
              <w:t xml:space="preserve">. </w:t>
            </w:r>
            <w:r w:rsidR="00743898" w:rsidRPr="002A4D6D">
              <w:rPr>
                <w:color w:val="000000"/>
                <w:spacing w:val="-2"/>
                <w:sz w:val="26"/>
                <w:szCs w:val="26"/>
              </w:rPr>
              <w:t xml:space="preserve">Lai muitas iestāde varētu identificēt šādus preču sūtījumus importēšanas laikā, </w:t>
            </w:r>
            <w:r w:rsidRPr="002A4D6D">
              <w:rPr>
                <w:color w:val="000000"/>
                <w:spacing w:val="-2"/>
                <w:sz w:val="26"/>
                <w:szCs w:val="26"/>
              </w:rPr>
              <w:t xml:space="preserve">vēlākais importa deklarācijas iesniegšanas laikā </w:t>
            </w:r>
            <w:r w:rsidR="00743898" w:rsidRPr="002A4D6D">
              <w:rPr>
                <w:color w:val="000000"/>
                <w:spacing w:val="-2"/>
                <w:sz w:val="26"/>
                <w:szCs w:val="26"/>
              </w:rPr>
              <w:t xml:space="preserve">muitai </w:t>
            </w:r>
            <w:r w:rsidR="00187738" w:rsidRPr="002A4D6D">
              <w:rPr>
                <w:color w:val="000000"/>
                <w:spacing w:val="-2"/>
                <w:sz w:val="26"/>
                <w:szCs w:val="26"/>
              </w:rPr>
              <w:t xml:space="preserve">ir </w:t>
            </w:r>
            <w:r w:rsidR="00743898" w:rsidRPr="002A4D6D">
              <w:rPr>
                <w:color w:val="000000"/>
                <w:spacing w:val="-2"/>
                <w:sz w:val="26"/>
                <w:szCs w:val="26"/>
              </w:rPr>
              <w:t xml:space="preserve">jābūt </w:t>
            </w:r>
            <w:r w:rsidR="00187738" w:rsidRPr="002A4D6D">
              <w:rPr>
                <w:color w:val="000000"/>
                <w:spacing w:val="-2"/>
                <w:sz w:val="26"/>
                <w:szCs w:val="26"/>
              </w:rPr>
              <w:t>pieejam</w:t>
            </w:r>
            <w:r w:rsidR="00743898" w:rsidRPr="002A4D6D">
              <w:rPr>
                <w:color w:val="000000"/>
                <w:spacing w:val="-2"/>
                <w:sz w:val="26"/>
                <w:szCs w:val="26"/>
              </w:rPr>
              <w:t>am</w:t>
            </w:r>
            <w:r w:rsidRPr="002A4D6D">
              <w:rPr>
                <w:color w:val="000000"/>
                <w:spacing w:val="-2"/>
                <w:sz w:val="26"/>
                <w:szCs w:val="26"/>
              </w:rPr>
              <w:t xml:space="preserve"> derīg</w:t>
            </w:r>
            <w:r w:rsidR="00743898" w:rsidRPr="002A4D6D">
              <w:rPr>
                <w:color w:val="000000"/>
                <w:spacing w:val="-2"/>
                <w:sz w:val="26"/>
                <w:szCs w:val="26"/>
              </w:rPr>
              <w:t>am</w:t>
            </w:r>
            <w:r w:rsidRPr="002A4D6D">
              <w:rPr>
                <w:color w:val="000000"/>
                <w:spacing w:val="-2"/>
                <w:sz w:val="26"/>
                <w:szCs w:val="26"/>
              </w:rPr>
              <w:t xml:space="preserve"> </w:t>
            </w:r>
            <w:r w:rsidR="00743898" w:rsidRPr="002A4D6D">
              <w:rPr>
                <w:color w:val="000000"/>
                <w:spacing w:val="-2"/>
                <w:sz w:val="26"/>
                <w:szCs w:val="26"/>
              </w:rPr>
              <w:t xml:space="preserve">IOSS </w:t>
            </w:r>
            <w:r w:rsidRPr="002A4D6D">
              <w:rPr>
                <w:color w:val="000000"/>
                <w:spacing w:val="-2"/>
                <w:sz w:val="26"/>
                <w:szCs w:val="26"/>
              </w:rPr>
              <w:t xml:space="preserve">PVN </w:t>
            </w:r>
            <w:r w:rsidR="003F2698" w:rsidRPr="002A4D6D">
              <w:rPr>
                <w:color w:val="000000"/>
                <w:spacing w:val="-2"/>
                <w:sz w:val="26"/>
                <w:szCs w:val="26"/>
              </w:rPr>
              <w:t xml:space="preserve">identifikācijas </w:t>
            </w:r>
            <w:r w:rsidRPr="002A4D6D">
              <w:rPr>
                <w:color w:val="000000"/>
                <w:spacing w:val="-2"/>
                <w:sz w:val="26"/>
                <w:szCs w:val="26"/>
              </w:rPr>
              <w:t>numur</w:t>
            </w:r>
            <w:r w:rsidR="00743898" w:rsidRPr="002A4D6D">
              <w:rPr>
                <w:color w:val="000000"/>
                <w:spacing w:val="-2"/>
                <w:sz w:val="26"/>
                <w:szCs w:val="26"/>
              </w:rPr>
              <w:t>am</w:t>
            </w:r>
            <w:r w:rsidRPr="002A4D6D">
              <w:rPr>
                <w:color w:val="000000"/>
                <w:spacing w:val="-2"/>
                <w:sz w:val="26"/>
                <w:szCs w:val="26"/>
              </w:rPr>
              <w:t xml:space="preserve">, kas </w:t>
            </w:r>
            <w:r w:rsidR="00187738" w:rsidRPr="002A4D6D">
              <w:rPr>
                <w:color w:val="000000"/>
                <w:spacing w:val="-2"/>
                <w:sz w:val="26"/>
                <w:szCs w:val="26"/>
              </w:rPr>
              <w:t>attiecīgi kalpo par pierādījumu</w:t>
            </w:r>
            <w:r w:rsidRPr="002A4D6D">
              <w:rPr>
                <w:color w:val="000000"/>
                <w:spacing w:val="-2"/>
                <w:sz w:val="26"/>
                <w:szCs w:val="26"/>
              </w:rPr>
              <w:t xml:space="preserve"> PVN </w:t>
            </w:r>
            <w:r w:rsidR="00187738" w:rsidRPr="002A4D6D">
              <w:rPr>
                <w:color w:val="000000"/>
                <w:spacing w:val="-2"/>
                <w:sz w:val="26"/>
                <w:szCs w:val="26"/>
              </w:rPr>
              <w:t>deklarēšanai</w:t>
            </w:r>
            <w:r w:rsidRPr="002A4D6D">
              <w:rPr>
                <w:color w:val="000000"/>
                <w:spacing w:val="-2"/>
                <w:sz w:val="26"/>
                <w:szCs w:val="26"/>
              </w:rPr>
              <w:t xml:space="preserve"> saskaņā ar </w:t>
            </w:r>
            <w:r w:rsidR="00743898" w:rsidRPr="002A4D6D">
              <w:rPr>
                <w:color w:val="000000"/>
                <w:spacing w:val="-2"/>
                <w:sz w:val="26"/>
                <w:szCs w:val="26"/>
              </w:rPr>
              <w:t>importa</w:t>
            </w:r>
            <w:r w:rsidR="00187738" w:rsidRPr="002A4D6D">
              <w:rPr>
                <w:color w:val="000000"/>
                <w:spacing w:val="-2"/>
                <w:sz w:val="26"/>
                <w:szCs w:val="26"/>
              </w:rPr>
              <w:t xml:space="preserve"> režīmu</w:t>
            </w:r>
            <w:r w:rsidR="001F037A" w:rsidRPr="002A4D6D">
              <w:rPr>
                <w:color w:val="000000"/>
                <w:spacing w:val="-2"/>
                <w:sz w:val="26"/>
                <w:szCs w:val="26"/>
              </w:rPr>
              <w:t xml:space="preserve"> IOSS</w:t>
            </w:r>
            <w:r w:rsidR="00187738" w:rsidRPr="002A4D6D">
              <w:rPr>
                <w:color w:val="000000"/>
                <w:spacing w:val="-2"/>
                <w:sz w:val="26"/>
                <w:szCs w:val="26"/>
              </w:rPr>
              <w:t>.</w:t>
            </w:r>
          </w:p>
          <w:p w14:paraId="351A1E02" w14:textId="3FEDCE37" w:rsidR="00612940" w:rsidRPr="002A4D6D" w:rsidRDefault="00612940" w:rsidP="002A4D6D">
            <w:pPr>
              <w:ind w:left="118" w:right="113"/>
              <w:jc w:val="both"/>
              <w:rPr>
                <w:spacing w:val="-2"/>
                <w:sz w:val="26"/>
                <w:szCs w:val="26"/>
                <w:lang w:eastAsia="lv-LV"/>
              </w:rPr>
            </w:pPr>
            <w:r w:rsidRPr="002A4D6D">
              <w:rPr>
                <w:color w:val="000000"/>
                <w:spacing w:val="-2"/>
                <w:sz w:val="26"/>
                <w:szCs w:val="26"/>
              </w:rPr>
              <w:t>3.9. </w:t>
            </w:r>
            <w:r w:rsidRPr="002A4D6D">
              <w:rPr>
                <w:spacing w:val="-2"/>
                <w:sz w:val="26"/>
                <w:szCs w:val="26"/>
                <w:lang w:eastAsia="lv-LV"/>
              </w:rPr>
              <w:t>Lai reģistrētos importa režīmam</w:t>
            </w:r>
            <w:r w:rsidR="001F037A" w:rsidRPr="002A4D6D">
              <w:rPr>
                <w:spacing w:val="-2"/>
                <w:sz w:val="26"/>
                <w:szCs w:val="26"/>
                <w:lang w:eastAsia="lv-LV"/>
              </w:rPr>
              <w:t xml:space="preserve"> IOSS</w:t>
            </w:r>
            <w:r w:rsidRPr="002A4D6D">
              <w:rPr>
                <w:spacing w:val="-2"/>
                <w:sz w:val="26"/>
                <w:szCs w:val="26"/>
                <w:lang w:eastAsia="lv-LV"/>
              </w:rPr>
              <w:t>, uzņēmējam</w:t>
            </w:r>
            <w:r w:rsidR="009337BE" w:rsidRPr="002A4D6D">
              <w:rPr>
                <w:spacing w:val="-2"/>
                <w:sz w:val="26"/>
                <w:szCs w:val="26"/>
                <w:lang w:eastAsia="lv-LV"/>
              </w:rPr>
              <w:t xml:space="preserve"> vai starpniek</w:t>
            </w:r>
            <w:r w:rsidR="00601DF3" w:rsidRPr="002A4D6D">
              <w:rPr>
                <w:spacing w:val="-2"/>
                <w:sz w:val="26"/>
                <w:szCs w:val="26"/>
                <w:lang w:eastAsia="lv-LV"/>
              </w:rPr>
              <w:t>am, kas rīkojas tā vārdā un int</w:t>
            </w:r>
            <w:r w:rsidR="009337BE" w:rsidRPr="002A4D6D">
              <w:rPr>
                <w:spacing w:val="-2"/>
                <w:sz w:val="26"/>
                <w:szCs w:val="26"/>
                <w:lang w:eastAsia="lv-LV"/>
              </w:rPr>
              <w:t>er</w:t>
            </w:r>
            <w:r w:rsidR="00601DF3" w:rsidRPr="002A4D6D">
              <w:rPr>
                <w:spacing w:val="-2"/>
                <w:sz w:val="26"/>
                <w:szCs w:val="26"/>
                <w:lang w:eastAsia="lv-LV"/>
              </w:rPr>
              <w:t>e</w:t>
            </w:r>
            <w:r w:rsidR="009337BE" w:rsidRPr="002A4D6D">
              <w:rPr>
                <w:spacing w:val="-2"/>
                <w:sz w:val="26"/>
                <w:szCs w:val="26"/>
                <w:lang w:eastAsia="lv-LV"/>
              </w:rPr>
              <w:t>sēs</w:t>
            </w:r>
            <w:r w:rsidRPr="002A4D6D">
              <w:rPr>
                <w:spacing w:val="-2"/>
                <w:sz w:val="26"/>
                <w:szCs w:val="26"/>
                <w:lang w:eastAsia="lv-LV"/>
              </w:rPr>
              <w:t>, izmantojot VID EDS, ir jāiesniedz iesniegums, tādējādi paziņojot, kad sāk izmantot šo režīmu. Iesniegumā norāda Regulas 2020/194 I</w:t>
            </w:r>
            <w:r w:rsidR="001F037A" w:rsidRPr="002A4D6D">
              <w:rPr>
                <w:spacing w:val="-2"/>
                <w:sz w:val="26"/>
                <w:szCs w:val="26"/>
                <w:lang w:eastAsia="lv-LV"/>
              </w:rPr>
              <w:t> </w:t>
            </w:r>
            <w:r w:rsidRPr="002A4D6D">
              <w:rPr>
                <w:spacing w:val="-2"/>
                <w:sz w:val="26"/>
                <w:szCs w:val="26"/>
                <w:lang w:eastAsia="lv-LV"/>
              </w:rPr>
              <w:t>pielikuma D</w:t>
            </w:r>
            <w:r w:rsidR="001F037A" w:rsidRPr="002A4D6D">
              <w:rPr>
                <w:spacing w:val="-2"/>
                <w:sz w:val="26"/>
                <w:szCs w:val="26"/>
                <w:lang w:eastAsia="lv-LV"/>
              </w:rPr>
              <w:t> </w:t>
            </w:r>
            <w:r w:rsidRPr="002A4D6D">
              <w:rPr>
                <w:spacing w:val="-2"/>
                <w:sz w:val="26"/>
                <w:szCs w:val="26"/>
                <w:lang w:eastAsia="lv-LV"/>
              </w:rPr>
              <w:t>slejā no 2. līdz 14.1</w:t>
            </w:r>
            <w:r w:rsidR="00601DF3" w:rsidRPr="002A4D6D">
              <w:rPr>
                <w:spacing w:val="-2"/>
                <w:sz w:val="26"/>
                <w:szCs w:val="26"/>
                <w:lang w:eastAsia="lv-LV"/>
              </w:rPr>
              <w:t>.</w:t>
            </w:r>
            <w:r w:rsidRPr="002A4D6D">
              <w:rPr>
                <w:spacing w:val="-2"/>
                <w:sz w:val="26"/>
                <w:szCs w:val="26"/>
                <w:lang w:eastAsia="lv-LV"/>
              </w:rPr>
              <w:t>punktam minēto informāciju</w:t>
            </w:r>
            <w:r w:rsidR="00601DF3" w:rsidRPr="002A4D6D">
              <w:rPr>
                <w:spacing w:val="-2"/>
                <w:sz w:val="26"/>
                <w:szCs w:val="26"/>
                <w:lang w:eastAsia="lv-LV"/>
              </w:rPr>
              <w:t xml:space="preserve"> un </w:t>
            </w:r>
            <w:r w:rsidRPr="002A4D6D">
              <w:rPr>
                <w:spacing w:val="-2"/>
                <w:sz w:val="26"/>
                <w:szCs w:val="26"/>
                <w:lang w:eastAsia="lv-LV"/>
              </w:rPr>
              <w:t>17.punktā minēto informāciju, ja darījumi pirmo reizi tiek veikti, ņemot vērā Regulas 282/2011 57.d panta 2.punktā minēto nosacījumu (Regulas 2019/2026 redakcijā)</w:t>
            </w:r>
            <w:r w:rsidR="009337BE" w:rsidRPr="002A4D6D">
              <w:rPr>
                <w:spacing w:val="-2"/>
                <w:sz w:val="26"/>
                <w:szCs w:val="26"/>
                <w:lang w:eastAsia="lv-LV"/>
              </w:rPr>
              <w:t xml:space="preserve">. </w:t>
            </w:r>
            <w:r w:rsidRPr="002A4D6D">
              <w:rPr>
                <w:spacing w:val="-2"/>
                <w:sz w:val="26"/>
                <w:szCs w:val="26"/>
                <w:lang w:eastAsia="lv-LV"/>
              </w:rPr>
              <w:t>Starpnieks</w:t>
            </w:r>
            <w:r w:rsidR="009337BE" w:rsidRPr="002A4D6D">
              <w:rPr>
                <w:spacing w:val="-2"/>
                <w:sz w:val="26"/>
                <w:szCs w:val="26"/>
                <w:lang w:eastAsia="lv-LV"/>
              </w:rPr>
              <w:t>, reģistrējoties importa re</w:t>
            </w:r>
            <w:r w:rsidR="00704169" w:rsidRPr="002A4D6D">
              <w:rPr>
                <w:spacing w:val="-2"/>
                <w:sz w:val="26"/>
                <w:szCs w:val="26"/>
                <w:lang w:eastAsia="lv-LV"/>
              </w:rPr>
              <w:t>žīmam</w:t>
            </w:r>
            <w:r w:rsidR="009337BE" w:rsidRPr="002A4D6D">
              <w:rPr>
                <w:spacing w:val="-2"/>
                <w:sz w:val="26"/>
                <w:szCs w:val="26"/>
                <w:lang w:eastAsia="lv-LV"/>
              </w:rPr>
              <w:t>,</w:t>
            </w:r>
            <w:r w:rsidRPr="002A4D6D">
              <w:rPr>
                <w:spacing w:val="-2"/>
                <w:sz w:val="26"/>
                <w:szCs w:val="26"/>
                <w:lang w:eastAsia="lv-LV"/>
              </w:rPr>
              <w:t xml:space="preserve"> iesniegumā norāda Regulas 2020/194 I</w:t>
            </w:r>
            <w:r w:rsidR="001F037A" w:rsidRPr="002A4D6D">
              <w:rPr>
                <w:spacing w:val="-2"/>
                <w:sz w:val="26"/>
                <w:szCs w:val="26"/>
                <w:lang w:eastAsia="lv-LV"/>
              </w:rPr>
              <w:t> </w:t>
            </w:r>
            <w:r w:rsidRPr="002A4D6D">
              <w:rPr>
                <w:spacing w:val="-2"/>
                <w:sz w:val="26"/>
                <w:szCs w:val="26"/>
                <w:lang w:eastAsia="lv-LV"/>
              </w:rPr>
              <w:t>pielikuma E</w:t>
            </w:r>
            <w:r w:rsidR="001F037A" w:rsidRPr="002A4D6D">
              <w:rPr>
                <w:spacing w:val="-2"/>
                <w:sz w:val="26"/>
                <w:szCs w:val="26"/>
                <w:lang w:eastAsia="lv-LV"/>
              </w:rPr>
              <w:t> </w:t>
            </w:r>
            <w:r w:rsidRPr="002A4D6D">
              <w:rPr>
                <w:spacing w:val="-2"/>
                <w:sz w:val="26"/>
                <w:szCs w:val="26"/>
                <w:lang w:eastAsia="lv-LV"/>
              </w:rPr>
              <w:t>slejā no 2.a līdz 7.punktam un no 9. līdz 14.1</w:t>
            </w:r>
            <w:r w:rsidR="009337BE" w:rsidRPr="002A4D6D">
              <w:rPr>
                <w:spacing w:val="-2"/>
                <w:sz w:val="26"/>
                <w:szCs w:val="26"/>
                <w:lang w:eastAsia="lv-LV"/>
              </w:rPr>
              <w:t>.</w:t>
            </w:r>
            <w:r w:rsidRPr="002A4D6D">
              <w:rPr>
                <w:spacing w:val="-2"/>
                <w:sz w:val="26"/>
                <w:szCs w:val="26"/>
                <w:lang w:eastAsia="lv-LV"/>
              </w:rPr>
              <w:t>punktam minēto informāciju.</w:t>
            </w:r>
            <w:r w:rsidR="009337BE" w:rsidRPr="002A4D6D">
              <w:rPr>
                <w:spacing w:val="-2"/>
                <w:sz w:val="26"/>
                <w:szCs w:val="26"/>
                <w:lang w:eastAsia="lv-LV"/>
              </w:rPr>
              <w:t xml:space="preserve"> </w:t>
            </w:r>
            <w:r w:rsidRPr="002A4D6D">
              <w:rPr>
                <w:spacing w:val="-2"/>
                <w:sz w:val="26"/>
                <w:szCs w:val="26"/>
                <w:lang w:eastAsia="lv-LV"/>
              </w:rPr>
              <w:t>Tā kā regulas ir tieši piemērojamas, VID ir nepieciešams</w:t>
            </w:r>
            <w:r w:rsidR="00704169" w:rsidRPr="002A4D6D">
              <w:rPr>
                <w:spacing w:val="-2"/>
                <w:sz w:val="26"/>
                <w:szCs w:val="26"/>
                <w:lang w:eastAsia="lv-LV"/>
              </w:rPr>
              <w:t xml:space="preserve"> izstrādāt iesniegumu veidlapu, pamatojoties uz Regulas 2020/194 prasībām, un nodrošināt tās pieejamību VID EDS, lai ikviens uzņēmējs, kas vēlēsies reģistrēties Latvijā importa režīma reģistrā, varētu aizpildīt un iesniegt iesniegumu elektroniski. Pievienotās vērtības nodokļa likumu ir nepieciešams papildināt ar kārtību, kādā PVN maksātāju un starpnieku reģistrē savienības režīma reģistrā, nosakot vispārējo iesniegumā norādāmo informāciju, </w:t>
            </w:r>
            <w:r w:rsidR="00794215" w:rsidRPr="002A4D6D">
              <w:rPr>
                <w:spacing w:val="-2"/>
                <w:sz w:val="26"/>
                <w:szCs w:val="26"/>
                <w:lang w:eastAsia="lv-LV"/>
              </w:rPr>
              <w:t>atbilstoši Direktīvā 2017/2455 minētajam</w:t>
            </w:r>
            <w:r w:rsidRPr="002A4D6D">
              <w:rPr>
                <w:spacing w:val="-2"/>
                <w:sz w:val="26"/>
                <w:szCs w:val="26"/>
                <w:lang w:eastAsia="lv-LV"/>
              </w:rPr>
              <w:t>.</w:t>
            </w:r>
          </w:p>
          <w:p w14:paraId="056DAB8F" w14:textId="128E7B88" w:rsidR="003F2698" w:rsidRPr="002A4D6D" w:rsidRDefault="003F2698" w:rsidP="002A4D6D">
            <w:pPr>
              <w:ind w:left="113" w:right="113"/>
              <w:jc w:val="both"/>
              <w:rPr>
                <w:b/>
                <w:i/>
                <w:color w:val="000000"/>
                <w:spacing w:val="-2"/>
                <w:sz w:val="26"/>
                <w:szCs w:val="26"/>
              </w:rPr>
            </w:pPr>
            <w:r w:rsidRPr="002A4D6D">
              <w:rPr>
                <w:b/>
                <w:i/>
                <w:color w:val="000000"/>
                <w:spacing w:val="-2"/>
                <w:sz w:val="26"/>
                <w:szCs w:val="26"/>
              </w:rPr>
              <w:t>4. </w:t>
            </w:r>
            <w:r w:rsidR="007A377D" w:rsidRPr="002A4D6D">
              <w:rPr>
                <w:b/>
                <w:i/>
                <w:spacing w:val="-2"/>
                <w:sz w:val="26"/>
                <w:szCs w:val="26"/>
              </w:rPr>
              <w:t>Importa režīms PVN maksātājiem, kas uzrāda preces muita</w:t>
            </w:r>
            <w:r w:rsidR="008C212F" w:rsidRPr="002A4D6D">
              <w:rPr>
                <w:b/>
                <w:i/>
                <w:spacing w:val="-2"/>
                <w:sz w:val="26"/>
                <w:szCs w:val="26"/>
              </w:rPr>
              <w:t>s iestāde</w:t>
            </w:r>
            <w:r w:rsidR="007A377D" w:rsidRPr="002A4D6D">
              <w:rPr>
                <w:b/>
                <w:i/>
                <w:spacing w:val="-2"/>
                <w:sz w:val="26"/>
                <w:szCs w:val="26"/>
              </w:rPr>
              <w:t xml:space="preserve">i, jeb īpašs </w:t>
            </w:r>
            <w:r w:rsidR="008C212F" w:rsidRPr="002A4D6D">
              <w:rPr>
                <w:b/>
                <w:i/>
                <w:spacing w:val="-2"/>
                <w:sz w:val="26"/>
                <w:szCs w:val="26"/>
              </w:rPr>
              <w:t>PVN</w:t>
            </w:r>
            <w:r w:rsidR="007A377D" w:rsidRPr="002A4D6D">
              <w:rPr>
                <w:b/>
                <w:i/>
                <w:spacing w:val="-2"/>
                <w:sz w:val="26"/>
                <w:szCs w:val="26"/>
              </w:rPr>
              <w:t xml:space="preserve"> režīms no treš</w:t>
            </w:r>
            <w:r w:rsidR="008C212F" w:rsidRPr="002A4D6D">
              <w:rPr>
                <w:b/>
                <w:i/>
                <w:spacing w:val="-2"/>
                <w:sz w:val="26"/>
                <w:szCs w:val="26"/>
              </w:rPr>
              <w:t>aj</w:t>
            </w:r>
            <w:r w:rsidR="007A377D" w:rsidRPr="002A4D6D">
              <w:rPr>
                <w:b/>
                <w:i/>
                <w:spacing w:val="-2"/>
                <w:sz w:val="26"/>
                <w:szCs w:val="26"/>
              </w:rPr>
              <w:t>ām</w:t>
            </w:r>
            <w:r w:rsidR="008C212F" w:rsidRPr="002A4D6D">
              <w:rPr>
                <w:b/>
                <w:i/>
                <w:spacing w:val="-2"/>
                <w:sz w:val="26"/>
                <w:szCs w:val="26"/>
              </w:rPr>
              <w:t xml:space="preserve"> valstīm</w:t>
            </w:r>
            <w:r w:rsidR="007A377D" w:rsidRPr="002A4D6D">
              <w:rPr>
                <w:b/>
                <w:i/>
                <w:spacing w:val="-2"/>
                <w:sz w:val="26"/>
                <w:szCs w:val="26"/>
              </w:rPr>
              <w:t xml:space="preserve"> vai treš</w:t>
            </w:r>
            <w:r w:rsidR="008C212F" w:rsidRPr="002A4D6D">
              <w:rPr>
                <w:b/>
                <w:i/>
                <w:spacing w:val="-2"/>
                <w:sz w:val="26"/>
                <w:szCs w:val="26"/>
              </w:rPr>
              <w:t>aj</w:t>
            </w:r>
            <w:r w:rsidR="007A377D" w:rsidRPr="002A4D6D">
              <w:rPr>
                <w:b/>
                <w:i/>
                <w:spacing w:val="-2"/>
                <w:sz w:val="26"/>
                <w:szCs w:val="26"/>
              </w:rPr>
              <w:t xml:space="preserve">ām </w:t>
            </w:r>
            <w:r w:rsidR="00AE1822" w:rsidRPr="002A4D6D">
              <w:rPr>
                <w:b/>
                <w:i/>
                <w:spacing w:val="-2"/>
                <w:sz w:val="26"/>
                <w:szCs w:val="26"/>
              </w:rPr>
              <w:t>teritorijām</w:t>
            </w:r>
            <w:r w:rsidR="008C212F" w:rsidRPr="002A4D6D">
              <w:rPr>
                <w:b/>
                <w:i/>
                <w:spacing w:val="-2"/>
                <w:sz w:val="26"/>
                <w:szCs w:val="26"/>
              </w:rPr>
              <w:t xml:space="preserve"> </w:t>
            </w:r>
            <w:r w:rsidR="007A377D" w:rsidRPr="002A4D6D">
              <w:rPr>
                <w:b/>
                <w:i/>
                <w:spacing w:val="-2"/>
                <w:sz w:val="26"/>
                <w:szCs w:val="26"/>
              </w:rPr>
              <w:t>importētu preču sūtījuma deklarēšanai un samaksai</w:t>
            </w:r>
          </w:p>
          <w:p w14:paraId="6B801894" w14:textId="787B7C90" w:rsidR="009621CA" w:rsidRPr="002A4D6D" w:rsidRDefault="003F2698" w:rsidP="002A4D6D">
            <w:pPr>
              <w:ind w:left="118" w:right="113"/>
              <w:jc w:val="both"/>
              <w:rPr>
                <w:spacing w:val="-2"/>
                <w:sz w:val="26"/>
                <w:szCs w:val="26"/>
                <w:lang w:eastAsia="lv-LV"/>
              </w:rPr>
            </w:pPr>
            <w:r w:rsidRPr="002A4D6D">
              <w:rPr>
                <w:spacing w:val="-2"/>
                <w:sz w:val="26"/>
                <w:szCs w:val="26"/>
                <w:lang w:eastAsia="lv-LV"/>
              </w:rPr>
              <w:t>4.1. </w:t>
            </w:r>
            <w:r w:rsidR="001F6D11" w:rsidRPr="002A4D6D">
              <w:rPr>
                <w:spacing w:val="-2"/>
                <w:sz w:val="26"/>
                <w:szCs w:val="26"/>
                <w:lang w:eastAsia="lv-LV"/>
              </w:rPr>
              <w:t>P</w:t>
            </w:r>
            <w:r w:rsidR="00C93B26" w:rsidRPr="002A4D6D">
              <w:rPr>
                <w:spacing w:val="-2"/>
                <w:sz w:val="26"/>
                <w:szCs w:val="26"/>
                <w:lang w:eastAsia="lv-LV"/>
              </w:rPr>
              <w:t>ēc strauja e-komercijas uzp</w:t>
            </w:r>
            <w:r w:rsidR="001F6D11" w:rsidRPr="002A4D6D">
              <w:rPr>
                <w:spacing w:val="-2"/>
                <w:sz w:val="26"/>
                <w:szCs w:val="26"/>
                <w:lang w:eastAsia="lv-LV"/>
              </w:rPr>
              <w:t xml:space="preserve">laukuma un no tā izrietošā </w:t>
            </w:r>
            <w:r w:rsidR="00C93B26" w:rsidRPr="002A4D6D">
              <w:rPr>
                <w:spacing w:val="-2"/>
                <w:sz w:val="26"/>
                <w:szCs w:val="26"/>
                <w:lang w:eastAsia="lv-LV"/>
              </w:rPr>
              <w:t xml:space="preserve">importētu preču sūtījumu skaita pieauguma, ar 2021.gada </w:t>
            </w:r>
            <w:r w:rsidR="00C93B26" w:rsidRPr="002A4D6D">
              <w:rPr>
                <w:spacing w:val="-2"/>
                <w:sz w:val="26"/>
                <w:szCs w:val="26"/>
                <w:lang w:eastAsia="lv-LV"/>
              </w:rPr>
              <w:lastRenderedPageBreak/>
              <w:t>1.janvāri plānots ieviest vienkāršošanas pasākumus personām, kas uzrāda preces muita</w:t>
            </w:r>
            <w:r w:rsidR="00AE1822" w:rsidRPr="002A4D6D">
              <w:rPr>
                <w:spacing w:val="-2"/>
                <w:sz w:val="26"/>
                <w:szCs w:val="26"/>
                <w:lang w:eastAsia="lv-LV"/>
              </w:rPr>
              <w:t>s iestāde</w:t>
            </w:r>
            <w:r w:rsidR="00C93B26" w:rsidRPr="002A4D6D">
              <w:rPr>
                <w:spacing w:val="-2"/>
                <w:sz w:val="26"/>
                <w:szCs w:val="26"/>
                <w:lang w:eastAsia="lv-LV"/>
              </w:rPr>
              <w:t>i (pasta operatori, kurjer</w:t>
            </w:r>
            <w:r w:rsidR="00DA7100" w:rsidRPr="002A4D6D">
              <w:rPr>
                <w:spacing w:val="-2"/>
                <w:sz w:val="26"/>
                <w:szCs w:val="26"/>
                <w:lang w:eastAsia="lv-LV"/>
              </w:rPr>
              <w:t>past</w:t>
            </w:r>
            <w:r w:rsidR="00C93B26" w:rsidRPr="002A4D6D">
              <w:rPr>
                <w:spacing w:val="-2"/>
                <w:sz w:val="26"/>
                <w:szCs w:val="26"/>
                <w:lang w:eastAsia="lv-LV"/>
              </w:rPr>
              <w:t>i)</w:t>
            </w:r>
            <w:r w:rsidR="00AE1822" w:rsidRPr="002A4D6D">
              <w:rPr>
                <w:spacing w:val="-2"/>
                <w:sz w:val="26"/>
                <w:szCs w:val="26"/>
                <w:lang w:eastAsia="lv-LV"/>
              </w:rPr>
              <w:t>,</w:t>
            </w:r>
            <w:r w:rsidR="00011413" w:rsidRPr="002A4D6D">
              <w:rPr>
                <w:spacing w:val="-2"/>
                <w:sz w:val="26"/>
                <w:szCs w:val="26"/>
                <w:lang w:eastAsia="lv-LV"/>
              </w:rPr>
              <w:t xml:space="preserve"> </w:t>
            </w:r>
            <w:r w:rsidR="00AE1822" w:rsidRPr="002A4D6D">
              <w:rPr>
                <w:spacing w:val="-2"/>
                <w:sz w:val="26"/>
                <w:szCs w:val="26"/>
                <w:lang w:eastAsia="lv-LV"/>
              </w:rPr>
              <w:t>ieviešot</w:t>
            </w:r>
            <w:r w:rsidR="00011413" w:rsidRPr="002A4D6D">
              <w:rPr>
                <w:spacing w:val="-2"/>
                <w:sz w:val="26"/>
                <w:szCs w:val="26"/>
                <w:lang w:eastAsia="lv-LV"/>
              </w:rPr>
              <w:t xml:space="preserve"> īpaš</w:t>
            </w:r>
            <w:r w:rsidR="00AE1822" w:rsidRPr="002A4D6D">
              <w:rPr>
                <w:spacing w:val="-2"/>
                <w:sz w:val="26"/>
                <w:szCs w:val="26"/>
                <w:lang w:eastAsia="lv-LV"/>
              </w:rPr>
              <w:t>u</w:t>
            </w:r>
            <w:r w:rsidR="00011413" w:rsidRPr="002A4D6D">
              <w:rPr>
                <w:spacing w:val="-2"/>
                <w:sz w:val="26"/>
                <w:szCs w:val="26"/>
                <w:lang w:eastAsia="lv-LV"/>
              </w:rPr>
              <w:t xml:space="preserve"> </w:t>
            </w:r>
            <w:r w:rsidR="007A377D" w:rsidRPr="002A4D6D">
              <w:rPr>
                <w:spacing w:val="-2"/>
                <w:sz w:val="26"/>
                <w:szCs w:val="26"/>
                <w:lang w:eastAsia="lv-LV"/>
              </w:rPr>
              <w:t>režīmu PVN maksātājiem, kas uzrāda preces muita</w:t>
            </w:r>
            <w:r w:rsidR="00AE1822" w:rsidRPr="002A4D6D">
              <w:rPr>
                <w:spacing w:val="-2"/>
                <w:sz w:val="26"/>
                <w:szCs w:val="26"/>
                <w:lang w:eastAsia="lv-LV"/>
              </w:rPr>
              <w:t>s iestāde</w:t>
            </w:r>
            <w:r w:rsidR="007A377D" w:rsidRPr="002A4D6D">
              <w:rPr>
                <w:spacing w:val="-2"/>
                <w:sz w:val="26"/>
                <w:szCs w:val="26"/>
                <w:lang w:eastAsia="lv-LV"/>
              </w:rPr>
              <w:t xml:space="preserve">i, </w:t>
            </w:r>
            <w:r w:rsidR="00AE1822" w:rsidRPr="002A4D6D">
              <w:rPr>
                <w:spacing w:val="-2"/>
                <w:sz w:val="26"/>
                <w:szCs w:val="26"/>
                <w:lang w:eastAsia="lv-LV"/>
              </w:rPr>
              <w:t xml:space="preserve">un </w:t>
            </w:r>
            <w:r w:rsidR="00C93B26" w:rsidRPr="002A4D6D">
              <w:rPr>
                <w:spacing w:val="-2"/>
                <w:sz w:val="26"/>
                <w:szCs w:val="26"/>
                <w:lang w:eastAsia="lv-LV"/>
              </w:rPr>
              <w:t xml:space="preserve">ļaujot </w:t>
            </w:r>
            <w:r w:rsidR="00011413" w:rsidRPr="002A4D6D">
              <w:rPr>
                <w:spacing w:val="-2"/>
                <w:sz w:val="26"/>
                <w:szCs w:val="26"/>
              </w:rPr>
              <w:t xml:space="preserve">samaksāt iekasēto </w:t>
            </w:r>
            <w:r w:rsidR="00164CEB" w:rsidRPr="002A4D6D">
              <w:rPr>
                <w:spacing w:val="-2"/>
                <w:sz w:val="26"/>
                <w:szCs w:val="26"/>
              </w:rPr>
              <w:t xml:space="preserve">PVN par </w:t>
            </w:r>
            <w:r w:rsidR="007A377D" w:rsidRPr="002A4D6D">
              <w:rPr>
                <w:spacing w:val="-2"/>
                <w:sz w:val="26"/>
                <w:szCs w:val="26"/>
              </w:rPr>
              <w:t xml:space="preserve">no trešajām valstīm vai trešajām teritorijām importētu </w:t>
            </w:r>
            <w:r w:rsidR="00164CEB" w:rsidRPr="002A4D6D">
              <w:rPr>
                <w:spacing w:val="-2"/>
                <w:sz w:val="26"/>
                <w:szCs w:val="26"/>
              </w:rPr>
              <w:t>preču sūtījum</w:t>
            </w:r>
            <w:r w:rsidR="0090623D" w:rsidRPr="002A4D6D">
              <w:rPr>
                <w:spacing w:val="-2"/>
                <w:sz w:val="26"/>
                <w:szCs w:val="26"/>
              </w:rPr>
              <w:t>u</w:t>
            </w:r>
            <w:r w:rsidR="00164CEB" w:rsidRPr="002A4D6D">
              <w:rPr>
                <w:spacing w:val="-2"/>
                <w:sz w:val="26"/>
                <w:szCs w:val="26"/>
              </w:rPr>
              <w:t xml:space="preserve"> </w:t>
            </w:r>
            <w:r w:rsidR="00AE1822" w:rsidRPr="002A4D6D">
              <w:rPr>
                <w:spacing w:val="-2"/>
                <w:sz w:val="26"/>
                <w:szCs w:val="26"/>
              </w:rPr>
              <w:t xml:space="preserve">kā </w:t>
            </w:r>
            <w:r w:rsidR="00011413" w:rsidRPr="002A4D6D">
              <w:rPr>
                <w:spacing w:val="-2"/>
                <w:sz w:val="26"/>
                <w:szCs w:val="26"/>
              </w:rPr>
              <w:t>kopsumm</w:t>
            </w:r>
            <w:r w:rsidR="00AE1822" w:rsidRPr="002A4D6D">
              <w:rPr>
                <w:spacing w:val="-2"/>
                <w:sz w:val="26"/>
                <w:szCs w:val="26"/>
              </w:rPr>
              <w:t>u</w:t>
            </w:r>
            <w:r w:rsidR="00011413" w:rsidRPr="002A4D6D">
              <w:rPr>
                <w:spacing w:val="-2"/>
                <w:sz w:val="26"/>
                <w:szCs w:val="26"/>
              </w:rPr>
              <w:t xml:space="preserve"> reizi mēnesī. </w:t>
            </w:r>
            <w:r w:rsidR="00C93B26" w:rsidRPr="002A4D6D">
              <w:rPr>
                <w:spacing w:val="-2"/>
                <w:sz w:val="26"/>
                <w:szCs w:val="26"/>
                <w:lang w:eastAsia="lv-LV"/>
              </w:rPr>
              <w:t xml:space="preserve">Līdzīgi kā </w:t>
            </w:r>
            <w:r w:rsidR="00CC767E" w:rsidRPr="002A4D6D">
              <w:rPr>
                <w:spacing w:val="-2"/>
                <w:sz w:val="26"/>
                <w:szCs w:val="26"/>
                <w:lang w:eastAsia="lv-LV"/>
              </w:rPr>
              <w:t>IOSS</w:t>
            </w:r>
            <w:r w:rsidR="00C93B26" w:rsidRPr="002A4D6D">
              <w:rPr>
                <w:spacing w:val="-2"/>
                <w:sz w:val="26"/>
                <w:szCs w:val="26"/>
                <w:lang w:eastAsia="lv-LV"/>
              </w:rPr>
              <w:t>,</w:t>
            </w:r>
            <w:r w:rsidR="009904E2" w:rsidRPr="002A4D6D">
              <w:rPr>
                <w:spacing w:val="-2"/>
                <w:sz w:val="26"/>
                <w:szCs w:val="26"/>
                <w:lang w:eastAsia="lv-LV"/>
              </w:rPr>
              <w:t xml:space="preserve"> īpaša </w:t>
            </w:r>
            <w:r w:rsidR="00C93B26" w:rsidRPr="002A4D6D">
              <w:rPr>
                <w:spacing w:val="-2"/>
                <w:sz w:val="26"/>
                <w:szCs w:val="26"/>
                <w:lang w:eastAsia="lv-LV"/>
              </w:rPr>
              <w:t xml:space="preserve">režīma </w:t>
            </w:r>
            <w:r w:rsidR="00AE1822" w:rsidRPr="002A4D6D">
              <w:rPr>
                <w:spacing w:val="-2"/>
                <w:sz w:val="26"/>
                <w:szCs w:val="26"/>
                <w:lang w:eastAsia="lv-LV"/>
              </w:rPr>
              <w:t xml:space="preserve">PVN maksātājiem, kas uzrāda preces muitas iestādei, </w:t>
            </w:r>
            <w:r w:rsidR="009904E2" w:rsidRPr="002A4D6D">
              <w:rPr>
                <w:spacing w:val="-2"/>
                <w:sz w:val="26"/>
                <w:szCs w:val="26"/>
                <w:lang w:eastAsia="lv-LV"/>
              </w:rPr>
              <w:t xml:space="preserve">darbības joma ir ierobežota, attiecinot to </w:t>
            </w:r>
            <w:r w:rsidR="00A631C7" w:rsidRPr="002A4D6D">
              <w:rPr>
                <w:spacing w:val="-2"/>
                <w:sz w:val="26"/>
                <w:szCs w:val="26"/>
                <w:lang w:eastAsia="lv-LV"/>
              </w:rPr>
              <w:t xml:space="preserve">uz </w:t>
            </w:r>
            <w:r w:rsidR="00991753" w:rsidRPr="002A4D6D">
              <w:rPr>
                <w:spacing w:val="-2"/>
                <w:sz w:val="26"/>
                <w:szCs w:val="26"/>
                <w:lang w:eastAsia="lv-LV"/>
              </w:rPr>
              <w:t xml:space="preserve">tādu </w:t>
            </w:r>
            <w:r w:rsidR="007A377D" w:rsidRPr="002A4D6D">
              <w:rPr>
                <w:spacing w:val="-2"/>
                <w:sz w:val="26"/>
                <w:szCs w:val="26"/>
                <w:lang w:eastAsia="lv-LV"/>
              </w:rPr>
              <w:t xml:space="preserve">no trešajām valstīm vai trešajām teritorijām importētu </w:t>
            </w:r>
            <w:r w:rsidR="00164CEB" w:rsidRPr="002A4D6D">
              <w:rPr>
                <w:spacing w:val="-2"/>
                <w:sz w:val="26"/>
                <w:szCs w:val="26"/>
                <w:lang w:eastAsia="lv-LV"/>
              </w:rPr>
              <w:t>preču</w:t>
            </w:r>
            <w:r w:rsidR="0090623D" w:rsidRPr="002A4D6D">
              <w:rPr>
                <w:spacing w:val="-2"/>
                <w:sz w:val="26"/>
                <w:szCs w:val="26"/>
                <w:lang w:eastAsia="lv-LV"/>
              </w:rPr>
              <w:t>,</w:t>
            </w:r>
            <w:r w:rsidR="00164CEB" w:rsidRPr="002A4D6D">
              <w:rPr>
                <w:spacing w:val="-2"/>
                <w:sz w:val="26"/>
                <w:szCs w:val="26"/>
                <w:lang w:eastAsia="lv-LV"/>
              </w:rPr>
              <w:t xml:space="preserve"> </w:t>
            </w:r>
            <w:r w:rsidR="0090623D" w:rsidRPr="002A4D6D">
              <w:rPr>
                <w:spacing w:val="-2"/>
                <w:sz w:val="26"/>
                <w:szCs w:val="26"/>
                <w:lang w:eastAsia="lv-LV"/>
              </w:rPr>
              <w:t>izņemot akcīzes pre</w:t>
            </w:r>
            <w:r w:rsidR="007A377D" w:rsidRPr="002A4D6D">
              <w:rPr>
                <w:spacing w:val="-2"/>
                <w:sz w:val="26"/>
                <w:szCs w:val="26"/>
                <w:lang w:eastAsia="lv-LV"/>
              </w:rPr>
              <w:t>ču</w:t>
            </w:r>
            <w:r w:rsidR="0090623D" w:rsidRPr="002A4D6D">
              <w:rPr>
                <w:spacing w:val="-2"/>
                <w:sz w:val="26"/>
                <w:szCs w:val="26"/>
                <w:lang w:eastAsia="lv-LV"/>
              </w:rPr>
              <w:t xml:space="preserve">, </w:t>
            </w:r>
            <w:r w:rsidR="00164CEB" w:rsidRPr="002A4D6D">
              <w:rPr>
                <w:spacing w:val="-2"/>
                <w:sz w:val="26"/>
                <w:szCs w:val="26"/>
                <w:lang w:eastAsia="lv-LV"/>
              </w:rPr>
              <w:t>sūtījum</w:t>
            </w:r>
            <w:r w:rsidR="0090623D" w:rsidRPr="002A4D6D">
              <w:rPr>
                <w:spacing w:val="-2"/>
                <w:sz w:val="26"/>
                <w:szCs w:val="26"/>
                <w:lang w:eastAsia="lv-LV"/>
              </w:rPr>
              <w:t>u</w:t>
            </w:r>
            <w:r w:rsidR="00164CEB" w:rsidRPr="002A4D6D">
              <w:rPr>
                <w:spacing w:val="-2"/>
                <w:sz w:val="26"/>
                <w:szCs w:val="26"/>
                <w:lang w:eastAsia="lv-LV"/>
              </w:rPr>
              <w:t>, kur</w:t>
            </w:r>
            <w:r w:rsidR="0090623D" w:rsidRPr="002A4D6D">
              <w:rPr>
                <w:spacing w:val="-2"/>
                <w:sz w:val="26"/>
                <w:szCs w:val="26"/>
                <w:lang w:eastAsia="lv-LV"/>
              </w:rPr>
              <w:t>a</w:t>
            </w:r>
            <w:r w:rsidR="00164CEB" w:rsidRPr="002A4D6D">
              <w:rPr>
                <w:spacing w:val="-2"/>
                <w:sz w:val="26"/>
                <w:szCs w:val="26"/>
                <w:lang w:eastAsia="lv-LV"/>
              </w:rPr>
              <w:t xml:space="preserve"> patiesā vērtība nepārsniedz 150 </w:t>
            </w:r>
            <w:proofErr w:type="spellStart"/>
            <w:r w:rsidR="00164CEB" w:rsidRPr="002A4D6D">
              <w:rPr>
                <w:i/>
                <w:spacing w:val="-2"/>
                <w:sz w:val="26"/>
                <w:szCs w:val="26"/>
                <w:lang w:eastAsia="lv-LV"/>
              </w:rPr>
              <w:t>euro</w:t>
            </w:r>
            <w:proofErr w:type="spellEnd"/>
            <w:r w:rsidR="00C93B26" w:rsidRPr="002A4D6D">
              <w:rPr>
                <w:spacing w:val="-2"/>
                <w:sz w:val="26"/>
                <w:szCs w:val="26"/>
                <w:lang w:eastAsia="lv-LV"/>
              </w:rPr>
              <w:t>. Īpaš</w:t>
            </w:r>
            <w:r w:rsidR="00991753" w:rsidRPr="002A4D6D">
              <w:rPr>
                <w:spacing w:val="-2"/>
                <w:sz w:val="26"/>
                <w:szCs w:val="26"/>
                <w:lang w:eastAsia="lv-LV"/>
              </w:rPr>
              <w:t>o</w:t>
            </w:r>
            <w:r w:rsidR="00C93B26" w:rsidRPr="002A4D6D">
              <w:rPr>
                <w:spacing w:val="-2"/>
                <w:sz w:val="26"/>
                <w:szCs w:val="26"/>
                <w:lang w:eastAsia="lv-LV"/>
              </w:rPr>
              <w:t xml:space="preserve"> režīmu </w:t>
            </w:r>
            <w:r w:rsidR="00AE1822" w:rsidRPr="002A4D6D">
              <w:rPr>
                <w:spacing w:val="-2"/>
                <w:sz w:val="26"/>
                <w:szCs w:val="26"/>
                <w:lang w:eastAsia="lv-LV"/>
              </w:rPr>
              <w:t>PVN maksātājiem, kas uzrāda preces muit</w:t>
            </w:r>
            <w:r w:rsidR="00226A2C" w:rsidRPr="002A4D6D">
              <w:rPr>
                <w:spacing w:val="-2"/>
                <w:sz w:val="26"/>
                <w:szCs w:val="26"/>
                <w:lang w:eastAsia="lv-LV"/>
              </w:rPr>
              <w:t>as iestāde</w:t>
            </w:r>
            <w:r w:rsidR="00AE1822" w:rsidRPr="002A4D6D">
              <w:rPr>
                <w:spacing w:val="-2"/>
                <w:sz w:val="26"/>
                <w:szCs w:val="26"/>
                <w:lang w:eastAsia="lv-LV"/>
              </w:rPr>
              <w:t>i,</w:t>
            </w:r>
            <w:r w:rsidR="007A377D" w:rsidRPr="002A4D6D">
              <w:rPr>
                <w:spacing w:val="-2"/>
                <w:sz w:val="26"/>
                <w:szCs w:val="26"/>
                <w:lang w:eastAsia="lv-LV"/>
              </w:rPr>
              <w:t xml:space="preserve"> </w:t>
            </w:r>
            <w:r w:rsidR="00C93B26" w:rsidRPr="002A4D6D">
              <w:rPr>
                <w:spacing w:val="-2"/>
                <w:sz w:val="26"/>
                <w:szCs w:val="26"/>
                <w:lang w:eastAsia="lv-LV"/>
              </w:rPr>
              <w:t xml:space="preserve"> var izmantot, ja netiek izmantots </w:t>
            </w:r>
            <w:r w:rsidR="00164CEB" w:rsidRPr="002A4D6D">
              <w:rPr>
                <w:spacing w:val="-2"/>
                <w:sz w:val="26"/>
                <w:szCs w:val="26"/>
                <w:lang w:eastAsia="lv-LV"/>
              </w:rPr>
              <w:t>IOSS</w:t>
            </w:r>
            <w:r w:rsidR="00C93B26" w:rsidRPr="002A4D6D">
              <w:rPr>
                <w:spacing w:val="-2"/>
                <w:sz w:val="26"/>
                <w:szCs w:val="26"/>
                <w:lang w:eastAsia="lv-LV"/>
              </w:rPr>
              <w:t xml:space="preserve"> un preču</w:t>
            </w:r>
            <w:r w:rsidR="00A631C7" w:rsidRPr="002A4D6D">
              <w:rPr>
                <w:spacing w:val="-2"/>
                <w:sz w:val="26"/>
                <w:szCs w:val="26"/>
                <w:lang w:eastAsia="lv-LV"/>
              </w:rPr>
              <w:t xml:space="preserve"> nosūtīšana vai transportēšana beidzas </w:t>
            </w:r>
            <w:r w:rsidR="00C93B26" w:rsidRPr="002A4D6D">
              <w:rPr>
                <w:spacing w:val="-2"/>
                <w:sz w:val="26"/>
                <w:szCs w:val="26"/>
                <w:lang w:eastAsia="lv-LV"/>
              </w:rPr>
              <w:t xml:space="preserve">importa dalībvalstī. </w:t>
            </w:r>
          </w:p>
          <w:p w14:paraId="15A5DCD1" w14:textId="603C6CB5" w:rsidR="009621CA" w:rsidRPr="002A4D6D" w:rsidRDefault="00C26BB3" w:rsidP="002A4D6D">
            <w:pPr>
              <w:ind w:left="118" w:right="113"/>
              <w:jc w:val="both"/>
              <w:rPr>
                <w:spacing w:val="-2"/>
                <w:sz w:val="26"/>
                <w:szCs w:val="26"/>
                <w:lang w:eastAsia="lv-LV"/>
              </w:rPr>
            </w:pPr>
            <w:r w:rsidRPr="002A4D6D">
              <w:rPr>
                <w:spacing w:val="-2"/>
                <w:sz w:val="26"/>
                <w:szCs w:val="26"/>
                <w:lang w:eastAsia="lv-LV"/>
              </w:rPr>
              <w:t xml:space="preserve">Lai nodrošinātu visās dalībvalstīs vienādu noteikumu piemērošanu </w:t>
            </w:r>
            <w:r w:rsidR="007A377D" w:rsidRPr="002A4D6D">
              <w:rPr>
                <w:spacing w:val="-2"/>
                <w:sz w:val="26"/>
                <w:szCs w:val="26"/>
                <w:lang w:eastAsia="lv-LV"/>
              </w:rPr>
              <w:t>PVN maksātājiem</w:t>
            </w:r>
            <w:r w:rsidRPr="002A4D6D">
              <w:rPr>
                <w:spacing w:val="-2"/>
                <w:sz w:val="26"/>
                <w:szCs w:val="26"/>
                <w:lang w:eastAsia="lv-LV"/>
              </w:rPr>
              <w:t>, kas uzrāda preces muita</w:t>
            </w:r>
            <w:r w:rsidR="00226A2C" w:rsidRPr="002A4D6D">
              <w:rPr>
                <w:spacing w:val="-2"/>
                <w:sz w:val="26"/>
                <w:szCs w:val="26"/>
                <w:lang w:eastAsia="lv-LV"/>
              </w:rPr>
              <w:t>s iestāde</w:t>
            </w:r>
            <w:r w:rsidRPr="002A4D6D">
              <w:rPr>
                <w:spacing w:val="-2"/>
                <w:sz w:val="26"/>
                <w:szCs w:val="26"/>
                <w:lang w:eastAsia="lv-LV"/>
              </w:rPr>
              <w:t>i, jēdziena</w:t>
            </w:r>
            <w:r w:rsidR="00ED0BC4" w:rsidRPr="002A4D6D">
              <w:rPr>
                <w:spacing w:val="-2"/>
                <w:sz w:val="26"/>
                <w:szCs w:val="26"/>
                <w:lang w:eastAsia="lv-LV"/>
              </w:rPr>
              <w:t xml:space="preserve"> “</w:t>
            </w:r>
            <w:r w:rsidR="000F175A" w:rsidRPr="002A4D6D">
              <w:rPr>
                <w:spacing w:val="-2"/>
                <w:sz w:val="26"/>
                <w:szCs w:val="26"/>
                <w:lang w:eastAsia="lv-LV"/>
              </w:rPr>
              <w:t xml:space="preserve">uzrāda preces muitai preču saņēmēja interesēs </w:t>
            </w:r>
            <w:r w:rsidRPr="002A4D6D">
              <w:rPr>
                <w:spacing w:val="-2"/>
                <w:sz w:val="26"/>
                <w:szCs w:val="26"/>
                <w:lang w:eastAsia="lv-LV"/>
              </w:rPr>
              <w:t>veicina” nozīme ir skaidrota Regulas 282</w:t>
            </w:r>
            <w:r w:rsidR="00164CEB" w:rsidRPr="002A4D6D">
              <w:rPr>
                <w:spacing w:val="-2"/>
                <w:sz w:val="26"/>
                <w:szCs w:val="26"/>
                <w:lang w:eastAsia="lv-LV"/>
              </w:rPr>
              <w:t>/2011</w:t>
            </w:r>
            <w:r w:rsidRPr="002A4D6D">
              <w:rPr>
                <w:spacing w:val="-2"/>
                <w:sz w:val="26"/>
                <w:szCs w:val="26"/>
                <w:lang w:eastAsia="lv-LV"/>
              </w:rPr>
              <w:t xml:space="preserve"> </w:t>
            </w:r>
            <w:r w:rsidR="000F175A" w:rsidRPr="002A4D6D">
              <w:rPr>
                <w:spacing w:val="-2"/>
                <w:sz w:val="26"/>
                <w:szCs w:val="26"/>
                <w:lang w:eastAsia="lv-LV"/>
              </w:rPr>
              <w:t>63.d pantā</w:t>
            </w:r>
            <w:r w:rsidR="00B257F2" w:rsidRPr="002A4D6D">
              <w:rPr>
                <w:spacing w:val="-2"/>
                <w:sz w:val="26"/>
                <w:szCs w:val="26"/>
                <w:lang w:eastAsia="lv-LV"/>
              </w:rPr>
              <w:t xml:space="preserve"> (Regulas 2019/2026 redakcijā).</w:t>
            </w:r>
          </w:p>
          <w:p w14:paraId="338A2F75" w14:textId="65C79076" w:rsidR="00027395" w:rsidRPr="002A4D6D" w:rsidRDefault="00423D00" w:rsidP="002A4D6D">
            <w:pPr>
              <w:ind w:left="118" w:right="113"/>
              <w:jc w:val="both"/>
              <w:rPr>
                <w:spacing w:val="-2"/>
                <w:sz w:val="26"/>
                <w:szCs w:val="26"/>
                <w:lang w:eastAsia="lv-LV"/>
              </w:rPr>
            </w:pPr>
            <w:r w:rsidRPr="002A4D6D">
              <w:rPr>
                <w:spacing w:val="-2"/>
                <w:sz w:val="26"/>
                <w:szCs w:val="26"/>
                <w:lang w:eastAsia="lv-LV"/>
              </w:rPr>
              <w:t xml:space="preserve">Tādēļ ir nepieciešams papildināt Pievienotās vērtības nodokļa likumu ar īpaša </w:t>
            </w:r>
            <w:r w:rsidR="007A377D" w:rsidRPr="002A4D6D">
              <w:rPr>
                <w:spacing w:val="-2"/>
                <w:sz w:val="26"/>
                <w:szCs w:val="26"/>
                <w:lang w:eastAsia="lv-LV"/>
              </w:rPr>
              <w:t>režīma PVN maksātājiem, kas uzrāda preces muita</w:t>
            </w:r>
            <w:r w:rsidR="00226A2C" w:rsidRPr="002A4D6D">
              <w:rPr>
                <w:spacing w:val="-2"/>
                <w:sz w:val="26"/>
                <w:szCs w:val="26"/>
                <w:lang w:eastAsia="lv-LV"/>
              </w:rPr>
              <w:t>s iestāde</w:t>
            </w:r>
            <w:r w:rsidR="007A377D" w:rsidRPr="002A4D6D">
              <w:rPr>
                <w:spacing w:val="-2"/>
                <w:sz w:val="26"/>
                <w:szCs w:val="26"/>
                <w:lang w:eastAsia="lv-LV"/>
              </w:rPr>
              <w:t xml:space="preserve">i, </w:t>
            </w:r>
            <w:r w:rsidRPr="002A4D6D">
              <w:rPr>
                <w:spacing w:val="-2"/>
                <w:sz w:val="26"/>
                <w:szCs w:val="26"/>
                <w:lang w:eastAsia="lv-LV"/>
              </w:rPr>
              <w:t>darbības tvērumu.</w:t>
            </w:r>
          </w:p>
          <w:p w14:paraId="151FE09B" w14:textId="2D6BC225" w:rsidR="00325FB8" w:rsidRPr="002A4D6D" w:rsidRDefault="00D40F43" w:rsidP="002A4D6D">
            <w:pPr>
              <w:ind w:left="118" w:right="113"/>
              <w:jc w:val="both"/>
              <w:rPr>
                <w:spacing w:val="-2"/>
                <w:sz w:val="26"/>
                <w:szCs w:val="26"/>
                <w:lang w:eastAsia="lv-LV"/>
              </w:rPr>
            </w:pPr>
            <w:r w:rsidRPr="002A4D6D">
              <w:rPr>
                <w:spacing w:val="-2"/>
                <w:sz w:val="26"/>
                <w:szCs w:val="26"/>
                <w:lang w:eastAsia="lv-LV"/>
              </w:rPr>
              <w:t>4.2. </w:t>
            </w:r>
            <w:r w:rsidR="00290EAC" w:rsidRPr="002A4D6D">
              <w:rPr>
                <w:spacing w:val="-2"/>
                <w:sz w:val="26"/>
                <w:szCs w:val="26"/>
                <w:lang w:eastAsia="lv-LV"/>
              </w:rPr>
              <w:t xml:space="preserve">Īpašs </w:t>
            </w:r>
            <w:r w:rsidR="007A377D" w:rsidRPr="002A4D6D">
              <w:rPr>
                <w:spacing w:val="-2"/>
                <w:sz w:val="26"/>
                <w:szCs w:val="26"/>
                <w:lang w:eastAsia="lv-LV"/>
              </w:rPr>
              <w:t xml:space="preserve">režīms PVN maksātājiem, kas uzrāda preces muitai, </w:t>
            </w:r>
            <w:r w:rsidR="00290EAC" w:rsidRPr="002A4D6D">
              <w:rPr>
                <w:spacing w:val="-2"/>
                <w:sz w:val="26"/>
                <w:szCs w:val="26"/>
                <w:lang w:eastAsia="lv-LV"/>
              </w:rPr>
              <w:t>nemaina esošās muitas procedūras</w:t>
            </w:r>
            <w:r w:rsidR="00794215" w:rsidRPr="002A4D6D">
              <w:rPr>
                <w:spacing w:val="-2"/>
                <w:sz w:val="26"/>
                <w:szCs w:val="26"/>
                <w:lang w:eastAsia="lv-LV"/>
              </w:rPr>
              <w:t>.</w:t>
            </w:r>
            <w:r w:rsidR="00290EAC" w:rsidRPr="002A4D6D">
              <w:rPr>
                <w:spacing w:val="-2"/>
                <w:sz w:val="26"/>
                <w:szCs w:val="26"/>
                <w:lang w:eastAsia="lv-LV"/>
              </w:rPr>
              <w:t xml:space="preserve"> </w:t>
            </w:r>
            <w:r w:rsidR="00794215" w:rsidRPr="002A4D6D">
              <w:rPr>
                <w:spacing w:val="-2"/>
                <w:sz w:val="26"/>
                <w:szCs w:val="26"/>
                <w:lang w:eastAsia="lv-LV"/>
              </w:rPr>
              <w:t>Regulējums</w:t>
            </w:r>
            <w:r w:rsidR="00290EAC" w:rsidRPr="002A4D6D">
              <w:rPr>
                <w:spacing w:val="-2"/>
                <w:sz w:val="26"/>
                <w:szCs w:val="26"/>
                <w:lang w:eastAsia="lv-LV"/>
              </w:rPr>
              <w:t xml:space="preserve"> paredz vienkāršošanas procedūras PVN</w:t>
            </w:r>
            <w:r w:rsidR="00794215" w:rsidRPr="002A4D6D">
              <w:rPr>
                <w:spacing w:val="-2"/>
                <w:sz w:val="26"/>
                <w:szCs w:val="26"/>
                <w:lang w:eastAsia="lv-LV"/>
              </w:rPr>
              <w:t xml:space="preserve"> jomā</w:t>
            </w:r>
            <w:r w:rsidR="002165E0" w:rsidRPr="002A4D6D">
              <w:rPr>
                <w:spacing w:val="-2"/>
                <w:sz w:val="26"/>
                <w:szCs w:val="26"/>
                <w:lang w:eastAsia="lv-LV"/>
              </w:rPr>
              <w:t>, nosakot, kā</w:t>
            </w:r>
            <w:r w:rsidR="0090623D" w:rsidRPr="002A4D6D">
              <w:rPr>
                <w:spacing w:val="-2"/>
                <w:sz w:val="26"/>
                <w:szCs w:val="26"/>
                <w:lang w:eastAsia="lv-LV"/>
              </w:rPr>
              <w:t xml:space="preserve"> par </w:t>
            </w:r>
            <w:r w:rsidR="007A377D" w:rsidRPr="002A4D6D">
              <w:rPr>
                <w:spacing w:val="-2"/>
                <w:sz w:val="26"/>
                <w:szCs w:val="26"/>
                <w:lang w:eastAsia="lv-LV"/>
              </w:rPr>
              <w:t xml:space="preserve">no trešajām valstīm vai trešajām teritorijām importētu </w:t>
            </w:r>
            <w:r w:rsidR="0090623D" w:rsidRPr="002A4D6D">
              <w:rPr>
                <w:spacing w:val="-2"/>
                <w:sz w:val="26"/>
                <w:szCs w:val="26"/>
                <w:lang w:eastAsia="lv-LV"/>
              </w:rPr>
              <w:t>preču sūtījumu</w:t>
            </w:r>
            <w:r w:rsidR="00290EAC" w:rsidRPr="002A4D6D">
              <w:rPr>
                <w:spacing w:val="-2"/>
                <w:sz w:val="26"/>
                <w:szCs w:val="26"/>
                <w:lang w:eastAsia="lv-LV"/>
              </w:rPr>
              <w:t xml:space="preserve"> </w:t>
            </w:r>
            <w:r w:rsidR="002165E0" w:rsidRPr="002A4D6D">
              <w:rPr>
                <w:spacing w:val="-2"/>
                <w:sz w:val="26"/>
                <w:szCs w:val="26"/>
                <w:lang w:eastAsia="lv-LV"/>
              </w:rPr>
              <w:t xml:space="preserve">ir </w:t>
            </w:r>
            <w:r w:rsidR="00290EAC" w:rsidRPr="002A4D6D">
              <w:rPr>
                <w:spacing w:val="-2"/>
                <w:sz w:val="26"/>
                <w:szCs w:val="26"/>
                <w:lang w:eastAsia="lv-LV"/>
              </w:rPr>
              <w:t>deklarē</w:t>
            </w:r>
            <w:r w:rsidR="002165E0" w:rsidRPr="002A4D6D">
              <w:rPr>
                <w:spacing w:val="-2"/>
                <w:sz w:val="26"/>
                <w:szCs w:val="26"/>
                <w:lang w:eastAsia="lv-LV"/>
              </w:rPr>
              <w:t>jams</w:t>
            </w:r>
            <w:r w:rsidR="00290EAC" w:rsidRPr="002A4D6D">
              <w:rPr>
                <w:spacing w:val="-2"/>
                <w:sz w:val="26"/>
                <w:szCs w:val="26"/>
                <w:lang w:eastAsia="lv-LV"/>
              </w:rPr>
              <w:t xml:space="preserve"> un maksā</w:t>
            </w:r>
            <w:r w:rsidR="002165E0" w:rsidRPr="002A4D6D">
              <w:rPr>
                <w:spacing w:val="-2"/>
                <w:sz w:val="26"/>
                <w:szCs w:val="26"/>
                <w:lang w:eastAsia="lv-LV"/>
              </w:rPr>
              <w:t>jams PVN</w:t>
            </w:r>
            <w:r w:rsidR="00290EAC" w:rsidRPr="002A4D6D">
              <w:rPr>
                <w:spacing w:val="-2"/>
                <w:sz w:val="26"/>
                <w:szCs w:val="26"/>
                <w:lang w:eastAsia="lv-LV"/>
              </w:rPr>
              <w:t xml:space="preserve">. Līdz ar to </w:t>
            </w:r>
            <w:r w:rsidR="007A377D" w:rsidRPr="002A4D6D">
              <w:rPr>
                <w:spacing w:val="-2"/>
                <w:sz w:val="26"/>
                <w:szCs w:val="26"/>
                <w:lang w:eastAsia="lv-LV"/>
              </w:rPr>
              <w:t>PVN maksātājam</w:t>
            </w:r>
            <w:r w:rsidR="00290EAC" w:rsidRPr="002A4D6D">
              <w:rPr>
                <w:spacing w:val="-2"/>
                <w:sz w:val="26"/>
                <w:szCs w:val="26"/>
                <w:lang w:eastAsia="lv-LV"/>
              </w:rPr>
              <w:t xml:space="preserve">, kas uzrāda preces muitai, </w:t>
            </w:r>
            <w:r w:rsidR="00A343F6" w:rsidRPr="002A4D6D">
              <w:rPr>
                <w:spacing w:val="-2"/>
                <w:sz w:val="26"/>
                <w:szCs w:val="26"/>
                <w:lang w:eastAsia="lv-LV"/>
              </w:rPr>
              <w:t xml:space="preserve">attiecībā uz </w:t>
            </w:r>
            <w:r w:rsidR="00226A2C" w:rsidRPr="002A4D6D">
              <w:rPr>
                <w:spacing w:val="-2"/>
                <w:sz w:val="26"/>
                <w:szCs w:val="26"/>
                <w:lang w:eastAsia="lv-LV"/>
              </w:rPr>
              <w:t xml:space="preserve">no trešajām valstīm vai trešajām teritorijām importētu </w:t>
            </w:r>
            <w:r w:rsidR="00290EAC" w:rsidRPr="002A4D6D">
              <w:rPr>
                <w:spacing w:val="-2"/>
                <w:sz w:val="26"/>
                <w:szCs w:val="26"/>
                <w:lang w:eastAsia="lv-LV"/>
              </w:rPr>
              <w:t>preču sūt</w:t>
            </w:r>
            <w:r w:rsidR="00A343F6" w:rsidRPr="002A4D6D">
              <w:rPr>
                <w:spacing w:val="-2"/>
                <w:sz w:val="26"/>
                <w:szCs w:val="26"/>
                <w:lang w:eastAsia="lv-LV"/>
              </w:rPr>
              <w:t>ījum</w:t>
            </w:r>
            <w:r w:rsidR="0090623D" w:rsidRPr="002A4D6D">
              <w:rPr>
                <w:spacing w:val="-2"/>
                <w:sz w:val="26"/>
                <w:szCs w:val="26"/>
                <w:lang w:eastAsia="lv-LV"/>
              </w:rPr>
              <w:t>a</w:t>
            </w:r>
            <w:r w:rsidR="00290EAC" w:rsidRPr="002A4D6D">
              <w:rPr>
                <w:spacing w:val="-2"/>
                <w:sz w:val="26"/>
                <w:szCs w:val="26"/>
                <w:lang w:eastAsia="lv-LV"/>
              </w:rPr>
              <w:t xml:space="preserve"> </w:t>
            </w:r>
            <w:r w:rsidR="00A343F6" w:rsidRPr="002A4D6D">
              <w:rPr>
                <w:spacing w:val="-2"/>
                <w:sz w:val="26"/>
                <w:szCs w:val="26"/>
                <w:lang w:eastAsia="lv-LV"/>
              </w:rPr>
              <w:t xml:space="preserve">muitošanu nekas nemainās, un </w:t>
            </w:r>
            <w:r w:rsidR="0090623D" w:rsidRPr="002A4D6D">
              <w:rPr>
                <w:spacing w:val="-2"/>
                <w:sz w:val="26"/>
                <w:szCs w:val="26"/>
                <w:lang w:eastAsia="lv-LV"/>
              </w:rPr>
              <w:t>preču sūtījum</w:t>
            </w:r>
            <w:r w:rsidR="007A377D" w:rsidRPr="002A4D6D">
              <w:rPr>
                <w:spacing w:val="-2"/>
                <w:sz w:val="26"/>
                <w:szCs w:val="26"/>
                <w:lang w:eastAsia="lv-LV"/>
              </w:rPr>
              <w:t>s ir atmuitojams</w:t>
            </w:r>
            <w:r w:rsidR="00A343F6" w:rsidRPr="002A4D6D">
              <w:rPr>
                <w:spacing w:val="-2"/>
                <w:sz w:val="26"/>
                <w:szCs w:val="26"/>
                <w:lang w:eastAsia="lv-LV"/>
              </w:rPr>
              <w:t xml:space="preserve"> </w:t>
            </w:r>
            <w:r w:rsidR="0090623D" w:rsidRPr="002A4D6D">
              <w:rPr>
                <w:spacing w:val="-2"/>
                <w:sz w:val="26"/>
                <w:szCs w:val="26"/>
                <w:lang w:eastAsia="lv-LV"/>
              </w:rPr>
              <w:t>pašreizēj</w:t>
            </w:r>
            <w:r w:rsidR="00A343F6" w:rsidRPr="002A4D6D">
              <w:rPr>
                <w:spacing w:val="-2"/>
                <w:sz w:val="26"/>
                <w:szCs w:val="26"/>
                <w:lang w:eastAsia="lv-LV"/>
              </w:rPr>
              <w:t>ā</w:t>
            </w:r>
            <w:r w:rsidR="00290EAC" w:rsidRPr="002A4D6D">
              <w:rPr>
                <w:spacing w:val="-2"/>
                <w:sz w:val="26"/>
                <w:szCs w:val="26"/>
                <w:lang w:eastAsia="lv-LV"/>
              </w:rPr>
              <w:t xml:space="preserve"> muitas normatīvajos aktos noteiktajā kārtīb</w:t>
            </w:r>
            <w:r w:rsidR="00A343F6" w:rsidRPr="002A4D6D">
              <w:rPr>
                <w:spacing w:val="-2"/>
                <w:sz w:val="26"/>
                <w:szCs w:val="26"/>
                <w:lang w:eastAsia="lv-LV"/>
              </w:rPr>
              <w:t xml:space="preserve">ā. </w:t>
            </w:r>
            <w:r w:rsidR="002165E0" w:rsidRPr="002A4D6D">
              <w:rPr>
                <w:spacing w:val="-2"/>
                <w:sz w:val="26"/>
                <w:szCs w:val="26"/>
                <w:lang w:eastAsia="lv-LV"/>
              </w:rPr>
              <w:t xml:space="preserve">PVN piemērošanas vienkāršošanas nolūka tiek noteikts, ka </w:t>
            </w:r>
            <w:r w:rsidR="0090623D" w:rsidRPr="002A4D6D">
              <w:rPr>
                <w:spacing w:val="-2"/>
                <w:sz w:val="26"/>
                <w:szCs w:val="26"/>
                <w:lang w:eastAsia="lv-LV"/>
              </w:rPr>
              <w:t>PVN par preču sūtījumu</w:t>
            </w:r>
            <w:r w:rsidR="00010F9E" w:rsidRPr="002A4D6D">
              <w:rPr>
                <w:spacing w:val="-2"/>
                <w:sz w:val="26"/>
                <w:szCs w:val="26"/>
                <w:lang w:eastAsia="lv-LV"/>
              </w:rPr>
              <w:t>, uz kur</w:t>
            </w:r>
            <w:r w:rsidR="0090623D" w:rsidRPr="002A4D6D">
              <w:rPr>
                <w:spacing w:val="-2"/>
                <w:sz w:val="26"/>
                <w:szCs w:val="26"/>
                <w:lang w:eastAsia="lv-LV"/>
              </w:rPr>
              <w:t>u</w:t>
            </w:r>
            <w:r w:rsidR="00010F9E" w:rsidRPr="002A4D6D">
              <w:rPr>
                <w:spacing w:val="-2"/>
                <w:sz w:val="26"/>
                <w:szCs w:val="26"/>
                <w:lang w:eastAsia="lv-LV"/>
              </w:rPr>
              <w:t xml:space="preserve"> attiecina īpašu </w:t>
            </w:r>
            <w:r w:rsidR="007A377D" w:rsidRPr="002A4D6D">
              <w:rPr>
                <w:spacing w:val="-2"/>
                <w:sz w:val="26"/>
                <w:szCs w:val="26"/>
                <w:lang w:eastAsia="lv-LV"/>
              </w:rPr>
              <w:t>režīmu PVN maksātājiem, kas uzrāda preces muita</w:t>
            </w:r>
            <w:r w:rsidR="00226A2C" w:rsidRPr="002A4D6D">
              <w:rPr>
                <w:spacing w:val="-2"/>
                <w:sz w:val="26"/>
                <w:szCs w:val="26"/>
                <w:lang w:eastAsia="lv-LV"/>
              </w:rPr>
              <w:t>s iestāde</w:t>
            </w:r>
            <w:r w:rsidR="007A377D" w:rsidRPr="002A4D6D">
              <w:rPr>
                <w:spacing w:val="-2"/>
                <w:sz w:val="26"/>
                <w:szCs w:val="26"/>
                <w:lang w:eastAsia="lv-LV"/>
              </w:rPr>
              <w:t>i,</w:t>
            </w:r>
            <w:r w:rsidR="00B257F2" w:rsidRPr="002A4D6D">
              <w:rPr>
                <w:spacing w:val="-2"/>
                <w:sz w:val="26"/>
                <w:szCs w:val="26"/>
                <w:lang w:eastAsia="lv-LV"/>
              </w:rPr>
              <w:t xml:space="preserve"> </w:t>
            </w:r>
            <w:r w:rsidR="00991753" w:rsidRPr="002A4D6D">
              <w:rPr>
                <w:spacing w:val="-2"/>
                <w:sz w:val="26"/>
                <w:szCs w:val="26"/>
                <w:lang w:eastAsia="lv-LV"/>
              </w:rPr>
              <w:t>tiek uzrādīts</w:t>
            </w:r>
            <w:r w:rsidR="00226A2C" w:rsidRPr="002A4D6D">
              <w:rPr>
                <w:spacing w:val="-2"/>
                <w:sz w:val="26"/>
                <w:szCs w:val="26"/>
                <w:lang w:eastAsia="lv-LV"/>
              </w:rPr>
              <w:t xml:space="preserve"> kā </w:t>
            </w:r>
            <w:r w:rsidR="00010F9E" w:rsidRPr="002A4D6D">
              <w:rPr>
                <w:spacing w:val="-2"/>
                <w:sz w:val="26"/>
                <w:szCs w:val="26"/>
                <w:lang w:eastAsia="lv-LV"/>
              </w:rPr>
              <w:t>kopsumm</w:t>
            </w:r>
            <w:r w:rsidR="00226A2C" w:rsidRPr="002A4D6D">
              <w:rPr>
                <w:spacing w:val="-2"/>
                <w:sz w:val="26"/>
                <w:szCs w:val="26"/>
                <w:lang w:eastAsia="lv-LV"/>
              </w:rPr>
              <w:t>a</w:t>
            </w:r>
            <w:r w:rsidR="002165E0" w:rsidRPr="002A4D6D">
              <w:rPr>
                <w:spacing w:val="-2"/>
                <w:sz w:val="26"/>
                <w:szCs w:val="26"/>
                <w:lang w:eastAsia="lv-LV"/>
              </w:rPr>
              <w:t xml:space="preserve"> </w:t>
            </w:r>
            <w:r w:rsidR="00010F9E" w:rsidRPr="002A4D6D">
              <w:rPr>
                <w:spacing w:val="-2"/>
                <w:sz w:val="26"/>
                <w:szCs w:val="26"/>
                <w:lang w:eastAsia="lv-LV"/>
              </w:rPr>
              <w:t>par katru mēnesi</w:t>
            </w:r>
            <w:r w:rsidR="00011413" w:rsidRPr="002A4D6D">
              <w:rPr>
                <w:spacing w:val="-2"/>
                <w:sz w:val="26"/>
                <w:szCs w:val="26"/>
                <w:lang w:eastAsia="lv-LV"/>
              </w:rPr>
              <w:t xml:space="preserve"> muitas iestādes izsniegtajā paziņojumā</w:t>
            </w:r>
            <w:r w:rsidR="00010F9E" w:rsidRPr="002A4D6D">
              <w:rPr>
                <w:spacing w:val="-2"/>
                <w:sz w:val="26"/>
                <w:szCs w:val="26"/>
                <w:lang w:eastAsia="lv-LV"/>
              </w:rPr>
              <w:t xml:space="preserve">. </w:t>
            </w:r>
            <w:r w:rsidR="007E17C6" w:rsidRPr="002A4D6D">
              <w:rPr>
                <w:spacing w:val="-2"/>
                <w:sz w:val="26"/>
                <w:szCs w:val="26"/>
                <w:lang w:eastAsia="lv-LV"/>
              </w:rPr>
              <w:t>Tādēļ ir nepieciešams papildināt Pievienotās vērtības nodokļa likumu ar PVN</w:t>
            </w:r>
            <w:r w:rsidR="00011413" w:rsidRPr="002A4D6D">
              <w:rPr>
                <w:spacing w:val="-2"/>
                <w:sz w:val="26"/>
                <w:szCs w:val="26"/>
                <w:lang w:eastAsia="lv-LV"/>
              </w:rPr>
              <w:t xml:space="preserve"> par preču sūtījum</w:t>
            </w:r>
            <w:r w:rsidR="0090623D" w:rsidRPr="002A4D6D">
              <w:rPr>
                <w:spacing w:val="-2"/>
                <w:sz w:val="26"/>
                <w:szCs w:val="26"/>
                <w:lang w:eastAsia="lv-LV"/>
              </w:rPr>
              <w:t>u</w:t>
            </w:r>
            <w:r w:rsidR="00A343F6" w:rsidRPr="002A4D6D">
              <w:rPr>
                <w:spacing w:val="-2"/>
                <w:sz w:val="26"/>
                <w:szCs w:val="26"/>
                <w:lang w:eastAsia="lv-LV"/>
              </w:rPr>
              <w:t>, uz kur</w:t>
            </w:r>
            <w:r w:rsidR="0090623D" w:rsidRPr="002A4D6D">
              <w:rPr>
                <w:spacing w:val="-2"/>
                <w:sz w:val="26"/>
                <w:szCs w:val="26"/>
                <w:lang w:eastAsia="lv-LV"/>
              </w:rPr>
              <w:t>u</w:t>
            </w:r>
            <w:r w:rsidR="00A343F6" w:rsidRPr="002A4D6D">
              <w:rPr>
                <w:spacing w:val="-2"/>
                <w:sz w:val="26"/>
                <w:szCs w:val="26"/>
                <w:lang w:eastAsia="lv-LV"/>
              </w:rPr>
              <w:t xml:space="preserve"> attiecina īpašu </w:t>
            </w:r>
            <w:r w:rsidR="007A377D" w:rsidRPr="002A4D6D">
              <w:rPr>
                <w:spacing w:val="-2"/>
                <w:sz w:val="26"/>
                <w:szCs w:val="26"/>
                <w:lang w:eastAsia="lv-LV"/>
              </w:rPr>
              <w:t>režīmu PVN maksātājiem, kas uzrāda preces muita</w:t>
            </w:r>
            <w:r w:rsidR="00226A2C" w:rsidRPr="002A4D6D">
              <w:rPr>
                <w:spacing w:val="-2"/>
                <w:sz w:val="26"/>
                <w:szCs w:val="26"/>
                <w:lang w:eastAsia="lv-LV"/>
              </w:rPr>
              <w:t>s iestāde</w:t>
            </w:r>
            <w:r w:rsidR="007A377D" w:rsidRPr="002A4D6D">
              <w:rPr>
                <w:spacing w:val="-2"/>
                <w:sz w:val="26"/>
                <w:szCs w:val="26"/>
                <w:lang w:eastAsia="lv-LV"/>
              </w:rPr>
              <w:t>i,</w:t>
            </w:r>
            <w:r w:rsidR="007E17C6" w:rsidRPr="002A4D6D">
              <w:rPr>
                <w:spacing w:val="-2"/>
                <w:sz w:val="26"/>
                <w:szCs w:val="26"/>
                <w:lang w:eastAsia="lv-LV"/>
              </w:rPr>
              <w:t xml:space="preserve"> deklarēšanas kārtību.</w:t>
            </w:r>
          </w:p>
          <w:p w14:paraId="04194712" w14:textId="5E0E1AFA" w:rsidR="00914D13" w:rsidRPr="002A4D6D" w:rsidRDefault="007E17C6" w:rsidP="002A4D6D">
            <w:pPr>
              <w:ind w:left="118" w:right="113"/>
              <w:jc w:val="both"/>
              <w:rPr>
                <w:spacing w:val="-2"/>
                <w:sz w:val="26"/>
                <w:szCs w:val="26"/>
                <w:lang w:eastAsia="lv-LV"/>
              </w:rPr>
            </w:pPr>
            <w:r w:rsidRPr="002A4D6D">
              <w:rPr>
                <w:spacing w:val="-2"/>
                <w:sz w:val="26"/>
                <w:szCs w:val="26"/>
                <w:lang w:eastAsia="lv-LV"/>
              </w:rPr>
              <w:t>4.3. </w:t>
            </w:r>
            <w:r w:rsidR="00325FB8" w:rsidRPr="002A4D6D">
              <w:rPr>
                <w:spacing w:val="-2"/>
                <w:sz w:val="26"/>
                <w:szCs w:val="26"/>
                <w:lang w:eastAsia="lv-LV"/>
              </w:rPr>
              <w:t>P</w:t>
            </w:r>
            <w:r w:rsidRPr="002A4D6D">
              <w:rPr>
                <w:spacing w:val="-2"/>
                <w:sz w:val="26"/>
                <w:szCs w:val="26"/>
                <w:lang w:eastAsia="lv-LV"/>
              </w:rPr>
              <w:t xml:space="preserve">lānots, ka </w:t>
            </w:r>
            <w:r w:rsidR="007A377D" w:rsidRPr="002A4D6D">
              <w:rPr>
                <w:spacing w:val="-2"/>
                <w:sz w:val="26"/>
                <w:szCs w:val="26"/>
                <w:lang w:eastAsia="lv-LV"/>
              </w:rPr>
              <w:t>PVN maksātāji</w:t>
            </w:r>
            <w:r w:rsidR="00325FB8" w:rsidRPr="002A4D6D">
              <w:rPr>
                <w:spacing w:val="-2"/>
                <w:sz w:val="26"/>
                <w:szCs w:val="26"/>
                <w:lang w:eastAsia="lv-LV"/>
              </w:rPr>
              <w:t xml:space="preserve">, kas izmanto īpašu </w:t>
            </w:r>
            <w:r w:rsidR="007A377D" w:rsidRPr="002A4D6D">
              <w:rPr>
                <w:spacing w:val="-2"/>
                <w:sz w:val="26"/>
                <w:szCs w:val="26"/>
                <w:lang w:eastAsia="lv-LV"/>
              </w:rPr>
              <w:t>režīmu PVN maksātājiem, kas uzrāda preces muita</w:t>
            </w:r>
            <w:r w:rsidR="00226A2C" w:rsidRPr="002A4D6D">
              <w:rPr>
                <w:spacing w:val="-2"/>
                <w:sz w:val="26"/>
                <w:szCs w:val="26"/>
                <w:lang w:eastAsia="lv-LV"/>
              </w:rPr>
              <w:t>s iestāde</w:t>
            </w:r>
            <w:r w:rsidR="007A377D" w:rsidRPr="002A4D6D">
              <w:rPr>
                <w:spacing w:val="-2"/>
                <w:sz w:val="26"/>
                <w:szCs w:val="26"/>
                <w:lang w:eastAsia="lv-LV"/>
              </w:rPr>
              <w:t>i,</w:t>
            </w:r>
            <w:r w:rsidR="00325FB8" w:rsidRPr="002A4D6D">
              <w:rPr>
                <w:spacing w:val="-2"/>
                <w:sz w:val="26"/>
                <w:szCs w:val="26"/>
                <w:lang w:eastAsia="lv-LV"/>
              </w:rPr>
              <w:t xml:space="preserve">, </w:t>
            </w:r>
            <w:r w:rsidR="006D5117" w:rsidRPr="002A4D6D">
              <w:rPr>
                <w:spacing w:val="-2"/>
                <w:sz w:val="26"/>
                <w:szCs w:val="26"/>
                <w:lang w:eastAsia="lv-LV"/>
              </w:rPr>
              <w:t>PVN par</w:t>
            </w:r>
            <w:r w:rsidR="00DF3051" w:rsidRPr="002A4D6D">
              <w:rPr>
                <w:spacing w:val="-2"/>
                <w:sz w:val="26"/>
                <w:szCs w:val="26"/>
                <w:lang w:eastAsia="lv-LV"/>
              </w:rPr>
              <w:t xml:space="preserve"> preču sūtījum</w:t>
            </w:r>
            <w:r w:rsidR="0090623D" w:rsidRPr="002A4D6D">
              <w:rPr>
                <w:spacing w:val="-2"/>
                <w:sz w:val="26"/>
                <w:szCs w:val="26"/>
                <w:lang w:eastAsia="lv-LV"/>
              </w:rPr>
              <w:t>u</w:t>
            </w:r>
            <w:r w:rsidR="00DF3051" w:rsidRPr="002A4D6D">
              <w:rPr>
                <w:spacing w:val="-2"/>
                <w:sz w:val="26"/>
                <w:szCs w:val="26"/>
                <w:lang w:eastAsia="lv-LV"/>
              </w:rPr>
              <w:t xml:space="preserve"> </w:t>
            </w:r>
            <w:r w:rsidR="00011413" w:rsidRPr="002A4D6D">
              <w:rPr>
                <w:spacing w:val="-2"/>
                <w:sz w:val="26"/>
                <w:szCs w:val="26"/>
                <w:lang w:eastAsia="lv-LV"/>
              </w:rPr>
              <w:t>iemaksā</w:t>
            </w:r>
            <w:r w:rsidR="00027395" w:rsidRPr="002A4D6D">
              <w:rPr>
                <w:spacing w:val="-2"/>
                <w:sz w:val="26"/>
                <w:szCs w:val="26"/>
                <w:lang w:eastAsia="lv-LV"/>
              </w:rPr>
              <w:t xml:space="preserve"> </w:t>
            </w:r>
            <w:r w:rsidR="00325FB8" w:rsidRPr="002A4D6D">
              <w:rPr>
                <w:spacing w:val="-2"/>
                <w:sz w:val="26"/>
                <w:szCs w:val="26"/>
                <w:lang w:eastAsia="lv-LV"/>
              </w:rPr>
              <w:t>līdzīgā</w:t>
            </w:r>
            <w:r w:rsidR="00423D00" w:rsidRPr="002A4D6D">
              <w:rPr>
                <w:spacing w:val="-2"/>
                <w:sz w:val="26"/>
                <w:szCs w:val="26"/>
                <w:lang w:eastAsia="lv-LV"/>
              </w:rPr>
              <w:t xml:space="preserve"> termiņ</w:t>
            </w:r>
            <w:r w:rsidR="00325FB8" w:rsidRPr="002A4D6D">
              <w:rPr>
                <w:spacing w:val="-2"/>
                <w:sz w:val="26"/>
                <w:szCs w:val="26"/>
                <w:lang w:eastAsia="lv-LV"/>
              </w:rPr>
              <w:t>ā</w:t>
            </w:r>
            <w:r w:rsidR="00423D00" w:rsidRPr="002A4D6D">
              <w:rPr>
                <w:spacing w:val="-2"/>
                <w:sz w:val="26"/>
                <w:szCs w:val="26"/>
                <w:lang w:eastAsia="lv-LV"/>
              </w:rPr>
              <w:t>, kas attiecībā uz muitas nodokli noteikts Eiropas Parlamenta un Padomes 20</w:t>
            </w:r>
            <w:bookmarkStart w:id="4" w:name="_GoBack"/>
            <w:r w:rsidR="00423D00" w:rsidRPr="002A4D6D">
              <w:rPr>
                <w:spacing w:val="-2"/>
                <w:sz w:val="26"/>
                <w:szCs w:val="26"/>
                <w:lang w:eastAsia="lv-LV"/>
              </w:rPr>
              <w:t>13.</w:t>
            </w:r>
            <w:bookmarkEnd w:id="4"/>
            <w:r w:rsidR="00423D00" w:rsidRPr="002A4D6D">
              <w:rPr>
                <w:spacing w:val="-2"/>
                <w:sz w:val="26"/>
                <w:szCs w:val="26"/>
                <w:lang w:eastAsia="lv-LV"/>
              </w:rPr>
              <w:t>gada 9.oktobra regulā Nr.952/2013, ar ko izveido Savienības Muitas kodeksu</w:t>
            </w:r>
            <w:r w:rsidRPr="002A4D6D">
              <w:rPr>
                <w:spacing w:val="-2"/>
                <w:sz w:val="26"/>
                <w:szCs w:val="26"/>
                <w:lang w:eastAsia="lv-LV"/>
              </w:rPr>
              <w:t xml:space="preserve"> (turpmāk – Savienības Muitas kodekss)</w:t>
            </w:r>
            <w:r w:rsidR="00325FB8" w:rsidRPr="002A4D6D">
              <w:rPr>
                <w:spacing w:val="-2"/>
                <w:sz w:val="26"/>
                <w:szCs w:val="26"/>
                <w:lang w:eastAsia="lv-LV"/>
              </w:rPr>
              <w:t xml:space="preserve">, </w:t>
            </w:r>
            <w:r w:rsidR="00DF3051" w:rsidRPr="002A4D6D">
              <w:rPr>
                <w:spacing w:val="-2"/>
                <w:sz w:val="26"/>
                <w:szCs w:val="26"/>
                <w:lang w:eastAsia="lv-LV"/>
              </w:rPr>
              <w:t xml:space="preserve">t.i., </w:t>
            </w:r>
            <w:r w:rsidR="00DF3051" w:rsidRPr="002A4D6D">
              <w:rPr>
                <w:spacing w:val="-2"/>
                <w:sz w:val="26"/>
                <w:szCs w:val="26"/>
              </w:rPr>
              <w:t>līdz tā mēneša 16.datumam, kurš seko mēnesim, kurā preces ir deklarētas,</w:t>
            </w:r>
            <w:r w:rsidR="00DF3051" w:rsidRPr="002A4D6D">
              <w:rPr>
                <w:spacing w:val="-2"/>
                <w:sz w:val="26"/>
                <w:szCs w:val="26"/>
                <w:lang w:eastAsia="lv-LV"/>
              </w:rPr>
              <w:t xml:space="preserve"> </w:t>
            </w:r>
            <w:r w:rsidR="00325FB8" w:rsidRPr="002A4D6D">
              <w:rPr>
                <w:spacing w:val="-2"/>
                <w:sz w:val="26"/>
                <w:szCs w:val="26"/>
                <w:lang w:eastAsia="lv-LV"/>
              </w:rPr>
              <w:t xml:space="preserve">tādējādi nodrošinot konsekvenci attiecībā uz PVN un ievedmuitas nodokļa </w:t>
            </w:r>
            <w:r w:rsidR="00325FB8" w:rsidRPr="002A4D6D">
              <w:rPr>
                <w:spacing w:val="-2"/>
                <w:sz w:val="26"/>
                <w:szCs w:val="26"/>
                <w:lang w:eastAsia="lv-LV"/>
              </w:rPr>
              <w:lastRenderedPageBreak/>
              <w:t>samaksu par preču importu</w:t>
            </w:r>
            <w:r w:rsidR="00423D00" w:rsidRPr="002A4D6D">
              <w:rPr>
                <w:spacing w:val="-2"/>
                <w:sz w:val="26"/>
                <w:szCs w:val="26"/>
                <w:lang w:eastAsia="lv-LV"/>
              </w:rPr>
              <w:t xml:space="preserve">. </w:t>
            </w:r>
            <w:r w:rsidR="00A343F6" w:rsidRPr="002A4D6D">
              <w:rPr>
                <w:spacing w:val="-2"/>
                <w:sz w:val="26"/>
                <w:szCs w:val="26"/>
                <w:lang w:eastAsia="lv-LV"/>
              </w:rPr>
              <w:t>A</w:t>
            </w:r>
            <w:r w:rsidRPr="002A4D6D">
              <w:rPr>
                <w:spacing w:val="-2"/>
                <w:sz w:val="26"/>
                <w:szCs w:val="26"/>
                <w:lang w:eastAsia="lv-LV"/>
              </w:rPr>
              <w:t xml:space="preserve">r minēto regulējumu netiek mainīta vispārējā </w:t>
            </w:r>
            <w:r w:rsidR="00A343F6" w:rsidRPr="002A4D6D">
              <w:rPr>
                <w:spacing w:val="-2"/>
                <w:sz w:val="26"/>
                <w:szCs w:val="26"/>
                <w:lang w:eastAsia="lv-LV"/>
              </w:rPr>
              <w:t xml:space="preserve">muitas normatīvajos aktos noteiktā </w:t>
            </w:r>
            <w:r w:rsidRPr="002A4D6D">
              <w:rPr>
                <w:spacing w:val="-2"/>
                <w:sz w:val="26"/>
                <w:szCs w:val="26"/>
                <w:lang w:eastAsia="lv-LV"/>
              </w:rPr>
              <w:t>kārt</w:t>
            </w:r>
            <w:r w:rsidR="006D5117" w:rsidRPr="002A4D6D">
              <w:rPr>
                <w:spacing w:val="-2"/>
                <w:sz w:val="26"/>
                <w:szCs w:val="26"/>
                <w:lang w:eastAsia="lv-LV"/>
              </w:rPr>
              <w:t>ība</w:t>
            </w:r>
            <w:r w:rsidRPr="002A4D6D">
              <w:rPr>
                <w:spacing w:val="-2"/>
                <w:sz w:val="26"/>
                <w:szCs w:val="26"/>
                <w:lang w:eastAsia="lv-LV"/>
              </w:rPr>
              <w:t xml:space="preserve"> </w:t>
            </w:r>
            <w:r w:rsidR="00914D13" w:rsidRPr="002A4D6D">
              <w:rPr>
                <w:spacing w:val="-2"/>
                <w:sz w:val="26"/>
                <w:szCs w:val="26"/>
                <w:lang w:eastAsia="lv-LV"/>
              </w:rPr>
              <w:t xml:space="preserve">un </w:t>
            </w:r>
            <w:r w:rsidR="006D5117" w:rsidRPr="002A4D6D">
              <w:rPr>
                <w:spacing w:val="-2"/>
                <w:sz w:val="26"/>
                <w:szCs w:val="26"/>
                <w:lang w:eastAsia="lv-LV"/>
              </w:rPr>
              <w:t>samaksa</w:t>
            </w:r>
            <w:r w:rsidR="00914D13" w:rsidRPr="002A4D6D">
              <w:rPr>
                <w:spacing w:val="-2"/>
                <w:sz w:val="26"/>
                <w:szCs w:val="26"/>
                <w:lang w:eastAsia="lv-LV"/>
              </w:rPr>
              <w:t xml:space="preserve"> tiek atlikta, to</w:t>
            </w:r>
            <w:r w:rsidRPr="002A4D6D">
              <w:rPr>
                <w:spacing w:val="-2"/>
                <w:sz w:val="26"/>
                <w:szCs w:val="26"/>
                <w:lang w:eastAsia="lv-LV"/>
              </w:rPr>
              <w:t xml:space="preserve"> nodrošinot ar Savienības Muitas kodeksā minēto vispārējo galvojumu. </w:t>
            </w:r>
            <w:r w:rsidR="00B71C4C" w:rsidRPr="002A4D6D">
              <w:rPr>
                <w:spacing w:val="-2"/>
                <w:sz w:val="26"/>
                <w:szCs w:val="26"/>
                <w:lang w:eastAsia="lv-LV"/>
              </w:rPr>
              <w:t xml:space="preserve">Līdzīgi kā ievedmuitas nodoklis, kura samaksa ir atlikta atbilstoši muitas normatīvajiem aktiem, PVN </w:t>
            </w:r>
            <w:r w:rsidR="00914D13" w:rsidRPr="002A4D6D">
              <w:rPr>
                <w:spacing w:val="-2"/>
                <w:sz w:val="26"/>
                <w:szCs w:val="26"/>
                <w:lang w:eastAsia="lv-LV"/>
              </w:rPr>
              <w:t>iemaksā</w:t>
            </w:r>
            <w:r w:rsidR="00B71C4C" w:rsidRPr="002A4D6D">
              <w:rPr>
                <w:spacing w:val="-2"/>
                <w:sz w:val="26"/>
                <w:szCs w:val="26"/>
                <w:lang w:eastAsia="lv-LV"/>
              </w:rPr>
              <w:t xml:space="preserve"> deponēto naudas līdzekļu uzskaites kontā. </w:t>
            </w:r>
          </w:p>
          <w:p w14:paraId="208405BF" w14:textId="294916FE" w:rsidR="00C93B26" w:rsidRPr="002A4D6D" w:rsidRDefault="00991753" w:rsidP="002A4D6D">
            <w:pPr>
              <w:ind w:left="118" w:right="113"/>
              <w:jc w:val="both"/>
              <w:rPr>
                <w:spacing w:val="-2"/>
                <w:sz w:val="26"/>
                <w:szCs w:val="26"/>
                <w:lang w:eastAsia="lv-LV"/>
              </w:rPr>
            </w:pPr>
            <w:r w:rsidRPr="002A4D6D">
              <w:rPr>
                <w:spacing w:val="-2"/>
                <w:sz w:val="26"/>
                <w:szCs w:val="26"/>
                <w:lang w:eastAsia="lv-LV"/>
              </w:rPr>
              <w:t xml:space="preserve">Tādējādi </w:t>
            </w:r>
            <w:r w:rsidR="00423D00" w:rsidRPr="002A4D6D">
              <w:rPr>
                <w:spacing w:val="-2"/>
                <w:sz w:val="26"/>
                <w:szCs w:val="26"/>
                <w:lang w:eastAsia="lv-LV"/>
              </w:rPr>
              <w:t>Pievienotās vērtības nodokļa likum</w:t>
            </w:r>
            <w:r w:rsidR="00914D13" w:rsidRPr="002A4D6D">
              <w:rPr>
                <w:spacing w:val="-2"/>
                <w:sz w:val="26"/>
                <w:szCs w:val="26"/>
                <w:lang w:eastAsia="lv-LV"/>
              </w:rPr>
              <w:t xml:space="preserve">s tiek papildināts </w:t>
            </w:r>
            <w:r w:rsidR="00423D00" w:rsidRPr="002A4D6D">
              <w:rPr>
                <w:spacing w:val="-2"/>
                <w:sz w:val="26"/>
                <w:szCs w:val="26"/>
                <w:lang w:eastAsia="lv-LV"/>
              </w:rPr>
              <w:t xml:space="preserve">ar PVN maksāšanas </w:t>
            </w:r>
            <w:r w:rsidR="00027395" w:rsidRPr="002A4D6D">
              <w:rPr>
                <w:spacing w:val="-2"/>
                <w:sz w:val="26"/>
                <w:szCs w:val="26"/>
                <w:lang w:eastAsia="lv-LV"/>
              </w:rPr>
              <w:t>kārtību</w:t>
            </w:r>
            <w:r w:rsidR="00A343F6" w:rsidRPr="002A4D6D">
              <w:rPr>
                <w:spacing w:val="-2"/>
                <w:sz w:val="26"/>
                <w:szCs w:val="26"/>
                <w:lang w:eastAsia="lv-LV"/>
              </w:rPr>
              <w:t xml:space="preserve"> par preču sūtījum</w:t>
            </w:r>
            <w:r w:rsidR="0090623D" w:rsidRPr="002A4D6D">
              <w:rPr>
                <w:spacing w:val="-2"/>
                <w:sz w:val="26"/>
                <w:szCs w:val="26"/>
                <w:lang w:eastAsia="lv-LV"/>
              </w:rPr>
              <w:t>u</w:t>
            </w:r>
            <w:r w:rsidR="00226A2C" w:rsidRPr="002A4D6D">
              <w:rPr>
                <w:spacing w:val="-2"/>
                <w:sz w:val="26"/>
                <w:szCs w:val="26"/>
                <w:lang w:eastAsia="lv-LV"/>
              </w:rPr>
              <w:t>.</w:t>
            </w:r>
          </w:p>
          <w:p w14:paraId="575BB171" w14:textId="31F590A6" w:rsidR="00425912" w:rsidRPr="002A4D6D" w:rsidRDefault="00E1741A" w:rsidP="002A4D6D">
            <w:pPr>
              <w:ind w:left="118" w:right="113"/>
              <w:jc w:val="both"/>
              <w:rPr>
                <w:spacing w:val="-2"/>
                <w:sz w:val="26"/>
                <w:szCs w:val="26"/>
                <w:lang w:eastAsia="lv-LV"/>
              </w:rPr>
            </w:pPr>
            <w:r w:rsidRPr="002A4D6D">
              <w:rPr>
                <w:spacing w:val="-2"/>
                <w:sz w:val="26"/>
                <w:szCs w:val="26"/>
                <w:lang w:eastAsia="lv-LV"/>
              </w:rPr>
              <w:t>4.4. </w:t>
            </w:r>
            <w:r w:rsidR="006A460F" w:rsidRPr="002A4D6D">
              <w:rPr>
                <w:spacing w:val="-2"/>
                <w:sz w:val="26"/>
                <w:szCs w:val="26"/>
                <w:lang w:eastAsia="lv-LV"/>
              </w:rPr>
              <w:t xml:space="preserve">Lai mazinātu administratīvo slogu </w:t>
            </w:r>
            <w:r w:rsidR="007A377D" w:rsidRPr="002A4D6D">
              <w:rPr>
                <w:spacing w:val="-2"/>
                <w:sz w:val="26"/>
                <w:szCs w:val="26"/>
                <w:lang w:eastAsia="lv-LV"/>
              </w:rPr>
              <w:t>PVN maksātājiem</w:t>
            </w:r>
            <w:r w:rsidR="006A460F" w:rsidRPr="002A4D6D">
              <w:rPr>
                <w:spacing w:val="-2"/>
                <w:sz w:val="26"/>
                <w:szCs w:val="26"/>
                <w:lang w:eastAsia="lv-LV"/>
              </w:rPr>
              <w:t>, kas uzrāda preces muita</w:t>
            </w:r>
            <w:r w:rsidR="00226A2C" w:rsidRPr="002A4D6D">
              <w:rPr>
                <w:spacing w:val="-2"/>
                <w:sz w:val="26"/>
                <w:szCs w:val="26"/>
                <w:lang w:eastAsia="lv-LV"/>
              </w:rPr>
              <w:t>s iestāde</w:t>
            </w:r>
            <w:r w:rsidR="006A460F" w:rsidRPr="002A4D6D">
              <w:rPr>
                <w:spacing w:val="-2"/>
                <w:sz w:val="26"/>
                <w:szCs w:val="26"/>
                <w:lang w:eastAsia="lv-LV"/>
              </w:rPr>
              <w:t xml:space="preserve">i, pārbaudot preču </w:t>
            </w:r>
            <w:r w:rsidR="0090623D" w:rsidRPr="002A4D6D">
              <w:rPr>
                <w:spacing w:val="-2"/>
                <w:sz w:val="26"/>
                <w:szCs w:val="26"/>
                <w:lang w:eastAsia="lv-LV"/>
              </w:rPr>
              <w:t xml:space="preserve">sūtījuma </w:t>
            </w:r>
            <w:r w:rsidR="006A460F" w:rsidRPr="002A4D6D">
              <w:rPr>
                <w:spacing w:val="-2"/>
                <w:sz w:val="26"/>
                <w:szCs w:val="26"/>
                <w:lang w:eastAsia="lv-LV"/>
              </w:rPr>
              <w:t>saņēmēja aprēķinātās PVN likmes atbilstību faktiski piemērojamai PVN likmei, plānots noteikt, ka</w:t>
            </w:r>
            <w:r w:rsidR="00137370" w:rsidRPr="002A4D6D">
              <w:rPr>
                <w:spacing w:val="-2"/>
                <w:sz w:val="26"/>
                <w:szCs w:val="26"/>
                <w:lang w:eastAsia="lv-LV"/>
              </w:rPr>
              <w:t xml:space="preserve"> </w:t>
            </w:r>
            <w:r w:rsidRPr="002A4D6D">
              <w:rPr>
                <w:spacing w:val="-2"/>
                <w:sz w:val="26"/>
                <w:szCs w:val="26"/>
                <w:lang w:eastAsia="lv-LV"/>
              </w:rPr>
              <w:t xml:space="preserve">preču </w:t>
            </w:r>
            <w:r w:rsidR="00226A2C" w:rsidRPr="002A4D6D">
              <w:rPr>
                <w:spacing w:val="-2"/>
                <w:sz w:val="26"/>
                <w:szCs w:val="26"/>
                <w:lang w:eastAsia="lv-LV"/>
              </w:rPr>
              <w:t>sūtījumam</w:t>
            </w:r>
            <w:r w:rsidR="00137370" w:rsidRPr="002A4D6D">
              <w:rPr>
                <w:spacing w:val="-2"/>
                <w:sz w:val="26"/>
                <w:szCs w:val="26"/>
                <w:lang w:eastAsia="lv-LV"/>
              </w:rPr>
              <w:t>, īpaš</w:t>
            </w:r>
            <w:r w:rsidR="00991753" w:rsidRPr="002A4D6D">
              <w:rPr>
                <w:spacing w:val="-2"/>
                <w:sz w:val="26"/>
                <w:szCs w:val="26"/>
                <w:lang w:eastAsia="lv-LV"/>
              </w:rPr>
              <w:t>ā</w:t>
            </w:r>
            <w:r w:rsidR="00137370" w:rsidRPr="002A4D6D">
              <w:rPr>
                <w:spacing w:val="-2"/>
                <w:sz w:val="26"/>
                <w:szCs w:val="26"/>
                <w:lang w:eastAsia="lv-LV"/>
              </w:rPr>
              <w:t xml:space="preserve"> </w:t>
            </w:r>
            <w:r w:rsidR="007A377D" w:rsidRPr="002A4D6D">
              <w:rPr>
                <w:spacing w:val="-2"/>
                <w:sz w:val="26"/>
                <w:szCs w:val="26"/>
                <w:lang w:eastAsia="lv-LV"/>
              </w:rPr>
              <w:t>režīm</w:t>
            </w:r>
            <w:r w:rsidR="00226A2C" w:rsidRPr="002A4D6D">
              <w:rPr>
                <w:spacing w:val="-2"/>
                <w:sz w:val="26"/>
                <w:szCs w:val="26"/>
                <w:lang w:eastAsia="lv-LV"/>
              </w:rPr>
              <w:t>a</w:t>
            </w:r>
            <w:r w:rsidR="007A377D" w:rsidRPr="002A4D6D">
              <w:rPr>
                <w:spacing w:val="-2"/>
                <w:sz w:val="26"/>
                <w:szCs w:val="26"/>
                <w:lang w:eastAsia="lv-LV"/>
              </w:rPr>
              <w:t xml:space="preserve"> PVN maksātājiem, kas uzrāda preces muita</w:t>
            </w:r>
            <w:r w:rsidR="00226A2C" w:rsidRPr="002A4D6D">
              <w:rPr>
                <w:spacing w:val="-2"/>
                <w:sz w:val="26"/>
                <w:szCs w:val="26"/>
                <w:lang w:eastAsia="lv-LV"/>
              </w:rPr>
              <w:t>s iestāde</w:t>
            </w:r>
            <w:r w:rsidR="007A377D" w:rsidRPr="002A4D6D">
              <w:rPr>
                <w:spacing w:val="-2"/>
                <w:sz w:val="26"/>
                <w:szCs w:val="26"/>
                <w:lang w:eastAsia="lv-LV"/>
              </w:rPr>
              <w:t>i</w:t>
            </w:r>
            <w:r w:rsidR="00226A2C" w:rsidRPr="002A4D6D">
              <w:rPr>
                <w:spacing w:val="-2"/>
                <w:sz w:val="26"/>
                <w:szCs w:val="26"/>
                <w:lang w:eastAsia="lv-LV"/>
              </w:rPr>
              <w:t xml:space="preserve">, ietvaros </w:t>
            </w:r>
            <w:r w:rsidRPr="002A4D6D">
              <w:rPr>
                <w:spacing w:val="-2"/>
                <w:sz w:val="26"/>
                <w:szCs w:val="26"/>
                <w:lang w:eastAsia="lv-LV"/>
              </w:rPr>
              <w:t xml:space="preserve"> </w:t>
            </w:r>
            <w:r w:rsidR="00BC7830" w:rsidRPr="002A4D6D">
              <w:rPr>
                <w:spacing w:val="-2"/>
                <w:sz w:val="26"/>
                <w:szCs w:val="26"/>
                <w:lang w:eastAsia="lv-LV"/>
              </w:rPr>
              <w:t xml:space="preserve">būs </w:t>
            </w:r>
            <w:r w:rsidRPr="002A4D6D">
              <w:rPr>
                <w:spacing w:val="-2"/>
                <w:sz w:val="26"/>
                <w:szCs w:val="26"/>
                <w:lang w:eastAsia="lv-LV"/>
              </w:rPr>
              <w:t>piemēro</w:t>
            </w:r>
            <w:r w:rsidR="00BC7830" w:rsidRPr="002A4D6D">
              <w:rPr>
                <w:spacing w:val="-2"/>
                <w:sz w:val="26"/>
                <w:szCs w:val="26"/>
                <w:lang w:eastAsia="lv-LV"/>
              </w:rPr>
              <w:t>jama</w:t>
            </w:r>
            <w:r w:rsidRPr="002A4D6D">
              <w:rPr>
                <w:spacing w:val="-2"/>
                <w:sz w:val="26"/>
                <w:szCs w:val="26"/>
                <w:lang w:eastAsia="lv-LV"/>
              </w:rPr>
              <w:t xml:space="preserve"> PVN standartlikm</w:t>
            </w:r>
            <w:r w:rsidR="00BC7830" w:rsidRPr="002A4D6D">
              <w:rPr>
                <w:spacing w:val="-2"/>
                <w:sz w:val="26"/>
                <w:szCs w:val="26"/>
                <w:lang w:eastAsia="lv-LV"/>
              </w:rPr>
              <w:t xml:space="preserve">e. </w:t>
            </w:r>
            <w:r w:rsidR="00425912" w:rsidRPr="002A4D6D">
              <w:rPr>
                <w:spacing w:val="-2"/>
                <w:sz w:val="26"/>
                <w:szCs w:val="26"/>
                <w:lang w:eastAsia="lv-LV"/>
              </w:rPr>
              <w:t xml:space="preserve">Tādēļ ir nepieciešams papildināt Pievienotās vērtības nodokļa likumu ar nosacījumu, ka īpaša </w:t>
            </w:r>
            <w:r w:rsidR="00226A2C" w:rsidRPr="002A4D6D">
              <w:rPr>
                <w:spacing w:val="-2"/>
                <w:sz w:val="26"/>
                <w:szCs w:val="26"/>
                <w:lang w:eastAsia="lv-LV"/>
              </w:rPr>
              <w:t>režīma</w:t>
            </w:r>
            <w:r w:rsidR="006A75CA" w:rsidRPr="002A4D6D">
              <w:rPr>
                <w:spacing w:val="-2"/>
                <w:sz w:val="26"/>
                <w:szCs w:val="26"/>
                <w:lang w:eastAsia="lv-LV"/>
              </w:rPr>
              <w:t xml:space="preserve"> PVN maksātājiem, kas uzrāda preces muita</w:t>
            </w:r>
            <w:r w:rsidR="00226A2C" w:rsidRPr="002A4D6D">
              <w:rPr>
                <w:spacing w:val="-2"/>
                <w:sz w:val="26"/>
                <w:szCs w:val="26"/>
                <w:lang w:eastAsia="lv-LV"/>
              </w:rPr>
              <w:t>s iestāde</w:t>
            </w:r>
            <w:r w:rsidR="006A75CA" w:rsidRPr="002A4D6D">
              <w:rPr>
                <w:spacing w:val="-2"/>
                <w:sz w:val="26"/>
                <w:szCs w:val="26"/>
                <w:lang w:eastAsia="lv-LV"/>
              </w:rPr>
              <w:t xml:space="preserve">i, </w:t>
            </w:r>
            <w:r w:rsidR="0090623D" w:rsidRPr="002A4D6D">
              <w:rPr>
                <w:spacing w:val="-2"/>
                <w:sz w:val="26"/>
                <w:szCs w:val="26"/>
                <w:lang w:eastAsia="lv-LV"/>
              </w:rPr>
              <w:t xml:space="preserve">ietvaros </w:t>
            </w:r>
            <w:r w:rsidR="00425912" w:rsidRPr="002A4D6D">
              <w:rPr>
                <w:spacing w:val="-2"/>
                <w:sz w:val="26"/>
                <w:szCs w:val="26"/>
                <w:lang w:eastAsia="lv-LV"/>
              </w:rPr>
              <w:t>deklarētaj</w:t>
            </w:r>
            <w:r w:rsidR="0090623D" w:rsidRPr="002A4D6D">
              <w:rPr>
                <w:spacing w:val="-2"/>
                <w:sz w:val="26"/>
                <w:szCs w:val="26"/>
                <w:lang w:eastAsia="lv-LV"/>
              </w:rPr>
              <w:t>a</w:t>
            </w:r>
            <w:r w:rsidR="00425912" w:rsidRPr="002A4D6D">
              <w:rPr>
                <w:spacing w:val="-2"/>
                <w:sz w:val="26"/>
                <w:szCs w:val="26"/>
                <w:lang w:eastAsia="lv-LV"/>
              </w:rPr>
              <w:t>m preču sūtījum</w:t>
            </w:r>
            <w:r w:rsidR="0090623D" w:rsidRPr="002A4D6D">
              <w:rPr>
                <w:spacing w:val="-2"/>
                <w:sz w:val="26"/>
                <w:szCs w:val="26"/>
                <w:lang w:eastAsia="lv-LV"/>
              </w:rPr>
              <w:t>a</w:t>
            </w:r>
            <w:r w:rsidR="00425912" w:rsidRPr="002A4D6D">
              <w:rPr>
                <w:spacing w:val="-2"/>
                <w:sz w:val="26"/>
                <w:szCs w:val="26"/>
                <w:lang w:eastAsia="lv-LV"/>
              </w:rPr>
              <w:t>m tiks piemērota PVN standartlikme.</w:t>
            </w:r>
          </w:p>
          <w:p w14:paraId="780D173F" w14:textId="335DBE70" w:rsidR="00E1741A" w:rsidRPr="002A4D6D" w:rsidRDefault="006A75CA" w:rsidP="002A4D6D">
            <w:pPr>
              <w:ind w:left="118" w:right="113"/>
              <w:jc w:val="both"/>
              <w:rPr>
                <w:spacing w:val="-2"/>
                <w:sz w:val="26"/>
                <w:szCs w:val="26"/>
              </w:rPr>
            </w:pPr>
            <w:r w:rsidRPr="002A4D6D">
              <w:rPr>
                <w:spacing w:val="-2"/>
                <w:sz w:val="26"/>
                <w:szCs w:val="26"/>
                <w:lang w:eastAsia="lv-LV"/>
              </w:rPr>
              <w:t>No trešajām valstīm vai trešajām teritorijām importētu p</w:t>
            </w:r>
            <w:r w:rsidR="00425912" w:rsidRPr="002A4D6D">
              <w:rPr>
                <w:spacing w:val="-2"/>
                <w:sz w:val="26"/>
                <w:szCs w:val="26"/>
                <w:lang w:eastAsia="lv-LV"/>
              </w:rPr>
              <w:t xml:space="preserve">reču </w:t>
            </w:r>
            <w:r w:rsidR="003908C8" w:rsidRPr="002A4D6D">
              <w:rPr>
                <w:spacing w:val="-2"/>
                <w:sz w:val="26"/>
                <w:szCs w:val="26"/>
                <w:lang w:eastAsia="lv-LV"/>
              </w:rPr>
              <w:t>sūtījum</w:t>
            </w:r>
            <w:r w:rsidR="0090623D" w:rsidRPr="002A4D6D">
              <w:rPr>
                <w:spacing w:val="-2"/>
                <w:sz w:val="26"/>
                <w:szCs w:val="26"/>
                <w:lang w:eastAsia="lv-LV"/>
              </w:rPr>
              <w:t>a</w:t>
            </w:r>
            <w:r w:rsidR="003908C8" w:rsidRPr="002A4D6D">
              <w:rPr>
                <w:spacing w:val="-2"/>
                <w:sz w:val="26"/>
                <w:szCs w:val="26"/>
                <w:lang w:eastAsia="lv-LV"/>
              </w:rPr>
              <w:t xml:space="preserve">m </w:t>
            </w:r>
            <w:r w:rsidR="00BC7830" w:rsidRPr="002A4D6D">
              <w:rPr>
                <w:spacing w:val="-2"/>
                <w:sz w:val="26"/>
                <w:szCs w:val="26"/>
                <w:lang w:eastAsia="lv-LV"/>
              </w:rPr>
              <w:t xml:space="preserve">var piemērot PVN samazinātu likmi, ja </w:t>
            </w:r>
            <w:r w:rsidR="006D5117" w:rsidRPr="002A4D6D">
              <w:rPr>
                <w:spacing w:val="-2"/>
                <w:sz w:val="26"/>
                <w:szCs w:val="26"/>
                <w:lang w:eastAsia="lv-LV"/>
              </w:rPr>
              <w:t>importētās preces</w:t>
            </w:r>
            <w:r w:rsidR="00BC7830" w:rsidRPr="002A4D6D">
              <w:rPr>
                <w:spacing w:val="-2"/>
                <w:sz w:val="26"/>
                <w:szCs w:val="26"/>
                <w:lang w:eastAsia="lv-LV"/>
              </w:rPr>
              <w:t xml:space="preserve"> </w:t>
            </w:r>
            <w:r w:rsidR="007D66CC" w:rsidRPr="002A4D6D">
              <w:rPr>
                <w:spacing w:val="-2"/>
                <w:sz w:val="26"/>
                <w:szCs w:val="26"/>
                <w:lang w:eastAsia="lv-LV"/>
              </w:rPr>
              <w:t>(</w:t>
            </w:r>
            <w:r w:rsidR="007D66CC" w:rsidRPr="002A4D6D">
              <w:rPr>
                <w:spacing w:val="-2"/>
                <w:sz w:val="26"/>
                <w:szCs w:val="26"/>
              </w:rPr>
              <w:t>piemēram, grāmatas)</w:t>
            </w:r>
            <w:r w:rsidR="006D5117" w:rsidRPr="002A4D6D">
              <w:rPr>
                <w:spacing w:val="-2"/>
                <w:sz w:val="26"/>
                <w:szCs w:val="26"/>
              </w:rPr>
              <w:t xml:space="preserve"> </w:t>
            </w:r>
            <w:r w:rsidR="00BC7830" w:rsidRPr="002A4D6D">
              <w:rPr>
                <w:spacing w:val="-2"/>
                <w:sz w:val="26"/>
                <w:szCs w:val="26"/>
                <w:lang w:eastAsia="lv-LV"/>
              </w:rPr>
              <w:t xml:space="preserve">atbilst Pievienotās vērtības nodokļa likumā ietvertajām preču kategorijām, kurām piemēro </w:t>
            </w:r>
            <w:r w:rsidR="00E1741A" w:rsidRPr="002A4D6D">
              <w:rPr>
                <w:spacing w:val="-2"/>
                <w:sz w:val="26"/>
                <w:szCs w:val="26"/>
                <w:lang w:eastAsia="lv-LV"/>
              </w:rPr>
              <w:t>PVN samazinātās likmes</w:t>
            </w:r>
            <w:r w:rsidR="00425912" w:rsidRPr="002A4D6D">
              <w:rPr>
                <w:spacing w:val="-2"/>
                <w:sz w:val="26"/>
                <w:szCs w:val="26"/>
                <w:lang w:eastAsia="lv-LV"/>
              </w:rPr>
              <w:t>, un</w:t>
            </w:r>
            <w:r w:rsidR="00BC7830" w:rsidRPr="002A4D6D">
              <w:rPr>
                <w:spacing w:val="-2"/>
                <w:sz w:val="26"/>
                <w:szCs w:val="26"/>
                <w:lang w:eastAsia="lv-LV"/>
              </w:rPr>
              <w:t xml:space="preserve"> preču </w:t>
            </w:r>
            <w:r w:rsidR="0090623D" w:rsidRPr="002A4D6D">
              <w:rPr>
                <w:spacing w:val="-2"/>
                <w:sz w:val="26"/>
                <w:szCs w:val="26"/>
                <w:lang w:eastAsia="lv-LV"/>
              </w:rPr>
              <w:t xml:space="preserve">sūtījuma </w:t>
            </w:r>
            <w:r w:rsidR="00425912" w:rsidRPr="002A4D6D">
              <w:rPr>
                <w:spacing w:val="-2"/>
                <w:sz w:val="26"/>
                <w:szCs w:val="26"/>
                <w:lang w:eastAsia="lv-LV"/>
              </w:rPr>
              <w:t>saņēmējs</w:t>
            </w:r>
            <w:r w:rsidR="00E1741A" w:rsidRPr="002A4D6D">
              <w:rPr>
                <w:spacing w:val="-2"/>
                <w:sz w:val="26"/>
                <w:szCs w:val="26"/>
                <w:lang w:eastAsia="lv-LV"/>
              </w:rPr>
              <w:t xml:space="preserve"> noformē muitas deklarācij</w:t>
            </w:r>
            <w:r w:rsidR="00425912" w:rsidRPr="002A4D6D">
              <w:rPr>
                <w:spacing w:val="-2"/>
                <w:sz w:val="26"/>
                <w:szCs w:val="26"/>
                <w:lang w:eastAsia="lv-LV"/>
              </w:rPr>
              <w:t>u</w:t>
            </w:r>
            <w:r w:rsidR="005C5C4A" w:rsidRPr="002A4D6D">
              <w:rPr>
                <w:spacing w:val="-2"/>
                <w:sz w:val="26"/>
                <w:szCs w:val="26"/>
                <w:lang w:eastAsia="lv-LV"/>
              </w:rPr>
              <w:t xml:space="preserve"> (proti, neizmanto šo īpašo </w:t>
            </w:r>
            <w:r w:rsidRPr="002A4D6D">
              <w:rPr>
                <w:spacing w:val="-2"/>
                <w:sz w:val="26"/>
                <w:szCs w:val="26"/>
                <w:lang w:eastAsia="lv-LV"/>
              </w:rPr>
              <w:t>režīmu PVN maksātājiem, kas uzrāda preces muita</w:t>
            </w:r>
            <w:r w:rsidR="00226A2C" w:rsidRPr="002A4D6D">
              <w:rPr>
                <w:spacing w:val="-2"/>
                <w:sz w:val="26"/>
                <w:szCs w:val="26"/>
                <w:lang w:eastAsia="lv-LV"/>
              </w:rPr>
              <w:t>s iestāde</w:t>
            </w:r>
            <w:r w:rsidRPr="002A4D6D">
              <w:rPr>
                <w:spacing w:val="-2"/>
                <w:sz w:val="26"/>
                <w:szCs w:val="26"/>
                <w:lang w:eastAsia="lv-LV"/>
              </w:rPr>
              <w:t>i,</w:t>
            </w:r>
            <w:r w:rsidR="005C5C4A" w:rsidRPr="002A4D6D">
              <w:rPr>
                <w:spacing w:val="-2"/>
                <w:sz w:val="26"/>
                <w:szCs w:val="26"/>
                <w:lang w:eastAsia="lv-LV"/>
              </w:rPr>
              <w:t>)</w:t>
            </w:r>
            <w:r w:rsidR="00E1741A" w:rsidRPr="002A4D6D">
              <w:rPr>
                <w:spacing w:val="-2"/>
                <w:sz w:val="26"/>
                <w:szCs w:val="26"/>
                <w:lang w:eastAsia="lv-LV"/>
              </w:rPr>
              <w:t>.</w:t>
            </w:r>
            <w:r w:rsidR="006D5117" w:rsidRPr="002A4D6D">
              <w:rPr>
                <w:spacing w:val="-2"/>
                <w:sz w:val="26"/>
                <w:szCs w:val="26"/>
                <w:lang w:eastAsia="lv-LV"/>
              </w:rPr>
              <w:t xml:space="preserve"> Šajā gadījumā </w:t>
            </w:r>
            <w:r w:rsidR="003908C8" w:rsidRPr="002A4D6D">
              <w:rPr>
                <w:spacing w:val="-2"/>
                <w:sz w:val="26"/>
                <w:szCs w:val="26"/>
              </w:rPr>
              <w:t xml:space="preserve">preču </w:t>
            </w:r>
            <w:r w:rsidR="0090623D" w:rsidRPr="002A4D6D">
              <w:rPr>
                <w:spacing w:val="-2"/>
                <w:sz w:val="26"/>
                <w:szCs w:val="26"/>
              </w:rPr>
              <w:t xml:space="preserve">sūtījuma </w:t>
            </w:r>
            <w:r w:rsidR="003908C8" w:rsidRPr="002A4D6D">
              <w:rPr>
                <w:spacing w:val="-2"/>
                <w:sz w:val="26"/>
                <w:szCs w:val="26"/>
              </w:rPr>
              <w:t>saņēmējs</w:t>
            </w:r>
            <w:r w:rsidR="006D5117" w:rsidRPr="002A4D6D">
              <w:rPr>
                <w:spacing w:val="-2"/>
                <w:sz w:val="26"/>
                <w:szCs w:val="26"/>
              </w:rPr>
              <w:t xml:space="preserve"> varēs izm</w:t>
            </w:r>
            <w:r w:rsidR="003908C8" w:rsidRPr="002A4D6D">
              <w:rPr>
                <w:spacing w:val="-2"/>
                <w:sz w:val="26"/>
                <w:szCs w:val="26"/>
              </w:rPr>
              <w:t>antot pa</w:t>
            </w:r>
            <w:r w:rsidR="0090623D" w:rsidRPr="002A4D6D">
              <w:rPr>
                <w:spacing w:val="-2"/>
                <w:sz w:val="26"/>
                <w:szCs w:val="26"/>
              </w:rPr>
              <w:t>š</w:t>
            </w:r>
            <w:r w:rsidR="003908C8" w:rsidRPr="002A4D6D">
              <w:rPr>
                <w:spacing w:val="-2"/>
                <w:sz w:val="26"/>
                <w:szCs w:val="26"/>
              </w:rPr>
              <w:t>reizējo kārtību un pats</w:t>
            </w:r>
            <w:r w:rsidR="006D5117" w:rsidRPr="002A4D6D">
              <w:rPr>
                <w:spacing w:val="-2"/>
                <w:sz w:val="26"/>
                <w:szCs w:val="26"/>
              </w:rPr>
              <w:t xml:space="preserve"> veikt preču </w:t>
            </w:r>
            <w:r w:rsidR="003E2820" w:rsidRPr="002A4D6D">
              <w:rPr>
                <w:spacing w:val="-2"/>
                <w:sz w:val="26"/>
                <w:szCs w:val="26"/>
              </w:rPr>
              <w:t xml:space="preserve">sūtījuma </w:t>
            </w:r>
            <w:r w:rsidR="006D5117" w:rsidRPr="002A4D6D">
              <w:rPr>
                <w:spacing w:val="-2"/>
                <w:sz w:val="26"/>
                <w:szCs w:val="26"/>
              </w:rPr>
              <w:t>atmuitošanu VID EDS, elektroniski aizpildot un iesniedzot importa muitas deklarāciju un veicot aprēķinātā PVN samaksu tieš</w:t>
            </w:r>
            <w:r w:rsidR="00914D13" w:rsidRPr="002A4D6D">
              <w:rPr>
                <w:spacing w:val="-2"/>
                <w:sz w:val="26"/>
                <w:szCs w:val="26"/>
              </w:rPr>
              <w:t>s</w:t>
            </w:r>
            <w:r w:rsidR="006D5117" w:rsidRPr="002A4D6D">
              <w:rPr>
                <w:spacing w:val="-2"/>
                <w:sz w:val="26"/>
                <w:szCs w:val="26"/>
              </w:rPr>
              <w:t>aistē.</w:t>
            </w:r>
            <w:r w:rsidR="00914D13" w:rsidRPr="002A4D6D">
              <w:rPr>
                <w:spacing w:val="-2"/>
                <w:sz w:val="26"/>
                <w:szCs w:val="26"/>
              </w:rPr>
              <w:t xml:space="preserve"> Šajā</w:t>
            </w:r>
            <w:r w:rsidR="006D5117" w:rsidRPr="002A4D6D">
              <w:rPr>
                <w:spacing w:val="-2"/>
                <w:sz w:val="26"/>
                <w:szCs w:val="26"/>
              </w:rPr>
              <w:t xml:space="preserve"> </w:t>
            </w:r>
            <w:r w:rsidR="00914D13" w:rsidRPr="002A4D6D">
              <w:rPr>
                <w:spacing w:val="-2"/>
                <w:sz w:val="26"/>
                <w:szCs w:val="26"/>
              </w:rPr>
              <w:t>d</w:t>
            </w:r>
            <w:r w:rsidR="006D5117" w:rsidRPr="002A4D6D">
              <w:rPr>
                <w:spacing w:val="-2"/>
                <w:sz w:val="26"/>
                <w:szCs w:val="26"/>
              </w:rPr>
              <w:t xml:space="preserve">eklarācijā norādāmo datu apjoms ir minimāls salīdzinājumā ar pilno muitas deklarāciju. Visa deklarācijā norādāmā informācija </w:t>
            </w:r>
            <w:r w:rsidR="00914D13" w:rsidRPr="002A4D6D">
              <w:rPr>
                <w:spacing w:val="-2"/>
                <w:sz w:val="26"/>
                <w:szCs w:val="26"/>
              </w:rPr>
              <w:t>ir</w:t>
            </w:r>
            <w:r w:rsidR="006D5117" w:rsidRPr="002A4D6D">
              <w:rPr>
                <w:spacing w:val="-2"/>
                <w:sz w:val="26"/>
                <w:szCs w:val="26"/>
              </w:rPr>
              <w:t xml:space="preserve"> personas rīcībā</w:t>
            </w:r>
            <w:r w:rsidR="00914D13" w:rsidRPr="002A4D6D">
              <w:rPr>
                <w:spacing w:val="-2"/>
                <w:sz w:val="26"/>
                <w:szCs w:val="26"/>
              </w:rPr>
              <w:t>, jo</w:t>
            </w:r>
            <w:r w:rsidR="006D5117" w:rsidRPr="002A4D6D">
              <w:rPr>
                <w:spacing w:val="-2"/>
                <w:sz w:val="26"/>
                <w:szCs w:val="26"/>
              </w:rPr>
              <w:t xml:space="preserve"> </w:t>
            </w:r>
            <w:r w:rsidR="00914D13" w:rsidRPr="002A4D6D">
              <w:rPr>
                <w:spacing w:val="-2"/>
                <w:sz w:val="26"/>
                <w:szCs w:val="26"/>
              </w:rPr>
              <w:t>t</w:t>
            </w:r>
            <w:r w:rsidR="006D5117" w:rsidRPr="002A4D6D">
              <w:rPr>
                <w:spacing w:val="-2"/>
                <w:sz w:val="26"/>
                <w:szCs w:val="26"/>
              </w:rPr>
              <w:t>ā ir redzama pirkuma dokumentos vai preču piegādātāja atsūtītajā dokumentā par preču saņemšanu (piemēram, nosūtītāja nosaukums; nosūtītāja valsts, no kuras prece ir nosūtīta; preces apraksts (</w:t>
            </w:r>
            <w:r w:rsidR="00914D13" w:rsidRPr="002A4D6D">
              <w:rPr>
                <w:spacing w:val="-2"/>
                <w:sz w:val="26"/>
                <w:szCs w:val="26"/>
              </w:rPr>
              <w:t>ko jānorāda atbilstoši</w:t>
            </w:r>
            <w:r w:rsidR="006D5117" w:rsidRPr="002A4D6D">
              <w:rPr>
                <w:spacing w:val="-2"/>
                <w:sz w:val="26"/>
                <w:szCs w:val="26"/>
              </w:rPr>
              <w:t xml:space="preserve"> saraksta</w:t>
            </w:r>
            <w:r w:rsidR="00914D13" w:rsidRPr="002A4D6D">
              <w:rPr>
                <w:spacing w:val="-2"/>
                <w:sz w:val="26"/>
                <w:szCs w:val="26"/>
              </w:rPr>
              <w:t>m</w:t>
            </w:r>
            <w:r w:rsidR="006D5117" w:rsidRPr="002A4D6D">
              <w:rPr>
                <w:spacing w:val="-2"/>
                <w:sz w:val="26"/>
                <w:szCs w:val="26"/>
              </w:rPr>
              <w:t>); preces vērtība; valūta, kādā prece tika iegādāta; pasta sūtījuma izsekošanas numurs un preces pa</w:t>
            </w:r>
            <w:r w:rsidR="007D66CC" w:rsidRPr="002A4D6D">
              <w:rPr>
                <w:spacing w:val="-2"/>
                <w:sz w:val="26"/>
                <w:szCs w:val="26"/>
              </w:rPr>
              <w:t xml:space="preserve">gaidu uzglabāšanas deklarācijas </w:t>
            </w:r>
            <w:r w:rsidR="006D5117" w:rsidRPr="002A4D6D">
              <w:rPr>
                <w:spacing w:val="-2"/>
                <w:sz w:val="26"/>
                <w:szCs w:val="26"/>
              </w:rPr>
              <w:t xml:space="preserve">numurs). </w:t>
            </w:r>
            <w:r w:rsidR="007D66CC" w:rsidRPr="002A4D6D">
              <w:rPr>
                <w:spacing w:val="-2"/>
                <w:sz w:val="26"/>
                <w:szCs w:val="26"/>
              </w:rPr>
              <w:t>VID mājas lapā ir pieejams arī interaktīvs materiāls</w:t>
            </w:r>
            <w:r w:rsidR="007D66CC" w:rsidRPr="002A4D6D">
              <w:rPr>
                <w:rStyle w:val="FootnoteReference"/>
                <w:spacing w:val="-2"/>
                <w:sz w:val="26"/>
                <w:szCs w:val="26"/>
              </w:rPr>
              <w:footnoteReference w:id="9"/>
            </w:r>
            <w:r w:rsidR="007D66CC" w:rsidRPr="002A4D6D">
              <w:rPr>
                <w:spacing w:val="-2"/>
                <w:sz w:val="26"/>
                <w:szCs w:val="26"/>
              </w:rPr>
              <w:t>, kā noformēt un iesniegt muitas deklarāciju pasta sūtījumiem.</w:t>
            </w:r>
          </w:p>
          <w:p w14:paraId="4AA21300" w14:textId="63A8850D" w:rsidR="007F31BD" w:rsidRPr="002A4D6D" w:rsidRDefault="007F31BD" w:rsidP="002A4D6D">
            <w:pPr>
              <w:ind w:left="118" w:right="113"/>
              <w:jc w:val="both"/>
              <w:rPr>
                <w:spacing w:val="-2"/>
                <w:sz w:val="26"/>
                <w:szCs w:val="26"/>
                <w:lang w:eastAsia="lv-LV"/>
              </w:rPr>
            </w:pPr>
            <w:r w:rsidRPr="002A4D6D">
              <w:rPr>
                <w:spacing w:val="-2"/>
                <w:sz w:val="26"/>
                <w:szCs w:val="26"/>
                <w:lang w:eastAsia="lv-LV"/>
              </w:rPr>
              <w:t>4.</w:t>
            </w:r>
            <w:r w:rsidR="002433AF" w:rsidRPr="002A4D6D">
              <w:rPr>
                <w:spacing w:val="-2"/>
                <w:sz w:val="26"/>
                <w:szCs w:val="26"/>
                <w:lang w:eastAsia="lv-LV"/>
              </w:rPr>
              <w:t>5</w:t>
            </w:r>
            <w:r w:rsidRPr="002A4D6D">
              <w:rPr>
                <w:spacing w:val="-2"/>
                <w:sz w:val="26"/>
                <w:szCs w:val="26"/>
                <w:lang w:eastAsia="lv-LV"/>
              </w:rPr>
              <w:t>. </w:t>
            </w:r>
            <w:r w:rsidR="00C26BB3" w:rsidRPr="002A4D6D">
              <w:rPr>
                <w:spacing w:val="-2"/>
                <w:sz w:val="26"/>
                <w:szCs w:val="26"/>
                <w:lang w:eastAsia="lv-LV"/>
              </w:rPr>
              <w:t>Tiesiskās noteiktības labad plānots</w:t>
            </w:r>
            <w:r w:rsidRPr="002A4D6D">
              <w:rPr>
                <w:spacing w:val="-2"/>
                <w:sz w:val="26"/>
                <w:szCs w:val="26"/>
                <w:lang w:eastAsia="lv-LV"/>
              </w:rPr>
              <w:t xml:space="preserve"> nodalīt preču </w:t>
            </w:r>
            <w:r w:rsidR="003E2820" w:rsidRPr="002A4D6D">
              <w:rPr>
                <w:spacing w:val="-2"/>
                <w:sz w:val="26"/>
                <w:szCs w:val="26"/>
                <w:lang w:eastAsia="lv-LV"/>
              </w:rPr>
              <w:t xml:space="preserve">sūtījuma </w:t>
            </w:r>
            <w:r w:rsidRPr="002A4D6D">
              <w:rPr>
                <w:spacing w:val="-2"/>
                <w:sz w:val="26"/>
                <w:szCs w:val="26"/>
                <w:lang w:eastAsia="lv-LV"/>
              </w:rPr>
              <w:t xml:space="preserve">saņēmēja un </w:t>
            </w:r>
            <w:r w:rsidR="006A75CA" w:rsidRPr="002A4D6D">
              <w:rPr>
                <w:spacing w:val="-2"/>
                <w:sz w:val="26"/>
                <w:szCs w:val="26"/>
                <w:lang w:eastAsia="lv-LV"/>
              </w:rPr>
              <w:t>PVN maksātāja</w:t>
            </w:r>
            <w:r w:rsidRPr="002A4D6D">
              <w:rPr>
                <w:spacing w:val="-2"/>
                <w:sz w:val="26"/>
                <w:szCs w:val="26"/>
                <w:lang w:eastAsia="lv-LV"/>
              </w:rPr>
              <w:t>, k</w:t>
            </w:r>
            <w:r w:rsidR="003E2820" w:rsidRPr="002A4D6D">
              <w:rPr>
                <w:spacing w:val="-2"/>
                <w:sz w:val="26"/>
                <w:szCs w:val="26"/>
                <w:lang w:eastAsia="lv-LV"/>
              </w:rPr>
              <w:t>as</w:t>
            </w:r>
            <w:r w:rsidRPr="002A4D6D">
              <w:rPr>
                <w:spacing w:val="-2"/>
                <w:sz w:val="26"/>
                <w:szCs w:val="26"/>
                <w:lang w:eastAsia="lv-LV"/>
              </w:rPr>
              <w:t xml:space="preserve"> uzrāda preces muita</w:t>
            </w:r>
            <w:r w:rsidR="00226A2C" w:rsidRPr="002A4D6D">
              <w:rPr>
                <w:spacing w:val="-2"/>
                <w:sz w:val="26"/>
                <w:szCs w:val="26"/>
                <w:lang w:eastAsia="lv-LV"/>
              </w:rPr>
              <w:t>s iestāde</w:t>
            </w:r>
            <w:r w:rsidRPr="002A4D6D">
              <w:rPr>
                <w:spacing w:val="-2"/>
                <w:sz w:val="26"/>
                <w:szCs w:val="26"/>
                <w:lang w:eastAsia="lv-LV"/>
              </w:rPr>
              <w:t>i, pienākum</w:t>
            </w:r>
            <w:r w:rsidR="00C26BB3" w:rsidRPr="002A4D6D">
              <w:rPr>
                <w:spacing w:val="-2"/>
                <w:sz w:val="26"/>
                <w:szCs w:val="26"/>
                <w:lang w:eastAsia="lv-LV"/>
              </w:rPr>
              <w:t>us</w:t>
            </w:r>
            <w:r w:rsidRPr="002A4D6D">
              <w:rPr>
                <w:spacing w:val="-2"/>
                <w:sz w:val="26"/>
                <w:szCs w:val="26"/>
                <w:lang w:eastAsia="lv-LV"/>
              </w:rPr>
              <w:t xml:space="preserve"> PVN samaks</w:t>
            </w:r>
            <w:r w:rsidR="00CB7153" w:rsidRPr="002A4D6D">
              <w:rPr>
                <w:spacing w:val="-2"/>
                <w:sz w:val="26"/>
                <w:szCs w:val="26"/>
                <w:lang w:eastAsia="lv-LV"/>
              </w:rPr>
              <w:t>ai</w:t>
            </w:r>
            <w:r w:rsidRPr="002A4D6D">
              <w:rPr>
                <w:spacing w:val="-2"/>
                <w:sz w:val="26"/>
                <w:szCs w:val="26"/>
                <w:lang w:eastAsia="lv-LV"/>
              </w:rPr>
              <w:t>:</w:t>
            </w:r>
          </w:p>
          <w:p w14:paraId="63ED5CDD" w14:textId="53052C66" w:rsidR="007F31BD" w:rsidRPr="002A4D6D" w:rsidRDefault="007F31BD" w:rsidP="002A4D6D">
            <w:pPr>
              <w:ind w:left="118" w:right="113"/>
              <w:jc w:val="both"/>
              <w:rPr>
                <w:spacing w:val="-2"/>
                <w:sz w:val="26"/>
                <w:szCs w:val="26"/>
                <w:lang w:eastAsia="lv-LV"/>
              </w:rPr>
            </w:pPr>
            <w:r w:rsidRPr="002A4D6D">
              <w:rPr>
                <w:spacing w:val="-2"/>
                <w:sz w:val="26"/>
                <w:szCs w:val="26"/>
                <w:lang w:eastAsia="lv-LV"/>
              </w:rPr>
              <w:lastRenderedPageBreak/>
              <w:t xml:space="preserve">- preču </w:t>
            </w:r>
            <w:r w:rsidR="003E2820" w:rsidRPr="002A4D6D">
              <w:rPr>
                <w:spacing w:val="-2"/>
                <w:sz w:val="26"/>
                <w:szCs w:val="26"/>
                <w:lang w:eastAsia="lv-LV"/>
              </w:rPr>
              <w:t xml:space="preserve">sūtījuma </w:t>
            </w:r>
            <w:r w:rsidRPr="002A4D6D">
              <w:rPr>
                <w:spacing w:val="-2"/>
                <w:sz w:val="26"/>
                <w:szCs w:val="26"/>
                <w:lang w:eastAsia="lv-LV"/>
              </w:rPr>
              <w:t xml:space="preserve">saņēmējam </w:t>
            </w:r>
            <w:r w:rsidR="00A631C7" w:rsidRPr="002A4D6D">
              <w:rPr>
                <w:spacing w:val="-2"/>
                <w:sz w:val="26"/>
                <w:szCs w:val="26"/>
                <w:lang w:eastAsia="lv-LV"/>
              </w:rPr>
              <w:t>ti</w:t>
            </w:r>
            <w:r w:rsidR="00C26BB3" w:rsidRPr="002A4D6D">
              <w:rPr>
                <w:spacing w:val="-2"/>
                <w:sz w:val="26"/>
                <w:szCs w:val="26"/>
                <w:lang w:eastAsia="lv-LV"/>
              </w:rPr>
              <w:t>ks</w:t>
            </w:r>
            <w:r w:rsidR="00A631C7" w:rsidRPr="002A4D6D">
              <w:rPr>
                <w:spacing w:val="-2"/>
                <w:sz w:val="26"/>
                <w:szCs w:val="26"/>
                <w:lang w:eastAsia="lv-LV"/>
              </w:rPr>
              <w:t xml:space="preserve"> noteikts</w:t>
            </w:r>
            <w:r w:rsidRPr="002A4D6D">
              <w:rPr>
                <w:spacing w:val="-2"/>
                <w:sz w:val="26"/>
                <w:szCs w:val="26"/>
                <w:lang w:eastAsia="lv-LV"/>
              </w:rPr>
              <w:t xml:space="preserve"> pienākums veikt PVN samaksu </w:t>
            </w:r>
            <w:r w:rsidR="006A75CA" w:rsidRPr="002A4D6D">
              <w:rPr>
                <w:spacing w:val="-2"/>
                <w:sz w:val="26"/>
                <w:szCs w:val="26"/>
                <w:lang w:eastAsia="lv-LV"/>
              </w:rPr>
              <w:t>PVN maksātājam</w:t>
            </w:r>
            <w:r w:rsidRPr="002A4D6D">
              <w:rPr>
                <w:spacing w:val="-2"/>
                <w:sz w:val="26"/>
                <w:szCs w:val="26"/>
                <w:lang w:eastAsia="lv-LV"/>
              </w:rPr>
              <w:t>, k</w:t>
            </w:r>
            <w:r w:rsidR="003E2820" w:rsidRPr="002A4D6D">
              <w:rPr>
                <w:spacing w:val="-2"/>
                <w:sz w:val="26"/>
                <w:szCs w:val="26"/>
                <w:lang w:eastAsia="lv-LV"/>
              </w:rPr>
              <w:t>as</w:t>
            </w:r>
            <w:r w:rsidRPr="002A4D6D">
              <w:rPr>
                <w:spacing w:val="-2"/>
                <w:sz w:val="26"/>
                <w:szCs w:val="26"/>
                <w:lang w:eastAsia="lv-LV"/>
              </w:rPr>
              <w:t xml:space="preserve"> uzr</w:t>
            </w:r>
            <w:r w:rsidR="00A631C7" w:rsidRPr="002A4D6D">
              <w:rPr>
                <w:spacing w:val="-2"/>
                <w:sz w:val="26"/>
                <w:szCs w:val="26"/>
                <w:lang w:eastAsia="lv-LV"/>
              </w:rPr>
              <w:t>ā</w:t>
            </w:r>
            <w:r w:rsidRPr="002A4D6D">
              <w:rPr>
                <w:spacing w:val="-2"/>
                <w:sz w:val="26"/>
                <w:szCs w:val="26"/>
                <w:lang w:eastAsia="lv-LV"/>
              </w:rPr>
              <w:t>d</w:t>
            </w:r>
            <w:r w:rsidR="00E1741A" w:rsidRPr="002A4D6D">
              <w:rPr>
                <w:spacing w:val="-2"/>
                <w:sz w:val="26"/>
                <w:szCs w:val="26"/>
                <w:lang w:eastAsia="lv-LV"/>
              </w:rPr>
              <w:t>a</w:t>
            </w:r>
            <w:r w:rsidRPr="002A4D6D">
              <w:rPr>
                <w:spacing w:val="-2"/>
                <w:sz w:val="26"/>
                <w:szCs w:val="26"/>
                <w:lang w:eastAsia="lv-LV"/>
              </w:rPr>
              <w:t xml:space="preserve"> preces muita</w:t>
            </w:r>
            <w:r w:rsidR="00226A2C" w:rsidRPr="002A4D6D">
              <w:rPr>
                <w:spacing w:val="-2"/>
                <w:sz w:val="26"/>
                <w:szCs w:val="26"/>
                <w:lang w:eastAsia="lv-LV"/>
              </w:rPr>
              <w:t>s iestāde</w:t>
            </w:r>
            <w:r w:rsidRPr="002A4D6D">
              <w:rPr>
                <w:spacing w:val="-2"/>
                <w:sz w:val="26"/>
                <w:szCs w:val="26"/>
                <w:lang w:eastAsia="lv-LV"/>
              </w:rPr>
              <w:t xml:space="preserve">i, </w:t>
            </w:r>
            <w:r w:rsidR="00CB7153" w:rsidRPr="002A4D6D">
              <w:rPr>
                <w:spacing w:val="-2"/>
                <w:sz w:val="26"/>
                <w:szCs w:val="26"/>
                <w:lang w:eastAsia="lv-LV"/>
              </w:rPr>
              <w:t>un paredzēta atbildība</w:t>
            </w:r>
            <w:r w:rsidRPr="002A4D6D">
              <w:rPr>
                <w:spacing w:val="-2"/>
                <w:sz w:val="26"/>
                <w:szCs w:val="26"/>
                <w:lang w:eastAsia="lv-LV"/>
              </w:rPr>
              <w:t xml:space="preserve"> par PVN nomaksu;</w:t>
            </w:r>
          </w:p>
          <w:p w14:paraId="6798D7F2" w14:textId="4EFD1297" w:rsidR="007F31BD" w:rsidRPr="002A4D6D" w:rsidRDefault="007F31BD" w:rsidP="002A4D6D">
            <w:pPr>
              <w:ind w:left="118" w:right="113"/>
              <w:jc w:val="both"/>
              <w:rPr>
                <w:spacing w:val="-2"/>
                <w:sz w:val="26"/>
                <w:szCs w:val="26"/>
                <w:lang w:eastAsia="lv-LV"/>
              </w:rPr>
            </w:pPr>
            <w:r w:rsidRPr="002A4D6D">
              <w:rPr>
                <w:spacing w:val="-2"/>
                <w:sz w:val="26"/>
                <w:szCs w:val="26"/>
                <w:lang w:eastAsia="lv-LV"/>
              </w:rPr>
              <w:t xml:space="preserve">- </w:t>
            </w:r>
            <w:r w:rsidR="006A75CA" w:rsidRPr="002A4D6D">
              <w:rPr>
                <w:spacing w:val="-2"/>
                <w:sz w:val="26"/>
                <w:szCs w:val="26"/>
                <w:lang w:eastAsia="lv-LV"/>
              </w:rPr>
              <w:t>PVN maksātājam</w:t>
            </w:r>
            <w:r w:rsidR="00C26BB3" w:rsidRPr="002A4D6D">
              <w:rPr>
                <w:spacing w:val="-2"/>
                <w:sz w:val="26"/>
                <w:szCs w:val="26"/>
                <w:lang w:eastAsia="lv-LV"/>
              </w:rPr>
              <w:t>, k</w:t>
            </w:r>
            <w:r w:rsidR="003E2820" w:rsidRPr="002A4D6D">
              <w:rPr>
                <w:spacing w:val="-2"/>
                <w:sz w:val="26"/>
                <w:szCs w:val="26"/>
                <w:lang w:eastAsia="lv-LV"/>
              </w:rPr>
              <w:t>as</w:t>
            </w:r>
            <w:r w:rsidRPr="002A4D6D">
              <w:rPr>
                <w:spacing w:val="-2"/>
                <w:sz w:val="26"/>
                <w:szCs w:val="26"/>
                <w:lang w:eastAsia="lv-LV"/>
              </w:rPr>
              <w:t xml:space="preserve"> uzrāda preces muita</w:t>
            </w:r>
            <w:r w:rsidR="00226A2C" w:rsidRPr="002A4D6D">
              <w:rPr>
                <w:spacing w:val="-2"/>
                <w:sz w:val="26"/>
                <w:szCs w:val="26"/>
                <w:lang w:eastAsia="lv-LV"/>
              </w:rPr>
              <w:t>s iestāde</w:t>
            </w:r>
            <w:r w:rsidRPr="002A4D6D">
              <w:rPr>
                <w:spacing w:val="-2"/>
                <w:sz w:val="26"/>
                <w:szCs w:val="26"/>
                <w:lang w:eastAsia="lv-LV"/>
              </w:rPr>
              <w:t xml:space="preserve">i, </w:t>
            </w:r>
            <w:r w:rsidR="00A631C7" w:rsidRPr="002A4D6D">
              <w:rPr>
                <w:spacing w:val="-2"/>
                <w:sz w:val="26"/>
                <w:szCs w:val="26"/>
                <w:lang w:eastAsia="lv-LV"/>
              </w:rPr>
              <w:t>ti</w:t>
            </w:r>
            <w:r w:rsidR="00C26BB3" w:rsidRPr="002A4D6D">
              <w:rPr>
                <w:spacing w:val="-2"/>
                <w:sz w:val="26"/>
                <w:szCs w:val="26"/>
                <w:lang w:eastAsia="lv-LV"/>
              </w:rPr>
              <w:t>ks</w:t>
            </w:r>
            <w:r w:rsidR="00A631C7" w:rsidRPr="002A4D6D">
              <w:rPr>
                <w:spacing w:val="-2"/>
                <w:sz w:val="26"/>
                <w:szCs w:val="26"/>
                <w:lang w:eastAsia="lv-LV"/>
              </w:rPr>
              <w:t xml:space="preserve"> noteikts</w:t>
            </w:r>
            <w:r w:rsidRPr="002A4D6D">
              <w:rPr>
                <w:spacing w:val="-2"/>
                <w:sz w:val="26"/>
                <w:szCs w:val="26"/>
                <w:lang w:eastAsia="lv-LV"/>
              </w:rPr>
              <w:t xml:space="preserve"> pienākums iekasēt PVN no preču </w:t>
            </w:r>
            <w:r w:rsidR="003E2820" w:rsidRPr="002A4D6D">
              <w:rPr>
                <w:spacing w:val="-2"/>
                <w:sz w:val="26"/>
                <w:szCs w:val="26"/>
                <w:lang w:eastAsia="lv-LV"/>
              </w:rPr>
              <w:t xml:space="preserve">sūtījuma </w:t>
            </w:r>
            <w:r w:rsidRPr="002A4D6D">
              <w:rPr>
                <w:spacing w:val="-2"/>
                <w:sz w:val="26"/>
                <w:szCs w:val="26"/>
                <w:lang w:eastAsia="lv-LV"/>
              </w:rPr>
              <w:t xml:space="preserve">saņēmēja un pārskaitīt </w:t>
            </w:r>
            <w:r w:rsidR="00C26BB3" w:rsidRPr="002A4D6D">
              <w:rPr>
                <w:spacing w:val="-2"/>
                <w:sz w:val="26"/>
                <w:szCs w:val="26"/>
                <w:lang w:eastAsia="lv-LV"/>
              </w:rPr>
              <w:t>iekasēto nodokli</w:t>
            </w:r>
            <w:r w:rsidRPr="002A4D6D">
              <w:rPr>
                <w:spacing w:val="-2"/>
                <w:sz w:val="26"/>
                <w:szCs w:val="26"/>
                <w:lang w:eastAsia="lv-LV"/>
              </w:rPr>
              <w:t xml:space="preserve"> valsts budžetā.</w:t>
            </w:r>
          </w:p>
          <w:p w14:paraId="203DE231" w14:textId="58945C82" w:rsidR="00C26BB3" w:rsidRPr="002A4D6D" w:rsidRDefault="006A75CA" w:rsidP="002A4D6D">
            <w:pPr>
              <w:ind w:left="118" w:right="113"/>
              <w:jc w:val="both"/>
              <w:rPr>
                <w:spacing w:val="-2"/>
                <w:sz w:val="26"/>
                <w:szCs w:val="26"/>
                <w:lang w:eastAsia="lv-LV"/>
              </w:rPr>
            </w:pPr>
            <w:r w:rsidRPr="002A4D6D">
              <w:rPr>
                <w:spacing w:val="-2"/>
                <w:sz w:val="26"/>
                <w:szCs w:val="26"/>
                <w:lang w:eastAsia="lv-LV"/>
              </w:rPr>
              <w:t>PVN maksātājs</w:t>
            </w:r>
            <w:r w:rsidR="00350A53" w:rsidRPr="002A4D6D">
              <w:rPr>
                <w:spacing w:val="-2"/>
                <w:sz w:val="26"/>
                <w:szCs w:val="26"/>
                <w:lang w:eastAsia="lv-LV"/>
              </w:rPr>
              <w:t>, kas uzrāda preces muita</w:t>
            </w:r>
            <w:r w:rsidR="00226A2C" w:rsidRPr="002A4D6D">
              <w:rPr>
                <w:spacing w:val="-2"/>
                <w:sz w:val="26"/>
                <w:szCs w:val="26"/>
                <w:lang w:eastAsia="lv-LV"/>
              </w:rPr>
              <w:t>s iestāde</w:t>
            </w:r>
            <w:r w:rsidR="00350A53" w:rsidRPr="002A4D6D">
              <w:rPr>
                <w:spacing w:val="-2"/>
                <w:sz w:val="26"/>
                <w:szCs w:val="26"/>
                <w:lang w:eastAsia="lv-LV"/>
              </w:rPr>
              <w:t>i, ir atbildīg</w:t>
            </w:r>
            <w:r w:rsidRPr="002A4D6D">
              <w:rPr>
                <w:spacing w:val="-2"/>
                <w:sz w:val="26"/>
                <w:szCs w:val="26"/>
                <w:lang w:eastAsia="lv-LV"/>
              </w:rPr>
              <w:t>s</w:t>
            </w:r>
            <w:r w:rsidR="00350A53" w:rsidRPr="002A4D6D">
              <w:rPr>
                <w:spacing w:val="-2"/>
                <w:sz w:val="26"/>
                <w:szCs w:val="26"/>
                <w:lang w:eastAsia="lv-LV"/>
              </w:rPr>
              <w:t xml:space="preserve"> tikai par iekasētā PVN samaksu</w:t>
            </w:r>
            <w:r w:rsidR="00292C4C" w:rsidRPr="002A4D6D">
              <w:rPr>
                <w:spacing w:val="-2"/>
                <w:sz w:val="26"/>
                <w:szCs w:val="26"/>
                <w:lang w:eastAsia="lv-LV"/>
              </w:rPr>
              <w:t xml:space="preserve"> un </w:t>
            </w:r>
            <w:r w:rsidR="00350A53" w:rsidRPr="002A4D6D">
              <w:rPr>
                <w:spacing w:val="-2"/>
                <w:sz w:val="26"/>
                <w:szCs w:val="26"/>
                <w:lang w:eastAsia="lv-LV"/>
              </w:rPr>
              <w:t>nav atbildīg</w:t>
            </w:r>
            <w:r w:rsidRPr="002A4D6D">
              <w:rPr>
                <w:spacing w:val="-2"/>
                <w:sz w:val="26"/>
                <w:szCs w:val="26"/>
                <w:lang w:eastAsia="lv-LV"/>
              </w:rPr>
              <w:t>s</w:t>
            </w:r>
            <w:r w:rsidR="00350A53" w:rsidRPr="002A4D6D">
              <w:rPr>
                <w:spacing w:val="-2"/>
                <w:sz w:val="26"/>
                <w:szCs w:val="26"/>
                <w:lang w:eastAsia="lv-LV"/>
              </w:rPr>
              <w:t xml:space="preserve"> par PVN samaksu par </w:t>
            </w:r>
            <w:r w:rsidRPr="002A4D6D">
              <w:rPr>
                <w:spacing w:val="-2"/>
                <w:sz w:val="26"/>
                <w:szCs w:val="26"/>
                <w:lang w:eastAsia="lv-LV"/>
              </w:rPr>
              <w:t>preču sūtījumiem</w:t>
            </w:r>
            <w:r w:rsidR="00350A53" w:rsidRPr="002A4D6D">
              <w:rPr>
                <w:spacing w:val="-2"/>
                <w:sz w:val="26"/>
                <w:szCs w:val="26"/>
                <w:lang w:eastAsia="lv-LV"/>
              </w:rPr>
              <w:t>, kur</w:t>
            </w:r>
            <w:r w:rsidRPr="002A4D6D">
              <w:rPr>
                <w:spacing w:val="-2"/>
                <w:sz w:val="26"/>
                <w:szCs w:val="26"/>
                <w:lang w:eastAsia="lv-LV"/>
              </w:rPr>
              <w:t>i</w:t>
            </w:r>
            <w:r w:rsidR="00350A53" w:rsidRPr="002A4D6D">
              <w:rPr>
                <w:spacing w:val="-2"/>
                <w:sz w:val="26"/>
                <w:szCs w:val="26"/>
                <w:lang w:eastAsia="lv-LV"/>
              </w:rPr>
              <w:t xml:space="preserve"> nav piegādāt</w:t>
            </w:r>
            <w:r w:rsidRPr="002A4D6D">
              <w:rPr>
                <w:spacing w:val="-2"/>
                <w:sz w:val="26"/>
                <w:szCs w:val="26"/>
                <w:lang w:eastAsia="lv-LV"/>
              </w:rPr>
              <w:t>i</w:t>
            </w:r>
            <w:r w:rsidR="00350A53" w:rsidRPr="002A4D6D">
              <w:rPr>
                <w:spacing w:val="-2"/>
                <w:sz w:val="26"/>
                <w:szCs w:val="26"/>
                <w:lang w:eastAsia="lv-LV"/>
              </w:rPr>
              <w:t xml:space="preserve"> vai kur</w:t>
            </w:r>
            <w:r w:rsidRPr="002A4D6D">
              <w:rPr>
                <w:spacing w:val="-2"/>
                <w:sz w:val="26"/>
                <w:szCs w:val="26"/>
                <w:lang w:eastAsia="lv-LV"/>
              </w:rPr>
              <w:t>u</w:t>
            </w:r>
            <w:r w:rsidR="00350A53" w:rsidRPr="002A4D6D">
              <w:rPr>
                <w:spacing w:val="-2"/>
                <w:sz w:val="26"/>
                <w:szCs w:val="26"/>
                <w:lang w:eastAsia="lv-LV"/>
              </w:rPr>
              <w:t xml:space="preserve"> preču </w:t>
            </w:r>
            <w:r w:rsidR="003E2820" w:rsidRPr="002A4D6D">
              <w:rPr>
                <w:spacing w:val="-2"/>
                <w:sz w:val="26"/>
                <w:szCs w:val="26"/>
                <w:lang w:eastAsia="lv-LV"/>
              </w:rPr>
              <w:t xml:space="preserve">sūtījuma </w:t>
            </w:r>
            <w:r w:rsidR="00350A53" w:rsidRPr="002A4D6D">
              <w:rPr>
                <w:spacing w:val="-2"/>
                <w:sz w:val="26"/>
                <w:szCs w:val="26"/>
                <w:lang w:eastAsia="lv-LV"/>
              </w:rPr>
              <w:t xml:space="preserve">saņēmējs nav pieņēmis. Šajā gadījumā </w:t>
            </w:r>
            <w:r w:rsidRPr="002A4D6D">
              <w:rPr>
                <w:spacing w:val="-2"/>
                <w:sz w:val="26"/>
                <w:szCs w:val="26"/>
                <w:lang w:eastAsia="lv-LV"/>
              </w:rPr>
              <w:t>PVN maksātāja</w:t>
            </w:r>
            <w:r w:rsidR="00350A53" w:rsidRPr="002A4D6D">
              <w:rPr>
                <w:spacing w:val="-2"/>
                <w:sz w:val="26"/>
                <w:szCs w:val="26"/>
                <w:lang w:eastAsia="lv-LV"/>
              </w:rPr>
              <w:t>, kas uzrāda preces muita</w:t>
            </w:r>
            <w:r w:rsidR="00226A2C" w:rsidRPr="002A4D6D">
              <w:rPr>
                <w:spacing w:val="-2"/>
                <w:sz w:val="26"/>
                <w:szCs w:val="26"/>
                <w:lang w:eastAsia="lv-LV"/>
              </w:rPr>
              <w:t>s iestāde</w:t>
            </w:r>
            <w:r w:rsidR="00350A53" w:rsidRPr="002A4D6D">
              <w:rPr>
                <w:spacing w:val="-2"/>
                <w:sz w:val="26"/>
                <w:szCs w:val="26"/>
                <w:lang w:eastAsia="lv-LV"/>
              </w:rPr>
              <w:t>i, rīcībā ir jābūt pierādījumam, ka pre</w:t>
            </w:r>
            <w:r w:rsidRPr="002A4D6D">
              <w:rPr>
                <w:spacing w:val="-2"/>
                <w:sz w:val="26"/>
                <w:szCs w:val="26"/>
                <w:lang w:eastAsia="lv-LV"/>
              </w:rPr>
              <w:t>ču sūtījums</w:t>
            </w:r>
            <w:r w:rsidR="00350A53" w:rsidRPr="002A4D6D">
              <w:rPr>
                <w:spacing w:val="-2"/>
                <w:sz w:val="26"/>
                <w:szCs w:val="26"/>
                <w:lang w:eastAsia="lv-LV"/>
              </w:rPr>
              <w:t xml:space="preserve"> netika piegādāts vai preču </w:t>
            </w:r>
            <w:r w:rsidR="003E2820" w:rsidRPr="002A4D6D">
              <w:rPr>
                <w:spacing w:val="-2"/>
                <w:sz w:val="26"/>
                <w:szCs w:val="26"/>
                <w:lang w:eastAsia="lv-LV"/>
              </w:rPr>
              <w:t xml:space="preserve">sūtījuma </w:t>
            </w:r>
            <w:r w:rsidR="00350A53" w:rsidRPr="002A4D6D">
              <w:rPr>
                <w:spacing w:val="-2"/>
                <w:sz w:val="26"/>
                <w:szCs w:val="26"/>
                <w:lang w:eastAsia="lv-LV"/>
              </w:rPr>
              <w:t>saņēmējs ir atteici</w:t>
            </w:r>
            <w:r w:rsidR="00726FB9" w:rsidRPr="002A4D6D">
              <w:rPr>
                <w:spacing w:val="-2"/>
                <w:sz w:val="26"/>
                <w:szCs w:val="26"/>
                <w:lang w:eastAsia="lv-LV"/>
              </w:rPr>
              <w:t>e</w:t>
            </w:r>
            <w:r w:rsidR="00350A53" w:rsidRPr="002A4D6D">
              <w:rPr>
                <w:spacing w:val="-2"/>
                <w:sz w:val="26"/>
                <w:szCs w:val="26"/>
                <w:lang w:eastAsia="lv-LV"/>
              </w:rPr>
              <w:t xml:space="preserve">s </w:t>
            </w:r>
            <w:r w:rsidR="00726FB9" w:rsidRPr="002A4D6D">
              <w:rPr>
                <w:spacing w:val="-2"/>
                <w:sz w:val="26"/>
                <w:szCs w:val="26"/>
                <w:lang w:eastAsia="lv-LV"/>
              </w:rPr>
              <w:t xml:space="preserve">no </w:t>
            </w:r>
            <w:r w:rsidR="00350A53" w:rsidRPr="002A4D6D">
              <w:rPr>
                <w:spacing w:val="-2"/>
                <w:sz w:val="26"/>
                <w:szCs w:val="26"/>
                <w:lang w:eastAsia="lv-LV"/>
              </w:rPr>
              <w:t>preču saņemšan</w:t>
            </w:r>
            <w:r w:rsidR="00726FB9" w:rsidRPr="002A4D6D">
              <w:rPr>
                <w:spacing w:val="-2"/>
                <w:sz w:val="26"/>
                <w:szCs w:val="26"/>
                <w:lang w:eastAsia="lv-LV"/>
              </w:rPr>
              <w:t>as</w:t>
            </w:r>
            <w:r w:rsidR="00350A53" w:rsidRPr="002A4D6D">
              <w:rPr>
                <w:spacing w:val="-2"/>
                <w:sz w:val="26"/>
                <w:szCs w:val="26"/>
                <w:lang w:eastAsia="lv-LV"/>
              </w:rPr>
              <w:t xml:space="preserve">, tādējādi pamatojot atteikšanos no PVN </w:t>
            </w:r>
            <w:r w:rsidR="00292C4C" w:rsidRPr="002A4D6D">
              <w:rPr>
                <w:spacing w:val="-2"/>
                <w:sz w:val="26"/>
                <w:szCs w:val="26"/>
                <w:lang w:eastAsia="lv-LV"/>
              </w:rPr>
              <w:t>sa</w:t>
            </w:r>
            <w:r w:rsidR="00350A53" w:rsidRPr="002A4D6D">
              <w:rPr>
                <w:spacing w:val="-2"/>
                <w:sz w:val="26"/>
                <w:szCs w:val="26"/>
                <w:lang w:eastAsia="lv-LV"/>
              </w:rPr>
              <w:t>maksas par šiem preču sūtījumiem.</w:t>
            </w:r>
            <w:r w:rsidR="00F0739A" w:rsidRPr="002A4D6D">
              <w:rPr>
                <w:spacing w:val="-2"/>
                <w:sz w:val="26"/>
                <w:szCs w:val="26"/>
                <w:lang w:eastAsia="lv-LV"/>
              </w:rPr>
              <w:t xml:space="preserve"> </w:t>
            </w:r>
            <w:r w:rsidR="00C26BB3" w:rsidRPr="002A4D6D">
              <w:rPr>
                <w:spacing w:val="-2"/>
                <w:sz w:val="26"/>
                <w:szCs w:val="26"/>
                <w:lang w:eastAsia="lv-LV"/>
              </w:rPr>
              <w:t xml:space="preserve">Tādēļ ir nepieciešams papildināt Pievienotās vērtības nodokļa likumu ar preču </w:t>
            </w:r>
            <w:r w:rsidR="003E2820" w:rsidRPr="002A4D6D">
              <w:rPr>
                <w:spacing w:val="-2"/>
                <w:sz w:val="26"/>
                <w:szCs w:val="26"/>
                <w:lang w:eastAsia="lv-LV"/>
              </w:rPr>
              <w:t xml:space="preserve">sūtījuma </w:t>
            </w:r>
            <w:r w:rsidR="00C26BB3" w:rsidRPr="002A4D6D">
              <w:rPr>
                <w:spacing w:val="-2"/>
                <w:sz w:val="26"/>
                <w:szCs w:val="26"/>
                <w:lang w:eastAsia="lv-LV"/>
              </w:rPr>
              <w:t xml:space="preserve">saņēmēja un </w:t>
            </w:r>
            <w:r w:rsidRPr="002A4D6D">
              <w:rPr>
                <w:spacing w:val="-2"/>
                <w:sz w:val="26"/>
                <w:szCs w:val="26"/>
                <w:lang w:eastAsia="lv-LV"/>
              </w:rPr>
              <w:t>PVN maksātāja</w:t>
            </w:r>
            <w:r w:rsidR="00C26BB3" w:rsidRPr="002A4D6D">
              <w:rPr>
                <w:spacing w:val="-2"/>
                <w:sz w:val="26"/>
                <w:szCs w:val="26"/>
                <w:lang w:eastAsia="lv-LV"/>
              </w:rPr>
              <w:t>, k</w:t>
            </w:r>
            <w:r w:rsidR="003E2820" w:rsidRPr="002A4D6D">
              <w:rPr>
                <w:spacing w:val="-2"/>
                <w:sz w:val="26"/>
                <w:szCs w:val="26"/>
                <w:lang w:eastAsia="lv-LV"/>
              </w:rPr>
              <w:t>as</w:t>
            </w:r>
            <w:r w:rsidR="00C26BB3" w:rsidRPr="002A4D6D">
              <w:rPr>
                <w:spacing w:val="-2"/>
                <w:sz w:val="26"/>
                <w:szCs w:val="26"/>
                <w:lang w:eastAsia="lv-LV"/>
              </w:rPr>
              <w:t xml:space="preserve"> uzrāda preces muita</w:t>
            </w:r>
            <w:r w:rsidR="00226A2C" w:rsidRPr="002A4D6D">
              <w:rPr>
                <w:spacing w:val="-2"/>
                <w:sz w:val="26"/>
                <w:szCs w:val="26"/>
                <w:lang w:eastAsia="lv-LV"/>
              </w:rPr>
              <w:t>s iestādei</w:t>
            </w:r>
            <w:r w:rsidR="00C26BB3" w:rsidRPr="002A4D6D">
              <w:rPr>
                <w:spacing w:val="-2"/>
                <w:sz w:val="26"/>
                <w:szCs w:val="26"/>
                <w:lang w:eastAsia="lv-LV"/>
              </w:rPr>
              <w:t>, atbildību.</w:t>
            </w:r>
          </w:p>
          <w:p w14:paraId="4EC34928" w14:textId="4B987A6C" w:rsidR="00350A53" w:rsidRPr="002A4D6D" w:rsidRDefault="00C26BB3" w:rsidP="002A4D6D">
            <w:pPr>
              <w:ind w:left="118" w:right="113"/>
              <w:jc w:val="both"/>
              <w:rPr>
                <w:spacing w:val="-2"/>
                <w:sz w:val="26"/>
                <w:szCs w:val="26"/>
                <w:lang w:eastAsia="lv-LV"/>
              </w:rPr>
            </w:pPr>
            <w:r w:rsidRPr="002A4D6D">
              <w:rPr>
                <w:spacing w:val="-2"/>
                <w:sz w:val="26"/>
                <w:szCs w:val="26"/>
                <w:lang w:eastAsia="lv-LV"/>
              </w:rPr>
              <w:t xml:space="preserve">4.6. Līdzīgi kā </w:t>
            </w:r>
            <w:proofErr w:type="spellStart"/>
            <w:r w:rsidRPr="002A4D6D">
              <w:rPr>
                <w:spacing w:val="-2"/>
                <w:sz w:val="26"/>
                <w:szCs w:val="26"/>
                <w:lang w:eastAsia="lv-LV"/>
              </w:rPr>
              <w:t>ārpussavienības</w:t>
            </w:r>
            <w:proofErr w:type="spellEnd"/>
            <w:r w:rsidRPr="002A4D6D">
              <w:rPr>
                <w:spacing w:val="-2"/>
                <w:sz w:val="26"/>
                <w:szCs w:val="26"/>
                <w:lang w:eastAsia="lv-LV"/>
              </w:rPr>
              <w:t xml:space="preserve"> režīmam, savienības režīmam un importa režīmam, plānots paredzēt noteiktus pienākumus </w:t>
            </w:r>
            <w:r w:rsidR="006A75CA" w:rsidRPr="002A4D6D">
              <w:rPr>
                <w:spacing w:val="-2"/>
                <w:sz w:val="26"/>
                <w:szCs w:val="26"/>
                <w:lang w:eastAsia="lv-LV"/>
              </w:rPr>
              <w:t>PVN maksātājam</w:t>
            </w:r>
            <w:r w:rsidRPr="002A4D6D">
              <w:rPr>
                <w:spacing w:val="-2"/>
                <w:sz w:val="26"/>
                <w:szCs w:val="26"/>
                <w:lang w:eastAsia="lv-LV"/>
              </w:rPr>
              <w:t>, k</w:t>
            </w:r>
            <w:r w:rsidR="003E2820" w:rsidRPr="002A4D6D">
              <w:rPr>
                <w:spacing w:val="-2"/>
                <w:sz w:val="26"/>
                <w:szCs w:val="26"/>
                <w:lang w:eastAsia="lv-LV"/>
              </w:rPr>
              <w:t>as</w:t>
            </w:r>
            <w:r w:rsidRPr="002A4D6D">
              <w:rPr>
                <w:spacing w:val="-2"/>
                <w:sz w:val="26"/>
                <w:szCs w:val="26"/>
                <w:lang w:eastAsia="lv-LV"/>
              </w:rPr>
              <w:t xml:space="preserve"> uzrāda preces muita</w:t>
            </w:r>
            <w:r w:rsidR="00226A2C" w:rsidRPr="002A4D6D">
              <w:rPr>
                <w:spacing w:val="-2"/>
                <w:sz w:val="26"/>
                <w:szCs w:val="26"/>
                <w:lang w:eastAsia="lv-LV"/>
              </w:rPr>
              <w:t>s iestāde</w:t>
            </w:r>
            <w:r w:rsidRPr="002A4D6D">
              <w:rPr>
                <w:spacing w:val="-2"/>
                <w:sz w:val="26"/>
                <w:szCs w:val="26"/>
                <w:lang w:eastAsia="lv-LV"/>
              </w:rPr>
              <w:t>i, lai nepieciešamības gadījumā importa dalībvalsts nodokļu un muitas iestādes varētu pārbaudīt deklarētās PVN summas pareizību.</w:t>
            </w:r>
            <w:r w:rsidR="00350A53" w:rsidRPr="002A4D6D">
              <w:rPr>
                <w:spacing w:val="-2"/>
                <w:sz w:val="26"/>
                <w:szCs w:val="26"/>
                <w:lang w:eastAsia="lv-LV"/>
              </w:rPr>
              <w:t xml:space="preserve"> </w:t>
            </w:r>
            <w:r w:rsidR="006A75CA" w:rsidRPr="002A4D6D">
              <w:rPr>
                <w:spacing w:val="-2"/>
                <w:sz w:val="26"/>
                <w:szCs w:val="26"/>
                <w:lang w:eastAsia="lv-LV"/>
              </w:rPr>
              <w:t>PVN maksātājam</w:t>
            </w:r>
            <w:r w:rsidR="00350A53" w:rsidRPr="002A4D6D">
              <w:rPr>
                <w:spacing w:val="-2"/>
                <w:sz w:val="26"/>
                <w:szCs w:val="26"/>
                <w:lang w:eastAsia="lv-LV"/>
              </w:rPr>
              <w:t>, kas uzrāda preces muita</w:t>
            </w:r>
            <w:r w:rsidR="00226A2C" w:rsidRPr="002A4D6D">
              <w:rPr>
                <w:spacing w:val="-2"/>
                <w:sz w:val="26"/>
                <w:szCs w:val="26"/>
                <w:lang w:eastAsia="lv-LV"/>
              </w:rPr>
              <w:t>s iestāde</w:t>
            </w:r>
            <w:r w:rsidR="00350A53" w:rsidRPr="002A4D6D">
              <w:rPr>
                <w:spacing w:val="-2"/>
                <w:sz w:val="26"/>
                <w:szCs w:val="26"/>
                <w:lang w:eastAsia="lv-LV"/>
              </w:rPr>
              <w:t>i un kur</w:t>
            </w:r>
            <w:r w:rsidR="006A75CA" w:rsidRPr="002A4D6D">
              <w:rPr>
                <w:spacing w:val="-2"/>
                <w:sz w:val="26"/>
                <w:szCs w:val="26"/>
                <w:lang w:eastAsia="lv-LV"/>
              </w:rPr>
              <w:t>š</w:t>
            </w:r>
            <w:r w:rsidR="00350A53" w:rsidRPr="002A4D6D">
              <w:rPr>
                <w:spacing w:val="-2"/>
                <w:sz w:val="26"/>
                <w:szCs w:val="26"/>
                <w:lang w:eastAsia="lv-LV"/>
              </w:rPr>
              <w:t xml:space="preserve"> izmanto īpašo </w:t>
            </w:r>
            <w:r w:rsidR="006A75CA" w:rsidRPr="002A4D6D">
              <w:rPr>
                <w:spacing w:val="-2"/>
                <w:sz w:val="26"/>
                <w:szCs w:val="26"/>
                <w:lang w:eastAsia="lv-LV"/>
              </w:rPr>
              <w:t>režīmu</w:t>
            </w:r>
            <w:r w:rsidR="00226A2C" w:rsidRPr="002A4D6D">
              <w:rPr>
                <w:spacing w:val="-2"/>
                <w:sz w:val="26"/>
                <w:szCs w:val="26"/>
                <w:lang w:eastAsia="lv-LV"/>
              </w:rPr>
              <w:t xml:space="preserve"> PVN maksātājiem, kas uzrāda preces muitas iestādei</w:t>
            </w:r>
            <w:r w:rsidR="00350A53" w:rsidRPr="002A4D6D">
              <w:rPr>
                <w:spacing w:val="-2"/>
                <w:sz w:val="26"/>
                <w:szCs w:val="26"/>
                <w:lang w:eastAsia="lv-LV"/>
              </w:rPr>
              <w:t xml:space="preserve">, </w:t>
            </w:r>
            <w:r w:rsidR="00DF3051" w:rsidRPr="002A4D6D">
              <w:rPr>
                <w:spacing w:val="-2"/>
                <w:sz w:val="26"/>
                <w:szCs w:val="26"/>
                <w:lang w:eastAsia="lv-LV"/>
              </w:rPr>
              <w:t xml:space="preserve">pamatojoties uz faktūrrēķinu vai citiem dokumentiem, kas pievienoti preču sūtījumam, </w:t>
            </w:r>
            <w:r w:rsidR="00350A53" w:rsidRPr="002A4D6D">
              <w:rPr>
                <w:spacing w:val="-2"/>
                <w:sz w:val="26"/>
                <w:szCs w:val="26"/>
                <w:lang w:eastAsia="lv-LV"/>
              </w:rPr>
              <w:t xml:space="preserve">ir jāpārliecinās, </w:t>
            </w:r>
            <w:r w:rsidR="003908C8" w:rsidRPr="002A4D6D">
              <w:rPr>
                <w:spacing w:val="-2"/>
                <w:sz w:val="26"/>
                <w:szCs w:val="26"/>
                <w:lang w:eastAsia="lv-LV"/>
              </w:rPr>
              <w:t>vai</w:t>
            </w:r>
            <w:r w:rsidR="00350A53" w:rsidRPr="002A4D6D">
              <w:rPr>
                <w:spacing w:val="-2"/>
                <w:sz w:val="26"/>
                <w:szCs w:val="26"/>
                <w:lang w:eastAsia="lv-LV"/>
              </w:rPr>
              <w:t xml:space="preserve"> PVN tiek iekasēts </w:t>
            </w:r>
            <w:r w:rsidR="00726FB9" w:rsidRPr="002A4D6D">
              <w:rPr>
                <w:spacing w:val="-2"/>
                <w:sz w:val="26"/>
                <w:szCs w:val="26"/>
                <w:lang w:eastAsia="lv-LV"/>
              </w:rPr>
              <w:t>atbilstošā apmērā</w:t>
            </w:r>
            <w:r w:rsidR="00DF3051" w:rsidRPr="002A4D6D">
              <w:rPr>
                <w:spacing w:val="-2"/>
                <w:sz w:val="26"/>
                <w:szCs w:val="26"/>
                <w:lang w:eastAsia="lv-LV"/>
              </w:rPr>
              <w:t>, t.i.,</w:t>
            </w:r>
            <w:r w:rsidR="00350A53" w:rsidRPr="002A4D6D">
              <w:rPr>
                <w:spacing w:val="-2"/>
                <w:sz w:val="26"/>
                <w:szCs w:val="26"/>
                <w:lang w:eastAsia="lv-LV"/>
              </w:rPr>
              <w:t xml:space="preserve"> </w:t>
            </w:r>
            <w:r w:rsidR="00DF3051" w:rsidRPr="002A4D6D">
              <w:rPr>
                <w:spacing w:val="-2"/>
                <w:sz w:val="26"/>
                <w:szCs w:val="26"/>
                <w:lang w:eastAsia="lv-LV"/>
              </w:rPr>
              <w:t xml:space="preserve">ir jāpārliecinās, </w:t>
            </w:r>
            <w:r w:rsidR="00350A53" w:rsidRPr="002A4D6D">
              <w:rPr>
                <w:spacing w:val="-2"/>
                <w:sz w:val="26"/>
                <w:szCs w:val="26"/>
                <w:lang w:eastAsia="lv-LV"/>
              </w:rPr>
              <w:t xml:space="preserve">vai deklarētā </w:t>
            </w:r>
            <w:r w:rsidR="00726FB9" w:rsidRPr="002A4D6D">
              <w:rPr>
                <w:spacing w:val="-2"/>
                <w:sz w:val="26"/>
                <w:szCs w:val="26"/>
                <w:lang w:eastAsia="lv-LV"/>
              </w:rPr>
              <w:t xml:space="preserve">PVN </w:t>
            </w:r>
            <w:r w:rsidR="00350A53" w:rsidRPr="002A4D6D">
              <w:rPr>
                <w:spacing w:val="-2"/>
                <w:sz w:val="26"/>
                <w:szCs w:val="26"/>
                <w:lang w:eastAsia="lv-LV"/>
              </w:rPr>
              <w:t xml:space="preserve">vērtība ir pareiza, </w:t>
            </w:r>
            <w:r w:rsidR="00DF3051" w:rsidRPr="002A4D6D">
              <w:rPr>
                <w:spacing w:val="-2"/>
                <w:sz w:val="26"/>
                <w:szCs w:val="26"/>
                <w:lang w:eastAsia="lv-LV"/>
              </w:rPr>
              <w:t xml:space="preserve">un, ja konstatēts, ka deklarētā </w:t>
            </w:r>
            <w:r w:rsidR="00726FB9" w:rsidRPr="002A4D6D">
              <w:rPr>
                <w:spacing w:val="-2"/>
                <w:sz w:val="26"/>
                <w:szCs w:val="26"/>
                <w:lang w:eastAsia="lv-LV"/>
              </w:rPr>
              <w:t xml:space="preserve">PVN </w:t>
            </w:r>
            <w:r w:rsidR="00DF3051" w:rsidRPr="002A4D6D">
              <w:rPr>
                <w:spacing w:val="-2"/>
                <w:sz w:val="26"/>
                <w:szCs w:val="26"/>
                <w:lang w:eastAsia="lv-LV"/>
              </w:rPr>
              <w:t xml:space="preserve">vērtība </w:t>
            </w:r>
            <w:r w:rsidR="003908C8" w:rsidRPr="002A4D6D">
              <w:rPr>
                <w:spacing w:val="-2"/>
                <w:sz w:val="26"/>
                <w:szCs w:val="26"/>
                <w:lang w:eastAsia="lv-LV"/>
              </w:rPr>
              <w:t xml:space="preserve">nav </w:t>
            </w:r>
            <w:r w:rsidR="00DF3051" w:rsidRPr="002A4D6D">
              <w:rPr>
                <w:spacing w:val="-2"/>
                <w:sz w:val="26"/>
                <w:szCs w:val="26"/>
                <w:lang w:eastAsia="lv-LV"/>
              </w:rPr>
              <w:t xml:space="preserve">korekta, </w:t>
            </w:r>
            <w:r w:rsidR="00350A53" w:rsidRPr="002A4D6D">
              <w:rPr>
                <w:spacing w:val="-2"/>
                <w:sz w:val="26"/>
                <w:szCs w:val="26"/>
                <w:lang w:eastAsia="lv-LV"/>
              </w:rPr>
              <w:t>jāpiemēro pareiza PVN likme un jānodrošina, ka preces netiek piegādātas, kamēr nav saņemta PVN samaksa</w:t>
            </w:r>
            <w:r w:rsidR="00DF3051" w:rsidRPr="002A4D6D">
              <w:rPr>
                <w:spacing w:val="-2"/>
                <w:sz w:val="26"/>
                <w:szCs w:val="26"/>
                <w:lang w:eastAsia="lv-LV"/>
              </w:rPr>
              <w:t xml:space="preserve"> no preču </w:t>
            </w:r>
            <w:r w:rsidR="003E2820" w:rsidRPr="002A4D6D">
              <w:rPr>
                <w:spacing w:val="-2"/>
                <w:sz w:val="26"/>
                <w:szCs w:val="26"/>
                <w:lang w:eastAsia="lv-LV"/>
              </w:rPr>
              <w:t xml:space="preserve">sūtījuma </w:t>
            </w:r>
            <w:r w:rsidR="00DF3051" w:rsidRPr="002A4D6D">
              <w:rPr>
                <w:spacing w:val="-2"/>
                <w:sz w:val="26"/>
                <w:szCs w:val="26"/>
                <w:lang w:eastAsia="lv-LV"/>
              </w:rPr>
              <w:t>saņēmēja</w:t>
            </w:r>
            <w:r w:rsidR="00350A53" w:rsidRPr="002A4D6D">
              <w:rPr>
                <w:spacing w:val="-2"/>
                <w:sz w:val="26"/>
                <w:szCs w:val="26"/>
                <w:lang w:eastAsia="lv-LV"/>
              </w:rPr>
              <w:t>.</w:t>
            </w:r>
            <w:r w:rsidR="00292C4C" w:rsidRPr="002A4D6D">
              <w:rPr>
                <w:spacing w:val="-2"/>
                <w:sz w:val="26"/>
                <w:szCs w:val="26"/>
                <w:lang w:eastAsia="lv-LV"/>
              </w:rPr>
              <w:t xml:space="preserve"> </w:t>
            </w:r>
            <w:r w:rsidR="006A75CA" w:rsidRPr="002A4D6D">
              <w:rPr>
                <w:spacing w:val="-2"/>
                <w:sz w:val="26"/>
                <w:szCs w:val="26"/>
                <w:lang w:eastAsia="lv-LV"/>
              </w:rPr>
              <w:t>PVN maksātājam</w:t>
            </w:r>
            <w:r w:rsidR="00292C4C" w:rsidRPr="002A4D6D">
              <w:rPr>
                <w:spacing w:val="-2"/>
                <w:sz w:val="26"/>
                <w:szCs w:val="26"/>
                <w:lang w:eastAsia="lv-LV"/>
              </w:rPr>
              <w:t>, kas uzrāda preces muita</w:t>
            </w:r>
            <w:r w:rsidR="00226A2C" w:rsidRPr="002A4D6D">
              <w:rPr>
                <w:spacing w:val="-2"/>
                <w:sz w:val="26"/>
                <w:szCs w:val="26"/>
                <w:lang w:eastAsia="lv-LV"/>
              </w:rPr>
              <w:t>s iestāde</w:t>
            </w:r>
            <w:r w:rsidR="00292C4C" w:rsidRPr="002A4D6D">
              <w:rPr>
                <w:spacing w:val="-2"/>
                <w:sz w:val="26"/>
                <w:szCs w:val="26"/>
                <w:lang w:eastAsia="lv-LV"/>
              </w:rPr>
              <w:t xml:space="preserve">i, ir jāveic arī </w:t>
            </w:r>
            <w:r w:rsidR="006A75CA" w:rsidRPr="002A4D6D">
              <w:rPr>
                <w:spacing w:val="-2"/>
                <w:sz w:val="26"/>
                <w:szCs w:val="26"/>
                <w:lang w:eastAsia="lv-LV"/>
              </w:rPr>
              <w:t>preču sūtījumu</w:t>
            </w:r>
            <w:r w:rsidR="00292C4C" w:rsidRPr="002A4D6D">
              <w:rPr>
                <w:spacing w:val="-2"/>
                <w:sz w:val="26"/>
                <w:szCs w:val="26"/>
                <w:lang w:eastAsia="lv-LV"/>
              </w:rPr>
              <w:t>, uz kuriem attiec</w:t>
            </w:r>
            <w:r w:rsidR="00DF3051" w:rsidRPr="002A4D6D">
              <w:rPr>
                <w:spacing w:val="-2"/>
                <w:sz w:val="26"/>
                <w:szCs w:val="26"/>
                <w:lang w:eastAsia="lv-LV"/>
              </w:rPr>
              <w:t>ināms</w:t>
            </w:r>
            <w:r w:rsidR="00292C4C" w:rsidRPr="002A4D6D">
              <w:rPr>
                <w:spacing w:val="-2"/>
                <w:sz w:val="26"/>
                <w:szCs w:val="26"/>
                <w:lang w:eastAsia="lv-LV"/>
              </w:rPr>
              <w:t xml:space="preserve"> īpašs </w:t>
            </w:r>
            <w:r w:rsidR="006A75CA" w:rsidRPr="002A4D6D">
              <w:rPr>
                <w:spacing w:val="-2"/>
                <w:sz w:val="26"/>
                <w:szCs w:val="26"/>
                <w:lang w:eastAsia="lv-LV"/>
              </w:rPr>
              <w:t>režīms PVN maksātājiem, kas uzrāda preces muita</w:t>
            </w:r>
            <w:r w:rsidR="00226A2C" w:rsidRPr="002A4D6D">
              <w:rPr>
                <w:spacing w:val="-2"/>
                <w:sz w:val="26"/>
                <w:szCs w:val="26"/>
                <w:lang w:eastAsia="lv-LV"/>
              </w:rPr>
              <w:t>s iestāde</w:t>
            </w:r>
            <w:r w:rsidR="006A75CA" w:rsidRPr="002A4D6D">
              <w:rPr>
                <w:spacing w:val="-2"/>
                <w:sz w:val="26"/>
                <w:szCs w:val="26"/>
                <w:lang w:eastAsia="lv-LV"/>
              </w:rPr>
              <w:t>i,</w:t>
            </w:r>
            <w:r w:rsidR="003908C8" w:rsidRPr="002A4D6D">
              <w:rPr>
                <w:spacing w:val="-2"/>
                <w:sz w:val="26"/>
                <w:szCs w:val="26"/>
                <w:lang w:eastAsia="lv-LV"/>
              </w:rPr>
              <w:t xml:space="preserve"> uzskaite. Minētā</w:t>
            </w:r>
            <w:r w:rsidR="00DF3051" w:rsidRPr="002A4D6D">
              <w:rPr>
                <w:spacing w:val="-2"/>
                <w:sz w:val="26"/>
                <w:szCs w:val="26"/>
                <w:lang w:eastAsia="lv-LV"/>
              </w:rPr>
              <w:t xml:space="preserve"> uzskaite </w:t>
            </w:r>
            <w:r w:rsidR="00292C4C" w:rsidRPr="002A4D6D">
              <w:rPr>
                <w:spacing w:val="-2"/>
                <w:sz w:val="26"/>
                <w:szCs w:val="26"/>
                <w:lang w:eastAsia="lv-LV"/>
              </w:rPr>
              <w:t>var kalpot kā p</w:t>
            </w:r>
            <w:r w:rsidR="00DF3051" w:rsidRPr="002A4D6D">
              <w:rPr>
                <w:spacing w:val="-2"/>
                <w:sz w:val="26"/>
                <w:szCs w:val="26"/>
                <w:lang w:eastAsia="lv-LV"/>
              </w:rPr>
              <w:t>ierādījums</w:t>
            </w:r>
            <w:r w:rsidR="00292C4C" w:rsidRPr="002A4D6D">
              <w:rPr>
                <w:spacing w:val="-2"/>
                <w:sz w:val="26"/>
                <w:szCs w:val="26"/>
                <w:lang w:eastAsia="lv-LV"/>
              </w:rPr>
              <w:t xml:space="preserve">, </w:t>
            </w:r>
            <w:r w:rsidR="00DF3051" w:rsidRPr="002A4D6D">
              <w:rPr>
                <w:spacing w:val="-2"/>
                <w:sz w:val="26"/>
                <w:szCs w:val="26"/>
                <w:lang w:eastAsia="lv-LV"/>
              </w:rPr>
              <w:t>ja</w:t>
            </w:r>
            <w:r w:rsidR="00292C4C" w:rsidRPr="002A4D6D">
              <w:rPr>
                <w:spacing w:val="-2"/>
                <w:sz w:val="26"/>
                <w:szCs w:val="26"/>
                <w:lang w:eastAsia="lv-LV"/>
              </w:rPr>
              <w:t xml:space="preserve"> PVN nav samaksāts par </w:t>
            </w:r>
            <w:r w:rsidR="00DF3051" w:rsidRPr="002A4D6D">
              <w:rPr>
                <w:spacing w:val="-2"/>
                <w:sz w:val="26"/>
                <w:szCs w:val="26"/>
                <w:lang w:eastAsia="lv-LV"/>
              </w:rPr>
              <w:t>t</w:t>
            </w:r>
            <w:r w:rsidR="003908C8" w:rsidRPr="002A4D6D">
              <w:rPr>
                <w:spacing w:val="-2"/>
                <w:sz w:val="26"/>
                <w:szCs w:val="26"/>
                <w:lang w:eastAsia="lv-LV"/>
              </w:rPr>
              <w:t>ād</w:t>
            </w:r>
            <w:r w:rsidR="00DF3051" w:rsidRPr="002A4D6D">
              <w:rPr>
                <w:spacing w:val="-2"/>
                <w:sz w:val="26"/>
                <w:szCs w:val="26"/>
                <w:lang w:eastAsia="lv-LV"/>
              </w:rPr>
              <w:t xml:space="preserve">iem </w:t>
            </w:r>
            <w:r w:rsidR="00292C4C" w:rsidRPr="002A4D6D">
              <w:rPr>
                <w:spacing w:val="-2"/>
                <w:sz w:val="26"/>
                <w:szCs w:val="26"/>
                <w:lang w:eastAsia="lv-LV"/>
              </w:rPr>
              <w:t xml:space="preserve">preču sūtījumiem, kuru saņemšanu preču </w:t>
            </w:r>
            <w:r w:rsidR="003E2820" w:rsidRPr="002A4D6D">
              <w:rPr>
                <w:spacing w:val="-2"/>
                <w:sz w:val="26"/>
                <w:szCs w:val="26"/>
                <w:lang w:eastAsia="lv-LV"/>
              </w:rPr>
              <w:t xml:space="preserve">sūtījuma </w:t>
            </w:r>
            <w:r w:rsidR="00292C4C" w:rsidRPr="002A4D6D">
              <w:rPr>
                <w:spacing w:val="-2"/>
                <w:sz w:val="26"/>
                <w:szCs w:val="26"/>
                <w:lang w:eastAsia="lv-LV"/>
              </w:rPr>
              <w:t xml:space="preserve">saņēmējs ir atteicis. Minētās prasības nemaina esošos uzskaites pienākumus, kas paredzēti muitas </w:t>
            </w:r>
            <w:r w:rsidR="003908C8" w:rsidRPr="002A4D6D">
              <w:rPr>
                <w:spacing w:val="-2"/>
                <w:sz w:val="26"/>
                <w:szCs w:val="26"/>
                <w:lang w:eastAsia="lv-LV"/>
              </w:rPr>
              <w:t>normatīvajos</w:t>
            </w:r>
            <w:r w:rsidR="00292C4C" w:rsidRPr="002A4D6D">
              <w:rPr>
                <w:spacing w:val="-2"/>
                <w:sz w:val="26"/>
                <w:szCs w:val="26"/>
                <w:lang w:eastAsia="lv-LV"/>
              </w:rPr>
              <w:t xml:space="preserve"> aktos.</w:t>
            </w:r>
          </w:p>
          <w:p w14:paraId="1589A926" w14:textId="2125D503" w:rsidR="00C26BB3" w:rsidRPr="002A4D6D" w:rsidRDefault="00C26BB3" w:rsidP="002A4D6D">
            <w:pPr>
              <w:ind w:left="118" w:right="113"/>
              <w:jc w:val="both"/>
              <w:rPr>
                <w:spacing w:val="-2"/>
                <w:sz w:val="26"/>
                <w:szCs w:val="26"/>
                <w:lang w:eastAsia="lv-LV"/>
              </w:rPr>
            </w:pPr>
          </w:p>
          <w:p w14:paraId="1427970E" w14:textId="36C2665F" w:rsidR="001F6D11" w:rsidRPr="002A4D6D" w:rsidRDefault="00C26BB3" w:rsidP="002A4D6D">
            <w:pPr>
              <w:ind w:left="113" w:right="113"/>
              <w:jc w:val="both"/>
              <w:rPr>
                <w:spacing w:val="-2"/>
                <w:sz w:val="26"/>
                <w:szCs w:val="26"/>
                <w:lang w:eastAsia="lv-LV"/>
              </w:rPr>
            </w:pPr>
            <w:r w:rsidRPr="002A4D6D">
              <w:rPr>
                <w:spacing w:val="-2"/>
                <w:sz w:val="26"/>
                <w:szCs w:val="26"/>
                <w:lang w:eastAsia="lv-LV"/>
              </w:rPr>
              <w:t>Vienlaikus</w:t>
            </w:r>
            <w:r w:rsidR="001F6D11" w:rsidRPr="002A4D6D">
              <w:rPr>
                <w:spacing w:val="-2"/>
                <w:sz w:val="26"/>
                <w:szCs w:val="26"/>
                <w:lang w:eastAsia="lv-LV"/>
              </w:rPr>
              <w:t xml:space="preserve"> ir jāvērš uzmanība, ja PVN maksātājs, kurš izmanto </w:t>
            </w:r>
            <w:proofErr w:type="spellStart"/>
            <w:r w:rsidR="001F6D11" w:rsidRPr="002A4D6D">
              <w:rPr>
                <w:spacing w:val="-2"/>
                <w:sz w:val="26"/>
                <w:szCs w:val="26"/>
                <w:lang w:eastAsia="lv-LV"/>
              </w:rPr>
              <w:t>ārpussavienības</w:t>
            </w:r>
            <w:proofErr w:type="spellEnd"/>
            <w:r w:rsidR="001F6D11" w:rsidRPr="002A4D6D">
              <w:rPr>
                <w:spacing w:val="-2"/>
                <w:sz w:val="26"/>
                <w:szCs w:val="26"/>
                <w:lang w:eastAsia="lv-LV"/>
              </w:rPr>
              <w:t xml:space="preserve"> režīmu, savienības režīmu vai importa režīmu, divus gadus nevienā patēriņa dalībvalstī nav piegādājis preces vai sniedzis pakalpojumus, kuriem piemērojams izvēlētais režīms, tad tiek uzskatīts, ka tas ir pārtraucis darbības, kurām piemēro īpašu PVN režīmu. </w:t>
            </w:r>
            <w:r w:rsidR="001F6D11" w:rsidRPr="002A4D6D">
              <w:rPr>
                <w:spacing w:val="-2"/>
                <w:sz w:val="26"/>
                <w:szCs w:val="26"/>
                <w:lang w:eastAsia="lv-LV"/>
              </w:rPr>
              <w:lastRenderedPageBreak/>
              <w:t>Tomēr</w:t>
            </w:r>
            <w:r w:rsidR="008C0EE0" w:rsidRPr="002A4D6D">
              <w:rPr>
                <w:spacing w:val="-2"/>
                <w:sz w:val="26"/>
                <w:szCs w:val="26"/>
                <w:lang w:eastAsia="lv-LV"/>
              </w:rPr>
              <w:t>,</w:t>
            </w:r>
            <w:r w:rsidR="001F6D11" w:rsidRPr="002A4D6D">
              <w:rPr>
                <w:spacing w:val="-2"/>
                <w:sz w:val="26"/>
                <w:szCs w:val="26"/>
                <w:lang w:eastAsia="lv-LV"/>
              </w:rPr>
              <w:t xml:space="preserve"> ņemot vērā, ka īpaša PVN režīma izvēle ir brīvprātīga, iepriekš veiktā darbību pārtraukšana turpmāk neliedz PVN maksātājam piemērot kādu no īpašiem PVN režīmiem, ja tas atsāk darbības, uz kurām attiecas jebkurš no minētajiem īpašiem PVN režīmiem.</w:t>
            </w:r>
          </w:p>
          <w:p w14:paraId="234A0F98" w14:textId="5B48B46F" w:rsidR="00A3671F" w:rsidRPr="002A4D6D" w:rsidRDefault="00C26BB3" w:rsidP="002A4D6D">
            <w:pPr>
              <w:ind w:left="118" w:right="113"/>
              <w:jc w:val="both"/>
              <w:rPr>
                <w:spacing w:val="-2"/>
                <w:sz w:val="26"/>
                <w:szCs w:val="26"/>
                <w:lang w:eastAsia="lv-LV"/>
              </w:rPr>
            </w:pPr>
            <w:r w:rsidRPr="002A4D6D">
              <w:rPr>
                <w:spacing w:val="-2"/>
                <w:sz w:val="26"/>
                <w:szCs w:val="26"/>
                <w:lang w:eastAsia="lv-LV"/>
              </w:rPr>
              <w:t>Atbilstoši Regulas 2019/2026 2.pantā noteiktajam, PVN maksātāji un starpnieki, kuri r</w:t>
            </w:r>
            <w:r w:rsidR="000F175A" w:rsidRPr="002A4D6D">
              <w:rPr>
                <w:spacing w:val="-2"/>
                <w:sz w:val="26"/>
                <w:szCs w:val="26"/>
                <w:lang w:eastAsia="lv-LV"/>
              </w:rPr>
              <w:t>īkoj</w:t>
            </w:r>
            <w:r w:rsidRPr="002A4D6D">
              <w:rPr>
                <w:spacing w:val="-2"/>
                <w:sz w:val="26"/>
                <w:szCs w:val="26"/>
                <w:lang w:eastAsia="lv-LV"/>
              </w:rPr>
              <w:t xml:space="preserve">as </w:t>
            </w:r>
            <w:r w:rsidR="000F175A" w:rsidRPr="002A4D6D">
              <w:rPr>
                <w:spacing w:val="-2"/>
                <w:sz w:val="26"/>
                <w:szCs w:val="26"/>
                <w:lang w:eastAsia="lv-LV"/>
              </w:rPr>
              <w:t xml:space="preserve">to interesēs, ja izvēlas iekšzemē reģistrēties </w:t>
            </w:r>
            <w:proofErr w:type="spellStart"/>
            <w:r w:rsidR="000F175A" w:rsidRPr="002A4D6D">
              <w:rPr>
                <w:spacing w:val="-2"/>
                <w:sz w:val="26"/>
                <w:szCs w:val="26"/>
                <w:lang w:eastAsia="lv-LV"/>
              </w:rPr>
              <w:t>ārpussavienības</w:t>
            </w:r>
            <w:proofErr w:type="spellEnd"/>
            <w:r w:rsidR="000F175A" w:rsidRPr="002A4D6D">
              <w:rPr>
                <w:spacing w:val="-2"/>
                <w:sz w:val="26"/>
                <w:szCs w:val="26"/>
                <w:lang w:eastAsia="lv-LV"/>
              </w:rPr>
              <w:t xml:space="preserve"> režīma, savienības režīma vai importa režīma izmantošanai, no 2020.gada 1.oktobra var iesniegt VID iesniegumu reģistrācijai minēto režīmu reģistrā. </w:t>
            </w:r>
          </w:p>
          <w:p w14:paraId="120800D5" w14:textId="5AB2B5D9" w:rsidR="00A3671F" w:rsidRPr="002A4D6D" w:rsidRDefault="00A3671F" w:rsidP="002A4D6D">
            <w:pPr>
              <w:ind w:left="118" w:right="113"/>
              <w:jc w:val="both"/>
              <w:rPr>
                <w:spacing w:val="-2"/>
                <w:sz w:val="26"/>
                <w:szCs w:val="26"/>
                <w:lang w:eastAsia="lv-LV"/>
              </w:rPr>
            </w:pPr>
          </w:p>
          <w:p w14:paraId="14F731BB" w14:textId="34CA810A" w:rsidR="00A3671F" w:rsidRPr="002A4D6D" w:rsidRDefault="000F175A" w:rsidP="002A4D6D">
            <w:pPr>
              <w:ind w:left="118" w:right="113"/>
              <w:jc w:val="both"/>
              <w:rPr>
                <w:spacing w:val="-2"/>
                <w:sz w:val="26"/>
                <w:szCs w:val="26"/>
                <w:lang w:eastAsia="lv-LV"/>
              </w:rPr>
            </w:pPr>
            <w:r w:rsidRPr="002A4D6D">
              <w:rPr>
                <w:spacing w:val="-2"/>
                <w:sz w:val="26"/>
                <w:szCs w:val="26"/>
                <w:lang w:eastAsia="lv-LV"/>
              </w:rPr>
              <w:t xml:space="preserve">Likumprojekta mērķis ir </w:t>
            </w:r>
            <w:r w:rsidR="00ED0BC4" w:rsidRPr="002A4D6D">
              <w:rPr>
                <w:spacing w:val="-2"/>
                <w:sz w:val="26"/>
                <w:szCs w:val="26"/>
                <w:lang w:eastAsia="lv-LV"/>
              </w:rPr>
              <w:t xml:space="preserve">veikt </w:t>
            </w:r>
            <w:r w:rsidRPr="002A4D6D">
              <w:rPr>
                <w:spacing w:val="-2"/>
                <w:sz w:val="26"/>
                <w:szCs w:val="26"/>
              </w:rPr>
              <w:t>PVN piemērošanas vienkāršošanas noteikumus e-komercijas jomā.</w:t>
            </w:r>
          </w:p>
          <w:p w14:paraId="6A40E3CF" w14:textId="1141898A" w:rsidR="009E7183" w:rsidRPr="002A4D6D" w:rsidRDefault="009E7183" w:rsidP="002A4D6D">
            <w:pPr>
              <w:ind w:left="118" w:right="113"/>
              <w:jc w:val="both"/>
              <w:rPr>
                <w:rFonts w:eastAsia="Times New Roman"/>
                <w:iCs/>
                <w:spacing w:val="-2"/>
                <w:sz w:val="26"/>
                <w:szCs w:val="26"/>
              </w:rPr>
            </w:pPr>
            <w:r w:rsidRPr="002A4D6D">
              <w:rPr>
                <w:color w:val="000000"/>
                <w:spacing w:val="-2"/>
                <w:sz w:val="26"/>
                <w:szCs w:val="26"/>
              </w:rPr>
              <w:t>Likumprojekts paredz, ka grozījumi stājas spēkā 2021.gada 1.janvārī.</w:t>
            </w:r>
          </w:p>
        </w:tc>
      </w:tr>
      <w:tr w:rsidR="00F207FB" w:rsidRPr="002A4D6D" w14:paraId="0807BF5E" w14:textId="77777777" w:rsidTr="005E7435">
        <w:tblPrEx>
          <w:tblCellSpacing w:w="0" w:type="dxa"/>
          <w:tblCellMar>
            <w:top w:w="0" w:type="dxa"/>
            <w:left w:w="0" w:type="dxa"/>
            <w:bottom w:w="0" w:type="dxa"/>
            <w:right w:w="0" w:type="dxa"/>
          </w:tblCellMar>
        </w:tblPrEx>
        <w:trPr>
          <w:trHeight w:val="122"/>
          <w:tblCellSpacing w:w="0" w:type="dxa"/>
        </w:trPr>
        <w:tc>
          <w:tcPr>
            <w:tcW w:w="274" w:type="pct"/>
            <w:gridSpan w:val="3"/>
            <w:hideMark/>
          </w:tcPr>
          <w:p w14:paraId="30E6352F" w14:textId="3C7B2CA2" w:rsidR="005A039A" w:rsidRPr="002A4D6D" w:rsidRDefault="00C92A95" w:rsidP="002A4D6D">
            <w:pPr>
              <w:rPr>
                <w:rFonts w:eastAsia="Times New Roman"/>
                <w:spacing w:val="-2"/>
                <w:sz w:val="26"/>
                <w:szCs w:val="26"/>
                <w:lang w:eastAsia="lv-LV"/>
              </w:rPr>
            </w:pPr>
            <w:r w:rsidRPr="002A4D6D">
              <w:rPr>
                <w:rFonts w:eastAsia="Times New Roman"/>
                <w:spacing w:val="-2"/>
                <w:sz w:val="26"/>
                <w:szCs w:val="26"/>
                <w:lang w:eastAsia="lv-LV"/>
              </w:rPr>
              <w:lastRenderedPageBreak/>
              <w:t>3</w:t>
            </w:r>
            <w:r w:rsidR="006A67C9" w:rsidRPr="002A4D6D">
              <w:rPr>
                <w:rFonts w:eastAsia="Times New Roman"/>
                <w:spacing w:val="-2"/>
                <w:sz w:val="26"/>
                <w:szCs w:val="26"/>
                <w:lang w:eastAsia="lv-LV"/>
              </w:rPr>
              <w:t>.</w:t>
            </w:r>
          </w:p>
        </w:tc>
        <w:tc>
          <w:tcPr>
            <w:tcW w:w="1263" w:type="pct"/>
            <w:gridSpan w:val="3"/>
            <w:hideMark/>
          </w:tcPr>
          <w:p w14:paraId="0A930AA5" w14:textId="77777777" w:rsidR="005A039A" w:rsidRPr="002A4D6D" w:rsidRDefault="005A039A" w:rsidP="002A4D6D">
            <w:pPr>
              <w:ind w:left="127" w:hanging="19"/>
              <w:rPr>
                <w:rFonts w:eastAsia="Times New Roman"/>
                <w:spacing w:val="-2"/>
                <w:sz w:val="26"/>
                <w:szCs w:val="26"/>
                <w:lang w:eastAsia="lv-LV"/>
              </w:rPr>
            </w:pPr>
            <w:r w:rsidRPr="002A4D6D">
              <w:rPr>
                <w:rFonts w:eastAsia="Times New Roman"/>
                <w:spacing w:val="-2"/>
                <w:sz w:val="26"/>
                <w:szCs w:val="26"/>
                <w:lang w:eastAsia="lv-LV"/>
              </w:rPr>
              <w:t>Projekta izstrādē iesaistītās institūcijas</w:t>
            </w:r>
            <w:r w:rsidR="002233D8" w:rsidRPr="002A4D6D">
              <w:rPr>
                <w:rFonts w:eastAsia="Times New Roman"/>
                <w:spacing w:val="-2"/>
                <w:sz w:val="26"/>
                <w:szCs w:val="26"/>
                <w:lang w:eastAsia="lv-LV"/>
              </w:rPr>
              <w:t xml:space="preserve"> un publiskas personas kapitālsabiedrības</w:t>
            </w:r>
          </w:p>
        </w:tc>
        <w:tc>
          <w:tcPr>
            <w:tcW w:w="3463" w:type="pct"/>
            <w:gridSpan w:val="10"/>
            <w:hideMark/>
          </w:tcPr>
          <w:p w14:paraId="460C02C1" w14:textId="77777777" w:rsidR="006A4901" w:rsidRPr="002A4D6D" w:rsidRDefault="006A4901" w:rsidP="002A4D6D">
            <w:pPr>
              <w:tabs>
                <w:tab w:val="left" w:pos="340"/>
              </w:tabs>
              <w:ind w:left="113" w:right="113"/>
              <w:jc w:val="both"/>
              <w:rPr>
                <w:rFonts w:eastAsia="Times New Roman"/>
                <w:spacing w:val="-2"/>
                <w:sz w:val="26"/>
                <w:szCs w:val="26"/>
                <w:lang w:eastAsia="lv-LV"/>
              </w:rPr>
            </w:pPr>
            <w:r w:rsidRPr="002A4D6D">
              <w:rPr>
                <w:rFonts w:eastAsia="Times New Roman"/>
                <w:spacing w:val="-2"/>
                <w:sz w:val="26"/>
                <w:szCs w:val="26"/>
                <w:lang w:eastAsia="lv-LV"/>
              </w:rPr>
              <w:t>Projekta izstrādē ir iesaistīta Finanšu ministrija un VID.</w:t>
            </w:r>
          </w:p>
          <w:p w14:paraId="55D28366" w14:textId="77777777" w:rsidR="009402BB" w:rsidRPr="002A4D6D" w:rsidRDefault="009402BB" w:rsidP="002A4D6D">
            <w:pPr>
              <w:ind w:left="113" w:right="113"/>
              <w:jc w:val="both"/>
              <w:rPr>
                <w:rFonts w:eastAsia="Times New Roman"/>
                <w:spacing w:val="-2"/>
                <w:sz w:val="26"/>
                <w:szCs w:val="26"/>
                <w:lang w:eastAsia="lv-LV"/>
              </w:rPr>
            </w:pPr>
          </w:p>
        </w:tc>
      </w:tr>
      <w:tr w:rsidR="00F207FB" w:rsidRPr="002A4D6D" w14:paraId="556B9FAA" w14:textId="77777777" w:rsidTr="005E7435">
        <w:trPr>
          <w:trHeight w:val="358"/>
        </w:trPr>
        <w:tc>
          <w:tcPr>
            <w:tcW w:w="274" w:type="pct"/>
            <w:gridSpan w:val="3"/>
            <w:hideMark/>
          </w:tcPr>
          <w:p w14:paraId="2C452E6D" w14:textId="77777777" w:rsidR="004715A6" w:rsidRPr="002A4D6D" w:rsidRDefault="00CF674E" w:rsidP="002A4D6D">
            <w:pPr>
              <w:jc w:val="both"/>
              <w:rPr>
                <w:rFonts w:eastAsia="Times New Roman"/>
                <w:spacing w:val="-2"/>
                <w:sz w:val="26"/>
                <w:szCs w:val="26"/>
                <w:lang w:eastAsia="lv-LV"/>
              </w:rPr>
            </w:pPr>
            <w:r w:rsidRPr="002A4D6D">
              <w:rPr>
                <w:rFonts w:eastAsia="Times New Roman"/>
                <w:spacing w:val="-2"/>
                <w:sz w:val="26"/>
                <w:szCs w:val="26"/>
                <w:lang w:eastAsia="lv-LV"/>
              </w:rPr>
              <w:t>4</w:t>
            </w:r>
            <w:r w:rsidR="004715A6" w:rsidRPr="002A4D6D">
              <w:rPr>
                <w:rFonts w:eastAsia="Times New Roman"/>
                <w:spacing w:val="-2"/>
                <w:sz w:val="26"/>
                <w:szCs w:val="26"/>
                <w:lang w:eastAsia="lv-LV"/>
              </w:rPr>
              <w:t>.</w:t>
            </w:r>
          </w:p>
        </w:tc>
        <w:tc>
          <w:tcPr>
            <w:tcW w:w="1263" w:type="pct"/>
            <w:gridSpan w:val="3"/>
            <w:hideMark/>
          </w:tcPr>
          <w:p w14:paraId="7512C4B1" w14:textId="77777777" w:rsidR="004715A6" w:rsidRPr="002A4D6D" w:rsidRDefault="004715A6" w:rsidP="002A4D6D">
            <w:pPr>
              <w:jc w:val="both"/>
              <w:rPr>
                <w:rFonts w:eastAsia="Times New Roman"/>
                <w:spacing w:val="-2"/>
                <w:sz w:val="26"/>
                <w:szCs w:val="26"/>
                <w:lang w:eastAsia="lv-LV"/>
              </w:rPr>
            </w:pPr>
            <w:r w:rsidRPr="002A4D6D">
              <w:rPr>
                <w:rFonts w:eastAsia="Times New Roman"/>
                <w:spacing w:val="-2"/>
                <w:sz w:val="26"/>
                <w:szCs w:val="26"/>
                <w:lang w:eastAsia="lv-LV"/>
              </w:rPr>
              <w:t>Cita informācija</w:t>
            </w:r>
          </w:p>
        </w:tc>
        <w:tc>
          <w:tcPr>
            <w:tcW w:w="3463" w:type="pct"/>
            <w:gridSpan w:val="10"/>
            <w:hideMark/>
          </w:tcPr>
          <w:p w14:paraId="6C10A3DF" w14:textId="3FDDC0C3" w:rsidR="009402BB" w:rsidRPr="002A4D6D" w:rsidRDefault="004715A6" w:rsidP="002A4D6D">
            <w:pPr>
              <w:ind w:left="113" w:right="113"/>
              <w:jc w:val="both"/>
              <w:rPr>
                <w:rFonts w:eastAsia="Times New Roman"/>
                <w:spacing w:val="-2"/>
                <w:sz w:val="26"/>
                <w:szCs w:val="26"/>
                <w:lang w:eastAsia="lv-LV"/>
              </w:rPr>
            </w:pPr>
            <w:r w:rsidRPr="002A4D6D">
              <w:rPr>
                <w:rFonts w:eastAsia="Times New Roman"/>
                <w:spacing w:val="-2"/>
                <w:sz w:val="26"/>
                <w:szCs w:val="26"/>
                <w:lang w:eastAsia="lv-LV"/>
              </w:rPr>
              <w:t>Nav</w:t>
            </w:r>
            <w:r w:rsidR="0060735C" w:rsidRPr="002A4D6D">
              <w:rPr>
                <w:rFonts w:eastAsia="Times New Roman"/>
                <w:spacing w:val="-2"/>
                <w:sz w:val="26"/>
                <w:szCs w:val="26"/>
                <w:lang w:eastAsia="lv-LV"/>
              </w:rPr>
              <w:t>.</w:t>
            </w:r>
          </w:p>
        </w:tc>
      </w:tr>
      <w:tr w:rsidR="00F207FB" w:rsidRPr="002A4D6D" w14:paraId="52CB54A5" w14:textId="77777777" w:rsidTr="005E7435">
        <w:tc>
          <w:tcPr>
            <w:tcW w:w="5000" w:type="pct"/>
            <w:gridSpan w:val="16"/>
            <w:vAlign w:val="center"/>
            <w:hideMark/>
          </w:tcPr>
          <w:p w14:paraId="1CD92E20" w14:textId="77777777" w:rsidR="000B1CAC" w:rsidRPr="002A4D6D" w:rsidRDefault="000B1CAC" w:rsidP="002A4D6D">
            <w:pPr>
              <w:pStyle w:val="NormalWeb"/>
              <w:spacing w:before="0" w:beforeAutospacing="0" w:after="0" w:afterAutospacing="0"/>
              <w:jc w:val="center"/>
              <w:rPr>
                <w:b/>
                <w:bCs/>
                <w:spacing w:val="-2"/>
                <w:sz w:val="26"/>
                <w:szCs w:val="26"/>
                <w:lang w:eastAsia="en-US"/>
              </w:rPr>
            </w:pPr>
            <w:r w:rsidRPr="002A4D6D">
              <w:rPr>
                <w:b/>
                <w:bCs/>
                <w:spacing w:val="-2"/>
                <w:sz w:val="26"/>
                <w:szCs w:val="26"/>
                <w:lang w:eastAsia="en-US"/>
              </w:rPr>
              <w:t>II. Tiesību akta projekta ietekme uz sabiedrību</w:t>
            </w:r>
            <w:r w:rsidR="007E3FE7" w:rsidRPr="002A4D6D">
              <w:rPr>
                <w:b/>
                <w:bCs/>
                <w:spacing w:val="-2"/>
                <w:sz w:val="26"/>
                <w:szCs w:val="26"/>
                <w:lang w:eastAsia="en-US"/>
              </w:rPr>
              <w:t xml:space="preserve">, </w:t>
            </w:r>
            <w:r w:rsidR="00125708" w:rsidRPr="002A4D6D">
              <w:rPr>
                <w:b/>
                <w:bCs/>
                <w:spacing w:val="-2"/>
                <w:sz w:val="26"/>
                <w:szCs w:val="26"/>
                <w:lang w:eastAsia="en-US"/>
              </w:rPr>
              <w:t>tautsaimniecības attīstību un administratīvo slogu</w:t>
            </w:r>
          </w:p>
        </w:tc>
      </w:tr>
      <w:tr w:rsidR="00F207FB" w:rsidRPr="002A4D6D" w14:paraId="5BAD3E92" w14:textId="77777777" w:rsidTr="005E7435">
        <w:tc>
          <w:tcPr>
            <w:tcW w:w="247" w:type="pct"/>
            <w:gridSpan w:val="2"/>
            <w:hideMark/>
          </w:tcPr>
          <w:p w14:paraId="5D7B21AB" w14:textId="77777777" w:rsidR="000B1CAC" w:rsidRPr="002A4D6D" w:rsidRDefault="000B1CAC" w:rsidP="002A4D6D">
            <w:pPr>
              <w:pStyle w:val="NormalWeb"/>
              <w:spacing w:before="0" w:beforeAutospacing="0" w:after="0" w:afterAutospacing="0"/>
              <w:rPr>
                <w:spacing w:val="-2"/>
                <w:sz w:val="26"/>
                <w:szCs w:val="26"/>
                <w:lang w:eastAsia="en-US"/>
              </w:rPr>
            </w:pPr>
            <w:r w:rsidRPr="002A4D6D">
              <w:rPr>
                <w:spacing w:val="-2"/>
                <w:sz w:val="26"/>
                <w:szCs w:val="26"/>
                <w:lang w:eastAsia="en-US"/>
              </w:rPr>
              <w:t>1.</w:t>
            </w:r>
          </w:p>
        </w:tc>
        <w:tc>
          <w:tcPr>
            <w:tcW w:w="1290" w:type="pct"/>
            <w:gridSpan w:val="4"/>
            <w:hideMark/>
          </w:tcPr>
          <w:p w14:paraId="57C79442" w14:textId="77777777" w:rsidR="000B1CAC" w:rsidRPr="002A4D6D" w:rsidRDefault="000B1CAC" w:rsidP="002A4D6D">
            <w:pPr>
              <w:pStyle w:val="NormalWeb"/>
              <w:spacing w:before="0" w:beforeAutospacing="0" w:after="0" w:afterAutospacing="0"/>
              <w:rPr>
                <w:i/>
                <w:spacing w:val="-2"/>
                <w:sz w:val="26"/>
                <w:szCs w:val="26"/>
                <w:u w:val="single"/>
                <w:lang w:eastAsia="en-US"/>
              </w:rPr>
            </w:pPr>
            <w:r w:rsidRPr="002A4D6D">
              <w:rPr>
                <w:spacing w:val="-2"/>
                <w:sz w:val="26"/>
                <w:szCs w:val="26"/>
                <w:lang w:eastAsia="en-US"/>
              </w:rPr>
              <w:t>Sabiedrības mērķgrupa</w:t>
            </w:r>
            <w:r w:rsidR="00426077" w:rsidRPr="002A4D6D">
              <w:rPr>
                <w:spacing w:val="-2"/>
                <w:sz w:val="26"/>
                <w:szCs w:val="26"/>
                <w:lang w:eastAsia="en-US"/>
              </w:rPr>
              <w:t>s</w:t>
            </w:r>
            <w:r w:rsidR="00125708" w:rsidRPr="002A4D6D">
              <w:rPr>
                <w:spacing w:val="-2"/>
                <w:sz w:val="26"/>
                <w:szCs w:val="26"/>
                <w:lang w:eastAsia="en-US"/>
              </w:rPr>
              <w:t>, kuras tiesiskais regulējums ietekmē vai varētu ietekmēt</w:t>
            </w:r>
          </w:p>
        </w:tc>
        <w:tc>
          <w:tcPr>
            <w:tcW w:w="3463" w:type="pct"/>
            <w:gridSpan w:val="10"/>
            <w:hideMark/>
          </w:tcPr>
          <w:p w14:paraId="1E8F7A7A" w14:textId="4A5AA6F2" w:rsidR="00C311D9" w:rsidRPr="002A4D6D" w:rsidRDefault="0054240B" w:rsidP="002A4D6D">
            <w:pPr>
              <w:ind w:left="23" w:right="113"/>
              <w:jc w:val="both"/>
              <w:rPr>
                <w:spacing w:val="-2"/>
                <w:sz w:val="26"/>
                <w:szCs w:val="26"/>
              </w:rPr>
            </w:pPr>
            <w:r w:rsidRPr="002A4D6D">
              <w:rPr>
                <w:rFonts w:eastAsia="Times New Roman"/>
                <w:spacing w:val="-2"/>
                <w:sz w:val="26"/>
                <w:szCs w:val="26"/>
                <w:lang w:eastAsia="lv-LV"/>
              </w:rPr>
              <w:t xml:space="preserve">Likumprojekta tiesiskais regulējums </w:t>
            </w:r>
            <w:r w:rsidR="001714DD" w:rsidRPr="002A4D6D">
              <w:rPr>
                <w:spacing w:val="-2"/>
                <w:sz w:val="26"/>
                <w:szCs w:val="26"/>
              </w:rPr>
              <w:t>ietekmēs</w:t>
            </w:r>
            <w:r w:rsidR="00C311D9" w:rsidRPr="002A4D6D">
              <w:rPr>
                <w:spacing w:val="-2"/>
                <w:sz w:val="26"/>
                <w:szCs w:val="26"/>
              </w:rPr>
              <w:t>:</w:t>
            </w:r>
          </w:p>
          <w:p w14:paraId="63D1BFF4" w14:textId="1FFBC220" w:rsidR="0054234A" w:rsidRPr="002A4D6D" w:rsidRDefault="00C311D9" w:rsidP="002A4D6D">
            <w:pPr>
              <w:ind w:left="670" w:right="113" w:hanging="283"/>
              <w:jc w:val="both"/>
              <w:rPr>
                <w:spacing w:val="-2"/>
                <w:sz w:val="26"/>
                <w:szCs w:val="26"/>
              </w:rPr>
            </w:pPr>
            <w:r w:rsidRPr="002A4D6D">
              <w:rPr>
                <w:spacing w:val="-2"/>
                <w:sz w:val="26"/>
                <w:szCs w:val="26"/>
              </w:rPr>
              <w:t>1)</w:t>
            </w:r>
            <w:r w:rsidR="00316194" w:rsidRPr="002A4D6D">
              <w:rPr>
                <w:spacing w:val="-2"/>
                <w:sz w:val="26"/>
                <w:szCs w:val="26"/>
              </w:rPr>
              <w:t> </w:t>
            </w:r>
            <w:r w:rsidR="0054234A" w:rsidRPr="002A4D6D">
              <w:rPr>
                <w:spacing w:val="-2"/>
                <w:sz w:val="26"/>
                <w:szCs w:val="26"/>
              </w:rPr>
              <w:t>reģistrētus PVN maksātājus, kas neveic saimnieci</w:t>
            </w:r>
            <w:r w:rsidR="009209A7" w:rsidRPr="002A4D6D">
              <w:rPr>
                <w:spacing w:val="-2"/>
                <w:sz w:val="26"/>
                <w:szCs w:val="26"/>
              </w:rPr>
              <w:t>sko darbību ES</w:t>
            </w:r>
            <w:r w:rsidR="0054234A" w:rsidRPr="002A4D6D">
              <w:rPr>
                <w:spacing w:val="-2"/>
                <w:sz w:val="26"/>
                <w:szCs w:val="26"/>
              </w:rPr>
              <w:t xml:space="preserve"> un kuri sniedz pakalpojumus personai, kura nav PVN maksātāja</w:t>
            </w:r>
            <w:r w:rsidR="00EA252D" w:rsidRPr="002A4D6D">
              <w:rPr>
                <w:spacing w:val="-2"/>
                <w:sz w:val="26"/>
                <w:szCs w:val="26"/>
              </w:rPr>
              <w:t>;</w:t>
            </w:r>
          </w:p>
          <w:p w14:paraId="4CC44B47" w14:textId="1853161A" w:rsidR="0054234A" w:rsidRPr="002A4D6D" w:rsidRDefault="0054234A" w:rsidP="002A4D6D">
            <w:pPr>
              <w:ind w:left="670" w:right="113" w:hanging="283"/>
              <w:jc w:val="both"/>
              <w:rPr>
                <w:spacing w:val="-2"/>
                <w:sz w:val="26"/>
                <w:szCs w:val="26"/>
              </w:rPr>
            </w:pPr>
            <w:r w:rsidRPr="002A4D6D">
              <w:rPr>
                <w:spacing w:val="-2"/>
                <w:sz w:val="26"/>
                <w:szCs w:val="26"/>
              </w:rPr>
              <w:t xml:space="preserve">2) reģistrētus PVN maksātājus, kas </w:t>
            </w:r>
            <w:r w:rsidR="00E411A5" w:rsidRPr="002A4D6D">
              <w:rPr>
                <w:spacing w:val="-2"/>
                <w:sz w:val="26"/>
                <w:szCs w:val="26"/>
              </w:rPr>
              <w:t>veic saimniecisku darbību ES, bet neveic</w:t>
            </w:r>
            <w:r w:rsidRPr="002A4D6D">
              <w:rPr>
                <w:spacing w:val="-2"/>
                <w:sz w:val="26"/>
                <w:szCs w:val="26"/>
              </w:rPr>
              <w:t xml:space="preserve"> patēriņa dalībvalstī</w:t>
            </w:r>
            <w:r w:rsidR="00E411A5" w:rsidRPr="002A4D6D">
              <w:rPr>
                <w:spacing w:val="-2"/>
                <w:sz w:val="26"/>
                <w:szCs w:val="26"/>
              </w:rPr>
              <w:t>,</w:t>
            </w:r>
            <w:r w:rsidRPr="002A4D6D">
              <w:rPr>
                <w:spacing w:val="-2"/>
                <w:sz w:val="26"/>
                <w:szCs w:val="26"/>
              </w:rPr>
              <w:t xml:space="preserve"> un kuri sniedz pakalpojumus personai, kura nav PVN maksātāja;</w:t>
            </w:r>
          </w:p>
          <w:p w14:paraId="1088041C" w14:textId="0262A291" w:rsidR="0054234A" w:rsidRPr="002A4D6D" w:rsidRDefault="0054234A" w:rsidP="002A4D6D">
            <w:pPr>
              <w:ind w:left="670" w:right="113" w:hanging="283"/>
              <w:jc w:val="both"/>
              <w:rPr>
                <w:spacing w:val="-2"/>
                <w:sz w:val="26"/>
                <w:szCs w:val="26"/>
              </w:rPr>
            </w:pPr>
            <w:r w:rsidRPr="002A4D6D">
              <w:rPr>
                <w:spacing w:val="-2"/>
                <w:sz w:val="26"/>
                <w:szCs w:val="26"/>
              </w:rPr>
              <w:t>3</w:t>
            </w:r>
            <w:r w:rsidR="00EA252D" w:rsidRPr="002A4D6D">
              <w:rPr>
                <w:spacing w:val="-2"/>
                <w:sz w:val="26"/>
                <w:szCs w:val="26"/>
              </w:rPr>
              <w:t>)</w:t>
            </w:r>
            <w:r w:rsidR="00316194" w:rsidRPr="002A4D6D">
              <w:rPr>
                <w:spacing w:val="-2"/>
                <w:sz w:val="26"/>
                <w:szCs w:val="26"/>
              </w:rPr>
              <w:t> </w:t>
            </w:r>
            <w:r w:rsidRPr="002A4D6D">
              <w:rPr>
                <w:spacing w:val="-2"/>
                <w:sz w:val="26"/>
                <w:szCs w:val="26"/>
              </w:rPr>
              <w:t xml:space="preserve">reģistrētus PVN maksātājus, kas veic preču tālpārdošanu </w:t>
            </w:r>
            <w:r w:rsidR="00E411A5" w:rsidRPr="002A4D6D">
              <w:rPr>
                <w:spacing w:val="-2"/>
                <w:sz w:val="26"/>
                <w:szCs w:val="26"/>
              </w:rPr>
              <w:t>ES</w:t>
            </w:r>
            <w:r w:rsidRPr="002A4D6D">
              <w:rPr>
                <w:spacing w:val="-2"/>
                <w:sz w:val="26"/>
                <w:szCs w:val="26"/>
              </w:rPr>
              <w:t xml:space="preserve"> teritorijā;</w:t>
            </w:r>
          </w:p>
          <w:p w14:paraId="04AD2CD3" w14:textId="41BA67FA" w:rsidR="0054234A" w:rsidRPr="002A4D6D" w:rsidRDefault="0054234A" w:rsidP="002A4D6D">
            <w:pPr>
              <w:ind w:left="670" w:right="113" w:hanging="283"/>
              <w:jc w:val="both"/>
              <w:rPr>
                <w:spacing w:val="-2"/>
                <w:sz w:val="26"/>
                <w:szCs w:val="26"/>
              </w:rPr>
            </w:pPr>
            <w:r w:rsidRPr="002A4D6D">
              <w:rPr>
                <w:spacing w:val="-2"/>
                <w:sz w:val="26"/>
                <w:szCs w:val="26"/>
              </w:rPr>
              <w:t>4) reģistrētus PVN maksātājus, kas veic no treš</w:t>
            </w:r>
            <w:r w:rsidR="009209A7" w:rsidRPr="002A4D6D">
              <w:rPr>
                <w:spacing w:val="-2"/>
                <w:sz w:val="26"/>
                <w:szCs w:val="26"/>
              </w:rPr>
              <w:t>aj</w:t>
            </w:r>
            <w:r w:rsidRPr="002A4D6D">
              <w:rPr>
                <w:spacing w:val="-2"/>
                <w:sz w:val="26"/>
                <w:szCs w:val="26"/>
              </w:rPr>
              <w:t>ām teritorijām vai treš</w:t>
            </w:r>
            <w:r w:rsidR="009209A7" w:rsidRPr="002A4D6D">
              <w:rPr>
                <w:spacing w:val="-2"/>
                <w:sz w:val="26"/>
                <w:szCs w:val="26"/>
              </w:rPr>
              <w:t>aj</w:t>
            </w:r>
            <w:r w:rsidRPr="002A4D6D">
              <w:rPr>
                <w:spacing w:val="-2"/>
                <w:sz w:val="26"/>
                <w:szCs w:val="26"/>
              </w:rPr>
              <w:t>ām valstīm importētu preču tālpārdošanu;</w:t>
            </w:r>
          </w:p>
          <w:p w14:paraId="01B4B741" w14:textId="2733A795" w:rsidR="0054234A" w:rsidRPr="002A4D6D" w:rsidRDefault="0054234A" w:rsidP="002A4D6D">
            <w:pPr>
              <w:ind w:left="670" w:right="113" w:hanging="283"/>
              <w:jc w:val="both"/>
              <w:rPr>
                <w:spacing w:val="-2"/>
                <w:sz w:val="26"/>
                <w:szCs w:val="26"/>
              </w:rPr>
            </w:pPr>
            <w:r w:rsidRPr="002A4D6D">
              <w:rPr>
                <w:spacing w:val="-2"/>
                <w:sz w:val="26"/>
                <w:szCs w:val="26"/>
              </w:rPr>
              <w:t>5) reģistrētus PVN maksātājus, kas veicina preču piegādi ar elektroniskas saskarnes star</w:t>
            </w:r>
            <w:r w:rsidR="009209A7" w:rsidRPr="002A4D6D">
              <w:rPr>
                <w:spacing w:val="-2"/>
                <w:sz w:val="26"/>
                <w:szCs w:val="26"/>
              </w:rPr>
              <w:t>p</w:t>
            </w:r>
            <w:r w:rsidRPr="002A4D6D">
              <w:rPr>
                <w:spacing w:val="-2"/>
                <w:sz w:val="26"/>
                <w:szCs w:val="26"/>
              </w:rPr>
              <w:t>niecību;</w:t>
            </w:r>
          </w:p>
          <w:p w14:paraId="3AFF387E" w14:textId="5AF5CB9E" w:rsidR="0054234A" w:rsidRPr="002A4D6D" w:rsidRDefault="0054234A" w:rsidP="002A4D6D">
            <w:pPr>
              <w:ind w:left="670" w:right="113" w:hanging="283"/>
              <w:jc w:val="both"/>
              <w:rPr>
                <w:spacing w:val="-2"/>
                <w:sz w:val="26"/>
                <w:szCs w:val="26"/>
              </w:rPr>
            </w:pPr>
            <w:r w:rsidRPr="002A4D6D">
              <w:rPr>
                <w:spacing w:val="-2"/>
                <w:sz w:val="26"/>
                <w:szCs w:val="26"/>
              </w:rPr>
              <w:t>6) </w:t>
            </w:r>
            <w:r w:rsidR="002A61F1" w:rsidRPr="002A4D6D">
              <w:rPr>
                <w:spacing w:val="-2"/>
                <w:sz w:val="26"/>
                <w:szCs w:val="26"/>
              </w:rPr>
              <w:t>reģistrētus PVN maksātājus, kas uzrāda preces muitai</w:t>
            </w:r>
            <w:r w:rsidR="006A75CA" w:rsidRPr="002A4D6D">
              <w:rPr>
                <w:spacing w:val="-2"/>
                <w:sz w:val="26"/>
                <w:szCs w:val="26"/>
              </w:rPr>
              <w:t>.</w:t>
            </w:r>
          </w:p>
          <w:p w14:paraId="62E43E9B" w14:textId="77777777" w:rsidR="0054234A" w:rsidRPr="002A4D6D" w:rsidRDefault="0054234A" w:rsidP="002A4D6D">
            <w:pPr>
              <w:ind w:left="670" w:right="113" w:hanging="283"/>
              <w:jc w:val="both"/>
              <w:rPr>
                <w:spacing w:val="-2"/>
                <w:sz w:val="26"/>
                <w:szCs w:val="26"/>
              </w:rPr>
            </w:pPr>
          </w:p>
          <w:p w14:paraId="0168C4A7" w14:textId="5C6A105C" w:rsidR="00D22B0E" w:rsidRPr="002A4D6D" w:rsidRDefault="00C47D2D" w:rsidP="002A4D6D">
            <w:pPr>
              <w:tabs>
                <w:tab w:val="left" w:pos="257"/>
              </w:tabs>
              <w:ind w:left="118" w:right="113"/>
              <w:jc w:val="both"/>
              <w:rPr>
                <w:spacing w:val="-2"/>
                <w:sz w:val="26"/>
                <w:szCs w:val="26"/>
              </w:rPr>
            </w:pPr>
            <w:r w:rsidRPr="002A4D6D">
              <w:rPr>
                <w:spacing w:val="-2"/>
                <w:sz w:val="26"/>
                <w:szCs w:val="26"/>
              </w:rPr>
              <w:t>Pēc VID datiem 20</w:t>
            </w:r>
            <w:r w:rsidR="002A61F1" w:rsidRPr="002A4D6D">
              <w:rPr>
                <w:spacing w:val="-2"/>
                <w:sz w:val="26"/>
                <w:szCs w:val="26"/>
              </w:rPr>
              <w:t>20</w:t>
            </w:r>
            <w:r w:rsidRPr="002A4D6D">
              <w:rPr>
                <w:spacing w:val="-2"/>
                <w:sz w:val="26"/>
                <w:szCs w:val="26"/>
              </w:rPr>
              <w:t xml:space="preserve">.gada </w:t>
            </w:r>
            <w:r w:rsidR="00105189" w:rsidRPr="002A4D6D">
              <w:rPr>
                <w:spacing w:val="-2"/>
                <w:sz w:val="26"/>
                <w:szCs w:val="26"/>
              </w:rPr>
              <w:t>1.aprīlī</w:t>
            </w:r>
            <w:r w:rsidRPr="002A4D6D">
              <w:rPr>
                <w:spacing w:val="-2"/>
                <w:sz w:val="26"/>
                <w:szCs w:val="26"/>
              </w:rPr>
              <w:t xml:space="preserve"> reģistrētu PVN maksātāju skaits ir </w:t>
            </w:r>
            <w:r w:rsidR="00105189" w:rsidRPr="002A4D6D">
              <w:rPr>
                <w:spacing w:val="-2"/>
                <w:sz w:val="26"/>
                <w:szCs w:val="26"/>
              </w:rPr>
              <w:t>78 891</w:t>
            </w:r>
            <w:r w:rsidR="002A61F1" w:rsidRPr="002A4D6D">
              <w:rPr>
                <w:spacing w:val="-2"/>
                <w:sz w:val="26"/>
                <w:szCs w:val="26"/>
              </w:rPr>
              <w:t>.</w:t>
            </w:r>
          </w:p>
          <w:p w14:paraId="3D28A776" w14:textId="5EEE6910" w:rsidR="003B0445" w:rsidRPr="002A4D6D" w:rsidRDefault="003B0445" w:rsidP="002A4D6D">
            <w:pPr>
              <w:tabs>
                <w:tab w:val="left" w:pos="257"/>
              </w:tabs>
              <w:ind w:left="118" w:right="113"/>
              <w:jc w:val="both"/>
              <w:rPr>
                <w:rFonts w:eastAsia="Times New Roman"/>
                <w:bCs/>
                <w:spacing w:val="-2"/>
                <w:kern w:val="1"/>
                <w:sz w:val="26"/>
                <w:szCs w:val="26"/>
                <w:lang w:eastAsia="ar-SA"/>
              </w:rPr>
            </w:pPr>
            <w:r w:rsidRPr="002A4D6D">
              <w:rPr>
                <w:spacing w:val="-2"/>
                <w:sz w:val="26"/>
                <w:szCs w:val="26"/>
              </w:rPr>
              <w:t xml:space="preserve">Pēc VID sniegtās informācijas </w:t>
            </w:r>
            <w:r w:rsidR="00105189" w:rsidRPr="002A4D6D">
              <w:rPr>
                <w:spacing w:val="-2"/>
                <w:sz w:val="26"/>
                <w:szCs w:val="26"/>
              </w:rPr>
              <w:t>2019.gadā</w:t>
            </w:r>
            <w:r w:rsidRPr="002A4D6D">
              <w:rPr>
                <w:spacing w:val="-2"/>
                <w:sz w:val="26"/>
                <w:szCs w:val="26"/>
              </w:rPr>
              <w:t xml:space="preserve"> savienības režīmu izmanto</w:t>
            </w:r>
            <w:r w:rsidR="00105189" w:rsidRPr="002A4D6D">
              <w:rPr>
                <w:spacing w:val="-2"/>
                <w:sz w:val="26"/>
                <w:szCs w:val="26"/>
              </w:rPr>
              <w:t>ja</w:t>
            </w:r>
            <w:r w:rsidRPr="002A4D6D">
              <w:rPr>
                <w:spacing w:val="-2"/>
                <w:sz w:val="26"/>
                <w:szCs w:val="26"/>
              </w:rPr>
              <w:t xml:space="preserve"> </w:t>
            </w:r>
            <w:r w:rsidR="002F3B73" w:rsidRPr="002A4D6D">
              <w:rPr>
                <w:spacing w:val="-2"/>
                <w:sz w:val="26"/>
                <w:szCs w:val="26"/>
              </w:rPr>
              <w:t xml:space="preserve">99 </w:t>
            </w:r>
            <w:r w:rsidRPr="002A4D6D">
              <w:rPr>
                <w:spacing w:val="-2"/>
                <w:sz w:val="26"/>
                <w:szCs w:val="26"/>
              </w:rPr>
              <w:t>reģistrēti PVN maksātāji, kuri sniedz elektronisko sakaru, apraides un elektroniskus pakalpojumus personai, kura nav PVN maksātāja.</w:t>
            </w:r>
            <w:r w:rsidR="00105189" w:rsidRPr="002A4D6D">
              <w:rPr>
                <w:spacing w:val="-2"/>
                <w:sz w:val="26"/>
                <w:szCs w:val="26"/>
              </w:rPr>
              <w:t xml:space="preserve"> Savukārt </w:t>
            </w:r>
            <w:r w:rsidR="00105189" w:rsidRPr="002A4D6D">
              <w:rPr>
                <w:spacing w:val="-2"/>
                <w:sz w:val="26"/>
                <w:szCs w:val="26"/>
              </w:rPr>
              <w:lastRenderedPageBreak/>
              <w:t xml:space="preserve">no 2017.gada </w:t>
            </w:r>
            <w:proofErr w:type="spellStart"/>
            <w:r w:rsidR="00105189" w:rsidRPr="002A4D6D">
              <w:rPr>
                <w:spacing w:val="-2"/>
                <w:sz w:val="26"/>
                <w:szCs w:val="26"/>
              </w:rPr>
              <w:t>ā</w:t>
            </w:r>
            <w:r w:rsidR="007B37DD" w:rsidRPr="002A4D6D">
              <w:rPr>
                <w:spacing w:val="-2"/>
                <w:sz w:val="26"/>
                <w:szCs w:val="26"/>
              </w:rPr>
              <w:t>rpussavienības</w:t>
            </w:r>
            <w:proofErr w:type="spellEnd"/>
            <w:r w:rsidR="007B37DD" w:rsidRPr="002A4D6D">
              <w:rPr>
                <w:spacing w:val="-2"/>
                <w:sz w:val="26"/>
                <w:szCs w:val="26"/>
              </w:rPr>
              <w:t xml:space="preserve"> režīmu Latvijā </w:t>
            </w:r>
            <w:r w:rsidR="00105189" w:rsidRPr="002A4D6D">
              <w:rPr>
                <w:spacing w:val="-2"/>
                <w:sz w:val="26"/>
                <w:szCs w:val="26"/>
              </w:rPr>
              <w:t xml:space="preserve">izmanto </w:t>
            </w:r>
            <w:r w:rsidR="007B37DD" w:rsidRPr="002A4D6D">
              <w:rPr>
                <w:spacing w:val="-2"/>
                <w:sz w:val="26"/>
                <w:szCs w:val="26"/>
              </w:rPr>
              <w:t>2 reģistrēti PVN maksātāji</w:t>
            </w:r>
            <w:r w:rsidR="00105189" w:rsidRPr="002A4D6D">
              <w:rPr>
                <w:spacing w:val="-2"/>
                <w:sz w:val="26"/>
                <w:szCs w:val="26"/>
              </w:rPr>
              <w:t>.</w:t>
            </w:r>
          </w:p>
        </w:tc>
      </w:tr>
      <w:tr w:rsidR="00F207FB" w:rsidRPr="002A4D6D" w14:paraId="2D7B381B" w14:textId="77777777" w:rsidTr="005E7435">
        <w:tc>
          <w:tcPr>
            <w:tcW w:w="247" w:type="pct"/>
            <w:gridSpan w:val="2"/>
            <w:hideMark/>
          </w:tcPr>
          <w:p w14:paraId="204645AD" w14:textId="77777777" w:rsidR="000B1CAC" w:rsidRPr="002A4D6D" w:rsidRDefault="000B1CAC" w:rsidP="002A4D6D">
            <w:pPr>
              <w:pStyle w:val="NormalWeb"/>
              <w:spacing w:before="0" w:beforeAutospacing="0" w:after="0" w:afterAutospacing="0"/>
              <w:rPr>
                <w:spacing w:val="-2"/>
                <w:sz w:val="26"/>
                <w:szCs w:val="26"/>
                <w:lang w:eastAsia="en-US"/>
              </w:rPr>
            </w:pPr>
            <w:r w:rsidRPr="002A4D6D">
              <w:rPr>
                <w:spacing w:val="-2"/>
                <w:sz w:val="26"/>
                <w:szCs w:val="26"/>
                <w:lang w:eastAsia="en-US"/>
              </w:rPr>
              <w:lastRenderedPageBreak/>
              <w:t>2.</w:t>
            </w:r>
          </w:p>
        </w:tc>
        <w:tc>
          <w:tcPr>
            <w:tcW w:w="1290" w:type="pct"/>
            <w:gridSpan w:val="4"/>
            <w:hideMark/>
          </w:tcPr>
          <w:p w14:paraId="42EBC122" w14:textId="77777777" w:rsidR="000B1CAC" w:rsidRPr="002A4D6D" w:rsidRDefault="00125708" w:rsidP="002A4D6D">
            <w:pPr>
              <w:pStyle w:val="NormalWeb"/>
              <w:spacing w:before="0" w:beforeAutospacing="0" w:after="0" w:afterAutospacing="0"/>
              <w:rPr>
                <w:spacing w:val="-2"/>
                <w:sz w:val="26"/>
                <w:szCs w:val="26"/>
                <w:lang w:eastAsia="en-US"/>
              </w:rPr>
            </w:pPr>
            <w:r w:rsidRPr="002A4D6D">
              <w:rPr>
                <w:spacing w:val="-2"/>
                <w:sz w:val="26"/>
                <w:szCs w:val="26"/>
                <w:lang w:eastAsia="en-US"/>
              </w:rPr>
              <w:t>Tiesiskā regulējuma ietekme uz tautsaimniecību</w:t>
            </w:r>
            <w:r w:rsidR="00426077" w:rsidRPr="002A4D6D">
              <w:rPr>
                <w:spacing w:val="-2"/>
                <w:sz w:val="26"/>
                <w:szCs w:val="26"/>
                <w:lang w:eastAsia="en-US"/>
              </w:rPr>
              <w:t xml:space="preserve"> </w:t>
            </w:r>
            <w:r w:rsidRPr="002A4D6D">
              <w:rPr>
                <w:spacing w:val="-2"/>
                <w:sz w:val="26"/>
                <w:szCs w:val="26"/>
                <w:lang w:eastAsia="en-US"/>
              </w:rPr>
              <w:t>un administratīvo slogu</w:t>
            </w:r>
          </w:p>
        </w:tc>
        <w:tc>
          <w:tcPr>
            <w:tcW w:w="3463" w:type="pct"/>
            <w:gridSpan w:val="10"/>
            <w:hideMark/>
          </w:tcPr>
          <w:p w14:paraId="2989FB52" w14:textId="08BC5356" w:rsidR="00FE1487" w:rsidRPr="002A4D6D" w:rsidRDefault="008E7FF6" w:rsidP="002A4D6D">
            <w:pPr>
              <w:pStyle w:val="PlainText"/>
              <w:ind w:left="57"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Likumprojekta ieviešana kopumā pozitīvi ietekmēs uzņēmējdarbības vidi</w:t>
            </w:r>
            <w:r w:rsidR="003B0445" w:rsidRPr="002A4D6D">
              <w:rPr>
                <w:rFonts w:ascii="Times New Roman" w:hAnsi="Times New Roman" w:cs="Times New Roman"/>
                <w:spacing w:val="-2"/>
                <w:sz w:val="26"/>
                <w:szCs w:val="26"/>
              </w:rPr>
              <w:t xml:space="preserve"> e-komercijas jomā, </w:t>
            </w:r>
            <w:r w:rsidR="00000D2C" w:rsidRPr="002A4D6D">
              <w:rPr>
                <w:rFonts w:ascii="Times New Roman" w:hAnsi="Times New Roman" w:cs="Times New Roman"/>
                <w:spacing w:val="-2"/>
                <w:sz w:val="26"/>
                <w:szCs w:val="26"/>
              </w:rPr>
              <w:t>jo ar likumprojektu tiek r</w:t>
            </w:r>
            <w:r w:rsidR="001F493E" w:rsidRPr="002A4D6D">
              <w:rPr>
                <w:rFonts w:ascii="Times New Roman" w:hAnsi="Times New Roman" w:cs="Times New Roman"/>
                <w:spacing w:val="-2"/>
                <w:sz w:val="26"/>
                <w:szCs w:val="26"/>
              </w:rPr>
              <w:t>a</w:t>
            </w:r>
            <w:r w:rsidR="00000D2C" w:rsidRPr="002A4D6D">
              <w:rPr>
                <w:rFonts w:ascii="Times New Roman" w:hAnsi="Times New Roman" w:cs="Times New Roman"/>
                <w:spacing w:val="-2"/>
                <w:sz w:val="26"/>
                <w:szCs w:val="26"/>
              </w:rPr>
              <w:t xml:space="preserve">dīti godīgas konkurences apstākļi starp uzņēmējiem, kas veic saimniecisko darbību ES, un trešo teritoriju vai trešo valstu uzņēmējiem. </w:t>
            </w:r>
            <w:r w:rsidR="001F493E" w:rsidRPr="002A4D6D">
              <w:rPr>
                <w:rFonts w:ascii="Times New Roman" w:hAnsi="Times New Roman" w:cs="Times New Roman"/>
                <w:spacing w:val="-2"/>
                <w:sz w:val="26"/>
                <w:szCs w:val="26"/>
              </w:rPr>
              <w:t xml:space="preserve">Paplašinot </w:t>
            </w:r>
            <w:proofErr w:type="spellStart"/>
            <w:r w:rsidR="00000D2C" w:rsidRPr="002A4D6D">
              <w:rPr>
                <w:rFonts w:ascii="Times New Roman" w:hAnsi="Times New Roman" w:cs="Times New Roman"/>
                <w:spacing w:val="-2"/>
                <w:sz w:val="26"/>
                <w:szCs w:val="26"/>
              </w:rPr>
              <w:t>ārpussavienības</w:t>
            </w:r>
            <w:proofErr w:type="spellEnd"/>
            <w:r w:rsidR="00000D2C" w:rsidRPr="002A4D6D">
              <w:rPr>
                <w:rFonts w:ascii="Times New Roman" w:hAnsi="Times New Roman" w:cs="Times New Roman"/>
                <w:spacing w:val="-2"/>
                <w:sz w:val="26"/>
                <w:szCs w:val="26"/>
              </w:rPr>
              <w:t xml:space="preserve"> režīm</w:t>
            </w:r>
            <w:r w:rsidR="003B0445" w:rsidRPr="002A4D6D">
              <w:rPr>
                <w:rFonts w:ascii="Times New Roman" w:hAnsi="Times New Roman" w:cs="Times New Roman"/>
                <w:spacing w:val="-2"/>
                <w:sz w:val="26"/>
                <w:szCs w:val="26"/>
              </w:rPr>
              <w:t>a</w:t>
            </w:r>
            <w:r w:rsidR="00000D2C" w:rsidRPr="002A4D6D">
              <w:rPr>
                <w:rFonts w:ascii="Times New Roman" w:hAnsi="Times New Roman" w:cs="Times New Roman"/>
                <w:spacing w:val="-2"/>
                <w:sz w:val="26"/>
                <w:szCs w:val="26"/>
              </w:rPr>
              <w:t xml:space="preserve"> un savienības režīm</w:t>
            </w:r>
            <w:r w:rsidR="003B0445" w:rsidRPr="002A4D6D">
              <w:rPr>
                <w:rFonts w:ascii="Times New Roman" w:hAnsi="Times New Roman" w:cs="Times New Roman"/>
                <w:spacing w:val="-2"/>
                <w:sz w:val="26"/>
                <w:szCs w:val="26"/>
              </w:rPr>
              <w:t>a</w:t>
            </w:r>
            <w:r w:rsidR="00000D2C" w:rsidRPr="002A4D6D">
              <w:rPr>
                <w:rFonts w:ascii="Times New Roman" w:hAnsi="Times New Roman" w:cs="Times New Roman"/>
                <w:spacing w:val="-2"/>
                <w:sz w:val="26"/>
                <w:szCs w:val="26"/>
              </w:rPr>
              <w:t xml:space="preserve"> tvērum</w:t>
            </w:r>
            <w:r w:rsidR="001F493E" w:rsidRPr="002A4D6D">
              <w:rPr>
                <w:rFonts w:ascii="Times New Roman" w:hAnsi="Times New Roman" w:cs="Times New Roman"/>
                <w:spacing w:val="-2"/>
                <w:sz w:val="26"/>
                <w:szCs w:val="26"/>
              </w:rPr>
              <w:t>u</w:t>
            </w:r>
            <w:r w:rsidR="00000D2C" w:rsidRPr="002A4D6D">
              <w:rPr>
                <w:rFonts w:ascii="Times New Roman" w:hAnsi="Times New Roman" w:cs="Times New Roman"/>
                <w:spacing w:val="-2"/>
                <w:sz w:val="26"/>
                <w:szCs w:val="26"/>
              </w:rPr>
              <w:t xml:space="preserve">, </w:t>
            </w:r>
            <w:r w:rsidR="001F493E" w:rsidRPr="002A4D6D">
              <w:rPr>
                <w:rFonts w:ascii="Times New Roman" w:hAnsi="Times New Roman" w:cs="Times New Roman"/>
                <w:spacing w:val="-2"/>
                <w:sz w:val="26"/>
                <w:szCs w:val="26"/>
              </w:rPr>
              <w:t xml:space="preserve">uzņēmējiem </w:t>
            </w:r>
            <w:r w:rsidR="00000D2C" w:rsidRPr="002A4D6D">
              <w:rPr>
                <w:rFonts w:ascii="Times New Roman" w:hAnsi="Times New Roman" w:cs="Times New Roman"/>
                <w:spacing w:val="-2"/>
                <w:sz w:val="26"/>
                <w:szCs w:val="26"/>
              </w:rPr>
              <w:t xml:space="preserve">tiek dotas papildu iespējas efektīvāk veikt </w:t>
            </w:r>
            <w:r w:rsidR="001F493E" w:rsidRPr="002A4D6D">
              <w:rPr>
                <w:rFonts w:ascii="Times New Roman" w:hAnsi="Times New Roman" w:cs="Times New Roman"/>
                <w:spacing w:val="-2"/>
                <w:sz w:val="26"/>
                <w:szCs w:val="26"/>
              </w:rPr>
              <w:t>saimniecisk</w:t>
            </w:r>
            <w:r w:rsidR="003B0445" w:rsidRPr="002A4D6D">
              <w:rPr>
                <w:rFonts w:ascii="Times New Roman" w:hAnsi="Times New Roman" w:cs="Times New Roman"/>
                <w:spacing w:val="-2"/>
                <w:sz w:val="26"/>
                <w:szCs w:val="26"/>
              </w:rPr>
              <w:t>o</w:t>
            </w:r>
            <w:r w:rsidR="001F493E" w:rsidRPr="002A4D6D">
              <w:rPr>
                <w:rFonts w:ascii="Times New Roman" w:hAnsi="Times New Roman" w:cs="Times New Roman"/>
                <w:spacing w:val="-2"/>
                <w:sz w:val="26"/>
                <w:szCs w:val="26"/>
              </w:rPr>
              <w:t xml:space="preserve"> darbību</w:t>
            </w:r>
            <w:r w:rsidR="00C8040D" w:rsidRPr="002A4D6D">
              <w:rPr>
                <w:rFonts w:ascii="Times New Roman" w:hAnsi="Times New Roman" w:cs="Times New Roman"/>
                <w:spacing w:val="-2"/>
                <w:sz w:val="26"/>
                <w:szCs w:val="26"/>
              </w:rPr>
              <w:t xml:space="preserve"> ES mērogā</w:t>
            </w:r>
            <w:r w:rsidR="00000D2C" w:rsidRPr="002A4D6D">
              <w:rPr>
                <w:rFonts w:ascii="Times New Roman" w:hAnsi="Times New Roman" w:cs="Times New Roman"/>
                <w:spacing w:val="-2"/>
                <w:sz w:val="26"/>
                <w:szCs w:val="26"/>
              </w:rPr>
              <w:t xml:space="preserve">, </w:t>
            </w:r>
            <w:r w:rsidR="001F493E" w:rsidRPr="002A4D6D">
              <w:rPr>
                <w:rFonts w:ascii="Times New Roman" w:hAnsi="Times New Roman" w:cs="Times New Roman"/>
                <w:spacing w:val="-2"/>
                <w:sz w:val="26"/>
                <w:szCs w:val="26"/>
              </w:rPr>
              <w:t xml:space="preserve">tādējādi </w:t>
            </w:r>
            <w:r w:rsidR="00000D2C" w:rsidRPr="002A4D6D">
              <w:rPr>
                <w:rFonts w:ascii="Times New Roman" w:hAnsi="Times New Roman" w:cs="Times New Roman"/>
                <w:spacing w:val="-2"/>
                <w:sz w:val="26"/>
                <w:szCs w:val="26"/>
              </w:rPr>
              <w:t xml:space="preserve">samazinot administratīvo slogu, jo </w:t>
            </w:r>
            <w:r w:rsidR="001F493E" w:rsidRPr="002A4D6D">
              <w:rPr>
                <w:rFonts w:ascii="Times New Roman" w:hAnsi="Times New Roman" w:cs="Times New Roman"/>
                <w:spacing w:val="-2"/>
                <w:sz w:val="26"/>
                <w:szCs w:val="26"/>
              </w:rPr>
              <w:t>tie</w:t>
            </w:r>
            <w:r w:rsidR="00C8040D" w:rsidRPr="002A4D6D">
              <w:rPr>
                <w:rFonts w:ascii="Times New Roman" w:hAnsi="Times New Roman" w:cs="Times New Roman"/>
                <w:spacing w:val="-2"/>
                <w:sz w:val="26"/>
                <w:szCs w:val="26"/>
              </w:rPr>
              <w:t xml:space="preserve"> var reģistrēties PVN </w:t>
            </w:r>
            <w:r w:rsidR="007160A2" w:rsidRPr="002A4D6D">
              <w:rPr>
                <w:rFonts w:ascii="Times New Roman" w:hAnsi="Times New Roman" w:cs="Times New Roman"/>
                <w:spacing w:val="-2"/>
                <w:sz w:val="26"/>
                <w:szCs w:val="26"/>
              </w:rPr>
              <w:t xml:space="preserve">deklarēšanas un </w:t>
            </w:r>
            <w:r w:rsidR="00C8040D" w:rsidRPr="002A4D6D">
              <w:rPr>
                <w:rFonts w:ascii="Times New Roman" w:hAnsi="Times New Roman" w:cs="Times New Roman"/>
                <w:spacing w:val="-2"/>
                <w:sz w:val="26"/>
                <w:szCs w:val="26"/>
              </w:rPr>
              <w:t>maksāšanas nolūkā vienā dalībvalstī, vairs nereģistrējoties katrā patēriņa dalībvalstī.</w:t>
            </w:r>
            <w:r w:rsidR="008F2C2E" w:rsidRPr="002A4D6D">
              <w:rPr>
                <w:rFonts w:ascii="Times New Roman" w:hAnsi="Times New Roman" w:cs="Times New Roman"/>
                <w:spacing w:val="-2"/>
                <w:sz w:val="26"/>
                <w:szCs w:val="26"/>
              </w:rPr>
              <w:t xml:space="preserve"> </w:t>
            </w:r>
            <w:r w:rsidR="001F493E" w:rsidRPr="002A4D6D">
              <w:rPr>
                <w:rFonts w:ascii="Times New Roman" w:hAnsi="Times New Roman" w:cs="Times New Roman"/>
                <w:spacing w:val="-2"/>
                <w:sz w:val="26"/>
                <w:szCs w:val="26"/>
              </w:rPr>
              <w:t xml:space="preserve">Ieviešot </w:t>
            </w:r>
            <w:r w:rsidR="008F2C2E" w:rsidRPr="002A4D6D">
              <w:rPr>
                <w:rFonts w:ascii="Times New Roman" w:hAnsi="Times New Roman" w:cs="Times New Roman"/>
                <w:spacing w:val="-2"/>
                <w:sz w:val="26"/>
                <w:szCs w:val="26"/>
              </w:rPr>
              <w:t xml:space="preserve">jaunu </w:t>
            </w:r>
            <w:r w:rsidR="003B0445" w:rsidRPr="002A4D6D">
              <w:rPr>
                <w:rFonts w:ascii="Times New Roman" w:hAnsi="Times New Roman" w:cs="Times New Roman"/>
                <w:spacing w:val="-2"/>
                <w:sz w:val="26"/>
                <w:szCs w:val="26"/>
              </w:rPr>
              <w:t>importa</w:t>
            </w:r>
            <w:r w:rsidR="008F2C2E" w:rsidRPr="002A4D6D">
              <w:rPr>
                <w:rFonts w:ascii="Times New Roman" w:hAnsi="Times New Roman" w:cs="Times New Roman"/>
                <w:spacing w:val="-2"/>
                <w:sz w:val="26"/>
                <w:szCs w:val="26"/>
              </w:rPr>
              <w:t xml:space="preserve"> režīmu</w:t>
            </w:r>
            <w:r w:rsidR="00F0739A" w:rsidRPr="002A4D6D">
              <w:rPr>
                <w:rFonts w:ascii="Times New Roman" w:hAnsi="Times New Roman" w:cs="Times New Roman"/>
                <w:spacing w:val="-2"/>
                <w:sz w:val="26"/>
                <w:szCs w:val="26"/>
              </w:rPr>
              <w:t xml:space="preserve"> IOSS</w:t>
            </w:r>
            <w:r w:rsidR="001F493E" w:rsidRPr="002A4D6D">
              <w:rPr>
                <w:rFonts w:ascii="Times New Roman" w:hAnsi="Times New Roman" w:cs="Times New Roman"/>
                <w:spacing w:val="-2"/>
                <w:sz w:val="26"/>
                <w:szCs w:val="26"/>
              </w:rPr>
              <w:t>,</w:t>
            </w:r>
            <w:r w:rsidR="008F2C2E" w:rsidRPr="002A4D6D">
              <w:rPr>
                <w:rFonts w:ascii="Times New Roman" w:hAnsi="Times New Roman" w:cs="Times New Roman"/>
                <w:spacing w:val="-2"/>
                <w:sz w:val="26"/>
                <w:szCs w:val="26"/>
              </w:rPr>
              <w:t xml:space="preserve"> tiek </w:t>
            </w:r>
            <w:r w:rsidR="001F493E" w:rsidRPr="002A4D6D">
              <w:rPr>
                <w:rFonts w:ascii="Times New Roman" w:hAnsi="Times New Roman" w:cs="Times New Roman"/>
                <w:spacing w:val="-2"/>
                <w:sz w:val="26"/>
                <w:szCs w:val="26"/>
              </w:rPr>
              <w:t>radīta</w:t>
            </w:r>
            <w:r w:rsidR="008F2C2E" w:rsidRPr="002A4D6D">
              <w:rPr>
                <w:rFonts w:ascii="Times New Roman" w:hAnsi="Times New Roman" w:cs="Times New Roman"/>
                <w:spacing w:val="-2"/>
                <w:sz w:val="26"/>
                <w:szCs w:val="26"/>
              </w:rPr>
              <w:t xml:space="preserve"> </w:t>
            </w:r>
            <w:r w:rsidR="001F493E" w:rsidRPr="002A4D6D">
              <w:rPr>
                <w:rFonts w:ascii="Times New Roman" w:hAnsi="Times New Roman" w:cs="Times New Roman"/>
                <w:spacing w:val="-2"/>
                <w:sz w:val="26"/>
                <w:szCs w:val="26"/>
              </w:rPr>
              <w:t xml:space="preserve">iespēja </w:t>
            </w:r>
            <w:r w:rsidR="007160A2" w:rsidRPr="002A4D6D">
              <w:rPr>
                <w:rFonts w:ascii="Times New Roman" w:hAnsi="Times New Roman" w:cs="Times New Roman"/>
                <w:spacing w:val="-2"/>
                <w:sz w:val="26"/>
                <w:szCs w:val="26"/>
              </w:rPr>
              <w:t xml:space="preserve">deklarēt un maksāt PVN par </w:t>
            </w:r>
            <w:r w:rsidR="003B0445" w:rsidRPr="002A4D6D">
              <w:rPr>
                <w:rFonts w:ascii="Times New Roman" w:hAnsi="Times New Roman" w:cs="Times New Roman"/>
                <w:spacing w:val="-2"/>
                <w:sz w:val="26"/>
                <w:szCs w:val="26"/>
              </w:rPr>
              <w:t>preču sūtījumiem, kuru patiesā vērtība nepārsniedz</w:t>
            </w:r>
            <w:r w:rsidR="007160A2" w:rsidRPr="002A4D6D">
              <w:rPr>
                <w:rFonts w:ascii="Times New Roman" w:hAnsi="Times New Roman" w:cs="Times New Roman"/>
                <w:spacing w:val="-2"/>
                <w:sz w:val="26"/>
                <w:szCs w:val="26"/>
              </w:rPr>
              <w:t xml:space="preserve"> 150 </w:t>
            </w:r>
            <w:proofErr w:type="spellStart"/>
            <w:r w:rsidR="007160A2" w:rsidRPr="002A4D6D">
              <w:rPr>
                <w:rFonts w:ascii="Times New Roman" w:hAnsi="Times New Roman" w:cs="Times New Roman"/>
                <w:i/>
                <w:spacing w:val="-2"/>
                <w:sz w:val="26"/>
                <w:szCs w:val="26"/>
              </w:rPr>
              <w:t>euro</w:t>
            </w:r>
            <w:proofErr w:type="spellEnd"/>
            <w:r w:rsidR="003B0445" w:rsidRPr="002A4D6D">
              <w:rPr>
                <w:rFonts w:ascii="Times New Roman" w:hAnsi="Times New Roman" w:cs="Times New Roman"/>
                <w:spacing w:val="-2"/>
                <w:sz w:val="26"/>
                <w:szCs w:val="26"/>
              </w:rPr>
              <w:t xml:space="preserve">, </w:t>
            </w:r>
            <w:r w:rsidR="007160A2" w:rsidRPr="002A4D6D">
              <w:rPr>
                <w:rFonts w:ascii="Times New Roman" w:hAnsi="Times New Roman" w:cs="Times New Roman"/>
                <w:spacing w:val="-2"/>
                <w:sz w:val="26"/>
                <w:szCs w:val="26"/>
              </w:rPr>
              <w:t>vienā dalībvalstī, nereģistrējoties katrā patēriņa dalībvalstī</w:t>
            </w:r>
            <w:r w:rsidR="003B0445" w:rsidRPr="002A4D6D">
              <w:rPr>
                <w:rFonts w:ascii="Times New Roman" w:hAnsi="Times New Roman" w:cs="Times New Roman"/>
                <w:spacing w:val="-2"/>
                <w:sz w:val="26"/>
                <w:szCs w:val="26"/>
              </w:rPr>
              <w:t>.</w:t>
            </w:r>
          </w:p>
        </w:tc>
      </w:tr>
      <w:tr w:rsidR="00F207FB" w:rsidRPr="002A4D6D" w14:paraId="64819510" w14:textId="77777777" w:rsidTr="005E7435">
        <w:tc>
          <w:tcPr>
            <w:tcW w:w="247" w:type="pct"/>
            <w:gridSpan w:val="2"/>
            <w:hideMark/>
          </w:tcPr>
          <w:p w14:paraId="6B2429F0" w14:textId="77777777" w:rsidR="00125708" w:rsidRPr="002A4D6D" w:rsidRDefault="00125708" w:rsidP="002A4D6D">
            <w:pPr>
              <w:pStyle w:val="NormalWeb"/>
              <w:spacing w:before="0" w:beforeAutospacing="0" w:after="0" w:afterAutospacing="0"/>
              <w:rPr>
                <w:spacing w:val="-2"/>
                <w:sz w:val="26"/>
                <w:szCs w:val="26"/>
                <w:lang w:eastAsia="en-US"/>
              </w:rPr>
            </w:pPr>
            <w:r w:rsidRPr="002A4D6D">
              <w:rPr>
                <w:spacing w:val="-2"/>
                <w:sz w:val="26"/>
                <w:szCs w:val="26"/>
                <w:lang w:eastAsia="en-US"/>
              </w:rPr>
              <w:t>3.</w:t>
            </w:r>
          </w:p>
        </w:tc>
        <w:tc>
          <w:tcPr>
            <w:tcW w:w="1290" w:type="pct"/>
            <w:gridSpan w:val="4"/>
          </w:tcPr>
          <w:p w14:paraId="6569DCFD" w14:textId="77777777" w:rsidR="00125708" w:rsidRPr="002A4D6D" w:rsidRDefault="00125708" w:rsidP="002A4D6D">
            <w:pPr>
              <w:pStyle w:val="NormalWeb"/>
              <w:spacing w:before="0" w:beforeAutospacing="0" w:after="0" w:afterAutospacing="0"/>
              <w:rPr>
                <w:spacing w:val="-2"/>
                <w:sz w:val="26"/>
                <w:szCs w:val="26"/>
                <w:lang w:eastAsia="en-US"/>
              </w:rPr>
            </w:pPr>
            <w:r w:rsidRPr="002A4D6D">
              <w:rPr>
                <w:spacing w:val="-2"/>
                <w:sz w:val="26"/>
                <w:szCs w:val="26"/>
                <w:lang w:eastAsia="en-US"/>
              </w:rPr>
              <w:t>Administratīvo izmaksu monetārs novērtējums</w:t>
            </w:r>
          </w:p>
        </w:tc>
        <w:tc>
          <w:tcPr>
            <w:tcW w:w="3463" w:type="pct"/>
            <w:gridSpan w:val="10"/>
          </w:tcPr>
          <w:p w14:paraId="727A9A62" w14:textId="0788D4FF" w:rsidR="00CE74B7" w:rsidRPr="002A4D6D" w:rsidRDefault="001F1490" w:rsidP="002A4D6D">
            <w:pPr>
              <w:pStyle w:val="PlainText"/>
              <w:ind w:left="57"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Likumprojekta administratīvo izmaksu monetāru aprēķinu nav iespējams veikt. </w:t>
            </w:r>
            <w:r w:rsidR="006B015F" w:rsidRPr="002A4D6D">
              <w:rPr>
                <w:rFonts w:ascii="Times New Roman" w:hAnsi="Times New Roman" w:cs="Times New Roman"/>
                <w:spacing w:val="-2"/>
                <w:sz w:val="26"/>
                <w:szCs w:val="26"/>
              </w:rPr>
              <w:t>Tomēr</w:t>
            </w:r>
            <w:r w:rsidRPr="002A4D6D">
              <w:rPr>
                <w:rFonts w:ascii="Times New Roman" w:hAnsi="Times New Roman" w:cs="Times New Roman"/>
                <w:spacing w:val="-2"/>
                <w:sz w:val="26"/>
                <w:szCs w:val="26"/>
              </w:rPr>
              <w:t xml:space="preserve"> var secināt, ka administratīvo izmaksu novērtējumam kopumā ir jābūt pozitīvam, jo tiek radītas priekšrocības gan maziem un vidējiem uzņēmumiem, gan trešo valstu uzņēmējiem piemērot vi</w:t>
            </w:r>
            <w:r w:rsidR="006B015F" w:rsidRPr="002A4D6D">
              <w:rPr>
                <w:rFonts w:ascii="Times New Roman" w:hAnsi="Times New Roman" w:cs="Times New Roman"/>
                <w:spacing w:val="-2"/>
                <w:sz w:val="26"/>
                <w:szCs w:val="26"/>
              </w:rPr>
              <w:t>enkāršu PVN iekasēšanas kārtību e-komercijas jomā</w:t>
            </w:r>
            <w:r w:rsidRPr="002A4D6D">
              <w:rPr>
                <w:rFonts w:ascii="Times New Roman" w:hAnsi="Times New Roman" w:cs="Times New Roman"/>
                <w:spacing w:val="-2"/>
                <w:sz w:val="26"/>
                <w:szCs w:val="26"/>
              </w:rPr>
              <w:t>.</w:t>
            </w:r>
          </w:p>
        </w:tc>
      </w:tr>
      <w:tr w:rsidR="00F207FB" w:rsidRPr="002A4D6D" w14:paraId="6380956D" w14:textId="77777777" w:rsidTr="005E7435">
        <w:tc>
          <w:tcPr>
            <w:tcW w:w="247" w:type="pct"/>
            <w:gridSpan w:val="2"/>
          </w:tcPr>
          <w:p w14:paraId="5A408391" w14:textId="77777777" w:rsidR="002233D8" w:rsidRPr="002A4D6D" w:rsidRDefault="002233D8" w:rsidP="002A4D6D">
            <w:pPr>
              <w:pStyle w:val="NormalWeb"/>
              <w:spacing w:before="0" w:beforeAutospacing="0" w:after="0" w:afterAutospacing="0"/>
              <w:rPr>
                <w:spacing w:val="-2"/>
                <w:sz w:val="26"/>
                <w:szCs w:val="26"/>
                <w:lang w:eastAsia="en-US"/>
              </w:rPr>
            </w:pPr>
            <w:r w:rsidRPr="002A4D6D">
              <w:rPr>
                <w:spacing w:val="-2"/>
                <w:sz w:val="26"/>
                <w:szCs w:val="26"/>
                <w:lang w:eastAsia="en-US"/>
              </w:rPr>
              <w:t>4.</w:t>
            </w:r>
          </w:p>
        </w:tc>
        <w:tc>
          <w:tcPr>
            <w:tcW w:w="1290" w:type="pct"/>
            <w:gridSpan w:val="4"/>
          </w:tcPr>
          <w:p w14:paraId="78043C12" w14:textId="77777777" w:rsidR="002233D8" w:rsidRPr="002A4D6D" w:rsidRDefault="002233D8" w:rsidP="002A4D6D">
            <w:pPr>
              <w:pStyle w:val="NormalWeb"/>
              <w:spacing w:before="0" w:beforeAutospacing="0" w:after="0" w:afterAutospacing="0"/>
              <w:rPr>
                <w:spacing w:val="-2"/>
                <w:sz w:val="26"/>
                <w:szCs w:val="26"/>
                <w:lang w:eastAsia="en-US"/>
              </w:rPr>
            </w:pPr>
            <w:r w:rsidRPr="002A4D6D">
              <w:rPr>
                <w:spacing w:val="-2"/>
                <w:sz w:val="26"/>
                <w:szCs w:val="26"/>
                <w:lang w:eastAsia="en-US"/>
              </w:rPr>
              <w:t>Atbilstības izmaksu monetārs novērtējums</w:t>
            </w:r>
          </w:p>
        </w:tc>
        <w:tc>
          <w:tcPr>
            <w:tcW w:w="3463" w:type="pct"/>
            <w:gridSpan w:val="10"/>
          </w:tcPr>
          <w:p w14:paraId="55817C0B" w14:textId="36B969E3" w:rsidR="002233D8" w:rsidRPr="002A4D6D" w:rsidRDefault="00316194" w:rsidP="002A4D6D">
            <w:pPr>
              <w:pStyle w:val="NormalWeb"/>
              <w:spacing w:before="0" w:beforeAutospacing="0" w:after="0" w:afterAutospacing="0"/>
              <w:ind w:left="57" w:right="113"/>
              <w:jc w:val="both"/>
              <w:rPr>
                <w:spacing w:val="-2"/>
                <w:sz w:val="26"/>
                <w:szCs w:val="26"/>
                <w:lang w:eastAsia="en-US"/>
              </w:rPr>
            </w:pPr>
            <w:r w:rsidRPr="002A4D6D">
              <w:rPr>
                <w:spacing w:val="-2"/>
                <w:sz w:val="26"/>
                <w:szCs w:val="26"/>
                <w:lang w:eastAsia="en-US"/>
              </w:rPr>
              <w:t>Nav</w:t>
            </w:r>
            <w:r w:rsidR="0060735C" w:rsidRPr="002A4D6D">
              <w:rPr>
                <w:spacing w:val="-2"/>
                <w:sz w:val="26"/>
                <w:szCs w:val="26"/>
                <w:lang w:eastAsia="en-US"/>
              </w:rPr>
              <w:t>.</w:t>
            </w:r>
          </w:p>
        </w:tc>
      </w:tr>
      <w:tr w:rsidR="00F207FB" w:rsidRPr="002A4D6D" w14:paraId="5AB541A4" w14:textId="77777777" w:rsidTr="005E7435">
        <w:tc>
          <w:tcPr>
            <w:tcW w:w="247" w:type="pct"/>
            <w:gridSpan w:val="2"/>
            <w:hideMark/>
          </w:tcPr>
          <w:p w14:paraId="56F151DC" w14:textId="77777777" w:rsidR="00125708" w:rsidRPr="002A4D6D" w:rsidRDefault="007755A7" w:rsidP="002A4D6D">
            <w:pPr>
              <w:pStyle w:val="NormalWeb"/>
              <w:spacing w:before="0" w:beforeAutospacing="0" w:after="0" w:afterAutospacing="0"/>
              <w:rPr>
                <w:spacing w:val="-2"/>
                <w:sz w:val="26"/>
                <w:szCs w:val="26"/>
                <w:lang w:eastAsia="en-US"/>
              </w:rPr>
            </w:pPr>
            <w:r w:rsidRPr="002A4D6D">
              <w:rPr>
                <w:spacing w:val="-2"/>
                <w:sz w:val="26"/>
                <w:szCs w:val="26"/>
                <w:lang w:eastAsia="en-US"/>
              </w:rPr>
              <w:t>5</w:t>
            </w:r>
            <w:r w:rsidR="00125708" w:rsidRPr="002A4D6D">
              <w:rPr>
                <w:spacing w:val="-2"/>
                <w:sz w:val="26"/>
                <w:szCs w:val="26"/>
                <w:lang w:eastAsia="en-US"/>
              </w:rPr>
              <w:t>.</w:t>
            </w:r>
          </w:p>
        </w:tc>
        <w:tc>
          <w:tcPr>
            <w:tcW w:w="1290" w:type="pct"/>
            <w:gridSpan w:val="4"/>
            <w:hideMark/>
          </w:tcPr>
          <w:p w14:paraId="02DE47E8" w14:textId="77777777" w:rsidR="00125708" w:rsidRPr="002A4D6D" w:rsidRDefault="00125708" w:rsidP="002A4D6D">
            <w:pPr>
              <w:pStyle w:val="NormalWeb"/>
              <w:spacing w:before="0" w:beforeAutospacing="0" w:after="0" w:afterAutospacing="0"/>
              <w:rPr>
                <w:spacing w:val="-2"/>
                <w:sz w:val="26"/>
                <w:szCs w:val="26"/>
                <w:lang w:eastAsia="en-US"/>
              </w:rPr>
            </w:pPr>
            <w:r w:rsidRPr="002A4D6D">
              <w:rPr>
                <w:spacing w:val="-2"/>
                <w:sz w:val="26"/>
                <w:szCs w:val="26"/>
                <w:lang w:eastAsia="en-US"/>
              </w:rPr>
              <w:t>Cita informācija</w:t>
            </w:r>
          </w:p>
        </w:tc>
        <w:tc>
          <w:tcPr>
            <w:tcW w:w="3463" w:type="pct"/>
            <w:gridSpan w:val="10"/>
            <w:hideMark/>
          </w:tcPr>
          <w:p w14:paraId="247940BC" w14:textId="1957389C" w:rsidR="00125708" w:rsidRPr="002A4D6D" w:rsidRDefault="003D7669" w:rsidP="002A4D6D">
            <w:pPr>
              <w:pStyle w:val="NormalWeb"/>
              <w:spacing w:before="0" w:beforeAutospacing="0" w:after="0" w:afterAutospacing="0"/>
              <w:ind w:left="57" w:right="113"/>
              <w:jc w:val="both"/>
              <w:rPr>
                <w:spacing w:val="-2"/>
                <w:sz w:val="26"/>
                <w:szCs w:val="26"/>
                <w:lang w:eastAsia="en-US"/>
              </w:rPr>
            </w:pPr>
            <w:r w:rsidRPr="002A4D6D">
              <w:rPr>
                <w:noProof/>
                <w:spacing w:val="-2"/>
                <w:sz w:val="26"/>
                <w:szCs w:val="26"/>
              </w:rPr>
              <w:t>Pēc EK novērtējuma</w:t>
            </w:r>
            <w:r w:rsidR="00CA62BC" w:rsidRPr="002A4D6D">
              <w:rPr>
                <w:rStyle w:val="FootnoteReference"/>
                <w:noProof/>
                <w:spacing w:val="-2"/>
                <w:sz w:val="26"/>
                <w:szCs w:val="26"/>
              </w:rPr>
              <w:footnoteReference w:id="10"/>
            </w:r>
            <w:r w:rsidRPr="002A4D6D">
              <w:rPr>
                <w:noProof/>
                <w:spacing w:val="-2"/>
                <w:sz w:val="26"/>
                <w:szCs w:val="26"/>
              </w:rPr>
              <w:t xml:space="preserve"> </w:t>
            </w:r>
            <w:r w:rsidRPr="002A4D6D">
              <w:rPr>
                <w:spacing w:val="-2"/>
                <w:sz w:val="26"/>
                <w:szCs w:val="26"/>
              </w:rPr>
              <w:t>PVN piemērošanas vienkāršošanas noteikumu ieviešana e-komercijas jomā</w:t>
            </w:r>
            <w:r w:rsidRPr="002A4D6D">
              <w:rPr>
                <w:noProof/>
                <w:spacing w:val="-2"/>
                <w:sz w:val="26"/>
                <w:szCs w:val="26"/>
              </w:rPr>
              <w:t xml:space="preserve"> </w:t>
            </w:r>
            <w:r w:rsidR="00CA62BC" w:rsidRPr="002A4D6D">
              <w:rPr>
                <w:noProof/>
                <w:spacing w:val="-2"/>
                <w:sz w:val="26"/>
                <w:szCs w:val="26"/>
              </w:rPr>
              <w:t xml:space="preserve">ES līmenī </w:t>
            </w:r>
            <w:r w:rsidRPr="002A4D6D">
              <w:rPr>
                <w:noProof/>
                <w:spacing w:val="-2"/>
                <w:sz w:val="26"/>
                <w:szCs w:val="26"/>
              </w:rPr>
              <w:t xml:space="preserve">samazinās uzņēmumu administratīvo slogu par 2,3 miljardiem </w:t>
            </w:r>
            <w:r w:rsidRPr="002A4D6D">
              <w:rPr>
                <w:i/>
                <w:noProof/>
                <w:spacing w:val="-2"/>
                <w:sz w:val="26"/>
                <w:szCs w:val="26"/>
              </w:rPr>
              <w:t>euro</w:t>
            </w:r>
            <w:r w:rsidRPr="002A4D6D">
              <w:rPr>
                <w:noProof/>
                <w:spacing w:val="-2"/>
                <w:sz w:val="26"/>
                <w:szCs w:val="26"/>
              </w:rPr>
              <w:t xml:space="preserve"> gadā.</w:t>
            </w:r>
          </w:p>
        </w:tc>
      </w:tr>
      <w:tr w:rsidR="00F207FB" w:rsidRPr="002A4D6D" w14:paraId="10FF1C37" w14:textId="77777777" w:rsidTr="005E7435">
        <w:trPr>
          <w:trHeight w:val="770"/>
        </w:trPr>
        <w:tc>
          <w:tcPr>
            <w:tcW w:w="5000" w:type="pct"/>
            <w:gridSpan w:val="16"/>
            <w:vAlign w:val="center"/>
          </w:tcPr>
          <w:p w14:paraId="76A41D25" w14:textId="77777777" w:rsidR="00B34778" w:rsidRPr="002A4D6D" w:rsidRDefault="00B34778" w:rsidP="002A4D6D">
            <w:pPr>
              <w:pStyle w:val="naislab"/>
              <w:spacing w:before="0" w:beforeAutospacing="0" w:after="0" w:afterAutospacing="0"/>
              <w:ind w:firstLine="720"/>
              <w:jc w:val="center"/>
              <w:rPr>
                <w:b/>
                <w:spacing w:val="-2"/>
                <w:sz w:val="26"/>
                <w:szCs w:val="26"/>
              </w:rPr>
            </w:pPr>
            <w:r w:rsidRPr="002A4D6D">
              <w:rPr>
                <w:b/>
                <w:bCs/>
                <w:spacing w:val="-2"/>
                <w:sz w:val="26"/>
                <w:szCs w:val="26"/>
              </w:rPr>
              <w:t>III. Tiesību akta projekta ietekme uz valsts budžetu un pašvaldību budžetiem</w:t>
            </w:r>
          </w:p>
        </w:tc>
      </w:tr>
      <w:tr w:rsidR="00F207FB" w:rsidRPr="002A4D6D" w14:paraId="1E7784AD" w14:textId="77777777" w:rsidTr="005E7435">
        <w:tc>
          <w:tcPr>
            <w:tcW w:w="632" w:type="pct"/>
            <w:gridSpan w:val="4"/>
            <w:vMerge w:val="restart"/>
            <w:vAlign w:val="center"/>
            <w:hideMark/>
          </w:tcPr>
          <w:p w14:paraId="25EA228E" w14:textId="77777777" w:rsidR="00B34778" w:rsidRPr="002A4D6D" w:rsidRDefault="00B34778" w:rsidP="002A4D6D">
            <w:pPr>
              <w:jc w:val="center"/>
              <w:rPr>
                <w:rFonts w:eastAsia="Times New Roman"/>
                <w:spacing w:val="-2"/>
                <w:sz w:val="22"/>
                <w:lang w:eastAsia="lv-LV"/>
              </w:rPr>
            </w:pPr>
            <w:r w:rsidRPr="002A4D6D">
              <w:rPr>
                <w:rFonts w:eastAsia="Times New Roman"/>
                <w:spacing w:val="-2"/>
                <w:sz w:val="22"/>
                <w:lang w:eastAsia="lv-LV"/>
              </w:rPr>
              <w:t>Rādītāji</w:t>
            </w:r>
          </w:p>
        </w:tc>
        <w:tc>
          <w:tcPr>
            <w:tcW w:w="982" w:type="pct"/>
            <w:gridSpan w:val="3"/>
            <w:vMerge w:val="restart"/>
            <w:vAlign w:val="center"/>
            <w:hideMark/>
          </w:tcPr>
          <w:p w14:paraId="223C5A62" w14:textId="357DDDD8" w:rsidR="00B34778" w:rsidRPr="002A4D6D" w:rsidRDefault="00F6267C" w:rsidP="002A4D6D">
            <w:pPr>
              <w:jc w:val="center"/>
              <w:rPr>
                <w:rFonts w:eastAsia="Times New Roman"/>
                <w:spacing w:val="-2"/>
                <w:sz w:val="22"/>
                <w:lang w:eastAsia="lv-LV"/>
              </w:rPr>
            </w:pPr>
            <w:r w:rsidRPr="002A4D6D">
              <w:rPr>
                <w:rFonts w:eastAsia="Times New Roman"/>
                <w:spacing w:val="-2"/>
                <w:sz w:val="22"/>
                <w:lang w:eastAsia="lv-LV"/>
              </w:rPr>
              <w:t>20</w:t>
            </w:r>
            <w:r w:rsidR="002A61F1" w:rsidRPr="002A4D6D">
              <w:rPr>
                <w:rFonts w:eastAsia="Times New Roman"/>
                <w:spacing w:val="-2"/>
                <w:sz w:val="22"/>
                <w:lang w:eastAsia="lv-LV"/>
              </w:rPr>
              <w:t>20</w:t>
            </w:r>
          </w:p>
        </w:tc>
        <w:tc>
          <w:tcPr>
            <w:tcW w:w="3386" w:type="pct"/>
            <w:gridSpan w:val="9"/>
            <w:vAlign w:val="center"/>
            <w:hideMark/>
          </w:tcPr>
          <w:p w14:paraId="00642F4E" w14:textId="77777777" w:rsidR="00B34778" w:rsidRPr="002A4D6D" w:rsidRDefault="00B34778" w:rsidP="002A4D6D">
            <w:pPr>
              <w:ind w:firstLine="300"/>
              <w:jc w:val="both"/>
              <w:rPr>
                <w:rFonts w:eastAsia="Times New Roman"/>
                <w:spacing w:val="-2"/>
                <w:sz w:val="22"/>
                <w:lang w:eastAsia="lv-LV"/>
              </w:rPr>
            </w:pPr>
            <w:r w:rsidRPr="002A4D6D">
              <w:rPr>
                <w:rFonts w:eastAsia="Times New Roman"/>
                <w:spacing w:val="-2"/>
                <w:sz w:val="22"/>
                <w:lang w:eastAsia="lv-LV"/>
              </w:rPr>
              <w:t>Turpmākie trīs gadi (</w:t>
            </w:r>
            <w:proofErr w:type="spellStart"/>
            <w:r w:rsidRPr="002A4D6D">
              <w:rPr>
                <w:rFonts w:eastAsia="Times New Roman"/>
                <w:i/>
                <w:iCs/>
                <w:spacing w:val="-2"/>
                <w:sz w:val="22"/>
                <w:lang w:eastAsia="lv-LV"/>
              </w:rPr>
              <w:t>euro</w:t>
            </w:r>
            <w:proofErr w:type="spellEnd"/>
            <w:r w:rsidRPr="002A4D6D">
              <w:rPr>
                <w:rFonts w:eastAsia="Times New Roman"/>
                <w:spacing w:val="-2"/>
                <w:sz w:val="22"/>
                <w:lang w:eastAsia="lv-LV"/>
              </w:rPr>
              <w:t>)</w:t>
            </w:r>
          </w:p>
        </w:tc>
      </w:tr>
      <w:tr w:rsidR="00F207FB" w:rsidRPr="002A4D6D" w14:paraId="1AB705FB" w14:textId="77777777" w:rsidTr="005E7435">
        <w:tc>
          <w:tcPr>
            <w:tcW w:w="632" w:type="pct"/>
            <w:gridSpan w:val="4"/>
            <w:vMerge/>
            <w:vAlign w:val="center"/>
            <w:hideMark/>
          </w:tcPr>
          <w:p w14:paraId="6A29A34F" w14:textId="77777777" w:rsidR="00B34778" w:rsidRPr="002A4D6D" w:rsidRDefault="00B34778" w:rsidP="002A4D6D">
            <w:pPr>
              <w:jc w:val="both"/>
              <w:rPr>
                <w:rFonts w:eastAsia="Times New Roman"/>
                <w:spacing w:val="-2"/>
                <w:sz w:val="22"/>
                <w:lang w:eastAsia="lv-LV"/>
              </w:rPr>
            </w:pPr>
          </w:p>
        </w:tc>
        <w:tc>
          <w:tcPr>
            <w:tcW w:w="982" w:type="pct"/>
            <w:gridSpan w:val="3"/>
            <w:vMerge/>
            <w:vAlign w:val="center"/>
            <w:hideMark/>
          </w:tcPr>
          <w:p w14:paraId="5A6AFA58" w14:textId="77777777" w:rsidR="00B34778" w:rsidRPr="002A4D6D" w:rsidRDefault="00B34778" w:rsidP="002A4D6D">
            <w:pPr>
              <w:jc w:val="both"/>
              <w:rPr>
                <w:rFonts w:eastAsia="Times New Roman"/>
                <w:spacing w:val="-2"/>
                <w:sz w:val="22"/>
                <w:lang w:eastAsia="lv-LV"/>
              </w:rPr>
            </w:pPr>
          </w:p>
        </w:tc>
        <w:tc>
          <w:tcPr>
            <w:tcW w:w="1468" w:type="pct"/>
            <w:gridSpan w:val="5"/>
            <w:vAlign w:val="center"/>
            <w:hideMark/>
          </w:tcPr>
          <w:p w14:paraId="5512EA58" w14:textId="6124A0EC" w:rsidR="00B34778" w:rsidRPr="002A4D6D" w:rsidRDefault="00F6267C" w:rsidP="002A4D6D">
            <w:pPr>
              <w:jc w:val="center"/>
              <w:rPr>
                <w:rFonts w:eastAsia="Times New Roman"/>
                <w:spacing w:val="-2"/>
                <w:sz w:val="22"/>
                <w:lang w:eastAsia="lv-LV"/>
              </w:rPr>
            </w:pPr>
            <w:r w:rsidRPr="002A4D6D">
              <w:rPr>
                <w:rFonts w:eastAsia="Times New Roman"/>
                <w:spacing w:val="-2"/>
                <w:sz w:val="22"/>
                <w:lang w:eastAsia="lv-LV"/>
              </w:rPr>
              <w:t>202</w:t>
            </w:r>
            <w:r w:rsidR="002A61F1" w:rsidRPr="002A4D6D">
              <w:rPr>
                <w:rFonts w:eastAsia="Times New Roman"/>
                <w:spacing w:val="-2"/>
                <w:sz w:val="22"/>
                <w:lang w:eastAsia="lv-LV"/>
              </w:rPr>
              <w:t>1</w:t>
            </w:r>
          </w:p>
        </w:tc>
        <w:tc>
          <w:tcPr>
            <w:tcW w:w="1223" w:type="pct"/>
            <w:gridSpan w:val="2"/>
            <w:vAlign w:val="center"/>
            <w:hideMark/>
          </w:tcPr>
          <w:p w14:paraId="51B50CC8" w14:textId="57554A65" w:rsidR="00B34778" w:rsidRPr="002A4D6D" w:rsidRDefault="00F6267C" w:rsidP="002A4D6D">
            <w:pPr>
              <w:jc w:val="center"/>
              <w:rPr>
                <w:rFonts w:eastAsia="Times New Roman"/>
                <w:spacing w:val="-2"/>
                <w:sz w:val="22"/>
                <w:lang w:eastAsia="lv-LV"/>
              </w:rPr>
            </w:pPr>
            <w:r w:rsidRPr="002A4D6D">
              <w:rPr>
                <w:rFonts w:eastAsia="Times New Roman"/>
                <w:spacing w:val="-2"/>
                <w:sz w:val="22"/>
                <w:lang w:eastAsia="lv-LV"/>
              </w:rPr>
              <w:t>202</w:t>
            </w:r>
            <w:r w:rsidR="002A61F1" w:rsidRPr="002A4D6D">
              <w:rPr>
                <w:rFonts w:eastAsia="Times New Roman"/>
                <w:spacing w:val="-2"/>
                <w:sz w:val="22"/>
                <w:lang w:eastAsia="lv-LV"/>
              </w:rPr>
              <w:t>2</w:t>
            </w:r>
          </w:p>
        </w:tc>
        <w:tc>
          <w:tcPr>
            <w:tcW w:w="695" w:type="pct"/>
            <w:gridSpan w:val="2"/>
            <w:vAlign w:val="center"/>
            <w:hideMark/>
          </w:tcPr>
          <w:p w14:paraId="29B83431" w14:textId="07EFDADE" w:rsidR="00B34778" w:rsidRPr="002A4D6D" w:rsidRDefault="00F6267C" w:rsidP="002A4D6D">
            <w:pPr>
              <w:jc w:val="center"/>
              <w:rPr>
                <w:rFonts w:eastAsia="Times New Roman"/>
                <w:spacing w:val="-2"/>
                <w:sz w:val="22"/>
                <w:lang w:eastAsia="lv-LV"/>
              </w:rPr>
            </w:pPr>
            <w:r w:rsidRPr="002A4D6D">
              <w:rPr>
                <w:rFonts w:eastAsia="Times New Roman"/>
                <w:spacing w:val="-2"/>
                <w:sz w:val="22"/>
                <w:lang w:eastAsia="lv-LV"/>
              </w:rPr>
              <w:t>202</w:t>
            </w:r>
            <w:r w:rsidR="002A61F1" w:rsidRPr="002A4D6D">
              <w:rPr>
                <w:rFonts w:eastAsia="Times New Roman"/>
                <w:spacing w:val="-2"/>
                <w:sz w:val="22"/>
                <w:lang w:eastAsia="lv-LV"/>
              </w:rPr>
              <w:t>3</w:t>
            </w:r>
          </w:p>
        </w:tc>
      </w:tr>
      <w:tr w:rsidR="00F207FB" w:rsidRPr="002A4D6D" w14:paraId="54FA3643" w14:textId="77777777" w:rsidTr="005E7435">
        <w:tc>
          <w:tcPr>
            <w:tcW w:w="632" w:type="pct"/>
            <w:gridSpan w:val="4"/>
            <w:vMerge/>
            <w:vAlign w:val="center"/>
            <w:hideMark/>
          </w:tcPr>
          <w:p w14:paraId="7A6D4147" w14:textId="77777777" w:rsidR="00B34778" w:rsidRPr="002A4D6D" w:rsidRDefault="00B34778" w:rsidP="002A4D6D">
            <w:pPr>
              <w:jc w:val="both"/>
              <w:rPr>
                <w:rFonts w:eastAsia="Times New Roman"/>
                <w:spacing w:val="-2"/>
                <w:sz w:val="22"/>
                <w:lang w:eastAsia="lv-LV"/>
              </w:rPr>
            </w:pPr>
          </w:p>
        </w:tc>
        <w:tc>
          <w:tcPr>
            <w:tcW w:w="612" w:type="pct"/>
            <w:vAlign w:val="center"/>
            <w:hideMark/>
          </w:tcPr>
          <w:p w14:paraId="4C6E2B7E" w14:textId="77777777" w:rsidR="00B34778" w:rsidRPr="002A4D6D" w:rsidRDefault="00B34778" w:rsidP="002A4D6D">
            <w:pPr>
              <w:jc w:val="both"/>
              <w:rPr>
                <w:rFonts w:eastAsia="Times New Roman"/>
                <w:spacing w:val="-2"/>
                <w:sz w:val="22"/>
                <w:lang w:eastAsia="lv-LV"/>
              </w:rPr>
            </w:pPr>
            <w:r w:rsidRPr="002A4D6D">
              <w:rPr>
                <w:rFonts w:eastAsia="Times New Roman"/>
                <w:spacing w:val="-2"/>
                <w:sz w:val="22"/>
                <w:lang w:eastAsia="lv-LV"/>
              </w:rPr>
              <w:t>saskaņā ar valsts budžetu kārtējam gadam</w:t>
            </w:r>
          </w:p>
        </w:tc>
        <w:tc>
          <w:tcPr>
            <w:tcW w:w="370" w:type="pct"/>
            <w:gridSpan w:val="2"/>
            <w:vAlign w:val="center"/>
            <w:hideMark/>
          </w:tcPr>
          <w:p w14:paraId="39874D6D" w14:textId="77777777" w:rsidR="00B34778" w:rsidRPr="002A4D6D" w:rsidRDefault="00B34778" w:rsidP="002A4D6D">
            <w:pPr>
              <w:jc w:val="both"/>
              <w:rPr>
                <w:rFonts w:eastAsia="Times New Roman"/>
                <w:spacing w:val="-2"/>
                <w:sz w:val="22"/>
                <w:lang w:eastAsia="lv-LV"/>
              </w:rPr>
            </w:pPr>
            <w:r w:rsidRPr="002A4D6D">
              <w:rPr>
                <w:rFonts w:eastAsia="Times New Roman"/>
                <w:spacing w:val="-2"/>
                <w:sz w:val="22"/>
                <w:lang w:eastAsia="lv-LV"/>
              </w:rPr>
              <w:t>izmaiņas kārtējā gadā, salīdzinot ar valsts budžetu kārtējam gadam</w:t>
            </w:r>
          </w:p>
        </w:tc>
        <w:tc>
          <w:tcPr>
            <w:tcW w:w="855" w:type="pct"/>
            <w:gridSpan w:val="3"/>
            <w:vAlign w:val="center"/>
            <w:hideMark/>
          </w:tcPr>
          <w:p w14:paraId="16B22179" w14:textId="77777777" w:rsidR="00B34778" w:rsidRPr="002A4D6D" w:rsidRDefault="00B34778" w:rsidP="002A4D6D">
            <w:pPr>
              <w:jc w:val="both"/>
              <w:rPr>
                <w:rFonts w:eastAsia="Times New Roman"/>
                <w:spacing w:val="-2"/>
                <w:sz w:val="22"/>
                <w:lang w:eastAsia="lv-LV"/>
              </w:rPr>
            </w:pPr>
            <w:r w:rsidRPr="002A4D6D">
              <w:rPr>
                <w:rFonts w:eastAsia="Times New Roman"/>
                <w:spacing w:val="-2"/>
                <w:sz w:val="22"/>
                <w:lang w:eastAsia="lv-LV"/>
              </w:rPr>
              <w:t>saskaņā ar vidēja termiņa budžeta ietvaru</w:t>
            </w:r>
          </w:p>
        </w:tc>
        <w:tc>
          <w:tcPr>
            <w:tcW w:w="613" w:type="pct"/>
            <w:gridSpan w:val="2"/>
            <w:vAlign w:val="center"/>
            <w:hideMark/>
          </w:tcPr>
          <w:p w14:paraId="4ABACE63" w14:textId="5CFBC822" w:rsidR="00B34778" w:rsidRPr="002A4D6D" w:rsidRDefault="00B34778" w:rsidP="002A4D6D">
            <w:pPr>
              <w:jc w:val="both"/>
              <w:rPr>
                <w:rFonts w:eastAsia="Times New Roman"/>
                <w:spacing w:val="-2"/>
                <w:sz w:val="22"/>
                <w:lang w:eastAsia="lv-LV"/>
              </w:rPr>
            </w:pPr>
            <w:r w:rsidRPr="002A4D6D">
              <w:rPr>
                <w:rFonts w:eastAsia="Times New Roman"/>
                <w:spacing w:val="-2"/>
                <w:sz w:val="22"/>
                <w:lang w:eastAsia="lv-LV"/>
              </w:rPr>
              <w:t xml:space="preserve">izmaiņas, salīdzinot ar vidēja termiņa budžeta ietvaru </w:t>
            </w:r>
            <w:r w:rsidR="00E10EB9" w:rsidRPr="002A4D6D">
              <w:rPr>
                <w:rFonts w:eastAsia="Times New Roman"/>
                <w:spacing w:val="-2"/>
                <w:sz w:val="22"/>
                <w:lang w:eastAsia="lv-LV"/>
              </w:rPr>
              <w:t>2021</w:t>
            </w:r>
            <w:r w:rsidRPr="002A4D6D">
              <w:rPr>
                <w:rFonts w:eastAsia="Times New Roman"/>
                <w:spacing w:val="-2"/>
                <w:sz w:val="22"/>
                <w:lang w:eastAsia="lv-LV"/>
              </w:rPr>
              <w:t xml:space="preserve"> gadam</w:t>
            </w:r>
          </w:p>
        </w:tc>
        <w:tc>
          <w:tcPr>
            <w:tcW w:w="689" w:type="pct"/>
            <w:vAlign w:val="center"/>
            <w:hideMark/>
          </w:tcPr>
          <w:p w14:paraId="7B8C84FA" w14:textId="77777777" w:rsidR="00B34778" w:rsidRPr="002A4D6D" w:rsidRDefault="00B34778" w:rsidP="002A4D6D">
            <w:pPr>
              <w:jc w:val="both"/>
              <w:rPr>
                <w:rFonts w:eastAsia="Times New Roman"/>
                <w:spacing w:val="-2"/>
                <w:sz w:val="22"/>
                <w:lang w:eastAsia="lv-LV"/>
              </w:rPr>
            </w:pPr>
            <w:r w:rsidRPr="002A4D6D">
              <w:rPr>
                <w:rFonts w:eastAsia="Times New Roman"/>
                <w:spacing w:val="-2"/>
                <w:sz w:val="22"/>
                <w:lang w:eastAsia="lv-LV"/>
              </w:rPr>
              <w:t>saskaņā ar vidēja termiņa budžeta ietvaru</w:t>
            </w:r>
          </w:p>
        </w:tc>
        <w:tc>
          <w:tcPr>
            <w:tcW w:w="534" w:type="pct"/>
            <w:vAlign w:val="center"/>
            <w:hideMark/>
          </w:tcPr>
          <w:p w14:paraId="58D662EE" w14:textId="4239B5D7" w:rsidR="00B34778" w:rsidRPr="002A4D6D" w:rsidRDefault="00B34778" w:rsidP="002A4D6D">
            <w:pPr>
              <w:jc w:val="both"/>
              <w:rPr>
                <w:rFonts w:eastAsia="Times New Roman"/>
                <w:spacing w:val="-2"/>
                <w:sz w:val="22"/>
                <w:lang w:eastAsia="lv-LV"/>
              </w:rPr>
            </w:pPr>
            <w:r w:rsidRPr="002A4D6D">
              <w:rPr>
                <w:rFonts w:eastAsia="Times New Roman"/>
                <w:spacing w:val="-2"/>
                <w:sz w:val="22"/>
                <w:lang w:eastAsia="lv-LV"/>
              </w:rPr>
              <w:t xml:space="preserve">izmaiņas, salīdzinot ar vidēja termiņa budžeta ietvaru </w:t>
            </w:r>
            <w:r w:rsidR="00E10EB9" w:rsidRPr="002A4D6D">
              <w:rPr>
                <w:rFonts w:eastAsia="Times New Roman"/>
                <w:spacing w:val="-2"/>
                <w:sz w:val="22"/>
                <w:lang w:eastAsia="lv-LV"/>
              </w:rPr>
              <w:t xml:space="preserve">2022 </w:t>
            </w:r>
            <w:r w:rsidRPr="002A4D6D">
              <w:rPr>
                <w:rFonts w:eastAsia="Times New Roman"/>
                <w:spacing w:val="-2"/>
                <w:sz w:val="22"/>
                <w:lang w:eastAsia="lv-LV"/>
              </w:rPr>
              <w:t>gadam</w:t>
            </w:r>
          </w:p>
        </w:tc>
        <w:tc>
          <w:tcPr>
            <w:tcW w:w="695" w:type="pct"/>
            <w:gridSpan w:val="2"/>
            <w:vAlign w:val="center"/>
            <w:hideMark/>
          </w:tcPr>
          <w:p w14:paraId="339E24E5" w14:textId="4EF26C00" w:rsidR="00B34778" w:rsidRPr="002A4D6D" w:rsidRDefault="00B34778" w:rsidP="002A4D6D">
            <w:pPr>
              <w:jc w:val="both"/>
              <w:rPr>
                <w:rFonts w:eastAsia="Times New Roman"/>
                <w:spacing w:val="-2"/>
                <w:sz w:val="22"/>
                <w:lang w:eastAsia="lv-LV"/>
              </w:rPr>
            </w:pPr>
            <w:r w:rsidRPr="002A4D6D">
              <w:rPr>
                <w:rFonts w:eastAsia="Times New Roman"/>
                <w:spacing w:val="-2"/>
                <w:sz w:val="22"/>
                <w:lang w:eastAsia="lv-LV"/>
              </w:rPr>
              <w:t xml:space="preserve">Izmaiņas, salīdzinot ar vidēja termiņa budžeta ietvaru </w:t>
            </w:r>
            <w:r w:rsidR="00E10EB9" w:rsidRPr="002A4D6D">
              <w:rPr>
                <w:rFonts w:eastAsia="Times New Roman"/>
                <w:spacing w:val="-2"/>
                <w:sz w:val="22"/>
                <w:lang w:eastAsia="lv-LV"/>
              </w:rPr>
              <w:t>2022</w:t>
            </w:r>
            <w:r w:rsidRPr="002A4D6D">
              <w:rPr>
                <w:rFonts w:eastAsia="Times New Roman"/>
                <w:spacing w:val="-2"/>
                <w:sz w:val="22"/>
                <w:lang w:eastAsia="lv-LV"/>
              </w:rPr>
              <w:t xml:space="preserve"> gadam</w:t>
            </w:r>
          </w:p>
        </w:tc>
      </w:tr>
      <w:tr w:rsidR="00F207FB" w:rsidRPr="002A4D6D" w14:paraId="219F67F6" w14:textId="77777777" w:rsidTr="005E7435">
        <w:tc>
          <w:tcPr>
            <w:tcW w:w="632" w:type="pct"/>
            <w:gridSpan w:val="4"/>
            <w:vAlign w:val="center"/>
            <w:hideMark/>
          </w:tcPr>
          <w:p w14:paraId="1E0096B6" w14:textId="77777777" w:rsidR="00B34778" w:rsidRPr="002A4D6D" w:rsidRDefault="00B34778" w:rsidP="002A4D6D">
            <w:pPr>
              <w:ind w:firstLine="300"/>
              <w:jc w:val="both"/>
              <w:rPr>
                <w:rFonts w:eastAsia="Times New Roman"/>
                <w:spacing w:val="-2"/>
                <w:sz w:val="22"/>
                <w:lang w:eastAsia="lv-LV"/>
              </w:rPr>
            </w:pPr>
            <w:r w:rsidRPr="002A4D6D">
              <w:rPr>
                <w:rFonts w:eastAsia="Times New Roman"/>
                <w:spacing w:val="-2"/>
                <w:sz w:val="22"/>
                <w:lang w:eastAsia="lv-LV"/>
              </w:rPr>
              <w:t>1</w:t>
            </w:r>
          </w:p>
        </w:tc>
        <w:tc>
          <w:tcPr>
            <w:tcW w:w="612" w:type="pct"/>
            <w:vAlign w:val="center"/>
            <w:hideMark/>
          </w:tcPr>
          <w:p w14:paraId="17A28CF3" w14:textId="77777777" w:rsidR="00B34778" w:rsidRPr="002A4D6D" w:rsidRDefault="00B34778" w:rsidP="002A4D6D">
            <w:pPr>
              <w:ind w:firstLine="300"/>
              <w:jc w:val="both"/>
              <w:rPr>
                <w:rFonts w:eastAsia="Times New Roman"/>
                <w:spacing w:val="-2"/>
                <w:sz w:val="26"/>
                <w:szCs w:val="26"/>
                <w:lang w:eastAsia="lv-LV"/>
              </w:rPr>
            </w:pPr>
            <w:r w:rsidRPr="002A4D6D">
              <w:rPr>
                <w:rFonts w:eastAsia="Times New Roman"/>
                <w:spacing w:val="-2"/>
                <w:sz w:val="26"/>
                <w:szCs w:val="26"/>
                <w:lang w:eastAsia="lv-LV"/>
              </w:rPr>
              <w:t>2</w:t>
            </w:r>
          </w:p>
        </w:tc>
        <w:tc>
          <w:tcPr>
            <w:tcW w:w="370" w:type="pct"/>
            <w:gridSpan w:val="2"/>
            <w:vAlign w:val="center"/>
            <w:hideMark/>
          </w:tcPr>
          <w:p w14:paraId="52060F08" w14:textId="77777777" w:rsidR="00B34778" w:rsidRPr="002A4D6D" w:rsidRDefault="00B34778" w:rsidP="002A4D6D">
            <w:pPr>
              <w:ind w:firstLine="300"/>
              <w:jc w:val="both"/>
              <w:rPr>
                <w:rFonts w:eastAsia="Times New Roman"/>
                <w:spacing w:val="-2"/>
                <w:sz w:val="26"/>
                <w:szCs w:val="26"/>
                <w:lang w:eastAsia="lv-LV"/>
              </w:rPr>
            </w:pPr>
            <w:r w:rsidRPr="002A4D6D">
              <w:rPr>
                <w:rFonts w:eastAsia="Times New Roman"/>
                <w:spacing w:val="-2"/>
                <w:sz w:val="26"/>
                <w:szCs w:val="26"/>
                <w:lang w:eastAsia="lv-LV"/>
              </w:rPr>
              <w:t>3</w:t>
            </w:r>
          </w:p>
        </w:tc>
        <w:tc>
          <w:tcPr>
            <w:tcW w:w="855" w:type="pct"/>
            <w:gridSpan w:val="3"/>
            <w:vAlign w:val="center"/>
            <w:hideMark/>
          </w:tcPr>
          <w:p w14:paraId="4D7B8E0E" w14:textId="77777777" w:rsidR="00B34778" w:rsidRPr="002A4D6D" w:rsidRDefault="00B34778" w:rsidP="002A4D6D">
            <w:pPr>
              <w:ind w:firstLine="300"/>
              <w:jc w:val="both"/>
              <w:rPr>
                <w:rFonts w:eastAsia="Times New Roman"/>
                <w:spacing w:val="-2"/>
                <w:sz w:val="26"/>
                <w:szCs w:val="26"/>
                <w:lang w:eastAsia="lv-LV"/>
              </w:rPr>
            </w:pPr>
            <w:r w:rsidRPr="002A4D6D">
              <w:rPr>
                <w:rFonts w:eastAsia="Times New Roman"/>
                <w:spacing w:val="-2"/>
                <w:sz w:val="26"/>
                <w:szCs w:val="26"/>
                <w:lang w:eastAsia="lv-LV"/>
              </w:rPr>
              <w:t>4</w:t>
            </w:r>
          </w:p>
        </w:tc>
        <w:tc>
          <w:tcPr>
            <w:tcW w:w="613" w:type="pct"/>
            <w:gridSpan w:val="2"/>
            <w:vAlign w:val="center"/>
            <w:hideMark/>
          </w:tcPr>
          <w:p w14:paraId="18059B5C" w14:textId="77777777" w:rsidR="00B34778" w:rsidRPr="002A4D6D" w:rsidRDefault="00B34778" w:rsidP="002A4D6D">
            <w:pPr>
              <w:ind w:firstLine="300"/>
              <w:jc w:val="both"/>
              <w:rPr>
                <w:rFonts w:eastAsia="Times New Roman"/>
                <w:spacing w:val="-2"/>
                <w:sz w:val="26"/>
                <w:szCs w:val="26"/>
                <w:lang w:eastAsia="lv-LV"/>
              </w:rPr>
            </w:pPr>
            <w:r w:rsidRPr="002A4D6D">
              <w:rPr>
                <w:rFonts w:eastAsia="Times New Roman"/>
                <w:spacing w:val="-2"/>
                <w:sz w:val="26"/>
                <w:szCs w:val="26"/>
                <w:lang w:eastAsia="lv-LV"/>
              </w:rPr>
              <w:t>5</w:t>
            </w:r>
          </w:p>
        </w:tc>
        <w:tc>
          <w:tcPr>
            <w:tcW w:w="689" w:type="pct"/>
            <w:vAlign w:val="center"/>
            <w:hideMark/>
          </w:tcPr>
          <w:p w14:paraId="2A25DDF5" w14:textId="77777777" w:rsidR="00B34778" w:rsidRPr="002A4D6D" w:rsidRDefault="00B34778" w:rsidP="002A4D6D">
            <w:pPr>
              <w:ind w:firstLine="300"/>
              <w:jc w:val="both"/>
              <w:rPr>
                <w:rFonts w:eastAsia="Times New Roman"/>
                <w:spacing w:val="-2"/>
                <w:sz w:val="26"/>
                <w:szCs w:val="26"/>
                <w:lang w:eastAsia="lv-LV"/>
              </w:rPr>
            </w:pPr>
            <w:r w:rsidRPr="002A4D6D">
              <w:rPr>
                <w:rFonts w:eastAsia="Times New Roman"/>
                <w:spacing w:val="-2"/>
                <w:sz w:val="26"/>
                <w:szCs w:val="26"/>
                <w:lang w:eastAsia="lv-LV"/>
              </w:rPr>
              <w:t>6</w:t>
            </w:r>
          </w:p>
        </w:tc>
        <w:tc>
          <w:tcPr>
            <w:tcW w:w="534" w:type="pct"/>
            <w:vAlign w:val="center"/>
            <w:hideMark/>
          </w:tcPr>
          <w:p w14:paraId="09C0C910" w14:textId="77777777" w:rsidR="00B34778" w:rsidRPr="002A4D6D" w:rsidRDefault="00B34778" w:rsidP="002A4D6D">
            <w:pPr>
              <w:ind w:firstLine="300"/>
              <w:jc w:val="both"/>
              <w:rPr>
                <w:rFonts w:eastAsia="Times New Roman"/>
                <w:spacing w:val="-2"/>
                <w:sz w:val="26"/>
                <w:szCs w:val="26"/>
                <w:lang w:eastAsia="lv-LV"/>
              </w:rPr>
            </w:pPr>
            <w:r w:rsidRPr="002A4D6D">
              <w:rPr>
                <w:rFonts w:eastAsia="Times New Roman"/>
                <w:spacing w:val="-2"/>
                <w:sz w:val="26"/>
                <w:szCs w:val="26"/>
                <w:lang w:eastAsia="lv-LV"/>
              </w:rPr>
              <w:t>7</w:t>
            </w:r>
          </w:p>
        </w:tc>
        <w:tc>
          <w:tcPr>
            <w:tcW w:w="695" w:type="pct"/>
            <w:gridSpan w:val="2"/>
            <w:vAlign w:val="center"/>
            <w:hideMark/>
          </w:tcPr>
          <w:p w14:paraId="43EE221C" w14:textId="77777777" w:rsidR="00B34778" w:rsidRPr="002A4D6D" w:rsidRDefault="00B34778" w:rsidP="002A4D6D">
            <w:pPr>
              <w:ind w:firstLine="300"/>
              <w:jc w:val="both"/>
              <w:rPr>
                <w:rFonts w:eastAsia="Times New Roman"/>
                <w:spacing w:val="-2"/>
                <w:sz w:val="26"/>
                <w:szCs w:val="26"/>
                <w:lang w:eastAsia="lv-LV"/>
              </w:rPr>
            </w:pPr>
            <w:r w:rsidRPr="002A4D6D">
              <w:rPr>
                <w:rFonts w:eastAsia="Times New Roman"/>
                <w:spacing w:val="-2"/>
                <w:sz w:val="26"/>
                <w:szCs w:val="26"/>
                <w:lang w:eastAsia="lv-LV"/>
              </w:rPr>
              <w:t>8</w:t>
            </w:r>
          </w:p>
        </w:tc>
      </w:tr>
      <w:tr w:rsidR="00794B86" w:rsidRPr="002A4D6D" w14:paraId="5DE02ABF" w14:textId="77777777" w:rsidTr="005E7435">
        <w:tc>
          <w:tcPr>
            <w:tcW w:w="632" w:type="pct"/>
            <w:gridSpan w:val="4"/>
            <w:hideMark/>
          </w:tcPr>
          <w:p w14:paraId="7B640F65" w14:textId="77777777" w:rsidR="00794B86" w:rsidRPr="002A4D6D" w:rsidRDefault="00794B86" w:rsidP="002A4D6D">
            <w:pPr>
              <w:jc w:val="both"/>
              <w:rPr>
                <w:rFonts w:eastAsia="Times New Roman"/>
                <w:spacing w:val="-2"/>
                <w:sz w:val="22"/>
                <w:lang w:eastAsia="lv-LV"/>
              </w:rPr>
            </w:pPr>
            <w:r w:rsidRPr="002A4D6D">
              <w:rPr>
                <w:rFonts w:eastAsia="Times New Roman"/>
                <w:spacing w:val="-2"/>
                <w:sz w:val="22"/>
                <w:lang w:eastAsia="lv-LV"/>
              </w:rPr>
              <w:lastRenderedPageBreak/>
              <w:t>1. Budžeta ieņēmumi</w:t>
            </w:r>
          </w:p>
        </w:tc>
        <w:tc>
          <w:tcPr>
            <w:tcW w:w="612" w:type="pct"/>
            <w:vAlign w:val="center"/>
          </w:tcPr>
          <w:p w14:paraId="48AF9D63" w14:textId="488D594F"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2 884 931 000</w:t>
            </w:r>
          </w:p>
        </w:tc>
        <w:tc>
          <w:tcPr>
            <w:tcW w:w="370" w:type="pct"/>
            <w:gridSpan w:val="2"/>
            <w:vAlign w:val="center"/>
          </w:tcPr>
          <w:p w14:paraId="1435B702" w14:textId="13FB12DD" w:rsidR="00794B86" w:rsidRPr="002A4D6D" w:rsidRDefault="00794B86" w:rsidP="002A4D6D">
            <w:pPr>
              <w:jc w:val="center"/>
              <w:rPr>
                <w:rFonts w:eastAsia="Times New Roman"/>
                <w:spacing w:val="-2"/>
                <w:sz w:val="26"/>
                <w:szCs w:val="26"/>
                <w:lang w:eastAsia="lv-LV"/>
              </w:rPr>
            </w:pPr>
            <w:r w:rsidRPr="002A4D6D">
              <w:rPr>
                <w:rFonts w:eastAsia="Times New Roman"/>
                <w:spacing w:val="-2"/>
                <w:sz w:val="26"/>
                <w:szCs w:val="26"/>
                <w:lang w:eastAsia="lv-LV"/>
              </w:rPr>
              <w:t>0</w:t>
            </w:r>
          </w:p>
        </w:tc>
        <w:tc>
          <w:tcPr>
            <w:tcW w:w="855" w:type="pct"/>
            <w:gridSpan w:val="3"/>
            <w:vAlign w:val="center"/>
          </w:tcPr>
          <w:p w14:paraId="6BBA8B9C" w14:textId="7ED31AFD"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3 077 457 000</w:t>
            </w:r>
          </w:p>
        </w:tc>
        <w:tc>
          <w:tcPr>
            <w:tcW w:w="613" w:type="pct"/>
            <w:gridSpan w:val="2"/>
            <w:vAlign w:val="center"/>
          </w:tcPr>
          <w:p w14:paraId="6E8ACF3D" w14:textId="3CB9CC36"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10 370 000</w:t>
            </w:r>
          </w:p>
        </w:tc>
        <w:tc>
          <w:tcPr>
            <w:tcW w:w="689" w:type="pct"/>
            <w:vAlign w:val="center"/>
          </w:tcPr>
          <w:p w14:paraId="5E3D42D5" w14:textId="0474121E"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3 276 821 000</w:t>
            </w:r>
          </w:p>
        </w:tc>
        <w:tc>
          <w:tcPr>
            <w:tcW w:w="534" w:type="pct"/>
            <w:vAlign w:val="center"/>
          </w:tcPr>
          <w:p w14:paraId="6F39BFF7" w14:textId="73E7B015"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10 370 000</w:t>
            </w:r>
          </w:p>
        </w:tc>
        <w:tc>
          <w:tcPr>
            <w:tcW w:w="695" w:type="pct"/>
            <w:gridSpan w:val="2"/>
            <w:vAlign w:val="center"/>
          </w:tcPr>
          <w:p w14:paraId="158657BA" w14:textId="1A5B15C2"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10 370 000</w:t>
            </w:r>
          </w:p>
        </w:tc>
      </w:tr>
      <w:tr w:rsidR="00794B86" w:rsidRPr="002A4D6D" w14:paraId="20BD8BC6" w14:textId="77777777" w:rsidTr="005E7435">
        <w:tc>
          <w:tcPr>
            <w:tcW w:w="632" w:type="pct"/>
            <w:gridSpan w:val="4"/>
            <w:hideMark/>
          </w:tcPr>
          <w:p w14:paraId="7BD4D9B8" w14:textId="77777777" w:rsidR="00794B86" w:rsidRPr="002A4D6D" w:rsidRDefault="00794B86" w:rsidP="002A4D6D">
            <w:pPr>
              <w:jc w:val="both"/>
              <w:rPr>
                <w:rFonts w:eastAsia="Times New Roman"/>
                <w:spacing w:val="-2"/>
                <w:sz w:val="22"/>
                <w:lang w:eastAsia="lv-LV"/>
              </w:rPr>
            </w:pPr>
            <w:r w:rsidRPr="002A4D6D">
              <w:rPr>
                <w:rFonts w:eastAsia="Times New Roman"/>
                <w:spacing w:val="-2"/>
                <w:sz w:val="22"/>
                <w:lang w:eastAsia="lv-LV"/>
              </w:rPr>
              <w:t>1.1. valsts pamatbudžets, tai skaitā ieņēmumi no maksas pakalpojumiem un citi pašu ieņēmumi</w:t>
            </w:r>
          </w:p>
        </w:tc>
        <w:tc>
          <w:tcPr>
            <w:tcW w:w="612" w:type="pct"/>
            <w:vAlign w:val="center"/>
          </w:tcPr>
          <w:p w14:paraId="2FB15D1C" w14:textId="28AEA08D"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2 884 931 000</w:t>
            </w:r>
          </w:p>
        </w:tc>
        <w:tc>
          <w:tcPr>
            <w:tcW w:w="370" w:type="pct"/>
            <w:gridSpan w:val="2"/>
            <w:vAlign w:val="center"/>
          </w:tcPr>
          <w:p w14:paraId="424DB8FD" w14:textId="4E51FAEB"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Align w:val="center"/>
          </w:tcPr>
          <w:p w14:paraId="3ABE9621" w14:textId="3A13DDF7"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3 077 457 000</w:t>
            </w:r>
          </w:p>
        </w:tc>
        <w:tc>
          <w:tcPr>
            <w:tcW w:w="613" w:type="pct"/>
            <w:gridSpan w:val="2"/>
            <w:vAlign w:val="center"/>
          </w:tcPr>
          <w:p w14:paraId="3C92501F" w14:textId="27372958"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10 370 000</w:t>
            </w:r>
          </w:p>
        </w:tc>
        <w:tc>
          <w:tcPr>
            <w:tcW w:w="689" w:type="pct"/>
            <w:vAlign w:val="center"/>
          </w:tcPr>
          <w:p w14:paraId="541890D3" w14:textId="0A39DBEE"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3 276 821 000</w:t>
            </w:r>
          </w:p>
        </w:tc>
        <w:tc>
          <w:tcPr>
            <w:tcW w:w="534" w:type="pct"/>
            <w:vAlign w:val="center"/>
          </w:tcPr>
          <w:p w14:paraId="4D78C724" w14:textId="68B6ED76"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10 370 000</w:t>
            </w:r>
          </w:p>
        </w:tc>
        <w:tc>
          <w:tcPr>
            <w:tcW w:w="695" w:type="pct"/>
            <w:gridSpan w:val="2"/>
            <w:vAlign w:val="center"/>
          </w:tcPr>
          <w:p w14:paraId="2D7C9DC6" w14:textId="4CC0A3F4" w:rsidR="00794B86" w:rsidRPr="002A4D6D" w:rsidRDefault="00794B86" w:rsidP="002A4D6D">
            <w:pPr>
              <w:jc w:val="center"/>
              <w:rPr>
                <w:rFonts w:eastAsia="Times New Roman"/>
                <w:spacing w:val="-2"/>
                <w:sz w:val="26"/>
                <w:szCs w:val="26"/>
                <w:lang w:eastAsia="lv-LV"/>
              </w:rPr>
            </w:pPr>
            <w:r w:rsidRPr="002A4D6D">
              <w:rPr>
                <w:rFonts w:eastAsia="Times New Roman"/>
                <w:spacing w:val="-2"/>
                <w:sz w:val="22"/>
                <w:lang w:eastAsia="lv-LV"/>
              </w:rPr>
              <w:t>10 370 000</w:t>
            </w:r>
          </w:p>
        </w:tc>
      </w:tr>
      <w:tr w:rsidR="00E00E5A" w:rsidRPr="002A4D6D" w14:paraId="36F1E738" w14:textId="77777777" w:rsidTr="005E7435">
        <w:tc>
          <w:tcPr>
            <w:tcW w:w="632" w:type="pct"/>
            <w:gridSpan w:val="4"/>
            <w:hideMark/>
          </w:tcPr>
          <w:p w14:paraId="22A7F26A"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1.2. valsts speciālais budžets</w:t>
            </w:r>
          </w:p>
        </w:tc>
        <w:tc>
          <w:tcPr>
            <w:tcW w:w="612" w:type="pct"/>
            <w:vAlign w:val="center"/>
          </w:tcPr>
          <w:p w14:paraId="200B8AED" w14:textId="52A81BEF"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370" w:type="pct"/>
            <w:gridSpan w:val="2"/>
            <w:vAlign w:val="center"/>
          </w:tcPr>
          <w:p w14:paraId="75DD6556" w14:textId="1644885A"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Align w:val="center"/>
          </w:tcPr>
          <w:p w14:paraId="498579C5" w14:textId="5E2FA715"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13" w:type="pct"/>
            <w:gridSpan w:val="2"/>
            <w:vAlign w:val="center"/>
          </w:tcPr>
          <w:p w14:paraId="209D5934" w14:textId="6529A7EB"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89" w:type="pct"/>
            <w:vAlign w:val="center"/>
          </w:tcPr>
          <w:p w14:paraId="4F73E32D" w14:textId="0A1BD3AB"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534" w:type="pct"/>
            <w:vAlign w:val="center"/>
          </w:tcPr>
          <w:p w14:paraId="2BDF1389" w14:textId="6893ECCF"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27FD2E9C" w14:textId="0DF0A90E"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2A450E22" w14:textId="77777777" w:rsidTr="005E7435">
        <w:tc>
          <w:tcPr>
            <w:tcW w:w="632" w:type="pct"/>
            <w:gridSpan w:val="4"/>
            <w:hideMark/>
          </w:tcPr>
          <w:p w14:paraId="7940334B"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1.3. pašvaldību budžets</w:t>
            </w:r>
          </w:p>
        </w:tc>
        <w:tc>
          <w:tcPr>
            <w:tcW w:w="612" w:type="pct"/>
            <w:vAlign w:val="center"/>
          </w:tcPr>
          <w:p w14:paraId="2EFCD04A" w14:textId="6492281E"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370" w:type="pct"/>
            <w:gridSpan w:val="2"/>
            <w:vAlign w:val="center"/>
          </w:tcPr>
          <w:p w14:paraId="33CF6D17" w14:textId="561A0347"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Align w:val="center"/>
          </w:tcPr>
          <w:p w14:paraId="3798ECC3" w14:textId="3EFCA8B7"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13" w:type="pct"/>
            <w:gridSpan w:val="2"/>
            <w:vAlign w:val="center"/>
          </w:tcPr>
          <w:p w14:paraId="00BFD3C7" w14:textId="7DE139D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89" w:type="pct"/>
            <w:vAlign w:val="center"/>
          </w:tcPr>
          <w:p w14:paraId="5A2C3216" w14:textId="4475B4C4"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534" w:type="pct"/>
            <w:vAlign w:val="center"/>
          </w:tcPr>
          <w:p w14:paraId="6C8A6A0E" w14:textId="72A4A92E"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15138E41" w14:textId="31FB2BB8"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2540F17D" w14:textId="77777777" w:rsidTr="005E7435">
        <w:tc>
          <w:tcPr>
            <w:tcW w:w="632" w:type="pct"/>
            <w:gridSpan w:val="4"/>
            <w:hideMark/>
          </w:tcPr>
          <w:p w14:paraId="363C02DF"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2. Budžeta izdevumi</w:t>
            </w:r>
          </w:p>
        </w:tc>
        <w:tc>
          <w:tcPr>
            <w:tcW w:w="612" w:type="pct"/>
            <w:vAlign w:val="center"/>
          </w:tcPr>
          <w:p w14:paraId="3746FAA8" w14:textId="681BC470"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2 884 931 000</w:t>
            </w:r>
          </w:p>
        </w:tc>
        <w:tc>
          <w:tcPr>
            <w:tcW w:w="370" w:type="pct"/>
            <w:gridSpan w:val="2"/>
            <w:vAlign w:val="center"/>
          </w:tcPr>
          <w:p w14:paraId="390ACA1C" w14:textId="589C3AB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1 075 155</w:t>
            </w:r>
          </w:p>
        </w:tc>
        <w:tc>
          <w:tcPr>
            <w:tcW w:w="855" w:type="pct"/>
            <w:gridSpan w:val="3"/>
            <w:vAlign w:val="center"/>
          </w:tcPr>
          <w:p w14:paraId="6DF86E29" w14:textId="7C861D4D"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3 077 457 000</w:t>
            </w:r>
          </w:p>
        </w:tc>
        <w:tc>
          <w:tcPr>
            <w:tcW w:w="613" w:type="pct"/>
            <w:gridSpan w:val="2"/>
            <w:vAlign w:val="center"/>
          </w:tcPr>
          <w:p w14:paraId="6EA6FA80" w14:textId="0506E1E4"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1 847 647</w:t>
            </w:r>
          </w:p>
        </w:tc>
        <w:tc>
          <w:tcPr>
            <w:tcW w:w="689" w:type="pct"/>
            <w:vAlign w:val="center"/>
          </w:tcPr>
          <w:p w14:paraId="16E4F803" w14:textId="74148A24"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3 276 821 000</w:t>
            </w:r>
          </w:p>
        </w:tc>
        <w:tc>
          <w:tcPr>
            <w:tcW w:w="534" w:type="pct"/>
            <w:vAlign w:val="center"/>
          </w:tcPr>
          <w:p w14:paraId="690B5A23" w14:textId="53048E9F"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738DE2C1" w14:textId="70E05A3A"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2D865BDD" w14:textId="77777777" w:rsidTr="005E7435">
        <w:tc>
          <w:tcPr>
            <w:tcW w:w="632" w:type="pct"/>
            <w:gridSpan w:val="4"/>
            <w:hideMark/>
          </w:tcPr>
          <w:p w14:paraId="477D0720"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2.1. valsts pamatbudžets</w:t>
            </w:r>
          </w:p>
        </w:tc>
        <w:tc>
          <w:tcPr>
            <w:tcW w:w="612" w:type="pct"/>
            <w:vAlign w:val="center"/>
          </w:tcPr>
          <w:p w14:paraId="228731BD" w14:textId="29CA517E"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2 884 931 000</w:t>
            </w:r>
          </w:p>
        </w:tc>
        <w:tc>
          <w:tcPr>
            <w:tcW w:w="370" w:type="pct"/>
            <w:gridSpan w:val="2"/>
            <w:vAlign w:val="center"/>
          </w:tcPr>
          <w:p w14:paraId="378BF4B4" w14:textId="51A50D1D"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1 075 155</w:t>
            </w:r>
          </w:p>
        </w:tc>
        <w:tc>
          <w:tcPr>
            <w:tcW w:w="855" w:type="pct"/>
            <w:gridSpan w:val="3"/>
            <w:vAlign w:val="center"/>
          </w:tcPr>
          <w:p w14:paraId="0F377D74" w14:textId="43F4F02B"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3 077 457 000</w:t>
            </w:r>
          </w:p>
        </w:tc>
        <w:tc>
          <w:tcPr>
            <w:tcW w:w="613" w:type="pct"/>
            <w:gridSpan w:val="2"/>
            <w:vAlign w:val="center"/>
          </w:tcPr>
          <w:p w14:paraId="5ED4795F" w14:textId="26AE8B46"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1 847 647</w:t>
            </w:r>
          </w:p>
        </w:tc>
        <w:tc>
          <w:tcPr>
            <w:tcW w:w="689" w:type="pct"/>
            <w:vAlign w:val="center"/>
          </w:tcPr>
          <w:p w14:paraId="18410E20" w14:textId="1121B441"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3 276 821 000</w:t>
            </w:r>
          </w:p>
        </w:tc>
        <w:tc>
          <w:tcPr>
            <w:tcW w:w="534" w:type="pct"/>
            <w:vAlign w:val="center"/>
          </w:tcPr>
          <w:p w14:paraId="12C7A896" w14:textId="550CE174"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109B367F" w14:textId="6A31EFB0"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5474AE7D" w14:textId="77777777" w:rsidTr="005E7435">
        <w:tc>
          <w:tcPr>
            <w:tcW w:w="632" w:type="pct"/>
            <w:gridSpan w:val="4"/>
            <w:hideMark/>
          </w:tcPr>
          <w:p w14:paraId="167EE9D5"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2.2. valsts speciālais budžets</w:t>
            </w:r>
          </w:p>
        </w:tc>
        <w:tc>
          <w:tcPr>
            <w:tcW w:w="612" w:type="pct"/>
            <w:vAlign w:val="center"/>
          </w:tcPr>
          <w:p w14:paraId="1DDD3ADE" w14:textId="18C516E5"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370" w:type="pct"/>
            <w:gridSpan w:val="2"/>
            <w:vAlign w:val="center"/>
          </w:tcPr>
          <w:p w14:paraId="4B2809C0" w14:textId="5C0C0E81"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Align w:val="center"/>
          </w:tcPr>
          <w:p w14:paraId="5A0ADFF1" w14:textId="5595575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13" w:type="pct"/>
            <w:gridSpan w:val="2"/>
            <w:vAlign w:val="center"/>
          </w:tcPr>
          <w:p w14:paraId="6E3E0E8B" w14:textId="5D453ED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89" w:type="pct"/>
            <w:vAlign w:val="center"/>
          </w:tcPr>
          <w:p w14:paraId="5DC0DD36" w14:textId="448960FA"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534" w:type="pct"/>
            <w:vAlign w:val="center"/>
          </w:tcPr>
          <w:p w14:paraId="4AF33E0D" w14:textId="655A359A"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70A065F7" w14:textId="50C74C88"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3BFA0D32" w14:textId="77777777" w:rsidTr="005E7435">
        <w:tc>
          <w:tcPr>
            <w:tcW w:w="632" w:type="pct"/>
            <w:gridSpan w:val="4"/>
            <w:hideMark/>
          </w:tcPr>
          <w:p w14:paraId="1B56D1B2"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2.3. pašvaldību budžets</w:t>
            </w:r>
          </w:p>
        </w:tc>
        <w:tc>
          <w:tcPr>
            <w:tcW w:w="612" w:type="pct"/>
            <w:vAlign w:val="center"/>
          </w:tcPr>
          <w:p w14:paraId="6CB75CCC" w14:textId="08CFD35A"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370" w:type="pct"/>
            <w:gridSpan w:val="2"/>
            <w:vAlign w:val="center"/>
          </w:tcPr>
          <w:p w14:paraId="516FF4B8" w14:textId="27EBE449"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Align w:val="center"/>
          </w:tcPr>
          <w:p w14:paraId="4F0C255D" w14:textId="1FA18E07"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13" w:type="pct"/>
            <w:gridSpan w:val="2"/>
            <w:vAlign w:val="center"/>
          </w:tcPr>
          <w:p w14:paraId="2002378E" w14:textId="13D25D4A"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89" w:type="pct"/>
            <w:vAlign w:val="center"/>
          </w:tcPr>
          <w:p w14:paraId="101A031A" w14:textId="0851A2F3"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534" w:type="pct"/>
            <w:vAlign w:val="center"/>
          </w:tcPr>
          <w:p w14:paraId="50F5BEFB" w14:textId="3EE4E732"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7EAC8869" w14:textId="6E86355D"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6218FC79" w14:textId="77777777" w:rsidTr="005E7435">
        <w:tc>
          <w:tcPr>
            <w:tcW w:w="632" w:type="pct"/>
            <w:gridSpan w:val="4"/>
            <w:hideMark/>
          </w:tcPr>
          <w:p w14:paraId="02D9041F"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3. Finansiālā ietekme</w:t>
            </w:r>
          </w:p>
        </w:tc>
        <w:tc>
          <w:tcPr>
            <w:tcW w:w="612" w:type="pct"/>
            <w:vAlign w:val="center"/>
          </w:tcPr>
          <w:p w14:paraId="5A7FBB47" w14:textId="2DBA2693"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370" w:type="pct"/>
            <w:gridSpan w:val="2"/>
            <w:vAlign w:val="center"/>
          </w:tcPr>
          <w:p w14:paraId="71407E77" w14:textId="50B74DB7"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-1 075 155</w:t>
            </w:r>
          </w:p>
        </w:tc>
        <w:tc>
          <w:tcPr>
            <w:tcW w:w="855" w:type="pct"/>
            <w:gridSpan w:val="3"/>
            <w:vAlign w:val="center"/>
          </w:tcPr>
          <w:p w14:paraId="52408CBF" w14:textId="232D4C5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13" w:type="pct"/>
            <w:gridSpan w:val="2"/>
            <w:vAlign w:val="center"/>
          </w:tcPr>
          <w:p w14:paraId="11645C6C" w14:textId="2824C73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+8 522 353</w:t>
            </w:r>
          </w:p>
        </w:tc>
        <w:tc>
          <w:tcPr>
            <w:tcW w:w="689" w:type="pct"/>
            <w:vAlign w:val="center"/>
          </w:tcPr>
          <w:p w14:paraId="523A5753" w14:textId="25FC0B7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534" w:type="pct"/>
            <w:vAlign w:val="center"/>
          </w:tcPr>
          <w:p w14:paraId="2334FEEB" w14:textId="39FD45A4"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+10 370 000</w:t>
            </w:r>
          </w:p>
        </w:tc>
        <w:tc>
          <w:tcPr>
            <w:tcW w:w="695" w:type="pct"/>
            <w:gridSpan w:val="2"/>
            <w:vAlign w:val="center"/>
          </w:tcPr>
          <w:p w14:paraId="43244933" w14:textId="02D835C2"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+10 370 000</w:t>
            </w:r>
          </w:p>
        </w:tc>
      </w:tr>
      <w:tr w:rsidR="00E00E5A" w:rsidRPr="002A4D6D" w14:paraId="1FF624FF" w14:textId="77777777" w:rsidTr="005E7435">
        <w:tc>
          <w:tcPr>
            <w:tcW w:w="632" w:type="pct"/>
            <w:gridSpan w:val="4"/>
            <w:hideMark/>
          </w:tcPr>
          <w:p w14:paraId="739A8AB7"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3.1. valsts pamatbudžets</w:t>
            </w:r>
          </w:p>
        </w:tc>
        <w:tc>
          <w:tcPr>
            <w:tcW w:w="612" w:type="pct"/>
            <w:vAlign w:val="center"/>
          </w:tcPr>
          <w:p w14:paraId="0AC889BE" w14:textId="3B92F7D1"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370" w:type="pct"/>
            <w:gridSpan w:val="2"/>
            <w:vAlign w:val="center"/>
          </w:tcPr>
          <w:p w14:paraId="4A58E9DB" w14:textId="1039EA71"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-1 075 155</w:t>
            </w:r>
          </w:p>
        </w:tc>
        <w:tc>
          <w:tcPr>
            <w:tcW w:w="855" w:type="pct"/>
            <w:gridSpan w:val="3"/>
            <w:vAlign w:val="center"/>
          </w:tcPr>
          <w:p w14:paraId="50105A5D" w14:textId="18E3AF8B"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13" w:type="pct"/>
            <w:gridSpan w:val="2"/>
            <w:vAlign w:val="center"/>
          </w:tcPr>
          <w:p w14:paraId="1E677987" w14:textId="71D22DB4"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+8 522 353</w:t>
            </w:r>
          </w:p>
        </w:tc>
        <w:tc>
          <w:tcPr>
            <w:tcW w:w="689" w:type="pct"/>
            <w:vAlign w:val="center"/>
          </w:tcPr>
          <w:p w14:paraId="02ADFE6C" w14:textId="273033CD"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534" w:type="pct"/>
            <w:vAlign w:val="center"/>
          </w:tcPr>
          <w:p w14:paraId="6806288F" w14:textId="7F3FF80A"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+10 370 000</w:t>
            </w:r>
          </w:p>
        </w:tc>
        <w:tc>
          <w:tcPr>
            <w:tcW w:w="695" w:type="pct"/>
            <w:gridSpan w:val="2"/>
            <w:vAlign w:val="center"/>
          </w:tcPr>
          <w:p w14:paraId="4F4EE00D" w14:textId="541B9D27"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+10 370 000</w:t>
            </w:r>
          </w:p>
        </w:tc>
      </w:tr>
      <w:tr w:rsidR="00E00E5A" w:rsidRPr="002A4D6D" w14:paraId="59D52755" w14:textId="77777777" w:rsidTr="005E7435">
        <w:tc>
          <w:tcPr>
            <w:tcW w:w="632" w:type="pct"/>
            <w:gridSpan w:val="4"/>
            <w:hideMark/>
          </w:tcPr>
          <w:p w14:paraId="40F60F0C"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3.2. speciālais budžets</w:t>
            </w:r>
          </w:p>
        </w:tc>
        <w:tc>
          <w:tcPr>
            <w:tcW w:w="612" w:type="pct"/>
            <w:vAlign w:val="center"/>
          </w:tcPr>
          <w:p w14:paraId="3AAC12FB" w14:textId="1D845DC4"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370" w:type="pct"/>
            <w:gridSpan w:val="2"/>
            <w:vAlign w:val="center"/>
          </w:tcPr>
          <w:p w14:paraId="7660F5EE" w14:textId="7A0DD887"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Align w:val="center"/>
          </w:tcPr>
          <w:p w14:paraId="00C7A7FF" w14:textId="0038B952"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13" w:type="pct"/>
            <w:gridSpan w:val="2"/>
            <w:vAlign w:val="center"/>
          </w:tcPr>
          <w:p w14:paraId="068490EC" w14:textId="1B2A1F16"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89" w:type="pct"/>
            <w:vAlign w:val="center"/>
          </w:tcPr>
          <w:p w14:paraId="26B85274" w14:textId="39F74D7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534" w:type="pct"/>
            <w:vAlign w:val="center"/>
          </w:tcPr>
          <w:p w14:paraId="083FEB44" w14:textId="5F6462A4"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17314FF5" w14:textId="29290A31"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1E1773CB" w14:textId="77777777" w:rsidTr="005E7435">
        <w:tc>
          <w:tcPr>
            <w:tcW w:w="632" w:type="pct"/>
            <w:gridSpan w:val="4"/>
            <w:hideMark/>
          </w:tcPr>
          <w:p w14:paraId="6152C859"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3.3. pašvaldību budžets</w:t>
            </w:r>
          </w:p>
        </w:tc>
        <w:tc>
          <w:tcPr>
            <w:tcW w:w="612" w:type="pct"/>
            <w:vAlign w:val="center"/>
          </w:tcPr>
          <w:p w14:paraId="3FDCE608" w14:textId="2678C0C2"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X</w:t>
            </w:r>
          </w:p>
        </w:tc>
        <w:tc>
          <w:tcPr>
            <w:tcW w:w="370" w:type="pct"/>
            <w:gridSpan w:val="2"/>
            <w:vAlign w:val="center"/>
          </w:tcPr>
          <w:p w14:paraId="1871A9BC" w14:textId="53514CA7" w:rsidR="00E00E5A" w:rsidRPr="002A4D6D" w:rsidRDefault="000E3760" w:rsidP="002A4D6D">
            <w:pPr>
              <w:jc w:val="center"/>
              <w:rPr>
                <w:rFonts w:eastAsia="Times New Roman"/>
                <w:spacing w:val="-2"/>
                <w:sz w:val="26"/>
                <w:szCs w:val="26"/>
                <w:lang w:eastAsia="lv-LV"/>
              </w:rPr>
            </w:pPr>
            <w:r w:rsidRPr="002A4D6D">
              <w:rPr>
                <w:rFonts w:eastAsia="Times New Roman"/>
                <w:spacing w:val="-2"/>
                <w:sz w:val="26"/>
                <w:szCs w:val="26"/>
                <w:lang w:eastAsia="lv-LV"/>
              </w:rPr>
              <w:t>0</w:t>
            </w:r>
          </w:p>
        </w:tc>
        <w:tc>
          <w:tcPr>
            <w:tcW w:w="855" w:type="pct"/>
            <w:gridSpan w:val="3"/>
            <w:vAlign w:val="center"/>
          </w:tcPr>
          <w:p w14:paraId="5B894931" w14:textId="4CFE9031"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X</w:t>
            </w:r>
          </w:p>
        </w:tc>
        <w:tc>
          <w:tcPr>
            <w:tcW w:w="613" w:type="pct"/>
            <w:gridSpan w:val="2"/>
            <w:vAlign w:val="center"/>
          </w:tcPr>
          <w:p w14:paraId="3CC9C9F9" w14:textId="5CEE8AB5"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89" w:type="pct"/>
            <w:vAlign w:val="center"/>
          </w:tcPr>
          <w:p w14:paraId="245621E3" w14:textId="464C1E11"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X</w:t>
            </w:r>
          </w:p>
        </w:tc>
        <w:tc>
          <w:tcPr>
            <w:tcW w:w="534" w:type="pct"/>
            <w:vAlign w:val="center"/>
          </w:tcPr>
          <w:p w14:paraId="175EBF6F" w14:textId="712A439F"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28E2C11E" w14:textId="7D71159B"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1B0D0558" w14:textId="77777777" w:rsidTr="005E7435">
        <w:tc>
          <w:tcPr>
            <w:tcW w:w="632" w:type="pct"/>
            <w:gridSpan w:val="4"/>
            <w:hideMark/>
          </w:tcPr>
          <w:p w14:paraId="04C1E8B3"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4. Finanšu līdzekļi papildu izdevumu finansēšanai (kompensējošu izdevumu samazinājumu norāda ar "+" zīmi)</w:t>
            </w:r>
          </w:p>
        </w:tc>
        <w:tc>
          <w:tcPr>
            <w:tcW w:w="612" w:type="pct"/>
            <w:shd w:val="clear" w:color="auto" w:fill="auto"/>
            <w:vAlign w:val="center"/>
          </w:tcPr>
          <w:p w14:paraId="1E08C61D" w14:textId="7656DC68"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370" w:type="pct"/>
            <w:gridSpan w:val="2"/>
            <w:vAlign w:val="center"/>
          </w:tcPr>
          <w:p w14:paraId="51A50B05" w14:textId="1D7E813A" w:rsidR="00E00E5A" w:rsidRPr="002A4D6D" w:rsidRDefault="00282FD7" w:rsidP="002A4D6D">
            <w:pPr>
              <w:jc w:val="center"/>
              <w:rPr>
                <w:rFonts w:eastAsia="Times New Roman"/>
                <w:spacing w:val="-2"/>
                <w:sz w:val="26"/>
                <w:szCs w:val="26"/>
                <w:lang w:eastAsia="lv-LV"/>
              </w:rPr>
            </w:pPr>
            <w:r w:rsidRPr="002A4D6D">
              <w:rPr>
                <w:spacing w:val="-2"/>
                <w:sz w:val="22"/>
              </w:rPr>
              <w:t>+1 075 155</w:t>
            </w:r>
            <w:r w:rsidR="00E00E5A" w:rsidRPr="002A4D6D">
              <w:rPr>
                <w:rFonts w:eastAsia="Times New Roman"/>
                <w:spacing w:val="-2"/>
                <w:sz w:val="22"/>
                <w:lang w:eastAsia="lv-LV"/>
              </w:rPr>
              <w:t>0</w:t>
            </w:r>
          </w:p>
        </w:tc>
        <w:tc>
          <w:tcPr>
            <w:tcW w:w="855" w:type="pct"/>
            <w:gridSpan w:val="3"/>
            <w:vAlign w:val="center"/>
          </w:tcPr>
          <w:p w14:paraId="43A49968" w14:textId="6123745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13" w:type="pct"/>
            <w:gridSpan w:val="2"/>
            <w:vAlign w:val="center"/>
          </w:tcPr>
          <w:p w14:paraId="1C9DF56A" w14:textId="2833E96E"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89" w:type="pct"/>
            <w:vAlign w:val="center"/>
          </w:tcPr>
          <w:p w14:paraId="72DC93AF" w14:textId="6A8EEC09"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534" w:type="pct"/>
            <w:vAlign w:val="center"/>
          </w:tcPr>
          <w:p w14:paraId="131A98EA" w14:textId="080215A0"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7E68F1B1" w14:textId="5304545F"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0ED44869" w14:textId="77777777" w:rsidTr="005E7435">
        <w:tc>
          <w:tcPr>
            <w:tcW w:w="632" w:type="pct"/>
            <w:gridSpan w:val="4"/>
            <w:hideMark/>
          </w:tcPr>
          <w:p w14:paraId="5D92C620"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t>5. Precizēta finansiālā ietekme</w:t>
            </w:r>
          </w:p>
        </w:tc>
        <w:tc>
          <w:tcPr>
            <w:tcW w:w="612" w:type="pct"/>
            <w:vMerge w:val="restart"/>
            <w:shd w:val="clear" w:color="auto" w:fill="auto"/>
            <w:vAlign w:val="center"/>
          </w:tcPr>
          <w:p w14:paraId="62C7AC90" w14:textId="1CAE765A"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X</w:t>
            </w:r>
          </w:p>
        </w:tc>
        <w:tc>
          <w:tcPr>
            <w:tcW w:w="370" w:type="pct"/>
            <w:gridSpan w:val="2"/>
            <w:vAlign w:val="center"/>
          </w:tcPr>
          <w:p w14:paraId="21340295" w14:textId="6BFF1CC8"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Merge w:val="restart"/>
            <w:vAlign w:val="center"/>
          </w:tcPr>
          <w:p w14:paraId="6353C1AE" w14:textId="35000670"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X</w:t>
            </w:r>
          </w:p>
        </w:tc>
        <w:tc>
          <w:tcPr>
            <w:tcW w:w="613" w:type="pct"/>
            <w:gridSpan w:val="2"/>
            <w:vAlign w:val="center"/>
          </w:tcPr>
          <w:p w14:paraId="1F3A08DA" w14:textId="5D03D22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+8 522 353</w:t>
            </w:r>
          </w:p>
        </w:tc>
        <w:tc>
          <w:tcPr>
            <w:tcW w:w="689" w:type="pct"/>
            <w:vMerge w:val="restart"/>
            <w:vAlign w:val="center"/>
          </w:tcPr>
          <w:p w14:paraId="10726878" w14:textId="76A2D9DE"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X</w:t>
            </w:r>
          </w:p>
        </w:tc>
        <w:tc>
          <w:tcPr>
            <w:tcW w:w="534" w:type="pct"/>
            <w:vAlign w:val="center"/>
          </w:tcPr>
          <w:p w14:paraId="101E6BD5" w14:textId="608D0B76"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+10 370 000</w:t>
            </w:r>
          </w:p>
        </w:tc>
        <w:tc>
          <w:tcPr>
            <w:tcW w:w="695" w:type="pct"/>
            <w:gridSpan w:val="2"/>
            <w:vAlign w:val="center"/>
          </w:tcPr>
          <w:p w14:paraId="7A1B929B" w14:textId="1DFDAAC6"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+10 370 000</w:t>
            </w:r>
          </w:p>
        </w:tc>
      </w:tr>
      <w:tr w:rsidR="00E00E5A" w:rsidRPr="002A4D6D" w14:paraId="1972FBDA" w14:textId="77777777" w:rsidTr="005E7435">
        <w:tc>
          <w:tcPr>
            <w:tcW w:w="632" w:type="pct"/>
            <w:gridSpan w:val="4"/>
            <w:hideMark/>
          </w:tcPr>
          <w:p w14:paraId="00EAA09E" w14:textId="77777777" w:rsidR="00E00E5A" w:rsidRPr="002A4D6D" w:rsidRDefault="00E00E5A" w:rsidP="002A4D6D">
            <w:pPr>
              <w:jc w:val="both"/>
              <w:rPr>
                <w:rFonts w:eastAsia="Times New Roman"/>
                <w:spacing w:val="-2"/>
                <w:sz w:val="22"/>
                <w:lang w:eastAsia="lv-LV"/>
              </w:rPr>
            </w:pPr>
            <w:r w:rsidRPr="002A4D6D">
              <w:rPr>
                <w:rFonts w:eastAsia="Times New Roman"/>
                <w:spacing w:val="-2"/>
                <w:sz w:val="22"/>
                <w:lang w:eastAsia="lv-LV"/>
              </w:rPr>
              <w:lastRenderedPageBreak/>
              <w:t>5.1. valsts pamatbudžets</w:t>
            </w:r>
          </w:p>
        </w:tc>
        <w:tc>
          <w:tcPr>
            <w:tcW w:w="612" w:type="pct"/>
            <w:vMerge/>
            <w:shd w:val="clear" w:color="auto" w:fill="auto"/>
            <w:vAlign w:val="center"/>
          </w:tcPr>
          <w:p w14:paraId="442070EA" w14:textId="77777777" w:rsidR="00E00E5A" w:rsidRPr="002A4D6D" w:rsidRDefault="00E00E5A" w:rsidP="002A4D6D">
            <w:pPr>
              <w:jc w:val="center"/>
              <w:rPr>
                <w:rFonts w:eastAsia="Times New Roman"/>
                <w:spacing w:val="-2"/>
                <w:sz w:val="26"/>
                <w:szCs w:val="26"/>
                <w:lang w:eastAsia="lv-LV"/>
              </w:rPr>
            </w:pPr>
          </w:p>
        </w:tc>
        <w:tc>
          <w:tcPr>
            <w:tcW w:w="370" w:type="pct"/>
            <w:gridSpan w:val="2"/>
            <w:vAlign w:val="center"/>
          </w:tcPr>
          <w:p w14:paraId="2B989E99" w14:textId="278D3FE7"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Merge/>
            <w:vAlign w:val="center"/>
          </w:tcPr>
          <w:p w14:paraId="19090D81" w14:textId="77777777" w:rsidR="00E00E5A" w:rsidRPr="002A4D6D" w:rsidRDefault="00E00E5A" w:rsidP="002A4D6D">
            <w:pPr>
              <w:jc w:val="center"/>
              <w:rPr>
                <w:rFonts w:eastAsia="Times New Roman"/>
                <w:spacing w:val="-2"/>
                <w:sz w:val="26"/>
                <w:szCs w:val="26"/>
                <w:lang w:eastAsia="lv-LV"/>
              </w:rPr>
            </w:pPr>
          </w:p>
        </w:tc>
        <w:tc>
          <w:tcPr>
            <w:tcW w:w="613" w:type="pct"/>
            <w:gridSpan w:val="2"/>
            <w:vAlign w:val="center"/>
          </w:tcPr>
          <w:p w14:paraId="0B57D101" w14:textId="70D94FD1"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+8 522 353</w:t>
            </w:r>
          </w:p>
        </w:tc>
        <w:tc>
          <w:tcPr>
            <w:tcW w:w="689" w:type="pct"/>
            <w:vMerge/>
            <w:vAlign w:val="center"/>
          </w:tcPr>
          <w:p w14:paraId="42F9BD40" w14:textId="77777777" w:rsidR="00E00E5A" w:rsidRPr="002A4D6D" w:rsidRDefault="00E00E5A" w:rsidP="002A4D6D">
            <w:pPr>
              <w:jc w:val="center"/>
              <w:rPr>
                <w:rFonts w:eastAsia="Times New Roman"/>
                <w:spacing w:val="-2"/>
                <w:sz w:val="26"/>
                <w:szCs w:val="26"/>
                <w:lang w:eastAsia="lv-LV"/>
              </w:rPr>
            </w:pPr>
          </w:p>
        </w:tc>
        <w:tc>
          <w:tcPr>
            <w:tcW w:w="534" w:type="pct"/>
            <w:vAlign w:val="center"/>
          </w:tcPr>
          <w:p w14:paraId="01DE0856" w14:textId="5BD7E907"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+10 370 000</w:t>
            </w:r>
          </w:p>
        </w:tc>
        <w:tc>
          <w:tcPr>
            <w:tcW w:w="695" w:type="pct"/>
            <w:gridSpan w:val="2"/>
            <w:vAlign w:val="center"/>
          </w:tcPr>
          <w:p w14:paraId="3DF274AE" w14:textId="0513A529"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+10 370 000</w:t>
            </w:r>
          </w:p>
        </w:tc>
      </w:tr>
      <w:tr w:rsidR="00E00E5A" w:rsidRPr="002A4D6D" w14:paraId="663DA991" w14:textId="77777777" w:rsidTr="005E7435">
        <w:tc>
          <w:tcPr>
            <w:tcW w:w="632" w:type="pct"/>
            <w:gridSpan w:val="4"/>
            <w:hideMark/>
          </w:tcPr>
          <w:p w14:paraId="6B348CFF" w14:textId="77777777" w:rsidR="00E00E5A" w:rsidRPr="002A4D6D" w:rsidRDefault="00E00E5A" w:rsidP="002A4D6D">
            <w:pPr>
              <w:rPr>
                <w:rFonts w:eastAsia="Times New Roman"/>
                <w:spacing w:val="-2"/>
                <w:sz w:val="22"/>
                <w:lang w:eastAsia="lv-LV"/>
              </w:rPr>
            </w:pPr>
            <w:r w:rsidRPr="002A4D6D">
              <w:rPr>
                <w:rFonts w:eastAsia="Times New Roman"/>
                <w:spacing w:val="-2"/>
                <w:sz w:val="22"/>
                <w:lang w:eastAsia="lv-LV"/>
              </w:rPr>
              <w:t>5.2. speciālais budžets</w:t>
            </w:r>
          </w:p>
        </w:tc>
        <w:tc>
          <w:tcPr>
            <w:tcW w:w="612" w:type="pct"/>
            <w:vMerge/>
            <w:shd w:val="clear" w:color="auto" w:fill="auto"/>
            <w:vAlign w:val="center"/>
          </w:tcPr>
          <w:p w14:paraId="5A11F252" w14:textId="77777777" w:rsidR="00E00E5A" w:rsidRPr="002A4D6D" w:rsidRDefault="00E00E5A" w:rsidP="002A4D6D">
            <w:pPr>
              <w:jc w:val="center"/>
              <w:rPr>
                <w:rFonts w:eastAsia="Times New Roman"/>
                <w:spacing w:val="-2"/>
                <w:sz w:val="26"/>
                <w:szCs w:val="26"/>
                <w:lang w:eastAsia="lv-LV"/>
              </w:rPr>
            </w:pPr>
          </w:p>
        </w:tc>
        <w:tc>
          <w:tcPr>
            <w:tcW w:w="370" w:type="pct"/>
            <w:gridSpan w:val="2"/>
            <w:vAlign w:val="center"/>
          </w:tcPr>
          <w:p w14:paraId="7D8A0BFA" w14:textId="5DB3D3C9"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Merge/>
            <w:vAlign w:val="center"/>
          </w:tcPr>
          <w:p w14:paraId="33FA6E02" w14:textId="77777777" w:rsidR="00E00E5A" w:rsidRPr="002A4D6D" w:rsidRDefault="00E00E5A" w:rsidP="002A4D6D">
            <w:pPr>
              <w:jc w:val="center"/>
              <w:rPr>
                <w:rFonts w:eastAsia="Times New Roman"/>
                <w:spacing w:val="-2"/>
                <w:sz w:val="26"/>
                <w:szCs w:val="26"/>
                <w:lang w:eastAsia="lv-LV"/>
              </w:rPr>
            </w:pPr>
          </w:p>
        </w:tc>
        <w:tc>
          <w:tcPr>
            <w:tcW w:w="613" w:type="pct"/>
            <w:gridSpan w:val="2"/>
            <w:vAlign w:val="center"/>
          </w:tcPr>
          <w:p w14:paraId="295B03B1" w14:textId="56D0A135"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89" w:type="pct"/>
            <w:vMerge/>
            <w:vAlign w:val="center"/>
          </w:tcPr>
          <w:p w14:paraId="23A96349" w14:textId="77777777" w:rsidR="00E00E5A" w:rsidRPr="002A4D6D" w:rsidRDefault="00E00E5A" w:rsidP="002A4D6D">
            <w:pPr>
              <w:jc w:val="center"/>
              <w:rPr>
                <w:rFonts w:eastAsia="Times New Roman"/>
                <w:spacing w:val="-2"/>
                <w:sz w:val="26"/>
                <w:szCs w:val="26"/>
                <w:lang w:eastAsia="lv-LV"/>
              </w:rPr>
            </w:pPr>
          </w:p>
        </w:tc>
        <w:tc>
          <w:tcPr>
            <w:tcW w:w="534" w:type="pct"/>
            <w:vAlign w:val="center"/>
          </w:tcPr>
          <w:p w14:paraId="3452B406" w14:textId="1CC54A45"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63D10F1D" w14:textId="57BEEEA4"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E00E5A" w:rsidRPr="002A4D6D" w14:paraId="5729CAC3" w14:textId="77777777" w:rsidTr="005E7435">
        <w:tc>
          <w:tcPr>
            <w:tcW w:w="632" w:type="pct"/>
            <w:gridSpan w:val="4"/>
            <w:hideMark/>
          </w:tcPr>
          <w:p w14:paraId="669F1E4D" w14:textId="77777777" w:rsidR="00E00E5A" w:rsidRPr="002A4D6D" w:rsidRDefault="00E00E5A" w:rsidP="002A4D6D">
            <w:pPr>
              <w:rPr>
                <w:rFonts w:eastAsia="Times New Roman"/>
                <w:spacing w:val="-2"/>
                <w:sz w:val="22"/>
                <w:lang w:eastAsia="lv-LV"/>
              </w:rPr>
            </w:pPr>
            <w:r w:rsidRPr="002A4D6D">
              <w:rPr>
                <w:rFonts w:eastAsia="Times New Roman"/>
                <w:spacing w:val="-2"/>
                <w:sz w:val="22"/>
                <w:lang w:eastAsia="lv-LV"/>
              </w:rPr>
              <w:t>5.3. pašvaldību budžets</w:t>
            </w:r>
          </w:p>
        </w:tc>
        <w:tc>
          <w:tcPr>
            <w:tcW w:w="612" w:type="pct"/>
            <w:vMerge/>
            <w:shd w:val="clear" w:color="auto" w:fill="auto"/>
            <w:vAlign w:val="center"/>
          </w:tcPr>
          <w:p w14:paraId="015A6F21" w14:textId="77777777" w:rsidR="00E00E5A" w:rsidRPr="002A4D6D" w:rsidRDefault="00E00E5A" w:rsidP="002A4D6D">
            <w:pPr>
              <w:jc w:val="center"/>
              <w:rPr>
                <w:rFonts w:eastAsia="Times New Roman"/>
                <w:spacing w:val="-2"/>
                <w:sz w:val="26"/>
                <w:szCs w:val="26"/>
                <w:lang w:eastAsia="lv-LV"/>
              </w:rPr>
            </w:pPr>
          </w:p>
        </w:tc>
        <w:tc>
          <w:tcPr>
            <w:tcW w:w="370" w:type="pct"/>
            <w:gridSpan w:val="2"/>
            <w:vAlign w:val="center"/>
          </w:tcPr>
          <w:p w14:paraId="056601D5" w14:textId="52D5DE8C"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855" w:type="pct"/>
            <w:gridSpan w:val="3"/>
            <w:vMerge/>
            <w:vAlign w:val="center"/>
          </w:tcPr>
          <w:p w14:paraId="35610EBD" w14:textId="77777777" w:rsidR="00E00E5A" w:rsidRPr="002A4D6D" w:rsidRDefault="00E00E5A" w:rsidP="002A4D6D">
            <w:pPr>
              <w:jc w:val="center"/>
              <w:rPr>
                <w:rFonts w:eastAsia="Times New Roman"/>
                <w:spacing w:val="-2"/>
                <w:sz w:val="26"/>
                <w:szCs w:val="26"/>
                <w:lang w:eastAsia="lv-LV"/>
              </w:rPr>
            </w:pPr>
          </w:p>
        </w:tc>
        <w:tc>
          <w:tcPr>
            <w:tcW w:w="613" w:type="pct"/>
            <w:gridSpan w:val="2"/>
            <w:vAlign w:val="center"/>
          </w:tcPr>
          <w:p w14:paraId="677F3D23" w14:textId="71C779F2"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89" w:type="pct"/>
            <w:vMerge/>
            <w:vAlign w:val="center"/>
          </w:tcPr>
          <w:p w14:paraId="1759456A" w14:textId="77777777" w:rsidR="00E00E5A" w:rsidRPr="002A4D6D" w:rsidRDefault="00E00E5A" w:rsidP="002A4D6D">
            <w:pPr>
              <w:jc w:val="center"/>
              <w:rPr>
                <w:rFonts w:eastAsia="Times New Roman"/>
                <w:spacing w:val="-2"/>
                <w:sz w:val="26"/>
                <w:szCs w:val="26"/>
                <w:lang w:eastAsia="lv-LV"/>
              </w:rPr>
            </w:pPr>
          </w:p>
        </w:tc>
        <w:tc>
          <w:tcPr>
            <w:tcW w:w="534" w:type="pct"/>
            <w:vAlign w:val="center"/>
          </w:tcPr>
          <w:p w14:paraId="56C8BFA2" w14:textId="0C9E37FF"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c>
          <w:tcPr>
            <w:tcW w:w="695" w:type="pct"/>
            <w:gridSpan w:val="2"/>
            <w:vAlign w:val="center"/>
          </w:tcPr>
          <w:p w14:paraId="6E6C98AB" w14:textId="2CD6E783" w:rsidR="00E00E5A" w:rsidRPr="002A4D6D" w:rsidRDefault="00E00E5A" w:rsidP="002A4D6D">
            <w:pPr>
              <w:jc w:val="center"/>
              <w:rPr>
                <w:rFonts w:eastAsia="Times New Roman"/>
                <w:spacing w:val="-2"/>
                <w:sz w:val="26"/>
                <w:szCs w:val="26"/>
                <w:lang w:eastAsia="lv-LV"/>
              </w:rPr>
            </w:pPr>
            <w:r w:rsidRPr="002A4D6D">
              <w:rPr>
                <w:rFonts w:eastAsia="Times New Roman"/>
                <w:spacing w:val="-2"/>
                <w:sz w:val="22"/>
                <w:lang w:eastAsia="lv-LV"/>
              </w:rPr>
              <w:t>0</w:t>
            </w:r>
          </w:p>
        </w:tc>
      </w:tr>
      <w:tr w:rsidR="00F207FB" w:rsidRPr="002A4D6D" w14:paraId="2931E781" w14:textId="77777777" w:rsidTr="005E7435">
        <w:trPr>
          <w:trHeight w:val="5041"/>
        </w:trPr>
        <w:tc>
          <w:tcPr>
            <w:tcW w:w="632" w:type="pct"/>
            <w:gridSpan w:val="4"/>
            <w:hideMark/>
          </w:tcPr>
          <w:p w14:paraId="79547161" w14:textId="77777777" w:rsidR="00B34778" w:rsidRPr="002A4D6D" w:rsidRDefault="00B34778" w:rsidP="002A4D6D">
            <w:pPr>
              <w:rPr>
                <w:rFonts w:eastAsia="Times New Roman"/>
                <w:spacing w:val="-2"/>
                <w:sz w:val="22"/>
                <w:lang w:eastAsia="lv-LV"/>
              </w:rPr>
            </w:pPr>
            <w:r w:rsidRPr="002A4D6D">
              <w:rPr>
                <w:rFonts w:eastAsia="Times New Roman"/>
                <w:spacing w:val="-2"/>
                <w:sz w:val="22"/>
                <w:lang w:eastAsia="lv-LV"/>
              </w:rPr>
              <w:t>6. Detalizēts ieņēmumu un izdevumu aprēķins (ja nepieciešams, detalizētu ieņēmumu un izdevumu aprēķinu var pievienot anotācijas pielikumā)</w:t>
            </w:r>
          </w:p>
        </w:tc>
        <w:tc>
          <w:tcPr>
            <w:tcW w:w="4368" w:type="pct"/>
            <w:gridSpan w:val="12"/>
            <w:vMerge w:val="restart"/>
            <w:hideMark/>
          </w:tcPr>
          <w:p w14:paraId="533A367C" w14:textId="78CA3446" w:rsidR="00794B86" w:rsidRPr="002A4D6D" w:rsidRDefault="00726FB9" w:rsidP="002A4D6D">
            <w:pPr>
              <w:pStyle w:val="PlainText"/>
              <w:ind w:right="113"/>
              <w:jc w:val="both"/>
              <w:rPr>
                <w:rFonts w:ascii="Times New Roman" w:hAnsi="Times New Roman" w:cs="Times New Roman"/>
                <w:b/>
                <w:spacing w:val="-2"/>
                <w:sz w:val="26"/>
                <w:szCs w:val="26"/>
              </w:rPr>
            </w:pPr>
            <w:r w:rsidRPr="002A4D6D">
              <w:rPr>
                <w:rFonts w:ascii="Times New Roman" w:hAnsi="Times New Roman" w:cs="Times New Roman"/>
                <w:b/>
                <w:spacing w:val="-2"/>
                <w:sz w:val="26"/>
                <w:szCs w:val="26"/>
              </w:rPr>
              <w:t>I</w:t>
            </w:r>
            <w:r w:rsidR="00794B86" w:rsidRPr="002A4D6D">
              <w:rPr>
                <w:rFonts w:ascii="Times New Roman" w:hAnsi="Times New Roman" w:cs="Times New Roman"/>
                <w:b/>
                <w:spacing w:val="-2"/>
                <w:sz w:val="26"/>
                <w:szCs w:val="26"/>
              </w:rPr>
              <w:t>eņēmumi</w:t>
            </w:r>
          </w:p>
          <w:p w14:paraId="6F7F7D42" w14:textId="77777777" w:rsidR="00794B86" w:rsidRPr="002A4D6D" w:rsidRDefault="00794B86" w:rsidP="002A4D6D">
            <w:pPr>
              <w:pStyle w:val="PlainText"/>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Likumprojekta fiskālā ietekme uz PVN ieņēmumiem ar 2021.gadu noteikta </w:t>
            </w:r>
            <w:r w:rsidRPr="002A4D6D">
              <w:rPr>
                <w:rFonts w:ascii="Times New Roman" w:hAnsi="Times New Roman" w:cs="Times New Roman"/>
                <w:b/>
                <w:spacing w:val="-2"/>
                <w:sz w:val="26"/>
                <w:szCs w:val="26"/>
              </w:rPr>
              <w:t xml:space="preserve">+10,4 milj. </w:t>
            </w:r>
            <w:proofErr w:type="spellStart"/>
            <w:r w:rsidRPr="002A4D6D">
              <w:rPr>
                <w:rFonts w:ascii="Times New Roman" w:hAnsi="Times New Roman" w:cs="Times New Roman"/>
                <w:b/>
                <w:i/>
                <w:spacing w:val="-2"/>
                <w:sz w:val="26"/>
                <w:szCs w:val="26"/>
              </w:rPr>
              <w:t>euro</w:t>
            </w:r>
            <w:proofErr w:type="spellEnd"/>
            <w:r w:rsidRPr="002A4D6D">
              <w:rPr>
                <w:rFonts w:ascii="Times New Roman" w:hAnsi="Times New Roman" w:cs="Times New Roman"/>
                <w:b/>
                <w:spacing w:val="-2"/>
                <w:sz w:val="26"/>
                <w:szCs w:val="26"/>
              </w:rPr>
              <w:t xml:space="preserve"> apmērā ik gadu</w:t>
            </w:r>
            <w:r w:rsidRPr="002A4D6D">
              <w:rPr>
                <w:rFonts w:ascii="Times New Roman" w:hAnsi="Times New Roman" w:cs="Times New Roman"/>
                <w:spacing w:val="-2"/>
                <w:sz w:val="26"/>
                <w:szCs w:val="26"/>
              </w:rPr>
              <w:t>.</w:t>
            </w:r>
          </w:p>
          <w:p w14:paraId="3C46B4B9" w14:textId="71B609E9" w:rsidR="00794B86" w:rsidRPr="002A4D6D" w:rsidRDefault="00794B86" w:rsidP="002A4D6D">
            <w:pPr>
              <w:pStyle w:val="PlainText"/>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Aprēķinā izmantota </w:t>
            </w:r>
            <w:r w:rsidR="00726FB9" w:rsidRPr="002A4D6D">
              <w:rPr>
                <w:rFonts w:ascii="Times New Roman" w:hAnsi="Times New Roman" w:cs="Times New Roman"/>
                <w:spacing w:val="-2"/>
                <w:sz w:val="26"/>
                <w:szCs w:val="26"/>
              </w:rPr>
              <w:t>VAS “</w:t>
            </w:r>
            <w:r w:rsidRPr="002A4D6D">
              <w:rPr>
                <w:rFonts w:ascii="Times New Roman" w:hAnsi="Times New Roman" w:cs="Times New Roman"/>
                <w:spacing w:val="-2"/>
                <w:sz w:val="26"/>
                <w:szCs w:val="26"/>
              </w:rPr>
              <w:t>Latvijas Past</w:t>
            </w:r>
            <w:r w:rsidR="00726FB9" w:rsidRPr="002A4D6D">
              <w:rPr>
                <w:rFonts w:ascii="Times New Roman" w:hAnsi="Times New Roman" w:cs="Times New Roman"/>
                <w:spacing w:val="-2"/>
                <w:sz w:val="26"/>
                <w:szCs w:val="26"/>
              </w:rPr>
              <w:t>s”</w:t>
            </w:r>
            <w:r w:rsidRPr="002A4D6D">
              <w:rPr>
                <w:rFonts w:ascii="Times New Roman" w:hAnsi="Times New Roman" w:cs="Times New Roman"/>
                <w:spacing w:val="-2"/>
                <w:sz w:val="26"/>
                <w:szCs w:val="26"/>
              </w:rPr>
              <w:t xml:space="preserve"> un VID sniegtā informācija</w:t>
            </w:r>
            <w:r w:rsidR="00726FB9" w:rsidRPr="002A4D6D">
              <w:rPr>
                <w:rFonts w:ascii="Times New Roman" w:hAnsi="Times New Roman" w:cs="Times New Roman"/>
                <w:spacing w:val="-2"/>
                <w:sz w:val="26"/>
                <w:szCs w:val="26"/>
              </w:rPr>
              <w:t>, ka</w:t>
            </w:r>
            <w:r w:rsidRPr="002A4D6D">
              <w:rPr>
                <w:rFonts w:ascii="Times New Roman" w:hAnsi="Times New Roman" w:cs="Times New Roman"/>
                <w:spacing w:val="-2"/>
                <w:sz w:val="26"/>
                <w:szCs w:val="26"/>
              </w:rPr>
              <w:t xml:space="preserve"> 2021.gadā indikatīvi </w:t>
            </w:r>
            <w:r w:rsidR="00726FB9" w:rsidRPr="002A4D6D">
              <w:rPr>
                <w:rFonts w:ascii="Times New Roman" w:hAnsi="Times New Roman" w:cs="Times New Roman"/>
                <w:spacing w:val="-2"/>
                <w:sz w:val="26"/>
                <w:szCs w:val="26"/>
              </w:rPr>
              <w:t xml:space="preserve">tiek </w:t>
            </w:r>
            <w:r w:rsidRPr="002A4D6D">
              <w:rPr>
                <w:rFonts w:ascii="Times New Roman" w:hAnsi="Times New Roman" w:cs="Times New Roman"/>
                <w:spacing w:val="-2"/>
                <w:sz w:val="26"/>
                <w:szCs w:val="26"/>
              </w:rPr>
              <w:t>prognozēt</w:t>
            </w:r>
            <w:r w:rsidR="00726FB9" w:rsidRPr="002A4D6D">
              <w:rPr>
                <w:rFonts w:ascii="Times New Roman" w:hAnsi="Times New Roman" w:cs="Times New Roman"/>
                <w:spacing w:val="-2"/>
                <w:sz w:val="26"/>
                <w:szCs w:val="26"/>
              </w:rPr>
              <w:t>s, ka mazo sūtījumu, kam tiks piemērots ar likumprojektu noteikts regulējums, apjoms</w:t>
            </w:r>
            <w:r w:rsidRPr="002A4D6D">
              <w:rPr>
                <w:rFonts w:ascii="Times New Roman" w:hAnsi="Times New Roman" w:cs="Times New Roman"/>
                <w:spacing w:val="-2"/>
                <w:sz w:val="26"/>
                <w:szCs w:val="26"/>
              </w:rPr>
              <w:t xml:space="preserve"> </w:t>
            </w:r>
            <w:r w:rsidR="00726FB9" w:rsidRPr="002A4D6D">
              <w:rPr>
                <w:rFonts w:ascii="Times New Roman" w:hAnsi="Times New Roman" w:cs="Times New Roman"/>
                <w:spacing w:val="-2"/>
                <w:sz w:val="26"/>
                <w:szCs w:val="26"/>
              </w:rPr>
              <w:t xml:space="preserve">varētu būt </w:t>
            </w:r>
            <w:r w:rsidRPr="002A4D6D">
              <w:rPr>
                <w:rFonts w:ascii="Times New Roman" w:hAnsi="Times New Roman" w:cs="Times New Roman"/>
                <w:spacing w:val="-2"/>
                <w:sz w:val="26"/>
                <w:szCs w:val="26"/>
              </w:rPr>
              <w:t>14</w:t>
            </w:r>
            <w:r w:rsidR="005870B2" w:rsidRPr="002A4D6D">
              <w:rPr>
                <w:rFonts w:ascii="Times New Roman" w:hAnsi="Times New Roman" w:cs="Times New Roman"/>
                <w:spacing w:val="-2"/>
                <w:sz w:val="26"/>
                <w:szCs w:val="26"/>
              </w:rPr>
              <w:t> </w:t>
            </w:r>
            <w:r w:rsidRPr="002A4D6D">
              <w:rPr>
                <w:rFonts w:ascii="Times New Roman" w:hAnsi="Times New Roman" w:cs="Times New Roman"/>
                <w:spacing w:val="-2"/>
                <w:sz w:val="26"/>
                <w:szCs w:val="26"/>
              </w:rPr>
              <w:t xml:space="preserve">miljoni Šādu </w:t>
            </w:r>
            <w:r w:rsidR="00726FB9" w:rsidRPr="002A4D6D">
              <w:rPr>
                <w:rFonts w:ascii="Times New Roman" w:hAnsi="Times New Roman" w:cs="Times New Roman"/>
                <w:spacing w:val="-2"/>
                <w:sz w:val="26"/>
                <w:szCs w:val="26"/>
              </w:rPr>
              <w:t xml:space="preserve">mazo </w:t>
            </w:r>
            <w:r w:rsidRPr="002A4D6D">
              <w:rPr>
                <w:rFonts w:ascii="Times New Roman" w:hAnsi="Times New Roman" w:cs="Times New Roman"/>
                <w:spacing w:val="-2"/>
                <w:sz w:val="26"/>
                <w:szCs w:val="26"/>
              </w:rPr>
              <w:t>sūtījumu vidējā vērtība ir 11,5 </w:t>
            </w:r>
            <w:proofErr w:type="spellStart"/>
            <w:r w:rsidRPr="002A4D6D">
              <w:rPr>
                <w:rFonts w:ascii="Times New Roman" w:hAnsi="Times New Roman" w:cs="Times New Roman"/>
                <w:i/>
                <w:spacing w:val="-2"/>
                <w:sz w:val="26"/>
                <w:szCs w:val="26"/>
              </w:rPr>
              <w:t>euro</w:t>
            </w:r>
            <w:proofErr w:type="spellEnd"/>
            <w:r w:rsidRPr="002A4D6D">
              <w:rPr>
                <w:rFonts w:ascii="Times New Roman" w:hAnsi="Times New Roman" w:cs="Times New Roman"/>
                <w:spacing w:val="-2"/>
                <w:sz w:val="26"/>
                <w:szCs w:val="26"/>
              </w:rPr>
              <w:t xml:space="preserve"> un fiskālās ietekmes aprēķinā piemērota PVN standartlikme 21% apmērā.</w:t>
            </w:r>
          </w:p>
          <w:p w14:paraId="7F8FFC70" w14:textId="77777777" w:rsidR="00794B86" w:rsidRPr="002A4D6D" w:rsidRDefault="00794B86" w:rsidP="002A4D6D">
            <w:pPr>
              <w:pStyle w:val="PlainText"/>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Iegūtā ietekme ir koriģēta ar šādiem pieņēmumiem:</w:t>
            </w:r>
          </w:p>
          <w:p w14:paraId="51D44FB8" w14:textId="666E37E1" w:rsidR="00794B86" w:rsidRPr="002A4D6D" w:rsidRDefault="00794B86" w:rsidP="002A4D6D">
            <w:pPr>
              <w:pStyle w:val="PlainText"/>
              <w:numPr>
                <w:ilvl w:val="0"/>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50% pieprasījuma kritumu pēc mazajiem sūtījumiem</w:t>
            </w:r>
            <w:r w:rsidR="00726FB9" w:rsidRPr="002A4D6D">
              <w:rPr>
                <w:rFonts w:ascii="Times New Roman" w:hAnsi="Times New Roman" w:cs="Times New Roman"/>
                <w:spacing w:val="-2"/>
                <w:sz w:val="26"/>
                <w:szCs w:val="26"/>
              </w:rPr>
              <w:t>, jo</w:t>
            </w:r>
            <w:r w:rsidRPr="002A4D6D">
              <w:rPr>
                <w:rFonts w:ascii="Times New Roman" w:hAnsi="Times New Roman" w:cs="Times New Roman"/>
                <w:spacing w:val="-2"/>
                <w:sz w:val="26"/>
                <w:szCs w:val="26"/>
              </w:rPr>
              <w:t xml:space="preserve"> PVN</w:t>
            </w:r>
            <w:r w:rsidR="00726FB9" w:rsidRPr="002A4D6D">
              <w:rPr>
                <w:rFonts w:ascii="Times New Roman" w:hAnsi="Times New Roman" w:cs="Times New Roman"/>
                <w:spacing w:val="-2"/>
                <w:sz w:val="26"/>
                <w:szCs w:val="26"/>
              </w:rPr>
              <w:t xml:space="preserve"> būs jāaprēķina ikvienam mazam sūtījumam (jo vairs nepastāvēs 22 </w:t>
            </w:r>
            <w:proofErr w:type="spellStart"/>
            <w:r w:rsidR="00726FB9" w:rsidRPr="002A4D6D">
              <w:rPr>
                <w:rFonts w:ascii="Times New Roman" w:hAnsi="Times New Roman" w:cs="Times New Roman"/>
                <w:i/>
                <w:spacing w:val="-2"/>
                <w:sz w:val="26"/>
                <w:szCs w:val="26"/>
              </w:rPr>
              <w:t>euro</w:t>
            </w:r>
            <w:proofErr w:type="spellEnd"/>
            <w:r w:rsidR="00726FB9" w:rsidRPr="002A4D6D">
              <w:rPr>
                <w:rFonts w:ascii="Times New Roman" w:hAnsi="Times New Roman" w:cs="Times New Roman"/>
                <w:spacing w:val="-2"/>
                <w:sz w:val="26"/>
                <w:szCs w:val="26"/>
              </w:rPr>
              <w:t xml:space="preserve"> slieksnis)</w:t>
            </w:r>
            <w:r w:rsidRPr="002A4D6D">
              <w:rPr>
                <w:rFonts w:ascii="Times New Roman" w:hAnsi="Times New Roman" w:cs="Times New Roman"/>
                <w:spacing w:val="-2"/>
                <w:sz w:val="26"/>
                <w:szCs w:val="26"/>
              </w:rPr>
              <w:t xml:space="preserve">, tādā veidā paaugstinot preču saņēmēja izmaksas, </w:t>
            </w:r>
          </w:p>
          <w:p w14:paraId="59032992" w14:textId="3EB05D00" w:rsidR="00794B86" w:rsidRPr="002A4D6D" w:rsidRDefault="00794B86" w:rsidP="002A4D6D">
            <w:pPr>
              <w:pStyle w:val="PlainText"/>
              <w:numPr>
                <w:ilvl w:val="0"/>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Covid-19 ietekmē prognozēt</w:t>
            </w:r>
            <w:r w:rsidR="00726FB9" w:rsidRPr="002A4D6D">
              <w:rPr>
                <w:rFonts w:ascii="Times New Roman" w:hAnsi="Times New Roman" w:cs="Times New Roman"/>
                <w:spacing w:val="-2"/>
                <w:sz w:val="26"/>
                <w:szCs w:val="26"/>
              </w:rPr>
              <w:t>s, ka būs</w:t>
            </w:r>
            <w:r w:rsidRPr="002A4D6D">
              <w:rPr>
                <w:rFonts w:ascii="Times New Roman" w:hAnsi="Times New Roman" w:cs="Times New Roman"/>
                <w:spacing w:val="-2"/>
                <w:sz w:val="26"/>
                <w:szCs w:val="26"/>
              </w:rPr>
              <w:t xml:space="preserve"> importa kritum</w:t>
            </w:r>
            <w:r w:rsidR="00785B02" w:rsidRPr="002A4D6D">
              <w:rPr>
                <w:rFonts w:ascii="Times New Roman" w:hAnsi="Times New Roman" w:cs="Times New Roman"/>
                <w:spacing w:val="-2"/>
                <w:sz w:val="26"/>
                <w:szCs w:val="26"/>
              </w:rPr>
              <w:t>s</w:t>
            </w:r>
            <w:r w:rsidRPr="002A4D6D">
              <w:rPr>
                <w:rFonts w:ascii="Times New Roman" w:hAnsi="Times New Roman" w:cs="Times New Roman"/>
                <w:spacing w:val="-2"/>
                <w:sz w:val="26"/>
                <w:szCs w:val="26"/>
              </w:rPr>
              <w:t xml:space="preserve"> 2021.gadā par 19,3% pret iepriekš </w:t>
            </w:r>
            <w:r w:rsidR="00785B02" w:rsidRPr="002A4D6D">
              <w:rPr>
                <w:rFonts w:ascii="Times New Roman" w:hAnsi="Times New Roman" w:cs="Times New Roman"/>
                <w:spacing w:val="-2"/>
                <w:sz w:val="26"/>
                <w:szCs w:val="26"/>
              </w:rPr>
              <w:t xml:space="preserve">veikto </w:t>
            </w:r>
            <w:r w:rsidRPr="002A4D6D">
              <w:rPr>
                <w:rFonts w:ascii="Times New Roman" w:hAnsi="Times New Roman" w:cs="Times New Roman"/>
                <w:spacing w:val="-2"/>
                <w:sz w:val="26"/>
                <w:szCs w:val="26"/>
              </w:rPr>
              <w:t xml:space="preserve">2021.gada </w:t>
            </w:r>
            <w:r w:rsidR="00785B02" w:rsidRPr="002A4D6D">
              <w:rPr>
                <w:rFonts w:ascii="Times New Roman" w:hAnsi="Times New Roman" w:cs="Times New Roman"/>
                <w:spacing w:val="-2"/>
                <w:sz w:val="26"/>
                <w:szCs w:val="26"/>
              </w:rPr>
              <w:t>prognozi</w:t>
            </w:r>
            <w:r w:rsidRPr="002A4D6D">
              <w:rPr>
                <w:rFonts w:ascii="Times New Roman" w:hAnsi="Times New Roman" w:cs="Times New Roman"/>
                <w:spacing w:val="-2"/>
                <w:sz w:val="26"/>
                <w:szCs w:val="26"/>
              </w:rPr>
              <w:t xml:space="preserve">. (Informatīvi: IKP 2021.gada prognoze, kas iekļauj Covid-19 ietekmi ir par 5,0 miljardiem </w:t>
            </w:r>
            <w:proofErr w:type="spellStart"/>
            <w:r w:rsidRPr="002A4D6D">
              <w:rPr>
                <w:rFonts w:ascii="Times New Roman" w:hAnsi="Times New Roman" w:cs="Times New Roman"/>
                <w:i/>
                <w:spacing w:val="-2"/>
                <w:sz w:val="26"/>
                <w:szCs w:val="26"/>
              </w:rPr>
              <w:t>euro</w:t>
            </w:r>
            <w:proofErr w:type="spellEnd"/>
            <w:r w:rsidRPr="002A4D6D">
              <w:rPr>
                <w:rFonts w:ascii="Times New Roman" w:hAnsi="Times New Roman" w:cs="Times New Roman"/>
                <w:spacing w:val="-2"/>
                <w:sz w:val="26"/>
                <w:szCs w:val="26"/>
              </w:rPr>
              <w:t xml:space="preserve"> jeb 14,7% zemāka nekā pirms Covid-19 krīzes prognozēts).</w:t>
            </w:r>
          </w:p>
          <w:p w14:paraId="2DC36117" w14:textId="77777777" w:rsidR="005870B2" w:rsidRPr="002A4D6D" w:rsidRDefault="005870B2" w:rsidP="002A4D6D">
            <w:pPr>
              <w:pStyle w:val="PlainText"/>
              <w:ind w:left="57" w:right="113"/>
              <w:jc w:val="both"/>
              <w:rPr>
                <w:rFonts w:ascii="Times New Roman" w:hAnsi="Times New Roman" w:cs="Times New Roman"/>
                <w:b/>
                <w:spacing w:val="-2"/>
                <w:sz w:val="26"/>
                <w:szCs w:val="26"/>
              </w:rPr>
            </w:pPr>
          </w:p>
          <w:p w14:paraId="728C39D7" w14:textId="7928D013" w:rsidR="00794B86" w:rsidRPr="002A4D6D" w:rsidRDefault="00726FB9" w:rsidP="002A4D6D">
            <w:pPr>
              <w:pStyle w:val="PlainText"/>
              <w:ind w:left="57" w:right="113"/>
              <w:jc w:val="both"/>
              <w:rPr>
                <w:rFonts w:ascii="Times New Roman" w:hAnsi="Times New Roman" w:cs="Times New Roman"/>
                <w:b/>
                <w:spacing w:val="-2"/>
                <w:sz w:val="26"/>
                <w:szCs w:val="26"/>
              </w:rPr>
            </w:pPr>
            <w:r w:rsidRPr="002A4D6D">
              <w:rPr>
                <w:rFonts w:ascii="Times New Roman" w:hAnsi="Times New Roman" w:cs="Times New Roman"/>
                <w:b/>
                <w:spacing w:val="-2"/>
                <w:sz w:val="26"/>
                <w:szCs w:val="26"/>
              </w:rPr>
              <w:t>I</w:t>
            </w:r>
            <w:r w:rsidR="00794B86" w:rsidRPr="002A4D6D">
              <w:rPr>
                <w:rFonts w:ascii="Times New Roman" w:hAnsi="Times New Roman" w:cs="Times New Roman"/>
                <w:b/>
                <w:spacing w:val="-2"/>
                <w:sz w:val="26"/>
                <w:szCs w:val="26"/>
              </w:rPr>
              <w:t>zdevumi</w:t>
            </w:r>
          </w:p>
          <w:p w14:paraId="02890EF6" w14:textId="63A0ED3B" w:rsidR="00C3642F" w:rsidRPr="002A4D6D" w:rsidRDefault="00C3642F" w:rsidP="002A4D6D">
            <w:pPr>
              <w:pStyle w:val="PlainText"/>
              <w:numPr>
                <w:ilvl w:val="0"/>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2021.gadā </w:t>
            </w:r>
            <w:r w:rsidR="00E00E5A" w:rsidRPr="002A4D6D">
              <w:rPr>
                <w:rFonts w:ascii="Times New Roman" w:hAnsi="Times New Roman" w:cs="Times New Roman"/>
                <w:spacing w:val="-2"/>
                <w:sz w:val="26"/>
                <w:szCs w:val="26"/>
              </w:rPr>
              <w:t>izmaiņu veikšanai VID informācijas sistēmās</w:t>
            </w:r>
            <w:r w:rsidRPr="002A4D6D">
              <w:rPr>
                <w:rFonts w:ascii="Times New Roman" w:hAnsi="Times New Roman" w:cs="Times New Roman"/>
                <w:bCs/>
                <w:spacing w:val="-2"/>
                <w:sz w:val="26"/>
                <w:szCs w:val="26"/>
              </w:rPr>
              <w:t xml:space="preserve"> papildu nepieciešams</w:t>
            </w:r>
            <w:r w:rsidRPr="002A4D6D">
              <w:rPr>
                <w:rFonts w:ascii="Times New Roman" w:hAnsi="Times New Roman" w:cs="Times New Roman"/>
                <w:spacing w:val="-2"/>
                <w:sz w:val="26"/>
                <w:szCs w:val="26"/>
              </w:rPr>
              <w:t xml:space="preserve"> finansējums </w:t>
            </w:r>
            <w:r w:rsidRPr="002A4D6D">
              <w:rPr>
                <w:rFonts w:ascii="Times New Roman" w:hAnsi="Times New Roman" w:cs="Times New Roman"/>
                <w:bCs/>
                <w:spacing w:val="-2"/>
                <w:sz w:val="26"/>
                <w:szCs w:val="26"/>
              </w:rPr>
              <w:t>1 847 </w:t>
            </w:r>
            <w:r w:rsidR="00C828CA" w:rsidRPr="002A4D6D">
              <w:rPr>
                <w:rFonts w:ascii="Times New Roman" w:hAnsi="Times New Roman" w:cs="Times New Roman"/>
                <w:bCs/>
                <w:spacing w:val="-2"/>
                <w:sz w:val="26"/>
                <w:szCs w:val="26"/>
              </w:rPr>
              <w:t>6</w:t>
            </w:r>
            <w:r w:rsidR="00282FD7" w:rsidRPr="002A4D6D">
              <w:rPr>
                <w:rFonts w:ascii="Times New Roman" w:hAnsi="Times New Roman" w:cs="Times New Roman"/>
                <w:bCs/>
                <w:spacing w:val="-2"/>
                <w:sz w:val="26"/>
                <w:szCs w:val="26"/>
              </w:rPr>
              <w:t>47</w:t>
            </w:r>
            <w:r w:rsidR="00C828CA" w:rsidRPr="002A4D6D">
              <w:rPr>
                <w:rFonts w:ascii="Times New Roman" w:hAnsi="Times New Roman" w:cs="Times New Roman"/>
                <w:bCs/>
                <w:spacing w:val="-2"/>
                <w:sz w:val="26"/>
                <w:szCs w:val="26"/>
              </w:rPr>
              <w:t xml:space="preserve"> </w:t>
            </w:r>
            <w:proofErr w:type="spellStart"/>
            <w:r w:rsidRPr="002A4D6D">
              <w:rPr>
                <w:rFonts w:ascii="Times New Roman" w:hAnsi="Times New Roman" w:cs="Times New Roman"/>
                <w:bCs/>
                <w:i/>
                <w:spacing w:val="-2"/>
                <w:sz w:val="26"/>
                <w:szCs w:val="26"/>
              </w:rPr>
              <w:t>euro</w:t>
            </w:r>
            <w:proofErr w:type="spellEnd"/>
            <w:r w:rsidRPr="002A4D6D">
              <w:rPr>
                <w:rFonts w:ascii="Times New Roman" w:hAnsi="Times New Roman" w:cs="Times New Roman"/>
                <w:bCs/>
                <w:spacing w:val="-2"/>
                <w:sz w:val="26"/>
                <w:szCs w:val="26"/>
              </w:rPr>
              <w:t xml:space="preserve"> apmērā</w:t>
            </w:r>
            <w:r w:rsidRPr="002A4D6D">
              <w:rPr>
                <w:rFonts w:ascii="Times New Roman" w:hAnsi="Times New Roman" w:cs="Times New Roman"/>
                <w:spacing w:val="-2"/>
                <w:sz w:val="26"/>
                <w:szCs w:val="26"/>
              </w:rPr>
              <w:t>, t.sk.:</w:t>
            </w:r>
          </w:p>
          <w:p w14:paraId="5F0F923C" w14:textId="3D5DBFB9" w:rsidR="00C3642F" w:rsidRPr="002A4D6D" w:rsidRDefault="00C3642F" w:rsidP="002A4D6D">
            <w:pPr>
              <w:pStyle w:val="PlainText"/>
              <w:numPr>
                <w:ilvl w:val="1"/>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Centrālās muitas informācijas sistēmā (CMIS) – </w:t>
            </w:r>
            <w:r w:rsidR="00C43B49" w:rsidRPr="002A4D6D">
              <w:rPr>
                <w:rFonts w:ascii="Times New Roman" w:hAnsi="Times New Roman" w:cs="Times New Roman"/>
                <w:spacing w:val="-2"/>
                <w:sz w:val="26"/>
                <w:szCs w:val="26"/>
              </w:rPr>
              <w:t xml:space="preserve">134,3 c/d x 423,50 </w:t>
            </w:r>
            <w:proofErr w:type="spellStart"/>
            <w:r w:rsidR="00C43B49" w:rsidRPr="002A4D6D">
              <w:rPr>
                <w:rFonts w:ascii="Times New Roman" w:hAnsi="Times New Roman" w:cs="Times New Roman"/>
                <w:i/>
                <w:iCs/>
                <w:spacing w:val="-2"/>
                <w:sz w:val="26"/>
                <w:szCs w:val="26"/>
              </w:rPr>
              <w:t>euro</w:t>
            </w:r>
            <w:proofErr w:type="spellEnd"/>
            <w:r w:rsidR="00C43B49" w:rsidRPr="002A4D6D">
              <w:rPr>
                <w:rFonts w:ascii="Times New Roman" w:hAnsi="Times New Roman" w:cs="Times New Roman"/>
                <w:i/>
                <w:iCs/>
                <w:spacing w:val="-2"/>
                <w:sz w:val="26"/>
                <w:szCs w:val="26"/>
              </w:rPr>
              <w:t xml:space="preserve"> = </w:t>
            </w:r>
            <w:r w:rsidR="00C43B49" w:rsidRPr="002A4D6D">
              <w:rPr>
                <w:rFonts w:ascii="Times New Roman" w:hAnsi="Times New Roman" w:cs="Times New Roman"/>
                <w:spacing w:val="-2"/>
                <w:sz w:val="26"/>
                <w:szCs w:val="26"/>
              </w:rPr>
              <w:t xml:space="preserve">56 876 </w:t>
            </w:r>
            <w:proofErr w:type="spellStart"/>
            <w:r w:rsidR="00C43B49" w:rsidRPr="002A4D6D">
              <w:rPr>
                <w:rFonts w:ascii="Times New Roman" w:hAnsi="Times New Roman" w:cs="Times New Roman"/>
                <w:i/>
                <w:iCs/>
                <w:spacing w:val="-2"/>
                <w:sz w:val="26"/>
                <w:szCs w:val="26"/>
              </w:rPr>
              <w:t>euro</w:t>
            </w:r>
            <w:proofErr w:type="spellEnd"/>
            <w:r w:rsidRPr="002A4D6D">
              <w:rPr>
                <w:rFonts w:ascii="Times New Roman" w:hAnsi="Times New Roman" w:cs="Times New Roman"/>
                <w:spacing w:val="-2"/>
                <w:sz w:val="26"/>
                <w:szCs w:val="26"/>
              </w:rPr>
              <w:t>;</w:t>
            </w:r>
          </w:p>
          <w:p w14:paraId="736A01B4" w14:textId="7865B510" w:rsidR="00C3642F" w:rsidRPr="002A4D6D" w:rsidRDefault="00C3642F" w:rsidP="002A4D6D">
            <w:pPr>
              <w:pStyle w:val="PlainText"/>
              <w:numPr>
                <w:ilvl w:val="1"/>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Datu noliktavas sistēmā (DNS) – </w:t>
            </w:r>
            <w:r w:rsidR="00C43B49" w:rsidRPr="002A4D6D">
              <w:rPr>
                <w:rFonts w:ascii="Times New Roman" w:hAnsi="Times New Roman" w:cs="Times New Roman"/>
                <w:spacing w:val="-2"/>
                <w:sz w:val="26"/>
                <w:szCs w:val="26"/>
              </w:rPr>
              <w:t>1 080,64</w:t>
            </w:r>
            <w:r w:rsidR="000E3760" w:rsidRPr="002A4D6D">
              <w:rPr>
                <w:rFonts w:ascii="Times New Roman" w:hAnsi="Times New Roman" w:cs="Times New Roman"/>
                <w:spacing w:val="-2"/>
                <w:sz w:val="26"/>
                <w:szCs w:val="26"/>
              </w:rPr>
              <w:t>4</w:t>
            </w:r>
            <w:r w:rsidR="00C43B49" w:rsidRPr="002A4D6D">
              <w:rPr>
                <w:rFonts w:ascii="Times New Roman" w:hAnsi="Times New Roman" w:cs="Times New Roman"/>
                <w:spacing w:val="-2"/>
                <w:sz w:val="26"/>
                <w:szCs w:val="26"/>
              </w:rPr>
              <w:t xml:space="preserve"> c/d x 505,78 </w:t>
            </w:r>
            <w:proofErr w:type="spellStart"/>
            <w:r w:rsidR="00C43B49" w:rsidRPr="002A4D6D">
              <w:rPr>
                <w:rFonts w:ascii="Times New Roman" w:hAnsi="Times New Roman" w:cs="Times New Roman"/>
                <w:i/>
                <w:iCs/>
                <w:spacing w:val="-2"/>
                <w:sz w:val="26"/>
                <w:szCs w:val="26"/>
              </w:rPr>
              <w:t>euro</w:t>
            </w:r>
            <w:proofErr w:type="spellEnd"/>
            <w:r w:rsidR="00C43B49" w:rsidRPr="002A4D6D">
              <w:rPr>
                <w:rFonts w:ascii="Times New Roman" w:hAnsi="Times New Roman" w:cs="Times New Roman"/>
                <w:spacing w:val="-2"/>
                <w:sz w:val="26"/>
                <w:szCs w:val="26"/>
              </w:rPr>
              <w:t xml:space="preserve"> = </w:t>
            </w:r>
            <w:r w:rsidR="00C828CA" w:rsidRPr="002A4D6D">
              <w:rPr>
                <w:rFonts w:ascii="Times New Roman" w:hAnsi="Times New Roman" w:cs="Times New Roman"/>
                <w:spacing w:val="-2"/>
                <w:sz w:val="26"/>
                <w:szCs w:val="26"/>
              </w:rPr>
              <w:t>546 </w:t>
            </w:r>
            <w:r w:rsidR="000E3760" w:rsidRPr="002A4D6D">
              <w:rPr>
                <w:rFonts w:ascii="Times New Roman" w:hAnsi="Times New Roman" w:cs="Times New Roman"/>
                <w:spacing w:val="-2"/>
                <w:sz w:val="26"/>
                <w:szCs w:val="26"/>
              </w:rPr>
              <w:t xml:space="preserve">568 </w:t>
            </w:r>
            <w:proofErr w:type="spellStart"/>
            <w:r w:rsidRPr="002A4D6D">
              <w:rPr>
                <w:rFonts w:ascii="Times New Roman" w:hAnsi="Times New Roman" w:cs="Times New Roman"/>
                <w:i/>
                <w:spacing w:val="-2"/>
                <w:sz w:val="26"/>
                <w:szCs w:val="26"/>
              </w:rPr>
              <w:t>euro</w:t>
            </w:r>
            <w:proofErr w:type="spellEnd"/>
            <w:r w:rsidRPr="002A4D6D">
              <w:rPr>
                <w:rFonts w:ascii="Times New Roman" w:hAnsi="Times New Roman" w:cs="Times New Roman"/>
                <w:spacing w:val="-2"/>
                <w:sz w:val="26"/>
                <w:szCs w:val="26"/>
              </w:rPr>
              <w:t>;</w:t>
            </w:r>
          </w:p>
          <w:p w14:paraId="44D05B8A" w14:textId="7C331CF8" w:rsidR="00C3642F" w:rsidRPr="002A4D6D" w:rsidRDefault="00C3642F" w:rsidP="002A4D6D">
            <w:pPr>
              <w:pStyle w:val="PlainText"/>
              <w:numPr>
                <w:ilvl w:val="1"/>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Elektroniskās muitas datu apstrādes sistēmā (EMDAS) – </w:t>
            </w:r>
            <w:r w:rsidR="00C43B49" w:rsidRPr="002A4D6D">
              <w:rPr>
                <w:rFonts w:ascii="Times New Roman" w:hAnsi="Times New Roman" w:cs="Times New Roman"/>
                <w:spacing w:val="-2"/>
                <w:sz w:val="26"/>
                <w:szCs w:val="26"/>
              </w:rPr>
              <w:t xml:space="preserve">2 318,20 c/d x 387,20 </w:t>
            </w:r>
            <w:proofErr w:type="spellStart"/>
            <w:r w:rsidR="00C43B49" w:rsidRPr="002A4D6D">
              <w:rPr>
                <w:rFonts w:ascii="Times New Roman" w:hAnsi="Times New Roman" w:cs="Times New Roman"/>
                <w:i/>
                <w:iCs/>
                <w:spacing w:val="-2"/>
                <w:sz w:val="26"/>
                <w:szCs w:val="26"/>
              </w:rPr>
              <w:t>euro</w:t>
            </w:r>
            <w:proofErr w:type="spellEnd"/>
            <w:r w:rsidR="00C43B49" w:rsidRPr="002A4D6D">
              <w:rPr>
                <w:rFonts w:ascii="Times New Roman" w:hAnsi="Times New Roman" w:cs="Times New Roman"/>
                <w:spacing w:val="-2"/>
                <w:sz w:val="26"/>
                <w:szCs w:val="26"/>
              </w:rPr>
              <w:t xml:space="preserve"> = </w:t>
            </w:r>
            <w:r w:rsidR="00C828CA" w:rsidRPr="002A4D6D">
              <w:rPr>
                <w:rFonts w:ascii="Times New Roman" w:hAnsi="Times New Roman" w:cs="Times New Roman"/>
                <w:spacing w:val="-2"/>
                <w:sz w:val="26"/>
                <w:szCs w:val="26"/>
              </w:rPr>
              <w:t>897 607</w:t>
            </w:r>
            <w:r w:rsidRPr="002A4D6D">
              <w:rPr>
                <w:rFonts w:ascii="Times New Roman" w:hAnsi="Times New Roman" w:cs="Times New Roman"/>
                <w:spacing w:val="-2"/>
                <w:sz w:val="26"/>
                <w:szCs w:val="26"/>
              </w:rPr>
              <w:t xml:space="preserve"> </w:t>
            </w:r>
            <w:proofErr w:type="spellStart"/>
            <w:r w:rsidRPr="002A4D6D">
              <w:rPr>
                <w:rFonts w:ascii="Times New Roman" w:hAnsi="Times New Roman" w:cs="Times New Roman"/>
                <w:i/>
                <w:spacing w:val="-2"/>
                <w:sz w:val="26"/>
                <w:szCs w:val="26"/>
              </w:rPr>
              <w:t>euro</w:t>
            </w:r>
            <w:proofErr w:type="spellEnd"/>
            <w:r w:rsidRPr="002A4D6D">
              <w:rPr>
                <w:rFonts w:ascii="Times New Roman" w:hAnsi="Times New Roman" w:cs="Times New Roman"/>
                <w:spacing w:val="-2"/>
                <w:sz w:val="26"/>
                <w:szCs w:val="26"/>
              </w:rPr>
              <w:t xml:space="preserve">; </w:t>
            </w:r>
          </w:p>
          <w:p w14:paraId="08548E6F" w14:textId="425272D3" w:rsidR="00C3642F" w:rsidRPr="002A4D6D" w:rsidRDefault="00C3642F" w:rsidP="002A4D6D">
            <w:pPr>
              <w:pStyle w:val="PlainText"/>
              <w:numPr>
                <w:ilvl w:val="1"/>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Integrētās riska informācijas sistēmā (IRIS) – </w:t>
            </w:r>
            <w:r w:rsidR="00C43B49" w:rsidRPr="002A4D6D">
              <w:rPr>
                <w:rFonts w:ascii="Times New Roman" w:hAnsi="Times New Roman" w:cs="Times New Roman"/>
                <w:spacing w:val="-2"/>
                <w:sz w:val="26"/>
                <w:szCs w:val="26"/>
              </w:rPr>
              <w:t xml:space="preserve">190 c/d x 417,45 </w:t>
            </w:r>
            <w:proofErr w:type="spellStart"/>
            <w:r w:rsidR="00C43B49" w:rsidRPr="002A4D6D">
              <w:rPr>
                <w:rFonts w:ascii="Times New Roman" w:hAnsi="Times New Roman" w:cs="Times New Roman"/>
                <w:i/>
                <w:iCs/>
                <w:spacing w:val="-2"/>
                <w:sz w:val="26"/>
                <w:szCs w:val="26"/>
              </w:rPr>
              <w:t>euro</w:t>
            </w:r>
            <w:proofErr w:type="spellEnd"/>
            <w:r w:rsidR="00C43B49" w:rsidRPr="002A4D6D">
              <w:rPr>
                <w:rFonts w:ascii="Times New Roman" w:hAnsi="Times New Roman" w:cs="Times New Roman"/>
                <w:spacing w:val="-2"/>
                <w:sz w:val="26"/>
                <w:szCs w:val="26"/>
              </w:rPr>
              <w:t xml:space="preserve"> = </w:t>
            </w:r>
            <w:r w:rsidRPr="002A4D6D">
              <w:rPr>
                <w:rFonts w:ascii="Times New Roman" w:hAnsi="Times New Roman" w:cs="Times New Roman"/>
                <w:spacing w:val="-2"/>
                <w:sz w:val="26"/>
                <w:szCs w:val="26"/>
              </w:rPr>
              <w:t xml:space="preserve">79 316 </w:t>
            </w:r>
            <w:proofErr w:type="spellStart"/>
            <w:r w:rsidRPr="002A4D6D">
              <w:rPr>
                <w:rFonts w:ascii="Times New Roman" w:hAnsi="Times New Roman" w:cs="Times New Roman"/>
                <w:i/>
                <w:spacing w:val="-2"/>
                <w:sz w:val="26"/>
                <w:szCs w:val="26"/>
              </w:rPr>
              <w:t>euro</w:t>
            </w:r>
            <w:proofErr w:type="spellEnd"/>
            <w:r w:rsidRPr="002A4D6D">
              <w:rPr>
                <w:rFonts w:ascii="Times New Roman" w:hAnsi="Times New Roman" w:cs="Times New Roman"/>
                <w:spacing w:val="-2"/>
                <w:sz w:val="26"/>
                <w:szCs w:val="26"/>
              </w:rPr>
              <w:t>;</w:t>
            </w:r>
          </w:p>
          <w:p w14:paraId="2EE8EEE0" w14:textId="0C21D122" w:rsidR="00C3642F" w:rsidRPr="002A4D6D" w:rsidRDefault="00C3642F" w:rsidP="002A4D6D">
            <w:pPr>
              <w:pStyle w:val="PlainText"/>
              <w:numPr>
                <w:ilvl w:val="1"/>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Integrētā tarifa vadības sistēmā (ITVS) – </w:t>
            </w:r>
            <w:r w:rsidR="00C43B49" w:rsidRPr="002A4D6D">
              <w:rPr>
                <w:rFonts w:ascii="Times New Roman" w:hAnsi="Times New Roman" w:cs="Times New Roman"/>
                <w:spacing w:val="-2"/>
                <w:sz w:val="26"/>
                <w:szCs w:val="26"/>
              </w:rPr>
              <w:t xml:space="preserve">51 c/d x 318,63 </w:t>
            </w:r>
            <w:proofErr w:type="spellStart"/>
            <w:r w:rsidR="00C43B49" w:rsidRPr="002A4D6D">
              <w:rPr>
                <w:rFonts w:ascii="Times New Roman" w:hAnsi="Times New Roman" w:cs="Times New Roman"/>
                <w:i/>
                <w:iCs/>
                <w:spacing w:val="-2"/>
                <w:sz w:val="26"/>
                <w:szCs w:val="26"/>
              </w:rPr>
              <w:t>euro</w:t>
            </w:r>
            <w:proofErr w:type="spellEnd"/>
            <w:r w:rsidR="00C43B49" w:rsidRPr="002A4D6D">
              <w:rPr>
                <w:rFonts w:ascii="Times New Roman" w:hAnsi="Times New Roman" w:cs="Times New Roman"/>
                <w:spacing w:val="-2"/>
                <w:sz w:val="26"/>
                <w:szCs w:val="26"/>
              </w:rPr>
              <w:t xml:space="preserve"> = </w:t>
            </w:r>
            <w:r w:rsidR="00C828CA" w:rsidRPr="002A4D6D">
              <w:rPr>
                <w:rFonts w:ascii="Times New Roman" w:hAnsi="Times New Roman" w:cs="Times New Roman"/>
                <w:spacing w:val="-2"/>
                <w:sz w:val="26"/>
                <w:szCs w:val="26"/>
              </w:rPr>
              <w:t>16 250</w:t>
            </w:r>
            <w:r w:rsidRPr="002A4D6D">
              <w:rPr>
                <w:rFonts w:ascii="Times New Roman" w:hAnsi="Times New Roman" w:cs="Times New Roman"/>
                <w:spacing w:val="-2"/>
                <w:sz w:val="26"/>
                <w:szCs w:val="26"/>
              </w:rPr>
              <w:t xml:space="preserve"> </w:t>
            </w:r>
            <w:proofErr w:type="spellStart"/>
            <w:r w:rsidRPr="002A4D6D">
              <w:rPr>
                <w:rFonts w:ascii="Times New Roman" w:hAnsi="Times New Roman" w:cs="Times New Roman"/>
                <w:i/>
                <w:spacing w:val="-2"/>
                <w:sz w:val="26"/>
                <w:szCs w:val="26"/>
              </w:rPr>
              <w:t>euro</w:t>
            </w:r>
            <w:proofErr w:type="spellEnd"/>
            <w:r w:rsidRPr="002A4D6D">
              <w:rPr>
                <w:rFonts w:ascii="Times New Roman" w:hAnsi="Times New Roman" w:cs="Times New Roman"/>
                <w:spacing w:val="-2"/>
                <w:sz w:val="26"/>
                <w:szCs w:val="26"/>
              </w:rPr>
              <w:t>;</w:t>
            </w:r>
          </w:p>
          <w:p w14:paraId="3920C3D8" w14:textId="679BE0F5" w:rsidR="00C3642F" w:rsidRPr="002A4D6D" w:rsidRDefault="00C3642F" w:rsidP="002A4D6D">
            <w:pPr>
              <w:pStyle w:val="PlainText"/>
              <w:numPr>
                <w:ilvl w:val="1"/>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Nodokļu informācijas sistēmā (NIS) – </w:t>
            </w:r>
            <w:r w:rsidR="00C43B49" w:rsidRPr="002A4D6D">
              <w:rPr>
                <w:rFonts w:ascii="Times New Roman" w:hAnsi="Times New Roman" w:cs="Times New Roman"/>
                <w:spacing w:val="-2"/>
                <w:sz w:val="26"/>
                <w:szCs w:val="26"/>
              </w:rPr>
              <w:t>352,07</w:t>
            </w:r>
            <w:r w:rsidR="000E3760" w:rsidRPr="002A4D6D">
              <w:rPr>
                <w:rFonts w:ascii="Times New Roman" w:hAnsi="Times New Roman" w:cs="Times New Roman"/>
                <w:spacing w:val="-2"/>
                <w:sz w:val="26"/>
                <w:szCs w:val="26"/>
              </w:rPr>
              <w:t>5</w:t>
            </w:r>
            <w:r w:rsidR="00C43B49" w:rsidRPr="002A4D6D">
              <w:rPr>
                <w:rFonts w:ascii="Times New Roman" w:hAnsi="Times New Roman" w:cs="Times New Roman"/>
                <w:spacing w:val="-2"/>
                <w:sz w:val="26"/>
                <w:szCs w:val="26"/>
              </w:rPr>
              <w:t xml:space="preserve"> c/d x 453,75 </w:t>
            </w:r>
            <w:proofErr w:type="spellStart"/>
            <w:r w:rsidR="00C43B49" w:rsidRPr="002A4D6D">
              <w:rPr>
                <w:rFonts w:ascii="Times New Roman" w:hAnsi="Times New Roman" w:cs="Times New Roman"/>
                <w:i/>
                <w:iCs/>
                <w:spacing w:val="-2"/>
                <w:sz w:val="26"/>
                <w:szCs w:val="26"/>
              </w:rPr>
              <w:t>euro</w:t>
            </w:r>
            <w:proofErr w:type="spellEnd"/>
            <w:r w:rsidR="00C43B49" w:rsidRPr="002A4D6D">
              <w:rPr>
                <w:rFonts w:ascii="Times New Roman" w:hAnsi="Times New Roman" w:cs="Times New Roman"/>
                <w:spacing w:val="-2"/>
                <w:sz w:val="26"/>
                <w:szCs w:val="26"/>
              </w:rPr>
              <w:t xml:space="preserve"> = </w:t>
            </w:r>
            <w:r w:rsidR="00C828CA" w:rsidRPr="002A4D6D">
              <w:rPr>
                <w:rFonts w:ascii="Times New Roman" w:hAnsi="Times New Roman" w:cs="Times New Roman"/>
                <w:spacing w:val="-2"/>
                <w:sz w:val="26"/>
                <w:szCs w:val="26"/>
              </w:rPr>
              <w:t>159 </w:t>
            </w:r>
            <w:r w:rsidR="000E3760" w:rsidRPr="002A4D6D">
              <w:rPr>
                <w:rFonts w:ascii="Times New Roman" w:hAnsi="Times New Roman" w:cs="Times New Roman"/>
                <w:spacing w:val="-2"/>
                <w:sz w:val="26"/>
                <w:szCs w:val="26"/>
              </w:rPr>
              <w:t xml:space="preserve">754 </w:t>
            </w:r>
            <w:proofErr w:type="spellStart"/>
            <w:r w:rsidRPr="002A4D6D">
              <w:rPr>
                <w:rFonts w:ascii="Times New Roman" w:hAnsi="Times New Roman" w:cs="Times New Roman"/>
                <w:i/>
                <w:spacing w:val="-2"/>
                <w:sz w:val="26"/>
                <w:szCs w:val="26"/>
              </w:rPr>
              <w:t>euro</w:t>
            </w:r>
            <w:proofErr w:type="spellEnd"/>
            <w:r w:rsidRPr="002A4D6D">
              <w:rPr>
                <w:rFonts w:ascii="Times New Roman" w:hAnsi="Times New Roman" w:cs="Times New Roman"/>
                <w:spacing w:val="-2"/>
                <w:sz w:val="26"/>
                <w:szCs w:val="26"/>
              </w:rPr>
              <w:t>;</w:t>
            </w:r>
          </w:p>
          <w:p w14:paraId="3905FF59" w14:textId="2E2EA37B" w:rsidR="00C3642F" w:rsidRPr="002A4D6D" w:rsidRDefault="00C3642F" w:rsidP="002A4D6D">
            <w:pPr>
              <w:pStyle w:val="PlainText"/>
              <w:numPr>
                <w:ilvl w:val="1"/>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VID informācijas sistēmu savietotājā (VIDISS) </w:t>
            </w:r>
            <w:r w:rsidR="00C43B49" w:rsidRPr="002A4D6D">
              <w:rPr>
                <w:rFonts w:ascii="Times New Roman" w:hAnsi="Times New Roman" w:cs="Times New Roman"/>
                <w:spacing w:val="-2"/>
                <w:sz w:val="26"/>
                <w:szCs w:val="26"/>
              </w:rPr>
              <w:t xml:space="preserve">- 45 c/d x 415,03 </w:t>
            </w:r>
            <w:proofErr w:type="spellStart"/>
            <w:r w:rsidR="00C43B49" w:rsidRPr="002A4D6D">
              <w:rPr>
                <w:rFonts w:ascii="Times New Roman" w:hAnsi="Times New Roman" w:cs="Times New Roman"/>
                <w:i/>
                <w:iCs/>
                <w:spacing w:val="-2"/>
                <w:sz w:val="26"/>
                <w:szCs w:val="26"/>
              </w:rPr>
              <w:t>euro</w:t>
            </w:r>
            <w:proofErr w:type="spellEnd"/>
            <w:r w:rsidR="00C43B49" w:rsidRPr="002A4D6D">
              <w:rPr>
                <w:rFonts w:ascii="Times New Roman" w:hAnsi="Times New Roman" w:cs="Times New Roman"/>
                <w:spacing w:val="-2"/>
                <w:sz w:val="26"/>
                <w:szCs w:val="26"/>
              </w:rPr>
              <w:t xml:space="preserve"> =</w:t>
            </w:r>
            <w:r w:rsidRPr="002A4D6D">
              <w:rPr>
                <w:rFonts w:ascii="Times New Roman" w:hAnsi="Times New Roman" w:cs="Times New Roman"/>
                <w:spacing w:val="-2"/>
                <w:sz w:val="26"/>
                <w:szCs w:val="26"/>
              </w:rPr>
              <w:t xml:space="preserve"> 18 676 </w:t>
            </w:r>
            <w:proofErr w:type="spellStart"/>
            <w:r w:rsidRPr="002A4D6D">
              <w:rPr>
                <w:rFonts w:ascii="Times New Roman" w:hAnsi="Times New Roman" w:cs="Times New Roman"/>
                <w:i/>
                <w:spacing w:val="-2"/>
                <w:sz w:val="26"/>
                <w:szCs w:val="26"/>
              </w:rPr>
              <w:t>euro</w:t>
            </w:r>
            <w:proofErr w:type="spellEnd"/>
            <w:r w:rsidRPr="002A4D6D">
              <w:rPr>
                <w:rFonts w:ascii="Times New Roman" w:hAnsi="Times New Roman" w:cs="Times New Roman"/>
                <w:spacing w:val="-2"/>
                <w:sz w:val="26"/>
                <w:szCs w:val="26"/>
              </w:rPr>
              <w:t>;</w:t>
            </w:r>
          </w:p>
          <w:p w14:paraId="66215E77" w14:textId="553AB796" w:rsidR="00C43B49" w:rsidRPr="002A4D6D" w:rsidRDefault="00C43B49" w:rsidP="002A4D6D">
            <w:pPr>
              <w:pStyle w:val="PlainText"/>
              <w:numPr>
                <w:ilvl w:val="1"/>
                <w:numId w:val="5"/>
              </w:numPr>
              <w:ind w:right="113"/>
              <w:jc w:val="both"/>
              <w:rPr>
                <w:rFonts w:ascii="Times New Roman" w:hAnsi="Times New Roman" w:cs="Times New Roman"/>
                <w:spacing w:val="-2"/>
                <w:sz w:val="26"/>
                <w:szCs w:val="26"/>
              </w:rPr>
            </w:pPr>
            <w:r w:rsidRPr="002A4D6D">
              <w:rPr>
                <w:rFonts w:ascii="Times New Roman" w:hAnsi="Times New Roman" w:cs="Times New Roman"/>
                <w:spacing w:val="-2"/>
                <w:sz w:val="26"/>
                <w:szCs w:val="26"/>
              </w:rPr>
              <w:t xml:space="preserve">Informācijas sistēmu tehnikas iegādei – </w:t>
            </w:r>
            <w:r w:rsidR="00B942BA" w:rsidRPr="002A4D6D">
              <w:rPr>
                <w:rFonts w:ascii="Times New Roman" w:hAnsi="Times New Roman" w:cs="Times New Roman"/>
                <w:spacing w:val="-2"/>
                <w:sz w:val="26"/>
                <w:szCs w:val="26"/>
              </w:rPr>
              <w:t xml:space="preserve">1 </w:t>
            </w:r>
            <w:r w:rsidR="00217074" w:rsidRPr="002A4D6D">
              <w:rPr>
                <w:rFonts w:ascii="Times New Roman" w:hAnsi="Times New Roman" w:cs="Times New Roman"/>
                <w:spacing w:val="-2"/>
                <w:sz w:val="26"/>
                <w:szCs w:val="26"/>
              </w:rPr>
              <w:t>disku masīv</w:t>
            </w:r>
            <w:r w:rsidR="00B942BA" w:rsidRPr="002A4D6D">
              <w:rPr>
                <w:rFonts w:ascii="Times New Roman" w:hAnsi="Times New Roman" w:cs="Times New Roman"/>
                <w:spacing w:val="-2"/>
                <w:sz w:val="26"/>
                <w:szCs w:val="26"/>
              </w:rPr>
              <w:t xml:space="preserve">s </w:t>
            </w:r>
            <w:r w:rsidRPr="002A4D6D">
              <w:rPr>
                <w:rFonts w:ascii="Times New Roman" w:hAnsi="Times New Roman" w:cs="Times New Roman"/>
                <w:spacing w:val="-2"/>
                <w:sz w:val="26"/>
                <w:szCs w:val="26"/>
              </w:rPr>
              <w:t xml:space="preserve">72 600 </w:t>
            </w:r>
            <w:proofErr w:type="spellStart"/>
            <w:r w:rsidRPr="002A4D6D">
              <w:rPr>
                <w:rFonts w:ascii="Times New Roman" w:hAnsi="Times New Roman" w:cs="Times New Roman"/>
                <w:i/>
                <w:iCs/>
                <w:spacing w:val="-2"/>
                <w:sz w:val="26"/>
                <w:szCs w:val="26"/>
              </w:rPr>
              <w:t>euro</w:t>
            </w:r>
            <w:proofErr w:type="spellEnd"/>
            <w:r w:rsidRPr="002A4D6D">
              <w:rPr>
                <w:rFonts w:ascii="Times New Roman" w:hAnsi="Times New Roman" w:cs="Times New Roman"/>
                <w:spacing w:val="-2"/>
                <w:sz w:val="26"/>
                <w:szCs w:val="26"/>
              </w:rPr>
              <w:t>.</w:t>
            </w:r>
          </w:p>
        </w:tc>
      </w:tr>
      <w:tr w:rsidR="00F207FB" w:rsidRPr="002A4D6D" w14:paraId="33C786E9" w14:textId="77777777" w:rsidTr="005E7435">
        <w:tc>
          <w:tcPr>
            <w:tcW w:w="632" w:type="pct"/>
            <w:gridSpan w:val="4"/>
            <w:hideMark/>
          </w:tcPr>
          <w:p w14:paraId="7A8B0565" w14:textId="77777777" w:rsidR="00B34778" w:rsidRPr="002A4D6D" w:rsidRDefault="00B34778" w:rsidP="002A4D6D">
            <w:pPr>
              <w:rPr>
                <w:rFonts w:eastAsia="Times New Roman"/>
                <w:spacing w:val="-2"/>
                <w:sz w:val="22"/>
                <w:lang w:eastAsia="lv-LV"/>
              </w:rPr>
            </w:pPr>
            <w:r w:rsidRPr="002A4D6D">
              <w:rPr>
                <w:rFonts w:eastAsia="Times New Roman"/>
                <w:spacing w:val="-2"/>
                <w:sz w:val="22"/>
                <w:lang w:eastAsia="lv-LV"/>
              </w:rPr>
              <w:t>6.1. detalizēts ieņēmumu aprēķins</w:t>
            </w:r>
          </w:p>
        </w:tc>
        <w:tc>
          <w:tcPr>
            <w:tcW w:w="4368" w:type="pct"/>
            <w:gridSpan w:val="12"/>
            <w:vMerge/>
            <w:vAlign w:val="center"/>
            <w:hideMark/>
          </w:tcPr>
          <w:p w14:paraId="425AE31C" w14:textId="77777777" w:rsidR="00B34778" w:rsidRPr="002A4D6D" w:rsidRDefault="00B34778" w:rsidP="002A4D6D">
            <w:pPr>
              <w:rPr>
                <w:rFonts w:eastAsia="Times New Roman"/>
                <w:spacing w:val="-2"/>
                <w:sz w:val="26"/>
                <w:szCs w:val="26"/>
                <w:lang w:eastAsia="lv-LV"/>
              </w:rPr>
            </w:pPr>
          </w:p>
        </w:tc>
      </w:tr>
      <w:tr w:rsidR="00F207FB" w:rsidRPr="002A4D6D" w14:paraId="02666D35" w14:textId="77777777" w:rsidTr="005E7435">
        <w:tc>
          <w:tcPr>
            <w:tcW w:w="632" w:type="pct"/>
            <w:gridSpan w:val="4"/>
            <w:hideMark/>
          </w:tcPr>
          <w:p w14:paraId="088F550A" w14:textId="77777777" w:rsidR="00B34778" w:rsidRPr="002A4D6D" w:rsidRDefault="00B34778" w:rsidP="002A4D6D">
            <w:pPr>
              <w:rPr>
                <w:rFonts w:eastAsia="Times New Roman"/>
                <w:spacing w:val="-2"/>
                <w:sz w:val="22"/>
                <w:lang w:eastAsia="lv-LV"/>
              </w:rPr>
            </w:pPr>
            <w:r w:rsidRPr="002A4D6D">
              <w:rPr>
                <w:rFonts w:eastAsia="Times New Roman"/>
                <w:spacing w:val="-2"/>
                <w:sz w:val="22"/>
                <w:lang w:eastAsia="lv-LV"/>
              </w:rPr>
              <w:t>6.2. detalizēts izdevumu aprēķins</w:t>
            </w:r>
          </w:p>
        </w:tc>
        <w:tc>
          <w:tcPr>
            <w:tcW w:w="4368" w:type="pct"/>
            <w:gridSpan w:val="12"/>
            <w:vMerge/>
            <w:vAlign w:val="center"/>
            <w:hideMark/>
          </w:tcPr>
          <w:p w14:paraId="7DBE238A" w14:textId="77777777" w:rsidR="00B34778" w:rsidRPr="002A4D6D" w:rsidRDefault="00B34778" w:rsidP="002A4D6D">
            <w:pPr>
              <w:rPr>
                <w:rFonts w:eastAsia="Times New Roman"/>
                <w:spacing w:val="-2"/>
                <w:sz w:val="26"/>
                <w:szCs w:val="26"/>
                <w:lang w:eastAsia="lv-LV"/>
              </w:rPr>
            </w:pPr>
          </w:p>
        </w:tc>
      </w:tr>
      <w:tr w:rsidR="00F207FB" w:rsidRPr="002A4D6D" w14:paraId="49876293" w14:textId="77777777" w:rsidTr="005E7435">
        <w:tc>
          <w:tcPr>
            <w:tcW w:w="632" w:type="pct"/>
            <w:gridSpan w:val="4"/>
            <w:hideMark/>
          </w:tcPr>
          <w:p w14:paraId="2E783856" w14:textId="77777777" w:rsidR="00B34778" w:rsidRPr="002A4D6D" w:rsidRDefault="00B34778" w:rsidP="002A4D6D">
            <w:pPr>
              <w:rPr>
                <w:rFonts w:eastAsia="Times New Roman"/>
                <w:spacing w:val="-2"/>
                <w:sz w:val="26"/>
                <w:szCs w:val="26"/>
                <w:lang w:eastAsia="lv-LV"/>
              </w:rPr>
            </w:pPr>
            <w:r w:rsidRPr="002A4D6D">
              <w:rPr>
                <w:rFonts w:eastAsia="Times New Roman"/>
                <w:spacing w:val="-2"/>
                <w:sz w:val="26"/>
                <w:szCs w:val="26"/>
                <w:lang w:eastAsia="lv-LV"/>
              </w:rPr>
              <w:t xml:space="preserve">7. Amata vietu </w:t>
            </w:r>
            <w:r w:rsidRPr="002A4D6D">
              <w:rPr>
                <w:rFonts w:eastAsia="Times New Roman"/>
                <w:spacing w:val="-2"/>
                <w:sz w:val="26"/>
                <w:szCs w:val="26"/>
                <w:lang w:eastAsia="lv-LV"/>
              </w:rPr>
              <w:lastRenderedPageBreak/>
              <w:t>skaita izmaiņas</w:t>
            </w:r>
          </w:p>
        </w:tc>
        <w:tc>
          <w:tcPr>
            <w:tcW w:w="4368" w:type="pct"/>
            <w:gridSpan w:val="12"/>
            <w:hideMark/>
          </w:tcPr>
          <w:p w14:paraId="551609EB" w14:textId="01E54A32" w:rsidR="00B34778" w:rsidRPr="002A4D6D" w:rsidRDefault="0060735C" w:rsidP="002A4D6D">
            <w:pPr>
              <w:ind w:left="57" w:right="113"/>
              <w:jc w:val="both"/>
              <w:rPr>
                <w:rFonts w:eastAsia="Times New Roman"/>
                <w:spacing w:val="-2"/>
                <w:sz w:val="26"/>
                <w:szCs w:val="26"/>
                <w:lang w:eastAsia="lv-LV"/>
              </w:rPr>
            </w:pPr>
            <w:r w:rsidRPr="002A4D6D">
              <w:rPr>
                <w:spacing w:val="-2"/>
                <w:sz w:val="26"/>
                <w:szCs w:val="26"/>
              </w:rPr>
              <w:lastRenderedPageBreak/>
              <w:t>Projekts šo jomu neskar.</w:t>
            </w:r>
          </w:p>
        </w:tc>
      </w:tr>
      <w:tr w:rsidR="00F207FB" w:rsidRPr="002A4D6D" w14:paraId="37DDCC1D" w14:textId="77777777" w:rsidTr="005E7435">
        <w:tc>
          <w:tcPr>
            <w:tcW w:w="632" w:type="pct"/>
            <w:gridSpan w:val="4"/>
            <w:hideMark/>
          </w:tcPr>
          <w:p w14:paraId="69DD71F3" w14:textId="77777777" w:rsidR="00B34778" w:rsidRPr="002A4D6D" w:rsidRDefault="00B34778" w:rsidP="002A4D6D">
            <w:pPr>
              <w:ind w:right="-166"/>
              <w:rPr>
                <w:rFonts w:eastAsia="Times New Roman"/>
                <w:spacing w:val="-2"/>
                <w:sz w:val="26"/>
                <w:szCs w:val="26"/>
                <w:lang w:eastAsia="lv-LV"/>
              </w:rPr>
            </w:pPr>
            <w:r w:rsidRPr="002A4D6D">
              <w:rPr>
                <w:rFonts w:eastAsia="Times New Roman"/>
                <w:spacing w:val="-2"/>
                <w:sz w:val="26"/>
                <w:szCs w:val="26"/>
                <w:lang w:eastAsia="lv-LV"/>
              </w:rPr>
              <w:t>8. Cita informācija</w:t>
            </w:r>
          </w:p>
        </w:tc>
        <w:tc>
          <w:tcPr>
            <w:tcW w:w="4368" w:type="pct"/>
            <w:gridSpan w:val="12"/>
            <w:hideMark/>
          </w:tcPr>
          <w:p w14:paraId="60839B03" w14:textId="080A0091" w:rsidR="005A4ACB" w:rsidRPr="002A4D6D" w:rsidRDefault="005A4ACB" w:rsidP="002A4D6D">
            <w:pPr>
              <w:pStyle w:val="PlainText"/>
              <w:ind w:left="57" w:right="113"/>
              <w:jc w:val="both"/>
              <w:rPr>
                <w:rFonts w:ascii="Times New Roman" w:eastAsia="Times New Roman" w:hAnsi="Times New Roman" w:cs="Times New Roman"/>
                <w:spacing w:val="-2"/>
                <w:sz w:val="26"/>
                <w:szCs w:val="26"/>
              </w:rPr>
            </w:pPr>
            <w:r w:rsidRPr="002A4D6D">
              <w:rPr>
                <w:rFonts w:ascii="Times New Roman" w:eastAsia="Times New Roman" w:hAnsi="Times New Roman" w:cs="Times New Roman"/>
                <w:spacing w:val="-2"/>
                <w:sz w:val="26"/>
                <w:szCs w:val="26"/>
              </w:rPr>
              <w:t xml:space="preserve">2020.gadā nepieciešamo izmaiņu veikšanai VID informācijas sistēmās nepieciešamais finansējums 1 075 155 </w:t>
            </w:r>
            <w:proofErr w:type="spellStart"/>
            <w:r w:rsidRPr="002A4D6D">
              <w:rPr>
                <w:rFonts w:ascii="Times New Roman" w:eastAsia="Times New Roman" w:hAnsi="Times New Roman" w:cs="Times New Roman"/>
                <w:i/>
                <w:spacing w:val="-2"/>
                <w:sz w:val="26"/>
                <w:szCs w:val="26"/>
              </w:rPr>
              <w:t>euro</w:t>
            </w:r>
            <w:proofErr w:type="spellEnd"/>
            <w:r w:rsidRPr="002A4D6D">
              <w:rPr>
                <w:rFonts w:ascii="Times New Roman" w:eastAsia="Times New Roman" w:hAnsi="Times New Roman" w:cs="Times New Roman"/>
                <w:spacing w:val="-2"/>
                <w:sz w:val="26"/>
                <w:szCs w:val="26"/>
              </w:rPr>
              <w:t xml:space="preserve"> apmērā tiks nodrošināts Finanšu ministrijas budžeta programmā 33.00.00 “Valsts ieņēmumu un muitas politikas nodrošināšana” piešķirtā finansējuma ietvaros.</w:t>
            </w:r>
          </w:p>
          <w:p w14:paraId="3D87AF3C" w14:textId="3DEAEDA4" w:rsidR="005F1CA0" w:rsidRPr="002A4D6D" w:rsidRDefault="005F1CA0" w:rsidP="002A4D6D">
            <w:pPr>
              <w:pStyle w:val="PlainText"/>
              <w:ind w:left="57" w:right="113"/>
              <w:jc w:val="both"/>
              <w:rPr>
                <w:rFonts w:ascii="Times New Roman" w:eastAsia="Times New Roman" w:hAnsi="Times New Roman" w:cs="Times New Roman"/>
                <w:spacing w:val="-2"/>
                <w:sz w:val="26"/>
                <w:szCs w:val="26"/>
              </w:rPr>
            </w:pPr>
            <w:r w:rsidRPr="002A4D6D">
              <w:rPr>
                <w:rFonts w:ascii="Times New Roman" w:eastAsia="Times New Roman" w:hAnsi="Times New Roman" w:cs="Times New Roman"/>
                <w:spacing w:val="-2"/>
                <w:sz w:val="26"/>
                <w:szCs w:val="26"/>
              </w:rPr>
              <w:t xml:space="preserve">Pēc likumprojekta pieņemšanas 2021.gada valsts budžeta sagatavošanas procesā tiks palielinātas ieņēmumu prognozes 2021.-2023.gadam ik gadu 10 370 000 </w:t>
            </w:r>
            <w:proofErr w:type="spellStart"/>
            <w:r w:rsidRPr="002A4D6D">
              <w:rPr>
                <w:rFonts w:ascii="Times New Roman" w:eastAsia="Times New Roman" w:hAnsi="Times New Roman" w:cs="Times New Roman"/>
                <w:i/>
                <w:spacing w:val="-2"/>
                <w:sz w:val="26"/>
                <w:szCs w:val="26"/>
              </w:rPr>
              <w:t>euro</w:t>
            </w:r>
            <w:proofErr w:type="spellEnd"/>
            <w:r w:rsidRPr="002A4D6D">
              <w:rPr>
                <w:rFonts w:ascii="Times New Roman" w:eastAsia="Times New Roman" w:hAnsi="Times New Roman" w:cs="Times New Roman"/>
                <w:spacing w:val="-2"/>
                <w:sz w:val="26"/>
                <w:szCs w:val="26"/>
              </w:rPr>
              <w:t xml:space="preserve"> apmērā un izdevumi Finanšu ministrijas budžeta programmā 33.00.00 “Valsts ieņēmumu un muitas politikas nodrošināšana” 2021.gadā 1 847 647 </w:t>
            </w:r>
            <w:proofErr w:type="spellStart"/>
            <w:r w:rsidRPr="002A4D6D">
              <w:rPr>
                <w:rFonts w:ascii="Times New Roman" w:eastAsia="Times New Roman" w:hAnsi="Times New Roman" w:cs="Times New Roman"/>
                <w:i/>
                <w:spacing w:val="-2"/>
                <w:sz w:val="26"/>
                <w:szCs w:val="26"/>
              </w:rPr>
              <w:t>euro</w:t>
            </w:r>
            <w:proofErr w:type="spellEnd"/>
            <w:r w:rsidRPr="002A4D6D">
              <w:rPr>
                <w:rFonts w:ascii="Times New Roman" w:eastAsia="Times New Roman" w:hAnsi="Times New Roman" w:cs="Times New Roman"/>
                <w:spacing w:val="-2"/>
                <w:sz w:val="26"/>
                <w:szCs w:val="26"/>
              </w:rPr>
              <w:t xml:space="preserve"> apmērā nepieciešamo izmaiņu veikšanai VID informācijas sistēmās.</w:t>
            </w:r>
          </w:p>
          <w:p w14:paraId="520178C9" w14:textId="77777777" w:rsidR="005F1CA0" w:rsidRPr="002A4D6D" w:rsidRDefault="005F1CA0" w:rsidP="002A4D6D">
            <w:pPr>
              <w:pStyle w:val="PlainText"/>
              <w:ind w:left="57" w:right="113"/>
              <w:jc w:val="both"/>
              <w:rPr>
                <w:rFonts w:ascii="Times New Roman" w:hAnsi="Times New Roman" w:cs="Times New Roman"/>
                <w:spacing w:val="-2"/>
                <w:sz w:val="26"/>
                <w:szCs w:val="26"/>
              </w:rPr>
            </w:pPr>
          </w:p>
          <w:p w14:paraId="6F695B3B" w14:textId="51A214B6" w:rsidR="00B34778" w:rsidRPr="002A4D6D" w:rsidRDefault="003B0445" w:rsidP="002A4D6D">
            <w:pPr>
              <w:pStyle w:val="PlainText"/>
              <w:ind w:left="57" w:right="113"/>
              <w:jc w:val="both"/>
              <w:rPr>
                <w:rFonts w:ascii="Times New Roman" w:eastAsia="Times New Roman" w:hAnsi="Times New Roman" w:cs="Times New Roman"/>
                <w:spacing w:val="-2"/>
                <w:sz w:val="26"/>
                <w:szCs w:val="26"/>
              </w:rPr>
            </w:pPr>
            <w:r w:rsidRPr="002A4D6D">
              <w:rPr>
                <w:rFonts w:ascii="Times New Roman" w:hAnsi="Times New Roman" w:cs="Times New Roman"/>
                <w:spacing w:val="-2"/>
                <w:sz w:val="26"/>
                <w:szCs w:val="26"/>
              </w:rPr>
              <w:t xml:space="preserve">Pēc EK </w:t>
            </w:r>
            <w:proofErr w:type="spellStart"/>
            <w:r w:rsidRPr="002A4D6D">
              <w:rPr>
                <w:rFonts w:ascii="Times New Roman" w:hAnsi="Times New Roman" w:cs="Times New Roman"/>
                <w:spacing w:val="-2"/>
                <w:sz w:val="26"/>
                <w:szCs w:val="26"/>
              </w:rPr>
              <w:t>aplesēm</w:t>
            </w:r>
            <w:proofErr w:type="spellEnd"/>
            <w:r w:rsidRPr="002A4D6D">
              <w:rPr>
                <w:rFonts w:ascii="Times New Roman" w:hAnsi="Times New Roman" w:cs="Times New Roman"/>
                <w:spacing w:val="-2"/>
                <w:sz w:val="26"/>
                <w:szCs w:val="26"/>
              </w:rPr>
              <w:t xml:space="preserve"> īpašu režīmu paplašināšana uz visiem darījumiem, t.sk. uz preču tālpārdošanu ES teritorijā un </w:t>
            </w:r>
            <w:r w:rsidR="00E00E5A" w:rsidRPr="002A4D6D">
              <w:rPr>
                <w:rFonts w:ascii="Times New Roman" w:hAnsi="Times New Roman" w:cs="Times New Roman"/>
                <w:spacing w:val="-2"/>
                <w:sz w:val="26"/>
                <w:szCs w:val="26"/>
              </w:rPr>
              <w:t xml:space="preserve">preču tālpārdošanu </w:t>
            </w:r>
            <w:r w:rsidRPr="002A4D6D">
              <w:rPr>
                <w:rFonts w:ascii="Times New Roman" w:hAnsi="Times New Roman" w:cs="Times New Roman"/>
                <w:spacing w:val="-2"/>
                <w:sz w:val="26"/>
                <w:szCs w:val="26"/>
              </w:rPr>
              <w:t xml:space="preserve">no trešajām teritorijām vai trešajām valstīm, radīs PVN ieņēmumu pieaugumu </w:t>
            </w:r>
            <w:r w:rsidR="008C0EE0" w:rsidRPr="002A4D6D">
              <w:rPr>
                <w:rFonts w:ascii="Times New Roman" w:hAnsi="Times New Roman" w:cs="Times New Roman"/>
                <w:spacing w:val="-2"/>
                <w:sz w:val="26"/>
                <w:szCs w:val="26"/>
              </w:rPr>
              <w:t xml:space="preserve">ES </w:t>
            </w:r>
            <w:r w:rsidR="00E00E5A" w:rsidRPr="002A4D6D">
              <w:rPr>
                <w:rFonts w:ascii="Times New Roman" w:hAnsi="Times New Roman" w:cs="Times New Roman"/>
                <w:spacing w:val="-2"/>
                <w:sz w:val="26"/>
                <w:szCs w:val="26"/>
              </w:rPr>
              <w:t>dalībvalstīm 7 </w:t>
            </w:r>
            <w:r w:rsidRPr="002A4D6D">
              <w:rPr>
                <w:rFonts w:ascii="Times New Roman" w:hAnsi="Times New Roman" w:cs="Times New Roman"/>
                <w:spacing w:val="-2"/>
                <w:sz w:val="26"/>
                <w:szCs w:val="26"/>
              </w:rPr>
              <w:t xml:space="preserve">miljardu </w:t>
            </w:r>
            <w:proofErr w:type="spellStart"/>
            <w:r w:rsidRPr="002A4D6D">
              <w:rPr>
                <w:rFonts w:ascii="Times New Roman" w:hAnsi="Times New Roman" w:cs="Times New Roman"/>
                <w:i/>
                <w:spacing w:val="-2"/>
                <w:sz w:val="26"/>
                <w:szCs w:val="26"/>
              </w:rPr>
              <w:t>euro</w:t>
            </w:r>
            <w:proofErr w:type="spellEnd"/>
            <w:r w:rsidRPr="002A4D6D">
              <w:rPr>
                <w:rFonts w:ascii="Times New Roman" w:hAnsi="Times New Roman" w:cs="Times New Roman"/>
                <w:spacing w:val="-2"/>
                <w:sz w:val="26"/>
                <w:szCs w:val="26"/>
              </w:rPr>
              <w:t xml:space="preserve"> apmērā gadā, nodrošinot vienādus konkurences apstākļus tiem ES uzņēmējiem, kuri pašlaik ir nelabvēlīgākā situācijā pār trešo valstu uzņēmējiem.</w:t>
            </w:r>
          </w:p>
        </w:tc>
      </w:tr>
      <w:tr w:rsidR="00F207FB" w:rsidRPr="002A4D6D" w14:paraId="4B966C6E" w14:textId="77777777" w:rsidTr="005E7435">
        <w:tc>
          <w:tcPr>
            <w:tcW w:w="5000" w:type="pct"/>
            <w:gridSpan w:val="16"/>
            <w:vAlign w:val="center"/>
            <w:hideMark/>
          </w:tcPr>
          <w:p w14:paraId="52EC3ABE" w14:textId="05067408" w:rsidR="00B2789A" w:rsidRPr="002A4D6D" w:rsidRDefault="00B2789A" w:rsidP="002A4D6D">
            <w:pPr>
              <w:ind w:firstLine="300"/>
              <w:jc w:val="center"/>
              <w:rPr>
                <w:rFonts w:eastAsia="Times New Roman"/>
                <w:b/>
                <w:bCs/>
                <w:spacing w:val="-2"/>
                <w:sz w:val="26"/>
                <w:szCs w:val="26"/>
                <w:lang w:eastAsia="lv-LV"/>
              </w:rPr>
            </w:pPr>
            <w:r w:rsidRPr="002A4D6D">
              <w:rPr>
                <w:rFonts w:eastAsia="Times New Roman"/>
                <w:b/>
                <w:bCs/>
                <w:spacing w:val="-2"/>
                <w:sz w:val="26"/>
                <w:szCs w:val="26"/>
                <w:lang w:eastAsia="lv-LV"/>
              </w:rPr>
              <w:t>IV. Tiesību akta projekta ietekme uz spēkā esošo tiesību normu sistēmu</w:t>
            </w:r>
          </w:p>
        </w:tc>
      </w:tr>
      <w:tr w:rsidR="00F207FB" w:rsidRPr="002A4D6D" w14:paraId="05380728" w14:textId="77777777" w:rsidTr="005E7435">
        <w:tc>
          <w:tcPr>
            <w:tcW w:w="231" w:type="pct"/>
            <w:hideMark/>
          </w:tcPr>
          <w:p w14:paraId="64CA96E5" w14:textId="77777777" w:rsidR="00B2789A" w:rsidRPr="002A4D6D" w:rsidRDefault="00B2789A" w:rsidP="002A4D6D">
            <w:pPr>
              <w:ind w:firstLine="112"/>
              <w:jc w:val="both"/>
              <w:rPr>
                <w:rFonts w:eastAsia="Times New Roman"/>
                <w:spacing w:val="-2"/>
                <w:sz w:val="26"/>
                <w:szCs w:val="26"/>
                <w:lang w:eastAsia="lv-LV"/>
              </w:rPr>
            </w:pPr>
            <w:r w:rsidRPr="002A4D6D">
              <w:rPr>
                <w:rFonts w:eastAsia="Times New Roman"/>
                <w:spacing w:val="-2"/>
                <w:sz w:val="26"/>
                <w:szCs w:val="26"/>
                <w:lang w:eastAsia="lv-LV"/>
              </w:rPr>
              <w:t>1.</w:t>
            </w:r>
          </w:p>
        </w:tc>
        <w:tc>
          <w:tcPr>
            <w:tcW w:w="1383" w:type="pct"/>
            <w:gridSpan w:val="6"/>
            <w:hideMark/>
          </w:tcPr>
          <w:p w14:paraId="4B0BAE5A" w14:textId="77777777" w:rsidR="00B2789A" w:rsidRPr="002A4D6D" w:rsidRDefault="00B2789A" w:rsidP="002A4D6D">
            <w:pPr>
              <w:jc w:val="both"/>
              <w:rPr>
                <w:rFonts w:eastAsia="Times New Roman"/>
                <w:spacing w:val="-2"/>
                <w:sz w:val="26"/>
                <w:szCs w:val="26"/>
                <w:lang w:eastAsia="lv-LV"/>
              </w:rPr>
            </w:pPr>
            <w:r w:rsidRPr="002A4D6D">
              <w:rPr>
                <w:rFonts w:eastAsia="Times New Roman"/>
                <w:spacing w:val="-2"/>
                <w:sz w:val="26"/>
                <w:szCs w:val="26"/>
                <w:lang w:eastAsia="lv-LV"/>
              </w:rPr>
              <w:t>Saistītie tiesību aktu projekti</w:t>
            </w:r>
          </w:p>
        </w:tc>
        <w:tc>
          <w:tcPr>
            <w:tcW w:w="3386" w:type="pct"/>
            <w:gridSpan w:val="9"/>
          </w:tcPr>
          <w:p w14:paraId="7630EDB6" w14:textId="77777777" w:rsidR="00ED0BC4" w:rsidRPr="002A4D6D" w:rsidRDefault="000871FF" w:rsidP="002A4D6D">
            <w:pPr>
              <w:tabs>
                <w:tab w:val="left" w:pos="604"/>
              </w:tabs>
              <w:ind w:left="57" w:right="113"/>
              <w:jc w:val="both"/>
              <w:rPr>
                <w:spacing w:val="-2"/>
                <w:sz w:val="26"/>
                <w:szCs w:val="26"/>
                <w:lang w:eastAsia="lv-LV"/>
              </w:rPr>
            </w:pPr>
            <w:r w:rsidRPr="002A4D6D">
              <w:rPr>
                <w:spacing w:val="-2"/>
                <w:sz w:val="26"/>
                <w:szCs w:val="26"/>
                <w:lang w:eastAsia="lv-LV"/>
              </w:rPr>
              <w:t xml:space="preserve">Nepieciešams veikt </w:t>
            </w:r>
            <w:r w:rsidR="00752F4B" w:rsidRPr="002A4D6D">
              <w:rPr>
                <w:spacing w:val="-2"/>
                <w:sz w:val="26"/>
                <w:szCs w:val="26"/>
                <w:lang w:eastAsia="lv-LV"/>
              </w:rPr>
              <w:t>grozījum</w:t>
            </w:r>
            <w:r w:rsidR="00B40B9B" w:rsidRPr="002A4D6D">
              <w:rPr>
                <w:spacing w:val="-2"/>
                <w:sz w:val="26"/>
                <w:szCs w:val="26"/>
                <w:lang w:eastAsia="lv-LV"/>
              </w:rPr>
              <w:t>u</w:t>
            </w:r>
            <w:r w:rsidRPr="002A4D6D">
              <w:rPr>
                <w:spacing w:val="-2"/>
                <w:sz w:val="26"/>
                <w:szCs w:val="26"/>
                <w:lang w:eastAsia="lv-LV"/>
              </w:rPr>
              <w:t>s</w:t>
            </w:r>
            <w:r w:rsidR="00ED0BC4" w:rsidRPr="002A4D6D">
              <w:rPr>
                <w:spacing w:val="-2"/>
                <w:sz w:val="26"/>
                <w:szCs w:val="26"/>
                <w:lang w:eastAsia="lv-LV"/>
              </w:rPr>
              <w:t>:</w:t>
            </w:r>
          </w:p>
          <w:p w14:paraId="0E14CD07" w14:textId="44C54173" w:rsidR="006677D6" w:rsidRPr="002A4D6D" w:rsidRDefault="00ED0BC4" w:rsidP="002A4D6D">
            <w:pPr>
              <w:tabs>
                <w:tab w:val="left" w:pos="604"/>
              </w:tabs>
              <w:ind w:left="57" w:right="113"/>
              <w:jc w:val="both"/>
              <w:rPr>
                <w:spacing w:val="-2"/>
                <w:sz w:val="26"/>
                <w:szCs w:val="26"/>
                <w:lang w:eastAsia="lv-LV"/>
              </w:rPr>
            </w:pPr>
            <w:r w:rsidRPr="002A4D6D">
              <w:rPr>
                <w:spacing w:val="-2"/>
                <w:sz w:val="26"/>
                <w:szCs w:val="26"/>
                <w:lang w:eastAsia="lv-LV"/>
              </w:rPr>
              <w:t>1) </w:t>
            </w:r>
            <w:r w:rsidR="002A61F1" w:rsidRPr="002A4D6D">
              <w:rPr>
                <w:spacing w:val="-2"/>
                <w:sz w:val="26"/>
                <w:szCs w:val="26"/>
                <w:lang w:eastAsia="lv-LV"/>
              </w:rPr>
              <w:t>Ministru kabineta 2013.gada 15.janvāra noteikum</w:t>
            </w:r>
            <w:r w:rsidR="0003647B" w:rsidRPr="002A4D6D">
              <w:rPr>
                <w:spacing w:val="-2"/>
                <w:sz w:val="26"/>
                <w:szCs w:val="26"/>
                <w:lang w:eastAsia="lv-LV"/>
              </w:rPr>
              <w:t>os</w:t>
            </w:r>
            <w:r w:rsidR="002A61F1" w:rsidRPr="002A4D6D">
              <w:rPr>
                <w:spacing w:val="-2"/>
                <w:sz w:val="26"/>
                <w:szCs w:val="26"/>
                <w:lang w:eastAsia="lv-LV"/>
              </w:rPr>
              <w:t xml:space="preserve"> Nr.40 “Noteikumi par pievienotās vērtības nodokļa deklarācijām”</w:t>
            </w:r>
            <w:r w:rsidR="006677D6" w:rsidRPr="002A4D6D">
              <w:rPr>
                <w:spacing w:val="-2"/>
                <w:sz w:val="26"/>
                <w:szCs w:val="26"/>
                <w:lang w:eastAsia="lv-LV"/>
              </w:rPr>
              <w:t>, lai pārņemtu:</w:t>
            </w:r>
          </w:p>
          <w:p w14:paraId="3A8ADC6F" w14:textId="6F8B66F5" w:rsidR="00B2789A" w:rsidRPr="002A4D6D" w:rsidRDefault="006677D6" w:rsidP="002A4D6D">
            <w:pPr>
              <w:pStyle w:val="ListParagraph"/>
              <w:numPr>
                <w:ilvl w:val="0"/>
                <w:numId w:val="2"/>
              </w:numPr>
              <w:spacing w:after="0" w:line="240" w:lineRule="auto"/>
              <w:ind w:left="58" w:right="157" w:firstLine="302"/>
              <w:jc w:val="both"/>
              <w:rPr>
                <w:rFonts w:eastAsia="Times New Roman"/>
                <w:spacing w:val="-2"/>
                <w:sz w:val="26"/>
                <w:szCs w:val="26"/>
                <w:lang w:eastAsia="lv-LV"/>
              </w:rPr>
            </w:pPr>
            <w:r w:rsidRPr="002A4D6D">
              <w:rPr>
                <w:spacing w:val="-2"/>
                <w:sz w:val="26"/>
                <w:szCs w:val="26"/>
                <w:lang w:eastAsia="lv-LV"/>
              </w:rPr>
              <w:t>Direktīvas 2017/2455 2.panta 19.punktu attiecībā uz Direktīvas 2006/112/EK 365.pant</w:t>
            </w:r>
            <w:r w:rsidR="008C0EE0" w:rsidRPr="002A4D6D">
              <w:rPr>
                <w:spacing w:val="-2"/>
                <w:sz w:val="26"/>
                <w:szCs w:val="26"/>
                <w:lang w:eastAsia="lv-LV"/>
              </w:rPr>
              <w:t>u</w:t>
            </w:r>
            <w:r w:rsidRPr="002A4D6D">
              <w:rPr>
                <w:spacing w:val="-2"/>
                <w:sz w:val="26"/>
                <w:szCs w:val="26"/>
                <w:lang w:eastAsia="lv-LV"/>
              </w:rPr>
              <w:t>;</w:t>
            </w:r>
          </w:p>
          <w:p w14:paraId="65BD3EDA" w14:textId="51F9B086" w:rsidR="006677D6" w:rsidRPr="002A4D6D" w:rsidRDefault="006677D6" w:rsidP="002A4D6D">
            <w:pPr>
              <w:pStyle w:val="ListParagraph"/>
              <w:numPr>
                <w:ilvl w:val="0"/>
                <w:numId w:val="2"/>
              </w:numPr>
              <w:spacing w:after="0" w:line="240" w:lineRule="auto"/>
              <w:ind w:left="58" w:right="157" w:firstLine="302"/>
              <w:jc w:val="both"/>
              <w:rPr>
                <w:rFonts w:eastAsia="Times New Roman"/>
                <w:spacing w:val="-2"/>
                <w:sz w:val="26"/>
                <w:szCs w:val="26"/>
                <w:lang w:eastAsia="lv-LV"/>
              </w:rPr>
            </w:pPr>
            <w:r w:rsidRPr="002A4D6D">
              <w:rPr>
                <w:spacing w:val="-2"/>
                <w:sz w:val="26"/>
                <w:szCs w:val="26"/>
                <w:lang w:eastAsia="lv-LV"/>
              </w:rPr>
              <w:t>Direktīvas 2017/2455 2.panta 25.punktu attiecībā uz Direktīvas 2006/112/EK 369.g pant</w:t>
            </w:r>
            <w:r w:rsidR="008C0EE0" w:rsidRPr="002A4D6D">
              <w:rPr>
                <w:spacing w:val="-2"/>
                <w:sz w:val="26"/>
                <w:szCs w:val="26"/>
                <w:lang w:eastAsia="lv-LV"/>
              </w:rPr>
              <w:t>u</w:t>
            </w:r>
            <w:r w:rsidRPr="002A4D6D">
              <w:rPr>
                <w:spacing w:val="-2"/>
                <w:sz w:val="26"/>
                <w:szCs w:val="26"/>
                <w:lang w:eastAsia="lv-LV"/>
              </w:rPr>
              <w:t>;</w:t>
            </w:r>
          </w:p>
          <w:p w14:paraId="624CB3E0" w14:textId="612C3A88" w:rsidR="006677D6" w:rsidRPr="002A4D6D" w:rsidRDefault="00314456" w:rsidP="002A4D6D">
            <w:pPr>
              <w:pStyle w:val="ListParagraph"/>
              <w:numPr>
                <w:ilvl w:val="0"/>
                <w:numId w:val="2"/>
              </w:numPr>
              <w:spacing w:after="0" w:line="240" w:lineRule="auto"/>
              <w:ind w:left="58" w:right="157" w:firstLine="302"/>
              <w:jc w:val="both"/>
              <w:rPr>
                <w:rFonts w:eastAsia="Times New Roman"/>
                <w:spacing w:val="-2"/>
                <w:sz w:val="26"/>
                <w:szCs w:val="26"/>
                <w:lang w:eastAsia="lv-LV"/>
              </w:rPr>
            </w:pPr>
            <w:r w:rsidRPr="002A4D6D">
              <w:rPr>
                <w:spacing w:val="-2"/>
                <w:sz w:val="26"/>
                <w:szCs w:val="26"/>
                <w:lang w:eastAsia="lv-LV"/>
              </w:rPr>
              <w:t>Direktīvas 2017/2455 2.panta 26.punktu attiecībā uz Direktīvas 2006/112/EK 369.h panta 1.punkta otrās daļas otr</w:t>
            </w:r>
            <w:r w:rsidR="008C0EE0" w:rsidRPr="002A4D6D">
              <w:rPr>
                <w:spacing w:val="-2"/>
                <w:sz w:val="26"/>
                <w:szCs w:val="26"/>
                <w:lang w:eastAsia="lv-LV"/>
              </w:rPr>
              <w:t>o</w:t>
            </w:r>
            <w:r w:rsidRPr="002A4D6D">
              <w:rPr>
                <w:spacing w:val="-2"/>
                <w:sz w:val="26"/>
                <w:szCs w:val="26"/>
                <w:lang w:eastAsia="lv-LV"/>
              </w:rPr>
              <w:t xml:space="preserve"> teikum</w:t>
            </w:r>
            <w:r w:rsidR="008C0EE0" w:rsidRPr="002A4D6D">
              <w:rPr>
                <w:spacing w:val="-2"/>
                <w:sz w:val="26"/>
                <w:szCs w:val="26"/>
                <w:lang w:eastAsia="lv-LV"/>
              </w:rPr>
              <w:t>u</w:t>
            </w:r>
            <w:r w:rsidRPr="002A4D6D">
              <w:rPr>
                <w:spacing w:val="-2"/>
                <w:sz w:val="26"/>
                <w:szCs w:val="26"/>
                <w:lang w:eastAsia="lv-LV"/>
              </w:rPr>
              <w:t>;</w:t>
            </w:r>
          </w:p>
          <w:p w14:paraId="728342F5" w14:textId="12B58653" w:rsidR="00314456" w:rsidRPr="002A4D6D" w:rsidRDefault="00314456" w:rsidP="002A4D6D">
            <w:pPr>
              <w:pStyle w:val="ListParagraph"/>
              <w:numPr>
                <w:ilvl w:val="0"/>
                <w:numId w:val="2"/>
              </w:numPr>
              <w:spacing w:after="0" w:line="240" w:lineRule="auto"/>
              <w:ind w:left="58" w:right="157" w:firstLine="302"/>
              <w:jc w:val="both"/>
              <w:rPr>
                <w:rFonts w:eastAsia="Times New Roman"/>
                <w:spacing w:val="-2"/>
                <w:sz w:val="26"/>
                <w:szCs w:val="26"/>
                <w:lang w:eastAsia="lv-LV"/>
              </w:rPr>
            </w:pPr>
            <w:r w:rsidRPr="002A4D6D">
              <w:rPr>
                <w:spacing w:val="-2"/>
                <w:sz w:val="26"/>
                <w:szCs w:val="26"/>
                <w:lang w:eastAsia="lv-LV"/>
              </w:rPr>
              <w:t>Direktīvas 2017/2455 2.panta 30.punktu attiecībā uz Direktīvas 2006/112/EK 369.t pant</w:t>
            </w:r>
            <w:r w:rsidR="008C0EE0" w:rsidRPr="002A4D6D">
              <w:rPr>
                <w:spacing w:val="-2"/>
                <w:sz w:val="26"/>
                <w:szCs w:val="26"/>
                <w:lang w:eastAsia="lv-LV"/>
              </w:rPr>
              <w:t>u</w:t>
            </w:r>
            <w:r w:rsidRPr="002A4D6D">
              <w:rPr>
                <w:spacing w:val="-2"/>
                <w:sz w:val="26"/>
                <w:szCs w:val="26"/>
                <w:lang w:eastAsia="lv-LV"/>
              </w:rPr>
              <w:t xml:space="preserve"> ;</w:t>
            </w:r>
          </w:p>
          <w:p w14:paraId="57CC9E15" w14:textId="3A17B36D" w:rsidR="00F154CA" w:rsidRPr="002A4D6D" w:rsidRDefault="00314456" w:rsidP="002A4D6D">
            <w:pPr>
              <w:pStyle w:val="ListParagraph"/>
              <w:numPr>
                <w:ilvl w:val="0"/>
                <w:numId w:val="2"/>
              </w:numPr>
              <w:spacing w:after="0" w:line="240" w:lineRule="auto"/>
              <w:ind w:left="58" w:right="157" w:firstLine="302"/>
              <w:jc w:val="both"/>
              <w:rPr>
                <w:rFonts w:eastAsia="Times New Roman"/>
                <w:spacing w:val="-2"/>
                <w:sz w:val="26"/>
                <w:szCs w:val="26"/>
                <w:lang w:eastAsia="lv-LV"/>
              </w:rPr>
            </w:pPr>
            <w:r w:rsidRPr="002A4D6D">
              <w:rPr>
                <w:spacing w:val="-2"/>
                <w:sz w:val="26"/>
                <w:szCs w:val="26"/>
                <w:lang w:eastAsia="lv-LV"/>
              </w:rPr>
              <w:t>Direktīvas 2019/1995 1.panta 13.punktu attiecībā uz Direktīvas 2006/112/EK 369.g panta 1., 2. un 3.punkt</w:t>
            </w:r>
            <w:r w:rsidR="008C0EE0" w:rsidRPr="002A4D6D">
              <w:rPr>
                <w:spacing w:val="-2"/>
                <w:sz w:val="26"/>
                <w:szCs w:val="26"/>
                <w:lang w:eastAsia="lv-LV"/>
              </w:rPr>
              <w:t>u</w:t>
            </w:r>
            <w:r w:rsidR="0084114E" w:rsidRPr="002A4D6D">
              <w:rPr>
                <w:spacing w:val="-2"/>
                <w:sz w:val="26"/>
                <w:szCs w:val="26"/>
                <w:lang w:eastAsia="lv-LV"/>
              </w:rPr>
              <w:t>.</w:t>
            </w:r>
          </w:p>
          <w:p w14:paraId="0FD4017F" w14:textId="74133D47" w:rsidR="003074C4" w:rsidRPr="002A4D6D" w:rsidRDefault="00ED0BC4" w:rsidP="002A4D6D">
            <w:pPr>
              <w:ind w:left="118" w:right="113"/>
              <w:jc w:val="both"/>
              <w:rPr>
                <w:spacing w:val="-2"/>
                <w:sz w:val="26"/>
                <w:szCs w:val="26"/>
                <w:lang w:eastAsia="lv-LV"/>
              </w:rPr>
            </w:pPr>
            <w:r w:rsidRPr="002A4D6D">
              <w:rPr>
                <w:spacing w:val="-2"/>
                <w:sz w:val="26"/>
                <w:szCs w:val="26"/>
                <w:lang w:eastAsia="lv-LV"/>
              </w:rPr>
              <w:t>2) </w:t>
            </w:r>
            <w:r w:rsidR="00F154CA" w:rsidRPr="002A4D6D">
              <w:rPr>
                <w:spacing w:val="-2"/>
                <w:sz w:val="26"/>
                <w:szCs w:val="26"/>
                <w:lang w:eastAsia="lv-LV"/>
              </w:rPr>
              <w:t xml:space="preserve">Ministru kabineta </w:t>
            </w:r>
            <w:r w:rsidR="00DA038D" w:rsidRPr="002A4D6D">
              <w:rPr>
                <w:spacing w:val="-2"/>
                <w:sz w:val="26"/>
                <w:szCs w:val="26"/>
                <w:lang w:eastAsia="lv-LV"/>
              </w:rPr>
              <w:t xml:space="preserve">2013.gada 3.janvāra </w:t>
            </w:r>
            <w:r w:rsidR="00F154CA" w:rsidRPr="002A4D6D">
              <w:rPr>
                <w:spacing w:val="-2"/>
                <w:sz w:val="26"/>
                <w:szCs w:val="26"/>
                <w:lang w:eastAsia="lv-LV"/>
              </w:rPr>
              <w:t>noteikumos Nr.17 “</w:t>
            </w:r>
            <w:hyperlink r:id="rId11" w:tgtFrame="_blank" w:history="1">
              <w:r w:rsidR="00DA038D" w:rsidRPr="002A4D6D">
                <w:rPr>
                  <w:spacing w:val="-2"/>
                  <w:sz w:val="26"/>
                  <w:szCs w:val="26"/>
                  <w:lang w:eastAsia="lv-LV"/>
                </w:rPr>
                <w:t>Pievienotās vērtības nodokļa likuma</w:t>
              </w:r>
            </w:hyperlink>
            <w:r w:rsidR="00DA038D" w:rsidRPr="002A4D6D">
              <w:rPr>
                <w:spacing w:val="-2"/>
                <w:sz w:val="26"/>
                <w:szCs w:val="26"/>
                <w:lang w:eastAsia="lv-LV"/>
              </w:rPr>
              <w:t xml:space="preserve"> normu piemērošanas kārtība un atsevišķas prasības pievienotās vērtības nodokļa maksāšanai un administrēšanai”</w:t>
            </w:r>
            <w:r w:rsidR="00F154CA" w:rsidRPr="002A4D6D">
              <w:rPr>
                <w:spacing w:val="-2"/>
                <w:sz w:val="26"/>
                <w:szCs w:val="26"/>
                <w:lang w:eastAsia="lv-LV"/>
              </w:rPr>
              <w:t xml:space="preserve">, lai nodrošinātu </w:t>
            </w:r>
            <w:r w:rsidR="00CA62BC" w:rsidRPr="002A4D6D">
              <w:rPr>
                <w:spacing w:val="-2"/>
                <w:sz w:val="26"/>
                <w:szCs w:val="26"/>
                <w:lang w:eastAsia="lv-LV"/>
              </w:rPr>
              <w:t xml:space="preserve">Regulā 2019/2026 </w:t>
            </w:r>
            <w:r w:rsidRPr="002A4D6D">
              <w:rPr>
                <w:spacing w:val="-2"/>
                <w:sz w:val="26"/>
                <w:szCs w:val="26"/>
                <w:lang w:eastAsia="lv-LV"/>
              </w:rPr>
              <w:t xml:space="preserve">noteikto par PVN maksātāju un starpnieku, kuri rīkojas to interesēs, iesniegumu iesniegšanu no 2020.gada 1.oktobra, </w:t>
            </w:r>
            <w:r w:rsidR="00DA038D" w:rsidRPr="002A4D6D">
              <w:rPr>
                <w:spacing w:val="-2"/>
                <w:sz w:val="26"/>
                <w:szCs w:val="26"/>
                <w:lang w:eastAsia="lv-LV"/>
              </w:rPr>
              <w:t>ja</w:t>
            </w:r>
            <w:r w:rsidRPr="002A4D6D">
              <w:rPr>
                <w:spacing w:val="-2"/>
                <w:sz w:val="26"/>
                <w:szCs w:val="26"/>
                <w:lang w:eastAsia="lv-LV"/>
              </w:rPr>
              <w:t xml:space="preserve"> tie izvēlas iekšzemē reģistrēties </w:t>
            </w:r>
            <w:proofErr w:type="spellStart"/>
            <w:r w:rsidRPr="002A4D6D">
              <w:rPr>
                <w:spacing w:val="-2"/>
                <w:sz w:val="26"/>
                <w:szCs w:val="26"/>
                <w:lang w:eastAsia="lv-LV"/>
              </w:rPr>
              <w:t>ārpussavienības</w:t>
            </w:r>
            <w:proofErr w:type="spellEnd"/>
            <w:r w:rsidRPr="002A4D6D">
              <w:rPr>
                <w:spacing w:val="-2"/>
                <w:sz w:val="26"/>
                <w:szCs w:val="26"/>
                <w:lang w:eastAsia="lv-LV"/>
              </w:rPr>
              <w:t xml:space="preserve"> režīma, savienības režīma vai importa režīma izmantošanai</w:t>
            </w:r>
            <w:r w:rsidR="006236E3" w:rsidRPr="002A4D6D">
              <w:rPr>
                <w:spacing w:val="-2"/>
                <w:sz w:val="26"/>
                <w:szCs w:val="26"/>
                <w:lang w:eastAsia="lv-LV"/>
              </w:rPr>
              <w:t>;</w:t>
            </w:r>
          </w:p>
          <w:p w14:paraId="38468A65" w14:textId="731F479C" w:rsidR="00F154CA" w:rsidRPr="002A4D6D" w:rsidRDefault="006236E3" w:rsidP="002A4D6D">
            <w:pPr>
              <w:ind w:left="118" w:right="113"/>
              <w:jc w:val="both"/>
              <w:rPr>
                <w:rFonts w:eastAsia="Times New Roman"/>
                <w:spacing w:val="-2"/>
                <w:sz w:val="26"/>
                <w:szCs w:val="26"/>
                <w:lang w:eastAsia="lv-LV"/>
              </w:rPr>
            </w:pPr>
            <w:r w:rsidRPr="002A4D6D">
              <w:rPr>
                <w:spacing w:val="-2"/>
                <w:sz w:val="26"/>
                <w:szCs w:val="26"/>
                <w:lang w:eastAsia="lv-LV"/>
              </w:rPr>
              <w:t xml:space="preserve">3) Ministru kabineta 2018.gada 30.oktobra noteikumos Nr.661 “Kārtība, kādā maksā nodokļus, nodevas, citus valsts noteiktos maksājumus un ar tiem saistītos </w:t>
            </w:r>
            <w:r w:rsidRPr="002A4D6D">
              <w:rPr>
                <w:spacing w:val="-2"/>
                <w:sz w:val="26"/>
                <w:szCs w:val="26"/>
                <w:lang w:eastAsia="lv-LV"/>
              </w:rPr>
              <w:lastRenderedPageBreak/>
              <w:t>maksājumus un novirza tos saistību segšanai”,</w:t>
            </w:r>
            <w:r w:rsidR="003074C4" w:rsidRPr="002A4D6D">
              <w:rPr>
                <w:spacing w:val="-2"/>
                <w:sz w:val="26"/>
                <w:szCs w:val="26"/>
                <w:lang w:eastAsia="lv-LV"/>
              </w:rPr>
              <w:t xml:space="preserve"> nosakot, ka PVN maksātāji, kur</w:t>
            </w:r>
            <w:r w:rsidR="000469B8" w:rsidRPr="002A4D6D">
              <w:rPr>
                <w:spacing w:val="-2"/>
                <w:sz w:val="26"/>
                <w:szCs w:val="26"/>
                <w:lang w:eastAsia="lv-LV"/>
              </w:rPr>
              <w:t>us Latvija kā identifikācijas valsts</w:t>
            </w:r>
            <w:r w:rsidR="003074C4" w:rsidRPr="002A4D6D">
              <w:rPr>
                <w:spacing w:val="-2"/>
                <w:sz w:val="26"/>
                <w:szCs w:val="26"/>
                <w:lang w:eastAsia="lv-LV"/>
              </w:rPr>
              <w:t xml:space="preserve"> reģistrē </w:t>
            </w:r>
            <w:proofErr w:type="spellStart"/>
            <w:r w:rsidR="003074C4" w:rsidRPr="002A4D6D">
              <w:rPr>
                <w:spacing w:val="-2"/>
                <w:sz w:val="26"/>
                <w:szCs w:val="26"/>
                <w:lang w:eastAsia="lv-LV"/>
              </w:rPr>
              <w:t>ārpussavienības</w:t>
            </w:r>
            <w:proofErr w:type="spellEnd"/>
            <w:r w:rsidR="003074C4" w:rsidRPr="002A4D6D">
              <w:rPr>
                <w:spacing w:val="-2"/>
                <w:sz w:val="26"/>
                <w:szCs w:val="26"/>
                <w:lang w:eastAsia="lv-LV"/>
              </w:rPr>
              <w:t xml:space="preserve"> režīma, savienības režīma vai importa režīma izmantošanai, iemaksā PVN, norādot identifikatoru</w:t>
            </w:r>
            <w:r w:rsidR="00DB2B04" w:rsidRPr="002A4D6D">
              <w:rPr>
                <w:spacing w:val="-2"/>
                <w:sz w:val="26"/>
                <w:szCs w:val="26"/>
                <w:lang w:eastAsia="lv-LV"/>
              </w:rPr>
              <w:t>, jo</w:t>
            </w:r>
            <w:r w:rsidR="00830519" w:rsidRPr="002A4D6D">
              <w:rPr>
                <w:spacing w:val="-2"/>
                <w:sz w:val="26"/>
                <w:szCs w:val="26"/>
                <w:lang w:eastAsia="lv-LV"/>
              </w:rPr>
              <w:t xml:space="preserve"> </w:t>
            </w:r>
            <w:r w:rsidR="00165C2D" w:rsidRPr="002A4D6D">
              <w:rPr>
                <w:spacing w:val="-2"/>
                <w:sz w:val="26"/>
                <w:szCs w:val="26"/>
                <w:lang w:eastAsia="lv-LV"/>
              </w:rPr>
              <w:t>Latvija ar šiem režīmiem nodrošina citas valsts – patēriņa dalībvalsts - PVN summas iekasēšanu</w:t>
            </w:r>
            <w:r w:rsidR="000469B8" w:rsidRPr="002A4D6D">
              <w:rPr>
                <w:spacing w:val="-2"/>
                <w:sz w:val="26"/>
                <w:szCs w:val="26"/>
                <w:lang w:eastAsia="lv-LV"/>
              </w:rPr>
              <w:t xml:space="preserve">, </w:t>
            </w:r>
            <w:r w:rsidR="00165C2D" w:rsidRPr="002A4D6D">
              <w:rPr>
                <w:spacing w:val="-2"/>
                <w:sz w:val="26"/>
                <w:szCs w:val="26"/>
                <w:lang w:eastAsia="lv-LV"/>
              </w:rPr>
              <w:t xml:space="preserve">tādēļ šī iekasējamā PVN summa ir nošķirama no </w:t>
            </w:r>
            <w:r w:rsidR="000469B8" w:rsidRPr="002A4D6D">
              <w:rPr>
                <w:spacing w:val="-2"/>
                <w:sz w:val="26"/>
                <w:szCs w:val="26"/>
                <w:lang w:eastAsia="lv-LV"/>
              </w:rPr>
              <w:t xml:space="preserve">vispārējā kārtībā </w:t>
            </w:r>
            <w:r w:rsidR="00165C2D" w:rsidRPr="002A4D6D">
              <w:rPr>
                <w:spacing w:val="-2"/>
                <w:sz w:val="26"/>
                <w:szCs w:val="26"/>
                <w:lang w:eastAsia="lv-LV"/>
              </w:rPr>
              <w:t xml:space="preserve">iekasējamā PVN </w:t>
            </w:r>
            <w:r w:rsidR="000469B8" w:rsidRPr="002A4D6D">
              <w:rPr>
                <w:spacing w:val="-2"/>
                <w:sz w:val="26"/>
                <w:szCs w:val="26"/>
                <w:lang w:eastAsia="lv-LV"/>
              </w:rPr>
              <w:t>valsts budžetā</w:t>
            </w:r>
            <w:r w:rsidR="00DA038D" w:rsidRPr="002A4D6D">
              <w:rPr>
                <w:spacing w:val="-2"/>
                <w:sz w:val="26"/>
                <w:szCs w:val="26"/>
                <w:lang w:eastAsia="lv-LV"/>
              </w:rPr>
              <w:t>.</w:t>
            </w:r>
            <w:r w:rsidR="00ED0BC4" w:rsidRPr="002A4D6D">
              <w:rPr>
                <w:spacing w:val="-2"/>
                <w:sz w:val="26"/>
                <w:szCs w:val="26"/>
                <w:lang w:eastAsia="lv-LV"/>
              </w:rPr>
              <w:t xml:space="preserve"> </w:t>
            </w:r>
          </w:p>
        </w:tc>
      </w:tr>
      <w:tr w:rsidR="00F207FB" w:rsidRPr="002A4D6D" w14:paraId="3867789A" w14:textId="77777777" w:rsidTr="005E7435">
        <w:tc>
          <w:tcPr>
            <w:tcW w:w="231" w:type="pct"/>
            <w:hideMark/>
          </w:tcPr>
          <w:p w14:paraId="5177416D" w14:textId="77777777" w:rsidR="00B2789A" w:rsidRPr="002A4D6D" w:rsidRDefault="00B2789A" w:rsidP="002A4D6D">
            <w:pPr>
              <w:jc w:val="both"/>
              <w:rPr>
                <w:rFonts w:eastAsia="Times New Roman"/>
                <w:spacing w:val="-2"/>
                <w:sz w:val="26"/>
                <w:szCs w:val="26"/>
                <w:lang w:eastAsia="lv-LV"/>
              </w:rPr>
            </w:pPr>
            <w:r w:rsidRPr="002A4D6D">
              <w:rPr>
                <w:rFonts w:eastAsia="Times New Roman"/>
                <w:spacing w:val="-2"/>
                <w:sz w:val="26"/>
                <w:szCs w:val="26"/>
                <w:lang w:eastAsia="lv-LV"/>
              </w:rPr>
              <w:lastRenderedPageBreak/>
              <w:t>2.</w:t>
            </w:r>
          </w:p>
        </w:tc>
        <w:tc>
          <w:tcPr>
            <w:tcW w:w="1383" w:type="pct"/>
            <w:gridSpan w:val="6"/>
            <w:hideMark/>
          </w:tcPr>
          <w:p w14:paraId="6715DFC4" w14:textId="77777777" w:rsidR="00B2789A" w:rsidRPr="002A4D6D" w:rsidRDefault="00B2789A" w:rsidP="002A4D6D">
            <w:pPr>
              <w:jc w:val="both"/>
              <w:rPr>
                <w:rFonts w:eastAsia="Times New Roman"/>
                <w:spacing w:val="-2"/>
                <w:sz w:val="26"/>
                <w:szCs w:val="26"/>
                <w:lang w:eastAsia="lv-LV"/>
              </w:rPr>
            </w:pPr>
            <w:r w:rsidRPr="002A4D6D">
              <w:rPr>
                <w:rFonts w:eastAsia="Times New Roman"/>
                <w:spacing w:val="-2"/>
                <w:sz w:val="26"/>
                <w:szCs w:val="26"/>
                <w:lang w:eastAsia="lv-LV"/>
              </w:rPr>
              <w:t>Atbildīgā institūcija</w:t>
            </w:r>
          </w:p>
        </w:tc>
        <w:tc>
          <w:tcPr>
            <w:tcW w:w="3386" w:type="pct"/>
            <w:gridSpan w:val="9"/>
            <w:hideMark/>
          </w:tcPr>
          <w:p w14:paraId="4D3654FE" w14:textId="17B5FFDE" w:rsidR="00B2789A" w:rsidRPr="002A4D6D" w:rsidRDefault="00E44428" w:rsidP="002A4D6D">
            <w:pPr>
              <w:ind w:left="57" w:right="113"/>
              <w:jc w:val="both"/>
              <w:rPr>
                <w:rFonts w:eastAsia="Times New Roman"/>
                <w:spacing w:val="-2"/>
                <w:sz w:val="26"/>
                <w:szCs w:val="26"/>
                <w:lang w:eastAsia="lv-LV"/>
              </w:rPr>
            </w:pPr>
            <w:r w:rsidRPr="002A4D6D">
              <w:rPr>
                <w:rFonts w:eastAsia="Times New Roman"/>
                <w:spacing w:val="-2"/>
                <w:sz w:val="26"/>
                <w:szCs w:val="26"/>
                <w:lang w:eastAsia="lv-LV"/>
              </w:rPr>
              <w:t>Finanšu ministrija</w:t>
            </w:r>
            <w:r w:rsidR="006B015F" w:rsidRPr="002A4D6D">
              <w:rPr>
                <w:rFonts w:eastAsia="Times New Roman"/>
                <w:spacing w:val="-2"/>
                <w:sz w:val="26"/>
                <w:szCs w:val="26"/>
                <w:lang w:eastAsia="lv-LV"/>
              </w:rPr>
              <w:t xml:space="preserve"> (</w:t>
            </w:r>
            <w:r w:rsidR="00DA038D" w:rsidRPr="002A4D6D">
              <w:rPr>
                <w:rFonts w:eastAsia="Times New Roman"/>
                <w:spacing w:val="-2"/>
                <w:sz w:val="26"/>
                <w:szCs w:val="26"/>
                <w:lang w:eastAsia="lv-LV"/>
              </w:rPr>
              <w:t xml:space="preserve">tai skaitā </w:t>
            </w:r>
            <w:r w:rsidR="006B015F" w:rsidRPr="002A4D6D">
              <w:rPr>
                <w:rFonts w:eastAsia="Times New Roman"/>
                <w:spacing w:val="-2"/>
                <w:sz w:val="26"/>
                <w:szCs w:val="26"/>
                <w:lang w:eastAsia="lv-LV"/>
              </w:rPr>
              <w:t>VID)</w:t>
            </w:r>
            <w:r w:rsidR="00FC37A5" w:rsidRPr="002A4D6D">
              <w:rPr>
                <w:rFonts w:eastAsia="Times New Roman"/>
                <w:spacing w:val="-2"/>
                <w:sz w:val="26"/>
                <w:szCs w:val="26"/>
                <w:lang w:eastAsia="lv-LV"/>
              </w:rPr>
              <w:t>.</w:t>
            </w:r>
          </w:p>
        </w:tc>
      </w:tr>
      <w:tr w:rsidR="00F207FB" w:rsidRPr="002A4D6D" w14:paraId="742B86E7" w14:textId="77777777" w:rsidTr="005E7435">
        <w:tc>
          <w:tcPr>
            <w:tcW w:w="231" w:type="pct"/>
            <w:hideMark/>
          </w:tcPr>
          <w:p w14:paraId="748A8E19" w14:textId="77777777" w:rsidR="00B2789A" w:rsidRPr="002A4D6D" w:rsidRDefault="00B2789A" w:rsidP="002A4D6D">
            <w:pPr>
              <w:jc w:val="both"/>
              <w:rPr>
                <w:rFonts w:eastAsia="Times New Roman"/>
                <w:spacing w:val="-2"/>
                <w:sz w:val="26"/>
                <w:szCs w:val="26"/>
                <w:lang w:eastAsia="lv-LV"/>
              </w:rPr>
            </w:pPr>
            <w:r w:rsidRPr="002A4D6D">
              <w:rPr>
                <w:rFonts w:eastAsia="Times New Roman"/>
                <w:spacing w:val="-2"/>
                <w:sz w:val="26"/>
                <w:szCs w:val="26"/>
                <w:lang w:eastAsia="lv-LV"/>
              </w:rPr>
              <w:t>3.</w:t>
            </w:r>
          </w:p>
        </w:tc>
        <w:tc>
          <w:tcPr>
            <w:tcW w:w="1383" w:type="pct"/>
            <w:gridSpan w:val="6"/>
            <w:hideMark/>
          </w:tcPr>
          <w:p w14:paraId="027A5357" w14:textId="77777777" w:rsidR="00B2789A" w:rsidRPr="002A4D6D" w:rsidRDefault="00B2789A" w:rsidP="002A4D6D">
            <w:pPr>
              <w:jc w:val="both"/>
              <w:rPr>
                <w:rFonts w:eastAsia="Times New Roman"/>
                <w:spacing w:val="-2"/>
                <w:sz w:val="26"/>
                <w:szCs w:val="26"/>
                <w:lang w:eastAsia="lv-LV"/>
              </w:rPr>
            </w:pPr>
            <w:r w:rsidRPr="002A4D6D">
              <w:rPr>
                <w:rFonts w:eastAsia="Times New Roman"/>
                <w:spacing w:val="-2"/>
                <w:sz w:val="26"/>
                <w:szCs w:val="26"/>
                <w:lang w:eastAsia="lv-LV"/>
              </w:rPr>
              <w:t>Cita informācija</w:t>
            </w:r>
          </w:p>
        </w:tc>
        <w:tc>
          <w:tcPr>
            <w:tcW w:w="3386" w:type="pct"/>
            <w:gridSpan w:val="9"/>
            <w:hideMark/>
          </w:tcPr>
          <w:p w14:paraId="29DBE6A1" w14:textId="77417A71" w:rsidR="00B2789A" w:rsidRPr="002A4D6D" w:rsidRDefault="00B2789A" w:rsidP="002A4D6D">
            <w:pPr>
              <w:ind w:left="57" w:right="113"/>
              <w:jc w:val="both"/>
              <w:rPr>
                <w:rFonts w:eastAsia="Times New Roman"/>
                <w:spacing w:val="-2"/>
                <w:sz w:val="26"/>
                <w:szCs w:val="26"/>
                <w:lang w:eastAsia="lv-LV"/>
              </w:rPr>
            </w:pPr>
            <w:r w:rsidRPr="002A4D6D">
              <w:rPr>
                <w:rFonts w:eastAsia="Times New Roman"/>
                <w:spacing w:val="-2"/>
                <w:sz w:val="26"/>
                <w:szCs w:val="26"/>
                <w:lang w:eastAsia="lv-LV"/>
              </w:rPr>
              <w:t>Nav</w:t>
            </w:r>
            <w:r w:rsidR="00FC37A5" w:rsidRPr="002A4D6D">
              <w:rPr>
                <w:rFonts w:eastAsia="Times New Roman"/>
                <w:spacing w:val="-2"/>
                <w:sz w:val="26"/>
                <w:szCs w:val="26"/>
                <w:lang w:eastAsia="lv-LV"/>
              </w:rPr>
              <w:t>.</w:t>
            </w:r>
          </w:p>
        </w:tc>
      </w:tr>
      <w:tr w:rsidR="00F207FB" w:rsidRPr="002A4D6D" w14:paraId="5E8D375A" w14:textId="77777777" w:rsidTr="005E7435">
        <w:tc>
          <w:tcPr>
            <w:tcW w:w="5000" w:type="pct"/>
            <w:gridSpan w:val="16"/>
          </w:tcPr>
          <w:p w14:paraId="44E349A6" w14:textId="77777777" w:rsidR="007A6B26" w:rsidRPr="002A4D6D" w:rsidRDefault="007A6B26" w:rsidP="002A4D6D">
            <w:pPr>
              <w:ind w:left="57" w:right="113"/>
              <w:jc w:val="center"/>
              <w:rPr>
                <w:rFonts w:eastAsia="Times New Roman"/>
                <w:spacing w:val="-2"/>
                <w:sz w:val="26"/>
                <w:szCs w:val="26"/>
                <w:lang w:eastAsia="lv-LV"/>
              </w:rPr>
            </w:pPr>
            <w:r w:rsidRPr="002A4D6D">
              <w:rPr>
                <w:b/>
                <w:spacing w:val="-2"/>
                <w:sz w:val="26"/>
                <w:szCs w:val="26"/>
              </w:rPr>
              <w:t>V. Tiesību akta projekta atbilstība Latvijas Republikas starptautiskajām saistībām</w:t>
            </w:r>
          </w:p>
        </w:tc>
      </w:tr>
      <w:tr w:rsidR="00F207FB" w:rsidRPr="002A4D6D" w14:paraId="63D54087" w14:textId="77777777" w:rsidTr="005E7435">
        <w:tc>
          <w:tcPr>
            <w:tcW w:w="231" w:type="pct"/>
          </w:tcPr>
          <w:p w14:paraId="6A914D90" w14:textId="77777777" w:rsidR="007A6B26" w:rsidRPr="002A4D6D" w:rsidRDefault="007A6B26" w:rsidP="002A4D6D">
            <w:pPr>
              <w:jc w:val="both"/>
              <w:rPr>
                <w:rFonts w:eastAsia="Times New Roman"/>
                <w:spacing w:val="-2"/>
                <w:sz w:val="26"/>
                <w:szCs w:val="26"/>
                <w:lang w:eastAsia="lv-LV"/>
              </w:rPr>
            </w:pPr>
            <w:r w:rsidRPr="002A4D6D">
              <w:rPr>
                <w:rFonts w:eastAsia="Times New Roman"/>
                <w:spacing w:val="-2"/>
                <w:sz w:val="26"/>
                <w:szCs w:val="26"/>
                <w:lang w:eastAsia="lv-LV"/>
              </w:rPr>
              <w:t>1.</w:t>
            </w:r>
          </w:p>
        </w:tc>
        <w:tc>
          <w:tcPr>
            <w:tcW w:w="1383" w:type="pct"/>
            <w:gridSpan w:val="6"/>
          </w:tcPr>
          <w:p w14:paraId="63596D4B" w14:textId="77777777" w:rsidR="007A6B26" w:rsidRPr="002A4D6D" w:rsidRDefault="007A6B26" w:rsidP="002A4D6D">
            <w:pPr>
              <w:jc w:val="both"/>
              <w:rPr>
                <w:rFonts w:eastAsia="Times New Roman"/>
                <w:spacing w:val="-2"/>
                <w:sz w:val="26"/>
                <w:szCs w:val="26"/>
                <w:lang w:eastAsia="lv-LV"/>
              </w:rPr>
            </w:pPr>
            <w:r w:rsidRPr="002A4D6D">
              <w:rPr>
                <w:rFonts w:eastAsia="Times New Roman"/>
                <w:spacing w:val="-2"/>
                <w:sz w:val="26"/>
                <w:szCs w:val="26"/>
                <w:lang w:eastAsia="lv-LV"/>
              </w:rPr>
              <w:t>Saistības pret Eiropas Savienību</w:t>
            </w:r>
          </w:p>
        </w:tc>
        <w:tc>
          <w:tcPr>
            <w:tcW w:w="3386" w:type="pct"/>
            <w:gridSpan w:val="9"/>
          </w:tcPr>
          <w:p w14:paraId="60198A74" w14:textId="77777777" w:rsidR="001F1490" w:rsidRPr="002A4D6D" w:rsidRDefault="001F1490" w:rsidP="002A4D6D">
            <w:pPr>
              <w:tabs>
                <w:tab w:val="left" w:pos="604"/>
              </w:tabs>
              <w:ind w:left="57" w:right="113"/>
              <w:jc w:val="both"/>
              <w:rPr>
                <w:spacing w:val="-2"/>
                <w:sz w:val="26"/>
                <w:szCs w:val="26"/>
                <w:lang w:eastAsia="lv-LV"/>
              </w:rPr>
            </w:pPr>
            <w:r w:rsidRPr="002A4D6D">
              <w:rPr>
                <w:spacing w:val="-2"/>
                <w:sz w:val="26"/>
                <w:szCs w:val="26"/>
                <w:lang w:eastAsia="lv-LV"/>
              </w:rPr>
              <w:t>Ar likumprojektu tiek:</w:t>
            </w:r>
          </w:p>
          <w:p w14:paraId="37D0ACFE" w14:textId="0D859D24" w:rsidR="001F1490" w:rsidRPr="002A4D6D" w:rsidRDefault="001F1490" w:rsidP="002A4D6D">
            <w:pPr>
              <w:pStyle w:val="ListParagraph"/>
              <w:numPr>
                <w:ilvl w:val="0"/>
                <w:numId w:val="2"/>
              </w:numPr>
              <w:spacing w:after="0" w:line="240" w:lineRule="auto"/>
              <w:ind w:left="58" w:right="157" w:firstLine="302"/>
              <w:jc w:val="both"/>
              <w:rPr>
                <w:spacing w:val="-2"/>
                <w:sz w:val="26"/>
                <w:szCs w:val="26"/>
                <w:lang w:eastAsia="lv-LV"/>
              </w:rPr>
            </w:pPr>
            <w:r w:rsidRPr="002A4D6D">
              <w:rPr>
                <w:spacing w:val="-2"/>
                <w:sz w:val="26"/>
                <w:szCs w:val="26"/>
                <w:lang w:eastAsia="lv-LV"/>
              </w:rPr>
              <w:t>pārņemt</w:t>
            </w:r>
            <w:r w:rsidR="006D2CE6" w:rsidRPr="002A4D6D">
              <w:rPr>
                <w:spacing w:val="-2"/>
                <w:sz w:val="26"/>
                <w:szCs w:val="26"/>
                <w:lang w:eastAsia="lv-LV"/>
              </w:rPr>
              <w:t>s</w:t>
            </w:r>
            <w:r w:rsidRPr="002A4D6D">
              <w:rPr>
                <w:spacing w:val="-2"/>
                <w:sz w:val="26"/>
                <w:szCs w:val="26"/>
                <w:lang w:eastAsia="lv-LV"/>
              </w:rPr>
              <w:t xml:space="preserve"> Padomes 2017.gada 5.decembra direktīva</w:t>
            </w:r>
            <w:r w:rsidR="006D2CE6" w:rsidRPr="002A4D6D">
              <w:rPr>
                <w:spacing w:val="-2"/>
                <w:sz w:val="26"/>
                <w:szCs w:val="26"/>
                <w:lang w:eastAsia="lv-LV"/>
              </w:rPr>
              <w:t>s</w:t>
            </w:r>
            <w:r w:rsidRPr="002A4D6D">
              <w:rPr>
                <w:spacing w:val="-2"/>
                <w:sz w:val="26"/>
                <w:szCs w:val="26"/>
                <w:lang w:eastAsia="lv-LV"/>
              </w:rPr>
              <w:t xml:space="preserve"> (ES) 2017/2455, ar ko groza Direktīvu 2006/112/EK un Direktīvas 2009/132/EK attiecībā uz konkrētām pievienotās vērtības nodokļa saistībām pakalpojumu sniegšanā un preču tālpārdošanā</w:t>
            </w:r>
            <w:r w:rsidR="006D2CE6" w:rsidRPr="002A4D6D">
              <w:rPr>
                <w:spacing w:val="-2"/>
                <w:sz w:val="26"/>
                <w:szCs w:val="26"/>
                <w:lang w:eastAsia="lv-LV"/>
              </w:rPr>
              <w:t>, 2. un 3.pants</w:t>
            </w:r>
            <w:r w:rsidRPr="002A4D6D">
              <w:rPr>
                <w:spacing w:val="-2"/>
                <w:sz w:val="26"/>
                <w:szCs w:val="26"/>
                <w:lang w:eastAsia="lv-LV"/>
              </w:rPr>
              <w:t>;</w:t>
            </w:r>
          </w:p>
          <w:p w14:paraId="60699AC3" w14:textId="77777777" w:rsidR="007A6B26" w:rsidRPr="002A4D6D" w:rsidRDefault="001F1490" w:rsidP="002A4D6D">
            <w:pPr>
              <w:pStyle w:val="ListParagraph"/>
              <w:numPr>
                <w:ilvl w:val="0"/>
                <w:numId w:val="2"/>
              </w:numPr>
              <w:spacing w:after="0" w:line="240" w:lineRule="auto"/>
              <w:ind w:left="58" w:right="157" w:firstLine="302"/>
              <w:jc w:val="both"/>
              <w:rPr>
                <w:spacing w:val="-2"/>
                <w:sz w:val="26"/>
                <w:szCs w:val="26"/>
                <w:lang w:eastAsia="lv-LV"/>
              </w:rPr>
            </w:pPr>
            <w:r w:rsidRPr="002A4D6D">
              <w:rPr>
                <w:spacing w:val="-2"/>
                <w:sz w:val="26"/>
                <w:szCs w:val="26"/>
                <w:lang w:eastAsia="lv-LV"/>
              </w:rPr>
              <w:t>pārņemta Padomes 2019.gada 21.novembra direktīva (ES) 2019/1995, ar ko attiecībā uz noteikumiem par preču tālpārdošanu un konkrētām preču piegādēm iekšz</w:t>
            </w:r>
            <w:r w:rsidR="00CD6274" w:rsidRPr="002A4D6D">
              <w:rPr>
                <w:spacing w:val="-2"/>
                <w:sz w:val="26"/>
                <w:szCs w:val="26"/>
                <w:lang w:eastAsia="lv-LV"/>
              </w:rPr>
              <w:t>emē groza Direktīvu 2006/112/EK;</w:t>
            </w:r>
          </w:p>
          <w:p w14:paraId="78C2CA3B" w14:textId="7F85AEA1" w:rsidR="00CD6274" w:rsidRPr="002A4D6D" w:rsidRDefault="00CD6274" w:rsidP="002A4D6D">
            <w:pPr>
              <w:pStyle w:val="ListParagraph"/>
              <w:numPr>
                <w:ilvl w:val="0"/>
                <w:numId w:val="2"/>
              </w:numPr>
              <w:spacing w:after="0" w:line="240" w:lineRule="auto"/>
              <w:ind w:left="58" w:right="157" w:firstLine="302"/>
              <w:jc w:val="both"/>
              <w:rPr>
                <w:spacing w:val="-2"/>
                <w:sz w:val="26"/>
                <w:szCs w:val="26"/>
                <w:lang w:eastAsia="lv-LV"/>
              </w:rPr>
            </w:pPr>
            <w:r w:rsidRPr="002A4D6D">
              <w:rPr>
                <w:spacing w:val="-2"/>
                <w:sz w:val="26"/>
                <w:szCs w:val="26"/>
              </w:rPr>
              <w:t>pārņemts Padomes 2018.gada 4.decembra direktīvas (ES) 2018/1910, ar ko groza Direktīvu 2006/112/EK attiecībā uz atsevišķu pievienotās vērtības nodokļa sistēmas noteikumu saskaņošanu un vienkāršošanu tirdzniecībā starp dalībvalstīm, 36.panta 4.punkts.</w:t>
            </w:r>
          </w:p>
        </w:tc>
      </w:tr>
      <w:tr w:rsidR="00F207FB" w:rsidRPr="002A4D6D" w14:paraId="1E92A800" w14:textId="77777777" w:rsidTr="005E7435">
        <w:tc>
          <w:tcPr>
            <w:tcW w:w="231" w:type="pct"/>
          </w:tcPr>
          <w:p w14:paraId="07196811" w14:textId="77777777" w:rsidR="007A6B26" w:rsidRPr="002A4D6D" w:rsidRDefault="007A6B26" w:rsidP="002A4D6D">
            <w:pPr>
              <w:jc w:val="both"/>
              <w:rPr>
                <w:rFonts w:eastAsia="Times New Roman"/>
                <w:spacing w:val="-2"/>
                <w:sz w:val="26"/>
                <w:szCs w:val="26"/>
                <w:lang w:eastAsia="lv-LV"/>
              </w:rPr>
            </w:pPr>
            <w:r w:rsidRPr="002A4D6D">
              <w:rPr>
                <w:rFonts w:eastAsia="Times New Roman"/>
                <w:spacing w:val="-2"/>
                <w:sz w:val="26"/>
                <w:szCs w:val="26"/>
                <w:lang w:eastAsia="lv-LV"/>
              </w:rPr>
              <w:t>2.</w:t>
            </w:r>
          </w:p>
        </w:tc>
        <w:tc>
          <w:tcPr>
            <w:tcW w:w="1383" w:type="pct"/>
            <w:gridSpan w:val="6"/>
          </w:tcPr>
          <w:p w14:paraId="74BA12AA" w14:textId="77777777" w:rsidR="007A6B26" w:rsidRPr="002A4D6D" w:rsidRDefault="007A6B26" w:rsidP="002A4D6D">
            <w:pPr>
              <w:jc w:val="both"/>
              <w:rPr>
                <w:rFonts w:eastAsia="Times New Roman"/>
                <w:spacing w:val="-2"/>
                <w:sz w:val="26"/>
                <w:szCs w:val="26"/>
                <w:lang w:eastAsia="lv-LV"/>
              </w:rPr>
            </w:pPr>
            <w:r w:rsidRPr="002A4D6D">
              <w:rPr>
                <w:rFonts w:eastAsia="Times New Roman"/>
                <w:spacing w:val="-2"/>
                <w:sz w:val="26"/>
                <w:szCs w:val="26"/>
                <w:lang w:eastAsia="lv-LV"/>
              </w:rPr>
              <w:t>Citas starptautiskās saistības</w:t>
            </w:r>
          </w:p>
        </w:tc>
        <w:tc>
          <w:tcPr>
            <w:tcW w:w="3386" w:type="pct"/>
            <w:gridSpan w:val="9"/>
          </w:tcPr>
          <w:p w14:paraId="216AF055" w14:textId="4C68E81E" w:rsidR="007A6B26" w:rsidRPr="002A4D6D" w:rsidRDefault="007E50CC" w:rsidP="002A4D6D">
            <w:pPr>
              <w:ind w:left="57" w:right="113"/>
              <w:jc w:val="both"/>
              <w:rPr>
                <w:rFonts w:eastAsia="Times New Roman"/>
                <w:spacing w:val="-2"/>
                <w:sz w:val="26"/>
                <w:szCs w:val="26"/>
                <w:lang w:eastAsia="lv-LV"/>
              </w:rPr>
            </w:pPr>
            <w:r w:rsidRPr="002A4D6D">
              <w:rPr>
                <w:rFonts w:eastAsia="Times New Roman"/>
                <w:spacing w:val="-2"/>
                <w:sz w:val="26"/>
                <w:szCs w:val="26"/>
                <w:lang w:eastAsia="lv-LV"/>
              </w:rPr>
              <w:t>Nav</w:t>
            </w:r>
            <w:r w:rsidR="00716312" w:rsidRPr="002A4D6D">
              <w:rPr>
                <w:rFonts w:eastAsia="Times New Roman"/>
                <w:spacing w:val="-2"/>
                <w:sz w:val="26"/>
                <w:szCs w:val="26"/>
                <w:lang w:eastAsia="lv-LV"/>
              </w:rPr>
              <w:t>.</w:t>
            </w:r>
          </w:p>
        </w:tc>
      </w:tr>
      <w:tr w:rsidR="00F207FB" w:rsidRPr="002A4D6D" w14:paraId="79868592" w14:textId="77777777" w:rsidTr="005E7435">
        <w:tc>
          <w:tcPr>
            <w:tcW w:w="231" w:type="pct"/>
          </w:tcPr>
          <w:p w14:paraId="7B43C789" w14:textId="77777777" w:rsidR="007A6B26" w:rsidRPr="002A4D6D" w:rsidRDefault="007A6B26" w:rsidP="002A4D6D">
            <w:pPr>
              <w:jc w:val="both"/>
              <w:rPr>
                <w:rFonts w:eastAsia="Times New Roman"/>
                <w:spacing w:val="-2"/>
                <w:sz w:val="26"/>
                <w:szCs w:val="26"/>
                <w:lang w:eastAsia="lv-LV"/>
              </w:rPr>
            </w:pPr>
            <w:r w:rsidRPr="002A4D6D">
              <w:rPr>
                <w:rFonts w:eastAsia="Times New Roman"/>
                <w:spacing w:val="-2"/>
                <w:sz w:val="26"/>
                <w:szCs w:val="26"/>
                <w:lang w:eastAsia="lv-LV"/>
              </w:rPr>
              <w:t>3.</w:t>
            </w:r>
          </w:p>
        </w:tc>
        <w:tc>
          <w:tcPr>
            <w:tcW w:w="1383" w:type="pct"/>
            <w:gridSpan w:val="6"/>
          </w:tcPr>
          <w:p w14:paraId="724AD42B" w14:textId="77777777" w:rsidR="007A6B26" w:rsidRPr="002A4D6D" w:rsidRDefault="007A6B26" w:rsidP="002A4D6D">
            <w:pPr>
              <w:jc w:val="both"/>
              <w:rPr>
                <w:rFonts w:eastAsia="Times New Roman"/>
                <w:spacing w:val="-2"/>
                <w:sz w:val="26"/>
                <w:szCs w:val="26"/>
                <w:lang w:eastAsia="lv-LV"/>
              </w:rPr>
            </w:pPr>
            <w:r w:rsidRPr="002A4D6D">
              <w:rPr>
                <w:rFonts w:eastAsia="Times New Roman"/>
                <w:spacing w:val="-2"/>
                <w:sz w:val="26"/>
                <w:szCs w:val="26"/>
                <w:lang w:eastAsia="lv-LV"/>
              </w:rPr>
              <w:t>Cita informācija</w:t>
            </w:r>
          </w:p>
        </w:tc>
        <w:tc>
          <w:tcPr>
            <w:tcW w:w="3386" w:type="pct"/>
            <w:gridSpan w:val="9"/>
          </w:tcPr>
          <w:p w14:paraId="3BBA6A23" w14:textId="3F038E44" w:rsidR="007A6B26" w:rsidRPr="002A4D6D" w:rsidRDefault="00DA038D" w:rsidP="002A4D6D">
            <w:pPr>
              <w:ind w:left="57" w:right="113"/>
              <w:jc w:val="both"/>
              <w:rPr>
                <w:rFonts w:eastAsia="Times New Roman"/>
                <w:spacing w:val="-2"/>
                <w:sz w:val="26"/>
                <w:szCs w:val="26"/>
                <w:lang w:eastAsia="lv-LV"/>
              </w:rPr>
            </w:pPr>
            <w:r w:rsidRPr="002A4D6D">
              <w:rPr>
                <w:spacing w:val="-2"/>
                <w:sz w:val="26"/>
                <w:szCs w:val="26"/>
                <w:lang w:eastAsia="lv-LV"/>
              </w:rPr>
              <w:t xml:space="preserve">Padomes 2019.gada 21.novembra Īstenošanas regulas (ES) 2019/2026, ar ko groza Īstenošanas regulu (ES) Nr.282/2011 attiecība uz preču piegādi vai pakalpojumu sniegšanu, ko veicina elektroniskas saskarnes, uz īpašiem režīmiem nodokļa maksātājiem, kas sniedz pakalpojumus personām, kuras nav nodokļa maksātājas, un kas veic preču tālpārdošanu un konkrētas preču piegādes iekšzemē, 2.pants daļā par PVN maksātāju un starpnieku, kuri rīkojas to interesēs, iesniegumu iesniegšanu no 2020.gada 1.oktobra, ja tie izvēlas iekšzemē reģistrēties </w:t>
            </w:r>
            <w:proofErr w:type="spellStart"/>
            <w:r w:rsidRPr="002A4D6D">
              <w:rPr>
                <w:spacing w:val="-2"/>
                <w:sz w:val="26"/>
                <w:szCs w:val="26"/>
                <w:lang w:eastAsia="lv-LV"/>
              </w:rPr>
              <w:t>ārpussavienības</w:t>
            </w:r>
            <w:proofErr w:type="spellEnd"/>
            <w:r w:rsidRPr="002A4D6D">
              <w:rPr>
                <w:spacing w:val="-2"/>
                <w:sz w:val="26"/>
                <w:szCs w:val="26"/>
                <w:lang w:eastAsia="lv-LV"/>
              </w:rPr>
              <w:t xml:space="preserve"> režīma, savienības režīma vai importa režīma izmantošanai.</w:t>
            </w:r>
          </w:p>
        </w:tc>
      </w:tr>
      <w:tr w:rsidR="00F207FB" w:rsidRPr="002A4D6D" w14:paraId="637DC2E5" w14:textId="77777777" w:rsidTr="005E7435">
        <w:tc>
          <w:tcPr>
            <w:tcW w:w="5000" w:type="pct"/>
            <w:gridSpan w:val="16"/>
          </w:tcPr>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944"/>
              <w:gridCol w:w="2552"/>
              <w:gridCol w:w="141"/>
              <w:gridCol w:w="1699"/>
              <w:gridCol w:w="1843"/>
              <w:gridCol w:w="1841"/>
              <w:gridCol w:w="1841"/>
              <w:gridCol w:w="1841"/>
            </w:tblGrid>
            <w:tr w:rsidR="003C371F" w:rsidRPr="002A4D6D" w14:paraId="198CEB22" w14:textId="77777777" w:rsidTr="007450E3">
              <w:trPr>
                <w:gridAfter w:val="3"/>
                <w:wAfter w:w="5523" w:type="dxa"/>
              </w:trPr>
              <w:tc>
                <w:tcPr>
                  <w:tcW w:w="9179" w:type="dxa"/>
                  <w:gridSpan w:val="5"/>
                  <w:hideMark/>
                </w:tcPr>
                <w:p w14:paraId="38BF2F78" w14:textId="77777777" w:rsidR="003C371F" w:rsidRPr="002A4D6D" w:rsidRDefault="003C371F" w:rsidP="002A4D6D">
                  <w:pPr>
                    <w:jc w:val="center"/>
                    <w:rPr>
                      <w:rFonts w:eastAsia="Times New Roman"/>
                      <w:b/>
                      <w:bCs/>
                      <w:spacing w:val="-4"/>
                      <w:sz w:val="26"/>
                      <w:szCs w:val="26"/>
                      <w:lang w:eastAsia="lv-LV"/>
                    </w:rPr>
                  </w:pPr>
                  <w:r w:rsidRPr="002A4D6D">
                    <w:rPr>
                      <w:rFonts w:eastAsia="Times New Roman"/>
                      <w:b/>
                      <w:bCs/>
                      <w:spacing w:val="-4"/>
                      <w:sz w:val="26"/>
                      <w:szCs w:val="26"/>
                      <w:lang w:eastAsia="lv-LV"/>
                    </w:rPr>
                    <w:t>1. tabula</w:t>
                  </w:r>
                  <w:r w:rsidRPr="002A4D6D">
                    <w:rPr>
                      <w:rFonts w:eastAsia="Times New Roman"/>
                      <w:b/>
                      <w:bCs/>
                      <w:spacing w:val="-4"/>
                      <w:sz w:val="26"/>
                      <w:szCs w:val="26"/>
                      <w:lang w:eastAsia="lv-LV"/>
                    </w:rPr>
                    <w:br/>
                    <w:t>Tiesību akta projekta atbilstība ES tiesību aktiem</w:t>
                  </w:r>
                </w:p>
              </w:tc>
            </w:tr>
            <w:tr w:rsidR="003C371F" w:rsidRPr="002A4D6D" w14:paraId="29BCC512" w14:textId="77777777" w:rsidTr="005E7435">
              <w:trPr>
                <w:gridAfter w:val="3"/>
                <w:wAfter w:w="5523" w:type="dxa"/>
              </w:trPr>
              <w:tc>
                <w:tcPr>
                  <w:tcW w:w="2944" w:type="dxa"/>
                  <w:hideMark/>
                </w:tcPr>
                <w:p w14:paraId="4E253757" w14:textId="77777777" w:rsidR="003C371F" w:rsidRPr="002A4D6D" w:rsidRDefault="003C371F" w:rsidP="002A4D6D">
                  <w:pPr>
                    <w:rPr>
                      <w:rFonts w:eastAsia="Times New Roman"/>
                      <w:spacing w:val="-4"/>
                      <w:sz w:val="26"/>
                      <w:szCs w:val="26"/>
                      <w:lang w:eastAsia="lv-LV"/>
                    </w:rPr>
                  </w:pPr>
                  <w:r w:rsidRPr="002A4D6D">
                    <w:rPr>
                      <w:rFonts w:eastAsia="Times New Roman"/>
                      <w:spacing w:val="-4"/>
                      <w:sz w:val="26"/>
                      <w:szCs w:val="26"/>
                      <w:lang w:eastAsia="lv-LV"/>
                    </w:rPr>
                    <w:t>Attiecīgā ES tiesību akta datums, numurs un nosaukums</w:t>
                  </w:r>
                </w:p>
              </w:tc>
              <w:tc>
                <w:tcPr>
                  <w:tcW w:w="6235" w:type="dxa"/>
                  <w:gridSpan w:val="4"/>
                  <w:hideMark/>
                </w:tcPr>
                <w:p w14:paraId="29ADC7CE" w14:textId="4F1E7DC1" w:rsidR="003C371F" w:rsidRPr="002A4D6D" w:rsidRDefault="00452D44" w:rsidP="002A4D6D">
                  <w:pPr>
                    <w:pStyle w:val="ListParagraph"/>
                    <w:numPr>
                      <w:ilvl w:val="0"/>
                      <w:numId w:val="4"/>
                    </w:numPr>
                    <w:spacing w:after="0" w:line="240" w:lineRule="auto"/>
                    <w:ind w:left="414" w:hanging="357"/>
                    <w:jc w:val="both"/>
                    <w:rPr>
                      <w:spacing w:val="-4"/>
                      <w:sz w:val="26"/>
                      <w:szCs w:val="26"/>
                      <w:lang w:eastAsia="lv-LV"/>
                    </w:rPr>
                  </w:pPr>
                  <w:r w:rsidRPr="002A4D6D">
                    <w:rPr>
                      <w:spacing w:val="-4"/>
                      <w:sz w:val="26"/>
                      <w:szCs w:val="26"/>
                      <w:lang w:eastAsia="lv-LV"/>
                    </w:rPr>
                    <w:t xml:space="preserve">Padomes 2017.gada 5.decembra direktīva (ES) 2017/2455, ar ko groza Direktīvu 2006/112/EK un Direktīvas 2009/132/EK attiecībā uz konkrētām </w:t>
                  </w:r>
                  <w:r w:rsidRPr="002A4D6D">
                    <w:rPr>
                      <w:spacing w:val="-4"/>
                      <w:sz w:val="26"/>
                      <w:szCs w:val="26"/>
                      <w:lang w:eastAsia="lv-LV"/>
                    </w:rPr>
                    <w:lastRenderedPageBreak/>
                    <w:t>pievienotās vērtības nodokļa saistībām pakalpojumu sniegšanā un preču tālpārdošanā;</w:t>
                  </w:r>
                </w:p>
                <w:p w14:paraId="01976398" w14:textId="77777777" w:rsidR="007450E3" w:rsidRPr="002A4D6D" w:rsidRDefault="00452D44" w:rsidP="002A4D6D">
                  <w:pPr>
                    <w:pStyle w:val="ListParagraph"/>
                    <w:numPr>
                      <w:ilvl w:val="0"/>
                      <w:numId w:val="4"/>
                    </w:numPr>
                    <w:spacing w:after="0" w:line="240" w:lineRule="auto"/>
                    <w:ind w:left="414" w:hanging="357"/>
                    <w:jc w:val="both"/>
                    <w:rPr>
                      <w:rFonts w:eastAsia="Times New Roman"/>
                      <w:spacing w:val="-4"/>
                      <w:sz w:val="26"/>
                      <w:szCs w:val="26"/>
                      <w:lang w:eastAsia="lv-LV"/>
                    </w:rPr>
                  </w:pPr>
                  <w:r w:rsidRPr="002A4D6D">
                    <w:rPr>
                      <w:spacing w:val="-4"/>
                      <w:sz w:val="26"/>
                      <w:szCs w:val="26"/>
                      <w:lang w:eastAsia="lv-LV"/>
                    </w:rPr>
                    <w:t>Padomes 2019.gada 21.novembra direktīva (ES) 2019/1995, ar ko attiecībā uz noteikumiem par preču tālpārdošanu un konkrētām preču piegādēm iekšzemē groza Direktīvu 2006/112/EK</w:t>
                  </w:r>
                  <w:r w:rsidR="007450E3" w:rsidRPr="002A4D6D">
                    <w:rPr>
                      <w:spacing w:val="-4"/>
                      <w:sz w:val="26"/>
                      <w:szCs w:val="26"/>
                      <w:lang w:eastAsia="lv-LV"/>
                    </w:rPr>
                    <w:t>;</w:t>
                  </w:r>
                </w:p>
                <w:p w14:paraId="2D63700F" w14:textId="77777777" w:rsidR="006677D6" w:rsidRPr="002A4D6D" w:rsidRDefault="007450E3" w:rsidP="002A4D6D">
                  <w:pPr>
                    <w:pStyle w:val="ListParagraph"/>
                    <w:numPr>
                      <w:ilvl w:val="0"/>
                      <w:numId w:val="4"/>
                    </w:numPr>
                    <w:spacing w:after="0" w:line="240" w:lineRule="auto"/>
                    <w:ind w:left="414" w:hanging="357"/>
                    <w:jc w:val="both"/>
                    <w:rPr>
                      <w:rFonts w:eastAsia="Times New Roman"/>
                      <w:spacing w:val="-4"/>
                      <w:sz w:val="26"/>
                      <w:szCs w:val="26"/>
                      <w:lang w:eastAsia="lv-LV"/>
                    </w:rPr>
                  </w:pPr>
                  <w:r w:rsidRPr="002A4D6D">
                    <w:rPr>
                      <w:spacing w:val="-4"/>
                      <w:sz w:val="26"/>
                      <w:szCs w:val="26"/>
                      <w:lang w:eastAsia="lv-LV"/>
                    </w:rPr>
                    <w:t>Padomes 2006.gada 28.novembra direktīva 2006/112/EK par kopējo pievienotās vērtības nodokļa sistēmu</w:t>
                  </w:r>
                  <w:r w:rsidR="006677D6" w:rsidRPr="002A4D6D">
                    <w:rPr>
                      <w:spacing w:val="-4"/>
                      <w:sz w:val="26"/>
                      <w:szCs w:val="26"/>
                      <w:lang w:eastAsia="lv-LV"/>
                    </w:rPr>
                    <w:t>;</w:t>
                  </w:r>
                </w:p>
                <w:p w14:paraId="04C8E318" w14:textId="6302C550" w:rsidR="00452D44" w:rsidRPr="002A4D6D" w:rsidRDefault="006677D6" w:rsidP="002A4D6D">
                  <w:pPr>
                    <w:pStyle w:val="ListParagraph"/>
                    <w:numPr>
                      <w:ilvl w:val="0"/>
                      <w:numId w:val="4"/>
                    </w:numPr>
                    <w:spacing w:after="0" w:line="240" w:lineRule="auto"/>
                    <w:ind w:left="414" w:hanging="357"/>
                    <w:jc w:val="both"/>
                    <w:rPr>
                      <w:rFonts w:eastAsia="Times New Roman"/>
                      <w:spacing w:val="-4"/>
                      <w:sz w:val="26"/>
                      <w:szCs w:val="26"/>
                      <w:lang w:eastAsia="lv-LV"/>
                    </w:rPr>
                  </w:pPr>
                  <w:r w:rsidRPr="002A4D6D">
                    <w:rPr>
                      <w:spacing w:val="-4"/>
                      <w:sz w:val="26"/>
                      <w:szCs w:val="26"/>
                    </w:rPr>
                    <w:t>Padomes 2018.gada 4.decembra direktīvas (ES) 2018/1910, ar ko groza Direktīvu 2006/112/EK attiecībā uz atsevišķu pievienotās vērtības nodokļa sistēmas noteikumu saskaņošanu un vienkāršošanu tirdzniecībā starp dalībvalstīm.</w:t>
                  </w:r>
                </w:p>
              </w:tc>
            </w:tr>
            <w:tr w:rsidR="003C371F" w:rsidRPr="002A4D6D" w14:paraId="106DEAF5" w14:textId="77777777" w:rsidTr="005E7435">
              <w:trPr>
                <w:gridAfter w:val="3"/>
                <w:wAfter w:w="5523" w:type="dxa"/>
              </w:trPr>
              <w:tc>
                <w:tcPr>
                  <w:tcW w:w="2944" w:type="dxa"/>
                  <w:vAlign w:val="center"/>
                  <w:hideMark/>
                </w:tcPr>
                <w:p w14:paraId="49E1039A" w14:textId="77777777" w:rsidR="003C371F" w:rsidRPr="002A4D6D" w:rsidRDefault="003C371F" w:rsidP="002A4D6D">
                  <w:pPr>
                    <w:jc w:val="center"/>
                    <w:rPr>
                      <w:rFonts w:eastAsia="Times New Roman"/>
                      <w:spacing w:val="-4"/>
                      <w:sz w:val="26"/>
                      <w:szCs w:val="26"/>
                      <w:lang w:eastAsia="lv-LV"/>
                    </w:rPr>
                  </w:pPr>
                  <w:r w:rsidRPr="002A4D6D">
                    <w:rPr>
                      <w:rFonts w:eastAsia="Times New Roman"/>
                      <w:spacing w:val="-4"/>
                      <w:sz w:val="26"/>
                      <w:szCs w:val="26"/>
                      <w:lang w:eastAsia="lv-LV"/>
                    </w:rPr>
                    <w:lastRenderedPageBreak/>
                    <w:t>A</w:t>
                  </w:r>
                </w:p>
              </w:tc>
              <w:tc>
                <w:tcPr>
                  <w:tcW w:w="2552" w:type="dxa"/>
                  <w:vAlign w:val="center"/>
                  <w:hideMark/>
                </w:tcPr>
                <w:p w14:paraId="58541066" w14:textId="77777777" w:rsidR="003C371F" w:rsidRPr="002A4D6D" w:rsidRDefault="003C371F" w:rsidP="002A4D6D">
                  <w:pPr>
                    <w:jc w:val="center"/>
                    <w:rPr>
                      <w:rFonts w:eastAsia="Times New Roman"/>
                      <w:spacing w:val="-4"/>
                      <w:sz w:val="26"/>
                      <w:szCs w:val="26"/>
                      <w:lang w:eastAsia="lv-LV"/>
                    </w:rPr>
                  </w:pPr>
                  <w:r w:rsidRPr="002A4D6D">
                    <w:rPr>
                      <w:rFonts w:eastAsia="Times New Roman"/>
                      <w:spacing w:val="-4"/>
                      <w:sz w:val="26"/>
                      <w:szCs w:val="26"/>
                      <w:lang w:eastAsia="lv-LV"/>
                    </w:rPr>
                    <w:t>B</w:t>
                  </w:r>
                </w:p>
              </w:tc>
              <w:tc>
                <w:tcPr>
                  <w:tcW w:w="1840" w:type="dxa"/>
                  <w:gridSpan w:val="2"/>
                  <w:vAlign w:val="center"/>
                  <w:hideMark/>
                </w:tcPr>
                <w:p w14:paraId="2C05F0A6" w14:textId="77777777" w:rsidR="003C371F" w:rsidRPr="002A4D6D" w:rsidRDefault="003C371F" w:rsidP="002A4D6D">
                  <w:pPr>
                    <w:jc w:val="center"/>
                    <w:rPr>
                      <w:rFonts w:eastAsia="Times New Roman"/>
                      <w:spacing w:val="-4"/>
                      <w:sz w:val="26"/>
                      <w:szCs w:val="26"/>
                      <w:lang w:eastAsia="lv-LV"/>
                    </w:rPr>
                  </w:pPr>
                  <w:r w:rsidRPr="002A4D6D">
                    <w:rPr>
                      <w:rFonts w:eastAsia="Times New Roman"/>
                      <w:spacing w:val="-4"/>
                      <w:sz w:val="26"/>
                      <w:szCs w:val="26"/>
                      <w:lang w:eastAsia="lv-LV"/>
                    </w:rPr>
                    <w:t>C</w:t>
                  </w:r>
                </w:p>
              </w:tc>
              <w:tc>
                <w:tcPr>
                  <w:tcW w:w="1843" w:type="dxa"/>
                  <w:vAlign w:val="center"/>
                  <w:hideMark/>
                </w:tcPr>
                <w:p w14:paraId="7AEDD0BD" w14:textId="77777777" w:rsidR="003C371F" w:rsidRPr="002A4D6D" w:rsidRDefault="003C371F" w:rsidP="002A4D6D">
                  <w:pPr>
                    <w:jc w:val="center"/>
                    <w:rPr>
                      <w:rFonts w:eastAsia="Times New Roman"/>
                      <w:spacing w:val="-4"/>
                      <w:sz w:val="26"/>
                      <w:szCs w:val="26"/>
                      <w:lang w:eastAsia="lv-LV"/>
                    </w:rPr>
                  </w:pPr>
                  <w:r w:rsidRPr="002A4D6D">
                    <w:rPr>
                      <w:rFonts w:eastAsia="Times New Roman"/>
                      <w:spacing w:val="-4"/>
                      <w:sz w:val="26"/>
                      <w:szCs w:val="26"/>
                      <w:lang w:eastAsia="lv-LV"/>
                    </w:rPr>
                    <w:t>D</w:t>
                  </w:r>
                </w:p>
              </w:tc>
            </w:tr>
            <w:tr w:rsidR="00452D44" w:rsidRPr="002A4D6D" w14:paraId="6D576A41" w14:textId="77777777" w:rsidTr="007450E3">
              <w:trPr>
                <w:gridAfter w:val="3"/>
                <w:wAfter w:w="5523" w:type="dxa"/>
              </w:trPr>
              <w:tc>
                <w:tcPr>
                  <w:tcW w:w="9179" w:type="dxa"/>
                  <w:gridSpan w:val="5"/>
                  <w:vAlign w:val="center"/>
                </w:tcPr>
                <w:p w14:paraId="28916834" w14:textId="262AD28A" w:rsidR="00452D44" w:rsidRPr="002A4D6D" w:rsidRDefault="00452D44" w:rsidP="002A4D6D">
                  <w:pPr>
                    <w:jc w:val="center"/>
                    <w:rPr>
                      <w:rFonts w:eastAsia="Times New Roman"/>
                      <w:spacing w:val="-4"/>
                      <w:sz w:val="26"/>
                      <w:szCs w:val="26"/>
                      <w:lang w:eastAsia="lv-LV"/>
                    </w:rPr>
                  </w:pPr>
                  <w:r w:rsidRPr="002A4D6D">
                    <w:rPr>
                      <w:spacing w:val="-4"/>
                      <w:sz w:val="26"/>
                      <w:szCs w:val="26"/>
                    </w:rPr>
                    <w:t>Direktīvas 2017/2455 2.</w:t>
                  </w:r>
                  <w:r w:rsidR="006F57C8" w:rsidRPr="002A4D6D">
                    <w:rPr>
                      <w:spacing w:val="-4"/>
                      <w:sz w:val="26"/>
                      <w:szCs w:val="26"/>
                    </w:rPr>
                    <w:t xml:space="preserve"> un 3.</w:t>
                  </w:r>
                  <w:r w:rsidRPr="002A4D6D">
                    <w:rPr>
                      <w:spacing w:val="-4"/>
                      <w:sz w:val="26"/>
                      <w:szCs w:val="26"/>
                    </w:rPr>
                    <w:t>pants</w:t>
                  </w:r>
                </w:p>
              </w:tc>
            </w:tr>
            <w:tr w:rsidR="003C371F" w:rsidRPr="002A4D6D" w14:paraId="26AF38BD"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3DB7C10" w14:textId="44C3A838" w:rsidR="003C371F" w:rsidRPr="002A4D6D" w:rsidRDefault="0014442E" w:rsidP="002A4D6D">
                  <w:pPr>
                    <w:ind w:left="57"/>
                    <w:rPr>
                      <w:rFonts w:eastAsia="Times New Roman"/>
                      <w:spacing w:val="-4"/>
                      <w:sz w:val="26"/>
                      <w:szCs w:val="26"/>
                      <w:lang w:eastAsia="lv-LV"/>
                    </w:rPr>
                  </w:pPr>
                  <w:r w:rsidRPr="002A4D6D">
                    <w:rPr>
                      <w:spacing w:val="-4"/>
                      <w:sz w:val="26"/>
                      <w:szCs w:val="26"/>
                    </w:rPr>
                    <w:t>Direktīvas 2017/2455 2.panta 1.punkts attiecībā uz 14.panta 4.punkta pārņemšanu</w:t>
                  </w:r>
                </w:p>
              </w:tc>
              <w:tc>
                <w:tcPr>
                  <w:tcW w:w="2552" w:type="dxa"/>
                  <w:tcBorders>
                    <w:top w:val="outset" w:sz="6" w:space="0" w:color="auto"/>
                    <w:left w:val="outset" w:sz="6" w:space="0" w:color="auto"/>
                    <w:bottom w:val="outset" w:sz="6" w:space="0" w:color="auto"/>
                    <w:right w:val="outset" w:sz="6" w:space="0" w:color="auto"/>
                  </w:tcBorders>
                </w:tcPr>
                <w:p w14:paraId="74C37236" w14:textId="77777777" w:rsidR="0014442E" w:rsidRPr="002A4D6D" w:rsidRDefault="0014442E" w:rsidP="002A4D6D">
                  <w:pPr>
                    <w:jc w:val="center"/>
                    <w:rPr>
                      <w:spacing w:val="-4"/>
                      <w:sz w:val="26"/>
                      <w:szCs w:val="26"/>
                    </w:rPr>
                  </w:pPr>
                  <w:r w:rsidRPr="002A4D6D">
                    <w:rPr>
                      <w:spacing w:val="-4"/>
                      <w:sz w:val="26"/>
                      <w:szCs w:val="26"/>
                    </w:rPr>
                    <w:t>Likumprojekta 3.pants</w:t>
                  </w:r>
                </w:p>
                <w:p w14:paraId="76336174" w14:textId="0D54951F" w:rsidR="003C371F" w:rsidRPr="002A4D6D" w:rsidRDefault="0014442E" w:rsidP="002A4D6D">
                  <w:pPr>
                    <w:jc w:val="center"/>
                    <w:rPr>
                      <w:rFonts w:eastAsia="Times New Roman"/>
                      <w:spacing w:val="-4"/>
                      <w:sz w:val="26"/>
                      <w:szCs w:val="26"/>
                      <w:lang w:eastAsia="lv-LV"/>
                    </w:rPr>
                  </w:pPr>
                  <w:r w:rsidRPr="002A4D6D">
                    <w:rPr>
                      <w:spacing w:val="-4"/>
                      <w:sz w:val="26"/>
                      <w:szCs w:val="26"/>
                    </w:rPr>
                    <w:t>(Pievienotās vērtības nodokļa likuma 10.</w:t>
                  </w:r>
                  <w:r w:rsidR="00CD6274" w:rsidRPr="002A4D6D">
                    <w:rPr>
                      <w:spacing w:val="-4"/>
                      <w:sz w:val="26"/>
                      <w:szCs w:val="26"/>
                    </w:rPr>
                    <w:t> </w:t>
                  </w:r>
                  <w:r w:rsidRPr="002A4D6D">
                    <w:rPr>
                      <w:spacing w:val="-4"/>
                      <w:sz w:val="26"/>
                      <w:szCs w:val="26"/>
                    </w:rPr>
                    <w:t>pant</w:t>
                  </w:r>
                  <w:r w:rsidR="00CD6274" w:rsidRPr="002A4D6D">
                    <w:rPr>
                      <w:spacing w:val="-4"/>
                      <w:sz w:val="26"/>
                      <w:szCs w:val="26"/>
                    </w:rPr>
                    <w:t>s</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hideMark/>
                </w:tcPr>
                <w:p w14:paraId="2C2E91B5" w14:textId="77777777" w:rsidR="003C371F" w:rsidRPr="002A4D6D" w:rsidRDefault="003C371F"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hideMark/>
                </w:tcPr>
                <w:p w14:paraId="11989C42" w14:textId="77777777" w:rsidR="003C371F" w:rsidRPr="002A4D6D" w:rsidRDefault="003C371F"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D2CE6" w:rsidRPr="002A4D6D" w14:paraId="67B8859B"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752A394" w14:textId="70B62D89" w:rsidR="006D2CE6" w:rsidRPr="002A4D6D" w:rsidRDefault="0014442E" w:rsidP="002A4D6D">
                  <w:pPr>
                    <w:jc w:val="center"/>
                    <w:rPr>
                      <w:rFonts w:eastAsia="Times New Roman"/>
                      <w:spacing w:val="-4"/>
                      <w:sz w:val="26"/>
                      <w:szCs w:val="26"/>
                      <w:lang w:eastAsia="lv-LV"/>
                    </w:rPr>
                  </w:pPr>
                  <w:r w:rsidRPr="002A4D6D">
                    <w:rPr>
                      <w:spacing w:val="-4"/>
                      <w:sz w:val="26"/>
                      <w:szCs w:val="26"/>
                    </w:rPr>
                    <w:t>Direktīvas 2017/2455 2.panta 2.punkts attiecībā uz 14.a panta 1.punkta pārņemšanu</w:t>
                  </w:r>
                </w:p>
              </w:tc>
              <w:tc>
                <w:tcPr>
                  <w:tcW w:w="2552" w:type="dxa"/>
                  <w:tcBorders>
                    <w:top w:val="outset" w:sz="6" w:space="0" w:color="auto"/>
                    <w:left w:val="outset" w:sz="6" w:space="0" w:color="auto"/>
                    <w:bottom w:val="outset" w:sz="6" w:space="0" w:color="auto"/>
                    <w:right w:val="outset" w:sz="6" w:space="0" w:color="auto"/>
                  </w:tcBorders>
                </w:tcPr>
                <w:p w14:paraId="557B4B3A" w14:textId="07915C50" w:rsidR="0014442E" w:rsidRPr="002A4D6D" w:rsidRDefault="0014442E" w:rsidP="002A4D6D">
                  <w:pPr>
                    <w:jc w:val="center"/>
                    <w:rPr>
                      <w:spacing w:val="-4"/>
                      <w:sz w:val="26"/>
                      <w:szCs w:val="26"/>
                    </w:rPr>
                  </w:pPr>
                  <w:r w:rsidRPr="002A4D6D">
                    <w:rPr>
                      <w:spacing w:val="-4"/>
                      <w:sz w:val="26"/>
                      <w:szCs w:val="26"/>
                    </w:rPr>
                    <w:t xml:space="preserve">Likumprojekta </w:t>
                  </w:r>
                  <w:r w:rsidR="00CD6274" w:rsidRPr="002A4D6D">
                    <w:rPr>
                      <w:spacing w:val="-4"/>
                      <w:sz w:val="26"/>
                      <w:szCs w:val="26"/>
                    </w:rPr>
                    <w:t>1</w:t>
                  </w:r>
                  <w:r w:rsidRPr="002A4D6D">
                    <w:rPr>
                      <w:spacing w:val="-4"/>
                      <w:sz w:val="26"/>
                      <w:szCs w:val="26"/>
                    </w:rPr>
                    <w:t>.pants</w:t>
                  </w:r>
                </w:p>
                <w:p w14:paraId="685A6557" w14:textId="64C789A0" w:rsidR="006D2CE6" w:rsidRPr="002A4D6D" w:rsidRDefault="0014442E" w:rsidP="002A4D6D">
                  <w:pPr>
                    <w:jc w:val="center"/>
                    <w:rPr>
                      <w:rFonts w:eastAsia="Times New Roman"/>
                      <w:spacing w:val="-4"/>
                      <w:sz w:val="26"/>
                      <w:szCs w:val="26"/>
                      <w:lang w:eastAsia="lv-LV"/>
                    </w:rPr>
                  </w:pPr>
                  <w:r w:rsidRPr="002A4D6D">
                    <w:rPr>
                      <w:spacing w:val="-4"/>
                      <w:sz w:val="26"/>
                      <w:szCs w:val="26"/>
                    </w:rPr>
                    <w:t xml:space="preserve">(Pievienotās vērtības nodokļa likuma </w:t>
                  </w:r>
                  <w:r w:rsidR="00CD6274" w:rsidRPr="002A4D6D">
                    <w:rPr>
                      <w:spacing w:val="-4"/>
                      <w:sz w:val="26"/>
                      <w:szCs w:val="26"/>
                    </w:rPr>
                    <w:t>6</w:t>
                  </w:r>
                  <w:r w:rsidRPr="002A4D6D">
                    <w:rPr>
                      <w:spacing w:val="-4"/>
                      <w:sz w:val="26"/>
                      <w:szCs w:val="26"/>
                    </w:rPr>
                    <w:t>.panta piektā daļa)</w:t>
                  </w:r>
                </w:p>
              </w:tc>
              <w:tc>
                <w:tcPr>
                  <w:tcW w:w="1840" w:type="dxa"/>
                  <w:gridSpan w:val="2"/>
                  <w:tcBorders>
                    <w:top w:val="outset" w:sz="6" w:space="0" w:color="auto"/>
                    <w:left w:val="outset" w:sz="6" w:space="0" w:color="auto"/>
                    <w:bottom w:val="outset" w:sz="6" w:space="0" w:color="auto"/>
                    <w:right w:val="outset" w:sz="6" w:space="0" w:color="auto"/>
                  </w:tcBorders>
                </w:tcPr>
                <w:p w14:paraId="6EEEAF1E" w14:textId="2CF6DE8A" w:rsidR="006D2CE6" w:rsidRPr="002A4D6D" w:rsidRDefault="0014442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5C0FD0B" w14:textId="2E06C5C9" w:rsidR="006D2CE6" w:rsidRPr="002A4D6D" w:rsidRDefault="0014442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4442E" w:rsidRPr="002A4D6D" w14:paraId="3529D7E6"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7EEE27F3" w14:textId="172DEB26" w:rsidR="0014442E" w:rsidRPr="002A4D6D" w:rsidRDefault="0014442E" w:rsidP="002A4D6D">
                  <w:pPr>
                    <w:jc w:val="center"/>
                    <w:rPr>
                      <w:spacing w:val="-4"/>
                      <w:sz w:val="26"/>
                      <w:szCs w:val="26"/>
                    </w:rPr>
                  </w:pPr>
                  <w:r w:rsidRPr="002A4D6D">
                    <w:rPr>
                      <w:spacing w:val="-4"/>
                      <w:sz w:val="26"/>
                      <w:szCs w:val="26"/>
                    </w:rPr>
                    <w:t>Direktīvas 2017/2455 2.panta 2.punkts attiecībā uz 14.a panta 2.punkta pārņemšanu</w:t>
                  </w:r>
                </w:p>
              </w:tc>
              <w:tc>
                <w:tcPr>
                  <w:tcW w:w="2552" w:type="dxa"/>
                  <w:tcBorders>
                    <w:top w:val="outset" w:sz="6" w:space="0" w:color="auto"/>
                    <w:left w:val="outset" w:sz="6" w:space="0" w:color="auto"/>
                    <w:bottom w:val="outset" w:sz="6" w:space="0" w:color="auto"/>
                    <w:right w:val="outset" w:sz="6" w:space="0" w:color="auto"/>
                  </w:tcBorders>
                </w:tcPr>
                <w:p w14:paraId="3FB519D3" w14:textId="0D72541A" w:rsidR="0014442E" w:rsidRPr="002A4D6D" w:rsidRDefault="0014442E" w:rsidP="002A4D6D">
                  <w:pPr>
                    <w:jc w:val="center"/>
                    <w:rPr>
                      <w:spacing w:val="-4"/>
                      <w:sz w:val="26"/>
                      <w:szCs w:val="26"/>
                    </w:rPr>
                  </w:pPr>
                  <w:r w:rsidRPr="002A4D6D">
                    <w:rPr>
                      <w:spacing w:val="-4"/>
                      <w:sz w:val="26"/>
                      <w:szCs w:val="26"/>
                    </w:rPr>
                    <w:t xml:space="preserve">Likumprojekta </w:t>
                  </w:r>
                  <w:r w:rsidR="00CD6274" w:rsidRPr="002A4D6D">
                    <w:rPr>
                      <w:spacing w:val="-4"/>
                      <w:sz w:val="26"/>
                      <w:szCs w:val="26"/>
                    </w:rPr>
                    <w:t>1</w:t>
                  </w:r>
                  <w:r w:rsidRPr="002A4D6D">
                    <w:rPr>
                      <w:spacing w:val="-4"/>
                      <w:sz w:val="26"/>
                      <w:szCs w:val="26"/>
                    </w:rPr>
                    <w:t>.pants</w:t>
                  </w:r>
                </w:p>
                <w:p w14:paraId="117F9B07" w14:textId="782FFBF2" w:rsidR="0014442E" w:rsidRPr="002A4D6D" w:rsidRDefault="0014442E" w:rsidP="002A4D6D">
                  <w:pPr>
                    <w:jc w:val="center"/>
                    <w:rPr>
                      <w:spacing w:val="-4"/>
                      <w:sz w:val="26"/>
                      <w:szCs w:val="26"/>
                    </w:rPr>
                  </w:pPr>
                  <w:r w:rsidRPr="002A4D6D">
                    <w:rPr>
                      <w:spacing w:val="-4"/>
                      <w:sz w:val="26"/>
                      <w:szCs w:val="26"/>
                    </w:rPr>
                    <w:t xml:space="preserve">(Pievienotās vērtības nodokļa likuma </w:t>
                  </w:r>
                  <w:r w:rsidR="00CD6274" w:rsidRPr="002A4D6D">
                    <w:rPr>
                      <w:spacing w:val="-4"/>
                      <w:sz w:val="26"/>
                      <w:szCs w:val="26"/>
                    </w:rPr>
                    <w:t>6</w:t>
                  </w:r>
                  <w:r w:rsidRPr="002A4D6D">
                    <w:rPr>
                      <w:spacing w:val="-4"/>
                      <w:sz w:val="26"/>
                      <w:szCs w:val="26"/>
                    </w:rPr>
                    <w:t>.panta sestā daļa)</w:t>
                  </w:r>
                </w:p>
              </w:tc>
              <w:tc>
                <w:tcPr>
                  <w:tcW w:w="1840" w:type="dxa"/>
                  <w:gridSpan w:val="2"/>
                  <w:tcBorders>
                    <w:top w:val="outset" w:sz="6" w:space="0" w:color="auto"/>
                    <w:left w:val="outset" w:sz="6" w:space="0" w:color="auto"/>
                    <w:bottom w:val="outset" w:sz="6" w:space="0" w:color="auto"/>
                    <w:right w:val="outset" w:sz="6" w:space="0" w:color="auto"/>
                  </w:tcBorders>
                </w:tcPr>
                <w:p w14:paraId="676B17DC" w14:textId="724A1D20" w:rsidR="0014442E" w:rsidRPr="002A4D6D" w:rsidRDefault="0014442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127F353B" w14:textId="204C4EE9" w:rsidR="0014442E" w:rsidRPr="002A4D6D" w:rsidRDefault="0014442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4442E" w:rsidRPr="002A4D6D" w14:paraId="4AF6E769"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1C983F6" w14:textId="154430F1" w:rsidR="0014442E" w:rsidRPr="002A4D6D" w:rsidRDefault="0014442E" w:rsidP="002A4D6D">
                  <w:pPr>
                    <w:jc w:val="center"/>
                    <w:rPr>
                      <w:spacing w:val="-4"/>
                      <w:sz w:val="26"/>
                      <w:szCs w:val="26"/>
                    </w:rPr>
                  </w:pPr>
                  <w:r w:rsidRPr="002A4D6D">
                    <w:rPr>
                      <w:spacing w:val="-4"/>
                      <w:sz w:val="26"/>
                      <w:szCs w:val="26"/>
                    </w:rPr>
                    <w:t>Direktīvas 2017/2455 2.panta 3.punkts attiecībā uz 33.panta “a” apakšpunkta pārņemšanu</w:t>
                  </w:r>
                </w:p>
              </w:tc>
              <w:tc>
                <w:tcPr>
                  <w:tcW w:w="2552" w:type="dxa"/>
                  <w:tcBorders>
                    <w:top w:val="outset" w:sz="6" w:space="0" w:color="auto"/>
                    <w:left w:val="outset" w:sz="6" w:space="0" w:color="auto"/>
                    <w:bottom w:val="outset" w:sz="6" w:space="0" w:color="auto"/>
                    <w:right w:val="outset" w:sz="6" w:space="0" w:color="auto"/>
                  </w:tcBorders>
                </w:tcPr>
                <w:p w14:paraId="298248F5" w14:textId="761111AE" w:rsidR="0014442E" w:rsidRPr="002A4D6D" w:rsidRDefault="0014442E" w:rsidP="002A4D6D">
                  <w:pPr>
                    <w:jc w:val="center"/>
                    <w:rPr>
                      <w:spacing w:val="-4"/>
                      <w:sz w:val="26"/>
                      <w:szCs w:val="26"/>
                    </w:rPr>
                  </w:pPr>
                  <w:r w:rsidRPr="002A4D6D">
                    <w:rPr>
                      <w:spacing w:val="-4"/>
                      <w:sz w:val="26"/>
                      <w:szCs w:val="26"/>
                    </w:rPr>
                    <w:t xml:space="preserve">Likumprojekta </w:t>
                  </w:r>
                  <w:r w:rsidR="00CD6274" w:rsidRPr="002A4D6D">
                    <w:rPr>
                      <w:spacing w:val="-4"/>
                      <w:sz w:val="26"/>
                      <w:szCs w:val="26"/>
                    </w:rPr>
                    <w:t>6</w:t>
                  </w:r>
                  <w:r w:rsidRPr="002A4D6D">
                    <w:rPr>
                      <w:spacing w:val="-4"/>
                      <w:sz w:val="26"/>
                      <w:szCs w:val="26"/>
                    </w:rPr>
                    <w:t>.pants</w:t>
                  </w:r>
                </w:p>
                <w:p w14:paraId="0AD852EE" w14:textId="10256721" w:rsidR="0014442E" w:rsidRPr="002A4D6D" w:rsidRDefault="0014442E" w:rsidP="002A4D6D">
                  <w:pPr>
                    <w:jc w:val="center"/>
                    <w:rPr>
                      <w:spacing w:val="-4"/>
                      <w:sz w:val="26"/>
                      <w:szCs w:val="26"/>
                    </w:rPr>
                  </w:pPr>
                  <w:r w:rsidRPr="002A4D6D">
                    <w:rPr>
                      <w:spacing w:val="-4"/>
                      <w:sz w:val="26"/>
                      <w:szCs w:val="26"/>
                    </w:rPr>
                    <w:t>(Pievienotās vērtības nodokļa likuma 13.</w:t>
                  </w:r>
                  <w:r w:rsidR="00CD6274" w:rsidRPr="002A4D6D">
                    <w:rPr>
                      <w:spacing w:val="-4"/>
                      <w:sz w:val="26"/>
                      <w:szCs w:val="26"/>
                    </w:rPr>
                    <w:t> </w:t>
                  </w:r>
                  <w:r w:rsidRPr="002A4D6D">
                    <w:rPr>
                      <w:spacing w:val="-4"/>
                      <w:sz w:val="26"/>
                      <w:szCs w:val="26"/>
                    </w:rPr>
                    <w:t>panta pirmā daļa)</w:t>
                  </w:r>
                </w:p>
              </w:tc>
              <w:tc>
                <w:tcPr>
                  <w:tcW w:w="1840" w:type="dxa"/>
                  <w:gridSpan w:val="2"/>
                  <w:tcBorders>
                    <w:top w:val="outset" w:sz="6" w:space="0" w:color="auto"/>
                    <w:left w:val="outset" w:sz="6" w:space="0" w:color="auto"/>
                    <w:bottom w:val="outset" w:sz="6" w:space="0" w:color="auto"/>
                    <w:right w:val="outset" w:sz="6" w:space="0" w:color="auto"/>
                  </w:tcBorders>
                </w:tcPr>
                <w:p w14:paraId="27F230C8" w14:textId="54BF16A0" w:rsidR="0014442E" w:rsidRPr="002A4D6D" w:rsidRDefault="0014442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1146249A" w14:textId="41D3D2B7" w:rsidR="0014442E" w:rsidRPr="002A4D6D" w:rsidRDefault="0014442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96218E" w:rsidRPr="002A4D6D" w14:paraId="406E22FD"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40733F8" w14:textId="123BA4AB" w:rsidR="0096218E" w:rsidRPr="002A4D6D" w:rsidRDefault="0096218E" w:rsidP="002A4D6D">
                  <w:pPr>
                    <w:jc w:val="center"/>
                    <w:rPr>
                      <w:spacing w:val="-4"/>
                      <w:sz w:val="26"/>
                      <w:szCs w:val="26"/>
                    </w:rPr>
                  </w:pPr>
                  <w:r w:rsidRPr="002A4D6D">
                    <w:rPr>
                      <w:spacing w:val="-4"/>
                      <w:sz w:val="26"/>
                      <w:szCs w:val="26"/>
                    </w:rPr>
                    <w:t>Direktīvas 2017/2455 2.panta 3.punkts attiecībā uz 33.panta “b” apakšpunkta pārņemšanu</w:t>
                  </w:r>
                </w:p>
              </w:tc>
              <w:tc>
                <w:tcPr>
                  <w:tcW w:w="2552" w:type="dxa"/>
                  <w:tcBorders>
                    <w:top w:val="outset" w:sz="6" w:space="0" w:color="auto"/>
                    <w:left w:val="outset" w:sz="6" w:space="0" w:color="auto"/>
                    <w:bottom w:val="outset" w:sz="6" w:space="0" w:color="auto"/>
                    <w:right w:val="outset" w:sz="6" w:space="0" w:color="auto"/>
                  </w:tcBorders>
                </w:tcPr>
                <w:p w14:paraId="1FB44810" w14:textId="07E02ECF" w:rsidR="0096218E" w:rsidRPr="002A4D6D" w:rsidRDefault="0096218E" w:rsidP="002A4D6D">
                  <w:pPr>
                    <w:jc w:val="center"/>
                    <w:rPr>
                      <w:spacing w:val="-4"/>
                      <w:sz w:val="26"/>
                      <w:szCs w:val="26"/>
                    </w:rPr>
                  </w:pPr>
                  <w:r w:rsidRPr="002A4D6D">
                    <w:rPr>
                      <w:spacing w:val="-4"/>
                      <w:sz w:val="26"/>
                      <w:szCs w:val="26"/>
                    </w:rPr>
                    <w:t xml:space="preserve">Likumprojekta </w:t>
                  </w:r>
                  <w:r w:rsidR="00CD6274" w:rsidRPr="002A4D6D">
                    <w:rPr>
                      <w:spacing w:val="-4"/>
                      <w:sz w:val="26"/>
                      <w:szCs w:val="26"/>
                    </w:rPr>
                    <w:t>6</w:t>
                  </w:r>
                  <w:r w:rsidRPr="002A4D6D">
                    <w:rPr>
                      <w:spacing w:val="-4"/>
                      <w:sz w:val="26"/>
                      <w:szCs w:val="26"/>
                    </w:rPr>
                    <w:t>.pants</w:t>
                  </w:r>
                </w:p>
                <w:p w14:paraId="63618E27" w14:textId="38101561" w:rsidR="0096218E" w:rsidRPr="002A4D6D" w:rsidRDefault="0096218E" w:rsidP="002A4D6D">
                  <w:pPr>
                    <w:jc w:val="center"/>
                    <w:rPr>
                      <w:spacing w:val="-4"/>
                      <w:sz w:val="26"/>
                      <w:szCs w:val="26"/>
                    </w:rPr>
                  </w:pPr>
                  <w:r w:rsidRPr="002A4D6D">
                    <w:rPr>
                      <w:spacing w:val="-4"/>
                      <w:sz w:val="26"/>
                      <w:szCs w:val="26"/>
                    </w:rPr>
                    <w:t>(Pievienotās vērtības nodokļa likuma 13.</w:t>
                  </w:r>
                  <w:r w:rsidR="00CD6274" w:rsidRPr="002A4D6D">
                    <w:rPr>
                      <w:spacing w:val="-4"/>
                      <w:sz w:val="26"/>
                      <w:szCs w:val="26"/>
                    </w:rPr>
                    <w:t> </w:t>
                  </w:r>
                  <w:r w:rsidRPr="002A4D6D">
                    <w:rPr>
                      <w:spacing w:val="-4"/>
                      <w:sz w:val="26"/>
                      <w:szCs w:val="26"/>
                    </w:rPr>
                    <w:t>panta</w:t>
                  </w:r>
                  <w:r w:rsidR="00CD6274" w:rsidRPr="002A4D6D">
                    <w:rPr>
                      <w:spacing w:val="-4"/>
                      <w:sz w:val="26"/>
                      <w:szCs w:val="26"/>
                    </w:rPr>
                    <w:t xml:space="preserve"> piektās </w:t>
                  </w:r>
                  <w:r w:rsidRPr="002A4D6D">
                    <w:rPr>
                      <w:spacing w:val="-4"/>
                      <w:sz w:val="26"/>
                      <w:szCs w:val="26"/>
                    </w:rPr>
                    <w:t>daļas 1.punkts)</w:t>
                  </w:r>
                </w:p>
              </w:tc>
              <w:tc>
                <w:tcPr>
                  <w:tcW w:w="1840" w:type="dxa"/>
                  <w:gridSpan w:val="2"/>
                  <w:tcBorders>
                    <w:top w:val="outset" w:sz="6" w:space="0" w:color="auto"/>
                    <w:left w:val="outset" w:sz="6" w:space="0" w:color="auto"/>
                    <w:bottom w:val="outset" w:sz="6" w:space="0" w:color="auto"/>
                    <w:right w:val="outset" w:sz="6" w:space="0" w:color="auto"/>
                  </w:tcBorders>
                </w:tcPr>
                <w:p w14:paraId="30975EF0" w14:textId="67B00F7F"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3A21DED3" w14:textId="684F5845"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96218E" w:rsidRPr="002A4D6D" w14:paraId="157A9EEE"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1DF3A920" w14:textId="0D95B71A" w:rsidR="0096218E" w:rsidRPr="002A4D6D" w:rsidRDefault="0096218E" w:rsidP="002A4D6D">
                  <w:pPr>
                    <w:jc w:val="center"/>
                    <w:rPr>
                      <w:spacing w:val="-4"/>
                      <w:sz w:val="26"/>
                      <w:szCs w:val="26"/>
                    </w:rPr>
                  </w:pPr>
                  <w:r w:rsidRPr="002A4D6D">
                    <w:rPr>
                      <w:spacing w:val="-4"/>
                      <w:sz w:val="26"/>
                      <w:szCs w:val="26"/>
                    </w:rPr>
                    <w:t>Direktīvas 2017/2455 2.panta 3.punkts attiecībā uz 33.panta “c” apakšpunkta pārņemšanu</w:t>
                  </w:r>
                </w:p>
              </w:tc>
              <w:tc>
                <w:tcPr>
                  <w:tcW w:w="2552" w:type="dxa"/>
                  <w:tcBorders>
                    <w:top w:val="outset" w:sz="6" w:space="0" w:color="auto"/>
                    <w:left w:val="outset" w:sz="6" w:space="0" w:color="auto"/>
                    <w:bottom w:val="outset" w:sz="6" w:space="0" w:color="auto"/>
                    <w:right w:val="outset" w:sz="6" w:space="0" w:color="auto"/>
                  </w:tcBorders>
                </w:tcPr>
                <w:p w14:paraId="6AB5045E" w14:textId="64EDD799" w:rsidR="0096218E" w:rsidRPr="002A4D6D" w:rsidRDefault="0096218E" w:rsidP="002A4D6D">
                  <w:pPr>
                    <w:jc w:val="center"/>
                    <w:rPr>
                      <w:spacing w:val="-4"/>
                      <w:sz w:val="26"/>
                      <w:szCs w:val="26"/>
                    </w:rPr>
                  </w:pPr>
                  <w:r w:rsidRPr="002A4D6D">
                    <w:rPr>
                      <w:spacing w:val="-4"/>
                      <w:sz w:val="26"/>
                      <w:szCs w:val="26"/>
                    </w:rPr>
                    <w:t xml:space="preserve">Likumprojekta </w:t>
                  </w:r>
                  <w:r w:rsidR="00CD6274" w:rsidRPr="002A4D6D">
                    <w:rPr>
                      <w:spacing w:val="-4"/>
                      <w:sz w:val="26"/>
                      <w:szCs w:val="26"/>
                    </w:rPr>
                    <w:t>6</w:t>
                  </w:r>
                  <w:r w:rsidRPr="002A4D6D">
                    <w:rPr>
                      <w:spacing w:val="-4"/>
                      <w:sz w:val="26"/>
                      <w:szCs w:val="26"/>
                    </w:rPr>
                    <w:t>.pants</w:t>
                  </w:r>
                </w:p>
                <w:p w14:paraId="27ABEF7E" w14:textId="404FF01E" w:rsidR="0096218E" w:rsidRPr="002A4D6D" w:rsidRDefault="0096218E" w:rsidP="002A4D6D">
                  <w:pPr>
                    <w:jc w:val="center"/>
                    <w:rPr>
                      <w:spacing w:val="-4"/>
                      <w:sz w:val="26"/>
                      <w:szCs w:val="26"/>
                    </w:rPr>
                  </w:pPr>
                  <w:r w:rsidRPr="002A4D6D">
                    <w:rPr>
                      <w:spacing w:val="-4"/>
                      <w:sz w:val="26"/>
                      <w:szCs w:val="26"/>
                    </w:rPr>
                    <w:t>(Pievienotās vērtības nodokļa likuma 13.</w:t>
                  </w:r>
                  <w:r w:rsidR="0084114E" w:rsidRPr="002A4D6D">
                    <w:rPr>
                      <w:spacing w:val="-4"/>
                      <w:sz w:val="26"/>
                      <w:szCs w:val="26"/>
                    </w:rPr>
                    <w:t> </w:t>
                  </w:r>
                  <w:r w:rsidRPr="002A4D6D">
                    <w:rPr>
                      <w:spacing w:val="-4"/>
                      <w:sz w:val="26"/>
                      <w:szCs w:val="26"/>
                    </w:rPr>
                    <w:t xml:space="preserve">panta </w:t>
                  </w:r>
                  <w:r w:rsidR="00CD6274" w:rsidRPr="002A4D6D">
                    <w:rPr>
                      <w:spacing w:val="-4"/>
                      <w:sz w:val="26"/>
                      <w:szCs w:val="26"/>
                    </w:rPr>
                    <w:t xml:space="preserve">piektās </w:t>
                  </w:r>
                  <w:r w:rsidRPr="002A4D6D">
                    <w:rPr>
                      <w:spacing w:val="-4"/>
                      <w:sz w:val="26"/>
                      <w:szCs w:val="26"/>
                    </w:rPr>
                    <w:t>daļas 2.punkts)</w:t>
                  </w:r>
                </w:p>
              </w:tc>
              <w:tc>
                <w:tcPr>
                  <w:tcW w:w="1840" w:type="dxa"/>
                  <w:gridSpan w:val="2"/>
                  <w:tcBorders>
                    <w:top w:val="outset" w:sz="6" w:space="0" w:color="auto"/>
                    <w:left w:val="outset" w:sz="6" w:space="0" w:color="auto"/>
                    <w:bottom w:val="outset" w:sz="6" w:space="0" w:color="auto"/>
                    <w:right w:val="outset" w:sz="6" w:space="0" w:color="auto"/>
                  </w:tcBorders>
                </w:tcPr>
                <w:p w14:paraId="0A0F7777" w14:textId="60215DB0"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0E66B6AC" w14:textId="7B1404CC"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96218E" w:rsidRPr="002A4D6D" w14:paraId="3265D3EA"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2396331D" w14:textId="345AC77F" w:rsidR="0096218E" w:rsidRPr="002A4D6D" w:rsidRDefault="0096218E" w:rsidP="002A4D6D">
                  <w:pPr>
                    <w:jc w:val="center"/>
                    <w:rPr>
                      <w:spacing w:val="-4"/>
                      <w:sz w:val="26"/>
                      <w:szCs w:val="26"/>
                    </w:rPr>
                  </w:pPr>
                  <w:r w:rsidRPr="002A4D6D">
                    <w:rPr>
                      <w:spacing w:val="-4"/>
                      <w:sz w:val="26"/>
                      <w:szCs w:val="26"/>
                    </w:rPr>
                    <w:t>Direktīvas 2017/2455 2.panta 4.punkts attiecībā uz 34.panta svītrošanu</w:t>
                  </w:r>
                </w:p>
              </w:tc>
              <w:tc>
                <w:tcPr>
                  <w:tcW w:w="2552" w:type="dxa"/>
                  <w:tcBorders>
                    <w:top w:val="outset" w:sz="6" w:space="0" w:color="auto"/>
                    <w:left w:val="outset" w:sz="6" w:space="0" w:color="auto"/>
                    <w:bottom w:val="outset" w:sz="6" w:space="0" w:color="auto"/>
                    <w:right w:val="outset" w:sz="6" w:space="0" w:color="auto"/>
                  </w:tcBorders>
                </w:tcPr>
                <w:p w14:paraId="34BC1A49" w14:textId="0104E006" w:rsidR="0096218E" w:rsidRPr="002A4D6D" w:rsidRDefault="0096218E" w:rsidP="002A4D6D">
                  <w:pPr>
                    <w:jc w:val="center"/>
                    <w:rPr>
                      <w:spacing w:val="-4"/>
                      <w:sz w:val="26"/>
                      <w:szCs w:val="26"/>
                    </w:rPr>
                  </w:pPr>
                  <w:r w:rsidRPr="002A4D6D">
                    <w:rPr>
                      <w:spacing w:val="-4"/>
                      <w:sz w:val="26"/>
                      <w:szCs w:val="26"/>
                    </w:rPr>
                    <w:t xml:space="preserve">Likumprojekta </w:t>
                  </w:r>
                  <w:r w:rsidR="00CD6274" w:rsidRPr="002A4D6D">
                    <w:rPr>
                      <w:spacing w:val="-4"/>
                      <w:sz w:val="26"/>
                      <w:szCs w:val="26"/>
                    </w:rPr>
                    <w:t>1</w:t>
                  </w:r>
                  <w:r w:rsidR="00CF71ED" w:rsidRPr="002A4D6D">
                    <w:rPr>
                      <w:spacing w:val="-4"/>
                      <w:sz w:val="26"/>
                      <w:szCs w:val="26"/>
                    </w:rPr>
                    <w:t>1</w:t>
                  </w:r>
                  <w:r w:rsidRPr="002A4D6D">
                    <w:rPr>
                      <w:spacing w:val="-4"/>
                      <w:sz w:val="26"/>
                      <w:szCs w:val="26"/>
                    </w:rPr>
                    <w:t>.pants</w:t>
                  </w:r>
                </w:p>
                <w:p w14:paraId="54339F4C" w14:textId="35C38A37" w:rsidR="0096218E" w:rsidRPr="002A4D6D" w:rsidRDefault="0096218E" w:rsidP="002A4D6D">
                  <w:pPr>
                    <w:jc w:val="center"/>
                    <w:rPr>
                      <w:spacing w:val="-4"/>
                      <w:sz w:val="26"/>
                      <w:szCs w:val="26"/>
                    </w:rPr>
                  </w:pPr>
                  <w:r w:rsidRPr="002A4D6D">
                    <w:rPr>
                      <w:spacing w:val="-4"/>
                      <w:sz w:val="26"/>
                      <w:szCs w:val="26"/>
                    </w:rPr>
                    <w:t xml:space="preserve">(Pievienotās vērtības nodokļa likuma </w:t>
                  </w:r>
                  <w:r w:rsidR="00CD6274" w:rsidRPr="002A4D6D">
                    <w:rPr>
                      <w:spacing w:val="-4"/>
                      <w:sz w:val="26"/>
                      <w:szCs w:val="26"/>
                    </w:rPr>
                    <w:t>60</w:t>
                  </w:r>
                  <w:r w:rsidRPr="002A4D6D">
                    <w:rPr>
                      <w:spacing w:val="-4"/>
                      <w:sz w:val="26"/>
                      <w:szCs w:val="26"/>
                    </w:rPr>
                    <w:t xml:space="preserve">.panta otrās </w:t>
                  </w:r>
                  <w:r w:rsidR="00CD6274" w:rsidRPr="002A4D6D">
                    <w:rPr>
                      <w:spacing w:val="-4"/>
                      <w:sz w:val="26"/>
                      <w:szCs w:val="26"/>
                    </w:rPr>
                    <w:t xml:space="preserve">daļas </w:t>
                  </w:r>
                  <w:r w:rsidR="007273A9" w:rsidRPr="002A4D6D">
                    <w:rPr>
                      <w:spacing w:val="-4"/>
                      <w:sz w:val="26"/>
                      <w:szCs w:val="26"/>
                    </w:rPr>
                    <w:t>1</w:t>
                  </w:r>
                  <w:r w:rsidR="00CD6274" w:rsidRPr="002A4D6D">
                    <w:rPr>
                      <w:spacing w:val="-4"/>
                      <w:sz w:val="26"/>
                      <w:szCs w:val="26"/>
                    </w:rPr>
                    <w:t>.punkt</w:t>
                  </w:r>
                  <w:r w:rsidR="00CF71ED" w:rsidRPr="002A4D6D">
                    <w:rPr>
                      <w:spacing w:val="-4"/>
                      <w:sz w:val="26"/>
                      <w:szCs w:val="26"/>
                    </w:rPr>
                    <w:t>s</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5B73168D" w14:textId="2516A432"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6935074C" w14:textId="70A5CBB5"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96218E" w:rsidRPr="002A4D6D" w14:paraId="69F9521B"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355090F" w14:textId="38633F33" w:rsidR="0096218E" w:rsidRPr="002A4D6D" w:rsidRDefault="0096218E" w:rsidP="002A4D6D">
                  <w:pPr>
                    <w:jc w:val="center"/>
                    <w:rPr>
                      <w:spacing w:val="-4"/>
                      <w:sz w:val="26"/>
                      <w:szCs w:val="26"/>
                    </w:rPr>
                  </w:pPr>
                  <w:r w:rsidRPr="002A4D6D">
                    <w:rPr>
                      <w:spacing w:val="-4"/>
                      <w:sz w:val="26"/>
                      <w:szCs w:val="26"/>
                    </w:rPr>
                    <w:lastRenderedPageBreak/>
                    <w:t>Direktīvas 2017/2455 2.panta 5.punkts attiecībā uz 35.panta pārņemšanu</w:t>
                  </w:r>
                </w:p>
              </w:tc>
              <w:tc>
                <w:tcPr>
                  <w:tcW w:w="2552" w:type="dxa"/>
                  <w:tcBorders>
                    <w:top w:val="outset" w:sz="6" w:space="0" w:color="auto"/>
                    <w:left w:val="outset" w:sz="6" w:space="0" w:color="auto"/>
                    <w:bottom w:val="outset" w:sz="6" w:space="0" w:color="auto"/>
                    <w:right w:val="outset" w:sz="6" w:space="0" w:color="auto"/>
                  </w:tcBorders>
                </w:tcPr>
                <w:p w14:paraId="05C6CE88" w14:textId="24B1A5D6" w:rsidR="0096218E" w:rsidRPr="002A4D6D" w:rsidRDefault="0096218E" w:rsidP="002A4D6D">
                  <w:pPr>
                    <w:jc w:val="center"/>
                    <w:rPr>
                      <w:spacing w:val="-4"/>
                      <w:sz w:val="26"/>
                      <w:szCs w:val="26"/>
                    </w:rPr>
                  </w:pPr>
                  <w:r w:rsidRPr="002A4D6D">
                    <w:rPr>
                      <w:spacing w:val="-4"/>
                      <w:sz w:val="26"/>
                      <w:szCs w:val="26"/>
                    </w:rPr>
                    <w:t>Likumprojekta 3.pants</w:t>
                  </w:r>
                </w:p>
                <w:p w14:paraId="50497597" w14:textId="408FB184" w:rsidR="0096218E" w:rsidRPr="002A4D6D" w:rsidRDefault="0096218E" w:rsidP="002A4D6D">
                  <w:pPr>
                    <w:jc w:val="center"/>
                    <w:rPr>
                      <w:spacing w:val="-4"/>
                      <w:sz w:val="26"/>
                      <w:szCs w:val="26"/>
                    </w:rPr>
                  </w:pPr>
                  <w:r w:rsidRPr="002A4D6D">
                    <w:rPr>
                      <w:spacing w:val="-4"/>
                      <w:sz w:val="26"/>
                      <w:szCs w:val="26"/>
                    </w:rPr>
                    <w:t>(Pievienotās vērtības nodokļa likuma 10.</w:t>
                  </w:r>
                  <w:r w:rsidR="00CD6274" w:rsidRPr="002A4D6D">
                    <w:rPr>
                      <w:spacing w:val="-4"/>
                      <w:sz w:val="26"/>
                      <w:szCs w:val="26"/>
                    </w:rPr>
                    <w:t> </w:t>
                  </w:r>
                  <w:r w:rsidRPr="002A4D6D">
                    <w:rPr>
                      <w:spacing w:val="-4"/>
                      <w:sz w:val="26"/>
                      <w:szCs w:val="26"/>
                    </w:rPr>
                    <w:t>panta ceturtā daļa)</w:t>
                  </w:r>
                </w:p>
              </w:tc>
              <w:tc>
                <w:tcPr>
                  <w:tcW w:w="1840" w:type="dxa"/>
                  <w:gridSpan w:val="2"/>
                  <w:tcBorders>
                    <w:top w:val="outset" w:sz="6" w:space="0" w:color="auto"/>
                    <w:left w:val="outset" w:sz="6" w:space="0" w:color="auto"/>
                    <w:bottom w:val="outset" w:sz="6" w:space="0" w:color="auto"/>
                    <w:right w:val="outset" w:sz="6" w:space="0" w:color="auto"/>
                  </w:tcBorders>
                </w:tcPr>
                <w:p w14:paraId="2D310656" w14:textId="5F16C042"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4CCCDAF9" w14:textId="06DA7E92"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96218E" w:rsidRPr="002A4D6D" w14:paraId="16FC17DA"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73C69566" w14:textId="0F430EDD" w:rsidR="0096218E" w:rsidRPr="002A4D6D" w:rsidRDefault="0096218E" w:rsidP="002A4D6D">
                  <w:pPr>
                    <w:jc w:val="center"/>
                    <w:rPr>
                      <w:spacing w:val="-4"/>
                      <w:sz w:val="26"/>
                      <w:szCs w:val="26"/>
                    </w:rPr>
                  </w:pPr>
                  <w:r w:rsidRPr="002A4D6D">
                    <w:rPr>
                      <w:spacing w:val="-4"/>
                      <w:sz w:val="26"/>
                      <w:szCs w:val="26"/>
                    </w:rPr>
                    <w:t>Direktīvas 2017/2455 2.panta 7.punkts attiecībā uz 59.c panta 1.punkta pārņemšanu</w:t>
                  </w:r>
                </w:p>
              </w:tc>
              <w:tc>
                <w:tcPr>
                  <w:tcW w:w="2552" w:type="dxa"/>
                  <w:tcBorders>
                    <w:top w:val="outset" w:sz="6" w:space="0" w:color="auto"/>
                    <w:left w:val="outset" w:sz="6" w:space="0" w:color="auto"/>
                    <w:bottom w:val="outset" w:sz="6" w:space="0" w:color="auto"/>
                    <w:right w:val="outset" w:sz="6" w:space="0" w:color="auto"/>
                  </w:tcBorders>
                </w:tcPr>
                <w:p w14:paraId="5B2B77C6" w14:textId="0F0EA495" w:rsidR="0096218E" w:rsidRPr="002A4D6D" w:rsidRDefault="0096218E" w:rsidP="002A4D6D">
                  <w:pPr>
                    <w:jc w:val="center"/>
                    <w:rPr>
                      <w:spacing w:val="-4"/>
                      <w:sz w:val="26"/>
                      <w:szCs w:val="26"/>
                    </w:rPr>
                  </w:pPr>
                  <w:r w:rsidRPr="002A4D6D">
                    <w:rPr>
                      <w:spacing w:val="-4"/>
                      <w:sz w:val="26"/>
                      <w:szCs w:val="26"/>
                    </w:rPr>
                    <w:t xml:space="preserve">Likumprojekta </w:t>
                  </w:r>
                  <w:r w:rsidR="00B42323" w:rsidRPr="002A4D6D">
                    <w:rPr>
                      <w:spacing w:val="-4"/>
                      <w:sz w:val="26"/>
                      <w:szCs w:val="26"/>
                    </w:rPr>
                    <w:t>6</w:t>
                  </w:r>
                  <w:r w:rsidRPr="002A4D6D">
                    <w:rPr>
                      <w:spacing w:val="-4"/>
                      <w:sz w:val="26"/>
                      <w:szCs w:val="26"/>
                    </w:rPr>
                    <w:t>.pants</w:t>
                  </w:r>
                </w:p>
                <w:p w14:paraId="245E4E9C" w14:textId="4ECC6C8F" w:rsidR="0096218E" w:rsidRPr="002A4D6D" w:rsidRDefault="0096218E" w:rsidP="002A4D6D">
                  <w:pPr>
                    <w:jc w:val="center"/>
                    <w:rPr>
                      <w:spacing w:val="-4"/>
                      <w:sz w:val="26"/>
                      <w:szCs w:val="26"/>
                    </w:rPr>
                  </w:pPr>
                  <w:r w:rsidRPr="002A4D6D">
                    <w:rPr>
                      <w:spacing w:val="-4"/>
                      <w:sz w:val="26"/>
                      <w:szCs w:val="26"/>
                    </w:rPr>
                    <w:t xml:space="preserve">(Pievienotās vērtības nodokļa likuma </w:t>
                  </w:r>
                  <w:r w:rsidR="00B42323" w:rsidRPr="002A4D6D">
                    <w:rPr>
                      <w:spacing w:val="-4"/>
                      <w:sz w:val="26"/>
                      <w:szCs w:val="26"/>
                    </w:rPr>
                    <w:t>13</w:t>
                  </w:r>
                  <w:r w:rsidRPr="002A4D6D">
                    <w:rPr>
                      <w:spacing w:val="-4"/>
                      <w:sz w:val="26"/>
                      <w:szCs w:val="26"/>
                    </w:rPr>
                    <w:t xml:space="preserve">. panta </w:t>
                  </w:r>
                  <w:r w:rsidR="00B42323" w:rsidRPr="002A4D6D">
                    <w:rPr>
                      <w:spacing w:val="-4"/>
                      <w:sz w:val="26"/>
                      <w:szCs w:val="26"/>
                    </w:rPr>
                    <w:t xml:space="preserve">otrā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50FA8785" w14:textId="4097DD3E"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362DD2C8" w14:textId="1D0F7C93"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96218E" w:rsidRPr="002A4D6D" w14:paraId="0A2DE6F3"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54D5F10" w14:textId="33796625" w:rsidR="0096218E" w:rsidRPr="002A4D6D" w:rsidRDefault="0096218E" w:rsidP="002A4D6D">
                  <w:pPr>
                    <w:jc w:val="center"/>
                    <w:rPr>
                      <w:spacing w:val="-4"/>
                      <w:sz w:val="26"/>
                      <w:szCs w:val="26"/>
                    </w:rPr>
                  </w:pPr>
                  <w:r w:rsidRPr="002A4D6D">
                    <w:rPr>
                      <w:spacing w:val="-4"/>
                      <w:sz w:val="26"/>
                      <w:szCs w:val="26"/>
                    </w:rPr>
                    <w:t>Direktīvas 2017/2455 2.panta 7.punkts attiecībā uz 59.c panta 2.punkta pārņemšanu</w:t>
                  </w:r>
                </w:p>
              </w:tc>
              <w:tc>
                <w:tcPr>
                  <w:tcW w:w="2552" w:type="dxa"/>
                  <w:tcBorders>
                    <w:top w:val="outset" w:sz="6" w:space="0" w:color="auto"/>
                    <w:left w:val="outset" w:sz="6" w:space="0" w:color="auto"/>
                    <w:bottom w:val="outset" w:sz="6" w:space="0" w:color="auto"/>
                    <w:right w:val="outset" w:sz="6" w:space="0" w:color="auto"/>
                  </w:tcBorders>
                </w:tcPr>
                <w:p w14:paraId="32BAABB8" w14:textId="6F0B8808" w:rsidR="0096218E" w:rsidRPr="002A4D6D" w:rsidRDefault="0096218E" w:rsidP="002A4D6D">
                  <w:pPr>
                    <w:jc w:val="center"/>
                    <w:rPr>
                      <w:spacing w:val="-4"/>
                      <w:sz w:val="26"/>
                      <w:szCs w:val="26"/>
                    </w:rPr>
                  </w:pPr>
                  <w:r w:rsidRPr="002A4D6D">
                    <w:rPr>
                      <w:spacing w:val="-4"/>
                      <w:sz w:val="26"/>
                      <w:szCs w:val="26"/>
                    </w:rPr>
                    <w:t xml:space="preserve">Likumprojekta </w:t>
                  </w:r>
                  <w:r w:rsidR="00B42323" w:rsidRPr="002A4D6D">
                    <w:rPr>
                      <w:spacing w:val="-4"/>
                      <w:sz w:val="26"/>
                      <w:szCs w:val="26"/>
                    </w:rPr>
                    <w:t>6</w:t>
                  </w:r>
                  <w:r w:rsidRPr="002A4D6D">
                    <w:rPr>
                      <w:spacing w:val="-4"/>
                      <w:sz w:val="26"/>
                      <w:szCs w:val="26"/>
                    </w:rPr>
                    <w:t>.pants</w:t>
                  </w:r>
                </w:p>
                <w:p w14:paraId="4444C4E6" w14:textId="26398F99" w:rsidR="0096218E" w:rsidRPr="002A4D6D" w:rsidRDefault="0096218E" w:rsidP="002A4D6D">
                  <w:pPr>
                    <w:jc w:val="center"/>
                    <w:rPr>
                      <w:spacing w:val="-4"/>
                      <w:sz w:val="26"/>
                      <w:szCs w:val="26"/>
                    </w:rPr>
                  </w:pPr>
                  <w:r w:rsidRPr="002A4D6D">
                    <w:rPr>
                      <w:spacing w:val="-4"/>
                      <w:sz w:val="26"/>
                      <w:szCs w:val="26"/>
                    </w:rPr>
                    <w:t xml:space="preserve">(Pievienotās vērtības nodokļa likuma </w:t>
                  </w:r>
                  <w:r w:rsidR="00B42323" w:rsidRPr="002A4D6D">
                    <w:rPr>
                      <w:spacing w:val="-4"/>
                      <w:sz w:val="26"/>
                      <w:szCs w:val="26"/>
                    </w:rPr>
                    <w:t>13</w:t>
                  </w:r>
                  <w:r w:rsidRPr="002A4D6D">
                    <w:rPr>
                      <w:spacing w:val="-4"/>
                      <w:sz w:val="26"/>
                      <w:szCs w:val="26"/>
                    </w:rPr>
                    <w:t xml:space="preserve">. panta </w:t>
                  </w:r>
                  <w:r w:rsidR="00B42323" w:rsidRPr="002A4D6D">
                    <w:rPr>
                      <w:spacing w:val="-4"/>
                      <w:sz w:val="26"/>
                      <w:szCs w:val="26"/>
                    </w:rPr>
                    <w:t xml:space="preserve">trešā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1D428E76" w14:textId="2F914E12"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1D6015B8" w14:textId="746CD88F"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96218E" w:rsidRPr="002A4D6D" w14:paraId="4862ACFA"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26414525" w14:textId="1E04357F" w:rsidR="0096218E" w:rsidRPr="002A4D6D" w:rsidRDefault="0096218E" w:rsidP="002A4D6D">
                  <w:pPr>
                    <w:jc w:val="center"/>
                    <w:rPr>
                      <w:spacing w:val="-4"/>
                      <w:sz w:val="26"/>
                      <w:szCs w:val="26"/>
                    </w:rPr>
                  </w:pPr>
                  <w:r w:rsidRPr="002A4D6D">
                    <w:rPr>
                      <w:spacing w:val="-4"/>
                      <w:sz w:val="26"/>
                      <w:szCs w:val="26"/>
                    </w:rPr>
                    <w:t xml:space="preserve">Direktīvas 2017/2455 2.panta 7.punkts attiecībā uz 59.c panta </w:t>
                  </w:r>
                  <w:r w:rsidR="002C352E" w:rsidRPr="002A4D6D">
                    <w:rPr>
                      <w:spacing w:val="-4"/>
                      <w:sz w:val="26"/>
                      <w:szCs w:val="26"/>
                    </w:rPr>
                    <w:t>3</w:t>
                  </w:r>
                  <w:r w:rsidRPr="002A4D6D">
                    <w:rPr>
                      <w:spacing w:val="-4"/>
                      <w:sz w:val="26"/>
                      <w:szCs w:val="26"/>
                    </w:rPr>
                    <w:t>.punkta pārņemšanu</w:t>
                  </w:r>
                </w:p>
              </w:tc>
              <w:tc>
                <w:tcPr>
                  <w:tcW w:w="2552" w:type="dxa"/>
                  <w:tcBorders>
                    <w:top w:val="outset" w:sz="6" w:space="0" w:color="auto"/>
                    <w:left w:val="outset" w:sz="6" w:space="0" w:color="auto"/>
                    <w:bottom w:val="outset" w:sz="6" w:space="0" w:color="auto"/>
                    <w:right w:val="outset" w:sz="6" w:space="0" w:color="auto"/>
                  </w:tcBorders>
                </w:tcPr>
                <w:p w14:paraId="7FCAB86E" w14:textId="48E262AC" w:rsidR="0096218E" w:rsidRPr="002A4D6D" w:rsidRDefault="0096218E" w:rsidP="002A4D6D">
                  <w:pPr>
                    <w:jc w:val="center"/>
                    <w:rPr>
                      <w:spacing w:val="-4"/>
                      <w:sz w:val="26"/>
                      <w:szCs w:val="26"/>
                    </w:rPr>
                  </w:pPr>
                  <w:r w:rsidRPr="002A4D6D">
                    <w:rPr>
                      <w:spacing w:val="-4"/>
                      <w:sz w:val="26"/>
                      <w:szCs w:val="26"/>
                    </w:rPr>
                    <w:t xml:space="preserve">Likumprojekta </w:t>
                  </w:r>
                  <w:r w:rsidR="00B42323" w:rsidRPr="002A4D6D">
                    <w:rPr>
                      <w:spacing w:val="-4"/>
                      <w:sz w:val="26"/>
                      <w:szCs w:val="26"/>
                    </w:rPr>
                    <w:t>6</w:t>
                  </w:r>
                  <w:r w:rsidRPr="002A4D6D">
                    <w:rPr>
                      <w:spacing w:val="-4"/>
                      <w:sz w:val="26"/>
                      <w:szCs w:val="26"/>
                    </w:rPr>
                    <w:t>.pants</w:t>
                  </w:r>
                </w:p>
                <w:p w14:paraId="31066546" w14:textId="46E6CE09" w:rsidR="0096218E" w:rsidRPr="002A4D6D" w:rsidRDefault="0096218E" w:rsidP="002A4D6D">
                  <w:pPr>
                    <w:jc w:val="center"/>
                    <w:rPr>
                      <w:spacing w:val="-4"/>
                      <w:sz w:val="26"/>
                      <w:szCs w:val="26"/>
                    </w:rPr>
                  </w:pPr>
                  <w:r w:rsidRPr="002A4D6D">
                    <w:rPr>
                      <w:spacing w:val="-4"/>
                      <w:sz w:val="26"/>
                      <w:szCs w:val="26"/>
                    </w:rPr>
                    <w:t xml:space="preserve">(Pievienotās vērtības nodokļa likuma </w:t>
                  </w:r>
                  <w:r w:rsidR="00B42323" w:rsidRPr="002A4D6D">
                    <w:rPr>
                      <w:spacing w:val="-4"/>
                      <w:sz w:val="26"/>
                      <w:szCs w:val="26"/>
                    </w:rPr>
                    <w:t>13</w:t>
                  </w:r>
                  <w:r w:rsidRPr="002A4D6D">
                    <w:rPr>
                      <w:spacing w:val="-4"/>
                      <w:sz w:val="26"/>
                      <w:szCs w:val="26"/>
                    </w:rPr>
                    <w:t xml:space="preserve">. panta </w:t>
                  </w:r>
                  <w:r w:rsidR="00B42323" w:rsidRPr="002A4D6D">
                    <w:rPr>
                      <w:spacing w:val="-4"/>
                      <w:sz w:val="26"/>
                      <w:szCs w:val="26"/>
                    </w:rPr>
                    <w:t xml:space="preserve">ceturtā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5D67F72F" w14:textId="1AE65B98"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7882AE39" w14:textId="12549802" w:rsidR="0096218E" w:rsidRPr="002A4D6D" w:rsidRDefault="0096218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2C352E" w:rsidRPr="002A4D6D" w14:paraId="2EEEAE75"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1078D75" w14:textId="01B4C2CB" w:rsidR="002C352E" w:rsidRPr="002A4D6D" w:rsidRDefault="002C352E" w:rsidP="002A4D6D">
                  <w:pPr>
                    <w:jc w:val="center"/>
                    <w:rPr>
                      <w:spacing w:val="-4"/>
                      <w:sz w:val="26"/>
                      <w:szCs w:val="26"/>
                    </w:rPr>
                  </w:pPr>
                  <w:r w:rsidRPr="002A4D6D">
                    <w:rPr>
                      <w:spacing w:val="-4"/>
                      <w:sz w:val="26"/>
                      <w:szCs w:val="26"/>
                    </w:rPr>
                    <w:t>Direktīvas 2017/2455 2.panta 8.punkts attiecībā uz 66.a panta pārņemšanu</w:t>
                  </w:r>
                  <w:r w:rsidR="00B016C6" w:rsidRPr="002A4D6D">
                    <w:rPr>
                      <w:spacing w:val="-4"/>
                      <w:sz w:val="26"/>
                      <w:szCs w:val="26"/>
                    </w:rPr>
                    <w:t>, kurš precizēts ar Direktīvas 2019/1995 1.panta 2.punktu</w:t>
                  </w:r>
                </w:p>
              </w:tc>
              <w:tc>
                <w:tcPr>
                  <w:tcW w:w="2552" w:type="dxa"/>
                  <w:tcBorders>
                    <w:top w:val="outset" w:sz="6" w:space="0" w:color="auto"/>
                    <w:left w:val="outset" w:sz="6" w:space="0" w:color="auto"/>
                    <w:bottom w:val="outset" w:sz="6" w:space="0" w:color="auto"/>
                    <w:right w:val="outset" w:sz="6" w:space="0" w:color="auto"/>
                  </w:tcBorders>
                </w:tcPr>
                <w:p w14:paraId="02FDDDB8" w14:textId="3C058A1F" w:rsidR="00B016C6" w:rsidRPr="002A4D6D" w:rsidRDefault="00B016C6" w:rsidP="002A4D6D">
                  <w:pPr>
                    <w:jc w:val="center"/>
                    <w:rPr>
                      <w:spacing w:val="-4"/>
                      <w:sz w:val="26"/>
                      <w:szCs w:val="26"/>
                    </w:rPr>
                  </w:pPr>
                  <w:r w:rsidRPr="002A4D6D">
                    <w:rPr>
                      <w:spacing w:val="-4"/>
                      <w:sz w:val="26"/>
                      <w:szCs w:val="26"/>
                    </w:rPr>
                    <w:t xml:space="preserve">Likumprojekta </w:t>
                  </w:r>
                  <w:r w:rsidR="00787B08" w:rsidRPr="002A4D6D">
                    <w:rPr>
                      <w:spacing w:val="-4"/>
                      <w:sz w:val="26"/>
                      <w:szCs w:val="26"/>
                    </w:rPr>
                    <w:t>13</w:t>
                  </w:r>
                  <w:r w:rsidRPr="002A4D6D">
                    <w:rPr>
                      <w:spacing w:val="-4"/>
                      <w:sz w:val="26"/>
                      <w:szCs w:val="26"/>
                    </w:rPr>
                    <w:t>.pants</w:t>
                  </w:r>
                </w:p>
                <w:p w14:paraId="59CA9F17" w14:textId="146A02AB" w:rsidR="00B016C6" w:rsidRPr="002A4D6D" w:rsidRDefault="00B016C6" w:rsidP="002A4D6D">
                  <w:pPr>
                    <w:jc w:val="center"/>
                    <w:rPr>
                      <w:spacing w:val="-4"/>
                      <w:sz w:val="26"/>
                      <w:szCs w:val="26"/>
                    </w:rPr>
                  </w:pPr>
                  <w:r w:rsidRPr="002A4D6D">
                    <w:rPr>
                      <w:spacing w:val="-4"/>
                      <w:sz w:val="26"/>
                      <w:szCs w:val="26"/>
                    </w:rPr>
                    <w:t>(Pievienotās vērtības nodokļa likuma 120.panta 2.</w:t>
                  </w:r>
                  <w:r w:rsidRPr="002A4D6D">
                    <w:rPr>
                      <w:spacing w:val="-4"/>
                      <w:sz w:val="26"/>
                      <w:szCs w:val="26"/>
                      <w:vertAlign w:val="superscript"/>
                    </w:rPr>
                    <w:t>1</w:t>
                  </w:r>
                  <w:r w:rsidRPr="002A4D6D">
                    <w:rPr>
                      <w:spacing w:val="-4"/>
                      <w:sz w:val="26"/>
                      <w:szCs w:val="26"/>
                    </w:rPr>
                    <w:t> daļa)</w:t>
                  </w:r>
                </w:p>
              </w:tc>
              <w:tc>
                <w:tcPr>
                  <w:tcW w:w="1840" w:type="dxa"/>
                  <w:gridSpan w:val="2"/>
                  <w:tcBorders>
                    <w:top w:val="outset" w:sz="6" w:space="0" w:color="auto"/>
                    <w:left w:val="outset" w:sz="6" w:space="0" w:color="auto"/>
                    <w:bottom w:val="outset" w:sz="6" w:space="0" w:color="auto"/>
                    <w:right w:val="outset" w:sz="6" w:space="0" w:color="auto"/>
                  </w:tcBorders>
                </w:tcPr>
                <w:p w14:paraId="4D460A2C" w14:textId="200A05AC" w:rsidR="002C352E" w:rsidRPr="002A4D6D" w:rsidRDefault="00B016C6"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13012B81" w14:textId="4A7B7B19" w:rsidR="002C352E" w:rsidRPr="002A4D6D" w:rsidRDefault="002C352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2C352E" w:rsidRPr="002A4D6D" w14:paraId="1B56F66B"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F218865" w14:textId="0E3912A6" w:rsidR="002C352E" w:rsidRPr="002A4D6D" w:rsidRDefault="002C352E" w:rsidP="002A4D6D">
                  <w:pPr>
                    <w:jc w:val="center"/>
                    <w:rPr>
                      <w:spacing w:val="-4"/>
                      <w:sz w:val="26"/>
                      <w:szCs w:val="26"/>
                    </w:rPr>
                  </w:pPr>
                  <w:r w:rsidRPr="002A4D6D">
                    <w:rPr>
                      <w:spacing w:val="-4"/>
                      <w:sz w:val="26"/>
                      <w:szCs w:val="26"/>
                    </w:rPr>
                    <w:t>Direktīvas 2017/2455 2.panta 9.punkts attiecībā uz 143.panta 1.punkta “</w:t>
                  </w:r>
                  <w:proofErr w:type="spellStart"/>
                  <w:r w:rsidRPr="002A4D6D">
                    <w:rPr>
                      <w:spacing w:val="-4"/>
                      <w:sz w:val="26"/>
                      <w:szCs w:val="26"/>
                    </w:rPr>
                    <w:t>ca</w:t>
                  </w:r>
                  <w:proofErr w:type="spellEnd"/>
                  <w:r w:rsidRPr="002A4D6D">
                    <w:rPr>
                      <w:spacing w:val="-4"/>
                      <w:sz w:val="26"/>
                      <w:szCs w:val="26"/>
                    </w:rPr>
                    <w:t>” apakšpunkta pārņemšanu</w:t>
                  </w:r>
                </w:p>
              </w:tc>
              <w:tc>
                <w:tcPr>
                  <w:tcW w:w="2552" w:type="dxa"/>
                  <w:tcBorders>
                    <w:top w:val="outset" w:sz="6" w:space="0" w:color="auto"/>
                    <w:left w:val="outset" w:sz="6" w:space="0" w:color="auto"/>
                    <w:bottom w:val="outset" w:sz="6" w:space="0" w:color="auto"/>
                    <w:right w:val="outset" w:sz="6" w:space="0" w:color="auto"/>
                  </w:tcBorders>
                </w:tcPr>
                <w:p w14:paraId="3AABAA0E" w14:textId="54DCF008" w:rsidR="002C352E" w:rsidRPr="002A4D6D" w:rsidRDefault="002C352E" w:rsidP="002A4D6D">
                  <w:pPr>
                    <w:jc w:val="center"/>
                    <w:rPr>
                      <w:spacing w:val="-4"/>
                      <w:sz w:val="26"/>
                      <w:szCs w:val="26"/>
                    </w:rPr>
                  </w:pPr>
                  <w:r w:rsidRPr="002A4D6D">
                    <w:rPr>
                      <w:spacing w:val="-4"/>
                      <w:sz w:val="26"/>
                      <w:szCs w:val="26"/>
                    </w:rPr>
                    <w:t xml:space="preserve">Likumprojekta </w:t>
                  </w:r>
                  <w:r w:rsidR="00CF71ED" w:rsidRPr="002A4D6D">
                    <w:rPr>
                      <w:spacing w:val="-4"/>
                      <w:sz w:val="26"/>
                      <w:szCs w:val="26"/>
                    </w:rPr>
                    <w:t>10</w:t>
                  </w:r>
                  <w:r w:rsidRPr="002A4D6D">
                    <w:rPr>
                      <w:spacing w:val="-4"/>
                      <w:sz w:val="26"/>
                      <w:szCs w:val="26"/>
                    </w:rPr>
                    <w:t>.pants</w:t>
                  </w:r>
                </w:p>
                <w:p w14:paraId="747A7A1B" w14:textId="0703EB4E" w:rsidR="002C352E" w:rsidRPr="002A4D6D" w:rsidRDefault="002C352E" w:rsidP="002A4D6D">
                  <w:pPr>
                    <w:jc w:val="center"/>
                    <w:rPr>
                      <w:spacing w:val="-4"/>
                      <w:sz w:val="26"/>
                      <w:szCs w:val="26"/>
                    </w:rPr>
                  </w:pPr>
                  <w:r w:rsidRPr="002A4D6D">
                    <w:rPr>
                      <w:spacing w:val="-4"/>
                      <w:sz w:val="26"/>
                      <w:szCs w:val="26"/>
                    </w:rPr>
                    <w:t>(Pievienotās vērtības nodokļa likuma 53.panta sešpadsmitā daļa)</w:t>
                  </w:r>
                </w:p>
              </w:tc>
              <w:tc>
                <w:tcPr>
                  <w:tcW w:w="1840" w:type="dxa"/>
                  <w:gridSpan w:val="2"/>
                  <w:tcBorders>
                    <w:top w:val="outset" w:sz="6" w:space="0" w:color="auto"/>
                    <w:left w:val="outset" w:sz="6" w:space="0" w:color="auto"/>
                    <w:bottom w:val="outset" w:sz="6" w:space="0" w:color="auto"/>
                    <w:right w:val="outset" w:sz="6" w:space="0" w:color="auto"/>
                  </w:tcBorders>
                </w:tcPr>
                <w:p w14:paraId="19AB61E9" w14:textId="4A61BEF1" w:rsidR="002C352E" w:rsidRPr="002A4D6D" w:rsidRDefault="002C352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ED7E41C" w14:textId="22E70855" w:rsidR="002C352E" w:rsidRPr="002A4D6D" w:rsidRDefault="002C352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2C352E" w:rsidRPr="002A4D6D" w14:paraId="2A1ED575"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A9A11B9" w14:textId="70C2658F" w:rsidR="002C352E" w:rsidRPr="002A4D6D" w:rsidRDefault="002C352E" w:rsidP="002A4D6D">
                  <w:pPr>
                    <w:jc w:val="center"/>
                    <w:rPr>
                      <w:spacing w:val="-4"/>
                      <w:sz w:val="26"/>
                      <w:szCs w:val="26"/>
                    </w:rPr>
                  </w:pPr>
                  <w:r w:rsidRPr="002A4D6D">
                    <w:rPr>
                      <w:spacing w:val="-4"/>
                      <w:sz w:val="26"/>
                      <w:szCs w:val="26"/>
                    </w:rPr>
                    <w:t xml:space="preserve">Direktīvas 2017/2455 2.panta </w:t>
                  </w:r>
                  <w:r w:rsidR="001D350E" w:rsidRPr="002A4D6D">
                    <w:rPr>
                      <w:spacing w:val="-4"/>
                      <w:sz w:val="26"/>
                      <w:szCs w:val="26"/>
                    </w:rPr>
                    <w:t>10</w:t>
                  </w:r>
                  <w:r w:rsidRPr="002A4D6D">
                    <w:rPr>
                      <w:spacing w:val="-4"/>
                      <w:sz w:val="26"/>
                      <w:szCs w:val="26"/>
                    </w:rPr>
                    <w:t xml:space="preserve">.punkts attiecībā uz </w:t>
                  </w:r>
                  <w:r w:rsidR="001D350E" w:rsidRPr="002A4D6D">
                    <w:rPr>
                      <w:spacing w:val="-4"/>
                      <w:sz w:val="26"/>
                      <w:szCs w:val="26"/>
                    </w:rPr>
                    <w:t>220.</w:t>
                  </w:r>
                  <w:r w:rsidRPr="002A4D6D">
                    <w:rPr>
                      <w:spacing w:val="-4"/>
                      <w:sz w:val="26"/>
                      <w:szCs w:val="26"/>
                    </w:rPr>
                    <w:t xml:space="preserve">panta </w:t>
                  </w:r>
                  <w:r w:rsidR="001D350E" w:rsidRPr="002A4D6D">
                    <w:rPr>
                      <w:spacing w:val="-4"/>
                      <w:sz w:val="26"/>
                      <w:szCs w:val="26"/>
                    </w:rPr>
                    <w:t>1</w:t>
                  </w:r>
                  <w:r w:rsidRPr="002A4D6D">
                    <w:rPr>
                      <w:spacing w:val="-4"/>
                      <w:sz w:val="26"/>
                      <w:szCs w:val="26"/>
                    </w:rPr>
                    <w:t xml:space="preserve">.punkta </w:t>
                  </w:r>
                  <w:r w:rsidR="001D350E" w:rsidRPr="002A4D6D">
                    <w:rPr>
                      <w:spacing w:val="-4"/>
                      <w:sz w:val="26"/>
                      <w:szCs w:val="26"/>
                    </w:rPr>
                    <w:t xml:space="preserve">2.apakšpunkta </w:t>
                  </w:r>
                  <w:r w:rsidRPr="002A4D6D">
                    <w:rPr>
                      <w:spacing w:val="-4"/>
                      <w:sz w:val="26"/>
                      <w:szCs w:val="26"/>
                    </w:rPr>
                    <w:t>pārņemšanu</w:t>
                  </w:r>
                </w:p>
              </w:tc>
              <w:tc>
                <w:tcPr>
                  <w:tcW w:w="2552" w:type="dxa"/>
                  <w:tcBorders>
                    <w:top w:val="outset" w:sz="6" w:space="0" w:color="auto"/>
                    <w:left w:val="outset" w:sz="6" w:space="0" w:color="auto"/>
                    <w:bottom w:val="outset" w:sz="6" w:space="0" w:color="auto"/>
                    <w:right w:val="outset" w:sz="6" w:space="0" w:color="auto"/>
                  </w:tcBorders>
                </w:tcPr>
                <w:p w14:paraId="1EE774F9" w14:textId="7A202976" w:rsidR="002C352E" w:rsidRPr="002A4D6D" w:rsidRDefault="002C352E" w:rsidP="002A4D6D">
                  <w:pPr>
                    <w:jc w:val="center"/>
                    <w:rPr>
                      <w:spacing w:val="-4"/>
                      <w:sz w:val="26"/>
                      <w:szCs w:val="26"/>
                    </w:rPr>
                  </w:pPr>
                  <w:r w:rsidRPr="002A4D6D">
                    <w:rPr>
                      <w:spacing w:val="-4"/>
                      <w:sz w:val="26"/>
                      <w:szCs w:val="26"/>
                    </w:rPr>
                    <w:t xml:space="preserve">Likumprojekta </w:t>
                  </w:r>
                  <w:r w:rsidR="00787B08" w:rsidRPr="002A4D6D">
                    <w:rPr>
                      <w:spacing w:val="-4"/>
                      <w:sz w:val="26"/>
                      <w:szCs w:val="26"/>
                    </w:rPr>
                    <w:t>15</w:t>
                  </w:r>
                  <w:r w:rsidRPr="002A4D6D">
                    <w:rPr>
                      <w:spacing w:val="-4"/>
                      <w:sz w:val="26"/>
                      <w:szCs w:val="26"/>
                    </w:rPr>
                    <w:t>.pants</w:t>
                  </w:r>
                </w:p>
                <w:p w14:paraId="33A6E12A" w14:textId="7F0FE8BE" w:rsidR="002C352E" w:rsidRPr="002A4D6D" w:rsidRDefault="002C352E" w:rsidP="002A4D6D">
                  <w:pPr>
                    <w:jc w:val="center"/>
                    <w:rPr>
                      <w:spacing w:val="-4"/>
                      <w:sz w:val="26"/>
                      <w:szCs w:val="26"/>
                    </w:rPr>
                  </w:pPr>
                  <w:r w:rsidRPr="002A4D6D">
                    <w:rPr>
                      <w:spacing w:val="-4"/>
                      <w:sz w:val="26"/>
                      <w:szCs w:val="26"/>
                    </w:rPr>
                    <w:t xml:space="preserve">(Pievienotās vērtības nodokļa likuma </w:t>
                  </w:r>
                  <w:r w:rsidR="001D350E" w:rsidRPr="002A4D6D">
                    <w:rPr>
                      <w:spacing w:val="-4"/>
                      <w:sz w:val="26"/>
                      <w:szCs w:val="26"/>
                    </w:rPr>
                    <w:t>127.</w:t>
                  </w:r>
                  <w:r w:rsidRPr="002A4D6D">
                    <w:rPr>
                      <w:spacing w:val="-4"/>
                      <w:sz w:val="26"/>
                      <w:szCs w:val="26"/>
                    </w:rPr>
                    <w:t xml:space="preserve">panta </w:t>
                  </w:r>
                  <w:r w:rsidR="001D350E" w:rsidRPr="002A4D6D">
                    <w:rPr>
                      <w:spacing w:val="-4"/>
                      <w:sz w:val="26"/>
                      <w:szCs w:val="26"/>
                    </w:rPr>
                    <w:t>pirmās</w:t>
                  </w:r>
                  <w:r w:rsidRPr="002A4D6D">
                    <w:rPr>
                      <w:spacing w:val="-4"/>
                      <w:sz w:val="26"/>
                      <w:szCs w:val="26"/>
                    </w:rPr>
                    <w:t xml:space="preserve"> daļa</w:t>
                  </w:r>
                  <w:r w:rsidR="001D350E" w:rsidRPr="002A4D6D">
                    <w:rPr>
                      <w:spacing w:val="-4"/>
                      <w:sz w:val="26"/>
                      <w:szCs w:val="26"/>
                    </w:rPr>
                    <w:t>s 3.punkts</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2418E4DF" w14:textId="1AF7B8CE" w:rsidR="002C352E" w:rsidRPr="002A4D6D" w:rsidRDefault="002C352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6A1105F7" w14:textId="2C798909" w:rsidR="002C352E" w:rsidRPr="002A4D6D" w:rsidRDefault="002C352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D350E" w:rsidRPr="002A4D6D" w14:paraId="7B2C9ABD"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153B227D" w14:textId="3EE39891" w:rsidR="001D350E" w:rsidRPr="002A4D6D" w:rsidRDefault="001D350E" w:rsidP="002A4D6D">
                  <w:pPr>
                    <w:jc w:val="center"/>
                    <w:rPr>
                      <w:spacing w:val="-4"/>
                      <w:sz w:val="26"/>
                      <w:szCs w:val="26"/>
                    </w:rPr>
                  </w:pPr>
                  <w:r w:rsidRPr="002A4D6D">
                    <w:rPr>
                      <w:spacing w:val="-4"/>
                      <w:sz w:val="26"/>
                      <w:szCs w:val="26"/>
                    </w:rPr>
                    <w:t>Direktīvas 2017/2455 2.panta 11.punkts attiecībā uz 242.a panta pārņemšanu</w:t>
                  </w:r>
                </w:p>
              </w:tc>
              <w:tc>
                <w:tcPr>
                  <w:tcW w:w="2552" w:type="dxa"/>
                  <w:tcBorders>
                    <w:top w:val="outset" w:sz="6" w:space="0" w:color="auto"/>
                    <w:left w:val="outset" w:sz="6" w:space="0" w:color="auto"/>
                    <w:bottom w:val="outset" w:sz="6" w:space="0" w:color="auto"/>
                    <w:right w:val="outset" w:sz="6" w:space="0" w:color="auto"/>
                  </w:tcBorders>
                </w:tcPr>
                <w:p w14:paraId="6C750F16" w14:textId="3C60C087" w:rsidR="001D350E" w:rsidRPr="002A4D6D" w:rsidRDefault="001D350E" w:rsidP="002A4D6D">
                  <w:pPr>
                    <w:jc w:val="center"/>
                    <w:rPr>
                      <w:spacing w:val="-4"/>
                      <w:sz w:val="26"/>
                      <w:szCs w:val="26"/>
                    </w:rPr>
                  </w:pPr>
                  <w:r w:rsidRPr="002A4D6D">
                    <w:rPr>
                      <w:spacing w:val="-4"/>
                      <w:sz w:val="26"/>
                      <w:szCs w:val="26"/>
                    </w:rPr>
                    <w:t xml:space="preserve">Likumprojekta </w:t>
                  </w:r>
                  <w:r w:rsidR="00787B08" w:rsidRPr="002A4D6D">
                    <w:rPr>
                      <w:spacing w:val="-4"/>
                      <w:sz w:val="26"/>
                      <w:szCs w:val="26"/>
                    </w:rPr>
                    <w:t>17</w:t>
                  </w:r>
                  <w:r w:rsidRPr="002A4D6D">
                    <w:rPr>
                      <w:spacing w:val="-4"/>
                      <w:sz w:val="26"/>
                      <w:szCs w:val="26"/>
                    </w:rPr>
                    <w:t>.pants</w:t>
                  </w:r>
                </w:p>
                <w:p w14:paraId="18A6C105" w14:textId="1EF86A2E" w:rsidR="001D350E" w:rsidRPr="002A4D6D" w:rsidRDefault="001D350E" w:rsidP="002A4D6D">
                  <w:pPr>
                    <w:jc w:val="center"/>
                    <w:rPr>
                      <w:spacing w:val="-4"/>
                      <w:sz w:val="26"/>
                      <w:szCs w:val="26"/>
                    </w:rPr>
                  </w:pPr>
                  <w:r w:rsidRPr="002A4D6D">
                    <w:rPr>
                      <w:spacing w:val="-4"/>
                      <w:sz w:val="26"/>
                      <w:szCs w:val="26"/>
                    </w:rPr>
                    <w:t>(Pievienotās vērtības nodokļa likuma 134.panta sestā daļa)</w:t>
                  </w:r>
                </w:p>
              </w:tc>
              <w:tc>
                <w:tcPr>
                  <w:tcW w:w="1840" w:type="dxa"/>
                  <w:gridSpan w:val="2"/>
                  <w:tcBorders>
                    <w:top w:val="outset" w:sz="6" w:space="0" w:color="auto"/>
                    <w:left w:val="outset" w:sz="6" w:space="0" w:color="auto"/>
                    <w:bottom w:val="outset" w:sz="6" w:space="0" w:color="auto"/>
                    <w:right w:val="outset" w:sz="6" w:space="0" w:color="auto"/>
                  </w:tcBorders>
                </w:tcPr>
                <w:p w14:paraId="5047ABB7" w14:textId="1E8BE6C6" w:rsidR="001D350E" w:rsidRPr="002A4D6D" w:rsidRDefault="001D350E"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68936F95" w14:textId="78210B99" w:rsidR="001D350E" w:rsidRPr="002A4D6D" w:rsidRDefault="001D350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D350E" w:rsidRPr="002A4D6D" w14:paraId="41F4273C"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5B237D17" w14:textId="0A0A2E15" w:rsidR="001D350E" w:rsidRPr="002A4D6D" w:rsidRDefault="001D350E" w:rsidP="002A4D6D">
                  <w:pPr>
                    <w:jc w:val="center"/>
                    <w:rPr>
                      <w:spacing w:val="-4"/>
                      <w:sz w:val="26"/>
                      <w:szCs w:val="26"/>
                    </w:rPr>
                  </w:pPr>
                  <w:r w:rsidRPr="002A4D6D">
                    <w:rPr>
                      <w:spacing w:val="-4"/>
                      <w:sz w:val="26"/>
                      <w:szCs w:val="26"/>
                    </w:rPr>
                    <w:t>Direktīvas 2017/2455 2.panta 13.punkts attiecībā uz 358.panta 1., 2. un 3.punkta svītrošanu</w:t>
                  </w:r>
                </w:p>
              </w:tc>
              <w:tc>
                <w:tcPr>
                  <w:tcW w:w="2552" w:type="dxa"/>
                  <w:tcBorders>
                    <w:top w:val="outset" w:sz="6" w:space="0" w:color="auto"/>
                    <w:left w:val="outset" w:sz="6" w:space="0" w:color="auto"/>
                    <w:bottom w:val="outset" w:sz="6" w:space="0" w:color="auto"/>
                    <w:right w:val="outset" w:sz="6" w:space="0" w:color="auto"/>
                  </w:tcBorders>
                </w:tcPr>
                <w:p w14:paraId="7F16F8B4" w14:textId="77777777" w:rsidR="001D350E" w:rsidRPr="002A4D6D" w:rsidRDefault="001D350E" w:rsidP="002A4D6D">
                  <w:pPr>
                    <w:jc w:val="center"/>
                    <w:rPr>
                      <w:spacing w:val="-4"/>
                      <w:sz w:val="26"/>
                      <w:szCs w:val="26"/>
                    </w:rPr>
                  </w:pPr>
                  <w:r w:rsidRPr="002A4D6D">
                    <w:rPr>
                      <w:spacing w:val="-4"/>
                      <w:sz w:val="26"/>
                      <w:szCs w:val="26"/>
                    </w:rPr>
                    <w:t>Likumprojekta 18.pants</w:t>
                  </w:r>
                </w:p>
                <w:p w14:paraId="7B82D376" w14:textId="6A45BD99" w:rsidR="001D350E" w:rsidRPr="002A4D6D" w:rsidRDefault="001D350E" w:rsidP="002A4D6D">
                  <w:pPr>
                    <w:jc w:val="center"/>
                    <w:rPr>
                      <w:spacing w:val="-4"/>
                      <w:sz w:val="26"/>
                      <w:szCs w:val="26"/>
                    </w:rPr>
                  </w:pPr>
                  <w:r w:rsidRPr="002A4D6D">
                    <w:rPr>
                      <w:spacing w:val="-4"/>
                      <w:sz w:val="26"/>
                      <w:szCs w:val="26"/>
                    </w:rPr>
                    <w:t xml:space="preserve">(Pievienotās vērtības nodokļa likuma </w:t>
                  </w:r>
                  <w:r w:rsidR="001B4237" w:rsidRPr="002A4D6D">
                    <w:rPr>
                      <w:spacing w:val="-4"/>
                      <w:sz w:val="26"/>
                      <w:szCs w:val="26"/>
                    </w:rPr>
                    <w:t>140</w:t>
                  </w:r>
                  <w:r w:rsidRPr="002A4D6D">
                    <w:rPr>
                      <w:spacing w:val="-4"/>
                      <w:sz w:val="26"/>
                      <w:szCs w:val="26"/>
                    </w:rPr>
                    <w:t>.</w:t>
                  </w:r>
                  <w:r w:rsidRPr="002A4D6D">
                    <w:rPr>
                      <w:spacing w:val="-4"/>
                      <w:sz w:val="26"/>
                      <w:szCs w:val="26"/>
                      <w:vertAlign w:val="superscript"/>
                    </w:rPr>
                    <w:t>1</w:t>
                  </w:r>
                  <w:r w:rsidRPr="002A4D6D">
                    <w:rPr>
                      <w:spacing w:val="-4"/>
                      <w:sz w:val="26"/>
                      <w:szCs w:val="26"/>
                    </w:rPr>
                    <w:t xml:space="preserve"> panta </w:t>
                  </w:r>
                  <w:r w:rsidR="001B4237" w:rsidRPr="002A4D6D">
                    <w:rPr>
                      <w:spacing w:val="-4"/>
                      <w:sz w:val="26"/>
                      <w:szCs w:val="26"/>
                    </w:rPr>
                    <w:t>svītrošana</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64F75C96" w14:textId="726B3FC7" w:rsidR="001D350E" w:rsidRPr="002A4D6D" w:rsidRDefault="001D350E" w:rsidP="002A4D6D">
                  <w:pPr>
                    <w:jc w:val="center"/>
                    <w:rPr>
                      <w:rFonts w:eastAsia="Times New Roman"/>
                      <w:spacing w:val="-4"/>
                      <w:sz w:val="26"/>
                      <w:szCs w:val="26"/>
                      <w:lang w:eastAsia="lv-LV"/>
                    </w:rPr>
                  </w:pPr>
                  <w:r w:rsidRPr="002A4D6D">
                    <w:rPr>
                      <w:rFonts w:eastAsia="Times New Roman"/>
                      <w:spacing w:val="-4"/>
                      <w:sz w:val="26"/>
                      <w:szCs w:val="26"/>
                      <w:lang w:eastAsia="lv-LV"/>
                    </w:rPr>
                    <w:t xml:space="preserve">Ieviests </w:t>
                  </w:r>
                  <w:r w:rsidR="00BB60CC" w:rsidRPr="002A4D6D">
                    <w:rPr>
                      <w:rFonts w:eastAsia="Times New Roman"/>
                      <w:spacing w:val="-4"/>
                      <w:sz w:val="26"/>
                      <w:szCs w:val="26"/>
                      <w:lang w:eastAsia="lv-LV"/>
                    </w:rPr>
                    <w:t>pilnībā</w:t>
                  </w:r>
                </w:p>
              </w:tc>
              <w:tc>
                <w:tcPr>
                  <w:tcW w:w="1843" w:type="dxa"/>
                  <w:tcBorders>
                    <w:top w:val="outset" w:sz="6" w:space="0" w:color="auto"/>
                    <w:left w:val="outset" w:sz="6" w:space="0" w:color="auto"/>
                    <w:bottom w:val="outset" w:sz="6" w:space="0" w:color="auto"/>
                    <w:right w:val="outset" w:sz="6" w:space="0" w:color="auto"/>
                  </w:tcBorders>
                </w:tcPr>
                <w:p w14:paraId="00A7D71D" w14:textId="3C310703" w:rsidR="001D350E" w:rsidRPr="002A4D6D" w:rsidRDefault="001D350E"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0C7CD2" w:rsidRPr="002A4D6D" w14:paraId="6FC86DE8"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57F6BED" w14:textId="1E5EEB3B" w:rsidR="000C7CD2" w:rsidRPr="002A4D6D" w:rsidRDefault="000C7CD2" w:rsidP="002A4D6D">
                  <w:pPr>
                    <w:jc w:val="center"/>
                    <w:rPr>
                      <w:spacing w:val="-4"/>
                      <w:sz w:val="26"/>
                      <w:szCs w:val="26"/>
                    </w:rPr>
                  </w:pPr>
                  <w:r w:rsidRPr="002A4D6D">
                    <w:rPr>
                      <w:spacing w:val="-4"/>
                      <w:sz w:val="26"/>
                      <w:szCs w:val="26"/>
                    </w:rPr>
                    <w:t>Direktīvas 2017/2455 2.panta 1</w:t>
                  </w:r>
                  <w:r w:rsidR="006F57C8" w:rsidRPr="002A4D6D">
                    <w:rPr>
                      <w:spacing w:val="-4"/>
                      <w:sz w:val="26"/>
                      <w:szCs w:val="26"/>
                    </w:rPr>
                    <w:t>5</w:t>
                  </w:r>
                  <w:r w:rsidRPr="002A4D6D">
                    <w:rPr>
                      <w:spacing w:val="-4"/>
                      <w:sz w:val="26"/>
                      <w:szCs w:val="26"/>
                    </w:rPr>
                    <w:t xml:space="preserve">.punkts attiecībā uz </w:t>
                  </w:r>
                  <w:r w:rsidR="006F57C8" w:rsidRPr="002A4D6D">
                    <w:rPr>
                      <w:spacing w:val="-4"/>
                      <w:sz w:val="26"/>
                      <w:szCs w:val="26"/>
                    </w:rPr>
                    <w:t>358.a</w:t>
                  </w:r>
                  <w:r w:rsidRPr="002A4D6D">
                    <w:rPr>
                      <w:spacing w:val="-4"/>
                      <w:sz w:val="26"/>
                      <w:szCs w:val="26"/>
                    </w:rPr>
                    <w:t xml:space="preserve"> panta </w:t>
                  </w:r>
                  <w:r w:rsidR="006F57C8" w:rsidRPr="002A4D6D">
                    <w:rPr>
                      <w:spacing w:val="-4"/>
                      <w:sz w:val="26"/>
                      <w:szCs w:val="26"/>
                    </w:rPr>
                    <w:t>3</w:t>
                  </w:r>
                  <w:r w:rsidRPr="002A4D6D">
                    <w:rPr>
                      <w:spacing w:val="-4"/>
                      <w:sz w:val="26"/>
                      <w:szCs w:val="26"/>
                    </w:rPr>
                    <w:t>.punkta pārņemšanu</w:t>
                  </w:r>
                </w:p>
              </w:tc>
              <w:tc>
                <w:tcPr>
                  <w:tcW w:w="2552" w:type="dxa"/>
                  <w:tcBorders>
                    <w:top w:val="outset" w:sz="6" w:space="0" w:color="auto"/>
                    <w:left w:val="outset" w:sz="6" w:space="0" w:color="auto"/>
                    <w:bottom w:val="outset" w:sz="6" w:space="0" w:color="auto"/>
                    <w:right w:val="outset" w:sz="6" w:space="0" w:color="auto"/>
                  </w:tcBorders>
                </w:tcPr>
                <w:p w14:paraId="44B70DAA" w14:textId="37A24795" w:rsidR="000C7CD2" w:rsidRPr="002A4D6D" w:rsidRDefault="000C7CD2" w:rsidP="002A4D6D">
                  <w:pPr>
                    <w:jc w:val="center"/>
                    <w:rPr>
                      <w:spacing w:val="-4"/>
                      <w:sz w:val="26"/>
                      <w:szCs w:val="26"/>
                    </w:rPr>
                  </w:pPr>
                  <w:r w:rsidRPr="002A4D6D">
                    <w:rPr>
                      <w:spacing w:val="-4"/>
                      <w:sz w:val="26"/>
                      <w:szCs w:val="26"/>
                    </w:rPr>
                    <w:t xml:space="preserve">Likumprojekta </w:t>
                  </w:r>
                  <w:r w:rsidR="00ED3DB3" w:rsidRPr="002A4D6D">
                    <w:rPr>
                      <w:spacing w:val="-4"/>
                      <w:sz w:val="26"/>
                      <w:szCs w:val="26"/>
                    </w:rPr>
                    <w:t>19</w:t>
                  </w:r>
                  <w:r w:rsidRPr="002A4D6D">
                    <w:rPr>
                      <w:spacing w:val="-4"/>
                      <w:sz w:val="26"/>
                      <w:szCs w:val="26"/>
                    </w:rPr>
                    <w:t>.pants</w:t>
                  </w:r>
                </w:p>
                <w:p w14:paraId="645C3D89" w14:textId="41CD9F9F" w:rsidR="000C7CD2" w:rsidRPr="002A4D6D" w:rsidRDefault="000C7CD2" w:rsidP="002A4D6D">
                  <w:pPr>
                    <w:jc w:val="center"/>
                    <w:rPr>
                      <w:spacing w:val="-4"/>
                      <w:sz w:val="26"/>
                      <w:szCs w:val="26"/>
                    </w:rPr>
                  </w:pPr>
                  <w:r w:rsidRPr="002A4D6D">
                    <w:rPr>
                      <w:spacing w:val="-4"/>
                      <w:sz w:val="26"/>
                      <w:szCs w:val="26"/>
                    </w:rPr>
                    <w:t xml:space="preserve">(Pievienotās vērtības nodokļa likuma </w:t>
                  </w:r>
                  <w:r w:rsidR="00ED3DB3" w:rsidRPr="002A4D6D">
                    <w:rPr>
                      <w:spacing w:val="-4"/>
                      <w:sz w:val="26"/>
                      <w:szCs w:val="26"/>
                    </w:rPr>
                    <w:t>140</w:t>
                  </w:r>
                  <w:r w:rsidRPr="002A4D6D">
                    <w:rPr>
                      <w:spacing w:val="-4"/>
                      <w:sz w:val="26"/>
                      <w:szCs w:val="26"/>
                    </w:rPr>
                    <w:t>.</w:t>
                  </w:r>
                  <w:r w:rsidR="00ED3DB3" w:rsidRPr="002A4D6D">
                    <w:rPr>
                      <w:spacing w:val="-4"/>
                      <w:sz w:val="26"/>
                      <w:szCs w:val="26"/>
                      <w:vertAlign w:val="superscript"/>
                    </w:rPr>
                    <w:t>2</w:t>
                  </w:r>
                  <w:r w:rsidR="00ED3DB3" w:rsidRPr="002A4D6D">
                    <w:rPr>
                      <w:spacing w:val="-4"/>
                      <w:sz w:val="26"/>
                      <w:szCs w:val="26"/>
                    </w:rPr>
                    <w:t> </w:t>
                  </w:r>
                  <w:r w:rsidRPr="002A4D6D">
                    <w:rPr>
                      <w:spacing w:val="-4"/>
                      <w:sz w:val="26"/>
                      <w:szCs w:val="26"/>
                    </w:rPr>
                    <w:t xml:space="preserve">panta </w:t>
                  </w:r>
                  <w:r w:rsidR="006F57C8" w:rsidRPr="002A4D6D">
                    <w:rPr>
                      <w:spacing w:val="-4"/>
                      <w:sz w:val="26"/>
                      <w:szCs w:val="26"/>
                    </w:rPr>
                    <w:t>pirmās daļas 4.punkts</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41B193D3" w14:textId="731EA1FA" w:rsidR="000C7CD2" w:rsidRPr="002A4D6D" w:rsidRDefault="000C7CD2"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480E470" w14:textId="7938E3AF" w:rsidR="000C7CD2" w:rsidRPr="002A4D6D" w:rsidRDefault="000C7CD2"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F57C8" w:rsidRPr="002A4D6D" w14:paraId="06FE9A21"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0AF5CA3F" w14:textId="55DF885E" w:rsidR="006F57C8" w:rsidRPr="002A4D6D" w:rsidRDefault="006F57C8" w:rsidP="002A4D6D">
                  <w:pPr>
                    <w:jc w:val="center"/>
                    <w:rPr>
                      <w:spacing w:val="-4"/>
                      <w:sz w:val="26"/>
                      <w:szCs w:val="26"/>
                    </w:rPr>
                  </w:pPr>
                  <w:r w:rsidRPr="002A4D6D">
                    <w:rPr>
                      <w:spacing w:val="-4"/>
                      <w:sz w:val="26"/>
                      <w:szCs w:val="26"/>
                    </w:rPr>
                    <w:lastRenderedPageBreak/>
                    <w:t>Direktīvas 2017/2455 2.panta 16.punkts attiecībā uz 359.panta pārņemšanu</w:t>
                  </w:r>
                </w:p>
              </w:tc>
              <w:tc>
                <w:tcPr>
                  <w:tcW w:w="2552" w:type="dxa"/>
                  <w:tcBorders>
                    <w:top w:val="outset" w:sz="6" w:space="0" w:color="auto"/>
                    <w:left w:val="outset" w:sz="6" w:space="0" w:color="auto"/>
                    <w:bottom w:val="outset" w:sz="6" w:space="0" w:color="auto"/>
                    <w:right w:val="outset" w:sz="6" w:space="0" w:color="auto"/>
                  </w:tcBorders>
                </w:tcPr>
                <w:p w14:paraId="628CBBBB" w14:textId="08716225" w:rsidR="006F57C8" w:rsidRPr="002A4D6D" w:rsidRDefault="006F57C8" w:rsidP="002A4D6D">
                  <w:pPr>
                    <w:jc w:val="center"/>
                    <w:rPr>
                      <w:spacing w:val="-4"/>
                      <w:sz w:val="26"/>
                      <w:szCs w:val="26"/>
                    </w:rPr>
                  </w:pPr>
                  <w:r w:rsidRPr="002A4D6D">
                    <w:rPr>
                      <w:spacing w:val="-4"/>
                      <w:sz w:val="26"/>
                      <w:szCs w:val="26"/>
                    </w:rPr>
                    <w:t xml:space="preserve">Likumprojekta </w:t>
                  </w:r>
                  <w:r w:rsidR="007450E3" w:rsidRPr="002A4D6D">
                    <w:rPr>
                      <w:spacing w:val="-4"/>
                      <w:sz w:val="26"/>
                      <w:szCs w:val="26"/>
                    </w:rPr>
                    <w:t>19</w:t>
                  </w:r>
                  <w:r w:rsidRPr="002A4D6D">
                    <w:rPr>
                      <w:spacing w:val="-4"/>
                      <w:sz w:val="26"/>
                      <w:szCs w:val="26"/>
                    </w:rPr>
                    <w:t>.pants</w:t>
                  </w:r>
                </w:p>
                <w:p w14:paraId="125C8EC2" w14:textId="2AC2477A" w:rsidR="006F57C8" w:rsidRPr="002A4D6D" w:rsidRDefault="006F57C8" w:rsidP="002A4D6D">
                  <w:pPr>
                    <w:jc w:val="center"/>
                    <w:rPr>
                      <w:spacing w:val="-4"/>
                      <w:sz w:val="26"/>
                      <w:szCs w:val="26"/>
                    </w:rPr>
                  </w:pPr>
                  <w:r w:rsidRPr="002A4D6D">
                    <w:rPr>
                      <w:spacing w:val="-4"/>
                      <w:sz w:val="26"/>
                      <w:szCs w:val="26"/>
                    </w:rPr>
                    <w:t>(Pievienotās vērtības nodokļa likuma 14</w:t>
                  </w:r>
                  <w:r w:rsidR="007450E3" w:rsidRPr="002A4D6D">
                    <w:rPr>
                      <w:spacing w:val="-4"/>
                      <w:sz w:val="26"/>
                      <w:szCs w:val="26"/>
                    </w:rPr>
                    <w:t>0</w:t>
                  </w:r>
                  <w:r w:rsidRPr="002A4D6D">
                    <w:rPr>
                      <w:spacing w:val="-4"/>
                      <w:sz w:val="26"/>
                      <w:szCs w:val="26"/>
                    </w:rPr>
                    <w:t>.</w:t>
                  </w:r>
                  <w:r w:rsidR="007450E3" w:rsidRPr="002A4D6D">
                    <w:rPr>
                      <w:spacing w:val="-4"/>
                      <w:sz w:val="26"/>
                      <w:szCs w:val="26"/>
                      <w:vertAlign w:val="superscript"/>
                    </w:rPr>
                    <w:t>2</w:t>
                  </w:r>
                  <w:r w:rsidR="007450E3" w:rsidRPr="002A4D6D">
                    <w:rPr>
                      <w:spacing w:val="-4"/>
                      <w:sz w:val="26"/>
                      <w:szCs w:val="26"/>
                    </w:rPr>
                    <w:t> </w:t>
                  </w:r>
                  <w:r w:rsidRPr="002A4D6D">
                    <w:rPr>
                      <w:spacing w:val="-4"/>
                      <w:sz w:val="26"/>
                      <w:szCs w:val="26"/>
                    </w:rPr>
                    <w:t>panta otrā daļa)</w:t>
                  </w:r>
                </w:p>
              </w:tc>
              <w:tc>
                <w:tcPr>
                  <w:tcW w:w="1840" w:type="dxa"/>
                  <w:gridSpan w:val="2"/>
                  <w:tcBorders>
                    <w:top w:val="outset" w:sz="6" w:space="0" w:color="auto"/>
                    <w:left w:val="outset" w:sz="6" w:space="0" w:color="auto"/>
                    <w:bottom w:val="outset" w:sz="6" w:space="0" w:color="auto"/>
                    <w:right w:val="outset" w:sz="6" w:space="0" w:color="auto"/>
                  </w:tcBorders>
                </w:tcPr>
                <w:p w14:paraId="03DD60FA" w14:textId="57773EE9" w:rsidR="006F57C8" w:rsidRPr="002A4D6D" w:rsidRDefault="006F57C8"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EDE08A5" w14:textId="14B542D8" w:rsidR="006F57C8" w:rsidRPr="002A4D6D" w:rsidRDefault="006F57C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F57C8" w:rsidRPr="002A4D6D" w14:paraId="19AF2C6A"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519FF0AC" w14:textId="39A7254B" w:rsidR="006F57C8" w:rsidRPr="002A4D6D" w:rsidRDefault="006F57C8" w:rsidP="002A4D6D">
                  <w:pPr>
                    <w:jc w:val="center"/>
                    <w:rPr>
                      <w:spacing w:val="-4"/>
                      <w:sz w:val="26"/>
                      <w:szCs w:val="26"/>
                    </w:rPr>
                  </w:pPr>
                  <w:r w:rsidRPr="002A4D6D">
                    <w:rPr>
                      <w:spacing w:val="-4"/>
                      <w:sz w:val="26"/>
                      <w:szCs w:val="26"/>
                    </w:rPr>
                    <w:t>Direktīvas 2017/2455 2.panta 17.punkts attiecībā uz 362.panta pārņemšanu</w:t>
                  </w:r>
                </w:p>
              </w:tc>
              <w:tc>
                <w:tcPr>
                  <w:tcW w:w="2552" w:type="dxa"/>
                  <w:tcBorders>
                    <w:top w:val="outset" w:sz="6" w:space="0" w:color="auto"/>
                    <w:left w:val="outset" w:sz="6" w:space="0" w:color="auto"/>
                    <w:bottom w:val="outset" w:sz="6" w:space="0" w:color="auto"/>
                    <w:right w:val="outset" w:sz="6" w:space="0" w:color="auto"/>
                  </w:tcBorders>
                </w:tcPr>
                <w:p w14:paraId="7D8F01F7" w14:textId="7A3CDFB5" w:rsidR="006F57C8" w:rsidRPr="002A4D6D" w:rsidRDefault="006F57C8" w:rsidP="002A4D6D">
                  <w:pPr>
                    <w:jc w:val="center"/>
                    <w:rPr>
                      <w:spacing w:val="-4"/>
                      <w:sz w:val="26"/>
                      <w:szCs w:val="26"/>
                    </w:rPr>
                  </w:pPr>
                  <w:r w:rsidRPr="002A4D6D">
                    <w:rPr>
                      <w:spacing w:val="-4"/>
                      <w:sz w:val="26"/>
                      <w:szCs w:val="26"/>
                    </w:rPr>
                    <w:t xml:space="preserve">Likumprojekta </w:t>
                  </w:r>
                  <w:r w:rsidR="00C05B5F" w:rsidRPr="002A4D6D">
                    <w:rPr>
                      <w:spacing w:val="-4"/>
                      <w:sz w:val="26"/>
                      <w:szCs w:val="26"/>
                    </w:rPr>
                    <w:t>19</w:t>
                  </w:r>
                  <w:r w:rsidRPr="002A4D6D">
                    <w:rPr>
                      <w:spacing w:val="-4"/>
                      <w:sz w:val="26"/>
                      <w:szCs w:val="26"/>
                    </w:rPr>
                    <w:t>.pants</w:t>
                  </w:r>
                </w:p>
                <w:p w14:paraId="7FE0EAB2" w14:textId="620A2E8F" w:rsidR="006F57C8" w:rsidRPr="002A4D6D" w:rsidRDefault="006F57C8" w:rsidP="002A4D6D">
                  <w:pPr>
                    <w:jc w:val="center"/>
                    <w:rPr>
                      <w:spacing w:val="-4"/>
                      <w:sz w:val="26"/>
                      <w:szCs w:val="26"/>
                    </w:rPr>
                  </w:pPr>
                  <w:r w:rsidRPr="002A4D6D">
                    <w:rPr>
                      <w:spacing w:val="-4"/>
                      <w:sz w:val="26"/>
                      <w:szCs w:val="26"/>
                    </w:rPr>
                    <w:t xml:space="preserve">(Pievienotās vērtības nodokļa likuma </w:t>
                  </w:r>
                  <w:r w:rsidR="00C05B5F" w:rsidRPr="002A4D6D">
                    <w:rPr>
                      <w:spacing w:val="-4"/>
                      <w:sz w:val="26"/>
                      <w:szCs w:val="26"/>
                    </w:rPr>
                    <w:t>140</w:t>
                  </w:r>
                  <w:r w:rsidRPr="002A4D6D">
                    <w:rPr>
                      <w:spacing w:val="-4"/>
                      <w:sz w:val="26"/>
                      <w:szCs w:val="26"/>
                    </w:rPr>
                    <w:t>.</w:t>
                  </w:r>
                  <w:r w:rsidR="00C05B5F" w:rsidRPr="002A4D6D">
                    <w:rPr>
                      <w:spacing w:val="-4"/>
                      <w:sz w:val="26"/>
                      <w:szCs w:val="26"/>
                      <w:vertAlign w:val="superscript"/>
                    </w:rPr>
                    <w:t>2</w:t>
                  </w:r>
                  <w:r w:rsidR="00C05B5F" w:rsidRPr="002A4D6D">
                    <w:rPr>
                      <w:spacing w:val="-4"/>
                      <w:sz w:val="26"/>
                      <w:szCs w:val="26"/>
                    </w:rPr>
                    <w:t> </w:t>
                  </w:r>
                  <w:r w:rsidRPr="002A4D6D">
                    <w:rPr>
                      <w:spacing w:val="-4"/>
                      <w:sz w:val="26"/>
                      <w:szCs w:val="26"/>
                    </w:rPr>
                    <w:t>panta piektā</w:t>
                  </w:r>
                  <w:r w:rsidR="00C05B5F" w:rsidRPr="002A4D6D">
                    <w:rPr>
                      <w:spacing w:val="-4"/>
                      <w:sz w:val="26"/>
                      <w:szCs w:val="26"/>
                    </w:rPr>
                    <w:t xml:space="preserve"> un</w:t>
                  </w:r>
                  <w:r w:rsidRPr="002A4D6D">
                    <w:rPr>
                      <w:spacing w:val="-4"/>
                      <w:sz w:val="26"/>
                      <w:szCs w:val="26"/>
                    </w:rPr>
                    <w:t xml:space="preserve"> sestā daļa)</w:t>
                  </w:r>
                </w:p>
              </w:tc>
              <w:tc>
                <w:tcPr>
                  <w:tcW w:w="1840" w:type="dxa"/>
                  <w:gridSpan w:val="2"/>
                  <w:tcBorders>
                    <w:top w:val="outset" w:sz="6" w:space="0" w:color="auto"/>
                    <w:left w:val="outset" w:sz="6" w:space="0" w:color="auto"/>
                    <w:bottom w:val="outset" w:sz="6" w:space="0" w:color="auto"/>
                    <w:right w:val="outset" w:sz="6" w:space="0" w:color="auto"/>
                  </w:tcBorders>
                </w:tcPr>
                <w:p w14:paraId="7298A44C" w14:textId="4D5D2A67" w:rsidR="006F57C8" w:rsidRPr="002A4D6D" w:rsidRDefault="006F57C8"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64E3FEB4" w14:textId="0A309527" w:rsidR="006F57C8" w:rsidRPr="002A4D6D" w:rsidRDefault="006F57C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F57C8" w:rsidRPr="002A4D6D" w14:paraId="2D769BF0"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A08EDC4" w14:textId="11C73FEE" w:rsidR="006F57C8" w:rsidRPr="002A4D6D" w:rsidRDefault="006F57C8" w:rsidP="002A4D6D">
                  <w:pPr>
                    <w:jc w:val="center"/>
                    <w:rPr>
                      <w:spacing w:val="-4"/>
                      <w:sz w:val="26"/>
                      <w:szCs w:val="26"/>
                    </w:rPr>
                  </w:pPr>
                  <w:r w:rsidRPr="002A4D6D">
                    <w:rPr>
                      <w:spacing w:val="-4"/>
                      <w:sz w:val="26"/>
                      <w:szCs w:val="26"/>
                    </w:rPr>
                    <w:t>Direktīvas 2017/2455 2.panta 18.punkts attiecībā uz 363.panta “a” apakšpunkta pārņemšanu</w:t>
                  </w:r>
                </w:p>
              </w:tc>
              <w:tc>
                <w:tcPr>
                  <w:tcW w:w="2552" w:type="dxa"/>
                  <w:tcBorders>
                    <w:top w:val="outset" w:sz="6" w:space="0" w:color="auto"/>
                    <w:left w:val="outset" w:sz="6" w:space="0" w:color="auto"/>
                    <w:bottom w:val="outset" w:sz="6" w:space="0" w:color="auto"/>
                    <w:right w:val="outset" w:sz="6" w:space="0" w:color="auto"/>
                  </w:tcBorders>
                </w:tcPr>
                <w:p w14:paraId="6D84B53D" w14:textId="3BA90894" w:rsidR="006F57C8" w:rsidRPr="002A4D6D" w:rsidRDefault="006F57C8" w:rsidP="002A4D6D">
                  <w:pPr>
                    <w:jc w:val="center"/>
                    <w:rPr>
                      <w:spacing w:val="-4"/>
                      <w:sz w:val="26"/>
                      <w:szCs w:val="26"/>
                    </w:rPr>
                  </w:pPr>
                  <w:r w:rsidRPr="002A4D6D">
                    <w:rPr>
                      <w:spacing w:val="-4"/>
                      <w:sz w:val="26"/>
                      <w:szCs w:val="26"/>
                    </w:rPr>
                    <w:t xml:space="preserve">Likumprojekta </w:t>
                  </w:r>
                  <w:r w:rsidR="0046591C" w:rsidRPr="002A4D6D">
                    <w:rPr>
                      <w:spacing w:val="-4"/>
                      <w:sz w:val="26"/>
                      <w:szCs w:val="26"/>
                    </w:rPr>
                    <w:t>19</w:t>
                  </w:r>
                  <w:r w:rsidRPr="002A4D6D">
                    <w:rPr>
                      <w:spacing w:val="-4"/>
                      <w:sz w:val="26"/>
                      <w:szCs w:val="26"/>
                    </w:rPr>
                    <w:t>.pants</w:t>
                  </w:r>
                </w:p>
                <w:p w14:paraId="73967ACD" w14:textId="14BCDAC6" w:rsidR="006F57C8" w:rsidRPr="002A4D6D" w:rsidRDefault="006F57C8" w:rsidP="002A4D6D">
                  <w:pPr>
                    <w:jc w:val="center"/>
                    <w:rPr>
                      <w:spacing w:val="-4"/>
                      <w:sz w:val="26"/>
                      <w:szCs w:val="26"/>
                    </w:rPr>
                  </w:pPr>
                  <w:r w:rsidRPr="002A4D6D">
                    <w:rPr>
                      <w:spacing w:val="-4"/>
                      <w:sz w:val="26"/>
                      <w:szCs w:val="26"/>
                    </w:rPr>
                    <w:t xml:space="preserve">(Pievienotās vērtības nodokļa likuma </w:t>
                  </w:r>
                  <w:r w:rsidR="0046591C" w:rsidRPr="002A4D6D">
                    <w:rPr>
                      <w:spacing w:val="-4"/>
                      <w:sz w:val="26"/>
                      <w:szCs w:val="26"/>
                    </w:rPr>
                    <w:t>140</w:t>
                  </w:r>
                  <w:r w:rsidRPr="002A4D6D">
                    <w:rPr>
                      <w:spacing w:val="-4"/>
                      <w:sz w:val="26"/>
                      <w:szCs w:val="26"/>
                    </w:rPr>
                    <w:t>.</w:t>
                  </w:r>
                  <w:r w:rsidR="0046591C" w:rsidRPr="002A4D6D">
                    <w:rPr>
                      <w:spacing w:val="-4"/>
                      <w:sz w:val="26"/>
                      <w:szCs w:val="26"/>
                      <w:vertAlign w:val="superscript"/>
                    </w:rPr>
                    <w:t>2</w:t>
                  </w:r>
                  <w:r w:rsidR="0046591C" w:rsidRPr="002A4D6D">
                    <w:rPr>
                      <w:spacing w:val="-4"/>
                      <w:sz w:val="26"/>
                      <w:szCs w:val="26"/>
                    </w:rPr>
                    <w:t> </w:t>
                  </w:r>
                  <w:r w:rsidRPr="002A4D6D">
                    <w:rPr>
                      <w:spacing w:val="-4"/>
                      <w:sz w:val="26"/>
                      <w:szCs w:val="26"/>
                    </w:rPr>
                    <w:t xml:space="preserve">panta </w:t>
                  </w:r>
                  <w:r w:rsidR="0046591C" w:rsidRPr="002A4D6D">
                    <w:rPr>
                      <w:spacing w:val="-4"/>
                      <w:sz w:val="26"/>
                      <w:szCs w:val="26"/>
                    </w:rPr>
                    <w:t xml:space="preserve">septītās </w:t>
                  </w:r>
                  <w:r w:rsidRPr="002A4D6D">
                    <w:rPr>
                      <w:spacing w:val="-4"/>
                      <w:sz w:val="26"/>
                      <w:szCs w:val="26"/>
                    </w:rPr>
                    <w:t>daļas 1.punkts)</w:t>
                  </w:r>
                </w:p>
              </w:tc>
              <w:tc>
                <w:tcPr>
                  <w:tcW w:w="1840" w:type="dxa"/>
                  <w:gridSpan w:val="2"/>
                  <w:tcBorders>
                    <w:top w:val="outset" w:sz="6" w:space="0" w:color="auto"/>
                    <w:left w:val="outset" w:sz="6" w:space="0" w:color="auto"/>
                    <w:bottom w:val="outset" w:sz="6" w:space="0" w:color="auto"/>
                    <w:right w:val="outset" w:sz="6" w:space="0" w:color="auto"/>
                  </w:tcBorders>
                </w:tcPr>
                <w:p w14:paraId="6EF1FB50" w14:textId="3AFB0D6F" w:rsidR="006F57C8" w:rsidRPr="002A4D6D" w:rsidRDefault="006F57C8"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4431B2E" w14:textId="4C3F2281" w:rsidR="006F57C8" w:rsidRPr="002A4D6D" w:rsidRDefault="006F57C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F57C8" w:rsidRPr="002A4D6D" w14:paraId="17CD2A6C"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71DE3D6E" w14:textId="7F7F4A84" w:rsidR="006F57C8" w:rsidRPr="002A4D6D" w:rsidRDefault="006F57C8" w:rsidP="002A4D6D">
                  <w:pPr>
                    <w:jc w:val="center"/>
                    <w:rPr>
                      <w:spacing w:val="-4"/>
                      <w:sz w:val="26"/>
                      <w:szCs w:val="26"/>
                    </w:rPr>
                  </w:pPr>
                  <w:r w:rsidRPr="002A4D6D">
                    <w:rPr>
                      <w:spacing w:val="-4"/>
                      <w:sz w:val="26"/>
                      <w:szCs w:val="26"/>
                    </w:rPr>
                    <w:t>Direktīvas 2017/2455 2.panta 19.punkts attiecībā uz 364.panta pārņemšanu</w:t>
                  </w:r>
                </w:p>
              </w:tc>
              <w:tc>
                <w:tcPr>
                  <w:tcW w:w="2552" w:type="dxa"/>
                  <w:tcBorders>
                    <w:top w:val="outset" w:sz="6" w:space="0" w:color="auto"/>
                    <w:left w:val="outset" w:sz="6" w:space="0" w:color="auto"/>
                    <w:bottom w:val="outset" w:sz="6" w:space="0" w:color="auto"/>
                    <w:right w:val="outset" w:sz="6" w:space="0" w:color="auto"/>
                  </w:tcBorders>
                </w:tcPr>
                <w:p w14:paraId="72939582" w14:textId="2C219AFF" w:rsidR="006F57C8" w:rsidRPr="002A4D6D" w:rsidRDefault="006F57C8" w:rsidP="002A4D6D">
                  <w:pPr>
                    <w:jc w:val="center"/>
                    <w:rPr>
                      <w:spacing w:val="-4"/>
                      <w:sz w:val="26"/>
                      <w:szCs w:val="26"/>
                    </w:rPr>
                  </w:pPr>
                  <w:r w:rsidRPr="002A4D6D">
                    <w:rPr>
                      <w:spacing w:val="-4"/>
                      <w:sz w:val="26"/>
                      <w:szCs w:val="26"/>
                    </w:rPr>
                    <w:t xml:space="preserve">Likumprojekta </w:t>
                  </w:r>
                  <w:r w:rsidR="0046591C" w:rsidRPr="002A4D6D">
                    <w:rPr>
                      <w:spacing w:val="-4"/>
                      <w:sz w:val="26"/>
                      <w:szCs w:val="26"/>
                    </w:rPr>
                    <w:t>19</w:t>
                  </w:r>
                  <w:r w:rsidRPr="002A4D6D">
                    <w:rPr>
                      <w:spacing w:val="-4"/>
                      <w:sz w:val="26"/>
                      <w:szCs w:val="26"/>
                    </w:rPr>
                    <w:t>.pants</w:t>
                  </w:r>
                </w:p>
                <w:p w14:paraId="75E78E02" w14:textId="1AA88BD7" w:rsidR="006F57C8" w:rsidRPr="002A4D6D" w:rsidRDefault="006F57C8" w:rsidP="002A4D6D">
                  <w:pPr>
                    <w:jc w:val="center"/>
                    <w:rPr>
                      <w:spacing w:val="-4"/>
                      <w:sz w:val="26"/>
                      <w:szCs w:val="26"/>
                    </w:rPr>
                  </w:pPr>
                  <w:r w:rsidRPr="002A4D6D">
                    <w:rPr>
                      <w:spacing w:val="-4"/>
                      <w:sz w:val="26"/>
                      <w:szCs w:val="26"/>
                    </w:rPr>
                    <w:t xml:space="preserve">(Pievienotās vērtības nodokļa likuma </w:t>
                  </w:r>
                  <w:r w:rsidR="0046591C" w:rsidRPr="002A4D6D">
                    <w:rPr>
                      <w:spacing w:val="-4"/>
                      <w:sz w:val="26"/>
                      <w:szCs w:val="26"/>
                    </w:rPr>
                    <w:t>140</w:t>
                  </w:r>
                  <w:r w:rsidRPr="002A4D6D">
                    <w:rPr>
                      <w:spacing w:val="-4"/>
                      <w:sz w:val="26"/>
                      <w:szCs w:val="26"/>
                    </w:rPr>
                    <w:t>.</w:t>
                  </w:r>
                  <w:r w:rsidR="0046591C" w:rsidRPr="002A4D6D">
                    <w:rPr>
                      <w:spacing w:val="-4"/>
                      <w:sz w:val="26"/>
                      <w:szCs w:val="26"/>
                      <w:vertAlign w:val="superscript"/>
                    </w:rPr>
                    <w:t>2</w:t>
                  </w:r>
                  <w:r w:rsidR="0046591C" w:rsidRPr="002A4D6D">
                    <w:rPr>
                      <w:spacing w:val="-4"/>
                      <w:sz w:val="26"/>
                      <w:szCs w:val="26"/>
                    </w:rPr>
                    <w:t> </w:t>
                  </w:r>
                  <w:r w:rsidRPr="002A4D6D">
                    <w:rPr>
                      <w:spacing w:val="-4"/>
                      <w:sz w:val="26"/>
                      <w:szCs w:val="26"/>
                    </w:rPr>
                    <w:t xml:space="preserve">panta </w:t>
                  </w:r>
                  <w:r w:rsidR="0046591C" w:rsidRPr="002A4D6D">
                    <w:rPr>
                      <w:spacing w:val="-4"/>
                      <w:sz w:val="26"/>
                      <w:szCs w:val="26"/>
                    </w:rPr>
                    <w:t xml:space="preserve">astotā </w:t>
                  </w:r>
                  <w:r w:rsidR="00DF3422" w:rsidRPr="002A4D6D">
                    <w:rPr>
                      <w:spacing w:val="-4"/>
                      <w:sz w:val="26"/>
                      <w:szCs w:val="26"/>
                    </w:rPr>
                    <w:t>daļa</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4F3FD60A" w14:textId="5BC29417" w:rsidR="006F57C8" w:rsidRPr="002A4D6D" w:rsidRDefault="006F57C8"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F032C73" w14:textId="52B8136A" w:rsidR="006F57C8" w:rsidRPr="002A4D6D" w:rsidRDefault="006F57C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DF3422" w:rsidRPr="002A4D6D" w14:paraId="020379F8"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54F396F0" w14:textId="22A783CF" w:rsidR="00DF3422" w:rsidRPr="002A4D6D" w:rsidRDefault="00DF3422" w:rsidP="002A4D6D">
                  <w:pPr>
                    <w:jc w:val="center"/>
                    <w:rPr>
                      <w:spacing w:val="-4"/>
                      <w:sz w:val="26"/>
                      <w:szCs w:val="26"/>
                    </w:rPr>
                  </w:pPr>
                  <w:r w:rsidRPr="002A4D6D">
                    <w:rPr>
                      <w:spacing w:val="-4"/>
                      <w:sz w:val="26"/>
                      <w:szCs w:val="26"/>
                    </w:rPr>
                    <w:t>Direktīvas 2017/2455 2.panta 19.punkts attiecībā uz 365.panta pārņemšanu</w:t>
                  </w:r>
                </w:p>
              </w:tc>
              <w:tc>
                <w:tcPr>
                  <w:tcW w:w="2552" w:type="dxa"/>
                  <w:tcBorders>
                    <w:top w:val="outset" w:sz="6" w:space="0" w:color="auto"/>
                    <w:left w:val="outset" w:sz="6" w:space="0" w:color="auto"/>
                    <w:bottom w:val="outset" w:sz="6" w:space="0" w:color="auto"/>
                    <w:right w:val="outset" w:sz="6" w:space="0" w:color="auto"/>
                  </w:tcBorders>
                </w:tcPr>
                <w:p w14:paraId="7F2ADC9E" w14:textId="4F09664F" w:rsidR="00DF3422" w:rsidRPr="002A4D6D" w:rsidRDefault="00DF3422" w:rsidP="002A4D6D">
                  <w:pPr>
                    <w:jc w:val="center"/>
                    <w:rPr>
                      <w:spacing w:val="-4"/>
                      <w:sz w:val="26"/>
                      <w:szCs w:val="26"/>
                    </w:rPr>
                  </w:pPr>
                  <w:r w:rsidRPr="002A4D6D">
                    <w:rPr>
                      <w:spacing w:val="-4"/>
                      <w:sz w:val="26"/>
                      <w:szCs w:val="26"/>
                    </w:rPr>
                    <w:t xml:space="preserve">Likumprojekta </w:t>
                  </w:r>
                  <w:r w:rsidR="0046591C" w:rsidRPr="002A4D6D">
                    <w:rPr>
                      <w:spacing w:val="-4"/>
                      <w:sz w:val="26"/>
                      <w:szCs w:val="26"/>
                    </w:rPr>
                    <w:t>19</w:t>
                  </w:r>
                  <w:r w:rsidRPr="002A4D6D">
                    <w:rPr>
                      <w:spacing w:val="-4"/>
                      <w:sz w:val="26"/>
                      <w:szCs w:val="26"/>
                    </w:rPr>
                    <w:t>.pants</w:t>
                  </w:r>
                </w:p>
                <w:p w14:paraId="1FF26AD4" w14:textId="0C365150" w:rsidR="00DF3422" w:rsidRPr="002A4D6D" w:rsidRDefault="00DF3422" w:rsidP="002A4D6D">
                  <w:pPr>
                    <w:jc w:val="center"/>
                    <w:rPr>
                      <w:spacing w:val="-4"/>
                      <w:sz w:val="26"/>
                      <w:szCs w:val="26"/>
                    </w:rPr>
                  </w:pPr>
                  <w:r w:rsidRPr="002A4D6D">
                    <w:rPr>
                      <w:spacing w:val="-4"/>
                      <w:sz w:val="26"/>
                      <w:szCs w:val="26"/>
                    </w:rPr>
                    <w:t xml:space="preserve">(deleģējums Pievienotās vērtības nodokļa likuma </w:t>
                  </w:r>
                  <w:r w:rsidR="00C60D11" w:rsidRPr="002A4D6D">
                    <w:rPr>
                      <w:spacing w:val="-4"/>
                      <w:sz w:val="26"/>
                      <w:szCs w:val="26"/>
                    </w:rPr>
                    <w:t>140</w:t>
                  </w:r>
                  <w:r w:rsidRPr="002A4D6D">
                    <w:rPr>
                      <w:spacing w:val="-4"/>
                      <w:sz w:val="26"/>
                      <w:szCs w:val="26"/>
                    </w:rPr>
                    <w:t>.</w:t>
                  </w:r>
                  <w:r w:rsidR="00C60D11" w:rsidRPr="002A4D6D">
                    <w:rPr>
                      <w:spacing w:val="-4"/>
                      <w:sz w:val="26"/>
                      <w:szCs w:val="26"/>
                      <w:vertAlign w:val="superscript"/>
                    </w:rPr>
                    <w:t>2</w:t>
                  </w:r>
                  <w:r w:rsidR="00C60D11" w:rsidRPr="002A4D6D">
                    <w:rPr>
                      <w:spacing w:val="-4"/>
                      <w:sz w:val="26"/>
                      <w:szCs w:val="26"/>
                    </w:rPr>
                    <w:t> </w:t>
                  </w:r>
                  <w:r w:rsidRPr="002A4D6D">
                    <w:rPr>
                      <w:spacing w:val="-4"/>
                      <w:sz w:val="26"/>
                      <w:szCs w:val="26"/>
                    </w:rPr>
                    <w:t xml:space="preserve">panta </w:t>
                  </w:r>
                  <w:r w:rsidR="00C60D11" w:rsidRPr="002A4D6D">
                    <w:rPr>
                      <w:spacing w:val="-4"/>
                      <w:sz w:val="26"/>
                      <w:szCs w:val="26"/>
                    </w:rPr>
                    <w:t>trīspadsmitajā daļā</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31F9013C" w14:textId="1ADA2748" w:rsidR="00DF3422" w:rsidRPr="002A4D6D" w:rsidRDefault="00DF3422" w:rsidP="002A4D6D">
                  <w:pPr>
                    <w:jc w:val="center"/>
                    <w:rPr>
                      <w:rFonts w:eastAsia="Times New Roman"/>
                      <w:spacing w:val="-4"/>
                      <w:sz w:val="26"/>
                      <w:szCs w:val="26"/>
                      <w:lang w:eastAsia="lv-LV"/>
                    </w:rPr>
                  </w:pPr>
                  <w:r w:rsidRPr="002A4D6D">
                    <w:rPr>
                      <w:rFonts w:eastAsia="Times New Roman"/>
                      <w:spacing w:val="-4"/>
                      <w:sz w:val="26"/>
                      <w:szCs w:val="26"/>
                      <w:lang w:eastAsia="lv-LV"/>
                    </w:rPr>
                    <w:t xml:space="preserve">Ieviests </w:t>
                  </w:r>
                  <w:r w:rsidR="00C60D11" w:rsidRPr="002A4D6D">
                    <w:rPr>
                      <w:rFonts w:eastAsia="Times New Roman"/>
                      <w:spacing w:val="-4"/>
                      <w:sz w:val="26"/>
                      <w:szCs w:val="26"/>
                      <w:lang w:eastAsia="lv-LV"/>
                    </w:rPr>
                    <w:t>pilnībā</w:t>
                  </w:r>
                </w:p>
              </w:tc>
              <w:tc>
                <w:tcPr>
                  <w:tcW w:w="1843" w:type="dxa"/>
                  <w:tcBorders>
                    <w:top w:val="outset" w:sz="6" w:space="0" w:color="auto"/>
                    <w:left w:val="outset" w:sz="6" w:space="0" w:color="auto"/>
                    <w:bottom w:val="outset" w:sz="6" w:space="0" w:color="auto"/>
                    <w:right w:val="outset" w:sz="6" w:space="0" w:color="auto"/>
                  </w:tcBorders>
                </w:tcPr>
                <w:p w14:paraId="38B139CF" w14:textId="7C2AB71A" w:rsidR="00DF3422" w:rsidRPr="002A4D6D" w:rsidRDefault="00DF3422"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DF3422" w:rsidRPr="002A4D6D" w14:paraId="34518E12"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CA353CD" w14:textId="31709782" w:rsidR="00DF3422" w:rsidRPr="002A4D6D" w:rsidRDefault="00DF3422" w:rsidP="002A4D6D">
                  <w:pPr>
                    <w:jc w:val="center"/>
                    <w:rPr>
                      <w:spacing w:val="-4"/>
                      <w:sz w:val="26"/>
                      <w:szCs w:val="26"/>
                    </w:rPr>
                  </w:pPr>
                  <w:r w:rsidRPr="002A4D6D">
                    <w:rPr>
                      <w:spacing w:val="-4"/>
                      <w:sz w:val="26"/>
                      <w:szCs w:val="26"/>
                    </w:rPr>
                    <w:t>Direktīvas 2017/2455 2.panta 20.punkts attiecībā uz 368.panta pārņemšanu</w:t>
                  </w:r>
                </w:p>
              </w:tc>
              <w:tc>
                <w:tcPr>
                  <w:tcW w:w="2552" w:type="dxa"/>
                  <w:tcBorders>
                    <w:top w:val="outset" w:sz="6" w:space="0" w:color="auto"/>
                    <w:left w:val="outset" w:sz="6" w:space="0" w:color="auto"/>
                    <w:bottom w:val="outset" w:sz="6" w:space="0" w:color="auto"/>
                    <w:right w:val="outset" w:sz="6" w:space="0" w:color="auto"/>
                  </w:tcBorders>
                </w:tcPr>
                <w:p w14:paraId="1E7D2DAC" w14:textId="3E21B7FE" w:rsidR="00DF3422" w:rsidRPr="002A4D6D" w:rsidRDefault="00DF3422" w:rsidP="002A4D6D">
                  <w:pPr>
                    <w:jc w:val="center"/>
                    <w:rPr>
                      <w:spacing w:val="-4"/>
                      <w:sz w:val="26"/>
                      <w:szCs w:val="26"/>
                    </w:rPr>
                  </w:pPr>
                  <w:r w:rsidRPr="002A4D6D">
                    <w:rPr>
                      <w:spacing w:val="-4"/>
                      <w:sz w:val="26"/>
                      <w:szCs w:val="26"/>
                    </w:rPr>
                    <w:t xml:space="preserve">Likumprojekta </w:t>
                  </w:r>
                  <w:r w:rsidR="00C60D11" w:rsidRPr="002A4D6D">
                    <w:rPr>
                      <w:spacing w:val="-4"/>
                      <w:sz w:val="26"/>
                      <w:szCs w:val="26"/>
                    </w:rPr>
                    <w:t>19</w:t>
                  </w:r>
                  <w:r w:rsidRPr="002A4D6D">
                    <w:rPr>
                      <w:spacing w:val="-4"/>
                      <w:sz w:val="26"/>
                      <w:szCs w:val="26"/>
                    </w:rPr>
                    <w:t>.pants</w:t>
                  </w:r>
                </w:p>
                <w:p w14:paraId="30D2CC7F" w14:textId="48B49F99" w:rsidR="00DF3422" w:rsidRPr="002A4D6D" w:rsidRDefault="00DF3422" w:rsidP="002A4D6D">
                  <w:pPr>
                    <w:jc w:val="center"/>
                    <w:rPr>
                      <w:spacing w:val="-4"/>
                      <w:sz w:val="26"/>
                      <w:szCs w:val="26"/>
                    </w:rPr>
                  </w:pPr>
                  <w:r w:rsidRPr="002A4D6D">
                    <w:rPr>
                      <w:spacing w:val="-4"/>
                      <w:sz w:val="26"/>
                      <w:szCs w:val="26"/>
                    </w:rPr>
                    <w:t xml:space="preserve">(Pievienotās vērtības nodokļa likuma </w:t>
                  </w:r>
                  <w:r w:rsidR="00C60D11" w:rsidRPr="002A4D6D">
                    <w:rPr>
                      <w:spacing w:val="-4"/>
                      <w:sz w:val="26"/>
                      <w:szCs w:val="26"/>
                    </w:rPr>
                    <w:t>140</w:t>
                  </w:r>
                  <w:r w:rsidRPr="002A4D6D">
                    <w:rPr>
                      <w:spacing w:val="-4"/>
                      <w:sz w:val="26"/>
                      <w:szCs w:val="26"/>
                    </w:rPr>
                    <w:t>.</w:t>
                  </w:r>
                  <w:r w:rsidR="00C60D11" w:rsidRPr="002A4D6D">
                    <w:rPr>
                      <w:spacing w:val="-4"/>
                      <w:sz w:val="26"/>
                      <w:szCs w:val="26"/>
                      <w:vertAlign w:val="superscript"/>
                    </w:rPr>
                    <w:t>2</w:t>
                  </w:r>
                  <w:r w:rsidR="00C60D11" w:rsidRPr="002A4D6D">
                    <w:rPr>
                      <w:spacing w:val="-4"/>
                      <w:sz w:val="26"/>
                      <w:szCs w:val="26"/>
                    </w:rPr>
                    <w:t> </w:t>
                  </w:r>
                  <w:r w:rsidRPr="002A4D6D">
                    <w:rPr>
                      <w:spacing w:val="-4"/>
                      <w:sz w:val="26"/>
                      <w:szCs w:val="26"/>
                    </w:rPr>
                    <w:t xml:space="preserve">panta </w:t>
                  </w:r>
                  <w:r w:rsidR="00C60D11" w:rsidRPr="002A4D6D">
                    <w:rPr>
                      <w:spacing w:val="-4"/>
                      <w:sz w:val="26"/>
                      <w:szCs w:val="26"/>
                    </w:rPr>
                    <w:t>desmitā un vienpadsmitā</w:t>
                  </w:r>
                  <w:r w:rsidRPr="002A4D6D">
                    <w:rPr>
                      <w:spacing w:val="-4"/>
                      <w:sz w:val="26"/>
                      <w:szCs w:val="26"/>
                    </w:rPr>
                    <w:t xml:space="preserve"> daļa)</w:t>
                  </w:r>
                </w:p>
              </w:tc>
              <w:tc>
                <w:tcPr>
                  <w:tcW w:w="1840" w:type="dxa"/>
                  <w:gridSpan w:val="2"/>
                  <w:tcBorders>
                    <w:top w:val="outset" w:sz="6" w:space="0" w:color="auto"/>
                    <w:left w:val="outset" w:sz="6" w:space="0" w:color="auto"/>
                    <w:bottom w:val="outset" w:sz="6" w:space="0" w:color="auto"/>
                    <w:right w:val="outset" w:sz="6" w:space="0" w:color="auto"/>
                  </w:tcBorders>
                </w:tcPr>
                <w:p w14:paraId="21FBE2A1" w14:textId="1EE1B3AB" w:rsidR="00DF3422" w:rsidRPr="002A4D6D" w:rsidRDefault="00DF3422"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73200B2" w14:textId="53B6586C" w:rsidR="00DF3422" w:rsidRPr="002A4D6D" w:rsidRDefault="00DF3422"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DF3422" w:rsidRPr="002A4D6D" w14:paraId="085003A4"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09F9D750" w14:textId="2F1E6183" w:rsidR="00DF3422" w:rsidRPr="002A4D6D" w:rsidRDefault="00DF3422" w:rsidP="002A4D6D">
                  <w:pPr>
                    <w:jc w:val="center"/>
                    <w:rPr>
                      <w:spacing w:val="-4"/>
                      <w:sz w:val="26"/>
                      <w:szCs w:val="26"/>
                    </w:rPr>
                  </w:pPr>
                  <w:r w:rsidRPr="002A4D6D">
                    <w:rPr>
                      <w:spacing w:val="-4"/>
                      <w:sz w:val="26"/>
                      <w:szCs w:val="26"/>
                    </w:rPr>
                    <w:t xml:space="preserve">Direktīvas 2017/2455 2.panta 22.punkts attiecībā uz 369.a panta </w:t>
                  </w:r>
                  <w:r w:rsidR="009D0282" w:rsidRPr="002A4D6D">
                    <w:rPr>
                      <w:spacing w:val="-4"/>
                      <w:sz w:val="26"/>
                      <w:szCs w:val="26"/>
                    </w:rPr>
                    <w:t xml:space="preserve">3.punkta </w:t>
                  </w:r>
                  <w:r w:rsidRPr="002A4D6D">
                    <w:rPr>
                      <w:spacing w:val="-4"/>
                      <w:sz w:val="26"/>
                      <w:szCs w:val="26"/>
                    </w:rPr>
                    <w:t>pārņemšanu</w:t>
                  </w:r>
                  <w:r w:rsidR="009D0282" w:rsidRPr="002A4D6D">
                    <w:rPr>
                      <w:spacing w:val="-4"/>
                      <w:sz w:val="26"/>
                      <w:szCs w:val="26"/>
                    </w:rPr>
                    <w:t>, kurš precizēts ar Direktīvas 2019/1995 1.panta 9.punktu</w:t>
                  </w:r>
                </w:p>
              </w:tc>
              <w:tc>
                <w:tcPr>
                  <w:tcW w:w="2552" w:type="dxa"/>
                  <w:tcBorders>
                    <w:top w:val="outset" w:sz="6" w:space="0" w:color="auto"/>
                    <w:left w:val="outset" w:sz="6" w:space="0" w:color="auto"/>
                    <w:bottom w:val="outset" w:sz="6" w:space="0" w:color="auto"/>
                    <w:right w:val="outset" w:sz="6" w:space="0" w:color="auto"/>
                  </w:tcBorders>
                </w:tcPr>
                <w:p w14:paraId="32FDD12D" w14:textId="77777777" w:rsidR="009D0282" w:rsidRPr="002A4D6D" w:rsidRDefault="009D0282" w:rsidP="002A4D6D">
                  <w:pPr>
                    <w:jc w:val="center"/>
                    <w:rPr>
                      <w:spacing w:val="-4"/>
                      <w:sz w:val="26"/>
                      <w:szCs w:val="26"/>
                    </w:rPr>
                  </w:pPr>
                  <w:r w:rsidRPr="002A4D6D">
                    <w:rPr>
                      <w:spacing w:val="-4"/>
                      <w:sz w:val="26"/>
                      <w:szCs w:val="26"/>
                    </w:rPr>
                    <w:t>Likumprojekta 19.pants</w:t>
                  </w:r>
                </w:p>
                <w:p w14:paraId="50C5BF19" w14:textId="545B9ECD" w:rsidR="00DF3422" w:rsidRPr="002A4D6D" w:rsidRDefault="009D0282"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3</w:t>
                  </w:r>
                  <w:r w:rsidRPr="002A4D6D">
                    <w:rPr>
                      <w:spacing w:val="-4"/>
                      <w:sz w:val="26"/>
                      <w:szCs w:val="26"/>
                    </w:rPr>
                    <w:t xml:space="preserve"> panta pirmās daļas 4.punkts) </w:t>
                  </w:r>
                </w:p>
              </w:tc>
              <w:tc>
                <w:tcPr>
                  <w:tcW w:w="1840" w:type="dxa"/>
                  <w:gridSpan w:val="2"/>
                  <w:tcBorders>
                    <w:top w:val="outset" w:sz="6" w:space="0" w:color="auto"/>
                    <w:left w:val="outset" w:sz="6" w:space="0" w:color="auto"/>
                    <w:bottom w:val="outset" w:sz="6" w:space="0" w:color="auto"/>
                    <w:right w:val="outset" w:sz="6" w:space="0" w:color="auto"/>
                  </w:tcBorders>
                </w:tcPr>
                <w:p w14:paraId="4D411446" w14:textId="59E7FFBA" w:rsidR="00DF3422" w:rsidRPr="002A4D6D" w:rsidRDefault="00E44C64"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4B39460" w14:textId="2DC84F02" w:rsidR="00DF3422" w:rsidRPr="002A4D6D" w:rsidRDefault="00DF3422"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DF3422" w:rsidRPr="002A4D6D" w14:paraId="2D0011B2"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58FCFC0F" w14:textId="3847C283" w:rsidR="00DF3422" w:rsidRPr="002A4D6D" w:rsidRDefault="00DF3422" w:rsidP="002A4D6D">
                  <w:pPr>
                    <w:jc w:val="center"/>
                    <w:rPr>
                      <w:spacing w:val="-4"/>
                      <w:sz w:val="26"/>
                      <w:szCs w:val="26"/>
                    </w:rPr>
                  </w:pPr>
                  <w:r w:rsidRPr="002A4D6D">
                    <w:rPr>
                      <w:spacing w:val="-4"/>
                      <w:sz w:val="26"/>
                      <w:szCs w:val="26"/>
                    </w:rPr>
                    <w:t>Direktīvas 2017/2455 2.panta 23.punkts attiecībā uz 369.b panta pārņemšanu</w:t>
                  </w:r>
                  <w:r w:rsidR="009D0282" w:rsidRPr="002A4D6D">
                    <w:rPr>
                      <w:spacing w:val="-4"/>
                      <w:sz w:val="26"/>
                      <w:szCs w:val="26"/>
                    </w:rPr>
                    <w:t>, kurš precizēts ar Direktīvas 2019/1995 1.panta 10.punktu</w:t>
                  </w:r>
                </w:p>
              </w:tc>
              <w:tc>
                <w:tcPr>
                  <w:tcW w:w="2552" w:type="dxa"/>
                  <w:tcBorders>
                    <w:top w:val="outset" w:sz="6" w:space="0" w:color="auto"/>
                    <w:left w:val="outset" w:sz="6" w:space="0" w:color="auto"/>
                    <w:bottom w:val="outset" w:sz="6" w:space="0" w:color="auto"/>
                    <w:right w:val="outset" w:sz="6" w:space="0" w:color="auto"/>
                  </w:tcBorders>
                </w:tcPr>
                <w:p w14:paraId="66D211B3" w14:textId="77777777" w:rsidR="009D0282" w:rsidRPr="002A4D6D" w:rsidRDefault="009D0282" w:rsidP="002A4D6D">
                  <w:pPr>
                    <w:jc w:val="center"/>
                    <w:rPr>
                      <w:spacing w:val="-4"/>
                      <w:sz w:val="26"/>
                      <w:szCs w:val="26"/>
                    </w:rPr>
                  </w:pPr>
                  <w:r w:rsidRPr="002A4D6D">
                    <w:rPr>
                      <w:spacing w:val="-4"/>
                      <w:sz w:val="26"/>
                      <w:szCs w:val="26"/>
                    </w:rPr>
                    <w:t>Likumprojekta 19.pants</w:t>
                  </w:r>
                </w:p>
                <w:p w14:paraId="7C5EAF8D" w14:textId="1DD1818B" w:rsidR="00DF3422" w:rsidRPr="002A4D6D" w:rsidRDefault="009D0282"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3</w:t>
                  </w:r>
                  <w:r w:rsidRPr="002A4D6D">
                    <w:rPr>
                      <w:spacing w:val="-4"/>
                      <w:sz w:val="26"/>
                      <w:szCs w:val="26"/>
                    </w:rPr>
                    <w:t xml:space="preserve"> panta otrā daļa) </w:t>
                  </w:r>
                </w:p>
              </w:tc>
              <w:tc>
                <w:tcPr>
                  <w:tcW w:w="1840" w:type="dxa"/>
                  <w:gridSpan w:val="2"/>
                  <w:tcBorders>
                    <w:top w:val="outset" w:sz="6" w:space="0" w:color="auto"/>
                    <w:left w:val="outset" w:sz="6" w:space="0" w:color="auto"/>
                    <w:bottom w:val="outset" w:sz="6" w:space="0" w:color="auto"/>
                    <w:right w:val="outset" w:sz="6" w:space="0" w:color="auto"/>
                  </w:tcBorders>
                </w:tcPr>
                <w:p w14:paraId="5781A7D6" w14:textId="47D1AE5A" w:rsidR="00DF3422" w:rsidRPr="002A4D6D" w:rsidRDefault="00E44C64"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2410A113" w14:textId="51C7A009" w:rsidR="00DF3422" w:rsidRPr="002A4D6D" w:rsidRDefault="00DF3422"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DF3422" w:rsidRPr="002A4D6D" w14:paraId="0213E79A"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852EE54" w14:textId="3CAACA8B" w:rsidR="00DF3422" w:rsidRPr="002A4D6D" w:rsidRDefault="00DF3422" w:rsidP="002A4D6D">
                  <w:pPr>
                    <w:jc w:val="center"/>
                    <w:rPr>
                      <w:spacing w:val="-4"/>
                      <w:sz w:val="26"/>
                      <w:szCs w:val="26"/>
                    </w:rPr>
                  </w:pPr>
                  <w:r w:rsidRPr="002A4D6D">
                    <w:rPr>
                      <w:spacing w:val="-4"/>
                      <w:sz w:val="26"/>
                      <w:szCs w:val="26"/>
                    </w:rPr>
                    <w:t>Direktīvas 2017/2455 2.panta 23.punkts attiecībā uz 369.</w:t>
                  </w:r>
                  <w:r w:rsidR="00A15C93" w:rsidRPr="002A4D6D">
                    <w:rPr>
                      <w:spacing w:val="-4"/>
                      <w:sz w:val="26"/>
                      <w:szCs w:val="26"/>
                    </w:rPr>
                    <w:t>c</w:t>
                  </w:r>
                  <w:r w:rsidRPr="002A4D6D">
                    <w:rPr>
                      <w:spacing w:val="-4"/>
                      <w:sz w:val="26"/>
                      <w:szCs w:val="26"/>
                    </w:rPr>
                    <w:t> panta pārņemšanu</w:t>
                  </w:r>
                </w:p>
              </w:tc>
              <w:tc>
                <w:tcPr>
                  <w:tcW w:w="2552" w:type="dxa"/>
                  <w:tcBorders>
                    <w:top w:val="outset" w:sz="6" w:space="0" w:color="auto"/>
                    <w:left w:val="outset" w:sz="6" w:space="0" w:color="auto"/>
                    <w:bottom w:val="outset" w:sz="6" w:space="0" w:color="auto"/>
                    <w:right w:val="outset" w:sz="6" w:space="0" w:color="auto"/>
                  </w:tcBorders>
                </w:tcPr>
                <w:p w14:paraId="67E04DAF" w14:textId="609F4927" w:rsidR="00A15C93" w:rsidRPr="002A4D6D" w:rsidRDefault="00A15C93" w:rsidP="002A4D6D">
                  <w:pPr>
                    <w:jc w:val="center"/>
                    <w:rPr>
                      <w:spacing w:val="-4"/>
                      <w:sz w:val="26"/>
                      <w:szCs w:val="26"/>
                    </w:rPr>
                  </w:pPr>
                  <w:r w:rsidRPr="002A4D6D">
                    <w:rPr>
                      <w:spacing w:val="-4"/>
                      <w:sz w:val="26"/>
                      <w:szCs w:val="26"/>
                    </w:rPr>
                    <w:t xml:space="preserve">Likumprojekta </w:t>
                  </w:r>
                  <w:r w:rsidR="009D0282" w:rsidRPr="002A4D6D">
                    <w:rPr>
                      <w:spacing w:val="-4"/>
                      <w:sz w:val="26"/>
                      <w:szCs w:val="26"/>
                    </w:rPr>
                    <w:t>19</w:t>
                  </w:r>
                  <w:r w:rsidRPr="002A4D6D">
                    <w:rPr>
                      <w:spacing w:val="-4"/>
                      <w:sz w:val="26"/>
                      <w:szCs w:val="26"/>
                    </w:rPr>
                    <w:t>.pants</w:t>
                  </w:r>
                </w:p>
                <w:p w14:paraId="308DDC17" w14:textId="1E7A6060" w:rsidR="00DF3422" w:rsidRPr="002A4D6D" w:rsidRDefault="00A15C93" w:rsidP="002A4D6D">
                  <w:pPr>
                    <w:jc w:val="center"/>
                    <w:rPr>
                      <w:spacing w:val="-4"/>
                      <w:sz w:val="26"/>
                      <w:szCs w:val="26"/>
                    </w:rPr>
                  </w:pPr>
                  <w:r w:rsidRPr="002A4D6D">
                    <w:rPr>
                      <w:spacing w:val="-4"/>
                      <w:sz w:val="26"/>
                      <w:szCs w:val="26"/>
                    </w:rPr>
                    <w:t xml:space="preserve">(Pievienotās vērtības nodokļa likuma </w:t>
                  </w:r>
                  <w:r w:rsidR="009D0282" w:rsidRPr="002A4D6D">
                    <w:rPr>
                      <w:spacing w:val="-4"/>
                      <w:sz w:val="26"/>
                      <w:szCs w:val="26"/>
                    </w:rPr>
                    <w:t>140</w:t>
                  </w:r>
                  <w:r w:rsidRPr="002A4D6D">
                    <w:rPr>
                      <w:spacing w:val="-4"/>
                      <w:sz w:val="26"/>
                      <w:szCs w:val="26"/>
                    </w:rPr>
                    <w:t>.</w:t>
                  </w:r>
                  <w:r w:rsidR="009D0282" w:rsidRPr="002A4D6D">
                    <w:rPr>
                      <w:spacing w:val="-4"/>
                      <w:sz w:val="26"/>
                      <w:szCs w:val="26"/>
                      <w:vertAlign w:val="superscript"/>
                    </w:rPr>
                    <w:t>3</w:t>
                  </w:r>
                  <w:r w:rsidR="009D0282" w:rsidRPr="002A4D6D">
                    <w:rPr>
                      <w:spacing w:val="-4"/>
                      <w:sz w:val="26"/>
                      <w:szCs w:val="26"/>
                    </w:rPr>
                    <w:t> </w:t>
                  </w:r>
                  <w:r w:rsidRPr="002A4D6D">
                    <w:rPr>
                      <w:spacing w:val="-4"/>
                      <w:sz w:val="26"/>
                      <w:szCs w:val="26"/>
                    </w:rPr>
                    <w:t xml:space="preserve">panta </w:t>
                  </w:r>
                  <w:r w:rsidR="009D0282" w:rsidRPr="002A4D6D">
                    <w:rPr>
                      <w:spacing w:val="-4"/>
                      <w:sz w:val="26"/>
                      <w:szCs w:val="26"/>
                    </w:rPr>
                    <w:t xml:space="preserve">trešā, </w:t>
                  </w:r>
                  <w:r w:rsidRPr="002A4D6D">
                    <w:rPr>
                      <w:spacing w:val="-4"/>
                      <w:sz w:val="26"/>
                      <w:szCs w:val="26"/>
                    </w:rPr>
                    <w:t>ceturtā daļa</w:t>
                  </w:r>
                  <w:r w:rsidR="009D0282" w:rsidRPr="002A4D6D">
                    <w:rPr>
                      <w:spacing w:val="-4"/>
                      <w:sz w:val="26"/>
                      <w:szCs w:val="26"/>
                    </w:rPr>
                    <w:t xml:space="preserve"> </w:t>
                  </w:r>
                  <w:r w:rsidRPr="002A4D6D">
                    <w:rPr>
                      <w:spacing w:val="-4"/>
                      <w:sz w:val="26"/>
                      <w:szCs w:val="26"/>
                    </w:rPr>
                    <w:t xml:space="preserve">un </w:t>
                  </w:r>
                  <w:r w:rsidR="009D0282" w:rsidRPr="002A4D6D">
                    <w:rPr>
                      <w:spacing w:val="-4"/>
                      <w:sz w:val="26"/>
                      <w:szCs w:val="26"/>
                    </w:rPr>
                    <w:t xml:space="preserve">divpadsmitās </w:t>
                  </w:r>
                  <w:r w:rsidRPr="002A4D6D">
                    <w:rPr>
                      <w:spacing w:val="-4"/>
                      <w:sz w:val="26"/>
                      <w:szCs w:val="26"/>
                    </w:rPr>
                    <w:t>daļas 1.punkts)</w:t>
                  </w:r>
                </w:p>
              </w:tc>
              <w:tc>
                <w:tcPr>
                  <w:tcW w:w="1840" w:type="dxa"/>
                  <w:gridSpan w:val="2"/>
                  <w:tcBorders>
                    <w:top w:val="outset" w:sz="6" w:space="0" w:color="auto"/>
                    <w:left w:val="outset" w:sz="6" w:space="0" w:color="auto"/>
                    <w:bottom w:val="outset" w:sz="6" w:space="0" w:color="auto"/>
                    <w:right w:val="outset" w:sz="6" w:space="0" w:color="auto"/>
                  </w:tcBorders>
                </w:tcPr>
                <w:p w14:paraId="4D413473" w14:textId="44130222" w:rsidR="00DF3422" w:rsidRPr="002A4D6D" w:rsidRDefault="00DF3422"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985EE4D" w14:textId="68901DEC" w:rsidR="00DF3422" w:rsidRPr="002A4D6D" w:rsidRDefault="00DF3422"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A15C93" w:rsidRPr="002A4D6D" w14:paraId="6E908419"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76629C6F" w14:textId="6D91BF74" w:rsidR="00A15C93" w:rsidRPr="002A4D6D" w:rsidRDefault="00A15C93" w:rsidP="002A4D6D">
                  <w:pPr>
                    <w:jc w:val="center"/>
                    <w:rPr>
                      <w:spacing w:val="-4"/>
                      <w:sz w:val="26"/>
                      <w:szCs w:val="26"/>
                    </w:rPr>
                  </w:pPr>
                  <w:r w:rsidRPr="002A4D6D">
                    <w:rPr>
                      <w:spacing w:val="-4"/>
                      <w:sz w:val="26"/>
                      <w:szCs w:val="26"/>
                    </w:rPr>
                    <w:lastRenderedPageBreak/>
                    <w:t>Direktīvas 2017/2455 2.panta 24.punkts attiecībā uz 369.e panta “a” apakšpunkta pārņemšanu</w:t>
                  </w:r>
                  <w:r w:rsidR="00E44C64" w:rsidRPr="002A4D6D">
                    <w:rPr>
                      <w:spacing w:val="-4"/>
                      <w:sz w:val="26"/>
                      <w:szCs w:val="26"/>
                    </w:rPr>
                    <w:t>, kurš precizēts ar Direktīvas 2019/1995 1.panta 11.punktu</w:t>
                  </w:r>
                </w:p>
              </w:tc>
              <w:tc>
                <w:tcPr>
                  <w:tcW w:w="2552" w:type="dxa"/>
                  <w:tcBorders>
                    <w:top w:val="outset" w:sz="6" w:space="0" w:color="auto"/>
                    <w:left w:val="outset" w:sz="6" w:space="0" w:color="auto"/>
                    <w:bottom w:val="outset" w:sz="6" w:space="0" w:color="auto"/>
                    <w:right w:val="outset" w:sz="6" w:space="0" w:color="auto"/>
                  </w:tcBorders>
                </w:tcPr>
                <w:p w14:paraId="35E8DF7B" w14:textId="77777777" w:rsidR="00E44C64" w:rsidRPr="002A4D6D" w:rsidRDefault="00E44C64" w:rsidP="002A4D6D">
                  <w:pPr>
                    <w:jc w:val="center"/>
                    <w:rPr>
                      <w:spacing w:val="-4"/>
                      <w:sz w:val="26"/>
                      <w:szCs w:val="26"/>
                    </w:rPr>
                  </w:pPr>
                  <w:r w:rsidRPr="002A4D6D">
                    <w:rPr>
                      <w:spacing w:val="-4"/>
                      <w:sz w:val="26"/>
                      <w:szCs w:val="26"/>
                    </w:rPr>
                    <w:t>Likumprojekta 19.pants</w:t>
                  </w:r>
                </w:p>
                <w:p w14:paraId="40184DC7" w14:textId="707BC596" w:rsidR="00A15C93" w:rsidRPr="002A4D6D" w:rsidRDefault="00E44C64"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3</w:t>
                  </w:r>
                  <w:r w:rsidRPr="002A4D6D">
                    <w:rPr>
                      <w:spacing w:val="-4"/>
                      <w:sz w:val="26"/>
                      <w:szCs w:val="26"/>
                    </w:rPr>
                    <w:t> panta septītās daļas 1.punkts)</w:t>
                  </w:r>
                </w:p>
              </w:tc>
              <w:tc>
                <w:tcPr>
                  <w:tcW w:w="1840" w:type="dxa"/>
                  <w:gridSpan w:val="2"/>
                  <w:tcBorders>
                    <w:top w:val="outset" w:sz="6" w:space="0" w:color="auto"/>
                    <w:left w:val="outset" w:sz="6" w:space="0" w:color="auto"/>
                    <w:bottom w:val="outset" w:sz="6" w:space="0" w:color="auto"/>
                    <w:right w:val="outset" w:sz="6" w:space="0" w:color="auto"/>
                  </w:tcBorders>
                </w:tcPr>
                <w:p w14:paraId="7F6CA414" w14:textId="65BD34E4" w:rsidR="00A15C93" w:rsidRPr="002A4D6D" w:rsidRDefault="00E44C64"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05DF9CD6" w14:textId="20964084" w:rsidR="00A15C93" w:rsidRPr="002A4D6D" w:rsidRDefault="00A15C93"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A15C93" w:rsidRPr="002A4D6D" w14:paraId="2B0C7362"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5169C92B" w14:textId="3B08CC71" w:rsidR="00A15C93" w:rsidRPr="002A4D6D" w:rsidRDefault="00A15C93" w:rsidP="002A4D6D">
                  <w:pPr>
                    <w:jc w:val="center"/>
                    <w:rPr>
                      <w:spacing w:val="-4"/>
                      <w:sz w:val="26"/>
                      <w:szCs w:val="26"/>
                    </w:rPr>
                  </w:pPr>
                  <w:r w:rsidRPr="002A4D6D">
                    <w:rPr>
                      <w:spacing w:val="-4"/>
                      <w:sz w:val="26"/>
                      <w:szCs w:val="26"/>
                    </w:rPr>
                    <w:t>Direktīvas 2017/2455 2.panta 25.punkts attiecībā uz 369.f panta pārņemšanu</w:t>
                  </w:r>
                  <w:r w:rsidR="00E44C64" w:rsidRPr="002A4D6D">
                    <w:rPr>
                      <w:spacing w:val="-4"/>
                      <w:sz w:val="26"/>
                      <w:szCs w:val="26"/>
                    </w:rPr>
                    <w:t>, kurš precizēts ar Direktīvas 2019/1995 1.panta 12.punktu</w:t>
                  </w:r>
                </w:p>
              </w:tc>
              <w:tc>
                <w:tcPr>
                  <w:tcW w:w="2552" w:type="dxa"/>
                  <w:tcBorders>
                    <w:top w:val="outset" w:sz="6" w:space="0" w:color="auto"/>
                    <w:left w:val="outset" w:sz="6" w:space="0" w:color="auto"/>
                    <w:bottom w:val="outset" w:sz="6" w:space="0" w:color="auto"/>
                    <w:right w:val="outset" w:sz="6" w:space="0" w:color="auto"/>
                  </w:tcBorders>
                </w:tcPr>
                <w:p w14:paraId="60AB0CE7" w14:textId="77777777" w:rsidR="00E44C64" w:rsidRPr="002A4D6D" w:rsidRDefault="00E44C64" w:rsidP="002A4D6D">
                  <w:pPr>
                    <w:jc w:val="center"/>
                    <w:rPr>
                      <w:spacing w:val="-4"/>
                      <w:sz w:val="26"/>
                      <w:szCs w:val="26"/>
                    </w:rPr>
                  </w:pPr>
                  <w:r w:rsidRPr="002A4D6D">
                    <w:rPr>
                      <w:spacing w:val="-4"/>
                      <w:sz w:val="26"/>
                      <w:szCs w:val="26"/>
                    </w:rPr>
                    <w:t>Likumprojekta 19.pants</w:t>
                  </w:r>
                </w:p>
                <w:p w14:paraId="6257527B" w14:textId="5ADA8DAA" w:rsidR="00A15C93" w:rsidRPr="002A4D6D" w:rsidRDefault="00E44C64"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3</w:t>
                  </w:r>
                  <w:r w:rsidRPr="002A4D6D">
                    <w:rPr>
                      <w:spacing w:val="-4"/>
                      <w:sz w:val="26"/>
                      <w:szCs w:val="26"/>
                    </w:rPr>
                    <w:t> panta astotā daļa)</w:t>
                  </w:r>
                </w:p>
              </w:tc>
              <w:tc>
                <w:tcPr>
                  <w:tcW w:w="1840" w:type="dxa"/>
                  <w:gridSpan w:val="2"/>
                  <w:tcBorders>
                    <w:top w:val="outset" w:sz="6" w:space="0" w:color="auto"/>
                    <w:left w:val="outset" w:sz="6" w:space="0" w:color="auto"/>
                    <w:bottom w:val="outset" w:sz="6" w:space="0" w:color="auto"/>
                    <w:right w:val="outset" w:sz="6" w:space="0" w:color="auto"/>
                  </w:tcBorders>
                </w:tcPr>
                <w:p w14:paraId="4B042D0C" w14:textId="0D798B7B" w:rsidR="00A15C93" w:rsidRPr="002A4D6D" w:rsidRDefault="00E44C64"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7A410291" w14:textId="2F7C89F3" w:rsidR="00A15C93" w:rsidRPr="002A4D6D" w:rsidRDefault="00A15C93"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DF3422" w:rsidRPr="002A4D6D" w14:paraId="629E1F9B"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11DFD3E" w14:textId="73C9946E" w:rsidR="00DF3422" w:rsidRPr="002A4D6D" w:rsidRDefault="00A15C93" w:rsidP="002A4D6D">
                  <w:pPr>
                    <w:jc w:val="center"/>
                    <w:rPr>
                      <w:spacing w:val="-4"/>
                      <w:sz w:val="26"/>
                      <w:szCs w:val="26"/>
                    </w:rPr>
                  </w:pPr>
                  <w:r w:rsidRPr="002A4D6D">
                    <w:rPr>
                      <w:spacing w:val="-4"/>
                      <w:sz w:val="26"/>
                      <w:szCs w:val="26"/>
                    </w:rPr>
                    <w:t>Direktīvas 2017/2455 2.panta 25.punkts attiecībā uz 369.g panta pārņemšanu</w:t>
                  </w:r>
                  <w:r w:rsidR="00314456" w:rsidRPr="002A4D6D">
                    <w:rPr>
                      <w:spacing w:val="-4"/>
                      <w:sz w:val="26"/>
                      <w:szCs w:val="26"/>
                    </w:rPr>
                    <w:t>, kurš precizēts ar Direktīvas 2019/1995 1.panta 13.punktu</w:t>
                  </w:r>
                </w:p>
              </w:tc>
              <w:tc>
                <w:tcPr>
                  <w:tcW w:w="2552" w:type="dxa"/>
                  <w:tcBorders>
                    <w:top w:val="outset" w:sz="6" w:space="0" w:color="auto"/>
                    <w:left w:val="outset" w:sz="6" w:space="0" w:color="auto"/>
                    <w:bottom w:val="outset" w:sz="6" w:space="0" w:color="auto"/>
                    <w:right w:val="outset" w:sz="6" w:space="0" w:color="auto"/>
                  </w:tcBorders>
                </w:tcPr>
                <w:p w14:paraId="1402D1EB" w14:textId="178A29F1" w:rsidR="00A15C93" w:rsidRPr="002A4D6D" w:rsidRDefault="00A15C93" w:rsidP="002A4D6D">
                  <w:pPr>
                    <w:jc w:val="center"/>
                    <w:rPr>
                      <w:spacing w:val="-4"/>
                      <w:sz w:val="26"/>
                      <w:szCs w:val="26"/>
                    </w:rPr>
                  </w:pPr>
                  <w:r w:rsidRPr="002A4D6D">
                    <w:rPr>
                      <w:spacing w:val="-4"/>
                      <w:sz w:val="26"/>
                      <w:szCs w:val="26"/>
                    </w:rPr>
                    <w:t xml:space="preserve">Likumprojekta </w:t>
                  </w:r>
                  <w:r w:rsidR="00E44C64" w:rsidRPr="002A4D6D">
                    <w:rPr>
                      <w:spacing w:val="-4"/>
                      <w:sz w:val="26"/>
                      <w:szCs w:val="26"/>
                    </w:rPr>
                    <w:t>19</w:t>
                  </w:r>
                  <w:r w:rsidRPr="002A4D6D">
                    <w:rPr>
                      <w:spacing w:val="-4"/>
                      <w:sz w:val="26"/>
                      <w:szCs w:val="26"/>
                    </w:rPr>
                    <w:t>.pants</w:t>
                  </w:r>
                </w:p>
                <w:p w14:paraId="36890C2B" w14:textId="52D60D26" w:rsidR="00DF3422" w:rsidRPr="002A4D6D" w:rsidRDefault="00A15C93" w:rsidP="002A4D6D">
                  <w:pPr>
                    <w:jc w:val="center"/>
                    <w:rPr>
                      <w:spacing w:val="-4"/>
                      <w:sz w:val="26"/>
                      <w:szCs w:val="26"/>
                    </w:rPr>
                  </w:pPr>
                  <w:r w:rsidRPr="002A4D6D">
                    <w:rPr>
                      <w:spacing w:val="-4"/>
                      <w:sz w:val="26"/>
                      <w:szCs w:val="26"/>
                    </w:rPr>
                    <w:t xml:space="preserve">(deleģējums Pievienotās vērtības nodokļa likuma </w:t>
                  </w:r>
                  <w:r w:rsidR="00E44C64" w:rsidRPr="002A4D6D">
                    <w:rPr>
                      <w:spacing w:val="-4"/>
                      <w:sz w:val="26"/>
                      <w:szCs w:val="26"/>
                    </w:rPr>
                    <w:t>140</w:t>
                  </w:r>
                  <w:r w:rsidRPr="002A4D6D">
                    <w:rPr>
                      <w:spacing w:val="-4"/>
                      <w:sz w:val="26"/>
                      <w:szCs w:val="26"/>
                    </w:rPr>
                    <w:t>.</w:t>
                  </w:r>
                  <w:r w:rsidR="00E44C64" w:rsidRPr="002A4D6D">
                    <w:rPr>
                      <w:spacing w:val="-4"/>
                      <w:sz w:val="26"/>
                      <w:szCs w:val="26"/>
                      <w:vertAlign w:val="superscript"/>
                    </w:rPr>
                    <w:t>3</w:t>
                  </w:r>
                  <w:r w:rsidR="00E44C64" w:rsidRPr="002A4D6D">
                    <w:rPr>
                      <w:spacing w:val="-4"/>
                      <w:sz w:val="26"/>
                      <w:szCs w:val="26"/>
                    </w:rPr>
                    <w:t> </w:t>
                  </w:r>
                  <w:r w:rsidRPr="002A4D6D">
                    <w:rPr>
                      <w:spacing w:val="-4"/>
                      <w:sz w:val="26"/>
                      <w:szCs w:val="26"/>
                    </w:rPr>
                    <w:t xml:space="preserve">panta </w:t>
                  </w:r>
                  <w:r w:rsidR="00E44C64" w:rsidRPr="002A4D6D">
                    <w:rPr>
                      <w:spacing w:val="-4"/>
                      <w:sz w:val="26"/>
                      <w:szCs w:val="26"/>
                    </w:rPr>
                    <w:t>trīspadsmitajā daļā</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42A49388" w14:textId="74A93112" w:rsidR="00DF3422" w:rsidRPr="002A4D6D" w:rsidRDefault="00E44C64"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3EBC8DF1" w14:textId="492A6BA3" w:rsidR="00DF3422" w:rsidRPr="002A4D6D" w:rsidRDefault="00A15C93"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811F88" w:rsidRPr="002A4D6D" w14:paraId="643E0C62"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3C955B47" w14:textId="3E923F68" w:rsidR="00811F88" w:rsidRPr="002A4D6D" w:rsidRDefault="00811F88" w:rsidP="002A4D6D">
                  <w:pPr>
                    <w:jc w:val="center"/>
                    <w:rPr>
                      <w:spacing w:val="-4"/>
                      <w:sz w:val="26"/>
                      <w:szCs w:val="26"/>
                    </w:rPr>
                  </w:pPr>
                  <w:r w:rsidRPr="002A4D6D">
                    <w:rPr>
                      <w:spacing w:val="-4"/>
                      <w:sz w:val="26"/>
                      <w:szCs w:val="26"/>
                    </w:rPr>
                    <w:t>Direktīvas 2017/2455 2.panta 26.punkts attiecībā uz 369.h panta 1.punkta otrās daļas otrā teikuma pārņemšanu</w:t>
                  </w:r>
                </w:p>
              </w:tc>
              <w:tc>
                <w:tcPr>
                  <w:tcW w:w="2552" w:type="dxa"/>
                  <w:tcBorders>
                    <w:top w:val="outset" w:sz="6" w:space="0" w:color="auto"/>
                    <w:left w:val="outset" w:sz="6" w:space="0" w:color="auto"/>
                    <w:bottom w:val="outset" w:sz="6" w:space="0" w:color="auto"/>
                    <w:right w:val="outset" w:sz="6" w:space="0" w:color="auto"/>
                  </w:tcBorders>
                </w:tcPr>
                <w:p w14:paraId="3CA6D850" w14:textId="77777777" w:rsidR="00AA6EB2" w:rsidRPr="002A4D6D" w:rsidRDefault="00AA6EB2" w:rsidP="002A4D6D">
                  <w:pPr>
                    <w:jc w:val="center"/>
                    <w:rPr>
                      <w:spacing w:val="-4"/>
                      <w:sz w:val="26"/>
                      <w:szCs w:val="26"/>
                    </w:rPr>
                  </w:pPr>
                  <w:r w:rsidRPr="002A4D6D">
                    <w:rPr>
                      <w:spacing w:val="-4"/>
                      <w:sz w:val="26"/>
                      <w:szCs w:val="26"/>
                    </w:rPr>
                    <w:t>Likumprojekta 19.pants</w:t>
                  </w:r>
                </w:p>
                <w:p w14:paraId="48DB8D3B" w14:textId="2FB7831F" w:rsidR="00811F88" w:rsidRPr="002A4D6D" w:rsidRDefault="00AA6EB2" w:rsidP="002A4D6D">
                  <w:pPr>
                    <w:jc w:val="center"/>
                    <w:rPr>
                      <w:spacing w:val="-4"/>
                      <w:sz w:val="26"/>
                      <w:szCs w:val="26"/>
                    </w:rPr>
                  </w:pPr>
                  <w:r w:rsidRPr="002A4D6D">
                    <w:rPr>
                      <w:spacing w:val="-4"/>
                      <w:sz w:val="26"/>
                      <w:szCs w:val="26"/>
                    </w:rPr>
                    <w:t>(deleģējums Pievienotās vērtības nodokļa likuma 140.</w:t>
                  </w:r>
                  <w:r w:rsidRPr="002A4D6D">
                    <w:rPr>
                      <w:spacing w:val="-4"/>
                      <w:sz w:val="26"/>
                      <w:szCs w:val="26"/>
                      <w:vertAlign w:val="superscript"/>
                    </w:rPr>
                    <w:t>3</w:t>
                  </w:r>
                  <w:r w:rsidRPr="002A4D6D">
                    <w:rPr>
                      <w:spacing w:val="-4"/>
                      <w:sz w:val="26"/>
                      <w:szCs w:val="26"/>
                    </w:rPr>
                    <w:t> panta trīspadsmitajā daļā)</w:t>
                  </w:r>
                </w:p>
              </w:tc>
              <w:tc>
                <w:tcPr>
                  <w:tcW w:w="1840" w:type="dxa"/>
                  <w:gridSpan w:val="2"/>
                  <w:tcBorders>
                    <w:top w:val="outset" w:sz="6" w:space="0" w:color="auto"/>
                    <w:left w:val="outset" w:sz="6" w:space="0" w:color="auto"/>
                    <w:bottom w:val="outset" w:sz="6" w:space="0" w:color="auto"/>
                    <w:right w:val="outset" w:sz="6" w:space="0" w:color="auto"/>
                  </w:tcBorders>
                </w:tcPr>
                <w:p w14:paraId="29C5F37E" w14:textId="384C5E0B" w:rsidR="00811F88" w:rsidRPr="002A4D6D" w:rsidRDefault="008D3799"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2A1AE132" w14:textId="6B44E282" w:rsidR="00811F88" w:rsidRPr="002A4D6D" w:rsidRDefault="00811F8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17CA5" w:rsidRPr="002A4D6D" w14:paraId="78FA397F"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347DACB3" w14:textId="3E9AFB2A" w:rsidR="00117CA5" w:rsidRPr="002A4D6D" w:rsidRDefault="00117CA5" w:rsidP="002A4D6D">
                  <w:pPr>
                    <w:jc w:val="center"/>
                    <w:rPr>
                      <w:spacing w:val="-4"/>
                      <w:sz w:val="26"/>
                      <w:szCs w:val="26"/>
                    </w:rPr>
                  </w:pPr>
                  <w:r w:rsidRPr="002A4D6D">
                    <w:rPr>
                      <w:spacing w:val="-4"/>
                      <w:sz w:val="26"/>
                      <w:szCs w:val="26"/>
                    </w:rPr>
                    <w:t>Direktīvas 2017/2455 2.panta 27.punkts attiecībā uz 369.i panta pirmās daļas pārņemšanu</w:t>
                  </w:r>
                </w:p>
              </w:tc>
              <w:tc>
                <w:tcPr>
                  <w:tcW w:w="2552" w:type="dxa"/>
                  <w:tcBorders>
                    <w:top w:val="outset" w:sz="6" w:space="0" w:color="auto"/>
                    <w:left w:val="outset" w:sz="6" w:space="0" w:color="auto"/>
                    <w:bottom w:val="outset" w:sz="6" w:space="0" w:color="auto"/>
                    <w:right w:val="outset" w:sz="6" w:space="0" w:color="auto"/>
                  </w:tcBorders>
                </w:tcPr>
                <w:p w14:paraId="74161085" w14:textId="4A345C1E" w:rsidR="00117CA5" w:rsidRPr="002A4D6D" w:rsidRDefault="00117CA5"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54571E4D" w14:textId="1FACAABA" w:rsidR="00117CA5" w:rsidRPr="002A4D6D" w:rsidRDefault="00117CA5"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3</w:t>
                  </w:r>
                  <w:r w:rsidR="00AA6EB2" w:rsidRPr="002A4D6D">
                    <w:rPr>
                      <w:spacing w:val="-4"/>
                      <w:sz w:val="26"/>
                      <w:szCs w:val="26"/>
                    </w:rPr>
                    <w:t> </w:t>
                  </w:r>
                  <w:r w:rsidRPr="002A4D6D">
                    <w:rPr>
                      <w:spacing w:val="-4"/>
                      <w:sz w:val="26"/>
                      <w:szCs w:val="26"/>
                    </w:rPr>
                    <w:t xml:space="preserve">panta </w:t>
                  </w:r>
                  <w:r w:rsidR="00AA6EB2" w:rsidRPr="002A4D6D">
                    <w:rPr>
                      <w:spacing w:val="-4"/>
                      <w:sz w:val="26"/>
                      <w:szCs w:val="26"/>
                    </w:rPr>
                    <w:t xml:space="preserve">devītā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2D325C0F" w14:textId="35B966A7" w:rsidR="00117CA5" w:rsidRPr="002A4D6D" w:rsidRDefault="00117CA5"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000272C9" w14:textId="24A3F7BA" w:rsidR="00117CA5" w:rsidRPr="002A4D6D" w:rsidRDefault="00117CA5"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17CA5" w:rsidRPr="002A4D6D" w14:paraId="78126F1D"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5BC2790" w14:textId="46E45E83" w:rsidR="00117CA5" w:rsidRPr="002A4D6D" w:rsidRDefault="00117CA5" w:rsidP="002A4D6D">
                  <w:pPr>
                    <w:jc w:val="center"/>
                    <w:rPr>
                      <w:spacing w:val="-4"/>
                      <w:sz w:val="26"/>
                      <w:szCs w:val="26"/>
                    </w:rPr>
                  </w:pPr>
                  <w:r w:rsidRPr="002A4D6D">
                    <w:rPr>
                      <w:spacing w:val="-4"/>
                      <w:sz w:val="26"/>
                      <w:szCs w:val="26"/>
                    </w:rPr>
                    <w:t>Direktīvas 2017/2455 2.panta 28.punkts attiecībā uz 369.j panta pārņemšanu</w:t>
                  </w:r>
                </w:p>
              </w:tc>
              <w:tc>
                <w:tcPr>
                  <w:tcW w:w="2552" w:type="dxa"/>
                  <w:tcBorders>
                    <w:top w:val="outset" w:sz="6" w:space="0" w:color="auto"/>
                    <w:left w:val="outset" w:sz="6" w:space="0" w:color="auto"/>
                    <w:bottom w:val="outset" w:sz="6" w:space="0" w:color="auto"/>
                    <w:right w:val="outset" w:sz="6" w:space="0" w:color="auto"/>
                  </w:tcBorders>
                </w:tcPr>
                <w:p w14:paraId="4FD1F4F8" w14:textId="311E0C14" w:rsidR="00117CA5" w:rsidRPr="002A4D6D" w:rsidRDefault="00117CA5"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7E46BBC4" w14:textId="0F11B326" w:rsidR="00117CA5" w:rsidRPr="002A4D6D" w:rsidRDefault="00117CA5"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3</w:t>
                  </w:r>
                  <w:r w:rsidR="00AA6EB2" w:rsidRPr="002A4D6D">
                    <w:rPr>
                      <w:spacing w:val="-4"/>
                      <w:sz w:val="26"/>
                      <w:szCs w:val="26"/>
                    </w:rPr>
                    <w:t> </w:t>
                  </w:r>
                  <w:r w:rsidRPr="002A4D6D">
                    <w:rPr>
                      <w:spacing w:val="-4"/>
                      <w:sz w:val="26"/>
                      <w:szCs w:val="26"/>
                    </w:rPr>
                    <w:t xml:space="preserve">panta </w:t>
                  </w:r>
                  <w:r w:rsidR="00AA6EB2" w:rsidRPr="002A4D6D">
                    <w:rPr>
                      <w:spacing w:val="-4"/>
                      <w:sz w:val="26"/>
                      <w:szCs w:val="26"/>
                    </w:rPr>
                    <w:t>desmitā un vienpadsmitā</w:t>
                  </w:r>
                  <w:r w:rsidRPr="002A4D6D">
                    <w:rPr>
                      <w:spacing w:val="-4"/>
                      <w:sz w:val="26"/>
                      <w:szCs w:val="26"/>
                    </w:rPr>
                    <w:t xml:space="preserve"> daļa)</w:t>
                  </w:r>
                </w:p>
              </w:tc>
              <w:tc>
                <w:tcPr>
                  <w:tcW w:w="1840" w:type="dxa"/>
                  <w:gridSpan w:val="2"/>
                  <w:tcBorders>
                    <w:top w:val="outset" w:sz="6" w:space="0" w:color="auto"/>
                    <w:left w:val="outset" w:sz="6" w:space="0" w:color="auto"/>
                    <w:bottom w:val="outset" w:sz="6" w:space="0" w:color="auto"/>
                    <w:right w:val="outset" w:sz="6" w:space="0" w:color="auto"/>
                  </w:tcBorders>
                </w:tcPr>
                <w:p w14:paraId="7A9E4317" w14:textId="23AD37C5" w:rsidR="00117CA5" w:rsidRPr="002A4D6D" w:rsidRDefault="00117CA5"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2480B0FC" w14:textId="47415828" w:rsidR="00117CA5" w:rsidRPr="002A4D6D" w:rsidRDefault="00117CA5"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17CA5" w:rsidRPr="002A4D6D" w14:paraId="7705D925"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27A771F1" w14:textId="2B358736" w:rsidR="00117CA5" w:rsidRPr="002A4D6D" w:rsidRDefault="00117CA5" w:rsidP="002A4D6D">
                  <w:pPr>
                    <w:jc w:val="center"/>
                    <w:rPr>
                      <w:spacing w:val="-4"/>
                      <w:sz w:val="26"/>
                      <w:szCs w:val="26"/>
                    </w:rPr>
                  </w:pPr>
                  <w:r w:rsidRPr="002A4D6D">
                    <w:rPr>
                      <w:spacing w:val="-4"/>
                      <w:sz w:val="26"/>
                      <w:szCs w:val="26"/>
                    </w:rPr>
                    <w:t>Direktīvas 2017/2455 2.panta 29.punkts attiecībā uz 369.k panta 1.punkta pārņemšanu</w:t>
                  </w:r>
                </w:p>
              </w:tc>
              <w:tc>
                <w:tcPr>
                  <w:tcW w:w="2552" w:type="dxa"/>
                  <w:tcBorders>
                    <w:top w:val="outset" w:sz="6" w:space="0" w:color="auto"/>
                    <w:left w:val="outset" w:sz="6" w:space="0" w:color="auto"/>
                    <w:bottom w:val="outset" w:sz="6" w:space="0" w:color="auto"/>
                    <w:right w:val="outset" w:sz="6" w:space="0" w:color="auto"/>
                  </w:tcBorders>
                </w:tcPr>
                <w:p w14:paraId="717E0CEE" w14:textId="1E525D85" w:rsidR="00117CA5" w:rsidRPr="002A4D6D" w:rsidRDefault="00117CA5"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5DCAE3B8" w14:textId="764B93C6" w:rsidR="00117CA5" w:rsidRPr="002A4D6D" w:rsidRDefault="00117CA5"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3</w:t>
                  </w:r>
                  <w:r w:rsidR="00AA6EB2" w:rsidRPr="002A4D6D">
                    <w:rPr>
                      <w:spacing w:val="-4"/>
                      <w:sz w:val="26"/>
                      <w:szCs w:val="26"/>
                    </w:rPr>
                    <w:t> </w:t>
                  </w:r>
                  <w:r w:rsidRPr="002A4D6D">
                    <w:rPr>
                      <w:spacing w:val="-4"/>
                      <w:sz w:val="26"/>
                      <w:szCs w:val="26"/>
                    </w:rPr>
                    <w:t xml:space="preserve">panta </w:t>
                  </w:r>
                  <w:r w:rsidR="00AA6EB2" w:rsidRPr="002A4D6D">
                    <w:rPr>
                      <w:spacing w:val="-4"/>
                      <w:sz w:val="26"/>
                      <w:szCs w:val="26"/>
                    </w:rPr>
                    <w:t xml:space="preserve">divpadsmitās </w:t>
                  </w:r>
                  <w:r w:rsidRPr="002A4D6D">
                    <w:rPr>
                      <w:spacing w:val="-4"/>
                      <w:sz w:val="26"/>
                      <w:szCs w:val="26"/>
                    </w:rPr>
                    <w:t>daļas 2., 3. un 4.punkts)</w:t>
                  </w:r>
                </w:p>
              </w:tc>
              <w:tc>
                <w:tcPr>
                  <w:tcW w:w="1840" w:type="dxa"/>
                  <w:gridSpan w:val="2"/>
                  <w:tcBorders>
                    <w:top w:val="outset" w:sz="6" w:space="0" w:color="auto"/>
                    <w:left w:val="outset" w:sz="6" w:space="0" w:color="auto"/>
                    <w:bottom w:val="outset" w:sz="6" w:space="0" w:color="auto"/>
                    <w:right w:val="outset" w:sz="6" w:space="0" w:color="auto"/>
                  </w:tcBorders>
                </w:tcPr>
                <w:p w14:paraId="4B8EFA63" w14:textId="526DCA51" w:rsidR="00117CA5" w:rsidRPr="002A4D6D" w:rsidRDefault="00117CA5"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47287B0F" w14:textId="58F7646F" w:rsidR="00117CA5" w:rsidRPr="002A4D6D" w:rsidRDefault="00117CA5"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2D4023" w:rsidRPr="002A4D6D" w14:paraId="00267190"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5F23F9F" w14:textId="6BE860B4" w:rsidR="002D4023" w:rsidRPr="002A4D6D" w:rsidRDefault="002D4023" w:rsidP="002A4D6D">
                  <w:pPr>
                    <w:jc w:val="center"/>
                    <w:rPr>
                      <w:spacing w:val="-4"/>
                      <w:sz w:val="26"/>
                      <w:szCs w:val="26"/>
                    </w:rPr>
                  </w:pPr>
                  <w:r w:rsidRPr="002A4D6D">
                    <w:rPr>
                      <w:spacing w:val="-4"/>
                      <w:sz w:val="26"/>
                      <w:szCs w:val="26"/>
                    </w:rPr>
                    <w:t>Direktīvas 2017/2455 2.panta 30.punkts attiecībā uz 369.l panta pārņemšanu</w:t>
                  </w:r>
                </w:p>
              </w:tc>
              <w:tc>
                <w:tcPr>
                  <w:tcW w:w="2552" w:type="dxa"/>
                  <w:tcBorders>
                    <w:top w:val="outset" w:sz="6" w:space="0" w:color="auto"/>
                    <w:left w:val="outset" w:sz="6" w:space="0" w:color="auto"/>
                    <w:bottom w:val="outset" w:sz="6" w:space="0" w:color="auto"/>
                    <w:right w:val="outset" w:sz="6" w:space="0" w:color="auto"/>
                  </w:tcBorders>
                </w:tcPr>
                <w:p w14:paraId="32CA0C6C" w14:textId="4C71147B" w:rsidR="002D4023" w:rsidRPr="002A4D6D" w:rsidRDefault="002D4023"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797F9D8F" w14:textId="2733104D" w:rsidR="002D4023" w:rsidRPr="002A4D6D" w:rsidRDefault="002D4023"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4</w:t>
                  </w:r>
                  <w:r w:rsidR="00AA6EB2" w:rsidRPr="002A4D6D">
                    <w:rPr>
                      <w:spacing w:val="-4"/>
                      <w:sz w:val="26"/>
                      <w:szCs w:val="26"/>
                    </w:rPr>
                    <w:t> </w:t>
                  </w:r>
                  <w:r w:rsidRPr="002A4D6D">
                    <w:rPr>
                      <w:spacing w:val="-4"/>
                      <w:sz w:val="26"/>
                      <w:szCs w:val="26"/>
                    </w:rPr>
                    <w:t xml:space="preserve">panta pirmās daļas 2.- </w:t>
                  </w:r>
                  <w:r w:rsidR="00AA6EB2" w:rsidRPr="002A4D6D">
                    <w:rPr>
                      <w:spacing w:val="-4"/>
                      <w:sz w:val="26"/>
                      <w:szCs w:val="26"/>
                    </w:rPr>
                    <w:t>4</w:t>
                  </w:r>
                  <w:r w:rsidRPr="002A4D6D">
                    <w:rPr>
                      <w:spacing w:val="-4"/>
                      <w:sz w:val="26"/>
                      <w:szCs w:val="26"/>
                    </w:rPr>
                    <w:t>.punkts</w:t>
                  </w:r>
                  <w:r w:rsidR="00AA6EB2" w:rsidRPr="002A4D6D">
                    <w:rPr>
                      <w:spacing w:val="-4"/>
                      <w:sz w:val="26"/>
                      <w:szCs w:val="26"/>
                    </w:rPr>
                    <w:t xml:space="preserve"> un otrās daļas tvērums importētu </w:t>
                  </w:r>
                  <w:r w:rsidR="00AA6EB2" w:rsidRPr="002A4D6D">
                    <w:rPr>
                      <w:spacing w:val="-4"/>
                      <w:sz w:val="26"/>
                      <w:szCs w:val="26"/>
                    </w:rPr>
                    <w:lastRenderedPageBreak/>
                    <w:t>preču tālpārdošanas darījumiem</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2FCC7F3F" w14:textId="40AB5B85" w:rsidR="002D4023" w:rsidRPr="002A4D6D" w:rsidRDefault="002D4023" w:rsidP="002A4D6D">
                  <w:pPr>
                    <w:jc w:val="center"/>
                    <w:rPr>
                      <w:rFonts w:eastAsia="Times New Roman"/>
                      <w:spacing w:val="-4"/>
                      <w:sz w:val="26"/>
                      <w:szCs w:val="26"/>
                      <w:lang w:eastAsia="lv-LV"/>
                    </w:rPr>
                  </w:pPr>
                  <w:r w:rsidRPr="002A4D6D">
                    <w:rPr>
                      <w:rFonts w:eastAsia="Times New Roman"/>
                      <w:spacing w:val="-4"/>
                      <w:sz w:val="26"/>
                      <w:szCs w:val="26"/>
                      <w:lang w:eastAsia="lv-LV"/>
                    </w:rPr>
                    <w:lastRenderedPageBreak/>
                    <w:t>Ieviests pilnībā</w:t>
                  </w:r>
                </w:p>
              </w:tc>
              <w:tc>
                <w:tcPr>
                  <w:tcW w:w="1843" w:type="dxa"/>
                  <w:tcBorders>
                    <w:top w:val="outset" w:sz="6" w:space="0" w:color="auto"/>
                    <w:left w:val="outset" w:sz="6" w:space="0" w:color="auto"/>
                    <w:bottom w:val="outset" w:sz="6" w:space="0" w:color="auto"/>
                    <w:right w:val="outset" w:sz="6" w:space="0" w:color="auto"/>
                  </w:tcBorders>
                </w:tcPr>
                <w:p w14:paraId="533A56F2" w14:textId="08E2C4CD" w:rsidR="002D4023" w:rsidRPr="002A4D6D" w:rsidRDefault="002D4023"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467EC6" w:rsidRPr="002A4D6D" w14:paraId="5E7F9455"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0F1D2DBA" w14:textId="31F022F1" w:rsidR="00467EC6" w:rsidRPr="002A4D6D" w:rsidRDefault="00467EC6" w:rsidP="002A4D6D">
                  <w:pPr>
                    <w:jc w:val="center"/>
                    <w:rPr>
                      <w:spacing w:val="-4"/>
                      <w:sz w:val="26"/>
                      <w:szCs w:val="26"/>
                    </w:rPr>
                  </w:pPr>
                  <w:r w:rsidRPr="002A4D6D">
                    <w:rPr>
                      <w:spacing w:val="-4"/>
                      <w:sz w:val="26"/>
                      <w:szCs w:val="26"/>
                    </w:rPr>
                    <w:t>Direktīvas 2017/2455 2.panta 30.punkts attiecībā uz 369.m panta 1.punkta pārņemšanu</w:t>
                  </w:r>
                </w:p>
              </w:tc>
              <w:tc>
                <w:tcPr>
                  <w:tcW w:w="2552" w:type="dxa"/>
                  <w:tcBorders>
                    <w:top w:val="outset" w:sz="6" w:space="0" w:color="auto"/>
                    <w:left w:val="outset" w:sz="6" w:space="0" w:color="auto"/>
                    <w:bottom w:val="outset" w:sz="6" w:space="0" w:color="auto"/>
                    <w:right w:val="outset" w:sz="6" w:space="0" w:color="auto"/>
                  </w:tcBorders>
                </w:tcPr>
                <w:p w14:paraId="231F5831" w14:textId="6D052F2A" w:rsidR="00467EC6" w:rsidRPr="002A4D6D" w:rsidRDefault="00467EC6"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6D70025F" w14:textId="2FB6522B" w:rsidR="00467EC6" w:rsidRPr="002A4D6D" w:rsidRDefault="00467EC6"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4</w:t>
                  </w:r>
                  <w:r w:rsidR="00AA6EB2" w:rsidRPr="002A4D6D">
                    <w:rPr>
                      <w:spacing w:val="-4"/>
                      <w:sz w:val="26"/>
                      <w:szCs w:val="26"/>
                    </w:rPr>
                    <w:t> </w:t>
                  </w:r>
                  <w:r w:rsidRPr="002A4D6D">
                    <w:rPr>
                      <w:spacing w:val="-4"/>
                      <w:sz w:val="26"/>
                      <w:szCs w:val="26"/>
                    </w:rPr>
                    <w:t>panta otrā daļa)</w:t>
                  </w:r>
                </w:p>
              </w:tc>
              <w:tc>
                <w:tcPr>
                  <w:tcW w:w="1840" w:type="dxa"/>
                  <w:gridSpan w:val="2"/>
                  <w:tcBorders>
                    <w:top w:val="outset" w:sz="6" w:space="0" w:color="auto"/>
                    <w:left w:val="outset" w:sz="6" w:space="0" w:color="auto"/>
                    <w:bottom w:val="outset" w:sz="6" w:space="0" w:color="auto"/>
                    <w:right w:val="outset" w:sz="6" w:space="0" w:color="auto"/>
                  </w:tcBorders>
                </w:tcPr>
                <w:p w14:paraId="7D17F37D" w14:textId="4BBABF46" w:rsidR="00467EC6" w:rsidRPr="002A4D6D" w:rsidRDefault="00467EC6"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1AE501B7" w14:textId="5648BB77" w:rsidR="00467EC6" w:rsidRPr="002A4D6D" w:rsidRDefault="00467EC6"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467EC6" w:rsidRPr="002A4D6D" w14:paraId="55666AC8"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0E77BB2D" w14:textId="6EC72E3A" w:rsidR="00467EC6" w:rsidRPr="002A4D6D" w:rsidRDefault="00467EC6" w:rsidP="002A4D6D">
                  <w:pPr>
                    <w:jc w:val="center"/>
                    <w:rPr>
                      <w:spacing w:val="-4"/>
                      <w:sz w:val="26"/>
                      <w:szCs w:val="26"/>
                    </w:rPr>
                  </w:pPr>
                  <w:r w:rsidRPr="002A4D6D">
                    <w:rPr>
                      <w:spacing w:val="-4"/>
                      <w:sz w:val="26"/>
                      <w:szCs w:val="26"/>
                    </w:rPr>
                    <w:t>Direktīvas 2017/2455 2.panta 30.punkts attiecībā uz 369.m panta 2.punkta pārņemšanu</w:t>
                  </w:r>
                </w:p>
              </w:tc>
              <w:tc>
                <w:tcPr>
                  <w:tcW w:w="2552" w:type="dxa"/>
                  <w:tcBorders>
                    <w:top w:val="outset" w:sz="6" w:space="0" w:color="auto"/>
                    <w:left w:val="outset" w:sz="6" w:space="0" w:color="auto"/>
                    <w:bottom w:val="outset" w:sz="6" w:space="0" w:color="auto"/>
                    <w:right w:val="outset" w:sz="6" w:space="0" w:color="auto"/>
                  </w:tcBorders>
                </w:tcPr>
                <w:p w14:paraId="0F0BEFF8" w14:textId="007B0282" w:rsidR="00467EC6" w:rsidRPr="002A4D6D" w:rsidRDefault="00467EC6"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225467DE" w14:textId="6AC3DE2F" w:rsidR="00467EC6" w:rsidRPr="002A4D6D" w:rsidRDefault="00467EC6"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4</w:t>
                  </w:r>
                  <w:r w:rsidRPr="002A4D6D">
                    <w:rPr>
                      <w:spacing w:val="-4"/>
                      <w:sz w:val="26"/>
                      <w:szCs w:val="26"/>
                    </w:rPr>
                    <w:t> panta trešā daļa)</w:t>
                  </w:r>
                </w:p>
              </w:tc>
              <w:tc>
                <w:tcPr>
                  <w:tcW w:w="1840" w:type="dxa"/>
                  <w:gridSpan w:val="2"/>
                  <w:tcBorders>
                    <w:top w:val="outset" w:sz="6" w:space="0" w:color="auto"/>
                    <w:left w:val="outset" w:sz="6" w:space="0" w:color="auto"/>
                    <w:bottom w:val="outset" w:sz="6" w:space="0" w:color="auto"/>
                    <w:right w:val="outset" w:sz="6" w:space="0" w:color="auto"/>
                  </w:tcBorders>
                </w:tcPr>
                <w:p w14:paraId="1B21842C" w14:textId="5715BDB9" w:rsidR="00467EC6" w:rsidRPr="002A4D6D" w:rsidRDefault="00467EC6"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6FD83B43" w14:textId="781C463C" w:rsidR="00467EC6" w:rsidRPr="002A4D6D" w:rsidRDefault="00467EC6"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467EC6" w:rsidRPr="002A4D6D" w14:paraId="44C5CF52"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7FEEEEA5" w14:textId="740B59E7" w:rsidR="00467EC6" w:rsidRPr="002A4D6D" w:rsidRDefault="00467EC6" w:rsidP="002A4D6D">
                  <w:pPr>
                    <w:jc w:val="center"/>
                    <w:rPr>
                      <w:spacing w:val="-4"/>
                      <w:sz w:val="26"/>
                      <w:szCs w:val="26"/>
                    </w:rPr>
                  </w:pPr>
                  <w:r w:rsidRPr="002A4D6D">
                    <w:rPr>
                      <w:spacing w:val="-4"/>
                      <w:sz w:val="26"/>
                      <w:szCs w:val="26"/>
                    </w:rPr>
                    <w:t>Direktīvas 2017/2455 2.panta 30.punkts attiecībā uz 369.m panta 3.punkta pārņemšanu</w:t>
                  </w:r>
                </w:p>
              </w:tc>
              <w:tc>
                <w:tcPr>
                  <w:tcW w:w="2552" w:type="dxa"/>
                  <w:tcBorders>
                    <w:top w:val="outset" w:sz="6" w:space="0" w:color="auto"/>
                    <w:left w:val="outset" w:sz="6" w:space="0" w:color="auto"/>
                    <w:bottom w:val="outset" w:sz="6" w:space="0" w:color="auto"/>
                    <w:right w:val="outset" w:sz="6" w:space="0" w:color="auto"/>
                  </w:tcBorders>
                </w:tcPr>
                <w:p w14:paraId="39D0E8DE" w14:textId="772F9F1A" w:rsidR="00467EC6" w:rsidRPr="002A4D6D" w:rsidRDefault="00467EC6"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0C461EC4" w14:textId="357F2594" w:rsidR="00467EC6" w:rsidRPr="002A4D6D" w:rsidRDefault="00467EC6"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4</w:t>
                  </w:r>
                  <w:r w:rsidR="00AA6EB2" w:rsidRPr="002A4D6D">
                    <w:rPr>
                      <w:spacing w:val="-4"/>
                      <w:sz w:val="26"/>
                      <w:szCs w:val="26"/>
                    </w:rPr>
                    <w:t> </w:t>
                  </w:r>
                  <w:r w:rsidRPr="002A4D6D">
                    <w:rPr>
                      <w:spacing w:val="-4"/>
                      <w:sz w:val="26"/>
                      <w:szCs w:val="26"/>
                    </w:rPr>
                    <w:t>panta otrās daļas 4.punkts)</w:t>
                  </w:r>
                </w:p>
              </w:tc>
              <w:tc>
                <w:tcPr>
                  <w:tcW w:w="1840" w:type="dxa"/>
                  <w:gridSpan w:val="2"/>
                  <w:tcBorders>
                    <w:top w:val="outset" w:sz="6" w:space="0" w:color="auto"/>
                    <w:left w:val="outset" w:sz="6" w:space="0" w:color="auto"/>
                    <w:bottom w:val="outset" w:sz="6" w:space="0" w:color="auto"/>
                    <w:right w:val="outset" w:sz="6" w:space="0" w:color="auto"/>
                  </w:tcBorders>
                </w:tcPr>
                <w:p w14:paraId="7916EB30" w14:textId="08D9BB29" w:rsidR="00467EC6" w:rsidRPr="002A4D6D" w:rsidRDefault="00467EC6"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7F499428" w14:textId="23EDB923" w:rsidR="00467EC6" w:rsidRPr="002A4D6D" w:rsidRDefault="00467EC6"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467EC6" w:rsidRPr="002A4D6D" w14:paraId="66C3660D"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21E2AB1F" w14:textId="1B96AEE4" w:rsidR="00467EC6" w:rsidRPr="002A4D6D" w:rsidRDefault="00467EC6" w:rsidP="002A4D6D">
                  <w:pPr>
                    <w:jc w:val="center"/>
                    <w:rPr>
                      <w:spacing w:val="-4"/>
                      <w:sz w:val="26"/>
                      <w:szCs w:val="26"/>
                    </w:rPr>
                  </w:pPr>
                  <w:r w:rsidRPr="002A4D6D">
                    <w:rPr>
                      <w:spacing w:val="-4"/>
                      <w:sz w:val="26"/>
                      <w:szCs w:val="26"/>
                    </w:rPr>
                    <w:t>Direktīvas 2017/2455 2.panta 30.punkts attiecībā uz 369.n panta pārņemšanu</w:t>
                  </w:r>
                </w:p>
              </w:tc>
              <w:tc>
                <w:tcPr>
                  <w:tcW w:w="2552" w:type="dxa"/>
                  <w:tcBorders>
                    <w:top w:val="outset" w:sz="6" w:space="0" w:color="auto"/>
                    <w:left w:val="outset" w:sz="6" w:space="0" w:color="auto"/>
                    <w:bottom w:val="outset" w:sz="6" w:space="0" w:color="auto"/>
                    <w:right w:val="outset" w:sz="6" w:space="0" w:color="auto"/>
                  </w:tcBorders>
                </w:tcPr>
                <w:p w14:paraId="0C0E32D9" w14:textId="69D1736F" w:rsidR="00467EC6" w:rsidRPr="002A4D6D" w:rsidRDefault="00467EC6"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0FCB7C16" w14:textId="6B6415C7" w:rsidR="00467EC6" w:rsidRPr="002A4D6D" w:rsidRDefault="00467EC6"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4</w:t>
                  </w:r>
                  <w:r w:rsidR="00AA6EB2" w:rsidRPr="002A4D6D">
                    <w:rPr>
                      <w:spacing w:val="-4"/>
                      <w:sz w:val="26"/>
                      <w:szCs w:val="26"/>
                    </w:rPr>
                    <w:t> </w:t>
                  </w:r>
                  <w:r w:rsidRPr="002A4D6D">
                    <w:rPr>
                      <w:spacing w:val="-4"/>
                      <w:sz w:val="26"/>
                      <w:szCs w:val="26"/>
                    </w:rPr>
                    <w:t xml:space="preserve">panta </w:t>
                  </w:r>
                  <w:r w:rsidR="00AA6EB2" w:rsidRPr="002A4D6D">
                    <w:rPr>
                      <w:spacing w:val="-4"/>
                      <w:sz w:val="26"/>
                      <w:szCs w:val="26"/>
                    </w:rPr>
                    <w:t xml:space="preserve">divpadsmitā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0C6417D6" w14:textId="6FE84DC0" w:rsidR="00467EC6" w:rsidRPr="002A4D6D" w:rsidRDefault="00467EC6"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76F316EC" w14:textId="3DFBA986" w:rsidR="00467EC6" w:rsidRPr="002A4D6D" w:rsidRDefault="00467EC6"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75A0D" w:rsidRPr="002A4D6D" w14:paraId="3A1AB2E7"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5CE30E1" w14:textId="55AA4446" w:rsidR="00675A0D" w:rsidRPr="002A4D6D" w:rsidRDefault="00675A0D" w:rsidP="002A4D6D">
                  <w:pPr>
                    <w:jc w:val="center"/>
                    <w:rPr>
                      <w:spacing w:val="-4"/>
                      <w:sz w:val="26"/>
                      <w:szCs w:val="26"/>
                    </w:rPr>
                  </w:pPr>
                  <w:r w:rsidRPr="002A4D6D">
                    <w:rPr>
                      <w:spacing w:val="-4"/>
                      <w:sz w:val="26"/>
                      <w:szCs w:val="26"/>
                    </w:rPr>
                    <w:t>Direktīvas 2017/2455 2.panta 30.punkts attiecībā uz 369.o panta pārņemšanu</w:t>
                  </w:r>
                </w:p>
              </w:tc>
              <w:tc>
                <w:tcPr>
                  <w:tcW w:w="2552" w:type="dxa"/>
                  <w:tcBorders>
                    <w:top w:val="outset" w:sz="6" w:space="0" w:color="auto"/>
                    <w:left w:val="outset" w:sz="6" w:space="0" w:color="auto"/>
                    <w:bottom w:val="outset" w:sz="6" w:space="0" w:color="auto"/>
                    <w:right w:val="outset" w:sz="6" w:space="0" w:color="auto"/>
                  </w:tcBorders>
                </w:tcPr>
                <w:p w14:paraId="122CAFEF" w14:textId="79A467F4" w:rsidR="00675A0D" w:rsidRPr="002A4D6D" w:rsidRDefault="00675A0D"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32360746" w14:textId="263FDDA7" w:rsidR="00675A0D" w:rsidRPr="002A4D6D" w:rsidRDefault="00675A0D" w:rsidP="002A4D6D">
                  <w:pPr>
                    <w:jc w:val="center"/>
                    <w:rPr>
                      <w:spacing w:val="-4"/>
                      <w:sz w:val="26"/>
                      <w:szCs w:val="26"/>
                    </w:rPr>
                  </w:pPr>
                  <w:r w:rsidRPr="002A4D6D">
                    <w:rPr>
                      <w:spacing w:val="-4"/>
                      <w:sz w:val="26"/>
                      <w:szCs w:val="26"/>
                    </w:rPr>
                    <w:t>(Pievienotās vērtības nodokļa likuma 14</w:t>
                  </w:r>
                  <w:r w:rsidR="00AA6EB2" w:rsidRPr="002A4D6D">
                    <w:rPr>
                      <w:spacing w:val="-4"/>
                      <w:sz w:val="26"/>
                      <w:szCs w:val="26"/>
                    </w:rPr>
                    <w:t>0</w:t>
                  </w:r>
                  <w:r w:rsidRPr="002A4D6D">
                    <w:rPr>
                      <w:spacing w:val="-4"/>
                      <w:sz w:val="26"/>
                      <w:szCs w:val="26"/>
                    </w:rPr>
                    <w:t>.</w:t>
                  </w:r>
                  <w:r w:rsidR="00AA6EB2" w:rsidRPr="002A4D6D">
                    <w:rPr>
                      <w:spacing w:val="-4"/>
                      <w:sz w:val="26"/>
                      <w:szCs w:val="26"/>
                      <w:vertAlign w:val="superscript"/>
                    </w:rPr>
                    <w:t>4</w:t>
                  </w:r>
                  <w:r w:rsidR="00AA6EB2" w:rsidRPr="002A4D6D">
                    <w:rPr>
                      <w:spacing w:val="-4"/>
                      <w:sz w:val="26"/>
                      <w:szCs w:val="26"/>
                    </w:rPr>
                    <w:t> </w:t>
                  </w:r>
                  <w:r w:rsidRPr="002A4D6D">
                    <w:rPr>
                      <w:spacing w:val="-4"/>
                      <w:sz w:val="26"/>
                      <w:szCs w:val="26"/>
                    </w:rPr>
                    <w:t xml:space="preserve">panta ceturtā daļa un </w:t>
                  </w:r>
                  <w:r w:rsidR="00AA6EB2" w:rsidRPr="002A4D6D">
                    <w:rPr>
                      <w:spacing w:val="-4"/>
                      <w:sz w:val="26"/>
                      <w:szCs w:val="26"/>
                    </w:rPr>
                    <w:t>astoņpadsmitās</w:t>
                  </w:r>
                  <w:r w:rsidRPr="002A4D6D">
                    <w:rPr>
                      <w:spacing w:val="-4"/>
                      <w:sz w:val="26"/>
                      <w:szCs w:val="26"/>
                    </w:rPr>
                    <w:t xml:space="preserve"> daļas 1.punkts)</w:t>
                  </w:r>
                </w:p>
              </w:tc>
              <w:tc>
                <w:tcPr>
                  <w:tcW w:w="1840" w:type="dxa"/>
                  <w:gridSpan w:val="2"/>
                  <w:tcBorders>
                    <w:top w:val="outset" w:sz="6" w:space="0" w:color="auto"/>
                    <w:left w:val="outset" w:sz="6" w:space="0" w:color="auto"/>
                    <w:bottom w:val="outset" w:sz="6" w:space="0" w:color="auto"/>
                    <w:right w:val="outset" w:sz="6" w:space="0" w:color="auto"/>
                  </w:tcBorders>
                </w:tcPr>
                <w:p w14:paraId="5DC1D29B" w14:textId="03ACAA3C" w:rsidR="00675A0D" w:rsidRPr="002A4D6D" w:rsidRDefault="00675A0D"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6FB97DC4" w14:textId="120B66D6" w:rsidR="00675A0D" w:rsidRPr="002A4D6D" w:rsidRDefault="00675A0D"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75A0D" w:rsidRPr="002A4D6D" w14:paraId="67F14E4A"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14576A3C" w14:textId="7B270D8E" w:rsidR="00675A0D" w:rsidRPr="002A4D6D" w:rsidRDefault="00675A0D" w:rsidP="002A4D6D">
                  <w:pPr>
                    <w:jc w:val="center"/>
                    <w:rPr>
                      <w:spacing w:val="-4"/>
                      <w:sz w:val="26"/>
                      <w:szCs w:val="26"/>
                    </w:rPr>
                  </w:pPr>
                  <w:r w:rsidRPr="002A4D6D">
                    <w:rPr>
                      <w:spacing w:val="-4"/>
                      <w:sz w:val="26"/>
                      <w:szCs w:val="26"/>
                    </w:rPr>
                    <w:t>Direktīvas 2017/2455 2.panta 30.punkts attiecībā uz 369.p panta 1.</w:t>
                  </w:r>
                  <w:r w:rsidR="00AA6EB2" w:rsidRPr="002A4D6D">
                    <w:rPr>
                      <w:spacing w:val="-4"/>
                      <w:sz w:val="26"/>
                      <w:szCs w:val="26"/>
                    </w:rPr>
                    <w:t xml:space="preserve">punkta </w:t>
                  </w:r>
                  <w:r w:rsidRPr="002A4D6D">
                    <w:rPr>
                      <w:spacing w:val="-4"/>
                      <w:sz w:val="26"/>
                      <w:szCs w:val="26"/>
                    </w:rPr>
                    <w:t>pārņemšanu</w:t>
                  </w:r>
                </w:p>
              </w:tc>
              <w:tc>
                <w:tcPr>
                  <w:tcW w:w="2552" w:type="dxa"/>
                  <w:tcBorders>
                    <w:top w:val="outset" w:sz="6" w:space="0" w:color="auto"/>
                    <w:left w:val="outset" w:sz="6" w:space="0" w:color="auto"/>
                    <w:bottom w:val="outset" w:sz="6" w:space="0" w:color="auto"/>
                    <w:right w:val="outset" w:sz="6" w:space="0" w:color="auto"/>
                  </w:tcBorders>
                </w:tcPr>
                <w:p w14:paraId="2CFF1534" w14:textId="77777777" w:rsidR="00AA6EB2" w:rsidRPr="002A4D6D" w:rsidRDefault="00AA6EB2" w:rsidP="002A4D6D">
                  <w:pPr>
                    <w:jc w:val="center"/>
                    <w:rPr>
                      <w:spacing w:val="-4"/>
                      <w:sz w:val="26"/>
                      <w:szCs w:val="26"/>
                    </w:rPr>
                  </w:pPr>
                  <w:r w:rsidRPr="002A4D6D">
                    <w:rPr>
                      <w:spacing w:val="-4"/>
                      <w:sz w:val="26"/>
                      <w:szCs w:val="26"/>
                    </w:rPr>
                    <w:t>Likumprojekta 19.pants</w:t>
                  </w:r>
                </w:p>
                <w:p w14:paraId="78933A17" w14:textId="2220498A" w:rsidR="00675A0D" w:rsidRPr="002A4D6D" w:rsidRDefault="00AA6EB2"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4</w:t>
                  </w:r>
                  <w:r w:rsidRPr="002A4D6D">
                    <w:rPr>
                      <w:spacing w:val="-4"/>
                      <w:sz w:val="26"/>
                      <w:szCs w:val="26"/>
                    </w:rPr>
                    <w:t xml:space="preserve"> panta piektā daļa) </w:t>
                  </w:r>
                </w:p>
              </w:tc>
              <w:tc>
                <w:tcPr>
                  <w:tcW w:w="1840" w:type="dxa"/>
                  <w:gridSpan w:val="2"/>
                  <w:tcBorders>
                    <w:top w:val="outset" w:sz="6" w:space="0" w:color="auto"/>
                    <w:left w:val="outset" w:sz="6" w:space="0" w:color="auto"/>
                    <w:bottom w:val="outset" w:sz="6" w:space="0" w:color="auto"/>
                    <w:right w:val="outset" w:sz="6" w:space="0" w:color="auto"/>
                  </w:tcBorders>
                </w:tcPr>
                <w:p w14:paraId="43286A55" w14:textId="073B6E8F" w:rsidR="00675A0D" w:rsidRPr="002A4D6D" w:rsidRDefault="00AA6EB2"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008420F7" w14:textId="021D5660" w:rsidR="00675A0D" w:rsidRPr="002A4D6D" w:rsidRDefault="00675A0D"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AA6EB2" w:rsidRPr="002A4D6D" w14:paraId="74F7C9DC"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7099F60E" w14:textId="744DC5E2" w:rsidR="00AA6EB2" w:rsidRPr="002A4D6D" w:rsidRDefault="00AA6EB2" w:rsidP="002A4D6D">
                  <w:pPr>
                    <w:jc w:val="center"/>
                    <w:rPr>
                      <w:spacing w:val="-4"/>
                      <w:sz w:val="26"/>
                      <w:szCs w:val="26"/>
                    </w:rPr>
                  </w:pPr>
                  <w:r w:rsidRPr="002A4D6D">
                    <w:rPr>
                      <w:spacing w:val="-4"/>
                      <w:sz w:val="26"/>
                      <w:szCs w:val="26"/>
                    </w:rPr>
                    <w:t>Direktīvas 2017/2455 2.panta 30.punkts attiecībā uz 369.p panta 2.punkta pārņemšanu</w:t>
                  </w:r>
                </w:p>
              </w:tc>
              <w:tc>
                <w:tcPr>
                  <w:tcW w:w="2552" w:type="dxa"/>
                  <w:tcBorders>
                    <w:top w:val="outset" w:sz="6" w:space="0" w:color="auto"/>
                    <w:left w:val="outset" w:sz="6" w:space="0" w:color="auto"/>
                    <w:bottom w:val="outset" w:sz="6" w:space="0" w:color="auto"/>
                    <w:right w:val="outset" w:sz="6" w:space="0" w:color="auto"/>
                  </w:tcBorders>
                </w:tcPr>
                <w:p w14:paraId="2F5FF0CA" w14:textId="77777777" w:rsidR="00AA6EB2" w:rsidRPr="002A4D6D" w:rsidRDefault="00AA6EB2" w:rsidP="002A4D6D">
                  <w:pPr>
                    <w:jc w:val="center"/>
                    <w:rPr>
                      <w:spacing w:val="-4"/>
                      <w:sz w:val="26"/>
                      <w:szCs w:val="26"/>
                    </w:rPr>
                  </w:pPr>
                  <w:r w:rsidRPr="002A4D6D">
                    <w:rPr>
                      <w:spacing w:val="-4"/>
                      <w:sz w:val="26"/>
                      <w:szCs w:val="26"/>
                    </w:rPr>
                    <w:t>Likumprojekta 19.pants</w:t>
                  </w:r>
                </w:p>
                <w:p w14:paraId="5D815F9C" w14:textId="75295A76" w:rsidR="00AA6EB2" w:rsidRPr="002A4D6D" w:rsidRDefault="00AA6EB2"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4</w:t>
                  </w:r>
                  <w:r w:rsidRPr="002A4D6D">
                    <w:rPr>
                      <w:spacing w:val="-4"/>
                      <w:sz w:val="26"/>
                      <w:szCs w:val="26"/>
                    </w:rPr>
                    <w:t xml:space="preserve"> panta sestā daļa) </w:t>
                  </w:r>
                </w:p>
              </w:tc>
              <w:tc>
                <w:tcPr>
                  <w:tcW w:w="1840" w:type="dxa"/>
                  <w:gridSpan w:val="2"/>
                  <w:tcBorders>
                    <w:top w:val="outset" w:sz="6" w:space="0" w:color="auto"/>
                    <w:left w:val="outset" w:sz="6" w:space="0" w:color="auto"/>
                    <w:bottom w:val="outset" w:sz="6" w:space="0" w:color="auto"/>
                    <w:right w:val="outset" w:sz="6" w:space="0" w:color="auto"/>
                  </w:tcBorders>
                </w:tcPr>
                <w:p w14:paraId="473DCC7F" w14:textId="72902EBB" w:rsidR="00AA6EB2" w:rsidRPr="002A4D6D" w:rsidRDefault="00AA6EB2"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28DB0266" w14:textId="205DC1A5" w:rsidR="00AA6EB2" w:rsidRPr="002A4D6D" w:rsidRDefault="00AA6EB2"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AA6EB2" w:rsidRPr="002A4D6D" w14:paraId="347DD01B"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0733D8E7" w14:textId="35D6CDB0" w:rsidR="00AA6EB2" w:rsidRPr="002A4D6D" w:rsidRDefault="00AA6EB2" w:rsidP="002A4D6D">
                  <w:pPr>
                    <w:jc w:val="center"/>
                    <w:rPr>
                      <w:spacing w:val="-4"/>
                      <w:sz w:val="26"/>
                      <w:szCs w:val="26"/>
                    </w:rPr>
                  </w:pPr>
                  <w:r w:rsidRPr="002A4D6D">
                    <w:rPr>
                      <w:spacing w:val="-4"/>
                      <w:sz w:val="26"/>
                      <w:szCs w:val="26"/>
                    </w:rPr>
                    <w:t>Direktīvas 2017/2455 2.panta 30.punkts attiecībā uz 369.p panta 3.punkta pārņemšanu</w:t>
                  </w:r>
                </w:p>
              </w:tc>
              <w:tc>
                <w:tcPr>
                  <w:tcW w:w="2552" w:type="dxa"/>
                  <w:tcBorders>
                    <w:top w:val="outset" w:sz="6" w:space="0" w:color="auto"/>
                    <w:left w:val="outset" w:sz="6" w:space="0" w:color="auto"/>
                    <w:bottom w:val="outset" w:sz="6" w:space="0" w:color="auto"/>
                    <w:right w:val="outset" w:sz="6" w:space="0" w:color="auto"/>
                  </w:tcBorders>
                </w:tcPr>
                <w:p w14:paraId="6170CCFE" w14:textId="77777777" w:rsidR="00AA6EB2" w:rsidRPr="002A4D6D" w:rsidRDefault="00AA6EB2" w:rsidP="002A4D6D">
                  <w:pPr>
                    <w:jc w:val="center"/>
                    <w:rPr>
                      <w:spacing w:val="-4"/>
                      <w:sz w:val="26"/>
                      <w:szCs w:val="26"/>
                    </w:rPr>
                  </w:pPr>
                  <w:r w:rsidRPr="002A4D6D">
                    <w:rPr>
                      <w:spacing w:val="-4"/>
                      <w:sz w:val="26"/>
                      <w:szCs w:val="26"/>
                    </w:rPr>
                    <w:t>Likumprojekta 19.pants</w:t>
                  </w:r>
                </w:p>
                <w:p w14:paraId="6B14BCA7" w14:textId="624D0062" w:rsidR="00AA6EB2" w:rsidRPr="002A4D6D" w:rsidRDefault="00AA6EB2"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4</w:t>
                  </w:r>
                  <w:r w:rsidRPr="002A4D6D">
                    <w:rPr>
                      <w:spacing w:val="-4"/>
                      <w:sz w:val="26"/>
                      <w:szCs w:val="26"/>
                    </w:rPr>
                    <w:t xml:space="preserve"> panta septītā daļa) </w:t>
                  </w:r>
                </w:p>
              </w:tc>
              <w:tc>
                <w:tcPr>
                  <w:tcW w:w="1840" w:type="dxa"/>
                  <w:gridSpan w:val="2"/>
                  <w:tcBorders>
                    <w:top w:val="outset" w:sz="6" w:space="0" w:color="auto"/>
                    <w:left w:val="outset" w:sz="6" w:space="0" w:color="auto"/>
                    <w:bottom w:val="outset" w:sz="6" w:space="0" w:color="auto"/>
                    <w:right w:val="outset" w:sz="6" w:space="0" w:color="auto"/>
                  </w:tcBorders>
                </w:tcPr>
                <w:p w14:paraId="15964F5A" w14:textId="093E83C7" w:rsidR="00AA6EB2" w:rsidRPr="002A4D6D" w:rsidRDefault="00AA6EB2"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426EECC3" w14:textId="3E521D5E" w:rsidR="00AA6EB2" w:rsidRPr="002A4D6D" w:rsidRDefault="00AA6EB2"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75A0D" w:rsidRPr="002A4D6D" w14:paraId="57C75317"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1E8B566" w14:textId="112BDFDF" w:rsidR="00675A0D" w:rsidRPr="002A4D6D" w:rsidRDefault="00675A0D" w:rsidP="002A4D6D">
                  <w:pPr>
                    <w:jc w:val="center"/>
                    <w:rPr>
                      <w:spacing w:val="-4"/>
                      <w:sz w:val="26"/>
                      <w:szCs w:val="26"/>
                    </w:rPr>
                  </w:pPr>
                  <w:r w:rsidRPr="002A4D6D">
                    <w:rPr>
                      <w:spacing w:val="-4"/>
                      <w:sz w:val="26"/>
                      <w:szCs w:val="26"/>
                    </w:rPr>
                    <w:t>Direktīvas 2017/2455 2.panta 30.punkts attiecībā uz 369.p panta 4.punkta pārņemšanu</w:t>
                  </w:r>
                </w:p>
              </w:tc>
              <w:tc>
                <w:tcPr>
                  <w:tcW w:w="2552" w:type="dxa"/>
                  <w:tcBorders>
                    <w:top w:val="outset" w:sz="6" w:space="0" w:color="auto"/>
                    <w:left w:val="outset" w:sz="6" w:space="0" w:color="auto"/>
                    <w:bottom w:val="outset" w:sz="6" w:space="0" w:color="auto"/>
                    <w:right w:val="outset" w:sz="6" w:space="0" w:color="auto"/>
                  </w:tcBorders>
                </w:tcPr>
                <w:p w14:paraId="3086A54B" w14:textId="0E0D0944" w:rsidR="00675A0D" w:rsidRPr="002A4D6D" w:rsidRDefault="00675A0D"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3783FA13" w14:textId="523BA268" w:rsidR="00675A0D" w:rsidRPr="002A4D6D" w:rsidRDefault="00675A0D"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4</w:t>
                  </w:r>
                  <w:r w:rsidRPr="002A4D6D">
                    <w:rPr>
                      <w:spacing w:val="-4"/>
                      <w:sz w:val="26"/>
                      <w:szCs w:val="26"/>
                    </w:rPr>
                    <w:t xml:space="preserve"> panta </w:t>
                  </w:r>
                  <w:r w:rsidR="00AA6EB2" w:rsidRPr="002A4D6D">
                    <w:rPr>
                      <w:spacing w:val="-4"/>
                      <w:sz w:val="26"/>
                      <w:szCs w:val="26"/>
                    </w:rPr>
                    <w:t>astoņpadsmitās</w:t>
                  </w:r>
                  <w:r w:rsidRPr="002A4D6D">
                    <w:rPr>
                      <w:spacing w:val="-4"/>
                      <w:sz w:val="26"/>
                      <w:szCs w:val="26"/>
                    </w:rPr>
                    <w:t xml:space="preserve"> daļas 1.punkts)</w:t>
                  </w:r>
                </w:p>
              </w:tc>
              <w:tc>
                <w:tcPr>
                  <w:tcW w:w="1840" w:type="dxa"/>
                  <w:gridSpan w:val="2"/>
                  <w:tcBorders>
                    <w:top w:val="outset" w:sz="6" w:space="0" w:color="auto"/>
                    <w:left w:val="outset" w:sz="6" w:space="0" w:color="auto"/>
                    <w:bottom w:val="outset" w:sz="6" w:space="0" w:color="auto"/>
                    <w:right w:val="outset" w:sz="6" w:space="0" w:color="auto"/>
                  </w:tcBorders>
                </w:tcPr>
                <w:p w14:paraId="5D1D7395" w14:textId="646E2598" w:rsidR="00675A0D" w:rsidRPr="002A4D6D" w:rsidRDefault="00675A0D"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4DE7FC4F" w14:textId="70A52191" w:rsidR="00675A0D" w:rsidRPr="002A4D6D" w:rsidRDefault="00675A0D"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75A0D" w:rsidRPr="002A4D6D" w14:paraId="39DEAD4C"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2E670335" w14:textId="2CB2C650" w:rsidR="00675A0D" w:rsidRPr="002A4D6D" w:rsidRDefault="00675A0D" w:rsidP="002A4D6D">
                  <w:pPr>
                    <w:jc w:val="center"/>
                    <w:rPr>
                      <w:spacing w:val="-4"/>
                      <w:sz w:val="26"/>
                      <w:szCs w:val="26"/>
                    </w:rPr>
                  </w:pPr>
                  <w:r w:rsidRPr="002A4D6D">
                    <w:rPr>
                      <w:spacing w:val="-4"/>
                      <w:sz w:val="26"/>
                      <w:szCs w:val="26"/>
                    </w:rPr>
                    <w:lastRenderedPageBreak/>
                    <w:t xml:space="preserve">Direktīvas 2017/2455 2.panta 30.punkts attiecībā uz 369.q panta </w:t>
                  </w:r>
                  <w:r w:rsidR="00627288" w:rsidRPr="002A4D6D">
                    <w:rPr>
                      <w:spacing w:val="-4"/>
                      <w:sz w:val="26"/>
                      <w:szCs w:val="26"/>
                    </w:rPr>
                    <w:t xml:space="preserve">1., 2. un 4.punkta </w:t>
                  </w:r>
                  <w:r w:rsidRPr="002A4D6D">
                    <w:rPr>
                      <w:spacing w:val="-4"/>
                      <w:sz w:val="26"/>
                      <w:szCs w:val="26"/>
                    </w:rPr>
                    <w:t>pārņemšanu</w:t>
                  </w:r>
                </w:p>
              </w:tc>
              <w:tc>
                <w:tcPr>
                  <w:tcW w:w="2552" w:type="dxa"/>
                  <w:tcBorders>
                    <w:top w:val="outset" w:sz="6" w:space="0" w:color="auto"/>
                    <w:left w:val="outset" w:sz="6" w:space="0" w:color="auto"/>
                    <w:bottom w:val="outset" w:sz="6" w:space="0" w:color="auto"/>
                    <w:right w:val="outset" w:sz="6" w:space="0" w:color="auto"/>
                  </w:tcBorders>
                </w:tcPr>
                <w:p w14:paraId="4083218A" w14:textId="54D248F2" w:rsidR="00675A0D" w:rsidRPr="002A4D6D" w:rsidRDefault="00675A0D" w:rsidP="002A4D6D">
                  <w:pPr>
                    <w:jc w:val="center"/>
                    <w:rPr>
                      <w:spacing w:val="-4"/>
                      <w:sz w:val="26"/>
                      <w:szCs w:val="26"/>
                    </w:rPr>
                  </w:pPr>
                  <w:r w:rsidRPr="002A4D6D">
                    <w:rPr>
                      <w:spacing w:val="-4"/>
                      <w:sz w:val="26"/>
                      <w:szCs w:val="26"/>
                    </w:rPr>
                    <w:t xml:space="preserve">Likumprojekta </w:t>
                  </w:r>
                  <w:r w:rsidR="00AA6EB2" w:rsidRPr="002A4D6D">
                    <w:rPr>
                      <w:spacing w:val="-4"/>
                      <w:sz w:val="26"/>
                      <w:szCs w:val="26"/>
                    </w:rPr>
                    <w:t>19</w:t>
                  </w:r>
                  <w:r w:rsidRPr="002A4D6D">
                    <w:rPr>
                      <w:spacing w:val="-4"/>
                      <w:sz w:val="26"/>
                      <w:szCs w:val="26"/>
                    </w:rPr>
                    <w:t>.pants</w:t>
                  </w:r>
                </w:p>
                <w:p w14:paraId="40F2CD1D" w14:textId="2B59D030" w:rsidR="00675A0D" w:rsidRPr="002A4D6D" w:rsidRDefault="00675A0D" w:rsidP="002A4D6D">
                  <w:pPr>
                    <w:jc w:val="center"/>
                    <w:rPr>
                      <w:spacing w:val="-4"/>
                      <w:sz w:val="26"/>
                      <w:szCs w:val="26"/>
                    </w:rPr>
                  </w:pPr>
                  <w:r w:rsidRPr="002A4D6D">
                    <w:rPr>
                      <w:spacing w:val="-4"/>
                      <w:sz w:val="26"/>
                      <w:szCs w:val="26"/>
                    </w:rPr>
                    <w:t xml:space="preserve">(Pievienotās vērtības nodokļa likuma </w:t>
                  </w:r>
                  <w:r w:rsidR="00AA6EB2" w:rsidRPr="002A4D6D">
                    <w:rPr>
                      <w:spacing w:val="-4"/>
                      <w:sz w:val="26"/>
                      <w:szCs w:val="26"/>
                    </w:rPr>
                    <w:t>140</w:t>
                  </w:r>
                  <w:r w:rsidRPr="002A4D6D">
                    <w:rPr>
                      <w:spacing w:val="-4"/>
                      <w:sz w:val="26"/>
                      <w:szCs w:val="26"/>
                    </w:rPr>
                    <w:t>.</w:t>
                  </w:r>
                  <w:r w:rsidR="00AA6EB2" w:rsidRPr="002A4D6D">
                    <w:rPr>
                      <w:spacing w:val="-4"/>
                      <w:sz w:val="26"/>
                      <w:szCs w:val="26"/>
                      <w:vertAlign w:val="superscript"/>
                    </w:rPr>
                    <w:t>4</w:t>
                  </w:r>
                  <w:r w:rsidR="00AA6EB2" w:rsidRPr="002A4D6D">
                    <w:rPr>
                      <w:spacing w:val="-4"/>
                      <w:sz w:val="26"/>
                      <w:szCs w:val="26"/>
                    </w:rPr>
                    <w:t> </w:t>
                  </w:r>
                  <w:r w:rsidRPr="002A4D6D">
                    <w:rPr>
                      <w:spacing w:val="-4"/>
                      <w:sz w:val="26"/>
                      <w:szCs w:val="26"/>
                    </w:rPr>
                    <w:t xml:space="preserve">panta </w:t>
                  </w:r>
                  <w:r w:rsidR="00AA6EB2" w:rsidRPr="002A4D6D">
                    <w:rPr>
                      <w:spacing w:val="-4"/>
                      <w:sz w:val="26"/>
                      <w:szCs w:val="26"/>
                    </w:rPr>
                    <w:t>devītā</w:t>
                  </w:r>
                  <w:r w:rsidR="00627288" w:rsidRPr="002A4D6D">
                    <w:rPr>
                      <w:spacing w:val="-4"/>
                      <w:sz w:val="26"/>
                      <w:szCs w:val="26"/>
                    </w:rPr>
                    <w:t xml:space="preserve"> daļa</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3DB3A89A" w14:textId="0731C552" w:rsidR="00675A0D" w:rsidRPr="002A4D6D" w:rsidRDefault="00675A0D"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3057F855" w14:textId="1B6B8F2B" w:rsidR="00675A0D" w:rsidRPr="002A4D6D" w:rsidRDefault="00675A0D"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27288" w:rsidRPr="002A4D6D" w14:paraId="171A0147"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F67FFDE" w14:textId="68451EF3" w:rsidR="00627288" w:rsidRPr="002A4D6D" w:rsidRDefault="00627288" w:rsidP="002A4D6D">
                  <w:pPr>
                    <w:jc w:val="center"/>
                    <w:rPr>
                      <w:spacing w:val="-4"/>
                      <w:sz w:val="26"/>
                      <w:szCs w:val="26"/>
                    </w:rPr>
                  </w:pPr>
                  <w:r w:rsidRPr="002A4D6D">
                    <w:rPr>
                      <w:spacing w:val="-4"/>
                      <w:sz w:val="26"/>
                      <w:szCs w:val="26"/>
                    </w:rPr>
                    <w:t>Direktīvas 2017/2455 2.panta 30.punkts attiecībā uz 369.q panta 3.punkta pārņemšanu</w:t>
                  </w:r>
                </w:p>
              </w:tc>
              <w:tc>
                <w:tcPr>
                  <w:tcW w:w="2552" w:type="dxa"/>
                  <w:tcBorders>
                    <w:top w:val="outset" w:sz="6" w:space="0" w:color="auto"/>
                    <w:left w:val="outset" w:sz="6" w:space="0" w:color="auto"/>
                    <w:bottom w:val="outset" w:sz="6" w:space="0" w:color="auto"/>
                    <w:right w:val="outset" w:sz="6" w:space="0" w:color="auto"/>
                  </w:tcBorders>
                </w:tcPr>
                <w:p w14:paraId="4078C6F5" w14:textId="2F94870C" w:rsidR="00627288" w:rsidRPr="002A4D6D" w:rsidRDefault="00627288"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03CFC84F" w14:textId="79E05EE7" w:rsidR="00627288" w:rsidRPr="002A4D6D" w:rsidRDefault="00627288"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4</w:t>
                  </w:r>
                  <w:r w:rsidR="001C56B0" w:rsidRPr="002A4D6D">
                    <w:rPr>
                      <w:spacing w:val="-4"/>
                      <w:sz w:val="26"/>
                      <w:szCs w:val="26"/>
                    </w:rPr>
                    <w:t> </w:t>
                  </w:r>
                  <w:r w:rsidRPr="002A4D6D">
                    <w:rPr>
                      <w:spacing w:val="-4"/>
                      <w:sz w:val="26"/>
                      <w:szCs w:val="26"/>
                    </w:rPr>
                    <w:t xml:space="preserve">panta </w:t>
                  </w:r>
                  <w:r w:rsidR="001C56B0" w:rsidRPr="002A4D6D">
                    <w:rPr>
                      <w:spacing w:val="-4"/>
                      <w:sz w:val="26"/>
                      <w:szCs w:val="26"/>
                    </w:rPr>
                    <w:t xml:space="preserve">desmitā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55443E76" w14:textId="5803737F"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361D24D0" w14:textId="1772B75D"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27288" w:rsidRPr="002A4D6D" w14:paraId="77D574DE"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323D4A55" w14:textId="20ACD4CF" w:rsidR="00627288" w:rsidRPr="002A4D6D" w:rsidRDefault="00627288" w:rsidP="002A4D6D">
                  <w:pPr>
                    <w:jc w:val="center"/>
                    <w:rPr>
                      <w:spacing w:val="-4"/>
                      <w:sz w:val="26"/>
                      <w:szCs w:val="26"/>
                    </w:rPr>
                  </w:pPr>
                  <w:r w:rsidRPr="002A4D6D">
                    <w:rPr>
                      <w:spacing w:val="-4"/>
                      <w:sz w:val="26"/>
                      <w:szCs w:val="26"/>
                    </w:rPr>
                    <w:t>Direktīvas 2017/2455 2.panta 30.punkts attiecībā uz 369.r panta pārņemšanu</w:t>
                  </w:r>
                </w:p>
              </w:tc>
              <w:tc>
                <w:tcPr>
                  <w:tcW w:w="2552" w:type="dxa"/>
                  <w:tcBorders>
                    <w:top w:val="outset" w:sz="6" w:space="0" w:color="auto"/>
                    <w:left w:val="outset" w:sz="6" w:space="0" w:color="auto"/>
                    <w:bottom w:val="outset" w:sz="6" w:space="0" w:color="auto"/>
                    <w:right w:val="outset" w:sz="6" w:space="0" w:color="auto"/>
                  </w:tcBorders>
                </w:tcPr>
                <w:p w14:paraId="2BB119E9" w14:textId="2FA5B2E3" w:rsidR="00627288" w:rsidRPr="002A4D6D" w:rsidRDefault="00627288"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74596C21" w14:textId="42BCCD58" w:rsidR="00627288" w:rsidRPr="002A4D6D" w:rsidRDefault="00627288"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4</w:t>
                  </w:r>
                  <w:r w:rsidR="001C56B0" w:rsidRPr="002A4D6D">
                    <w:rPr>
                      <w:spacing w:val="-4"/>
                      <w:sz w:val="26"/>
                      <w:szCs w:val="26"/>
                    </w:rPr>
                    <w:t> </w:t>
                  </w:r>
                  <w:r w:rsidRPr="002A4D6D">
                    <w:rPr>
                      <w:spacing w:val="-4"/>
                      <w:sz w:val="26"/>
                      <w:szCs w:val="26"/>
                    </w:rPr>
                    <w:t xml:space="preserve">panta </w:t>
                  </w:r>
                  <w:r w:rsidR="001C56B0" w:rsidRPr="002A4D6D">
                    <w:rPr>
                      <w:spacing w:val="-4"/>
                      <w:sz w:val="26"/>
                      <w:szCs w:val="26"/>
                    </w:rPr>
                    <w:t xml:space="preserve">vienpadsmitā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2596123F" w14:textId="447859B9"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0946AFDD" w14:textId="5816E499"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27288" w:rsidRPr="002A4D6D" w14:paraId="14A75229"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83D956F" w14:textId="2ED3BB4A" w:rsidR="00627288" w:rsidRPr="002A4D6D" w:rsidRDefault="00627288" w:rsidP="002A4D6D">
                  <w:pPr>
                    <w:jc w:val="center"/>
                    <w:rPr>
                      <w:spacing w:val="-4"/>
                      <w:sz w:val="26"/>
                      <w:szCs w:val="26"/>
                    </w:rPr>
                  </w:pPr>
                  <w:r w:rsidRPr="002A4D6D">
                    <w:rPr>
                      <w:spacing w:val="-4"/>
                      <w:sz w:val="26"/>
                      <w:szCs w:val="26"/>
                    </w:rPr>
                    <w:t>Direktīvas 2017/2455 2.panta 30.punkts attiecībā uz 369.s panta pārņemšanu</w:t>
                  </w:r>
                </w:p>
              </w:tc>
              <w:tc>
                <w:tcPr>
                  <w:tcW w:w="2552" w:type="dxa"/>
                  <w:tcBorders>
                    <w:top w:val="outset" w:sz="6" w:space="0" w:color="auto"/>
                    <w:left w:val="outset" w:sz="6" w:space="0" w:color="auto"/>
                    <w:bottom w:val="outset" w:sz="6" w:space="0" w:color="auto"/>
                    <w:right w:val="outset" w:sz="6" w:space="0" w:color="auto"/>
                  </w:tcBorders>
                </w:tcPr>
                <w:p w14:paraId="53B77322" w14:textId="601E7CE3" w:rsidR="00627288" w:rsidRPr="002A4D6D" w:rsidRDefault="00627288"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1D9AB691" w14:textId="7D9BEC9D" w:rsidR="00627288" w:rsidRPr="002A4D6D" w:rsidRDefault="00627288"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4</w:t>
                  </w:r>
                  <w:r w:rsidR="001C56B0" w:rsidRPr="002A4D6D">
                    <w:rPr>
                      <w:spacing w:val="-4"/>
                      <w:sz w:val="26"/>
                      <w:szCs w:val="26"/>
                    </w:rPr>
                    <w:t> </w:t>
                  </w:r>
                  <w:r w:rsidRPr="002A4D6D">
                    <w:rPr>
                      <w:spacing w:val="-4"/>
                      <w:sz w:val="26"/>
                      <w:szCs w:val="26"/>
                    </w:rPr>
                    <w:t xml:space="preserve">panta </w:t>
                  </w:r>
                  <w:r w:rsidR="001C56B0" w:rsidRPr="002A4D6D">
                    <w:rPr>
                      <w:spacing w:val="-4"/>
                      <w:sz w:val="26"/>
                      <w:szCs w:val="26"/>
                    </w:rPr>
                    <w:t>trīspadsmitā un četrpadsmitā</w:t>
                  </w:r>
                  <w:r w:rsidRPr="002A4D6D">
                    <w:rPr>
                      <w:spacing w:val="-4"/>
                      <w:sz w:val="26"/>
                      <w:szCs w:val="26"/>
                    </w:rPr>
                    <w:t xml:space="preserve"> daļa)</w:t>
                  </w:r>
                </w:p>
              </w:tc>
              <w:tc>
                <w:tcPr>
                  <w:tcW w:w="1840" w:type="dxa"/>
                  <w:gridSpan w:val="2"/>
                  <w:tcBorders>
                    <w:top w:val="outset" w:sz="6" w:space="0" w:color="auto"/>
                    <w:left w:val="outset" w:sz="6" w:space="0" w:color="auto"/>
                    <w:bottom w:val="outset" w:sz="6" w:space="0" w:color="auto"/>
                    <w:right w:val="outset" w:sz="6" w:space="0" w:color="auto"/>
                  </w:tcBorders>
                </w:tcPr>
                <w:p w14:paraId="535A9A16" w14:textId="11A0A80C"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5D62DC9" w14:textId="5B5B8570"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27288" w:rsidRPr="002A4D6D" w14:paraId="6FF354E9"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72695FC6" w14:textId="3670F35D" w:rsidR="00627288" w:rsidRPr="002A4D6D" w:rsidRDefault="00627288" w:rsidP="002A4D6D">
                  <w:pPr>
                    <w:jc w:val="center"/>
                    <w:rPr>
                      <w:spacing w:val="-4"/>
                      <w:sz w:val="26"/>
                      <w:szCs w:val="26"/>
                    </w:rPr>
                  </w:pPr>
                  <w:r w:rsidRPr="002A4D6D">
                    <w:rPr>
                      <w:spacing w:val="-4"/>
                      <w:sz w:val="26"/>
                      <w:szCs w:val="26"/>
                    </w:rPr>
                    <w:t>Direktīvas 2017/2455 2.panta 30.punkts attiecībā uz 369.t panta pārņemšanu</w:t>
                  </w:r>
                </w:p>
              </w:tc>
              <w:tc>
                <w:tcPr>
                  <w:tcW w:w="2552" w:type="dxa"/>
                  <w:tcBorders>
                    <w:top w:val="outset" w:sz="6" w:space="0" w:color="auto"/>
                    <w:left w:val="outset" w:sz="6" w:space="0" w:color="auto"/>
                    <w:bottom w:val="outset" w:sz="6" w:space="0" w:color="auto"/>
                    <w:right w:val="outset" w:sz="6" w:space="0" w:color="auto"/>
                  </w:tcBorders>
                </w:tcPr>
                <w:p w14:paraId="4BD5E3CF" w14:textId="61D14CE7" w:rsidR="00627288" w:rsidRPr="002A4D6D" w:rsidRDefault="00627288"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4F8C12F5" w14:textId="43664519" w:rsidR="00627288" w:rsidRPr="002A4D6D" w:rsidRDefault="00627288" w:rsidP="002A4D6D">
                  <w:pPr>
                    <w:jc w:val="center"/>
                    <w:rPr>
                      <w:spacing w:val="-4"/>
                      <w:sz w:val="26"/>
                      <w:szCs w:val="26"/>
                    </w:rPr>
                  </w:pPr>
                  <w:r w:rsidRPr="002A4D6D">
                    <w:rPr>
                      <w:spacing w:val="-4"/>
                      <w:sz w:val="26"/>
                      <w:szCs w:val="26"/>
                    </w:rPr>
                    <w:t xml:space="preserve">(deleģējums 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4</w:t>
                  </w:r>
                  <w:r w:rsidRPr="002A4D6D">
                    <w:rPr>
                      <w:spacing w:val="-4"/>
                      <w:sz w:val="26"/>
                      <w:szCs w:val="26"/>
                    </w:rPr>
                    <w:t xml:space="preserve">panta </w:t>
                  </w:r>
                  <w:r w:rsidR="001C56B0" w:rsidRPr="002A4D6D">
                    <w:rPr>
                      <w:spacing w:val="-4"/>
                      <w:sz w:val="26"/>
                      <w:szCs w:val="26"/>
                    </w:rPr>
                    <w:t>deviņpadsmitajā daļā</w:t>
                  </w:r>
                  <w:r w:rsidRPr="002A4D6D">
                    <w:rPr>
                      <w:spacing w:val="-4"/>
                      <w:sz w:val="26"/>
                      <w:szCs w:val="26"/>
                    </w:rPr>
                    <w:t>)</w:t>
                  </w:r>
                </w:p>
              </w:tc>
              <w:tc>
                <w:tcPr>
                  <w:tcW w:w="1840" w:type="dxa"/>
                  <w:gridSpan w:val="2"/>
                  <w:tcBorders>
                    <w:top w:val="outset" w:sz="6" w:space="0" w:color="auto"/>
                    <w:left w:val="outset" w:sz="6" w:space="0" w:color="auto"/>
                    <w:bottom w:val="outset" w:sz="6" w:space="0" w:color="auto"/>
                    <w:right w:val="outset" w:sz="6" w:space="0" w:color="auto"/>
                  </w:tcBorders>
                </w:tcPr>
                <w:p w14:paraId="4BC02DB9" w14:textId="5009FD20" w:rsidR="00627288"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26A7018D" w14:textId="35411777"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27288" w:rsidRPr="002A4D6D" w14:paraId="08C37AAE"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0EF25DC0" w14:textId="73CBC502" w:rsidR="00627288" w:rsidRPr="002A4D6D" w:rsidRDefault="00627288" w:rsidP="002A4D6D">
                  <w:pPr>
                    <w:jc w:val="center"/>
                    <w:rPr>
                      <w:spacing w:val="-4"/>
                      <w:sz w:val="26"/>
                      <w:szCs w:val="26"/>
                    </w:rPr>
                  </w:pPr>
                  <w:r w:rsidRPr="002A4D6D">
                    <w:rPr>
                      <w:spacing w:val="-4"/>
                      <w:sz w:val="26"/>
                      <w:szCs w:val="26"/>
                    </w:rPr>
                    <w:t>Direktīvas 2017/2455 2.panta 30.punkts attiecībā uz 369.v panta pārņemšanu</w:t>
                  </w:r>
                </w:p>
              </w:tc>
              <w:tc>
                <w:tcPr>
                  <w:tcW w:w="2552" w:type="dxa"/>
                  <w:tcBorders>
                    <w:top w:val="outset" w:sz="6" w:space="0" w:color="auto"/>
                    <w:left w:val="outset" w:sz="6" w:space="0" w:color="auto"/>
                    <w:bottom w:val="outset" w:sz="6" w:space="0" w:color="auto"/>
                    <w:right w:val="outset" w:sz="6" w:space="0" w:color="auto"/>
                  </w:tcBorders>
                </w:tcPr>
                <w:p w14:paraId="6271BBBA" w14:textId="4FD30A81" w:rsidR="00627288" w:rsidRPr="002A4D6D" w:rsidRDefault="00627288"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03033B30" w14:textId="176EA40F" w:rsidR="00627288" w:rsidRPr="002A4D6D" w:rsidRDefault="00627288"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4</w:t>
                  </w:r>
                  <w:r w:rsidR="001C56B0" w:rsidRPr="002A4D6D">
                    <w:rPr>
                      <w:spacing w:val="-4"/>
                      <w:sz w:val="26"/>
                      <w:szCs w:val="26"/>
                    </w:rPr>
                    <w:t> </w:t>
                  </w:r>
                  <w:r w:rsidRPr="002A4D6D">
                    <w:rPr>
                      <w:spacing w:val="-4"/>
                      <w:sz w:val="26"/>
                      <w:szCs w:val="26"/>
                    </w:rPr>
                    <w:t xml:space="preserve">panta </w:t>
                  </w:r>
                  <w:r w:rsidR="001C56B0" w:rsidRPr="002A4D6D">
                    <w:rPr>
                      <w:spacing w:val="-4"/>
                      <w:sz w:val="26"/>
                      <w:szCs w:val="26"/>
                    </w:rPr>
                    <w:t xml:space="preserve">piecpadsmitā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2E0248E6" w14:textId="4E0E7AEB"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28B37CB2" w14:textId="1C8E5593"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627288" w:rsidRPr="002A4D6D" w14:paraId="05143C35"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54AE3586" w14:textId="075F7F05" w:rsidR="00627288" w:rsidRPr="002A4D6D" w:rsidRDefault="00627288" w:rsidP="002A4D6D">
                  <w:pPr>
                    <w:jc w:val="center"/>
                    <w:rPr>
                      <w:spacing w:val="-4"/>
                      <w:sz w:val="26"/>
                      <w:szCs w:val="26"/>
                    </w:rPr>
                  </w:pPr>
                  <w:r w:rsidRPr="002A4D6D">
                    <w:rPr>
                      <w:spacing w:val="-4"/>
                      <w:sz w:val="26"/>
                      <w:szCs w:val="26"/>
                    </w:rPr>
                    <w:t>Direktīvas 2017/2455 2.panta 30.punkts attiecībā uz 369.w panta pārņemšanu</w:t>
                  </w:r>
                </w:p>
              </w:tc>
              <w:tc>
                <w:tcPr>
                  <w:tcW w:w="2552" w:type="dxa"/>
                  <w:tcBorders>
                    <w:top w:val="outset" w:sz="6" w:space="0" w:color="auto"/>
                    <w:left w:val="outset" w:sz="6" w:space="0" w:color="auto"/>
                    <w:bottom w:val="outset" w:sz="6" w:space="0" w:color="auto"/>
                    <w:right w:val="outset" w:sz="6" w:space="0" w:color="auto"/>
                  </w:tcBorders>
                </w:tcPr>
                <w:p w14:paraId="4ACB1EEC" w14:textId="0A988FC5" w:rsidR="00627288" w:rsidRPr="002A4D6D" w:rsidRDefault="00627288"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3A484553" w14:textId="3F6716BA" w:rsidR="00627288" w:rsidRPr="002A4D6D" w:rsidRDefault="00627288"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4</w:t>
                  </w:r>
                  <w:r w:rsidR="001C56B0" w:rsidRPr="002A4D6D">
                    <w:rPr>
                      <w:spacing w:val="-4"/>
                      <w:sz w:val="26"/>
                      <w:szCs w:val="26"/>
                    </w:rPr>
                    <w:t> </w:t>
                  </w:r>
                  <w:r w:rsidRPr="002A4D6D">
                    <w:rPr>
                      <w:spacing w:val="-4"/>
                      <w:sz w:val="26"/>
                      <w:szCs w:val="26"/>
                    </w:rPr>
                    <w:t xml:space="preserve">panta </w:t>
                  </w:r>
                  <w:r w:rsidR="001C56B0" w:rsidRPr="002A4D6D">
                    <w:rPr>
                      <w:spacing w:val="-4"/>
                      <w:sz w:val="26"/>
                      <w:szCs w:val="26"/>
                    </w:rPr>
                    <w:t>sešpadsmitā un septiņpadsmitā</w:t>
                  </w:r>
                  <w:r w:rsidRPr="002A4D6D">
                    <w:rPr>
                      <w:spacing w:val="-4"/>
                      <w:sz w:val="26"/>
                      <w:szCs w:val="26"/>
                    </w:rPr>
                    <w:t xml:space="preserve"> daļa)</w:t>
                  </w:r>
                </w:p>
              </w:tc>
              <w:tc>
                <w:tcPr>
                  <w:tcW w:w="1840" w:type="dxa"/>
                  <w:gridSpan w:val="2"/>
                  <w:tcBorders>
                    <w:top w:val="outset" w:sz="6" w:space="0" w:color="auto"/>
                    <w:left w:val="outset" w:sz="6" w:space="0" w:color="auto"/>
                    <w:bottom w:val="outset" w:sz="6" w:space="0" w:color="auto"/>
                    <w:right w:val="outset" w:sz="6" w:space="0" w:color="auto"/>
                  </w:tcBorders>
                </w:tcPr>
                <w:p w14:paraId="01984D5C" w14:textId="36D88666"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4ADC6B7B" w14:textId="2BA8D0E5" w:rsidR="00627288" w:rsidRPr="002A4D6D" w:rsidRDefault="00627288"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BB460B" w:rsidRPr="002A4D6D" w14:paraId="6F198801"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1622E6D4" w14:textId="692CDFDF" w:rsidR="00BB460B" w:rsidRPr="002A4D6D" w:rsidRDefault="00BB460B" w:rsidP="002A4D6D">
                  <w:pPr>
                    <w:jc w:val="center"/>
                    <w:rPr>
                      <w:spacing w:val="-4"/>
                      <w:sz w:val="26"/>
                      <w:szCs w:val="26"/>
                    </w:rPr>
                  </w:pPr>
                  <w:r w:rsidRPr="002A4D6D">
                    <w:rPr>
                      <w:spacing w:val="-4"/>
                      <w:sz w:val="26"/>
                      <w:szCs w:val="26"/>
                    </w:rPr>
                    <w:t>Direktīvas 2017/2455 2.panta 30.punkts attiecībā uz 369.x panta pārņemšanu</w:t>
                  </w:r>
                </w:p>
              </w:tc>
              <w:tc>
                <w:tcPr>
                  <w:tcW w:w="2552" w:type="dxa"/>
                  <w:tcBorders>
                    <w:top w:val="outset" w:sz="6" w:space="0" w:color="auto"/>
                    <w:left w:val="outset" w:sz="6" w:space="0" w:color="auto"/>
                    <w:bottom w:val="outset" w:sz="6" w:space="0" w:color="auto"/>
                    <w:right w:val="outset" w:sz="6" w:space="0" w:color="auto"/>
                  </w:tcBorders>
                </w:tcPr>
                <w:p w14:paraId="77C59B70" w14:textId="70DFC15F" w:rsidR="00BB460B" w:rsidRPr="002A4D6D" w:rsidRDefault="00BB460B"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53FE04FE" w14:textId="233A9864" w:rsidR="00BB460B" w:rsidRPr="002A4D6D" w:rsidRDefault="00BB460B"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4</w:t>
                  </w:r>
                  <w:r w:rsidR="001C56B0" w:rsidRPr="002A4D6D">
                    <w:rPr>
                      <w:spacing w:val="-4"/>
                      <w:sz w:val="26"/>
                      <w:szCs w:val="26"/>
                    </w:rPr>
                    <w:t> </w:t>
                  </w:r>
                  <w:r w:rsidRPr="002A4D6D">
                    <w:rPr>
                      <w:spacing w:val="-4"/>
                      <w:sz w:val="26"/>
                      <w:szCs w:val="26"/>
                    </w:rPr>
                    <w:t xml:space="preserve">panta </w:t>
                  </w:r>
                  <w:r w:rsidR="001C56B0" w:rsidRPr="002A4D6D">
                    <w:rPr>
                      <w:spacing w:val="-4"/>
                      <w:sz w:val="26"/>
                      <w:szCs w:val="26"/>
                    </w:rPr>
                    <w:t>astoņpadsmitās</w:t>
                  </w:r>
                  <w:r w:rsidRPr="002A4D6D">
                    <w:rPr>
                      <w:spacing w:val="-4"/>
                      <w:sz w:val="26"/>
                      <w:szCs w:val="26"/>
                    </w:rPr>
                    <w:t xml:space="preserve"> daļas 2., 3. un 4.punkts)</w:t>
                  </w:r>
                </w:p>
              </w:tc>
              <w:tc>
                <w:tcPr>
                  <w:tcW w:w="1840" w:type="dxa"/>
                  <w:gridSpan w:val="2"/>
                  <w:tcBorders>
                    <w:top w:val="outset" w:sz="6" w:space="0" w:color="auto"/>
                    <w:left w:val="outset" w:sz="6" w:space="0" w:color="auto"/>
                    <w:bottom w:val="outset" w:sz="6" w:space="0" w:color="auto"/>
                    <w:right w:val="outset" w:sz="6" w:space="0" w:color="auto"/>
                  </w:tcBorders>
                </w:tcPr>
                <w:p w14:paraId="53126408" w14:textId="7254E26F" w:rsidR="00BB460B" w:rsidRPr="002A4D6D" w:rsidRDefault="00BB460B"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039465FF" w14:textId="3D7FC405" w:rsidR="00BB460B" w:rsidRPr="002A4D6D" w:rsidRDefault="00BB460B"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4E4B20" w:rsidRPr="002A4D6D" w14:paraId="7A0D8BA0"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1B6386C6" w14:textId="3FD6C20A" w:rsidR="004E4B20" w:rsidRPr="002A4D6D" w:rsidRDefault="004E4B20" w:rsidP="002A4D6D">
                  <w:pPr>
                    <w:jc w:val="center"/>
                    <w:rPr>
                      <w:spacing w:val="-4"/>
                      <w:sz w:val="26"/>
                      <w:szCs w:val="26"/>
                    </w:rPr>
                  </w:pPr>
                  <w:r w:rsidRPr="002A4D6D">
                    <w:rPr>
                      <w:spacing w:val="-4"/>
                      <w:sz w:val="26"/>
                      <w:szCs w:val="26"/>
                    </w:rPr>
                    <w:t>Direktīvas 2017/2455 2.panta 31.punkts attiecībā uz 369.y panta pārņemšanu</w:t>
                  </w:r>
                </w:p>
              </w:tc>
              <w:tc>
                <w:tcPr>
                  <w:tcW w:w="2552" w:type="dxa"/>
                  <w:tcBorders>
                    <w:top w:val="outset" w:sz="6" w:space="0" w:color="auto"/>
                    <w:left w:val="outset" w:sz="6" w:space="0" w:color="auto"/>
                    <w:bottom w:val="outset" w:sz="6" w:space="0" w:color="auto"/>
                    <w:right w:val="outset" w:sz="6" w:space="0" w:color="auto"/>
                  </w:tcBorders>
                </w:tcPr>
                <w:p w14:paraId="720053AA" w14:textId="19F4EFF9" w:rsidR="004E4B20" w:rsidRPr="002A4D6D" w:rsidRDefault="004E4B20"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5436181F" w14:textId="4B56D8BA" w:rsidR="004E4B20" w:rsidRPr="002A4D6D" w:rsidRDefault="004E4B20"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5</w:t>
                  </w:r>
                  <w:r w:rsidR="001C56B0" w:rsidRPr="002A4D6D">
                    <w:rPr>
                      <w:spacing w:val="-4"/>
                      <w:sz w:val="26"/>
                      <w:szCs w:val="26"/>
                    </w:rPr>
                    <w:t> </w:t>
                  </w:r>
                  <w:r w:rsidRPr="002A4D6D">
                    <w:rPr>
                      <w:spacing w:val="-4"/>
                      <w:sz w:val="26"/>
                      <w:szCs w:val="26"/>
                    </w:rPr>
                    <w:t>panta pirmā daļa)</w:t>
                  </w:r>
                </w:p>
              </w:tc>
              <w:tc>
                <w:tcPr>
                  <w:tcW w:w="1840" w:type="dxa"/>
                  <w:gridSpan w:val="2"/>
                  <w:tcBorders>
                    <w:top w:val="outset" w:sz="6" w:space="0" w:color="auto"/>
                    <w:left w:val="outset" w:sz="6" w:space="0" w:color="auto"/>
                    <w:bottom w:val="outset" w:sz="6" w:space="0" w:color="auto"/>
                    <w:right w:val="outset" w:sz="6" w:space="0" w:color="auto"/>
                  </w:tcBorders>
                </w:tcPr>
                <w:p w14:paraId="3A482DF6" w14:textId="5998BB53" w:rsidR="004E4B20" w:rsidRPr="002A4D6D" w:rsidRDefault="004E4B2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7E1801E4" w14:textId="53574069" w:rsidR="004E4B20" w:rsidRPr="002A4D6D" w:rsidRDefault="004E4B2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D33E27" w:rsidRPr="002A4D6D" w14:paraId="5221A5E6"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58779B19" w14:textId="4BED50C8" w:rsidR="00D33E27" w:rsidRPr="002A4D6D" w:rsidRDefault="00D33E27" w:rsidP="002A4D6D">
                  <w:pPr>
                    <w:jc w:val="center"/>
                    <w:rPr>
                      <w:spacing w:val="-4"/>
                      <w:sz w:val="26"/>
                      <w:szCs w:val="26"/>
                    </w:rPr>
                  </w:pPr>
                  <w:r w:rsidRPr="002A4D6D">
                    <w:rPr>
                      <w:spacing w:val="-4"/>
                      <w:sz w:val="26"/>
                      <w:szCs w:val="26"/>
                    </w:rPr>
                    <w:lastRenderedPageBreak/>
                    <w:t>Direktīvas 2017/2455 2.panta 31.punkts attiecībā uz 369.z panta 1.punkta pārņemšanu</w:t>
                  </w:r>
                </w:p>
              </w:tc>
              <w:tc>
                <w:tcPr>
                  <w:tcW w:w="2552" w:type="dxa"/>
                  <w:tcBorders>
                    <w:top w:val="outset" w:sz="6" w:space="0" w:color="auto"/>
                    <w:left w:val="outset" w:sz="6" w:space="0" w:color="auto"/>
                    <w:bottom w:val="outset" w:sz="6" w:space="0" w:color="auto"/>
                    <w:right w:val="outset" w:sz="6" w:space="0" w:color="auto"/>
                  </w:tcBorders>
                </w:tcPr>
                <w:p w14:paraId="1F0FB253" w14:textId="34F8C8EF" w:rsidR="00D33E27" w:rsidRPr="002A4D6D" w:rsidRDefault="00D33E27" w:rsidP="002A4D6D">
                  <w:pPr>
                    <w:jc w:val="center"/>
                    <w:rPr>
                      <w:spacing w:val="-4"/>
                      <w:sz w:val="26"/>
                      <w:szCs w:val="26"/>
                    </w:rPr>
                  </w:pPr>
                  <w:r w:rsidRPr="002A4D6D">
                    <w:rPr>
                      <w:spacing w:val="-4"/>
                      <w:sz w:val="26"/>
                      <w:szCs w:val="26"/>
                    </w:rPr>
                    <w:t xml:space="preserve">Likumprojekta </w:t>
                  </w:r>
                  <w:r w:rsidR="006B015F" w:rsidRPr="002A4D6D">
                    <w:rPr>
                      <w:spacing w:val="-4"/>
                      <w:sz w:val="26"/>
                      <w:szCs w:val="26"/>
                    </w:rPr>
                    <w:t>19</w:t>
                  </w:r>
                  <w:r w:rsidRPr="002A4D6D">
                    <w:rPr>
                      <w:spacing w:val="-4"/>
                      <w:sz w:val="26"/>
                      <w:szCs w:val="26"/>
                    </w:rPr>
                    <w:t>.pants</w:t>
                  </w:r>
                </w:p>
                <w:p w14:paraId="7F85E30C" w14:textId="1D374617" w:rsidR="00D33E27" w:rsidRPr="002A4D6D" w:rsidRDefault="00D33E27"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5</w:t>
                  </w:r>
                  <w:r w:rsidRPr="002A4D6D">
                    <w:rPr>
                      <w:spacing w:val="-4"/>
                      <w:sz w:val="26"/>
                      <w:szCs w:val="26"/>
                    </w:rPr>
                    <w:t xml:space="preserve"> panta </w:t>
                  </w:r>
                  <w:r w:rsidR="001C56B0" w:rsidRPr="002A4D6D">
                    <w:rPr>
                      <w:spacing w:val="-4"/>
                      <w:sz w:val="26"/>
                      <w:szCs w:val="26"/>
                    </w:rPr>
                    <w:t xml:space="preserve">otrā un </w:t>
                  </w:r>
                  <w:r w:rsidRPr="002A4D6D">
                    <w:rPr>
                      <w:spacing w:val="-4"/>
                      <w:sz w:val="26"/>
                      <w:szCs w:val="26"/>
                    </w:rPr>
                    <w:t>trešā daļa)</w:t>
                  </w:r>
                </w:p>
              </w:tc>
              <w:tc>
                <w:tcPr>
                  <w:tcW w:w="1840" w:type="dxa"/>
                  <w:gridSpan w:val="2"/>
                  <w:tcBorders>
                    <w:top w:val="outset" w:sz="6" w:space="0" w:color="auto"/>
                    <w:left w:val="outset" w:sz="6" w:space="0" w:color="auto"/>
                    <w:bottom w:val="outset" w:sz="6" w:space="0" w:color="auto"/>
                    <w:right w:val="outset" w:sz="6" w:space="0" w:color="auto"/>
                  </w:tcBorders>
                </w:tcPr>
                <w:p w14:paraId="4E6442D0" w14:textId="75E4EEC7" w:rsidR="00D33E27" w:rsidRPr="002A4D6D" w:rsidRDefault="00D33E27"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7763FE59" w14:textId="6AA94858" w:rsidR="00D33E27" w:rsidRPr="002A4D6D" w:rsidRDefault="00D33E27"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D33E27" w:rsidRPr="002A4D6D" w14:paraId="3A21BF19"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32D9E45E" w14:textId="5926BCDA" w:rsidR="00D33E27" w:rsidRPr="002A4D6D" w:rsidRDefault="00D33E27" w:rsidP="002A4D6D">
                  <w:pPr>
                    <w:jc w:val="center"/>
                    <w:rPr>
                      <w:spacing w:val="-4"/>
                      <w:sz w:val="26"/>
                      <w:szCs w:val="26"/>
                    </w:rPr>
                  </w:pPr>
                  <w:r w:rsidRPr="002A4D6D">
                    <w:rPr>
                      <w:spacing w:val="-4"/>
                      <w:sz w:val="26"/>
                      <w:szCs w:val="26"/>
                    </w:rPr>
                    <w:t>Direktīvas 2017/2455 2.panta 31.punkts attiecībā uz 369.za panta pārņemšanu</w:t>
                  </w:r>
                </w:p>
              </w:tc>
              <w:tc>
                <w:tcPr>
                  <w:tcW w:w="2552" w:type="dxa"/>
                  <w:tcBorders>
                    <w:top w:val="outset" w:sz="6" w:space="0" w:color="auto"/>
                    <w:left w:val="outset" w:sz="6" w:space="0" w:color="auto"/>
                    <w:bottom w:val="outset" w:sz="6" w:space="0" w:color="auto"/>
                    <w:right w:val="outset" w:sz="6" w:space="0" w:color="auto"/>
                  </w:tcBorders>
                </w:tcPr>
                <w:p w14:paraId="171A3747" w14:textId="6C88B433" w:rsidR="00D33E27" w:rsidRPr="002A4D6D" w:rsidRDefault="00D33E27"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6C1AC0EA" w14:textId="1867F5EF" w:rsidR="00D33E27" w:rsidRPr="002A4D6D" w:rsidRDefault="00D33E27"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5</w:t>
                  </w:r>
                  <w:r w:rsidR="001C56B0" w:rsidRPr="002A4D6D">
                    <w:rPr>
                      <w:spacing w:val="-4"/>
                      <w:sz w:val="26"/>
                      <w:szCs w:val="26"/>
                    </w:rPr>
                    <w:t> </w:t>
                  </w:r>
                  <w:r w:rsidRPr="002A4D6D">
                    <w:rPr>
                      <w:spacing w:val="-4"/>
                      <w:sz w:val="26"/>
                      <w:szCs w:val="26"/>
                    </w:rPr>
                    <w:t xml:space="preserve">panta </w:t>
                  </w:r>
                  <w:r w:rsidR="001C56B0" w:rsidRPr="002A4D6D">
                    <w:rPr>
                      <w:spacing w:val="-4"/>
                      <w:sz w:val="26"/>
                      <w:szCs w:val="26"/>
                    </w:rPr>
                    <w:t xml:space="preserve">ceturtā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5967B7E2" w14:textId="732FD5C4" w:rsidR="00D33E27" w:rsidRPr="002A4D6D" w:rsidRDefault="00D33E27"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7B064213" w14:textId="675284EC" w:rsidR="00D33E27" w:rsidRPr="002A4D6D" w:rsidRDefault="00D33E27"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paredz stingrākas prasības</w:t>
                  </w:r>
                </w:p>
              </w:tc>
            </w:tr>
            <w:tr w:rsidR="00D33E27" w:rsidRPr="002A4D6D" w14:paraId="2EDBE859"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0FCAA5B3" w14:textId="0C0368DD" w:rsidR="00D33E27" w:rsidRPr="002A4D6D" w:rsidRDefault="00D33E27" w:rsidP="002A4D6D">
                  <w:pPr>
                    <w:jc w:val="center"/>
                    <w:rPr>
                      <w:spacing w:val="-4"/>
                      <w:sz w:val="26"/>
                      <w:szCs w:val="26"/>
                    </w:rPr>
                  </w:pPr>
                  <w:r w:rsidRPr="002A4D6D">
                    <w:rPr>
                      <w:spacing w:val="-4"/>
                      <w:sz w:val="26"/>
                      <w:szCs w:val="26"/>
                    </w:rPr>
                    <w:t xml:space="preserve">Direktīvas 2017/2455 2.panta 31.punkts attiecībā uz 369.zb panta </w:t>
                  </w:r>
                  <w:r w:rsidR="001C56B0" w:rsidRPr="002A4D6D">
                    <w:rPr>
                      <w:spacing w:val="-4"/>
                      <w:sz w:val="26"/>
                      <w:szCs w:val="26"/>
                    </w:rPr>
                    <w:t xml:space="preserve">1.punkta </w:t>
                  </w:r>
                  <w:r w:rsidRPr="002A4D6D">
                    <w:rPr>
                      <w:spacing w:val="-4"/>
                      <w:sz w:val="26"/>
                      <w:szCs w:val="26"/>
                    </w:rPr>
                    <w:t>pārņemšanu</w:t>
                  </w:r>
                </w:p>
              </w:tc>
              <w:tc>
                <w:tcPr>
                  <w:tcW w:w="2552" w:type="dxa"/>
                  <w:tcBorders>
                    <w:top w:val="outset" w:sz="6" w:space="0" w:color="auto"/>
                    <w:left w:val="outset" w:sz="6" w:space="0" w:color="auto"/>
                    <w:bottom w:val="outset" w:sz="6" w:space="0" w:color="auto"/>
                    <w:right w:val="outset" w:sz="6" w:space="0" w:color="auto"/>
                  </w:tcBorders>
                </w:tcPr>
                <w:p w14:paraId="77097102" w14:textId="63C24D4A" w:rsidR="00D33E27" w:rsidRPr="002A4D6D" w:rsidRDefault="00D33E27" w:rsidP="002A4D6D">
                  <w:pPr>
                    <w:jc w:val="center"/>
                    <w:rPr>
                      <w:spacing w:val="-4"/>
                      <w:sz w:val="26"/>
                      <w:szCs w:val="26"/>
                    </w:rPr>
                  </w:pPr>
                  <w:r w:rsidRPr="002A4D6D">
                    <w:rPr>
                      <w:spacing w:val="-4"/>
                      <w:sz w:val="26"/>
                      <w:szCs w:val="26"/>
                    </w:rPr>
                    <w:t xml:space="preserve">Likumprojekta </w:t>
                  </w:r>
                  <w:r w:rsidR="001C56B0" w:rsidRPr="002A4D6D">
                    <w:rPr>
                      <w:spacing w:val="-4"/>
                      <w:sz w:val="26"/>
                      <w:szCs w:val="26"/>
                    </w:rPr>
                    <w:t>19</w:t>
                  </w:r>
                  <w:r w:rsidRPr="002A4D6D">
                    <w:rPr>
                      <w:spacing w:val="-4"/>
                      <w:sz w:val="26"/>
                      <w:szCs w:val="26"/>
                    </w:rPr>
                    <w:t>.pants</w:t>
                  </w:r>
                </w:p>
                <w:p w14:paraId="6C437D32" w14:textId="1550E8B8" w:rsidR="00D33E27" w:rsidRPr="002A4D6D" w:rsidRDefault="00D33E27" w:rsidP="002A4D6D">
                  <w:pPr>
                    <w:jc w:val="center"/>
                    <w:rPr>
                      <w:spacing w:val="-4"/>
                      <w:sz w:val="26"/>
                      <w:szCs w:val="26"/>
                    </w:rPr>
                  </w:pPr>
                  <w:r w:rsidRPr="002A4D6D">
                    <w:rPr>
                      <w:spacing w:val="-4"/>
                      <w:sz w:val="26"/>
                      <w:szCs w:val="26"/>
                    </w:rPr>
                    <w:t xml:space="preserve">(Pievienotās vērtības nodokļa likuma </w:t>
                  </w:r>
                  <w:r w:rsidR="001C56B0" w:rsidRPr="002A4D6D">
                    <w:rPr>
                      <w:spacing w:val="-4"/>
                      <w:sz w:val="26"/>
                      <w:szCs w:val="26"/>
                    </w:rPr>
                    <w:t>140</w:t>
                  </w:r>
                  <w:r w:rsidRPr="002A4D6D">
                    <w:rPr>
                      <w:spacing w:val="-4"/>
                      <w:sz w:val="26"/>
                      <w:szCs w:val="26"/>
                    </w:rPr>
                    <w:t>.</w:t>
                  </w:r>
                  <w:r w:rsidR="001C56B0" w:rsidRPr="002A4D6D">
                    <w:rPr>
                      <w:spacing w:val="-4"/>
                      <w:sz w:val="26"/>
                      <w:szCs w:val="26"/>
                      <w:vertAlign w:val="superscript"/>
                    </w:rPr>
                    <w:t>5</w:t>
                  </w:r>
                  <w:r w:rsidRPr="002A4D6D">
                    <w:rPr>
                      <w:spacing w:val="-4"/>
                      <w:sz w:val="26"/>
                      <w:szCs w:val="26"/>
                    </w:rPr>
                    <w:t xml:space="preserve"> panta </w:t>
                  </w:r>
                  <w:r w:rsidR="001C56B0" w:rsidRPr="002A4D6D">
                    <w:rPr>
                      <w:spacing w:val="-4"/>
                      <w:sz w:val="26"/>
                      <w:szCs w:val="26"/>
                    </w:rPr>
                    <w:t>piektā</w:t>
                  </w:r>
                  <w:r w:rsidRPr="002A4D6D">
                    <w:rPr>
                      <w:spacing w:val="-4"/>
                      <w:sz w:val="26"/>
                      <w:szCs w:val="26"/>
                    </w:rPr>
                    <w:t xml:space="preserve"> daļa)</w:t>
                  </w:r>
                </w:p>
              </w:tc>
              <w:tc>
                <w:tcPr>
                  <w:tcW w:w="1840" w:type="dxa"/>
                  <w:gridSpan w:val="2"/>
                  <w:tcBorders>
                    <w:top w:val="outset" w:sz="6" w:space="0" w:color="auto"/>
                    <w:left w:val="outset" w:sz="6" w:space="0" w:color="auto"/>
                    <w:bottom w:val="outset" w:sz="6" w:space="0" w:color="auto"/>
                    <w:right w:val="outset" w:sz="6" w:space="0" w:color="auto"/>
                  </w:tcBorders>
                </w:tcPr>
                <w:p w14:paraId="7426D7B4" w14:textId="2768A285" w:rsidR="00D33E27" w:rsidRPr="002A4D6D" w:rsidRDefault="00D33E27"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112E0E01" w14:textId="5FB8D76C" w:rsidR="00D33E27" w:rsidRPr="002A4D6D" w:rsidRDefault="00D33E27"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6EE09EBD"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3DC494B5" w14:textId="4239B0EB" w:rsidR="001C56B0" w:rsidRPr="002A4D6D" w:rsidRDefault="001C56B0" w:rsidP="002A4D6D">
                  <w:pPr>
                    <w:jc w:val="center"/>
                    <w:rPr>
                      <w:spacing w:val="-4"/>
                      <w:sz w:val="26"/>
                      <w:szCs w:val="26"/>
                    </w:rPr>
                  </w:pPr>
                  <w:r w:rsidRPr="002A4D6D">
                    <w:rPr>
                      <w:spacing w:val="-4"/>
                      <w:sz w:val="26"/>
                      <w:szCs w:val="26"/>
                    </w:rPr>
                    <w:t>Direktīvas 2017/2455 2.panta 31.punkts attiecībā uz 369.zb panta 2.punkta pārņemšanu, kurš precizēts ar Direktīvas 2019/1995 1.panta 14.punktu</w:t>
                  </w:r>
                </w:p>
              </w:tc>
              <w:tc>
                <w:tcPr>
                  <w:tcW w:w="2552" w:type="dxa"/>
                  <w:tcBorders>
                    <w:top w:val="outset" w:sz="6" w:space="0" w:color="auto"/>
                    <w:left w:val="outset" w:sz="6" w:space="0" w:color="auto"/>
                    <w:bottom w:val="outset" w:sz="6" w:space="0" w:color="auto"/>
                    <w:right w:val="outset" w:sz="6" w:space="0" w:color="auto"/>
                  </w:tcBorders>
                </w:tcPr>
                <w:p w14:paraId="371CB44F" w14:textId="77777777" w:rsidR="001C56B0" w:rsidRPr="002A4D6D" w:rsidRDefault="001C56B0" w:rsidP="002A4D6D">
                  <w:pPr>
                    <w:jc w:val="center"/>
                    <w:rPr>
                      <w:spacing w:val="-4"/>
                      <w:sz w:val="26"/>
                      <w:szCs w:val="26"/>
                    </w:rPr>
                  </w:pPr>
                  <w:r w:rsidRPr="002A4D6D">
                    <w:rPr>
                      <w:spacing w:val="-4"/>
                      <w:sz w:val="26"/>
                      <w:szCs w:val="26"/>
                    </w:rPr>
                    <w:t>Likumprojekta 19.pants</w:t>
                  </w:r>
                </w:p>
                <w:p w14:paraId="3989C90F" w14:textId="07996F40"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5</w:t>
                  </w:r>
                  <w:r w:rsidRPr="002A4D6D">
                    <w:rPr>
                      <w:spacing w:val="-4"/>
                      <w:sz w:val="26"/>
                      <w:szCs w:val="26"/>
                    </w:rPr>
                    <w:t> panta sestā daļa)</w:t>
                  </w:r>
                </w:p>
              </w:tc>
              <w:tc>
                <w:tcPr>
                  <w:tcW w:w="1840" w:type="dxa"/>
                  <w:gridSpan w:val="2"/>
                  <w:tcBorders>
                    <w:top w:val="outset" w:sz="6" w:space="0" w:color="auto"/>
                    <w:left w:val="outset" w:sz="6" w:space="0" w:color="auto"/>
                    <w:bottom w:val="outset" w:sz="6" w:space="0" w:color="auto"/>
                    <w:right w:val="outset" w:sz="6" w:space="0" w:color="auto"/>
                  </w:tcBorders>
                </w:tcPr>
                <w:p w14:paraId="75F30E1A" w14:textId="539138BF"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0870EA7E" w14:textId="12FDCE96"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23275C10"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B52B366" w14:textId="147BB958" w:rsidR="001C56B0" w:rsidRPr="002A4D6D" w:rsidRDefault="001C56B0" w:rsidP="002A4D6D">
                  <w:pPr>
                    <w:jc w:val="center"/>
                    <w:rPr>
                      <w:spacing w:val="-4"/>
                      <w:sz w:val="26"/>
                      <w:szCs w:val="26"/>
                    </w:rPr>
                  </w:pPr>
                  <w:r w:rsidRPr="002A4D6D">
                    <w:rPr>
                      <w:spacing w:val="-4"/>
                      <w:sz w:val="26"/>
                      <w:szCs w:val="26"/>
                    </w:rPr>
                    <w:t>Direktīvas 2017/2455 2.panta 31.punkts attiecībā uz 369.zb panta 3.punkta pārņemšanu</w:t>
                  </w:r>
                </w:p>
              </w:tc>
              <w:tc>
                <w:tcPr>
                  <w:tcW w:w="2552" w:type="dxa"/>
                  <w:tcBorders>
                    <w:top w:val="outset" w:sz="6" w:space="0" w:color="auto"/>
                    <w:left w:val="outset" w:sz="6" w:space="0" w:color="auto"/>
                    <w:bottom w:val="outset" w:sz="6" w:space="0" w:color="auto"/>
                    <w:right w:val="outset" w:sz="6" w:space="0" w:color="auto"/>
                  </w:tcBorders>
                </w:tcPr>
                <w:p w14:paraId="6F4CA3F7" w14:textId="053AD799" w:rsidR="001C56B0" w:rsidRPr="002A4D6D" w:rsidRDefault="001C56B0" w:rsidP="002A4D6D">
                  <w:pPr>
                    <w:jc w:val="center"/>
                    <w:rPr>
                      <w:spacing w:val="-4"/>
                      <w:sz w:val="26"/>
                      <w:szCs w:val="26"/>
                    </w:rPr>
                  </w:pPr>
                  <w:r w:rsidRPr="002A4D6D">
                    <w:rPr>
                      <w:spacing w:val="-4"/>
                      <w:sz w:val="26"/>
                      <w:szCs w:val="26"/>
                    </w:rPr>
                    <w:t xml:space="preserve">Likumprojekta </w:t>
                  </w:r>
                  <w:r w:rsidR="008D3799" w:rsidRPr="002A4D6D">
                    <w:rPr>
                      <w:spacing w:val="-4"/>
                      <w:sz w:val="26"/>
                      <w:szCs w:val="26"/>
                    </w:rPr>
                    <w:t>19</w:t>
                  </w:r>
                  <w:r w:rsidRPr="002A4D6D">
                    <w:rPr>
                      <w:spacing w:val="-4"/>
                      <w:sz w:val="26"/>
                      <w:szCs w:val="26"/>
                    </w:rPr>
                    <w:t>.pants</w:t>
                  </w:r>
                </w:p>
                <w:p w14:paraId="5EB94A09" w14:textId="772EF769" w:rsidR="001C56B0" w:rsidRPr="002A4D6D" w:rsidRDefault="001C56B0" w:rsidP="002A4D6D">
                  <w:pPr>
                    <w:jc w:val="center"/>
                    <w:rPr>
                      <w:spacing w:val="-4"/>
                      <w:sz w:val="26"/>
                      <w:szCs w:val="26"/>
                    </w:rPr>
                  </w:pPr>
                  <w:r w:rsidRPr="002A4D6D">
                    <w:rPr>
                      <w:spacing w:val="-4"/>
                      <w:sz w:val="26"/>
                      <w:szCs w:val="26"/>
                    </w:rPr>
                    <w:t>(Pievienotās vērtības nodokļa likuma 14</w:t>
                  </w:r>
                  <w:r w:rsidR="008D3799" w:rsidRPr="002A4D6D">
                    <w:rPr>
                      <w:spacing w:val="-4"/>
                      <w:sz w:val="26"/>
                      <w:szCs w:val="26"/>
                    </w:rPr>
                    <w:t>0</w:t>
                  </w:r>
                  <w:r w:rsidRPr="002A4D6D">
                    <w:rPr>
                      <w:spacing w:val="-4"/>
                      <w:sz w:val="26"/>
                      <w:szCs w:val="26"/>
                    </w:rPr>
                    <w:t>.</w:t>
                  </w:r>
                  <w:r w:rsidR="008D3799" w:rsidRPr="002A4D6D">
                    <w:rPr>
                      <w:spacing w:val="-4"/>
                      <w:sz w:val="26"/>
                      <w:szCs w:val="26"/>
                      <w:vertAlign w:val="superscript"/>
                    </w:rPr>
                    <w:t>5</w:t>
                  </w:r>
                  <w:r w:rsidR="008D3799" w:rsidRPr="002A4D6D">
                    <w:rPr>
                      <w:spacing w:val="-4"/>
                      <w:sz w:val="26"/>
                      <w:szCs w:val="26"/>
                    </w:rPr>
                    <w:t> </w:t>
                  </w:r>
                  <w:r w:rsidRPr="002A4D6D">
                    <w:rPr>
                      <w:spacing w:val="-4"/>
                      <w:sz w:val="26"/>
                      <w:szCs w:val="26"/>
                    </w:rPr>
                    <w:t xml:space="preserve">panta </w:t>
                  </w:r>
                  <w:r w:rsidR="008D3799" w:rsidRPr="002A4D6D">
                    <w:rPr>
                      <w:spacing w:val="-4"/>
                      <w:sz w:val="26"/>
                      <w:szCs w:val="26"/>
                    </w:rPr>
                    <w:t xml:space="preserve">septītā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055A3063" w14:textId="7D67B388"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6FFEF5C4" w14:textId="0E5F7487"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432D11E1"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C968B30" w14:textId="75BC0928" w:rsidR="001C56B0" w:rsidRPr="002A4D6D" w:rsidRDefault="001C56B0" w:rsidP="002A4D6D">
                  <w:pPr>
                    <w:jc w:val="center"/>
                    <w:rPr>
                      <w:spacing w:val="-4"/>
                      <w:sz w:val="26"/>
                      <w:szCs w:val="26"/>
                    </w:rPr>
                  </w:pPr>
                  <w:r w:rsidRPr="002A4D6D">
                    <w:rPr>
                      <w:spacing w:val="-4"/>
                      <w:sz w:val="26"/>
                      <w:szCs w:val="26"/>
                    </w:rPr>
                    <w:t>Direktīvas 2017/2455 3.pants attiecībā uz Direktīvas 2009/132/EK IV sadaļas svītrošanu</w:t>
                  </w:r>
                </w:p>
              </w:tc>
              <w:tc>
                <w:tcPr>
                  <w:tcW w:w="2552" w:type="dxa"/>
                  <w:tcBorders>
                    <w:top w:val="outset" w:sz="6" w:space="0" w:color="auto"/>
                    <w:left w:val="outset" w:sz="6" w:space="0" w:color="auto"/>
                    <w:bottom w:val="outset" w:sz="6" w:space="0" w:color="auto"/>
                    <w:right w:val="outset" w:sz="6" w:space="0" w:color="auto"/>
                  </w:tcBorders>
                </w:tcPr>
                <w:p w14:paraId="6B292149" w14:textId="0963D8F4" w:rsidR="001C56B0" w:rsidRPr="002A4D6D" w:rsidRDefault="001C56B0" w:rsidP="002A4D6D">
                  <w:pPr>
                    <w:jc w:val="center"/>
                    <w:rPr>
                      <w:spacing w:val="-4"/>
                      <w:sz w:val="26"/>
                      <w:szCs w:val="26"/>
                    </w:rPr>
                  </w:pPr>
                  <w:r w:rsidRPr="002A4D6D">
                    <w:rPr>
                      <w:spacing w:val="-4"/>
                      <w:sz w:val="26"/>
                      <w:szCs w:val="26"/>
                    </w:rPr>
                    <w:t xml:space="preserve">Likumprojekta </w:t>
                  </w:r>
                  <w:r w:rsidR="00CF71ED" w:rsidRPr="002A4D6D">
                    <w:rPr>
                      <w:spacing w:val="-4"/>
                      <w:sz w:val="26"/>
                      <w:szCs w:val="26"/>
                    </w:rPr>
                    <w:t>10</w:t>
                  </w:r>
                  <w:r w:rsidRPr="002A4D6D">
                    <w:rPr>
                      <w:spacing w:val="-4"/>
                      <w:sz w:val="26"/>
                      <w:szCs w:val="26"/>
                    </w:rPr>
                    <w:t>.pants</w:t>
                  </w:r>
                </w:p>
                <w:p w14:paraId="46667C91" w14:textId="74740416" w:rsidR="001C56B0" w:rsidRPr="002A4D6D" w:rsidRDefault="001C56B0" w:rsidP="002A4D6D">
                  <w:pPr>
                    <w:jc w:val="center"/>
                    <w:rPr>
                      <w:spacing w:val="-4"/>
                      <w:sz w:val="26"/>
                      <w:szCs w:val="26"/>
                    </w:rPr>
                  </w:pPr>
                  <w:r w:rsidRPr="002A4D6D">
                    <w:rPr>
                      <w:spacing w:val="-4"/>
                      <w:sz w:val="26"/>
                      <w:szCs w:val="26"/>
                    </w:rPr>
                    <w:t>(Pievienotās vērtības nodokļa likuma 53.panta ceturtās un piektās daļas svītrošana)</w:t>
                  </w:r>
                </w:p>
              </w:tc>
              <w:tc>
                <w:tcPr>
                  <w:tcW w:w="1840" w:type="dxa"/>
                  <w:gridSpan w:val="2"/>
                  <w:tcBorders>
                    <w:top w:val="outset" w:sz="6" w:space="0" w:color="auto"/>
                    <w:left w:val="outset" w:sz="6" w:space="0" w:color="auto"/>
                    <w:bottom w:val="outset" w:sz="6" w:space="0" w:color="auto"/>
                    <w:right w:val="outset" w:sz="6" w:space="0" w:color="auto"/>
                  </w:tcBorders>
                </w:tcPr>
                <w:p w14:paraId="64C58F21" w14:textId="5CD32884"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0A10D7A2" w14:textId="2BC63076"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172BA92A"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1278E7F" w14:textId="30BE3B02" w:rsidR="001C56B0" w:rsidRPr="002A4D6D" w:rsidRDefault="001C56B0" w:rsidP="002A4D6D">
                  <w:pPr>
                    <w:rPr>
                      <w:spacing w:val="-4"/>
                      <w:sz w:val="26"/>
                      <w:szCs w:val="26"/>
                    </w:rPr>
                  </w:pPr>
                  <w:r w:rsidRPr="002A4D6D">
                    <w:rPr>
                      <w:rFonts w:eastAsia="Times New Roman"/>
                      <w:spacing w:val="-4"/>
                      <w:sz w:val="26"/>
                      <w:szCs w:val="26"/>
                      <w:lang w:eastAsia="lv-LV"/>
                    </w:rPr>
                    <w:t>Cita informācija</w:t>
                  </w:r>
                </w:p>
              </w:tc>
              <w:tc>
                <w:tcPr>
                  <w:tcW w:w="6235" w:type="dxa"/>
                  <w:gridSpan w:val="4"/>
                  <w:tcBorders>
                    <w:top w:val="outset" w:sz="6" w:space="0" w:color="auto"/>
                    <w:left w:val="outset" w:sz="6" w:space="0" w:color="auto"/>
                    <w:bottom w:val="outset" w:sz="6" w:space="0" w:color="auto"/>
                    <w:right w:val="outset" w:sz="6" w:space="0" w:color="auto"/>
                  </w:tcBorders>
                </w:tcPr>
                <w:p w14:paraId="654634F4" w14:textId="74797705" w:rsidR="001C56B0" w:rsidRPr="002A4D6D" w:rsidRDefault="001C56B0" w:rsidP="002A4D6D">
                  <w:pPr>
                    <w:ind w:right="77"/>
                    <w:jc w:val="both"/>
                    <w:rPr>
                      <w:spacing w:val="-4"/>
                      <w:sz w:val="26"/>
                      <w:szCs w:val="26"/>
                    </w:rPr>
                  </w:pPr>
                  <w:r w:rsidRPr="002A4D6D">
                    <w:rPr>
                      <w:spacing w:val="-4"/>
                      <w:sz w:val="26"/>
                      <w:szCs w:val="26"/>
                    </w:rPr>
                    <w:t>Direktīvas 2017/2455 2.panta 6.punkt</w:t>
                  </w:r>
                  <w:r w:rsidR="00272064" w:rsidRPr="002A4D6D">
                    <w:rPr>
                      <w:spacing w:val="-4"/>
                      <w:sz w:val="26"/>
                      <w:szCs w:val="26"/>
                    </w:rPr>
                    <w:t>u</w:t>
                  </w:r>
                  <w:r w:rsidRPr="002A4D6D">
                    <w:rPr>
                      <w:spacing w:val="-4"/>
                      <w:sz w:val="26"/>
                      <w:szCs w:val="26"/>
                    </w:rPr>
                    <w:t xml:space="preserve"> attiecībā uz </w:t>
                  </w:r>
                  <w:r w:rsidRPr="002A4D6D">
                    <w:rPr>
                      <w:rFonts w:eastAsia="Times New Roman"/>
                      <w:spacing w:val="-4"/>
                      <w:sz w:val="26"/>
                      <w:szCs w:val="26"/>
                      <w:lang w:eastAsia="lv-LV"/>
                    </w:rPr>
                    <w:t>Direktīvas 2006/112/EK</w:t>
                  </w:r>
                  <w:r w:rsidRPr="002A4D6D">
                    <w:rPr>
                      <w:spacing w:val="-4"/>
                      <w:sz w:val="26"/>
                      <w:szCs w:val="26"/>
                    </w:rPr>
                    <w:t xml:space="preserve"> 58.panta 2.-6.punkta svītrošanu un Direktīvas 2017/2455 2.panta 7.punktu daļā par nosacījumu ieviešanu elektronisko sakaru, apraides un elektroniski sniegta pakalpojuma sniegšanas vietas noteikšanai nav nepieciešams pārņemt Pievienotās vērtības nodokļa likumā, jo minētais regulējums ir jau iekļauts Pievienotās vērtības nodokļa likuma 27.panta trešajā, ceturtajā un piektajā daļā, skaidrojot elektronisko sakaru, apraides un elektroniski sniegta pakalpojuma sniegšanas vietas noteikšanu.</w:t>
                  </w:r>
                </w:p>
                <w:p w14:paraId="1A33D46A" w14:textId="291D0810" w:rsidR="00C82D12" w:rsidRPr="002A4D6D" w:rsidRDefault="001C56B0" w:rsidP="002A4D6D">
                  <w:pPr>
                    <w:ind w:right="77"/>
                    <w:jc w:val="both"/>
                    <w:rPr>
                      <w:rFonts w:eastAsia="Times New Roman"/>
                      <w:spacing w:val="-4"/>
                      <w:sz w:val="26"/>
                      <w:szCs w:val="26"/>
                      <w:lang w:eastAsia="lv-LV"/>
                    </w:rPr>
                  </w:pPr>
                  <w:r w:rsidRPr="002A4D6D">
                    <w:rPr>
                      <w:rFonts w:eastAsia="Times New Roman"/>
                      <w:spacing w:val="-4"/>
                      <w:sz w:val="26"/>
                      <w:szCs w:val="26"/>
                      <w:lang w:eastAsia="lv-LV"/>
                    </w:rPr>
                    <w:t>Direktīvas 2017/2455 2.panta 7.punkt</w:t>
                  </w:r>
                  <w:r w:rsidR="00272064" w:rsidRPr="002A4D6D">
                    <w:rPr>
                      <w:rFonts w:eastAsia="Times New Roman"/>
                      <w:spacing w:val="-4"/>
                      <w:sz w:val="26"/>
                      <w:szCs w:val="26"/>
                      <w:lang w:eastAsia="lv-LV"/>
                    </w:rPr>
                    <w:t>u</w:t>
                  </w:r>
                  <w:r w:rsidRPr="002A4D6D">
                    <w:rPr>
                      <w:rFonts w:eastAsia="Times New Roman"/>
                      <w:spacing w:val="-4"/>
                      <w:sz w:val="26"/>
                      <w:szCs w:val="26"/>
                      <w:lang w:eastAsia="lv-LV"/>
                    </w:rPr>
                    <w:t xml:space="preserve"> </w:t>
                  </w:r>
                  <w:r w:rsidR="00272064" w:rsidRPr="002A4D6D">
                    <w:rPr>
                      <w:rFonts w:eastAsia="Times New Roman"/>
                      <w:spacing w:val="-4"/>
                      <w:sz w:val="26"/>
                      <w:szCs w:val="26"/>
                      <w:lang w:eastAsia="lv-LV"/>
                    </w:rPr>
                    <w:t>attiecībā uz</w:t>
                  </w:r>
                  <w:r w:rsidRPr="002A4D6D">
                    <w:rPr>
                      <w:rFonts w:eastAsia="Times New Roman"/>
                      <w:spacing w:val="-4"/>
                      <w:sz w:val="26"/>
                      <w:szCs w:val="26"/>
                      <w:lang w:eastAsia="lv-LV"/>
                    </w:rPr>
                    <w:t xml:space="preserve"> Direktīvas 2006/112/EK 59.c panta 4.punkta pārņemšanu </w:t>
                  </w:r>
                  <w:r w:rsidR="00C82D12" w:rsidRPr="002A4D6D">
                    <w:rPr>
                      <w:rFonts w:eastAsia="Times New Roman"/>
                      <w:spacing w:val="-4"/>
                      <w:sz w:val="26"/>
                      <w:szCs w:val="26"/>
                      <w:lang w:eastAsia="lv-LV"/>
                    </w:rPr>
                    <w:t xml:space="preserve">un Direktīvas 2017/2455 2.panta 31.punktu daļā par Direktīvas 2006/112/EK 369.z panta 2.punkta pārņemšanu </w:t>
                  </w:r>
                  <w:r w:rsidRPr="002A4D6D">
                    <w:rPr>
                      <w:rFonts w:eastAsia="Times New Roman"/>
                      <w:spacing w:val="-4"/>
                      <w:sz w:val="26"/>
                      <w:szCs w:val="26"/>
                      <w:lang w:eastAsia="lv-LV"/>
                    </w:rPr>
                    <w:t>nav jāpārņem Pievienotās vērtības nodokļa likuma regulējumā</w:t>
                  </w:r>
                  <w:r w:rsidR="00272064" w:rsidRPr="002A4D6D">
                    <w:rPr>
                      <w:rFonts w:eastAsia="Times New Roman"/>
                      <w:spacing w:val="-4"/>
                      <w:sz w:val="26"/>
                      <w:szCs w:val="26"/>
                      <w:lang w:eastAsia="lv-LV"/>
                    </w:rPr>
                    <w:t>, jo VID atbilstoši tām deleģētajām funkcijām nodrošina reģistrētu PVN maksātāju uzraudzību nodokļu administrēšanas pasākumu ietvaros</w:t>
                  </w:r>
                  <w:r w:rsidRPr="002A4D6D">
                    <w:rPr>
                      <w:rFonts w:eastAsia="Times New Roman"/>
                      <w:spacing w:val="-4"/>
                      <w:sz w:val="26"/>
                      <w:szCs w:val="26"/>
                      <w:lang w:eastAsia="lv-LV"/>
                    </w:rPr>
                    <w:t>.</w:t>
                  </w:r>
                </w:p>
                <w:p w14:paraId="0CEA8037" w14:textId="5D61B584" w:rsidR="001C56B0" w:rsidRPr="002A4D6D" w:rsidRDefault="001C56B0" w:rsidP="002A4D6D">
                  <w:pPr>
                    <w:ind w:right="77"/>
                    <w:jc w:val="both"/>
                    <w:rPr>
                      <w:rFonts w:eastAsia="Times New Roman"/>
                      <w:spacing w:val="-4"/>
                      <w:sz w:val="26"/>
                      <w:szCs w:val="26"/>
                      <w:lang w:eastAsia="lv-LV"/>
                    </w:rPr>
                  </w:pPr>
                  <w:r w:rsidRPr="002A4D6D">
                    <w:rPr>
                      <w:rFonts w:eastAsia="Times New Roman"/>
                      <w:spacing w:val="-4"/>
                      <w:sz w:val="26"/>
                      <w:szCs w:val="26"/>
                      <w:lang w:eastAsia="lv-LV"/>
                    </w:rPr>
                    <w:lastRenderedPageBreak/>
                    <w:t>Direktīvas 2017/2455 2.panta 7.punkt</w:t>
                  </w:r>
                  <w:r w:rsidR="00272064" w:rsidRPr="002A4D6D">
                    <w:rPr>
                      <w:rFonts w:eastAsia="Times New Roman"/>
                      <w:spacing w:val="-4"/>
                      <w:sz w:val="26"/>
                      <w:szCs w:val="26"/>
                      <w:lang w:eastAsia="lv-LV"/>
                    </w:rPr>
                    <w:t>u</w:t>
                  </w:r>
                  <w:r w:rsidRPr="002A4D6D">
                    <w:rPr>
                      <w:rFonts w:eastAsia="Times New Roman"/>
                      <w:spacing w:val="-4"/>
                      <w:sz w:val="26"/>
                      <w:szCs w:val="26"/>
                      <w:lang w:eastAsia="lv-LV"/>
                    </w:rPr>
                    <w:t xml:space="preserve"> daļā par Direktīvas 2006/112/EK 59.c panta 5.punkta pārņemšanu nav jāpārņem pēc būtības, jo Latvijā no 2014.gada oficiāls maksāšanas līdzeklis ir </w:t>
                  </w:r>
                  <w:proofErr w:type="spellStart"/>
                  <w:r w:rsidRPr="002A4D6D">
                    <w:rPr>
                      <w:rFonts w:eastAsia="Times New Roman"/>
                      <w:i/>
                      <w:spacing w:val="-4"/>
                      <w:sz w:val="26"/>
                      <w:szCs w:val="26"/>
                      <w:lang w:eastAsia="lv-LV"/>
                    </w:rPr>
                    <w:t>euro</w:t>
                  </w:r>
                  <w:proofErr w:type="spellEnd"/>
                  <w:r w:rsidRPr="002A4D6D">
                    <w:rPr>
                      <w:rFonts w:eastAsia="Times New Roman"/>
                      <w:spacing w:val="-4"/>
                      <w:sz w:val="26"/>
                      <w:szCs w:val="26"/>
                      <w:lang w:eastAsia="lv-LV"/>
                    </w:rPr>
                    <w:t>.</w:t>
                  </w:r>
                </w:p>
                <w:p w14:paraId="523B25E2" w14:textId="3179D46E" w:rsidR="001C56B0" w:rsidRPr="002A4D6D" w:rsidRDefault="001C56B0" w:rsidP="002A4D6D">
                  <w:pPr>
                    <w:ind w:right="77"/>
                    <w:jc w:val="both"/>
                    <w:rPr>
                      <w:spacing w:val="-4"/>
                      <w:sz w:val="26"/>
                      <w:szCs w:val="26"/>
                    </w:rPr>
                  </w:pPr>
                  <w:r w:rsidRPr="002A4D6D">
                    <w:rPr>
                      <w:spacing w:val="-4"/>
                      <w:sz w:val="26"/>
                      <w:szCs w:val="26"/>
                    </w:rPr>
                    <w:t xml:space="preserve">Direktīvas 2017/2455 2.panta 13.punkts attiecībā uz Direktīvas 2006/112/EK 358.panta 1. un 2.punkta </w:t>
                  </w:r>
                  <w:r w:rsidRPr="002A4D6D">
                    <w:rPr>
                      <w:rFonts w:eastAsia="Times New Roman"/>
                      <w:spacing w:val="-4"/>
                      <w:sz w:val="26"/>
                      <w:szCs w:val="26"/>
                      <w:lang w:eastAsia="lv-LV"/>
                    </w:rPr>
                    <w:t>svītrošanu</w:t>
                  </w:r>
                  <w:r w:rsidRPr="002A4D6D">
                    <w:rPr>
                      <w:spacing w:val="-4"/>
                      <w:sz w:val="26"/>
                      <w:szCs w:val="26"/>
                    </w:rPr>
                    <w:t xml:space="preserve"> uzskatāms par ieviestu pilnībā, Pievienotās vērtības nodokļa likumā svītrojot 140.</w:t>
                  </w:r>
                  <w:r w:rsidRPr="002A4D6D">
                    <w:rPr>
                      <w:spacing w:val="-4"/>
                      <w:sz w:val="26"/>
                      <w:szCs w:val="26"/>
                      <w:vertAlign w:val="superscript"/>
                    </w:rPr>
                    <w:t>1</w:t>
                  </w:r>
                  <w:r w:rsidRPr="002A4D6D">
                    <w:rPr>
                      <w:spacing w:val="-4"/>
                      <w:sz w:val="26"/>
                      <w:szCs w:val="26"/>
                    </w:rPr>
                    <w:t> pantu, kurā ir noteikti nosacījumi īpaša PVN deklarēšanas un maksāšanas režīma piemērošanai elektronisko sakaru, apraides un elektroniski sniegtiem pakalpojumiem personai, kura nav PVN maksātāja. Tomēr tiesiskās noteiktības labad Pievienotās vērtības nodokļa likuma 1.pantā tiek saglabāts 4.</w:t>
                  </w:r>
                  <w:r w:rsidRPr="002A4D6D">
                    <w:rPr>
                      <w:spacing w:val="-4"/>
                      <w:sz w:val="26"/>
                      <w:szCs w:val="26"/>
                      <w:vertAlign w:val="superscript"/>
                    </w:rPr>
                    <w:t>1</w:t>
                  </w:r>
                  <w:r w:rsidRPr="002A4D6D">
                    <w:rPr>
                      <w:spacing w:val="-4"/>
                      <w:sz w:val="26"/>
                      <w:szCs w:val="26"/>
                    </w:rPr>
                    <w:t>, 24.</w:t>
                  </w:r>
                  <w:r w:rsidRPr="002A4D6D">
                    <w:rPr>
                      <w:spacing w:val="-4"/>
                      <w:sz w:val="26"/>
                      <w:szCs w:val="26"/>
                      <w:vertAlign w:val="superscript"/>
                    </w:rPr>
                    <w:t>1</w:t>
                  </w:r>
                  <w:r w:rsidRPr="002A4D6D">
                    <w:rPr>
                      <w:spacing w:val="-4"/>
                      <w:sz w:val="26"/>
                      <w:szCs w:val="26"/>
                    </w:rPr>
                    <w:t xml:space="preserve"> un 30.punkts, kurā, pamatojoties uz </w:t>
                  </w:r>
                  <w:r w:rsidR="006B015F" w:rsidRPr="002A4D6D">
                    <w:rPr>
                      <w:spacing w:val="-4"/>
                      <w:sz w:val="26"/>
                      <w:szCs w:val="26"/>
                    </w:rPr>
                    <w:t>R</w:t>
                  </w:r>
                  <w:r w:rsidRPr="002A4D6D">
                    <w:rPr>
                      <w:spacing w:val="-4"/>
                      <w:sz w:val="26"/>
                      <w:szCs w:val="26"/>
                    </w:rPr>
                    <w:t>egul</w:t>
                  </w:r>
                  <w:r w:rsidR="006B015F" w:rsidRPr="002A4D6D">
                    <w:rPr>
                      <w:spacing w:val="-4"/>
                      <w:sz w:val="26"/>
                      <w:szCs w:val="26"/>
                    </w:rPr>
                    <w:t xml:space="preserve">as </w:t>
                  </w:r>
                  <w:hyperlink r:id="rId12" w:tgtFrame="_blank" w:history="1">
                    <w:r w:rsidRPr="002A4D6D">
                      <w:rPr>
                        <w:spacing w:val="-4"/>
                        <w:sz w:val="26"/>
                        <w:szCs w:val="26"/>
                      </w:rPr>
                      <w:t>282/2011</w:t>
                    </w:r>
                  </w:hyperlink>
                  <w:r w:rsidR="006B015F" w:rsidRPr="002A4D6D">
                    <w:rPr>
                      <w:spacing w:val="-4"/>
                      <w:sz w:val="26"/>
                      <w:szCs w:val="26"/>
                    </w:rPr>
                    <w:t xml:space="preserve"> </w:t>
                  </w:r>
                  <w:r w:rsidRPr="002A4D6D">
                    <w:rPr>
                      <w:spacing w:val="-4"/>
                      <w:sz w:val="26"/>
                      <w:szCs w:val="26"/>
                    </w:rPr>
                    <w:t>7., 6.b un 6.a pantā noteikto, ir ietvertas elektronisko sakaru, apraides un elektroniski sniegtu pakalpojumu definīcijas, kas paskaidro šā likuma 27.panta tvērumu.</w:t>
                  </w:r>
                </w:p>
                <w:p w14:paraId="70EEFAEC" w14:textId="1CA3C916" w:rsidR="006B015F" w:rsidRPr="002A4D6D" w:rsidRDefault="006B015F" w:rsidP="002A4D6D">
                  <w:pPr>
                    <w:ind w:right="77"/>
                    <w:jc w:val="both"/>
                    <w:rPr>
                      <w:spacing w:val="-4"/>
                      <w:sz w:val="26"/>
                      <w:szCs w:val="26"/>
                    </w:rPr>
                  </w:pPr>
                  <w:r w:rsidRPr="002A4D6D">
                    <w:rPr>
                      <w:spacing w:val="-4"/>
                      <w:sz w:val="26"/>
                      <w:szCs w:val="26"/>
                    </w:rPr>
                    <w:t>Direktīvas 2017/2455 2.panta 12., 14, 21., 30. un 31.punkt</w:t>
                  </w:r>
                  <w:r w:rsidR="00C82D12" w:rsidRPr="002A4D6D">
                    <w:rPr>
                      <w:spacing w:val="-4"/>
                      <w:sz w:val="26"/>
                      <w:szCs w:val="26"/>
                    </w:rPr>
                    <w:t>am</w:t>
                  </w:r>
                  <w:r w:rsidRPr="002A4D6D">
                    <w:rPr>
                      <w:spacing w:val="-4"/>
                      <w:sz w:val="26"/>
                      <w:szCs w:val="26"/>
                    </w:rPr>
                    <w:t xml:space="preserve"> attiecībā uz virsraksta izteikšanu jaunā redakcijā </w:t>
                  </w:r>
                  <w:r w:rsidR="00C82D12" w:rsidRPr="002A4D6D">
                    <w:rPr>
                      <w:spacing w:val="-4"/>
                      <w:sz w:val="26"/>
                      <w:szCs w:val="26"/>
                    </w:rPr>
                    <w:t xml:space="preserve">ir informatīvs raksturs, tādēļ tie </w:t>
                  </w:r>
                  <w:r w:rsidRPr="002A4D6D">
                    <w:rPr>
                      <w:spacing w:val="-4"/>
                      <w:sz w:val="26"/>
                      <w:szCs w:val="26"/>
                    </w:rPr>
                    <w:t xml:space="preserve">nav jāpārņem Pievienotās vērtības nodokļa </w:t>
                  </w:r>
                  <w:r w:rsidR="00C82D12" w:rsidRPr="002A4D6D">
                    <w:rPr>
                      <w:spacing w:val="-4"/>
                      <w:sz w:val="26"/>
                      <w:szCs w:val="26"/>
                    </w:rPr>
                    <w:t xml:space="preserve">likuma </w:t>
                  </w:r>
                  <w:r w:rsidRPr="002A4D6D">
                    <w:rPr>
                      <w:spacing w:val="-4"/>
                      <w:sz w:val="26"/>
                      <w:szCs w:val="26"/>
                    </w:rPr>
                    <w:t>regulējumā pēc būtības</w:t>
                  </w:r>
                  <w:r w:rsidR="00C82D12" w:rsidRPr="002A4D6D">
                    <w:rPr>
                      <w:spacing w:val="-4"/>
                      <w:sz w:val="26"/>
                      <w:szCs w:val="26"/>
                    </w:rPr>
                    <w:t>.</w:t>
                  </w:r>
                  <w:r w:rsidRPr="002A4D6D">
                    <w:rPr>
                      <w:spacing w:val="-4"/>
                      <w:sz w:val="26"/>
                      <w:szCs w:val="26"/>
                    </w:rPr>
                    <w:t xml:space="preserve"> </w:t>
                  </w:r>
                </w:p>
                <w:p w14:paraId="0DA1E71B" w14:textId="7D2625E3" w:rsidR="001C56B0" w:rsidRPr="002A4D6D" w:rsidRDefault="001C56B0" w:rsidP="002A4D6D">
                  <w:pPr>
                    <w:ind w:right="77"/>
                    <w:jc w:val="both"/>
                    <w:rPr>
                      <w:spacing w:val="-4"/>
                      <w:sz w:val="26"/>
                      <w:szCs w:val="26"/>
                    </w:rPr>
                  </w:pPr>
                  <w:r w:rsidRPr="002A4D6D">
                    <w:rPr>
                      <w:spacing w:val="-4"/>
                      <w:sz w:val="26"/>
                      <w:szCs w:val="26"/>
                    </w:rPr>
                    <w:t xml:space="preserve">Direktīvas 2017/2455 2.panta 24.punkts attiecībā uz Direktīvas 2006/112/EK 369.e panta ievadfrāzes izteikšanu jaunā redakcijā nav jāpārņem Pievienotās vērtības nodokļa regulējumā pēc būtības, jo tie ir redakcionāli precizējumi, </w:t>
                  </w:r>
                  <w:r w:rsidR="00C82D12" w:rsidRPr="002A4D6D">
                    <w:rPr>
                      <w:spacing w:val="-4"/>
                      <w:sz w:val="26"/>
                      <w:szCs w:val="26"/>
                    </w:rPr>
                    <w:t xml:space="preserve">ar kuriem netiek mainīti </w:t>
                  </w:r>
                  <w:r w:rsidRPr="002A4D6D">
                    <w:rPr>
                      <w:spacing w:val="-4"/>
                      <w:sz w:val="26"/>
                      <w:szCs w:val="26"/>
                    </w:rPr>
                    <w:t xml:space="preserve"> izslēgšanas nosacījum</w:t>
                  </w:r>
                  <w:r w:rsidR="00C82D12" w:rsidRPr="002A4D6D">
                    <w:rPr>
                      <w:spacing w:val="-4"/>
                      <w:sz w:val="26"/>
                      <w:szCs w:val="26"/>
                    </w:rPr>
                    <w:t>i</w:t>
                  </w:r>
                  <w:r w:rsidR="005870B2" w:rsidRPr="002A4D6D">
                    <w:rPr>
                      <w:spacing w:val="-4"/>
                      <w:sz w:val="26"/>
                      <w:szCs w:val="26"/>
                    </w:rPr>
                    <w:t>.</w:t>
                  </w:r>
                </w:p>
              </w:tc>
            </w:tr>
            <w:tr w:rsidR="001C56B0" w:rsidRPr="002A4D6D" w14:paraId="5B44BDD1" w14:textId="77777777" w:rsidTr="007450E3">
              <w:trPr>
                <w:gridAfter w:val="3"/>
                <w:wAfter w:w="5523" w:type="dxa"/>
              </w:trPr>
              <w:tc>
                <w:tcPr>
                  <w:tcW w:w="9179" w:type="dxa"/>
                  <w:gridSpan w:val="5"/>
                  <w:tcBorders>
                    <w:top w:val="outset" w:sz="6" w:space="0" w:color="auto"/>
                    <w:left w:val="outset" w:sz="6" w:space="0" w:color="auto"/>
                    <w:bottom w:val="outset" w:sz="6" w:space="0" w:color="auto"/>
                    <w:right w:val="outset" w:sz="6" w:space="0" w:color="auto"/>
                  </w:tcBorders>
                </w:tcPr>
                <w:p w14:paraId="19869667" w14:textId="67D319E0"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lastRenderedPageBreak/>
                    <w:t>Direktīva 2019/1995</w:t>
                  </w:r>
                </w:p>
              </w:tc>
            </w:tr>
            <w:tr w:rsidR="001C56B0" w:rsidRPr="002A4D6D" w14:paraId="55562395"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34524706" w14:textId="4F993513" w:rsidR="001C56B0" w:rsidRPr="002A4D6D" w:rsidRDefault="001C56B0" w:rsidP="002A4D6D">
                  <w:pPr>
                    <w:jc w:val="center"/>
                    <w:rPr>
                      <w:spacing w:val="-4"/>
                      <w:sz w:val="26"/>
                      <w:szCs w:val="26"/>
                    </w:rPr>
                  </w:pPr>
                  <w:r w:rsidRPr="002A4D6D">
                    <w:rPr>
                      <w:spacing w:val="-4"/>
                      <w:sz w:val="26"/>
                      <w:szCs w:val="26"/>
                    </w:rPr>
                    <w:t>Direktīvas 2019/1995 1.panta 1.punkts attiecībā uz 36.b panta pārņemšanu</w:t>
                  </w:r>
                </w:p>
              </w:tc>
              <w:tc>
                <w:tcPr>
                  <w:tcW w:w="2552" w:type="dxa"/>
                  <w:tcBorders>
                    <w:top w:val="outset" w:sz="6" w:space="0" w:color="auto"/>
                    <w:left w:val="outset" w:sz="6" w:space="0" w:color="auto"/>
                    <w:bottom w:val="outset" w:sz="6" w:space="0" w:color="auto"/>
                    <w:right w:val="outset" w:sz="6" w:space="0" w:color="auto"/>
                  </w:tcBorders>
                </w:tcPr>
                <w:p w14:paraId="5130C81D" w14:textId="7AACBC8A" w:rsidR="001C56B0" w:rsidRPr="002A4D6D" w:rsidRDefault="001C56B0" w:rsidP="002A4D6D">
                  <w:pPr>
                    <w:jc w:val="center"/>
                    <w:rPr>
                      <w:spacing w:val="-4"/>
                      <w:sz w:val="26"/>
                      <w:szCs w:val="26"/>
                    </w:rPr>
                  </w:pPr>
                  <w:r w:rsidRPr="002A4D6D">
                    <w:rPr>
                      <w:spacing w:val="-4"/>
                      <w:sz w:val="26"/>
                      <w:szCs w:val="26"/>
                    </w:rPr>
                    <w:t xml:space="preserve">Likumprojekta </w:t>
                  </w:r>
                  <w:r w:rsidR="00CF71ED" w:rsidRPr="002A4D6D">
                    <w:rPr>
                      <w:spacing w:val="-4"/>
                      <w:sz w:val="26"/>
                      <w:szCs w:val="26"/>
                    </w:rPr>
                    <w:t xml:space="preserve">1. un </w:t>
                  </w:r>
                  <w:r w:rsidR="008D3799" w:rsidRPr="002A4D6D">
                    <w:rPr>
                      <w:spacing w:val="-4"/>
                      <w:sz w:val="26"/>
                      <w:szCs w:val="26"/>
                    </w:rPr>
                    <w:t>4</w:t>
                  </w:r>
                  <w:r w:rsidRPr="002A4D6D">
                    <w:rPr>
                      <w:spacing w:val="-4"/>
                      <w:sz w:val="26"/>
                      <w:szCs w:val="26"/>
                    </w:rPr>
                    <w:t>.pants</w:t>
                  </w:r>
                </w:p>
                <w:p w14:paraId="537B827A" w14:textId="75C1B5D0" w:rsidR="001C56B0" w:rsidRPr="002A4D6D" w:rsidRDefault="001C56B0" w:rsidP="002A4D6D">
                  <w:pPr>
                    <w:jc w:val="center"/>
                    <w:rPr>
                      <w:spacing w:val="-4"/>
                      <w:sz w:val="26"/>
                      <w:szCs w:val="26"/>
                    </w:rPr>
                  </w:pPr>
                  <w:r w:rsidRPr="002A4D6D">
                    <w:rPr>
                      <w:spacing w:val="-4"/>
                      <w:sz w:val="26"/>
                      <w:szCs w:val="26"/>
                    </w:rPr>
                    <w:t xml:space="preserve">(Pievienotās vērtības nodokļa likuma </w:t>
                  </w:r>
                  <w:r w:rsidR="00CF71ED" w:rsidRPr="002A4D6D">
                    <w:rPr>
                      <w:spacing w:val="-4"/>
                      <w:sz w:val="26"/>
                      <w:szCs w:val="26"/>
                    </w:rPr>
                    <w:t xml:space="preserve">6.panta septītā daļa un </w:t>
                  </w:r>
                  <w:r w:rsidRPr="002A4D6D">
                    <w:rPr>
                      <w:spacing w:val="-4"/>
                      <w:sz w:val="26"/>
                      <w:szCs w:val="26"/>
                    </w:rPr>
                    <w:t>12.panta ceturtā daļa)</w:t>
                  </w:r>
                </w:p>
              </w:tc>
              <w:tc>
                <w:tcPr>
                  <w:tcW w:w="1840" w:type="dxa"/>
                  <w:gridSpan w:val="2"/>
                  <w:tcBorders>
                    <w:top w:val="outset" w:sz="6" w:space="0" w:color="auto"/>
                    <w:left w:val="outset" w:sz="6" w:space="0" w:color="auto"/>
                    <w:bottom w:val="outset" w:sz="6" w:space="0" w:color="auto"/>
                    <w:right w:val="outset" w:sz="6" w:space="0" w:color="auto"/>
                  </w:tcBorders>
                </w:tcPr>
                <w:p w14:paraId="44495F3B" w14:textId="799E7C54"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4DD73D43" w14:textId="50148F9C"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4268159E"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49FE8B6" w14:textId="2AFBA0C3" w:rsidR="001C56B0" w:rsidRPr="002A4D6D" w:rsidRDefault="001C56B0" w:rsidP="002A4D6D">
                  <w:pPr>
                    <w:jc w:val="center"/>
                    <w:rPr>
                      <w:spacing w:val="-4"/>
                      <w:sz w:val="26"/>
                      <w:szCs w:val="26"/>
                    </w:rPr>
                  </w:pPr>
                  <w:r w:rsidRPr="002A4D6D">
                    <w:rPr>
                      <w:spacing w:val="-4"/>
                      <w:sz w:val="26"/>
                      <w:szCs w:val="26"/>
                    </w:rPr>
                    <w:t>Direktīvas 2019/1995 1.panta 2.punkts attiecībā uz 66.a panta pārņemšanu</w:t>
                  </w:r>
                </w:p>
              </w:tc>
              <w:tc>
                <w:tcPr>
                  <w:tcW w:w="2552" w:type="dxa"/>
                  <w:tcBorders>
                    <w:top w:val="outset" w:sz="6" w:space="0" w:color="auto"/>
                    <w:left w:val="outset" w:sz="6" w:space="0" w:color="auto"/>
                    <w:bottom w:val="outset" w:sz="6" w:space="0" w:color="auto"/>
                    <w:right w:val="outset" w:sz="6" w:space="0" w:color="auto"/>
                  </w:tcBorders>
                </w:tcPr>
                <w:p w14:paraId="082AC5FE" w14:textId="0E179B37" w:rsidR="001C56B0" w:rsidRPr="002A4D6D" w:rsidRDefault="001C56B0" w:rsidP="002A4D6D">
                  <w:pPr>
                    <w:jc w:val="center"/>
                    <w:rPr>
                      <w:spacing w:val="-4"/>
                      <w:sz w:val="26"/>
                      <w:szCs w:val="26"/>
                    </w:rPr>
                  </w:pPr>
                  <w:r w:rsidRPr="002A4D6D">
                    <w:rPr>
                      <w:spacing w:val="-4"/>
                      <w:sz w:val="26"/>
                      <w:szCs w:val="26"/>
                    </w:rPr>
                    <w:t xml:space="preserve">Likumprojekta </w:t>
                  </w:r>
                  <w:r w:rsidR="008D3799" w:rsidRPr="002A4D6D">
                    <w:rPr>
                      <w:spacing w:val="-4"/>
                      <w:sz w:val="26"/>
                      <w:szCs w:val="26"/>
                    </w:rPr>
                    <w:t>13</w:t>
                  </w:r>
                  <w:r w:rsidRPr="002A4D6D">
                    <w:rPr>
                      <w:spacing w:val="-4"/>
                      <w:sz w:val="26"/>
                      <w:szCs w:val="26"/>
                    </w:rPr>
                    <w:t>.pants</w:t>
                  </w:r>
                </w:p>
                <w:p w14:paraId="65AF894C" w14:textId="32823279" w:rsidR="001C56B0" w:rsidRPr="002A4D6D" w:rsidRDefault="001C56B0" w:rsidP="002A4D6D">
                  <w:pPr>
                    <w:jc w:val="center"/>
                    <w:rPr>
                      <w:spacing w:val="-4"/>
                      <w:sz w:val="26"/>
                      <w:szCs w:val="26"/>
                    </w:rPr>
                  </w:pPr>
                  <w:r w:rsidRPr="002A4D6D">
                    <w:rPr>
                      <w:spacing w:val="-4"/>
                      <w:sz w:val="26"/>
                      <w:szCs w:val="26"/>
                    </w:rPr>
                    <w:t xml:space="preserve">(Pievienotās vērtības nodokļa likuma 120.panta </w:t>
                  </w:r>
                  <w:r w:rsidR="008D3799" w:rsidRPr="002A4D6D">
                    <w:rPr>
                      <w:spacing w:val="-4"/>
                      <w:sz w:val="26"/>
                      <w:szCs w:val="26"/>
                    </w:rPr>
                    <w:t>2</w:t>
                  </w:r>
                  <w:r w:rsidR="008D3799" w:rsidRPr="002A4D6D">
                    <w:rPr>
                      <w:spacing w:val="-4"/>
                      <w:sz w:val="26"/>
                      <w:szCs w:val="26"/>
                      <w:vertAlign w:val="superscript"/>
                    </w:rPr>
                    <w:t>1</w:t>
                  </w:r>
                  <w:r w:rsidR="008D3799" w:rsidRPr="002A4D6D">
                    <w:rPr>
                      <w:spacing w:val="-4"/>
                      <w:sz w:val="26"/>
                      <w:szCs w:val="26"/>
                    </w:rPr>
                    <w:t xml:space="preserve">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1A331A21" w14:textId="7F4FA75F"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357E1E95" w14:textId="2DD4F4C1"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0BA9E793"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6C81E02B" w14:textId="6B4D7A02" w:rsidR="001C56B0" w:rsidRPr="002A4D6D" w:rsidRDefault="001C56B0" w:rsidP="002A4D6D">
                  <w:pPr>
                    <w:jc w:val="center"/>
                    <w:rPr>
                      <w:spacing w:val="-4"/>
                      <w:sz w:val="26"/>
                      <w:szCs w:val="26"/>
                    </w:rPr>
                  </w:pPr>
                  <w:r w:rsidRPr="002A4D6D">
                    <w:rPr>
                      <w:spacing w:val="-4"/>
                      <w:sz w:val="26"/>
                      <w:szCs w:val="26"/>
                    </w:rPr>
                    <w:t>Direktīvas 2019/1995 1.panta 3.punkts attiecībā uz 136.a panta pārņemšanu</w:t>
                  </w:r>
                </w:p>
              </w:tc>
              <w:tc>
                <w:tcPr>
                  <w:tcW w:w="2552" w:type="dxa"/>
                  <w:tcBorders>
                    <w:top w:val="outset" w:sz="6" w:space="0" w:color="auto"/>
                    <w:left w:val="outset" w:sz="6" w:space="0" w:color="auto"/>
                    <w:bottom w:val="outset" w:sz="6" w:space="0" w:color="auto"/>
                    <w:right w:val="outset" w:sz="6" w:space="0" w:color="auto"/>
                  </w:tcBorders>
                </w:tcPr>
                <w:p w14:paraId="737A8DC8" w14:textId="04D22B3F" w:rsidR="001C56B0" w:rsidRPr="002A4D6D" w:rsidRDefault="001C56B0" w:rsidP="002A4D6D">
                  <w:pPr>
                    <w:jc w:val="center"/>
                    <w:rPr>
                      <w:spacing w:val="-4"/>
                      <w:sz w:val="26"/>
                      <w:szCs w:val="26"/>
                    </w:rPr>
                  </w:pPr>
                  <w:r w:rsidRPr="002A4D6D">
                    <w:rPr>
                      <w:spacing w:val="-4"/>
                      <w:sz w:val="26"/>
                      <w:szCs w:val="26"/>
                    </w:rPr>
                    <w:t xml:space="preserve">Likumprojekta </w:t>
                  </w:r>
                  <w:r w:rsidR="00CF71ED" w:rsidRPr="002A4D6D">
                    <w:rPr>
                      <w:spacing w:val="-4"/>
                      <w:sz w:val="26"/>
                      <w:szCs w:val="26"/>
                    </w:rPr>
                    <w:t>9</w:t>
                  </w:r>
                  <w:r w:rsidRPr="002A4D6D">
                    <w:rPr>
                      <w:spacing w:val="-4"/>
                      <w:sz w:val="26"/>
                      <w:szCs w:val="26"/>
                    </w:rPr>
                    <w:t>.pants</w:t>
                  </w:r>
                </w:p>
                <w:p w14:paraId="4D81C071" w14:textId="6E949FCF" w:rsidR="001C56B0" w:rsidRPr="002A4D6D" w:rsidRDefault="001C56B0" w:rsidP="002A4D6D">
                  <w:pPr>
                    <w:jc w:val="center"/>
                    <w:rPr>
                      <w:spacing w:val="-4"/>
                      <w:sz w:val="26"/>
                      <w:szCs w:val="26"/>
                    </w:rPr>
                  </w:pPr>
                  <w:r w:rsidRPr="002A4D6D">
                    <w:rPr>
                      <w:spacing w:val="-4"/>
                      <w:sz w:val="26"/>
                      <w:szCs w:val="26"/>
                    </w:rPr>
                    <w:t xml:space="preserve">(Pievienotās vērtības nodokļa likuma </w:t>
                  </w:r>
                  <w:r w:rsidR="008D3799" w:rsidRPr="002A4D6D">
                    <w:rPr>
                      <w:spacing w:val="-4"/>
                      <w:sz w:val="26"/>
                      <w:szCs w:val="26"/>
                    </w:rPr>
                    <w:t>52</w:t>
                  </w:r>
                  <w:r w:rsidRPr="002A4D6D">
                    <w:rPr>
                      <w:spacing w:val="-4"/>
                      <w:sz w:val="26"/>
                      <w:szCs w:val="26"/>
                    </w:rPr>
                    <w:t>.</w:t>
                  </w:r>
                  <w:r w:rsidR="008D3799" w:rsidRPr="002A4D6D">
                    <w:rPr>
                      <w:spacing w:val="-4"/>
                      <w:sz w:val="26"/>
                      <w:szCs w:val="26"/>
                      <w:vertAlign w:val="superscript"/>
                    </w:rPr>
                    <w:t>2</w:t>
                  </w:r>
                  <w:r w:rsidR="008D3799" w:rsidRPr="002A4D6D">
                    <w:rPr>
                      <w:spacing w:val="-4"/>
                      <w:sz w:val="26"/>
                      <w:szCs w:val="26"/>
                    </w:rPr>
                    <w:t> </w:t>
                  </w:r>
                  <w:r w:rsidRPr="002A4D6D">
                    <w:rPr>
                      <w:spacing w:val="-4"/>
                      <w:sz w:val="26"/>
                      <w:szCs w:val="26"/>
                    </w:rPr>
                    <w:t>pants)</w:t>
                  </w:r>
                </w:p>
              </w:tc>
              <w:tc>
                <w:tcPr>
                  <w:tcW w:w="1840" w:type="dxa"/>
                  <w:gridSpan w:val="2"/>
                  <w:tcBorders>
                    <w:top w:val="outset" w:sz="6" w:space="0" w:color="auto"/>
                    <w:left w:val="outset" w:sz="6" w:space="0" w:color="auto"/>
                    <w:bottom w:val="outset" w:sz="6" w:space="0" w:color="auto"/>
                    <w:right w:val="outset" w:sz="6" w:space="0" w:color="auto"/>
                  </w:tcBorders>
                </w:tcPr>
                <w:p w14:paraId="05C07B68" w14:textId="326A3C90"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444AFBC7" w14:textId="30A24145"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6BF42DF3"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1025A38F" w14:textId="14D12038" w:rsidR="001C56B0" w:rsidRPr="002A4D6D" w:rsidRDefault="001C56B0" w:rsidP="002A4D6D">
                  <w:pPr>
                    <w:jc w:val="center"/>
                    <w:rPr>
                      <w:spacing w:val="-4"/>
                      <w:sz w:val="26"/>
                      <w:szCs w:val="26"/>
                    </w:rPr>
                  </w:pPr>
                  <w:r w:rsidRPr="002A4D6D">
                    <w:rPr>
                      <w:spacing w:val="-4"/>
                      <w:sz w:val="26"/>
                      <w:szCs w:val="26"/>
                    </w:rPr>
                    <w:t>Direktīvas 2019/1995 1.panta 4.punkts attiecībā uz 169.panta “b” apakšpunkta pārņemšanu</w:t>
                  </w:r>
                </w:p>
              </w:tc>
              <w:tc>
                <w:tcPr>
                  <w:tcW w:w="2552" w:type="dxa"/>
                  <w:tcBorders>
                    <w:top w:val="outset" w:sz="6" w:space="0" w:color="auto"/>
                    <w:left w:val="outset" w:sz="6" w:space="0" w:color="auto"/>
                    <w:bottom w:val="outset" w:sz="6" w:space="0" w:color="auto"/>
                    <w:right w:val="outset" w:sz="6" w:space="0" w:color="auto"/>
                  </w:tcBorders>
                </w:tcPr>
                <w:p w14:paraId="74F3595C" w14:textId="35BB07A5" w:rsidR="001C56B0" w:rsidRPr="002A4D6D" w:rsidRDefault="001C56B0" w:rsidP="002A4D6D">
                  <w:pPr>
                    <w:jc w:val="center"/>
                    <w:rPr>
                      <w:spacing w:val="-4"/>
                      <w:sz w:val="26"/>
                      <w:szCs w:val="26"/>
                    </w:rPr>
                  </w:pPr>
                  <w:r w:rsidRPr="002A4D6D">
                    <w:rPr>
                      <w:spacing w:val="-4"/>
                      <w:sz w:val="26"/>
                      <w:szCs w:val="26"/>
                    </w:rPr>
                    <w:t xml:space="preserve">Likumprojekta </w:t>
                  </w:r>
                  <w:r w:rsidR="00CF71ED" w:rsidRPr="002A4D6D">
                    <w:rPr>
                      <w:spacing w:val="-4"/>
                      <w:sz w:val="26"/>
                      <w:szCs w:val="26"/>
                    </w:rPr>
                    <w:t>12</w:t>
                  </w:r>
                  <w:r w:rsidRPr="002A4D6D">
                    <w:rPr>
                      <w:spacing w:val="-4"/>
                      <w:sz w:val="26"/>
                      <w:szCs w:val="26"/>
                    </w:rPr>
                    <w:t>.pants</w:t>
                  </w:r>
                </w:p>
                <w:p w14:paraId="0F005E6C" w14:textId="744CEB64" w:rsidR="001C56B0" w:rsidRPr="002A4D6D" w:rsidRDefault="001C56B0" w:rsidP="002A4D6D">
                  <w:pPr>
                    <w:jc w:val="center"/>
                    <w:rPr>
                      <w:spacing w:val="-4"/>
                      <w:sz w:val="26"/>
                      <w:szCs w:val="26"/>
                    </w:rPr>
                  </w:pPr>
                  <w:r w:rsidRPr="002A4D6D">
                    <w:rPr>
                      <w:spacing w:val="-4"/>
                      <w:sz w:val="26"/>
                      <w:szCs w:val="26"/>
                    </w:rPr>
                    <w:t>(Pievienotās vērtības nodokļa likuma 92.panta pirmās daļas 9.punkts)</w:t>
                  </w:r>
                </w:p>
              </w:tc>
              <w:tc>
                <w:tcPr>
                  <w:tcW w:w="1840" w:type="dxa"/>
                  <w:gridSpan w:val="2"/>
                  <w:tcBorders>
                    <w:top w:val="outset" w:sz="6" w:space="0" w:color="auto"/>
                    <w:left w:val="outset" w:sz="6" w:space="0" w:color="auto"/>
                    <w:bottom w:val="outset" w:sz="6" w:space="0" w:color="auto"/>
                    <w:right w:val="outset" w:sz="6" w:space="0" w:color="auto"/>
                  </w:tcBorders>
                </w:tcPr>
                <w:p w14:paraId="1C3314ED" w14:textId="50C66E82"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6EB68AB5" w14:textId="678A5986"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458CF229"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1E41C943" w14:textId="61FFF528" w:rsidR="001C56B0" w:rsidRPr="002A4D6D" w:rsidRDefault="001C56B0" w:rsidP="002A4D6D">
                  <w:pPr>
                    <w:jc w:val="center"/>
                    <w:rPr>
                      <w:spacing w:val="-4"/>
                      <w:sz w:val="26"/>
                      <w:szCs w:val="26"/>
                    </w:rPr>
                  </w:pPr>
                  <w:r w:rsidRPr="002A4D6D">
                    <w:rPr>
                      <w:spacing w:val="-4"/>
                      <w:sz w:val="26"/>
                      <w:szCs w:val="26"/>
                    </w:rPr>
                    <w:lastRenderedPageBreak/>
                    <w:t>Direktīvas 2019/1995 1.panta 9.punkts attiecībā uz 369.a panta pārņemšanu</w:t>
                  </w:r>
                </w:p>
              </w:tc>
              <w:tc>
                <w:tcPr>
                  <w:tcW w:w="2552" w:type="dxa"/>
                  <w:tcBorders>
                    <w:top w:val="outset" w:sz="6" w:space="0" w:color="auto"/>
                    <w:left w:val="outset" w:sz="6" w:space="0" w:color="auto"/>
                    <w:bottom w:val="outset" w:sz="6" w:space="0" w:color="auto"/>
                    <w:right w:val="outset" w:sz="6" w:space="0" w:color="auto"/>
                  </w:tcBorders>
                </w:tcPr>
                <w:p w14:paraId="7859C5D8" w14:textId="493371BC" w:rsidR="001C56B0" w:rsidRPr="002A4D6D" w:rsidRDefault="001C56B0" w:rsidP="002A4D6D">
                  <w:pPr>
                    <w:jc w:val="center"/>
                    <w:rPr>
                      <w:spacing w:val="-4"/>
                      <w:sz w:val="26"/>
                      <w:szCs w:val="26"/>
                    </w:rPr>
                  </w:pPr>
                  <w:r w:rsidRPr="002A4D6D">
                    <w:rPr>
                      <w:spacing w:val="-4"/>
                      <w:sz w:val="26"/>
                      <w:szCs w:val="26"/>
                    </w:rPr>
                    <w:t xml:space="preserve">Likumprojekta </w:t>
                  </w:r>
                  <w:r w:rsidR="008D3799" w:rsidRPr="002A4D6D">
                    <w:rPr>
                      <w:spacing w:val="-4"/>
                      <w:sz w:val="26"/>
                      <w:szCs w:val="26"/>
                    </w:rPr>
                    <w:t>19</w:t>
                  </w:r>
                  <w:r w:rsidRPr="002A4D6D">
                    <w:rPr>
                      <w:spacing w:val="-4"/>
                      <w:sz w:val="26"/>
                      <w:szCs w:val="26"/>
                    </w:rPr>
                    <w:t>.pants</w:t>
                  </w:r>
                </w:p>
                <w:p w14:paraId="5CD2DAA4" w14:textId="26516363" w:rsidR="001C56B0" w:rsidRPr="002A4D6D" w:rsidRDefault="001C56B0" w:rsidP="002A4D6D">
                  <w:pPr>
                    <w:jc w:val="center"/>
                    <w:rPr>
                      <w:spacing w:val="-4"/>
                      <w:sz w:val="26"/>
                      <w:szCs w:val="26"/>
                    </w:rPr>
                  </w:pPr>
                  <w:r w:rsidRPr="002A4D6D">
                    <w:rPr>
                      <w:spacing w:val="-4"/>
                      <w:sz w:val="26"/>
                      <w:szCs w:val="26"/>
                    </w:rPr>
                    <w:t xml:space="preserve">(Pievienotās vērtības nodokļa likuma </w:t>
                  </w:r>
                  <w:r w:rsidR="008D3799" w:rsidRPr="002A4D6D">
                    <w:rPr>
                      <w:spacing w:val="-4"/>
                      <w:sz w:val="26"/>
                      <w:szCs w:val="26"/>
                    </w:rPr>
                    <w:t>140</w:t>
                  </w:r>
                  <w:r w:rsidRPr="002A4D6D">
                    <w:rPr>
                      <w:spacing w:val="-4"/>
                      <w:sz w:val="26"/>
                      <w:szCs w:val="26"/>
                    </w:rPr>
                    <w:t>.</w:t>
                  </w:r>
                  <w:r w:rsidR="008D3799" w:rsidRPr="002A4D6D">
                    <w:rPr>
                      <w:spacing w:val="-4"/>
                      <w:sz w:val="26"/>
                      <w:szCs w:val="26"/>
                      <w:vertAlign w:val="superscript"/>
                    </w:rPr>
                    <w:t>3</w:t>
                  </w:r>
                  <w:r w:rsidR="008D3799" w:rsidRPr="002A4D6D">
                    <w:rPr>
                      <w:spacing w:val="-4"/>
                      <w:sz w:val="26"/>
                      <w:szCs w:val="26"/>
                    </w:rPr>
                    <w:t> </w:t>
                  </w:r>
                  <w:r w:rsidRPr="002A4D6D">
                    <w:rPr>
                      <w:spacing w:val="-4"/>
                      <w:sz w:val="26"/>
                      <w:szCs w:val="26"/>
                    </w:rPr>
                    <w:t>panta pirmās daļas 2., 3. un 4.punkts)</w:t>
                  </w:r>
                </w:p>
              </w:tc>
              <w:tc>
                <w:tcPr>
                  <w:tcW w:w="1840" w:type="dxa"/>
                  <w:gridSpan w:val="2"/>
                  <w:tcBorders>
                    <w:top w:val="outset" w:sz="6" w:space="0" w:color="auto"/>
                    <w:left w:val="outset" w:sz="6" w:space="0" w:color="auto"/>
                    <w:bottom w:val="outset" w:sz="6" w:space="0" w:color="auto"/>
                    <w:right w:val="outset" w:sz="6" w:space="0" w:color="auto"/>
                  </w:tcBorders>
                </w:tcPr>
                <w:p w14:paraId="201AB479" w14:textId="75DE92AD"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3B8A5934" w14:textId="76ADE2E4"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7008F571"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B32F9AB" w14:textId="5DA379BA" w:rsidR="001C56B0" w:rsidRPr="002A4D6D" w:rsidRDefault="001C56B0" w:rsidP="002A4D6D">
                  <w:pPr>
                    <w:jc w:val="center"/>
                    <w:rPr>
                      <w:spacing w:val="-4"/>
                      <w:sz w:val="26"/>
                      <w:szCs w:val="26"/>
                    </w:rPr>
                  </w:pPr>
                  <w:r w:rsidRPr="002A4D6D">
                    <w:rPr>
                      <w:spacing w:val="-4"/>
                      <w:sz w:val="26"/>
                      <w:szCs w:val="26"/>
                    </w:rPr>
                    <w:t>Direktīvas 2019/1995 1.panta 10.punkts attiecībā uz 369.b panta pārņemšanu</w:t>
                  </w:r>
                </w:p>
              </w:tc>
              <w:tc>
                <w:tcPr>
                  <w:tcW w:w="2552" w:type="dxa"/>
                  <w:tcBorders>
                    <w:top w:val="outset" w:sz="6" w:space="0" w:color="auto"/>
                    <w:left w:val="outset" w:sz="6" w:space="0" w:color="auto"/>
                    <w:bottom w:val="outset" w:sz="6" w:space="0" w:color="auto"/>
                    <w:right w:val="outset" w:sz="6" w:space="0" w:color="auto"/>
                  </w:tcBorders>
                </w:tcPr>
                <w:p w14:paraId="03AAAC34" w14:textId="1B5E89F6" w:rsidR="001C56B0" w:rsidRPr="002A4D6D" w:rsidRDefault="001C56B0" w:rsidP="002A4D6D">
                  <w:pPr>
                    <w:jc w:val="center"/>
                    <w:rPr>
                      <w:spacing w:val="-4"/>
                      <w:sz w:val="26"/>
                      <w:szCs w:val="26"/>
                    </w:rPr>
                  </w:pPr>
                  <w:r w:rsidRPr="002A4D6D">
                    <w:rPr>
                      <w:spacing w:val="-4"/>
                      <w:sz w:val="26"/>
                      <w:szCs w:val="26"/>
                    </w:rPr>
                    <w:t xml:space="preserve">Likumprojekta </w:t>
                  </w:r>
                  <w:r w:rsidR="008D3799" w:rsidRPr="002A4D6D">
                    <w:rPr>
                      <w:spacing w:val="-4"/>
                      <w:sz w:val="26"/>
                      <w:szCs w:val="26"/>
                    </w:rPr>
                    <w:t>19</w:t>
                  </w:r>
                  <w:r w:rsidRPr="002A4D6D">
                    <w:rPr>
                      <w:spacing w:val="-4"/>
                      <w:sz w:val="26"/>
                      <w:szCs w:val="26"/>
                    </w:rPr>
                    <w:t>.pants</w:t>
                  </w:r>
                </w:p>
                <w:p w14:paraId="7DA0E8BD" w14:textId="56185AB6" w:rsidR="001C56B0" w:rsidRPr="002A4D6D" w:rsidRDefault="001C56B0" w:rsidP="002A4D6D">
                  <w:pPr>
                    <w:jc w:val="center"/>
                    <w:rPr>
                      <w:spacing w:val="-4"/>
                      <w:sz w:val="26"/>
                      <w:szCs w:val="26"/>
                    </w:rPr>
                  </w:pPr>
                  <w:r w:rsidRPr="002A4D6D">
                    <w:rPr>
                      <w:spacing w:val="-4"/>
                      <w:sz w:val="26"/>
                      <w:szCs w:val="26"/>
                    </w:rPr>
                    <w:t xml:space="preserve">(Pievienotās vērtības nodokļa likuma </w:t>
                  </w:r>
                  <w:r w:rsidR="008D3799" w:rsidRPr="002A4D6D">
                    <w:rPr>
                      <w:spacing w:val="-4"/>
                      <w:sz w:val="26"/>
                      <w:szCs w:val="26"/>
                    </w:rPr>
                    <w:t>140</w:t>
                  </w:r>
                  <w:r w:rsidRPr="002A4D6D">
                    <w:rPr>
                      <w:spacing w:val="-4"/>
                      <w:sz w:val="26"/>
                      <w:szCs w:val="26"/>
                    </w:rPr>
                    <w:t>.</w:t>
                  </w:r>
                  <w:r w:rsidR="008D3799" w:rsidRPr="002A4D6D">
                    <w:rPr>
                      <w:spacing w:val="-4"/>
                      <w:sz w:val="26"/>
                      <w:szCs w:val="26"/>
                      <w:vertAlign w:val="superscript"/>
                    </w:rPr>
                    <w:t>3</w:t>
                  </w:r>
                  <w:r w:rsidRPr="002A4D6D">
                    <w:rPr>
                      <w:spacing w:val="-4"/>
                      <w:sz w:val="26"/>
                      <w:szCs w:val="26"/>
                    </w:rPr>
                    <w:t> panta otrā daļa)</w:t>
                  </w:r>
                </w:p>
              </w:tc>
              <w:tc>
                <w:tcPr>
                  <w:tcW w:w="1840" w:type="dxa"/>
                  <w:gridSpan w:val="2"/>
                  <w:tcBorders>
                    <w:top w:val="outset" w:sz="6" w:space="0" w:color="auto"/>
                    <w:left w:val="outset" w:sz="6" w:space="0" w:color="auto"/>
                    <w:bottom w:val="outset" w:sz="6" w:space="0" w:color="auto"/>
                    <w:right w:val="outset" w:sz="6" w:space="0" w:color="auto"/>
                  </w:tcBorders>
                </w:tcPr>
                <w:p w14:paraId="210D8FC6" w14:textId="2F525B72"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2051752D" w14:textId="058AFB1C"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333E2223"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41144551" w14:textId="4C7A9143" w:rsidR="001C56B0" w:rsidRPr="002A4D6D" w:rsidRDefault="001C56B0" w:rsidP="002A4D6D">
                  <w:pPr>
                    <w:jc w:val="center"/>
                    <w:rPr>
                      <w:spacing w:val="-4"/>
                      <w:sz w:val="26"/>
                      <w:szCs w:val="26"/>
                    </w:rPr>
                  </w:pPr>
                  <w:r w:rsidRPr="002A4D6D">
                    <w:rPr>
                      <w:spacing w:val="-4"/>
                      <w:sz w:val="26"/>
                      <w:szCs w:val="26"/>
                    </w:rPr>
                    <w:t>Direktīvas 2019/1995 1.panta 11.punkts attiecībā uz 369.e panta “a” apakšpunkta pārņemšanu</w:t>
                  </w:r>
                </w:p>
              </w:tc>
              <w:tc>
                <w:tcPr>
                  <w:tcW w:w="2552" w:type="dxa"/>
                  <w:tcBorders>
                    <w:top w:val="outset" w:sz="6" w:space="0" w:color="auto"/>
                    <w:left w:val="outset" w:sz="6" w:space="0" w:color="auto"/>
                    <w:bottom w:val="outset" w:sz="6" w:space="0" w:color="auto"/>
                    <w:right w:val="outset" w:sz="6" w:space="0" w:color="auto"/>
                  </w:tcBorders>
                </w:tcPr>
                <w:p w14:paraId="3E1AEB69" w14:textId="7F5CCF8E" w:rsidR="001C56B0" w:rsidRPr="002A4D6D" w:rsidRDefault="001C56B0" w:rsidP="002A4D6D">
                  <w:pPr>
                    <w:jc w:val="center"/>
                    <w:rPr>
                      <w:spacing w:val="-4"/>
                      <w:sz w:val="26"/>
                      <w:szCs w:val="26"/>
                    </w:rPr>
                  </w:pPr>
                  <w:r w:rsidRPr="002A4D6D">
                    <w:rPr>
                      <w:spacing w:val="-4"/>
                      <w:sz w:val="26"/>
                      <w:szCs w:val="26"/>
                    </w:rPr>
                    <w:t xml:space="preserve">Likumprojekta </w:t>
                  </w:r>
                  <w:r w:rsidR="008D3799" w:rsidRPr="002A4D6D">
                    <w:rPr>
                      <w:spacing w:val="-4"/>
                      <w:sz w:val="26"/>
                      <w:szCs w:val="26"/>
                    </w:rPr>
                    <w:t>19</w:t>
                  </w:r>
                  <w:r w:rsidRPr="002A4D6D">
                    <w:rPr>
                      <w:spacing w:val="-4"/>
                      <w:sz w:val="26"/>
                      <w:szCs w:val="26"/>
                    </w:rPr>
                    <w:t>.pants</w:t>
                  </w:r>
                </w:p>
                <w:p w14:paraId="41B413E2" w14:textId="2D2732B2" w:rsidR="001C56B0" w:rsidRPr="002A4D6D" w:rsidRDefault="001C56B0" w:rsidP="002A4D6D">
                  <w:pPr>
                    <w:jc w:val="center"/>
                    <w:rPr>
                      <w:spacing w:val="-4"/>
                      <w:sz w:val="26"/>
                      <w:szCs w:val="26"/>
                    </w:rPr>
                  </w:pPr>
                  <w:r w:rsidRPr="002A4D6D">
                    <w:rPr>
                      <w:spacing w:val="-4"/>
                      <w:sz w:val="26"/>
                      <w:szCs w:val="26"/>
                    </w:rPr>
                    <w:t xml:space="preserve">(Pievienotās vērtības nodokļa likuma </w:t>
                  </w:r>
                  <w:r w:rsidR="008D3799" w:rsidRPr="002A4D6D">
                    <w:rPr>
                      <w:spacing w:val="-4"/>
                      <w:sz w:val="26"/>
                      <w:szCs w:val="26"/>
                    </w:rPr>
                    <w:t>140</w:t>
                  </w:r>
                  <w:r w:rsidRPr="002A4D6D">
                    <w:rPr>
                      <w:spacing w:val="-4"/>
                      <w:sz w:val="26"/>
                      <w:szCs w:val="26"/>
                    </w:rPr>
                    <w:t>.</w:t>
                  </w:r>
                  <w:r w:rsidR="008D3799" w:rsidRPr="002A4D6D">
                    <w:rPr>
                      <w:spacing w:val="-4"/>
                      <w:sz w:val="26"/>
                      <w:szCs w:val="26"/>
                      <w:vertAlign w:val="superscript"/>
                    </w:rPr>
                    <w:t>3</w:t>
                  </w:r>
                  <w:r w:rsidR="008D3799" w:rsidRPr="002A4D6D">
                    <w:rPr>
                      <w:spacing w:val="-4"/>
                      <w:sz w:val="26"/>
                      <w:szCs w:val="26"/>
                    </w:rPr>
                    <w:t> </w:t>
                  </w:r>
                  <w:r w:rsidRPr="002A4D6D">
                    <w:rPr>
                      <w:spacing w:val="-4"/>
                      <w:sz w:val="26"/>
                      <w:szCs w:val="26"/>
                    </w:rPr>
                    <w:t xml:space="preserve">panta </w:t>
                  </w:r>
                  <w:r w:rsidR="008D3799" w:rsidRPr="002A4D6D">
                    <w:rPr>
                      <w:spacing w:val="-4"/>
                      <w:sz w:val="26"/>
                      <w:szCs w:val="26"/>
                    </w:rPr>
                    <w:t xml:space="preserve">septītās </w:t>
                  </w:r>
                  <w:r w:rsidRPr="002A4D6D">
                    <w:rPr>
                      <w:spacing w:val="-4"/>
                      <w:sz w:val="26"/>
                      <w:szCs w:val="26"/>
                    </w:rPr>
                    <w:t>daļas 1.punkts)</w:t>
                  </w:r>
                </w:p>
              </w:tc>
              <w:tc>
                <w:tcPr>
                  <w:tcW w:w="1840" w:type="dxa"/>
                  <w:gridSpan w:val="2"/>
                  <w:tcBorders>
                    <w:top w:val="outset" w:sz="6" w:space="0" w:color="auto"/>
                    <w:left w:val="outset" w:sz="6" w:space="0" w:color="auto"/>
                    <w:bottom w:val="outset" w:sz="6" w:space="0" w:color="auto"/>
                    <w:right w:val="outset" w:sz="6" w:space="0" w:color="auto"/>
                  </w:tcBorders>
                </w:tcPr>
                <w:p w14:paraId="346BAEAD" w14:textId="26D36192"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2218FA11" w14:textId="1652E4D9"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6F72D9EA"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71B068E3" w14:textId="326EED77" w:rsidR="001C56B0" w:rsidRPr="002A4D6D" w:rsidRDefault="001C56B0" w:rsidP="002A4D6D">
                  <w:pPr>
                    <w:jc w:val="center"/>
                    <w:rPr>
                      <w:spacing w:val="-4"/>
                      <w:sz w:val="26"/>
                      <w:szCs w:val="26"/>
                    </w:rPr>
                  </w:pPr>
                  <w:r w:rsidRPr="002A4D6D">
                    <w:rPr>
                      <w:spacing w:val="-4"/>
                      <w:sz w:val="26"/>
                      <w:szCs w:val="26"/>
                    </w:rPr>
                    <w:t>Direktīvas 2019/1995 1.panta 12.punkts attiecībā uz 369.f panta pārņemšanu</w:t>
                  </w:r>
                </w:p>
              </w:tc>
              <w:tc>
                <w:tcPr>
                  <w:tcW w:w="2552" w:type="dxa"/>
                  <w:tcBorders>
                    <w:top w:val="outset" w:sz="6" w:space="0" w:color="auto"/>
                    <w:left w:val="outset" w:sz="6" w:space="0" w:color="auto"/>
                    <w:bottom w:val="outset" w:sz="6" w:space="0" w:color="auto"/>
                    <w:right w:val="outset" w:sz="6" w:space="0" w:color="auto"/>
                  </w:tcBorders>
                </w:tcPr>
                <w:p w14:paraId="22A71501" w14:textId="53D09B39" w:rsidR="001C56B0" w:rsidRPr="002A4D6D" w:rsidRDefault="001C56B0" w:rsidP="002A4D6D">
                  <w:pPr>
                    <w:jc w:val="center"/>
                    <w:rPr>
                      <w:spacing w:val="-4"/>
                      <w:sz w:val="26"/>
                      <w:szCs w:val="26"/>
                    </w:rPr>
                  </w:pPr>
                  <w:r w:rsidRPr="002A4D6D">
                    <w:rPr>
                      <w:spacing w:val="-4"/>
                      <w:sz w:val="26"/>
                      <w:szCs w:val="26"/>
                    </w:rPr>
                    <w:t xml:space="preserve">Likumprojekta </w:t>
                  </w:r>
                  <w:r w:rsidR="008D3799" w:rsidRPr="002A4D6D">
                    <w:rPr>
                      <w:spacing w:val="-4"/>
                      <w:sz w:val="26"/>
                      <w:szCs w:val="26"/>
                    </w:rPr>
                    <w:t>19</w:t>
                  </w:r>
                  <w:r w:rsidRPr="002A4D6D">
                    <w:rPr>
                      <w:spacing w:val="-4"/>
                      <w:sz w:val="26"/>
                      <w:szCs w:val="26"/>
                    </w:rPr>
                    <w:t>.pants</w:t>
                  </w:r>
                </w:p>
                <w:p w14:paraId="17B4B3F2" w14:textId="1E69DF01" w:rsidR="001C56B0" w:rsidRPr="002A4D6D" w:rsidRDefault="001C56B0" w:rsidP="002A4D6D">
                  <w:pPr>
                    <w:jc w:val="center"/>
                    <w:rPr>
                      <w:spacing w:val="-4"/>
                      <w:sz w:val="26"/>
                      <w:szCs w:val="26"/>
                    </w:rPr>
                  </w:pPr>
                  <w:r w:rsidRPr="002A4D6D">
                    <w:rPr>
                      <w:spacing w:val="-4"/>
                      <w:sz w:val="26"/>
                      <w:szCs w:val="26"/>
                    </w:rPr>
                    <w:t xml:space="preserve">(Pievienotās vērtības nodokļa likuma </w:t>
                  </w:r>
                  <w:r w:rsidR="008D3799" w:rsidRPr="002A4D6D">
                    <w:rPr>
                      <w:spacing w:val="-4"/>
                      <w:sz w:val="26"/>
                      <w:szCs w:val="26"/>
                    </w:rPr>
                    <w:t>140</w:t>
                  </w:r>
                  <w:r w:rsidRPr="002A4D6D">
                    <w:rPr>
                      <w:spacing w:val="-4"/>
                      <w:sz w:val="26"/>
                      <w:szCs w:val="26"/>
                    </w:rPr>
                    <w:t>.</w:t>
                  </w:r>
                  <w:r w:rsidR="008D3799" w:rsidRPr="002A4D6D">
                    <w:rPr>
                      <w:spacing w:val="-4"/>
                      <w:sz w:val="26"/>
                      <w:szCs w:val="26"/>
                      <w:vertAlign w:val="superscript"/>
                    </w:rPr>
                    <w:t>3</w:t>
                  </w:r>
                  <w:r w:rsidR="008D3799" w:rsidRPr="002A4D6D">
                    <w:rPr>
                      <w:spacing w:val="-4"/>
                      <w:sz w:val="26"/>
                      <w:szCs w:val="26"/>
                    </w:rPr>
                    <w:t> </w:t>
                  </w:r>
                  <w:r w:rsidRPr="002A4D6D">
                    <w:rPr>
                      <w:spacing w:val="-4"/>
                      <w:sz w:val="26"/>
                      <w:szCs w:val="26"/>
                    </w:rPr>
                    <w:t xml:space="preserve">panta </w:t>
                  </w:r>
                  <w:r w:rsidR="008D3799" w:rsidRPr="002A4D6D">
                    <w:rPr>
                      <w:spacing w:val="-4"/>
                      <w:sz w:val="26"/>
                      <w:szCs w:val="26"/>
                    </w:rPr>
                    <w:t xml:space="preserve">astotā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0A67F88D" w14:textId="11BB7BE9"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51B6DE16" w14:textId="608D50DD"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39177901"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1193A835" w14:textId="07597135" w:rsidR="001C56B0" w:rsidRPr="002A4D6D" w:rsidRDefault="001C56B0" w:rsidP="002A4D6D">
                  <w:pPr>
                    <w:jc w:val="center"/>
                    <w:rPr>
                      <w:spacing w:val="-4"/>
                      <w:sz w:val="26"/>
                      <w:szCs w:val="26"/>
                    </w:rPr>
                  </w:pPr>
                  <w:r w:rsidRPr="002A4D6D">
                    <w:rPr>
                      <w:spacing w:val="-4"/>
                      <w:sz w:val="26"/>
                      <w:szCs w:val="26"/>
                    </w:rPr>
                    <w:t>Direktīvas 2019/1995 1.panta 13.punkts attiecībā uz 369.g panta 1., 2. un 3.punkta pārņemšanu</w:t>
                  </w:r>
                </w:p>
              </w:tc>
              <w:tc>
                <w:tcPr>
                  <w:tcW w:w="2552" w:type="dxa"/>
                  <w:tcBorders>
                    <w:top w:val="outset" w:sz="6" w:space="0" w:color="auto"/>
                    <w:left w:val="outset" w:sz="6" w:space="0" w:color="auto"/>
                    <w:bottom w:val="outset" w:sz="6" w:space="0" w:color="auto"/>
                    <w:right w:val="outset" w:sz="6" w:space="0" w:color="auto"/>
                  </w:tcBorders>
                </w:tcPr>
                <w:p w14:paraId="25ECBEFD" w14:textId="77777777" w:rsidR="00786E79" w:rsidRPr="002A4D6D" w:rsidRDefault="00786E79" w:rsidP="002A4D6D">
                  <w:pPr>
                    <w:jc w:val="center"/>
                    <w:rPr>
                      <w:spacing w:val="-4"/>
                      <w:sz w:val="26"/>
                      <w:szCs w:val="26"/>
                    </w:rPr>
                  </w:pPr>
                  <w:r w:rsidRPr="002A4D6D">
                    <w:rPr>
                      <w:spacing w:val="-4"/>
                      <w:sz w:val="26"/>
                      <w:szCs w:val="26"/>
                    </w:rPr>
                    <w:t>Likumprojekta 19.pants</w:t>
                  </w:r>
                </w:p>
                <w:p w14:paraId="68A8C681" w14:textId="44414280" w:rsidR="001C56B0" w:rsidRPr="002A4D6D" w:rsidRDefault="00786E79" w:rsidP="002A4D6D">
                  <w:pPr>
                    <w:jc w:val="center"/>
                    <w:rPr>
                      <w:spacing w:val="-4"/>
                      <w:sz w:val="26"/>
                      <w:szCs w:val="26"/>
                    </w:rPr>
                  </w:pPr>
                  <w:r w:rsidRPr="002A4D6D">
                    <w:rPr>
                      <w:spacing w:val="-4"/>
                      <w:sz w:val="26"/>
                      <w:szCs w:val="26"/>
                    </w:rPr>
                    <w:t>(deleģējums Pievienotās vērtības nodokļa likuma 140.</w:t>
                  </w:r>
                  <w:r w:rsidRPr="002A4D6D">
                    <w:rPr>
                      <w:spacing w:val="-4"/>
                      <w:sz w:val="26"/>
                      <w:szCs w:val="26"/>
                      <w:vertAlign w:val="superscript"/>
                    </w:rPr>
                    <w:t>3</w:t>
                  </w:r>
                  <w:r w:rsidRPr="002A4D6D">
                    <w:rPr>
                      <w:spacing w:val="-4"/>
                      <w:sz w:val="26"/>
                      <w:szCs w:val="26"/>
                    </w:rPr>
                    <w:t> panta trīspadsmitajā daļā)</w:t>
                  </w:r>
                </w:p>
              </w:tc>
              <w:tc>
                <w:tcPr>
                  <w:tcW w:w="1840" w:type="dxa"/>
                  <w:gridSpan w:val="2"/>
                  <w:tcBorders>
                    <w:top w:val="outset" w:sz="6" w:space="0" w:color="auto"/>
                    <w:left w:val="outset" w:sz="6" w:space="0" w:color="auto"/>
                    <w:bottom w:val="outset" w:sz="6" w:space="0" w:color="auto"/>
                    <w:right w:val="outset" w:sz="6" w:space="0" w:color="auto"/>
                  </w:tcBorders>
                </w:tcPr>
                <w:p w14:paraId="2DD4271E" w14:textId="398D5928" w:rsidR="001C56B0" w:rsidRPr="002A4D6D" w:rsidRDefault="00786E79"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3EED8516" w14:textId="1334E88E"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00B4F87D" w14:textId="77777777" w:rsidTr="005E7435">
              <w:trPr>
                <w:gridAfter w:val="3"/>
                <w:wAfter w:w="5523" w:type="dxa"/>
              </w:trPr>
              <w:tc>
                <w:tcPr>
                  <w:tcW w:w="2944" w:type="dxa"/>
                  <w:tcBorders>
                    <w:top w:val="outset" w:sz="6" w:space="0" w:color="auto"/>
                    <w:left w:val="outset" w:sz="6" w:space="0" w:color="auto"/>
                    <w:bottom w:val="outset" w:sz="6" w:space="0" w:color="auto"/>
                    <w:right w:val="outset" w:sz="6" w:space="0" w:color="auto"/>
                  </w:tcBorders>
                </w:tcPr>
                <w:p w14:paraId="5489F74D" w14:textId="0F46A280" w:rsidR="001C56B0" w:rsidRPr="002A4D6D" w:rsidRDefault="001C56B0" w:rsidP="002A4D6D">
                  <w:pPr>
                    <w:jc w:val="center"/>
                    <w:rPr>
                      <w:spacing w:val="-4"/>
                      <w:sz w:val="26"/>
                      <w:szCs w:val="26"/>
                    </w:rPr>
                  </w:pPr>
                  <w:r w:rsidRPr="002A4D6D">
                    <w:rPr>
                      <w:spacing w:val="-4"/>
                      <w:sz w:val="26"/>
                      <w:szCs w:val="26"/>
                    </w:rPr>
                    <w:t>Direktīvas 2019/1995 1.panta 12.punkts attiecībā uz 369.zb panta 2.punkta pārņemšanu</w:t>
                  </w:r>
                </w:p>
              </w:tc>
              <w:tc>
                <w:tcPr>
                  <w:tcW w:w="2552" w:type="dxa"/>
                  <w:tcBorders>
                    <w:top w:val="outset" w:sz="6" w:space="0" w:color="auto"/>
                    <w:left w:val="outset" w:sz="6" w:space="0" w:color="auto"/>
                    <w:bottom w:val="outset" w:sz="6" w:space="0" w:color="auto"/>
                    <w:right w:val="outset" w:sz="6" w:space="0" w:color="auto"/>
                  </w:tcBorders>
                </w:tcPr>
                <w:p w14:paraId="4F94B1C1" w14:textId="7EA23576" w:rsidR="001C56B0" w:rsidRPr="002A4D6D" w:rsidRDefault="001C56B0" w:rsidP="002A4D6D">
                  <w:pPr>
                    <w:jc w:val="center"/>
                    <w:rPr>
                      <w:spacing w:val="-4"/>
                      <w:sz w:val="26"/>
                      <w:szCs w:val="26"/>
                    </w:rPr>
                  </w:pPr>
                  <w:r w:rsidRPr="002A4D6D">
                    <w:rPr>
                      <w:spacing w:val="-4"/>
                      <w:sz w:val="26"/>
                      <w:szCs w:val="26"/>
                    </w:rPr>
                    <w:t xml:space="preserve">Likumprojekta </w:t>
                  </w:r>
                  <w:r w:rsidR="00786E79" w:rsidRPr="002A4D6D">
                    <w:rPr>
                      <w:spacing w:val="-4"/>
                      <w:sz w:val="26"/>
                      <w:szCs w:val="26"/>
                    </w:rPr>
                    <w:t>19</w:t>
                  </w:r>
                  <w:r w:rsidRPr="002A4D6D">
                    <w:rPr>
                      <w:spacing w:val="-4"/>
                      <w:sz w:val="26"/>
                      <w:szCs w:val="26"/>
                    </w:rPr>
                    <w:t>.pants</w:t>
                  </w:r>
                </w:p>
                <w:p w14:paraId="4BE119F1" w14:textId="2EC441E4" w:rsidR="001C56B0" w:rsidRPr="002A4D6D" w:rsidRDefault="001C56B0" w:rsidP="002A4D6D">
                  <w:pPr>
                    <w:jc w:val="center"/>
                    <w:rPr>
                      <w:spacing w:val="-4"/>
                      <w:sz w:val="26"/>
                      <w:szCs w:val="26"/>
                    </w:rPr>
                  </w:pPr>
                  <w:r w:rsidRPr="002A4D6D">
                    <w:rPr>
                      <w:spacing w:val="-4"/>
                      <w:sz w:val="26"/>
                      <w:szCs w:val="26"/>
                    </w:rPr>
                    <w:t xml:space="preserve">(Pievienotās vērtības nodokļa likuma </w:t>
                  </w:r>
                  <w:r w:rsidR="00786E79" w:rsidRPr="002A4D6D">
                    <w:rPr>
                      <w:spacing w:val="-4"/>
                      <w:sz w:val="26"/>
                      <w:szCs w:val="26"/>
                    </w:rPr>
                    <w:t>140</w:t>
                  </w:r>
                  <w:r w:rsidRPr="002A4D6D">
                    <w:rPr>
                      <w:spacing w:val="-4"/>
                      <w:sz w:val="26"/>
                      <w:szCs w:val="26"/>
                    </w:rPr>
                    <w:t>.</w:t>
                  </w:r>
                  <w:r w:rsidR="00786E79" w:rsidRPr="002A4D6D">
                    <w:rPr>
                      <w:spacing w:val="-4"/>
                      <w:sz w:val="26"/>
                      <w:szCs w:val="26"/>
                      <w:vertAlign w:val="superscript"/>
                    </w:rPr>
                    <w:t>5</w:t>
                  </w:r>
                  <w:r w:rsidR="00786E79" w:rsidRPr="002A4D6D">
                    <w:rPr>
                      <w:spacing w:val="-4"/>
                      <w:sz w:val="26"/>
                      <w:szCs w:val="26"/>
                    </w:rPr>
                    <w:t> </w:t>
                  </w:r>
                  <w:r w:rsidRPr="002A4D6D">
                    <w:rPr>
                      <w:spacing w:val="-4"/>
                      <w:sz w:val="26"/>
                      <w:szCs w:val="26"/>
                    </w:rPr>
                    <w:t xml:space="preserve">panta </w:t>
                  </w:r>
                  <w:r w:rsidR="00786E79" w:rsidRPr="002A4D6D">
                    <w:rPr>
                      <w:spacing w:val="-4"/>
                      <w:sz w:val="26"/>
                      <w:szCs w:val="26"/>
                    </w:rPr>
                    <w:t xml:space="preserve">sestā </w:t>
                  </w:r>
                  <w:r w:rsidRPr="002A4D6D">
                    <w:rPr>
                      <w:spacing w:val="-4"/>
                      <w:sz w:val="26"/>
                      <w:szCs w:val="26"/>
                    </w:rPr>
                    <w:t>daļa)</w:t>
                  </w:r>
                </w:p>
              </w:tc>
              <w:tc>
                <w:tcPr>
                  <w:tcW w:w="1840" w:type="dxa"/>
                  <w:gridSpan w:val="2"/>
                  <w:tcBorders>
                    <w:top w:val="outset" w:sz="6" w:space="0" w:color="auto"/>
                    <w:left w:val="outset" w:sz="6" w:space="0" w:color="auto"/>
                    <w:bottom w:val="outset" w:sz="6" w:space="0" w:color="auto"/>
                    <w:right w:val="outset" w:sz="6" w:space="0" w:color="auto"/>
                  </w:tcBorders>
                </w:tcPr>
                <w:p w14:paraId="15AD0BA5" w14:textId="7E3BA9FB"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Borders>
                    <w:top w:val="outset" w:sz="6" w:space="0" w:color="auto"/>
                    <w:left w:val="outset" w:sz="6" w:space="0" w:color="auto"/>
                    <w:bottom w:val="outset" w:sz="6" w:space="0" w:color="auto"/>
                    <w:right w:val="outset" w:sz="6" w:space="0" w:color="auto"/>
                  </w:tcBorders>
                </w:tcPr>
                <w:p w14:paraId="2AA46B4B" w14:textId="51F5047C"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35475FDF" w14:textId="77777777" w:rsidTr="005E7435">
              <w:trPr>
                <w:gridAfter w:val="3"/>
                <w:wAfter w:w="5523" w:type="dxa"/>
              </w:trPr>
              <w:tc>
                <w:tcPr>
                  <w:tcW w:w="2944" w:type="dxa"/>
                  <w:hideMark/>
                </w:tcPr>
                <w:p w14:paraId="2B207D4F" w14:textId="77777777" w:rsidR="001C56B0" w:rsidRPr="002A4D6D" w:rsidRDefault="001C56B0" w:rsidP="002A4D6D">
                  <w:pPr>
                    <w:rPr>
                      <w:rFonts w:eastAsia="Times New Roman"/>
                      <w:spacing w:val="-4"/>
                      <w:sz w:val="26"/>
                      <w:szCs w:val="26"/>
                      <w:lang w:eastAsia="lv-LV"/>
                    </w:rPr>
                  </w:pPr>
                  <w:r w:rsidRPr="002A4D6D">
                    <w:rPr>
                      <w:rFonts w:eastAsia="Times New Roman"/>
                      <w:spacing w:val="-4"/>
                      <w:sz w:val="26"/>
                      <w:szCs w:val="26"/>
                      <w:lang w:eastAsia="lv-LV"/>
                    </w:rPr>
                    <w:t>Kā ir izmantota ES tiesību aktā paredzētā rīcības brīvība dalībvalstij pārņemt vai ieviest noteiktas ES tiesību akta normas? Kādēļ?</w:t>
                  </w:r>
                </w:p>
              </w:tc>
              <w:tc>
                <w:tcPr>
                  <w:tcW w:w="6235" w:type="dxa"/>
                  <w:gridSpan w:val="4"/>
                  <w:hideMark/>
                </w:tcPr>
                <w:p w14:paraId="18740097" w14:textId="3308A37C" w:rsidR="001C56B0" w:rsidRPr="002A4D6D" w:rsidRDefault="001C56B0" w:rsidP="002A4D6D">
                  <w:pPr>
                    <w:jc w:val="both"/>
                    <w:rPr>
                      <w:rFonts w:eastAsia="Times New Roman"/>
                      <w:spacing w:val="-4"/>
                      <w:sz w:val="26"/>
                      <w:szCs w:val="26"/>
                      <w:lang w:eastAsia="lv-LV"/>
                    </w:rPr>
                  </w:pPr>
                  <w:r w:rsidRPr="002A4D6D">
                    <w:rPr>
                      <w:rFonts w:eastAsia="Times New Roman"/>
                      <w:spacing w:val="-4"/>
                      <w:sz w:val="26"/>
                      <w:szCs w:val="26"/>
                      <w:lang w:eastAsia="lv-LV"/>
                    </w:rPr>
                    <w:t>Projekts šo jomu neskar.</w:t>
                  </w:r>
                </w:p>
              </w:tc>
            </w:tr>
            <w:tr w:rsidR="001C56B0" w:rsidRPr="002A4D6D" w14:paraId="146B887D" w14:textId="77777777" w:rsidTr="005E7435">
              <w:trPr>
                <w:gridAfter w:val="3"/>
                <w:wAfter w:w="5523" w:type="dxa"/>
              </w:trPr>
              <w:tc>
                <w:tcPr>
                  <w:tcW w:w="2944" w:type="dxa"/>
                  <w:hideMark/>
                </w:tcPr>
                <w:p w14:paraId="0E35BEA3" w14:textId="77777777" w:rsidR="001C56B0" w:rsidRPr="002A4D6D" w:rsidRDefault="001C56B0" w:rsidP="002A4D6D">
                  <w:pPr>
                    <w:rPr>
                      <w:rFonts w:eastAsia="Times New Roman"/>
                      <w:spacing w:val="-4"/>
                      <w:sz w:val="26"/>
                      <w:szCs w:val="26"/>
                      <w:lang w:eastAsia="lv-LV"/>
                    </w:rPr>
                  </w:pPr>
                  <w:r w:rsidRPr="002A4D6D">
                    <w:rPr>
                      <w:rFonts w:eastAsia="Times New Roman"/>
                      <w:spacing w:val="-4"/>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35" w:type="dxa"/>
                  <w:gridSpan w:val="4"/>
                  <w:hideMark/>
                </w:tcPr>
                <w:p w14:paraId="3EDF37C6" w14:textId="77777777" w:rsidR="001C56B0" w:rsidRPr="002A4D6D" w:rsidRDefault="001C56B0" w:rsidP="002A4D6D">
                  <w:pPr>
                    <w:jc w:val="both"/>
                    <w:rPr>
                      <w:rFonts w:eastAsia="Times New Roman"/>
                      <w:spacing w:val="-4"/>
                      <w:sz w:val="26"/>
                      <w:szCs w:val="26"/>
                      <w:lang w:eastAsia="lv-LV"/>
                    </w:rPr>
                  </w:pPr>
                  <w:r w:rsidRPr="002A4D6D">
                    <w:rPr>
                      <w:rFonts w:eastAsia="Times New Roman"/>
                      <w:spacing w:val="-4"/>
                      <w:sz w:val="26"/>
                      <w:szCs w:val="26"/>
                      <w:lang w:eastAsia="lv-LV"/>
                    </w:rPr>
                    <w:t>Projekts šo jomu neskar.</w:t>
                  </w:r>
                </w:p>
              </w:tc>
            </w:tr>
            <w:tr w:rsidR="001C56B0" w:rsidRPr="002A4D6D" w14:paraId="6AF3EC55" w14:textId="77777777" w:rsidTr="005E7435">
              <w:trPr>
                <w:gridAfter w:val="3"/>
                <w:wAfter w:w="5523" w:type="dxa"/>
              </w:trPr>
              <w:tc>
                <w:tcPr>
                  <w:tcW w:w="2944" w:type="dxa"/>
                  <w:hideMark/>
                </w:tcPr>
                <w:p w14:paraId="7C5FE9EA" w14:textId="77777777" w:rsidR="001C56B0" w:rsidRPr="002A4D6D" w:rsidRDefault="001C56B0" w:rsidP="002A4D6D">
                  <w:pPr>
                    <w:rPr>
                      <w:rFonts w:eastAsia="Times New Roman"/>
                      <w:spacing w:val="-4"/>
                      <w:sz w:val="26"/>
                      <w:szCs w:val="26"/>
                      <w:lang w:eastAsia="lv-LV"/>
                    </w:rPr>
                  </w:pPr>
                  <w:r w:rsidRPr="002A4D6D">
                    <w:rPr>
                      <w:rFonts w:eastAsia="Times New Roman"/>
                      <w:spacing w:val="-4"/>
                      <w:sz w:val="26"/>
                      <w:szCs w:val="26"/>
                      <w:lang w:eastAsia="lv-LV"/>
                    </w:rPr>
                    <w:t>Cita informācija</w:t>
                  </w:r>
                </w:p>
              </w:tc>
              <w:tc>
                <w:tcPr>
                  <w:tcW w:w="6235" w:type="dxa"/>
                  <w:gridSpan w:val="4"/>
                  <w:hideMark/>
                </w:tcPr>
                <w:p w14:paraId="08749650" w14:textId="404EF0EE" w:rsidR="008D3799" w:rsidRPr="002A4D6D" w:rsidRDefault="008D3799" w:rsidP="002A4D6D">
                  <w:pPr>
                    <w:ind w:right="77"/>
                    <w:jc w:val="both"/>
                    <w:rPr>
                      <w:rFonts w:eastAsia="Times New Roman"/>
                      <w:spacing w:val="-4"/>
                      <w:sz w:val="26"/>
                      <w:szCs w:val="26"/>
                      <w:lang w:eastAsia="lv-LV"/>
                    </w:rPr>
                  </w:pPr>
                  <w:r w:rsidRPr="002A4D6D">
                    <w:rPr>
                      <w:spacing w:val="-4"/>
                      <w:sz w:val="26"/>
                      <w:szCs w:val="26"/>
                    </w:rPr>
                    <w:t>Direktīvas 2019/1995 1.panta 5.punkt</w:t>
                  </w:r>
                  <w:r w:rsidR="00C82D12" w:rsidRPr="002A4D6D">
                    <w:rPr>
                      <w:spacing w:val="-4"/>
                      <w:sz w:val="26"/>
                      <w:szCs w:val="26"/>
                    </w:rPr>
                    <w:t>u</w:t>
                  </w:r>
                  <w:r w:rsidRPr="002A4D6D">
                    <w:rPr>
                      <w:spacing w:val="-4"/>
                      <w:sz w:val="26"/>
                      <w:szCs w:val="26"/>
                    </w:rPr>
                    <w:t xml:space="preserve"> attiecībā uz </w:t>
                  </w:r>
                  <w:r w:rsidR="009D4E1B" w:rsidRPr="002A4D6D">
                    <w:rPr>
                      <w:spacing w:val="-4"/>
                      <w:sz w:val="26"/>
                      <w:szCs w:val="26"/>
                    </w:rPr>
                    <w:t xml:space="preserve">Direktīvas 2006/112/EK </w:t>
                  </w:r>
                  <w:r w:rsidRPr="002A4D6D">
                    <w:rPr>
                      <w:spacing w:val="-4"/>
                      <w:sz w:val="26"/>
                      <w:szCs w:val="26"/>
                    </w:rPr>
                    <w:t>204.panta 1.punkta trešās daļas pārņemšanu</w:t>
                  </w:r>
                  <w:r w:rsidR="006B015F" w:rsidRPr="002A4D6D">
                    <w:rPr>
                      <w:spacing w:val="-4"/>
                      <w:sz w:val="26"/>
                      <w:szCs w:val="26"/>
                    </w:rPr>
                    <w:t xml:space="preserve"> nav nepieciešams </w:t>
                  </w:r>
                  <w:r w:rsidR="009D4E1B" w:rsidRPr="002A4D6D">
                    <w:rPr>
                      <w:spacing w:val="-4"/>
                      <w:sz w:val="26"/>
                      <w:szCs w:val="26"/>
                    </w:rPr>
                    <w:t xml:space="preserve">pārņemt Pievienotās vērtības </w:t>
                  </w:r>
                  <w:r w:rsidR="009D4E1B" w:rsidRPr="002A4D6D">
                    <w:rPr>
                      <w:spacing w:val="-4"/>
                      <w:sz w:val="26"/>
                      <w:szCs w:val="26"/>
                    </w:rPr>
                    <w:lastRenderedPageBreak/>
                    <w:t>nodokļa likumā, jo sākotnēji, pārņemot fiskālā pārstāvja regulējumu nacionālajos tiesību aktos PVN jomā, fiskālā pārstāvja darbības tvērumā netika iekļauti pakalpojumi.</w:t>
                  </w:r>
                </w:p>
                <w:p w14:paraId="1BF4BE15" w14:textId="6F531CF9" w:rsidR="001C56B0" w:rsidRPr="002A4D6D" w:rsidRDefault="001C56B0" w:rsidP="002A4D6D">
                  <w:pPr>
                    <w:ind w:right="77"/>
                    <w:jc w:val="both"/>
                    <w:rPr>
                      <w:rFonts w:eastAsia="Times New Roman"/>
                      <w:spacing w:val="-4"/>
                      <w:sz w:val="26"/>
                      <w:szCs w:val="26"/>
                      <w:lang w:eastAsia="lv-LV"/>
                    </w:rPr>
                  </w:pPr>
                  <w:r w:rsidRPr="002A4D6D">
                    <w:rPr>
                      <w:rFonts w:eastAsia="Times New Roman"/>
                      <w:spacing w:val="-4"/>
                      <w:sz w:val="26"/>
                      <w:szCs w:val="26"/>
                      <w:lang w:eastAsia="lv-LV"/>
                    </w:rPr>
                    <w:t xml:space="preserve">Tā kā Direktīvas 2006/112/EK 272.panta 1.punkta “b” apakšpunkts ir izvēles norma, kuru Latvija nav </w:t>
                  </w:r>
                  <w:r w:rsidRPr="002A4D6D">
                    <w:rPr>
                      <w:spacing w:val="-4"/>
                      <w:sz w:val="26"/>
                      <w:szCs w:val="26"/>
                    </w:rPr>
                    <w:t>ieviesusi</w:t>
                  </w:r>
                  <w:r w:rsidRPr="002A4D6D">
                    <w:rPr>
                      <w:rFonts w:eastAsia="Times New Roman"/>
                      <w:spacing w:val="-4"/>
                      <w:sz w:val="26"/>
                      <w:szCs w:val="26"/>
                      <w:lang w:eastAsia="lv-LV"/>
                    </w:rPr>
                    <w:t xml:space="preserve">, Direktīvas 2019/1995 1.panta 6.punkts daļā par Direktīvas 2006/112/EK 272.panta 1.punkta “b” apakšpunkta pārņemšanu </w:t>
                  </w:r>
                  <w:r w:rsidR="00C82D12" w:rsidRPr="002A4D6D">
                    <w:rPr>
                      <w:rFonts w:eastAsia="Times New Roman"/>
                      <w:spacing w:val="-4"/>
                      <w:sz w:val="26"/>
                      <w:szCs w:val="26"/>
                      <w:lang w:eastAsia="lv-LV"/>
                    </w:rPr>
                    <w:t>netiek pārņemts</w:t>
                  </w:r>
                  <w:r w:rsidRPr="002A4D6D">
                    <w:rPr>
                      <w:rFonts w:eastAsia="Times New Roman"/>
                      <w:spacing w:val="-4"/>
                      <w:sz w:val="26"/>
                      <w:szCs w:val="26"/>
                      <w:lang w:eastAsia="lv-LV"/>
                    </w:rPr>
                    <w:t xml:space="preserve"> Pievienotās vērtības nodokļa likuma regulējumā.</w:t>
                  </w:r>
                </w:p>
                <w:p w14:paraId="069DB34B" w14:textId="0F7A4223" w:rsidR="001C56B0" w:rsidRPr="002A4D6D" w:rsidRDefault="001C56B0" w:rsidP="002A4D6D">
                  <w:pPr>
                    <w:ind w:right="77"/>
                    <w:jc w:val="both"/>
                    <w:rPr>
                      <w:spacing w:val="-4"/>
                      <w:sz w:val="26"/>
                      <w:szCs w:val="26"/>
                    </w:rPr>
                  </w:pPr>
                  <w:r w:rsidRPr="002A4D6D">
                    <w:rPr>
                      <w:spacing w:val="-4"/>
                      <w:sz w:val="26"/>
                      <w:szCs w:val="26"/>
                    </w:rPr>
                    <w:t>Direktīvas 2019/1995 1.panta 7.</w:t>
                  </w:r>
                  <w:r w:rsidR="009D4E1B" w:rsidRPr="002A4D6D">
                    <w:rPr>
                      <w:spacing w:val="-4"/>
                      <w:sz w:val="26"/>
                      <w:szCs w:val="26"/>
                    </w:rPr>
                    <w:t xml:space="preserve"> un 8.</w:t>
                  </w:r>
                  <w:r w:rsidRPr="002A4D6D">
                    <w:rPr>
                      <w:spacing w:val="-4"/>
                      <w:sz w:val="26"/>
                      <w:szCs w:val="26"/>
                    </w:rPr>
                    <w:t xml:space="preserve">punkts attiecībā uz </w:t>
                  </w:r>
                  <w:r w:rsidR="009D4E1B" w:rsidRPr="002A4D6D">
                    <w:rPr>
                      <w:spacing w:val="-4"/>
                      <w:sz w:val="26"/>
                      <w:szCs w:val="26"/>
                    </w:rPr>
                    <w:t>virsraksta izteikšanu jaunā redakcijā nav jāpārņem Pievienotās vērtības nodokļa regulējumā pēc būtības, jo tam ir informatīvs raksturs. Tā galvenās iezīmes ir iekļautas Pievienotās vērtības nodokļa likuma pantu nosaukumā.</w:t>
                  </w:r>
                </w:p>
              </w:tc>
            </w:tr>
            <w:tr w:rsidR="001C56B0" w:rsidRPr="002A4D6D" w14:paraId="1B0B4E97" w14:textId="77777777" w:rsidTr="005E7435">
              <w:trPr>
                <w:gridAfter w:val="3"/>
                <w:wAfter w:w="5523" w:type="dxa"/>
              </w:trPr>
              <w:tc>
                <w:tcPr>
                  <w:tcW w:w="2944" w:type="dxa"/>
                </w:tcPr>
                <w:p w14:paraId="4E29536D" w14:textId="54047AFD" w:rsidR="001C56B0" w:rsidRPr="002A4D6D" w:rsidRDefault="001C56B0" w:rsidP="002A4D6D">
                  <w:pPr>
                    <w:rPr>
                      <w:rFonts w:eastAsia="Times New Roman"/>
                      <w:spacing w:val="-4"/>
                      <w:sz w:val="26"/>
                      <w:szCs w:val="26"/>
                      <w:lang w:eastAsia="lv-LV"/>
                    </w:rPr>
                  </w:pPr>
                  <w:r w:rsidRPr="002A4D6D">
                    <w:rPr>
                      <w:spacing w:val="-4"/>
                      <w:sz w:val="26"/>
                      <w:szCs w:val="26"/>
                    </w:rPr>
                    <w:lastRenderedPageBreak/>
                    <w:t>Attiecīgā ES tiesību akta datums, numurs un nosaukums</w:t>
                  </w:r>
                </w:p>
              </w:tc>
              <w:tc>
                <w:tcPr>
                  <w:tcW w:w="6235" w:type="dxa"/>
                  <w:gridSpan w:val="4"/>
                </w:tcPr>
                <w:p w14:paraId="22726EA4" w14:textId="4AEF24BC" w:rsidR="001C56B0" w:rsidRPr="002A4D6D" w:rsidRDefault="001C56B0" w:rsidP="002A4D6D">
                  <w:pPr>
                    <w:jc w:val="both"/>
                    <w:rPr>
                      <w:rFonts w:eastAsia="Times New Roman"/>
                      <w:spacing w:val="-4"/>
                      <w:sz w:val="26"/>
                      <w:szCs w:val="26"/>
                      <w:lang w:eastAsia="lv-LV"/>
                    </w:rPr>
                  </w:pPr>
                  <w:r w:rsidRPr="002A4D6D">
                    <w:rPr>
                      <w:spacing w:val="-4"/>
                      <w:sz w:val="26"/>
                      <w:szCs w:val="26"/>
                    </w:rPr>
                    <w:t>Padomes 2006.gada 28.novembra direktīva 2006/112/EK par kopējo pievienotās vērtības nodokļa sistēmu</w:t>
                  </w:r>
                </w:p>
              </w:tc>
            </w:tr>
            <w:tr w:rsidR="001C56B0" w:rsidRPr="002A4D6D" w14:paraId="37975029" w14:textId="77777777" w:rsidTr="00E44C64">
              <w:trPr>
                <w:gridAfter w:val="3"/>
                <w:wAfter w:w="5523" w:type="dxa"/>
              </w:trPr>
              <w:tc>
                <w:tcPr>
                  <w:tcW w:w="9179" w:type="dxa"/>
                  <w:gridSpan w:val="5"/>
                </w:tcPr>
                <w:p w14:paraId="22266FAF" w14:textId="7EB11642" w:rsidR="001C56B0" w:rsidRPr="002A4D6D" w:rsidRDefault="001C56B0" w:rsidP="002A4D6D">
                  <w:pPr>
                    <w:jc w:val="center"/>
                    <w:rPr>
                      <w:spacing w:val="-4"/>
                      <w:sz w:val="26"/>
                      <w:szCs w:val="26"/>
                    </w:rPr>
                  </w:pPr>
                  <w:r w:rsidRPr="002A4D6D">
                    <w:rPr>
                      <w:rFonts w:eastAsia="Times New Roman"/>
                      <w:spacing w:val="-4"/>
                      <w:sz w:val="26"/>
                      <w:szCs w:val="26"/>
                      <w:lang w:eastAsia="lv-LV"/>
                    </w:rPr>
                    <w:t>Direktīva 2006/112/EK</w:t>
                  </w:r>
                </w:p>
              </w:tc>
            </w:tr>
            <w:tr w:rsidR="001C56B0" w:rsidRPr="002A4D6D" w14:paraId="209DFFA6" w14:textId="344905F2" w:rsidTr="005E7435">
              <w:trPr>
                <w:trHeight w:val="1222"/>
              </w:trPr>
              <w:tc>
                <w:tcPr>
                  <w:tcW w:w="2944" w:type="dxa"/>
                </w:tcPr>
                <w:p w14:paraId="756A8979" w14:textId="7A705C4D" w:rsidR="001C56B0" w:rsidRPr="002A4D6D" w:rsidRDefault="001C56B0" w:rsidP="002A4D6D">
                  <w:pPr>
                    <w:jc w:val="center"/>
                    <w:rPr>
                      <w:spacing w:val="-4"/>
                      <w:sz w:val="26"/>
                      <w:szCs w:val="26"/>
                    </w:rPr>
                  </w:pPr>
                  <w:r w:rsidRPr="002A4D6D">
                    <w:rPr>
                      <w:spacing w:val="-4"/>
                      <w:sz w:val="26"/>
                      <w:szCs w:val="26"/>
                    </w:rPr>
                    <w:t>Direktīvas 358.a panta 1.punkts</w:t>
                  </w:r>
                </w:p>
              </w:tc>
              <w:tc>
                <w:tcPr>
                  <w:tcW w:w="2693" w:type="dxa"/>
                  <w:gridSpan w:val="2"/>
                </w:tcPr>
                <w:p w14:paraId="26257E7C" w14:textId="2011A189" w:rsidR="001C56B0" w:rsidRPr="002A4D6D" w:rsidRDefault="001C56B0" w:rsidP="002A4D6D">
                  <w:pPr>
                    <w:jc w:val="center"/>
                    <w:rPr>
                      <w:spacing w:val="-4"/>
                      <w:sz w:val="26"/>
                      <w:szCs w:val="26"/>
                    </w:rPr>
                  </w:pPr>
                  <w:r w:rsidRPr="002A4D6D">
                    <w:rPr>
                      <w:spacing w:val="-4"/>
                      <w:sz w:val="26"/>
                      <w:szCs w:val="26"/>
                    </w:rPr>
                    <w:t>Likumprojekta 19.pants</w:t>
                  </w:r>
                </w:p>
                <w:p w14:paraId="486BFCE3" w14:textId="5239A83D"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2</w:t>
                  </w:r>
                  <w:r w:rsidRPr="002A4D6D">
                    <w:rPr>
                      <w:spacing w:val="-4"/>
                      <w:sz w:val="26"/>
                      <w:szCs w:val="26"/>
                    </w:rPr>
                    <w:t> panta pirmās daļas 2.punkts)</w:t>
                  </w:r>
                </w:p>
              </w:tc>
              <w:tc>
                <w:tcPr>
                  <w:tcW w:w="1699" w:type="dxa"/>
                </w:tcPr>
                <w:p w14:paraId="71D15D0A" w14:textId="40DCF73C" w:rsidR="001C56B0" w:rsidRPr="002A4D6D" w:rsidRDefault="001C56B0" w:rsidP="002A4D6D">
                  <w:pPr>
                    <w:jc w:val="center"/>
                    <w:rPr>
                      <w:spacing w:val="-4"/>
                      <w:sz w:val="26"/>
                      <w:szCs w:val="26"/>
                    </w:rPr>
                  </w:pPr>
                  <w:r w:rsidRPr="002A4D6D">
                    <w:rPr>
                      <w:rFonts w:eastAsia="Times New Roman"/>
                      <w:spacing w:val="-4"/>
                      <w:sz w:val="26"/>
                      <w:szCs w:val="26"/>
                      <w:lang w:eastAsia="lv-LV"/>
                    </w:rPr>
                    <w:t>Ieviests pilnībā</w:t>
                  </w:r>
                </w:p>
              </w:tc>
              <w:tc>
                <w:tcPr>
                  <w:tcW w:w="1843" w:type="dxa"/>
                </w:tcPr>
                <w:p w14:paraId="1328D5C7" w14:textId="780598B4" w:rsidR="001C56B0" w:rsidRPr="002A4D6D" w:rsidRDefault="001C56B0" w:rsidP="002A4D6D">
                  <w:pPr>
                    <w:jc w:val="center"/>
                    <w:rPr>
                      <w:spacing w:val="-4"/>
                      <w:sz w:val="26"/>
                      <w:szCs w:val="26"/>
                    </w:rPr>
                  </w:pPr>
                  <w:r w:rsidRPr="002A4D6D">
                    <w:rPr>
                      <w:rFonts w:eastAsia="Times New Roman"/>
                      <w:spacing w:val="-4"/>
                      <w:sz w:val="26"/>
                      <w:szCs w:val="26"/>
                      <w:lang w:eastAsia="lv-LV"/>
                    </w:rPr>
                    <w:t>Likumprojekts neparedz stingrākas prasības</w:t>
                  </w:r>
                </w:p>
              </w:tc>
              <w:tc>
                <w:tcPr>
                  <w:tcW w:w="1841" w:type="dxa"/>
                </w:tcPr>
                <w:p w14:paraId="512EF8FB" w14:textId="77777777" w:rsidR="001C56B0" w:rsidRPr="002A4D6D" w:rsidRDefault="001C56B0" w:rsidP="002A4D6D">
                  <w:pPr>
                    <w:jc w:val="center"/>
                    <w:rPr>
                      <w:spacing w:val="-4"/>
                      <w:sz w:val="26"/>
                      <w:szCs w:val="26"/>
                    </w:rPr>
                  </w:pPr>
                  <w:r w:rsidRPr="002A4D6D">
                    <w:rPr>
                      <w:spacing w:val="-4"/>
                      <w:sz w:val="26"/>
                      <w:szCs w:val="26"/>
                    </w:rPr>
                    <w:t>Likumprojekta 6.pants</w:t>
                  </w:r>
                </w:p>
                <w:p w14:paraId="7075DAD2" w14:textId="12129E76" w:rsidR="001C56B0" w:rsidRPr="002A4D6D" w:rsidRDefault="001C56B0" w:rsidP="002A4D6D">
                  <w:pPr>
                    <w:rPr>
                      <w:spacing w:val="-4"/>
                      <w:sz w:val="26"/>
                      <w:szCs w:val="26"/>
                    </w:rPr>
                  </w:pPr>
                  <w:r w:rsidRPr="002A4D6D">
                    <w:rPr>
                      <w:spacing w:val="-4"/>
                      <w:sz w:val="26"/>
                      <w:szCs w:val="26"/>
                    </w:rPr>
                    <w:t>(Pievienotās vērtības nodokļa likuma 12.panta ceturtā daļa)</w:t>
                  </w:r>
                </w:p>
              </w:tc>
              <w:tc>
                <w:tcPr>
                  <w:tcW w:w="1841" w:type="dxa"/>
                </w:tcPr>
                <w:p w14:paraId="7458962F" w14:textId="6F55D035" w:rsidR="001C56B0" w:rsidRPr="002A4D6D" w:rsidRDefault="001C56B0" w:rsidP="002A4D6D">
                  <w:pPr>
                    <w:rPr>
                      <w:spacing w:val="-4"/>
                      <w:sz w:val="26"/>
                      <w:szCs w:val="26"/>
                    </w:rPr>
                  </w:pPr>
                  <w:r w:rsidRPr="002A4D6D">
                    <w:rPr>
                      <w:rFonts w:eastAsia="Times New Roman"/>
                      <w:spacing w:val="-4"/>
                      <w:sz w:val="26"/>
                      <w:szCs w:val="26"/>
                      <w:lang w:eastAsia="lv-LV"/>
                    </w:rPr>
                    <w:t>Ieviests pilnībā</w:t>
                  </w:r>
                </w:p>
              </w:tc>
              <w:tc>
                <w:tcPr>
                  <w:tcW w:w="1841" w:type="dxa"/>
                </w:tcPr>
                <w:p w14:paraId="0586787F" w14:textId="4A217C10" w:rsidR="001C56B0" w:rsidRPr="002A4D6D" w:rsidRDefault="001C56B0" w:rsidP="002A4D6D">
                  <w:pPr>
                    <w:rPr>
                      <w:spacing w:val="-4"/>
                      <w:sz w:val="26"/>
                      <w:szCs w:val="26"/>
                    </w:rPr>
                  </w:pPr>
                  <w:r w:rsidRPr="002A4D6D">
                    <w:rPr>
                      <w:rFonts w:eastAsia="Times New Roman"/>
                      <w:spacing w:val="-4"/>
                      <w:sz w:val="26"/>
                      <w:szCs w:val="26"/>
                      <w:lang w:eastAsia="lv-LV"/>
                    </w:rPr>
                    <w:t>Likumprojekts neparedz stingrākas prasības</w:t>
                  </w:r>
                </w:p>
              </w:tc>
            </w:tr>
            <w:tr w:rsidR="001C56B0" w:rsidRPr="002A4D6D" w14:paraId="0A49FDCF" w14:textId="77777777" w:rsidTr="005E7435">
              <w:trPr>
                <w:trHeight w:val="1206"/>
              </w:trPr>
              <w:tc>
                <w:tcPr>
                  <w:tcW w:w="2944" w:type="dxa"/>
                </w:tcPr>
                <w:p w14:paraId="69D972AC" w14:textId="40AB89F9" w:rsidR="001C56B0" w:rsidRPr="002A4D6D" w:rsidRDefault="001C56B0" w:rsidP="002A4D6D">
                  <w:pPr>
                    <w:jc w:val="center"/>
                    <w:rPr>
                      <w:spacing w:val="-4"/>
                      <w:sz w:val="26"/>
                      <w:szCs w:val="26"/>
                    </w:rPr>
                  </w:pPr>
                  <w:r w:rsidRPr="002A4D6D">
                    <w:rPr>
                      <w:spacing w:val="-4"/>
                      <w:sz w:val="26"/>
                      <w:szCs w:val="26"/>
                    </w:rPr>
                    <w:t>Direktīvas 358.a panta 2.punkts</w:t>
                  </w:r>
                </w:p>
              </w:tc>
              <w:tc>
                <w:tcPr>
                  <w:tcW w:w="2693" w:type="dxa"/>
                  <w:gridSpan w:val="2"/>
                </w:tcPr>
                <w:p w14:paraId="3A40467A" w14:textId="64F470DD" w:rsidR="001C56B0" w:rsidRPr="002A4D6D" w:rsidRDefault="001C56B0" w:rsidP="002A4D6D">
                  <w:pPr>
                    <w:jc w:val="center"/>
                    <w:rPr>
                      <w:spacing w:val="-4"/>
                      <w:sz w:val="26"/>
                      <w:szCs w:val="26"/>
                    </w:rPr>
                  </w:pPr>
                  <w:r w:rsidRPr="002A4D6D">
                    <w:rPr>
                      <w:spacing w:val="-4"/>
                      <w:sz w:val="26"/>
                      <w:szCs w:val="26"/>
                    </w:rPr>
                    <w:t>Likumprojekta 19.pants</w:t>
                  </w:r>
                </w:p>
                <w:p w14:paraId="4101152F" w14:textId="33B6FFFF"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2</w:t>
                  </w:r>
                  <w:r w:rsidRPr="002A4D6D">
                    <w:rPr>
                      <w:spacing w:val="-4"/>
                      <w:sz w:val="26"/>
                      <w:szCs w:val="26"/>
                    </w:rPr>
                    <w:t> panta pirmās daļas 3.punkts)</w:t>
                  </w:r>
                </w:p>
              </w:tc>
              <w:tc>
                <w:tcPr>
                  <w:tcW w:w="1699" w:type="dxa"/>
                </w:tcPr>
                <w:p w14:paraId="61968D41" w14:textId="4FEB298D" w:rsidR="001C56B0" w:rsidRPr="002A4D6D" w:rsidRDefault="001C56B0" w:rsidP="002A4D6D">
                  <w:pPr>
                    <w:jc w:val="center"/>
                    <w:rPr>
                      <w:spacing w:val="-4"/>
                      <w:sz w:val="26"/>
                      <w:szCs w:val="26"/>
                    </w:rPr>
                  </w:pPr>
                  <w:r w:rsidRPr="002A4D6D">
                    <w:rPr>
                      <w:rFonts w:eastAsia="Times New Roman"/>
                      <w:spacing w:val="-4"/>
                      <w:sz w:val="26"/>
                      <w:szCs w:val="26"/>
                      <w:lang w:eastAsia="lv-LV"/>
                    </w:rPr>
                    <w:t>Ieviests pilnībā</w:t>
                  </w:r>
                </w:p>
              </w:tc>
              <w:tc>
                <w:tcPr>
                  <w:tcW w:w="1843" w:type="dxa"/>
                </w:tcPr>
                <w:p w14:paraId="56111BDB" w14:textId="0BA5E589" w:rsidR="001C56B0" w:rsidRPr="002A4D6D" w:rsidRDefault="001C56B0" w:rsidP="002A4D6D">
                  <w:pPr>
                    <w:jc w:val="center"/>
                    <w:rPr>
                      <w:spacing w:val="-4"/>
                      <w:sz w:val="26"/>
                      <w:szCs w:val="26"/>
                    </w:rPr>
                  </w:pPr>
                  <w:r w:rsidRPr="002A4D6D">
                    <w:rPr>
                      <w:rFonts w:eastAsia="Times New Roman"/>
                      <w:spacing w:val="-4"/>
                      <w:sz w:val="26"/>
                      <w:szCs w:val="26"/>
                      <w:lang w:eastAsia="lv-LV"/>
                    </w:rPr>
                    <w:t>Likumprojekts neparedz stingrākas prasības</w:t>
                  </w:r>
                </w:p>
              </w:tc>
              <w:tc>
                <w:tcPr>
                  <w:tcW w:w="1841" w:type="dxa"/>
                </w:tcPr>
                <w:p w14:paraId="6DF71E7E" w14:textId="77777777" w:rsidR="001C56B0" w:rsidRPr="002A4D6D" w:rsidRDefault="001C56B0" w:rsidP="002A4D6D">
                  <w:pPr>
                    <w:jc w:val="center"/>
                    <w:rPr>
                      <w:spacing w:val="-4"/>
                      <w:sz w:val="26"/>
                      <w:szCs w:val="26"/>
                    </w:rPr>
                  </w:pPr>
                  <w:r w:rsidRPr="002A4D6D">
                    <w:rPr>
                      <w:spacing w:val="-4"/>
                      <w:sz w:val="26"/>
                      <w:szCs w:val="26"/>
                    </w:rPr>
                    <w:t>Likumprojekta 14.pants</w:t>
                  </w:r>
                </w:p>
                <w:p w14:paraId="6966858F" w14:textId="3C59B339" w:rsidR="001C56B0" w:rsidRPr="002A4D6D" w:rsidRDefault="001C56B0" w:rsidP="002A4D6D">
                  <w:pPr>
                    <w:jc w:val="center"/>
                    <w:rPr>
                      <w:spacing w:val="-4"/>
                      <w:sz w:val="26"/>
                      <w:szCs w:val="26"/>
                    </w:rPr>
                  </w:pPr>
                  <w:r w:rsidRPr="002A4D6D">
                    <w:rPr>
                      <w:spacing w:val="-4"/>
                      <w:sz w:val="26"/>
                      <w:szCs w:val="26"/>
                    </w:rPr>
                    <w:t>(Pievienotās vērtības nodokļa likuma 120.panta 3</w:t>
                  </w:r>
                  <w:r w:rsidRPr="002A4D6D">
                    <w:rPr>
                      <w:spacing w:val="-4"/>
                      <w:sz w:val="26"/>
                      <w:szCs w:val="26"/>
                      <w:vertAlign w:val="superscript"/>
                    </w:rPr>
                    <w:t>1</w:t>
                  </w:r>
                  <w:r w:rsidRPr="002A4D6D">
                    <w:rPr>
                      <w:spacing w:val="-4"/>
                      <w:sz w:val="26"/>
                      <w:szCs w:val="26"/>
                    </w:rPr>
                    <w:t xml:space="preserve"> daļa)</w:t>
                  </w:r>
                </w:p>
              </w:tc>
              <w:tc>
                <w:tcPr>
                  <w:tcW w:w="1841" w:type="dxa"/>
                </w:tcPr>
                <w:p w14:paraId="1D1EB976" w14:textId="583D5777" w:rsidR="001C56B0" w:rsidRPr="002A4D6D" w:rsidRDefault="001C56B0" w:rsidP="002A4D6D">
                  <w:pP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1" w:type="dxa"/>
                </w:tcPr>
                <w:p w14:paraId="3EBD96AB" w14:textId="44514E31" w:rsidR="001C56B0" w:rsidRPr="002A4D6D" w:rsidRDefault="001C56B0" w:rsidP="002A4D6D">
                  <w:pP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r>
            <w:tr w:rsidR="001C56B0" w:rsidRPr="002A4D6D" w14:paraId="1C1CDE11" w14:textId="77777777" w:rsidTr="005E7435">
              <w:tc>
                <w:tcPr>
                  <w:tcW w:w="2944" w:type="dxa"/>
                </w:tcPr>
                <w:p w14:paraId="474F15A2" w14:textId="2E95863C" w:rsidR="001C56B0" w:rsidRPr="002A4D6D" w:rsidRDefault="001C56B0" w:rsidP="002A4D6D">
                  <w:pPr>
                    <w:jc w:val="center"/>
                    <w:rPr>
                      <w:spacing w:val="-4"/>
                      <w:sz w:val="26"/>
                      <w:szCs w:val="26"/>
                    </w:rPr>
                  </w:pPr>
                  <w:r w:rsidRPr="002A4D6D">
                    <w:rPr>
                      <w:spacing w:val="-4"/>
                      <w:sz w:val="26"/>
                      <w:szCs w:val="26"/>
                    </w:rPr>
                    <w:t>Direktīvas 360.pants</w:t>
                  </w:r>
                </w:p>
              </w:tc>
              <w:tc>
                <w:tcPr>
                  <w:tcW w:w="2693" w:type="dxa"/>
                  <w:gridSpan w:val="2"/>
                </w:tcPr>
                <w:p w14:paraId="403CE652" w14:textId="77777777" w:rsidR="001C56B0" w:rsidRPr="002A4D6D" w:rsidRDefault="001C56B0" w:rsidP="002A4D6D">
                  <w:pPr>
                    <w:jc w:val="center"/>
                    <w:rPr>
                      <w:spacing w:val="-4"/>
                      <w:sz w:val="26"/>
                      <w:szCs w:val="26"/>
                    </w:rPr>
                  </w:pPr>
                  <w:r w:rsidRPr="002A4D6D">
                    <w:rPr>
                      <w:spacing w:val="-4"/>
                      <w:sz w:val="26"/>
                      <w:szCs w:val="26"/>
                    </w:rPr>
                    <w:t>Likumprojekta 19.pants</w:t>
                  </w:r>
                </w:p>
                <w:p w14:paraId="3FFDB1BB" w14:textId="278166BB"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2</w:t>
                  </w:r>
                  <w:r w:rsidRPr="002A4D6D">
                    <w:rPr>
                      <w:spacing w:val="-4"/>
                      <w:sz w:val="26"/>
                      <w:szCs w:val="26"/>
                    </w:rPr>
                    <w:t> panta trešā un divpadsmitās daļas 1.punkts)</w:t>
                  </w:r>
                </w:p>
              </w:tc>
              <w:tc>
                <w:tcPr>
                  <w:tcW w:w="1699" w:type="dxa"/>
                </w:tcPr>
                <w:p w14:paraId="02983086" w14:textId="2C4E33B9"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Pr>
                <w:p w14:paraId="238A3323" w14:textId="4F231CBE"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c>
                <w:tcPr>
                  <w:tcW w:w="1841" w:type="dxa"/>
                </w:tcPr>
                <w:p w14:paraId="07D890E0" w14:textId="77777777" w:rsidR="001C56B0" w:rsidRPr="002A4D6D" w:rsidRDefault="001C56B0" w:rsidP="002A4D6D">
                  <w:pPr>
                    <w:jc w:val="center"/>
                    <w:rPr>
                      <w:spacing w:val="-4"/>
                      <w:sz w:val="26"/>
                      <w:szCs w:val="26"/>
                    </w:rPr>
                  </w:pPr>
                </w:p>
              </w:tc>
              <w:tc>
                <w:tcPr>
                  <w:tcW w:w="1841" w:type="dxa"/>
                </w:tcPr>
                <w:p w14:paraId="1A3A8C9C" w14:textId="77777777" w:rsidR="001C56B0" w:rsidRPr="002A4D6D" w:rsidRDefault="001C56B0" w:rsidP="002A4D6D">
                  <w:pPr>
                    <w:rPr>
                      <w:rFonts w:eastAsia="Times New Roman"/>
                      <w:spacing w:val="-4"/>
                      <w:sz w:val="26"/>
                      <w:szCs w:val="26"/>
                      <w:lang w:eastAsia="lv-LV"/>
                    </w:rPr>
                  </w:pPr>
                </w:p>
              </w:tc>
              <w:tc>
                <w:tcPr>
                  <w:tcW w:w="1841" w:type="dxa"/>
                </w:tcPr>
                <w:p w14:paraId="53310F18" w14:textId="77777777" w:rsidR="001C56B0" w:rsidRPr="002A4D6D" w:rsidRDefault="001C56B0" w:rsidP="002A4D6D">
                  <w:pPr>
                    <w:rPr>
                      <w:rFonts w:eastAsia="Times New Roman"/>
                      <w:spacing w:val="-4"/>
                      <w:sz w:val="26"/>
                      <w:szCs w:val="26"/>
                      <w:lang w:eastAsia="lv-LV"/>
                    </w:rPr>
                  </w:pPr>
                </w:p>
              </w:tc>
            </w:tr>
            <w:tr w:rsidR="001C56B0" w:rsidRPr="002A4D6D" w14:paraId="75E1DB5A" w14:textId="77777777" w:rsidTr="005E7435">
              <w:tc>
                <w:tcPr>
                  <w:tcW w:w="2944" w:type="dxa"/>
                </w:tcPr>
                <w:p w14:paraId="1A7FFD8E" w14:textId="2BBE4493" w:rsidR="001C56B0" w:rsidRPr="002A4D6D" w:rsidRDefault="001C56B0" w:rsidP="002A4D6D">
                  <w:pPr>
                    <w:jc w:val="center"/>
                    <w:rPr>
                      <w:spacing w:val="-4"/>
                      <w:sz w:val="26"/>
                      <w:szCs w:val="26"/>
                    </w:rPr>
                  </w:pPr>
                  <w:r w:rsidRPr="002A4D6D">
                    <w:rPr>
                      <w:spacing w:val="-4"/>
                      <w:sz w:val="26"/>
                      <w:szCs w:val="26"/>
                    </w:rPr>
                    <w:t>Direktīvas 361.pants</w:t>
                  </w:r>
                </w:p>
              </w:tc>
              <w:tc>
                <w:tcPr>
                  <w:tcW w:w="2693" w:type="dxa"/>
                  <w:gridSpan w:val="2"/>
                </w:tcPr>
                <w:p w14:paraId="12A3B0AC" w14:textId="77777777" w:rsidR="001C56B0" w:rsidRPr="002A4D6D" w:rsidRDefault="001C56B0" w:rsidP="002A4D6D">
                  <w:pPr>
                    <w:jc w:val="center"/>
                    <w:rPr>
                      <w:spacing w:val="-4"/>
                      <w:sz w:val="26"/>
                      <w:szCs w:val="26"/>
                    </w:rPr>
                  </w:pPr>
                  <w:r w:rsidRPr="002A4D6D">
                    <w:rPr>
                      <w:spacing w:val="-4"/>
                      <w:sz w:val="26"/>
                      <w:szCs w:val="26"/>
                    </w:rPr>
                    <w:t>Likumprojekta 19.pants</w:t>
                  </w:r>
                </w:p>
                <w:p w14:paraId="3B2F0016" w14:textId="3629B44B"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2</w:t>
                  </w:r>
                  <w:r w:rsidRPr="002A4D6D">
                    <w:rPr>
                      <w:spacing w:val="-4"/>
                      <w:sz w:val="26"/>
                      <w:szCs w:val="26"/>
                    </w:rPr>
                    <w:t> panta ceturtā daļa)</w:t>
                  </w:r>
                </w:p>
              </w:tc>
              <w:tc>
                <w:tcPr>
                  <w:tcW w:w="1699" w:type="dxa"/>
                </w:tcPr>
                <w:p w14:paraId="15231B1F" w14:textId="7D7F2708"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Pr>
                <w:p w14:paraId="7ED4208A" w14:textId="12094EFA"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c>
                <w:tcPr>
                  <w:tcW w:w="1841" w:type="dxa"/>
                </w:tcPr>
                <w:p w14:paraId="2AF15BC0" w14:textId="77777777" w:rsidR="001C56B0" w:rsidRPr="002A4D6D" w:rsidRDefault="001C56B0" w:rsidP="002A4D6D">
                  <w:pPr>
                    <w:jc w:val="center"/>
                    <w:rPr>
                      <w:spacing w:val="-4"/>
                      <w:sz w:val="26"/>
                      <w:szCs w:val="26"/>
                    </w:rPr>
                  </w:pPr>
                </w:p>
              </w:tc>
              <w:tc>
                <w:tcPr>
                  <w:tcW w:w="1841" w:type="dxa"/>
                </w:tcPr>
                <w:p w14:paraId="085993EB" w14:textId="77777777" w:rsidR="001C56B0" w:rsidRPr="002A4D6D" w:rsidRDefault="001C56B0" w:rsidP="002A4D6D">
                  <w:pPr>
                    <w:rPr>
                      <w:rFonts w:eastAsia="Times New Roman"/>
                      <w:spacing w:val="-4"/>
                      <w:sz w:val="26"/>
                      <w:szCs w:val="26"/>
                      <w:lang w:eastAsia="lv-LV"/>
                    </w:rPr>
                  </w:pPr>
                </w:p>
              </w:tc>
              <w:tc>
                <w:tcPr>
                  <w:tcW w:w="1841" w:type="dxa"/>
                </w:tcPr>
                <w:p w14:paraId="6F8C5691" w14:textId="77777777" w:rsidR="001C56B0" w:rsidRPr="002A4D6D" w:rsidRDefault="001C56B0" w:rsidP="002A4D6D">
                  <w:pPr>
                    <w:rPr>
                      <w:rFonts w:eastAsia="Times New Roman"/>
                      <w:spacing w:val="-4"/>
                      <w:sz w:val="26"/>
                      <w:szCs w:val="26"/>
                      <w:lang w:eastAsia="lv-LV"/>
                    </w:rPr>
                  </w:pPr>
                </w:p>
              </w:tc>
            </w:tr>
            <w:tr w:rsidR="001C56B0" w:rsidRPr="002A4D6D" w14:paraId="01B7C44D" w14:textId="77777777" w:rsidTr="005E7435">
              <w:tc>
                <w:tcPr>
                  <w:tcW w:w="2944" w:type="dxa"/>
                </w:tcPr>
                <w:p w14:paraId="2385B369" w14:textId="6E57980D" w:rsidR="001C56B0" w:rsidRPr="002A4D6D" w:rsidRDefault="001C56B0" w:rsidP="002A4D6D">
                  <w:pPr>
                    <w:jc w:val="center"/>
                    <w:rPr>
                      <w:spacing w:val="-4"/>
                      <w:sz w:val="26"/>
                      <w:szCs w:val="26"/>
                    </w:rPr>
                  </w:pPr>
                  <w:r w:rsidRPr="002A4D6D">
                    <w:rPr>
                      <w:spacing w:val="-4"/>
                      <w:sz w:val="26"/>
                      <w:szCs w:val="26"/>
                    </w:rPr>
                    <w:t>Direktīvas 363.pants</w:t>
                  </w:r>
                </w:p>
              </w:tc>
              <w:tc>
                <w:tcPr>
                  <w:tcW w:w="2693" w:type="dxa"/>
                  <w:gridSpan w:val="2"/>
                </w:tcPr>
                <w:p w14:paraId="1CC17437" w14:textId="77777777" w:rsidR="001C56B0" w:rsidRPr="002A4D6D" w:rsidRDefault="001C56B0" w:rsidP="002A4D6D">
                  <w:pPr>
                    <w:jc w:val="center"/>
                    <w:rPr>
                      <w:spacing w:val="-4"/>
                      <w:sz w:val="26"/>
                      <w:szCs w:val="26"/>
                    </w:rPr>
                  </w:pPr>
                  <w:r w:rsidRPr="002A4D6D">
                    <w:rPr>
                      <w:spacing w:val="-4"/>
                      <w:sz w:val="26"/>
                      <w:szCs w:val="26"/>
                    </w:rPr>
                    <w:t>Likumprojekta 19.pants</w:t>
                  </w:r>
                </w:p>
                <w:p w14:paraId="5B409112" w14:textId="37990DB2"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2</w:t>
                  </w:r>
                  <w:r w:rsidRPr="002A4D6D">
                    <w:rPr>
                      <w:spacing w:val="-4"/>
                      <w:sz w:val="26"/>
                      <w:szCs w:val="26"/>
                    </w:rPr>
                    <w:t> panta septītā daļa)</w:t>
                  </w:r>
                </w:p>
              </w:tc>
              <w:tc>
                <w:tcPr>
                  <w:tcW w:w="1699" w:type="dxa"/>
                </w:tcPr>
                <w:p w14:paraId="570A35C8" w14:textId="0485C773"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Pr>
                <w:p w14:paraId="3DBE161E" w14:textId="1B413B01"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c>
                <w:tcPr>
                  <w:tcW w:w="1841" w:type="dxa"/>
                </w:tcPr>
                <w:p w14:paraId="40635C48" w14:textId="77777777" w:rsidR="001C56B0" w:rsidRPr="002A4D6D" w:rsidRDefault="001C56B0" w:rsidP="002A4D6D">
                  <w:pPr>
                    <w:jc w:val="center"/>
                    <w:rPr>
                      <w:spacing w:val="-4"/>
                      <w:sz w:val="26"/>
                      <w:szCs w:val="26"/>
                    </w:rPr>
                  </w:pPr>
                </w:p>
              </w:tc>
              <w:tc>
                <w:tcPr>
                  <w:tcW w:w="1841" w:type="dxa"/>
                </w:tcPr>
                <w:p w14:paraId="3ED818C3" w14:textId="77777777" w:rsidR="001C56B0" w:rsidRPr="002A4D6D" w:rsidRDefault="001C56B0" w:rsidP="002A4D6D">
                  <w:pPr>
                    <w:rPr>
                      <w:rFonts w:eastAsia="Times New Roman"/>
                      <w:spacing w:val="-4"/>
                      <w:sz w:val="26"/>
                      <w:szCs w:val="26"/>
                      <w:lang w:eastAsia="lv-LV"/>
                    </w:rPr>
                  </w:pPr>
                </w:p>
              </w:tc>
              <w:tc>
                <w:tcPr>
                  <w:tcW w:w="1841" w:type="dxa"/>
                </w:tcPr>
                <w:p w14:paraId="033ACC2E" w14:textId="77777777" w:rsidR="001C56B0" w:rsidRPr="002A4D6D" w:rsidRDefault="001C56B0" w:rsidP="002A4D6D">
                  <w:pPr>
                    <w:rPr>
                      <w:rFonts w:eastAsia="Times New Roman"/>
                      <w:spacing w:val="-4"/>
                      <w:sz w:val="26"/>
                      <w:szCs w:val="26"/>
                      <w:lang w:eastAsia="lv-LV"/>
                    </w:rPr>
                  </w:pPr>
                </w:p>
              </w:tc>
            </w:tr>
            <w:tr w:rsidR="001C56B0" w:rsidRPr="002A4D6D" w14:paraId="12580805" w14:textId="77777777" w:rsidTr="005E7435">
              <w:tc>
                <w:tcPr>
                  <w:tcW w:w="2944" w:type="dxa"/>
                </w:tcPr>
                <w:p w14:paraId="0CA050A2" w14:textId="01E426DB" w:rsidR="001C56B0" w:rsidRPr="002A4D6D" w:rsidRDefault="001C56B0" w:rsidP="002A4D6D">
                  <w:pPr>
                    <w:jc w:val="center"/>
                    <w:rPr>
                      <w:spacing w:val="-4"/>
                      <w:sz w:val="26"/>
                      <w:szCs w:val="26"/>
                    </w:rPr>
                  </w:pPr>
                  <w:r w:rsidRPr="002A4D6D">
                    <w:rPr>
                      <w:spacing w:val="-4"/>
                      <w:sz w:val="26"/>
                      <w:szCs w:val="26"/>
                    </w:rPr>
                    <w:t>Direktīvas 367.pants</w:t>
                  </w:r>
                </w:p>
              </w:tc>
              <w:tc>
                <w:tcPr>
                  <w:tcW w:w="2693" w:type="dxa"/>
                  <w:gridSpan w:val="2"/>
                </w:tcPr>
                <w:p w14:paraId="37699EBF" w14:textId="77777777" w:rsidR="001C56B0" w:rsidRPr="002A4D6D" w:rsidRDefault="001C56B0" w:rsidP="002A4D6D">
                  <w:pPr>
                    <w:jc w:val="center"/>
                    <w:rPr>
                      <w:spacing w:val="-4"/>
                      <w:sz w:val="26"/>
                      <w:szCs w:val="26"/>
                    </w:rPr>
                  </w:pPr>
                  <w:r w:rsidRPr="002A4D6D">
                    <w:rPr>
                      <w:spacing w:val="-4"/>
                      <w:sz w:val="26"/>
                      <w:szCs w:val="26"/>
                    </w:rPr>
                    <w:t>Likumprojekta 19.pants</w:t>
                  </w:r>
                </w:p>
                <w:p w14:paraId="7D421184" w14:textId="1F1E8716" w:rsidR="001C56B0" w:rsidRPr="002A4D6D" w:rsidRDefault="001C56B0" w:rsidP="002A4D6D">
                  <w:pPr>
                    <w:jc w:val="center"/>
                    <w:rPr>
                      <w:spacing w:val="-4"/>
                      <w:sz w:val="26"/>
                      <w:szCs w:val="26"/>
                    </w:rPr>
                  </w:pPr>
                  <w:r w:rsidRPr="002A4D6D">
                    <w:rPr>
                      <w:spacing w:val="-4"/>
                      <w:sz w:val="26"/>
                      <w:szCs w:val="26"/>
                    </w:rPr>
                    <w:lastRenderedPageBreak/>
                    <w:t>(Pievienotās vērtības nodokļa likuma 140.</w:t>
                  </w:r>
                  <w:r w:rsidRPr="002A4D6D">
                    <w:rPr>
                      <w:spacing w:val="-4"/>
                      <w:sz w:val="26"/>
                      <w:szCs w:val="26"/>
                      <w:vertAlign w:val="superscript"/>
                    </w:rPr>
                    <w:t>2</w:t>
                  </w:r>
                  <w:r w:rsidRPr="002A4D6D">
                    <w:rPr>
                      <w:spacing w:val="-4"/>
                      <w:sz w:val="26"/>
                      <w:szCs w:val="26"/>
                    </w:rPr>
                    <w:t> panta devītā daļa)</w:t>
                  </w:r>
                </w:p>
              </w:tc>
              <w:tc>
                <w:tcPr>
                  <w:tcW w:w="1699" w:type="dxa"/>
                </w:tcPr>
                <w:p w14:paraId="6AA6FDC5" w14:textId="7F1CC0D3"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lastRenderedPageBreak/>
                    <w:t>Ieviests pilnībā</w:t>
                  </w:r>
                </w:p>
              </w:tc>
              <w:tc>
                <w:tcPr>
                  <w:tcW w:w="1843" w:type="dxa"/>
                </w:tcPr>
                <w:p w14:paraId="2362627C" w14:textId="0D1E5B43"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 xml:space="preserve">Likumprojekts neparedz </w:t>
                  </w:r>
                  <w:r w:rsidRPr="002A4D6D">
                    <w:rPr>
                      <w:rFonts w:eastAsia="Times New Roman"/>
                      <w:spacing w:val="-4"/>
                      <w:sz w:val="26"/>
                      <w:szCs w:val="26"/>
                      <w:lang w:eastAsia="lv-LV"/>
                    </w:rPr>
                    <w:lastRenderedPageBreak/>
                    <w:t>stingrākas prasības</w:t>
                  </w:r>
                </w:p>
              </w:tc>
              <w:tc>
                <w:tcPr>
                  <w:tcW w:w="1841" w:type="dxa"/>
                </w:tcPr>
                <w:p w14:paraId="1068E273" w14:textId="77777777" w:rsidR="001C56B0" w:rsidRPr="002A4D6D" w:rsidRDefault="001C56B0" w:rsidP="002A4D6D">
                  <w:pPr>
                    <w:jc w:val="center"/>
                    <w:rPr>
                      <w:spacing w:val="-4"/>
                      <w:sz w:val="26"/>
                      <w:szCs w:val="26"/>
                    </w:rPr>
                  </w:pPr>
                </w:p>
              </w:tc>
              <w:tc>
                <w:tcPr>
                  <w:tcW w:w="1841" w:type="dxa"/>
                </w:tcPr>
                <w:p w14:paraId="22C4207C" w14:textId="77777777" w:rsidR="001C56B0" w:rsidRPr="002A4D6D" w:rsidRDefault="001C56B0" w:rsidP="002A4D6D">
                  <w:pPr>
                    <w:rPr>
                      <w:rFonts w:eastAsia="Times New Roman"/>
                      <w:spacing w:val="-4"/>
                      <w:sz w:val="26"/>
                      <w:szCs w:val="26"/>
                      <w:lang w:eastAsia="lv-LV"/>
                    </w:rPr>
                  </w:pPr>
                </w:p>
              </w:tc>
              <w:tc>
                <w:tcPr>
                  <w:tcW w:w="1841" w:type="dxa"/>
                </w:tcPr>
                <w:p w14:paraId="591EEC31" w14:textId="77777777" w:rsidR="001C56B0" w:rsidRPr="002A4D6D" w:rsidRDefault="001C56B0" w:rsidP="002A4D6D">
                  <w:pPr>
                    <w:rPr>
                      <w:rFonts w:eastAsia="Times New Roman"/>
                      <w:spacing w:val="-4"/>
                      <w:sz w:val="26"/>
                      <w:szCs w:val="26"/>
                      <w:lang w:eastAsia="lv-LV"/>
                    </w:rPr>
                  </w:pPr>
                </w:p>
              </w:tc>
            </w:tr>
            <w:tr w:rsidR="001C56B0" w:rsidRPr="002A4D6D" w14:paraId="132C4B7F" w14:textId="77777777" w:rsidTr="005E7435">
              <w:tc>
                <w:tcPr>
                  <w:tcW w:w="2944" w:type="dxa"/>
                </w:tcPr>
                <w:p w14:paraId="563850BA" w14:textId="78D3A506" w:rsidR="001C56B0" w:rsidRPr="002A4D6D" w:rsidRDefault="001C56B0" w:rsidP="002A4D6D">
                  <w:pPr>
                    <w:jc w:val="center"/>
                    <w:rPr>
                      <w:spacing w:val="-4"/>
                      <w:sz w:val="26"/>
                      <w:szCs w:val="26"/>
                    </w:rPr>
                  </w:pPr>
                  <w:r w:rsidRPr="002A4D6D">
                    <w:rPr>
                      <w:spacing w:val="-4"/>
                      <w:sz w:val="26"/>
                      <w:szCs w:val="26"/>
                    </w:rPr>
                    <w:t>Direktīvas 369.pants</w:t>
                  </w:r>
                </w:p>
              </w:tc>
              <w:tc>
                <w:tcPr>
                  <w:tcW w:w="2693" w:type="dxa"/>
                  <w:gridSpan w:val="2"/>
                </w:tcPr>
                <w:p w14:paraId="30045A7C" w14:textId="77777777" w:rsidR="001C56B0" w:rsidRPr="002A4D6D" w:rsidRDefault="001C56B0" w:rsidP="002A4D6D">
                  <w:pPr>
                    <w:jc w:val="center"/>
                    <w:rPr>
                      <w:spacing w:val="-4"/>
                      <w:sz w:val="26"/>
                      <w:szCs w:val="26"/>
                    </w:rPr>
                  </w:pPr>
                  <w:r w:rsidRPr="002A4D6D">
                    <w:rPr>
                      <w:spacing w:val="-4"/>
                      <w:sz w:val="26"/>
                      <w:szCs w:val="26"/>
                    </w:rPr>
                    <w:t>Likumprojekta 19.pants</w:t>
                  </w:r>
                </w:p>
                <w:p w14:paraId="497DD027" w14:textId="631C4AE5"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2</w:t>
                  </w:r>
                  <w:r w:rsidRPr="002A4D6D">
                    <w:rPr>
                      <w:spacing w:val="-4"/>
                      <w:sz w:val="26"/>
                      <w:szCs w:val="26"/>
                    </w:rPr>
                    <w:t> panta divpadsmitās daļas 2., 3. un 4.punkts)</w:t>
                  </w:r>
                </w:p>
              </w:tc>
              <w:tc>
                <w:tcPr>
                  <w:tcW w:w="1699" w:type="dxa"/>
                </w:tcPr>
                <w:p w14:paraId="7AA7472C" w14:textId="2C71DCAD"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Pr>
                <w:p w14:paraId="7E626F79" w14:textId="272BB2B0"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c>
                <w:tcPr>
                  <w:tcW w:w="1841" w:type="dxa"/>
                </w:tcPr>
                <w:p w14:paraId="215B64FA" w14:textId="77777777" w:rsidR="001C56B0" w:rsidRPr="002A4D6D" w:rsidRDefault="001C56B0" w:rsidP="002A4D6D">
                  <w:pPr>
                    <w:jc w:val="center"/>
                    <w:rPr>
                      <w:spacing w:val="-4"/>
                      <w:sz w:val="26"/>
                      <w:szCs w:val="26"/>
                    </w:rPr>
                  </w:pPr>
                </w:p>
              </w:tc>
              <w:tc>
                <w:tcPr>
                  <w:tcW w:w="1841" w:type="dxa"/>
                </w:tcPr>
                <w:p w14:paraId="4A3D9393" w14:textId="77777777" w:rsidR="001C56B0" w:rsidRPr="002A4D6D" w:rsidRDefault="001C56B0" w:rsidP="002A4D6D">
                  <w:pPr>
                    <w:rPr>
                      <w:rFonts w:eastAsia="Times New Roman"/>
                      <w:spacing w:val="-4"/>
                      <w:sz w:val="26"/>
                      <w:szCs w:val="26"/>
                      <w:lang w:eastAsia="lv-LV"/>
                    </w:rPr>
                  </w:pPr>
                </w:p>
              </w:tc>
              <w:tc>
                <w:tcPr>
                  <w:tcW w:w="1841" w:type="dxa"/>
                </w:tcPr>
                <w:p w14:paraId="3753568E" w14:textId="77777777" w:rsidR="001C56B0" w:rsidRPr="002A4D6D" w:rsidRDefault="001C56B0" w:rsidP="002A4D6D">
                  <w:pPr>
                    <w:rPr>
                      <w:rFonts w:eastAsia="Times New Roman"/>
                      <w:spacing w:val="-4"/>
                      <w:sz w:val="26"/>
                      <w:szCs w:val="26"/>
                      <w:lang w:eastAsia="lv-LV"/>
                    </w:rPr>
                  </w:pPr>
                </w:p>
              </w:tc>
            </w:tr>
            <w:tr w:rsidR="001C56B0" w:rsidRPr="002A4D6D" w14:paraId="7CD510C1" w14:textId="77777777" w:rsidTr="005E7435">
              <w:tc>
                <w:tcPr>
                  <w:tcW w:w="2944" w:type="dxa"/>
                </w:tcPr>
                <w:p w14:paraId="25590CAC" w14:textId="55510277" w:rsidR="001C56B0" w:rsidRPr="002A4D6D" w:rsidRDefault="001C56B0" w:rsidP="002A4D6D">
                  <w:pPr>
                    <w:jc w:val="center"/>
                    <w:rPr>
                      <w:spacing w:val="-4"/>
                      <w:sz w:val="26"/>
                      <w:szCs w:val="26"/>
                    </w:rPr>
                  </w:pPr>
                  <w:r w:rsidRPr="002A4D6D">
                    <w:rPr>
                      <w:spacing w:val="-4"/>
                      <w:sz w:val="26"/>
                      <w:szCs w:val="26"/>
                    </w:rPr>
                    <w:t>Direktīvas 369.a panta 1.punkts</w:t>
                  </w:r>
                </w:p>
              </w:tc>
              <w:tc>
                <w:tcPr>
                  <w:tcW w:w="2693" w:type="dxa"/>
                  <w:gridSpan w:val="2"/>
                </w:tcPr>
                <w:p w14:paraId="44C666FF" w14:textId="77777777" w:rsidR="001C56B0" w:rsidRPr="002A4D6D" w:rsidRDefault="001C56B0" w:rsidP="002A4D6D">
                  <w:pPr>
                    <w:jc w:val="center"/>
                    <w:rPr>
                      <w:spacing w:val="-4"/>
                      <w:sz w:val="26"/>
                      <w:szCs w:val="26"/>
                    </w:rPr>
                  </w:pPr>
                  <w:r w:rsidRPr="002A4D6D">
                    <w:rPr>
                      <w:spacing w:val="-4"/>
                      <w:sz w:val="26"/>
                      <w:szCs w:val="26"/>
                    </w:rPr>
                    <w:t>Likumprojekta 19.pants</w:t>
                  </w:r>
                </w:p>
                <w:p w14:paraId="6447EB8A" w14:textId="62EF4B9E"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3</w:t>
                  </w:r>
                  <w:r w:rsidRPr="002A4D6D">
                    <w:rPr>
                      <w:spacing w:val="-4"/>
                      <w:sz w:val="26"/>
                      <w:szCs w:val="26"/>
                    </w:rPr>
                    <w:t> panta pirmās daļas 2.punkts)</w:t>
                  </w:r>
                </w:p>
              </w:tc>
              <w:tc>
                <w:tcPr>
                  <w:tcW w:w="1699" w:type="dxa"/>
                </w:tcPr>
                <w:p w14:paraId="3623EACB" w14:textId="23C12443"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Pr>
                <w:p w14:paraId="1AF34989" w14:textId="4398E645"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c>
                <w:tcPr>
                  <w:tcW w:w="1841" w:type="dxa"/>
                </w:tcPr>
                <w:p w14:paraId="0258D3CE" w14:textId="77777777" w:rsidR="001C56B0" w:rsidRPr="002A4D6D" w:rsidRDefault="001C56B0" w:rsidP="002A4D6D">
                  <w:pPr>
                    <w:jc w:val="center"/>
                    <w:rPr>
                      <w:spacing w:val="-4"/>
                      <w:sz w:val="26"/>
                      <w:szCs w:val="26"/>
                    </w:rPr>
                  </w:pPr>
                </w:p>
              </w:tc>
              <w:tc>
                <w:tcPr>
                  <w:tcW w:w="1841" w:type="dxa"/>
                </w:tcPr>
                <w:p w14:paraId="24C240CE" w14:textId="77777777" w:rsidR="001C56B0" w:rsidRPr="002A4D6D" w:rsidRDefault="001C56B0" w:rsidP="002A4D6D">
                  <w:pPr>
                    <w:rPr>
                      <w:rFonts w:eastAsia="Times New Roman"/>
                      <w:spacing w:val="-4"/>
                      <w:sz w:val="26"/>
                      <w:szCs w:val="26"/>
                      <w:lang w:eastAsia="lv-LV"/>
                    </w:rPr>
                  </w:pPr>
                </w:p>
              </w:tc>
              <w:tc>
                <w:tcPr>
                  <w:tcW w:w="1841" w:type="dxa"/>
                </w:tcPr>
                <w:p w14:paraId="4B3CF6CE" w14:textId="77777777" w:rsidR="001C56B0" w:rsidRPr="002A4D6D" w:rsidRDefault="001C56B0" w:rsidP="002A4D6D">
                  <w:pPr>
                    <w:rPr>
                      <w:rFonts w:eastAsia="Times New Roman"/>
                      <w:spacing w:val="-4"/>
                      <w:sz w:val="26"/>
                      <w:szCs w:val="26"/>
                      <w:lang w:eastAsia="lv-LV"/>
                    </w:rPr>
                  </w:pPr>
                </w:p>
              </w:tc>
            </w:tr>
            <w:tr w:rsidR="001C56B0" w:rsidRPr="002A4D6D" w14:paraId="140363F6" w14:textId="77777777" w:rsidTr="005E7435">
              <w:tc>
                <w:tcPr>
                  <w:tcW w:w="2944" w:type="dxa"/>
                </w:tcPr>
                <w:p w14:paraId="14F0A6BD" w14:textId="5825B793" w:rsidR="001C56B0" w:rsidRPr="002A4D6D" w:rsidRDefault="001C56B0" w:rsidP="002A4D6D">
                  <w:pPr>
                    <w:jc w:val="center"/>
                    <w:rPr>
                      <w:spacing w:val="-4"/>
                      <w:sz w:val="26"/>
                      <w:szCs w:val="26"/>
                    </w:rPr>
                  </w:pPr>
                  <w:r w:rsidRPr="002A4D6D">
                    <w:rPr>
                      <w:spacing w:val="-4"/>
                      <w:sz w:val="26"/>
                      <w:szCs w:val="26"/>
                    </w:rPr>
                    <w:t>Direktīvas 369.a panta 2.punkts</w:t>
                  </w:r>
                </w:p>
              </w:tc>
              <w:tc>
                <w:tcPr>
                  <w:tcW w:w="2693" w:type="dxa"/>
                  <w:gridSpan w:val="2"/>
                </w:tcPr>
                <w:p w14:paraId="74BE831F" w14:textId="77777777" w:rsidR="001C56B0" w:rsidRPr="002A4D6D" w:rsidRDefault="001C56B0" w:rsidP="002A4D6D">
                  <w:pPr>
                    <w:jc w:val="center"/>
                    <w:rPr>
                      <w:spacing w:val="-4"/>
                      <w:sz w:val="26"/>
                      <w:szCs w:val="26"/>
                    </w:rPr>
                  </w:pPr>
                  <w:r w:rsidRPr="002A4D6D">
                    <w:rPr>
                      <w:spacing w:val="-4"/>
                      <w:sz w:val="26"/>
                      <w:szCs w:val="26"/>
                    </w:rPr>
                    <w:t>Likumprojekta 19.pants</w:t>
                  </w:r>
                </w:p>
                <w:p w14:paraId="6F39666A" w14:textId="1C4A9A39"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3</w:t>
                  </w:r>
                  <w:r w:rsidRPr="002A4D6D">
                    <w:rPr>
                      <w:spacing w:val="-4"/>
                      <w:sz w:val="26"/>
                      <w:szCs w:val="26"/>
                    </w:rPr>
                    <w:t> panta pirmās daļas 3.punkts)</w:t>
                  </w:r>
                </w:p>
              </w:tc>
              <w:tc>
                <w:tcPr>
                  <w:tcW w:w="1699" w:type="dxa"/>
                </w:tcPr>
                <w:p w14:paraId="081AF4D6" w14:textId="18A85D24"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Pr>
                <w:p w14:paraId="0D2F60D4" w14:textId="0E09E8D3"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c>
                <w:tcPr>
                  <w:tcW w:w="1841" w:type="dxa"/>
                </w:tcPr>
                <w:p w14:paraId="6DA2697F" w14:textId="77777777" w:rsidR="001C56B0" w:rsidRPr="002A4D6D" w:rsidRDefault="001C56B0" w:rsidP="002A4D6D">
                  <w:pPr>
                    <w:jc w:val="center"/>
                    <w:rPr>
                      <w:spacing w:val="-4"/>
                      <w:sz w:val="26"/>
                      <w:szCs w:val="26"/>
                    </w:rPr>
                  </w:pPr>
                </w:p>
              </w:tc>
              <w:tc>
                <w:tcPr>
                  <w:tcW w:w="1841" w:type="dxa"/>
                </w:tcPr>
                <w:p w14:paraId="0AB62E18" w14:textId="77777777" w:rsidR="001C56B0" w:rsidRPr="002A4D6D" w:rsidRDefault="001C56B0" w:rsidP="002A4D6D">
                  <w:pPr>
                    <w:rPr>
                      <w:rFonts w:eastAsia="Times New Roman"/>
                      <w:spacing w:val="-4"/>
                      <w:sz w:val="26"/>
                      <w:szCs w:val="26"/>
                      <w:lang w:eastAsia="lv-LV"/>
                    </w:rPr>
                  </w:pPr>
                </w:p>
              </w:tc>
              <w:tc>
                <w:tcPr>
                  <w:tcW w:w="1841" w:type="dxa"/>
                </w:tcPr>
                <w:p w14:paraId="0A12F310" w14:textId="77777777" w:rsidR="001C56B0" w:rsidRPr="002A4D6D" w:rsidRDefault="001C56B0" w:rsidP="002A4D6D">
                  <w:pPr>
                    <w:rPr>
                      <w:rFonts w:eastAsia="Times New Roman"/>
                      <w:spacing w:val="-4"/>
                      <w:sz w:val="26"/>
                      <w:szCs w:val="26"/>
                      <w:lang w:eastAsia="lv-LV"/>
                    </w:rPr>
                  </w:pPr>
                </w:p>
              </w:tc>
            </w:tr>
            <w:tr w:rsidR="001C56B0" w:rsidRPr="002A4D6D" w14:paraId="7D8E764B" w14:textId="77777777" w:rsidTr="005E7435">
              <w:tc>
                <w:tcPr>
                  <w:tcW w:w="2944" w:type="dxa"/>
                </w:tcPr>
                <w:p w14:paraId="611EA237" w14:textId="08A71535" w:rsidR="001C56B0" w:rsidRPr="002A4D6D" w:rsidRDefault="001C56B0" w:rsidP="002A4D6D">
                  <w:pPr>
                    <w:jc w:val="center"/>
                    <w:rPr>
                      <w:spacing w:val="-4"/>
                      <w:sz w:val="26"/>
                      <w:szCs w:val="26"/>
                    </w:rPr>
                  </w:pPr>
                  <w:r w:rsidRPr="002A4D6D">
                    <w:rPr>
                      <w:spacing w:val="-4"/>
                      <w:sz w:val="26"/>
                      <w:szCs w:val="26"/>
                    </w:rPr>
                    <w:t>Direktīvas 369.d pants</w:t>
                  </w:r>
                </w:p>
              </w:tc>
              <w:tc>
                <w:tcPr>
                  <w:tcW w:w="2693" w:type="dxa"/>
                  <w:gridSpan w:val="2"/>
                </w:tcPr>
                <w:p w14:paraId="67419B77" w14:textId="77777777" w:rsidR="001C56B0" w:rsidRPr="002A4D6D" w:rsidRDefault="001C56B0" w:rsidP="002A4D6D">
                  <w:pPr>
                    <w:jc w:val="center"/>
                    <w:rPr>
                      <w:spacing w:val="-4"/>
                      <w:sz w:val="26"/>
                      <w:szCs w:val="26"/>
                    </w:rPr>
                  </w:pPr>
                  <w:r w:rsidRPr="002A4D6D">
                    <w:rPr>
                      <w:spacing w:val="-4"/>
                      <w:sz w:val="26"/>
                      <w:szCs w:val="26"/>
                    </w:rPr>
                    <w:t>Likumprojekta 19.pants</w:t>
                  </w:r>
                </w:p>
                <w:p w14:paraId="6F420D9E" w14:textId="059FC394"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3</w:t>
                  </w:r>
                  <w:r w:rsidRPr="002A4D6D">
                    <w:rPr>
                      <w:spacing w:val="-4"/>
                      <w:sz w:val="26"/>
                      <w:szCs w:val="26"/>
                    </w:rPr>
                    <w:t> panta piektā un sestā daļa)</w:t>
                  </w:r>
                </w:p>
              </w:tc>
              <w:tc>
                <w:tcPr>
                  <w:tcW w:w="1699" w:type="dxa"/>
                </w:tcPr>
                <w:p w14:paraId="541146FB" w14:textId="2BB3381B"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Pr>
                <w:p w14:paraId="35DCEA45" w14:textId="157C3BB4"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c>
                <w:tcPr>
                  <w:tcW w:w="1841" w:type="dxa"/>
                </w:tcPr>
                <w:p w14:paraId="77141FCC" w14:textId="77777777" w:rsidR="001C56B0" w:rsidRPr="002A4D6D" w:rsidRDefault="001C56B0" w:rsidP="002A4D6D">
                  <w:pPr>
                    <w:jc w:val="center"/>
                    <w:rPr>
                      <w:spacing w:val="-4"/>
                      <w:sz w:val="26"/>
                      <w:szCs w:val="26"/>
                    </w:rPr>
                  </w:pPr>
                </w:p>
              </w:tc>
              <w:tc>
                <w:tcPr>
                  <w:tcW w:w="1841" w:type="dxa"/>
                </w:tcPr>
                <w:p w14:paraId="5A14C0EE" w14:textId="77777777" w:rsidR="001C56B0" w:rsidRPr="002A4D6D" w:rsidRDefault="001C56B0" w:rsidP="002A4D6D">
                  <w:pPr>
                    <w:rPr>
                      <w:rFonts w:eastAsia="Times New Roman"/>
                      <w:spacing w:val="-4"/>
                      <w:sz w:val="26"/>
                      <w:szCs w:val="26"/>
                      <w:lang w:eastAsia="lv-LV"/>
                    </w:rPr>
                  </w:pPr>
                </w:p>
              </w:tc>
              <w:tc>
                <w:tcPr>
                  <w:tcW w:w="1841" w:type="dxa"/>
                </w:tcPr>
                <w:p w14:paraId="693A52FC" w14:textId="77777777" w:rsidR="001C56B0" w:rsidRPr="002A4D6D" w:rsidRDefault="001C56B0" w:rsidP="002A4D6D">
                  <w:pPr>
                    <w:rPr>
                      <w:rFonts w:eastAsia="Times New Roman"/>
                      <w:spacing w:val="-4"/>
                      <w:sz w:val="26"/>
                      <w:szCs w:val="26"/>
                      <w:lang w:eastAsia="lv-LV"/>
                    </w:rPr>
                  </w:pPr>
                </w:p>
              </w:tc>
            </w:tr>
            <w:tr w:rsidR="001C56B0" w:rsidRPr="002A4D6D" w14:paraId="68D803E2" w14:textId="77777777" w:rsidTr="005E7435">
              <w:tc>
                <w:tcPr>
                  <w:tcW w:w="2944" w:type="dxa"/>
                </w:tcPr>
                <w:p w14:paraId="5D5D18E6" w14:textId="17FFAD9C" w:rsidR="001C56B0" w:rsidRPr="002A4D6D" w:rsidRDefault="001C56B0" w:rsidP="002A4D6D">
                  <w:pPr>
                    <w:jc w:val="center"/>
                    <w:rPr>
                      <w:spacing w:val="-4"/>
                      <w:sz w:val="26"/>
                      <w:szCs w:val="26"/>
                    </w:rPr>
                  </w:pPr>
                  <w:r w:rsidRPr="002A4D6D">
                    <w:rPr>
                      <w:spacing w:val="-4"/>
                      <w:sz w:val="26"/>
                      <w:szCs w:val="26"/>
                    </w:rPr>
                    <w:t>Direktīvas 369.e panta “b”, “c” un “d” apakšpunkts</w:t>
                  </w:r>
                </w:p>
              </w:tc>
              <w:tc>
                <w:tcPr>
                  <w:tcW w:w="2693" w:type="dxa"/>
                  <w:gridSpan w:val="2"/>
                </w:tcPr>
                <w:p w14:paraId="709BD22D" w14:textId="77777777" w:rsidR="001C56B0" w:rsidRPr="002A4D6D" w:rsidRDefault="001C56B0" w:rsidP="002A4D6D">
                  <w:pPr>
                    <w:jc w:val="center"/>
                    <w:rPr>
                      <w:spacing w:val="-4"/>
                      <w:sz w:val="26"/>
                      <w:szCs w:val="26"/>
                    </w:rPr>
                  </w:pPr>
                  <w:r w:rsidRPr="002A4D6D">
                    <w:rPr>
                      <w:spacing w:val="-4"/>
                      <w:sz w:val="26"/>
                      <w:szCs w:val="26"/>
                    </w:rPr>
                    <w:t>Likumprojekta 19.pants</w:t>
                  </w:r>
                </w:p>
                <w:p w14:paraId="579120EC" w14:textId="0B1C93BF" w:rsidR="001C56B0" w:rsidRPr="002A4D6D" w:rsidRDefault="001C56B0" w:rsidP="002A4D6D">
                  <w:pPr>
                    <w:jc w:val="center"/>
                    <w:rPr>
                      <w:spacing w:val="-4"/>
                      <w:sz w:val="26"/>
                      <w:szCs w:val="26"/>
                    </w:rPr>
                  </w:pPr>
                  <w:r w:rsidRPr="002A4D6D">
                    <w:rPr>
                      <w:spacing w:val="-4"/>
                      <w:sz w:val="26"/>
                      <w:szCs w:val="26"/>
                    </w:rPr>
                    <w:t>(Pievienotās vērtības nodokļa likuma 140.</w:t>
                  </w:r>
                  <w:r w:rsidRPr="002A4D6D">
                    <w:rPr>
                      <w:spacing w:val="-4"/>
                      <w:sz w:val="26"/>
                      <w:szCs w:val="26"/>
                      <w:vertAlign w:val="superscript"/>
                    </w:rPr>
                    <w:t>3</w:t>
                  </w:r>
                  <w:r w:rsidRPr="002A4D6D">
                    <w:rPr>
                      <w:spacing w:val="-4"/>
                      <w:sz w:val="26"/>
                      <w:szCs w:val="26"/>
                    </w:rPr>
                    <w:t> panta septītās daļas 2., 3. un 4.punkts)</w:t>
                  </w:r>
                </w:p>
              </w:tc>
              <w:tc>
                <w:tcPr>
                  <w:tcW w:w="1699" w:type="dxa"/>
                </w:tcPr>
                <w:p w14:paraId="75A8D0C1" w14:textId="000B0049"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Pr>
                <w:p w14:paraId="685D5FD7" w14:textId="4116A15F" w:rsidR="001C56B0" w:rsidRPr="002A4D6D" w:rsidRDefault="001C56B0"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c>
                <w:tcPr>
                  <w:tcW w:w="1841" w:type="dxa"/>
                </w:tcPr>
                <w:p w14:paraId="6132B251" w14:textId="77777777" w:rsidR="001C56B0" w:rsidRPr="002A4D6D" w:rsidRDefault="001C56B0" w:rsidP="002A4D6D">
                  <w:pPr>
                    <w:jc w:val="center"/>
                    <w:rPr>
                      <w:spacing w:val="-4"/>
                      <w:sz w:val="26"/>
                      <w:szCs w:val="26"/>
                    </w:rPr>
                  </w:pPr>
                </w:p>
              </w:tc>
              <w:tc>
                <w:tcPr>
                  <w:tcW w:w="1841" w:type="dxa"/>
                </w:tcPr>
                <w:p w14:paraId="70EFA6E3" w14:textId="77777777" w:rsidR="001C56B0" w:rsidRPr="002A4D6D" w:rsidRDefault="001C56B0" w:rsidP="002A4D6D">
                  <w:pPr>
                    <w:rPr>
                      <w:rFonts w:eastAsia="Times New Roman"/>
                      <w:spacing w:val="-4"/>
                      <w:sz w:val="26"/>
                      <w:szCs w:val="26"/>
                      <w:lang w:eastAsia="lv-LV"/>
                    </w:rPr>
                  </w:pPr>
                </w:p>
              </w:tc>
              <w:tc>
                <w:tcPr>
                  <w:tcW w:w="1841" w:type="dxa"/>
                </w:tcPr>
                <w:p w14:paraId="34E24E06" w14:textId="77777777" w:rsidR="001C56B0" w:rsidRPr="002A4D6D" w:rsidRDefault="001C56B0" w:rsidP="002A4D6D">
                  <w:pPr>
                    <w:rPr>
                      <w:rFonts w:eastAsia="Times New Roman"/>
                      <w:spacing w:val="-4"/>
                      <w:sz w:val="26"/>
                      <w:szCs w:val="26"/>
                      <w:lang w:eastAsia="lv-LV"/>
                    </w:rPr>
                  </w:pPr>
                </w:p>
              </w:tc>
            </w:tr>
            <w:tr w:rsidR="009D4E1B" w:rsidRPr="002A4D6D" w14:paraId="7BFE996F" w14:textId="77777777" w:rsidTr="005E7435">
              <w:tc>
                <w:tcPr>
                  <w:tcW w:w="2944" w:type="dxa"/>
                </w:tcPr>
                <w:p w14:paraId="4219EEC9" w14:textId="3E5E06DC" w:rsidR="009D4E1B" w:rsidRPr="002A4D6D" w:rsidRDefault="009D4E1B" w:rsidP="002A4D6D">
                  <w:pPr>
                    <w:jc w:val="center"/>
                    <w:rPr>
                      <w:spacing w:val="-4"/>
                      <w:sz w:val="26"/>
                      <w:szCs w:val="26"/>
                    </w:rPr>
                  </w:pPr>
                  <w:r w:rsidRPr="002A4D6D">
                    <w:rPr>
                      <w:rFonts w:eastAsia="Times New Roman"/>
                      <w:spacing w:val="-4"/>
                      <w:sz w:val="26"/>
                      <w:szCs w:val="26"/>
                      <w:lang w:eastAsia="lv-LV"/>
                    </w:rPr>
                    <w:t>Kā ir izmantota ES tiesību aktā paredzētā rīcības brīvība dalībvalstij pārņemt vai ieviest noteiktas ES tiesību akta normas? Kādēļ?</w:t>
                  </w:r>
                </w:p>
              </w:tc>
              <w:tc>
                <w:tcPr>
                  <w:tcW w:w="6235" w:type="dxa"/>
                  <w:gridSpan w:val="4"/>
                </w:tcPr>
                <w:p w14:paraId="20AEB4A3" w14:textId="054672AF" w:rsidR="009D4E1B" w:rsidRPr="002A4D6D" w:rsidRDefault="009D4E1B" w:rsidP="002A4D6D">
                  <w:pPr>
                    <w:rPr>
                      <w:rFonts w:eastAsia="Times New Roman"/>
                      <w:spacing w:val="-4"/>
                      <w:sz w:val="26"/>
                      <w:szCs w:val="26"/>
                      <w:lang w:eastAsia="lv-LV"/>
                    </w:rPr>
                  </w:pPr>
                  <w:r w:rsidRPr="002A4D6D">
                    <w:rPr>
                      <w:rFonts w:eastAsia="Times New Roman"/>
                      <w:spacing w:val="-4"/>
                      <w:sz w:val="26"/>
                      <w:szCs w:val="26"/>
                      <w:lang w:eastAsia="lv-LV"/>
                    </w:rPr>
                    <w:t>Projekts šo jomu neskar.</w:t>
                  </w:r>
                </w:p>
              </w:tc>
              <w:tc>
                <w:tcPr>
                  <w:tcW w:w="1841" w:type="dxa"/>
                </w:tcPr>
                <w:p w14:paraId="69548417" w14:textId="77777777" w:rsidR="009D4E1B" w:rsidRPr="002A4D6D" w:rsidRDefault="009D4E1B" w:rsidP="002A4D6D">
                  <w:pPr>
                    <w:jc w:val="center"/>
                    <w:rPr>
                      <w:spacing w:val="-4"/>
                      <w:sz w:val="26"/>
                      <w:szCs w:val="26"/>
                    </w:rPr>
                  </w:pPr>
                </w:p>
              </w:tc>
              <w:tc>
                <w:tcPr>
                  <w:tcW w:w="1841" w:type="dxa"/>
                </w:tcPr>
                <w:p w14:paraId="6A5C4D01" w14:textId="77777777" w:rsidR="009D4E1B" w:rsidRPr="002A4D6D" w:rsidRDefault="009D4E1B" w:rsidP="002A4D6D">
                  <w:pPr>
                    <w:rPr>
                      <w:rFonts w:eastAsia="Times New Roman"/>
                      <w:spacing w:val="-4"/>
                      <w:sz w:val="26"/>
                      <w:szCs w:val="26"/>
                      <w:lang w:eastAsia="lv-LV"/>
                    </w:rPr>
                  </w:pPr>
                </w:p>
              </w:tc>
              <w:tc>
                <w:tcPr>
                  <w:tcW w:w="1841" w:type="dxa"/>
                </w:tcPr>
                <w:p w14:paraId="720319B8" w14:textId="77777777" w:rsidR="009D4E1B" w:rsidRPr="002A4D6D" w:rsidRDefault="009D4E1B" w:rsidP="002A4D6D">
                  <w:pPr>
                    <w:rPr>
                      <w:rFonts w:eastAsia="Times New Roman"/>
                      <w:spacing w:val="-4"/>
                      <w:sz w:val="26"/>
                      <w:szCs w:val="26"/>
                      <w:lang w:eastAsia="lv-LV"/>
                    </w:rPr>
                  </w:pPr>
                </w:p>
              </w:tc>
            </w:tr>
            <w:tr w:rsidR="009D4E1B" w:rsidRPr="002A4D6D" w14:paraId="5BE08C74" w14:textId="77777777" w:rsidTr="005E7435">
              <w:tc>
                <w:tcPr>
                  <w:tcW w:w="2944" w:type="dxa"/>
                </w:tcPr>
                <w:p w14:paraId="71511F3F" w14:textId="383A0CF3" w:rsidR="009D4E1B" w:rsidRPr="002A4D6D" w:rsidRDefault="009D4E1B" w:rsidP="002A4D6D">
                  <w:pPr>
                    <w:jc w:val="center"/>
                    <w:rPr>
                      <w:spacing w:val="-4"/>
                      <w:sz w:val="26"/>
                      <w:szCs w:val="26"/>
                    </w:rPr>
                  </w:pPr>
                  <w:r w:rsidRPr="002A4D6D">
                    <w:rPr>
                      <w:rFonts w:eastAsia="Times New Roman"/>
                      <w:spacing w:val="-4"/>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35" w:type="dxa"/>
                  <w:gridSpan w:val="4"/>
                </w:tcPr>
                <w:p w14:paraId="5A1D914D" w14:textId="5DE92293" w:rsidR="009D4E1B" w:rsidRPr="002A4D6D" w:rsidRDefault="009D4E1B" w:rsidP="002A4D6D">
                  <w:pPr>
                    <w:rPr>
                      <w:rFonts w:eastAsia="Times New Roman"/>
                      <w:spacing w:val="-4"/>
                      <w:sz w:val="26"/>
                      <w:szCs w:val="26"/>
                      <w:lang w:eastAsia="lv-LV"/>
                    </w:rPr>
                  </w:pPr>
                  <w:r w:rsidRPr="002A4D6D">
                    <w:rPr>
                      <w:rFonts w:eastAsia="Times New Roman"/>
                      <w:spacing w:val="-4"/>
                      <w:sz w:val="26"/>
                      <w:szCs w:val="26"/>
                      <w:lang w:eastAsia="lv-LV"/>
                    </w:rPr>
                    <w:t>Projekts šo jomu neskar.</w:t>
                  </w:r>
                </w:p>
              </w:tc>
              <w:tc>
                <w:tcPr>
                  <w:tcW w:w="1841" w:type="dxa"/>
                </w:tcPr>
                <w:p w14:paraId="3B5C1B74" w14:textId="77777777" w:rsidR="009D4E1B" w:rsidRPr="002A4D6D" w:rsidRDefault="009D4E1B" w:rsidP="002A4D6D">
                  <w:pPr>
                    <w:jc w:val="center"/>
                    <w:rPr>
                      <w:spacing w:val="-4"/>
                      <w:sz w:val="26"/>
                      <w:szCs w:val="26"/>
                    </w:rPr>
                  </w:pPr>
                </w:p>
              </w:tc>
              <w:tc>
                <w:tcPr>
                  <w:tcW w:w="1841" w:type="dxa"/>
                </w:tcPr>
                <w:p w14:paraId="5795FADE" w14:textId="77777777" w:rsidR="009D4E1B" w:rsidRPr="002A4D6D" w:rsidRDefault="009D4E1B" w:rsidP="002A4D6D">
                  <w:pPr>
                    <w:rPr>
                      <w:rFonts w:eastAsia="Times New Roman"/>
                      <w:spacing w:val="-4"/>
                      <w:sz w:val="26"/>
                      <w:szCs w:val="26"/>
                      <w:lang w:eastAsia="lv-LV"/>
                    </w:rPr>
                  </w:pPr>
                </w:p>
              </w:tc>
              <w:tc>
                <w:tcPr>
                  <w:tcW w:w="1841" w:type="dxa"/>
                </w:tcPr>
                <w:p w14:paraId="2FC60CA9" w14:textId="77777777" w:rsidR="009D4E1B" w:rsidRPr="002A4D6D" w:rsidRDefault="009D4E1B" w:rsidP="002A4D6D">
                  <w:pPr>
                    <w:rPr>
                      <w:rFonts w:eastAsia="Times New Roman"/>
                      <w:spacing w:val="-4"/>
                      <w:sz w:val="26"/>
                      <w:szCs w:val="26"/>
                      <w:lang w:eastAsia="lv-LV"/>
                    </w:rPr>
                  </w:pPr>
                </w:p>
              </w:tc>
            </w:tr>
            <w:tr w:rsidR="009D4E1B" w:rsidRPr="002A4D6D" w14:paraId="6C7A5C1E" w14:textId="77777777" w:rsidTr="005E7435">
              <w:tc>
                <w:tcPr>
                  <w:tcW w:w="2944" w:type="dxa"/>
                </w:tcPr>
                <w:p w14:paraId="240E7E5A" w14:textId="13F416BF" w:rsidR="009D4E1B" w:rsidRPr="002A4D6D" w:rsidRDefault="009D4E1B" w:rsidP="002A4D6D">
                  <w:pPr>
                    <w:jc w:val="center"/>
                    <w:rPr>
                      <w:spacing w:val="-4"/>
                      <w:sz w:val="26"/>
                      <w:szCs w:val="26"/>
                    </w:rPr>
                  </w:pPr>
                  <w:r w:rsidRPr="002A4D6D">
                    <w:rPr>
                      <w:rFonts w:eastAsia="Times New Roman"/>
                      <w:spacing w:val="-4"/>
                      <w:sz w:val="26"/>
                      <w:szCs w:val="26"/>
                      <w:lang w:eastAsia="lv-LV"/>
                    </w:rPr>
                    <w:t>Cita informācija</w:t>
                  </w:r>
                </w:p>
              </w:tc>
              <w:tc>
                <w:tcPr>
                  <w:tcW w:w="6235" w:type="dxa"/>
                  <w:gridSpan w:val="4"/>
                </w:tcPr>
                <w:p w14:paraId="558EF6A4" w14:textId="4FB23570" w:rsidR="009D4E1B" w:rsidRPr="002A4D6D" w:rsidRDefault="00CF71ED" w:rsidP="002A4D6D">
                  <w:pPr>
                    <w:ind w:right="139"/>
                    <w:jc w:val="both"/>
                    <w:rPr>
                      <w:rFonts w:eastAsia="Times New Roman"/>
                      <w:spacing w:val="-4"/>
                      <w:sz w:val="26"/>
                      <w:szCs w:val="26"/>
                      <w:lang w:eastAsia="lv-LV"/>
                    </w:rPr>
                  </w:pPr>
                  <w:r w:rsidRPr="002A4D6D">
                    <w:rPr>
                      <w:spacing w:val="-4"/>
                      <w:sz w:val="26"/>
                      <w:szCs w:val="26"/>
                    </w:rPr>
                    <w:t xml:space="preserve">Direktīvas 2006/112/EK regulējums ir jau </w:t>
                  </w:r>
                  <w:r w:rsidRPr="002A4D6D">
                    <w:rPr>
                      <w:rFonts w:eastAsia="Times New Roman"/>
                      <w:spacing w:val="-4"/>
                      <w:sz w:val="26"/>
                      <w:szCs w:val="26"/>
                      <w:lang w:eastAsia="lv-LV"/>
                    </w:rPr>
                    <w:t>pārņemts</w:t>
                  </w:r>
                  <w:r w:rsidRPr="002A4D6D">
                    <w:rPr>
                      <w:spacing w:val="-4"/>
                      <w:sz w:val="26"/>
                      <w:szCs w:val="26"/>
                    </w:rPr>
                    <w:t xml:space="preserve"> Pievienotās vērtības nodokļa likumā. Tomēr, ņemot vērā, ka </w:t>
                  </w:r>
                  <w:r w:rsidRPr="002A4D6D">
                    <w:rPr>
                      <w:spacing w:val="-4"/>
                      <w:sz w:val="26"/>
                      <w:szCs w:val="26"/>
                    </w:rPr>
                    <w:lastRenderedPageBreak/>
                    <w:t xml:space="preserve">ar šo </w:t>
                  </w:r>
                  <w:r w:rsidRPr="002A4D6D">
                    <w:rPr>
                      <w:rFonts w:eastAsia="Times New Roman"/>
                      <w:spacing w:val="-4"/>
                      <w:sz w:val="26"/>
                      <w:szCs w:val="26"/>
                      <w:lang w:eastAsia="lv-LV"/>
                    </w:rPr>
                    <w:t>likumprojektu</w:t>
                  </w:r>
                  <w:r w:rsidRPr="002A4D6D">
                    <w:rPr>
                      <w:spacing w:val="-4"/>
                      <w:sz w:val="26"/>
                      <w:szCs w:val="26"/>
                    </w:rPr>
                    <w:t xml:space="preserve"> tiek ieviesti atsevišķi panti katra</w:t>
                  </w:r>
                  <w:r w:rsidR="00E676D1" w:rsidRPr="002A4D6D">
                    <w:rPr>
                      <w:spacing w:val="-4"/>
                      <w:sz w:val="26"/>
                      <w:szCs w:val="26"/>
                    </w:rPr>
                    <w:t>m</w:t>
                  </w:r>
                  <w:r w:rsidRPr="002A4D6D">
                    <w:rPr>
                      <w:spacing w:val="-4"/>
                      <w:sz w:val="26"/>
                      <w:szCs w:val="26"/>
                    </w:rPr>
                    <w:t xml:space="preserve"> īpaša</w:t>
                  </w:r>
                  <w:r w:rsidR="00E676D1" w:rsidRPr="002A4D6D">
                    <w:rPr>
                      <w:spacing w:val="-4"/>
                      <w:sz w:val="26"/>
                      <w:szCs w:val="26"/>
                    </w:rPr>
                    <w:t>m</w:t>
                  </w:r>
                  <w:r w:rsidRPr="002A4D6D">
                    <w:rPr>
                      <w:spacing w:val="-4"/>
                      <w:sz w:val="26"/>
                      <w:szCs w:val="26"/>
                    </w:rPr>
                    <w:t xml:space="preserve"> PVN režīma</w:t>
                  </w:r>
                  <w:r w:rsidR="00E676D1" w:rsidRPr="002A4D6D">
                    <w:rPr>
                      <w:spacing w:val="-4"/>
                      <w:sz w:val="26"/>
                      <w:szCs w:val="26"/>
                    </w:rPr>
                    <w:t>m (</w:t>
                  </w:r>
                  <w:proofErr w:type="spellStart"/>
                  <w:r w:rsidR="00E676D1" w:rsidRPr="002A4D6D">
                    <w:rPr>
                      <w:spacing w:val="-4"/>
                      <w:sz w:val="26"/>
                      <w:szCs w:val="26"/>
                    </w:rPr>
                    <w:t>ārpussavienības</w:t>
                  </w:r>
                  <w:proofErr w:type="spellEnd"/>
                  <w:r w:rsidR="00E676D1" w:rsidRPr="002A4D6D">
                    <w:rPr>
                      <w:spacing w:val="-4"/>
                      <w:sz w:val="26"/>
                      <w:szCs w:val="26"/>
                    </w:rPr>
                    <w:t xml:space="preserve"> režīmam, savienības režīmam un importa režīmam)</w:t>
                  </w:r>
                  <w:r w:rsidRPr="002A4D6D">
                    <w:rPr>
                      <w:spacing w:val="-4"/>
                      <w:sz w:val="26"/>
                      <w:szCs w:val="26"/>
                    </w:rPr>
                    <w:t xml:space="preserve">, vienuviet apkopojot nosacījumus </w:t>
                  </w:r>
                  <w:r w:rsidR="00E676D1" w:rsidRPr="002A4D6D">
                    <w:rPr>
                      <w:spacing w:val="-4"/>
                      <w:sz w:val="26"/>
                      <w:szCs w:val="26"/>
                    </w:rPr>
                    <w:t xml:space="preserve">konkrētā </w:t>
                  </w:r>
                  <w:r w:rsidRPr="002A4D6D">
                    <w:rPr>
                      <w:spacing w:val="-4"/>
                      <w:sz w:val="26"/>
                      <w:szCs w:val="26"/>
                    </w:rPr>
                    <w:t xml:space="preserve">režīma piemērošanai, ar šo likumprojektu redakcionāli </w:t>
                  </w:r>
                  <w:r w:rsidR="00E676D1" w:rsidRPr="002A4D6D">
                    <w:rPr>
                      <w:spacing w:val="-4"/>
                      <w:sz w:val="26"/>
                      <w:szCs w:val="26"/>
                    </w:rPr>
                    <w:t xml:space="preserve">tiek </w:t>
                  </w:r>
                  <w:r w:rsidRPr="002A4D6D">
                    <w:rPr>
                      <w:spacing w:val="-4"/>
                      <w:sz w:val="26"/>
                      <w:szCs w:val="26"/>
                    </w:rPr>
                    <w:t>pārnes</w:t>
                  </w:r>
                  <w:r w:rsidR="00E676D1" w:rsidRPr="002A4D6D">
                    <w:rPr>
                      <w:spacing w:val="-4"/>
                      <w:sz w:val="26"/>
                      <w:szCs w:val="26"/>
                    </w:rPr>
                    <w:t>ti</w:t>
                  </w:r>
                  <w:r w:rsidRPr="002A4D6D">
                    <w:rPr>
                      <w:spacing w:val="-4"/>
                      <w:sz w:val="26"/>
                      <w:szCs w:val="26"/>
                    </w:rPr>
                    <w:t xml:space="preserve"> arī tie Direktīvas 2006/112/EK panti, k</w:t>
                  </w:r>
                  <w:r w:rsidR="00E676D1" w:rsidRPr="002A4D6D">
                    <w:rPr>
                      <w:spacing w:val="-4"/>
                      <w:sz w:val="26"/>
                      <w:szCs w:val="26"/>
                    </w:rPr>
                    <w:t>uri</w:t>
                  </w:r>
                  <w:r w:rsidRPr="002A4D6D">
                    <w:rPr>
                      <w:spacing w:val="-4"/>
                      <w:sz w:val="26"/>
                      <w:szCs w:val="26"/>
                    </w:rPr>
                    <w:t xml:space="preserve"> šobrīd ir spēkā.</w:t>
                  </w:r>
                </w:p>
              </w:tc>
              <w:tc>
                <w:tcPr>
                  <w:tcW w:w="1841" w:type="dxa"/>
                </w:tcPr>
                <w:p w14:paraId="6898D707" w14:textId="77777777" w:rsidR="009D4E1B" w:rsidRPr="002A4D6D" w:rsidRDefault="009D4E1B" w:rsidP="002A4D6D">
                  <w:pPr>
                    <w:jc w:val="center"/>
                    <w:rPr>
                      <w:spacing w:val="-4"/>
                      <w:sz w:val="26"/>
                      <w:szCs w:val="26"/>
                    </w:rPr>
                  </w:pPr>
                </w:p>
              </w:tc>
              <w:tc>
                <w:tcPr>
                  <w:tcW w:w="1841" w:type="dxa"/>
                </w:tcPr>
                <w:p w14:paraId="4A7E257F" w14:textId="77777777" w:rsidR="009D4E1B" w:rsidRPr="002A4D6D" w:rsidRDefault="009D4E1B" w:rsidP="002A4D6D">
                  <w:pPr>
                    <w:rPr>
                      <w:rFonts w:eastAsia="Times New Roman"/>
                      <w:spacing w:val="-4"/>
                      <w:sz w:val="26"/>
                      <w:szCs w:val="26"/>
                      <w:lang w:eastAsia="lv-LV"/>
                    </w:rPr>
                  </w:pPr>
                </w:p>
              </w:tc>
              <w:tc>
                <w:tcPr>
                  <w:tcW w:w="1841" w:type="dxa"/>
                </w:tcPr>
                <w:p w14:paraId="64715FF0" w14:textId="77777777" w:rsidR="009D4E1B" w:rsidRPr="002A4D6D" w:rsidRDefault="009D4E1B" w:rsidP="002A4D6D">
                  <w:pPr>
                    <w:rPr>
                      <w:rFonts w:eastAsia="Times New Roman"/>
                      <w:spacing w:val="-4"/>
                      <w:sz w:val="26"/>
                      <w:szCs w:val="26"/>
                      <w:lang w:eastAsia="lv-LV"/>
                    </w:rPr>
                  </w:pPr>
                </w:p>
              </w:tc>
            </w:tr>
            <w:tr w:rsidR="009D4E1B" w:rsidRPr="002A4D6D" w14:paraId="28F0F01D" w14:textId="77777777" w:rsidTr="008D190C">
              <w:tc>
                <w:tcPr>
                  <w:tcW w:w="9179" w:type="dxa"/>
                  <w:gridSpan w:val="5"/>
                </w:tcPr>
                <w:p w14:paraId="5BCACA02" w14:textId="6CC42AF0" w:rsidR="009D4E1B" w:rsidRPr="002A4D6D" w:rsidRDefault="009D4E1B" w:rsidP="002A4D6D">
                  <w:pPr>
                    <w:jc w:val="center"/>
                    <w:rPr>
                      <w:rFonts w:eastAsia="Times New Roman"/>
                      <w:spacing w:val="-4"/>
                      <w:sz w:val="26"/>
                      <w:szCs w:val="26"/>
                      <w:lang w:eastAsia="lv-LV"/>
                    </w:rPr>
                  </w:pPr>
                  <w:r w:rsidRPr="002A4D6D">
                    <w:rPr>
                      <w:rFonts w:eastAsia="Times New Roman"/>
                      <w:spacing w:val="-4"/>
                      <w:sz w:val="26"/>
                      <w:szCs w:val="26"/>
                      <w:lang w:eastAsia="lv-LV"/>
                    </w:rPr>
                    <w:t xml:space="preserve">Direktīva </w:t>
                  </w:r>
                  <w:r w:rsidRPr="002A4D6D">
                    <w:rPr>
                      <w:spacing w:val="-4"/>
                      <w:sz w:val="26"/>
                      <w:szCs w:val="26"/>
                    </w:rPr>
                    <w:t>2018/1910</w:t>
                  </w:r>
                </w:p>
              </w:tc>
              <w:tc>
                <w:tcPr>
                  <w:tcW w:w="1841" w:type="dxa"/>
                </w:tcPr>
                <w:p w14:paraId="0DB49AED" w14:textId="77777777" w:rsidR="009D4E1B" w:rsidRPr="002A4D6D" w:rsidRDefault="009D4E1B" w:rsidP="002A4D6D">
                  <w:pPr>
                    <w:jc w:val="center"/>
                    <w:rPr>
                      <w:spacing w:val="-4"/>
                      <w:sz w:val="26"/>
                      <w:szCs w:val="26"/>
                    </w:rPr>
                  </w:pPr>
                </w:p>
              </w:tc>
              <w:tc>
                <w:tcPr>
                  <w:tcW w:w="1841" w:type="dxa"/>
                </w:tcPr>
                <w:p w14:paraId="64A834A9" w14:textId="77777777" w:rsidR="009D4E1B" w:rsidRPr="002A4D6D" w:rsidRDefault="009D4E1B" w:rsidP="002A4D6D">
                  <w:pPr>
                    <w:rPr>
                      <w:rFonts w:eastAsia="Times New Roman"/>
                      <w:spacing w:val="-4"/>
                      <w:sz w:val="26"/>
                      <w:szCs w:val="26"/>
                      <w:lang w:eastAsia="lv-LV"/>
                    </w:rPr>
                  </w:pPr>
                </w:p>
              </w:tc>
              <w:tc>
                <w:tcPr>
                  <w:tcW w:w="1841" w:type="dxa"/>
                </w:tcPr>
                <w:p w14:paraId="23F92AF0" w14:textId="77777777" w:rsidR="009D4E1B" w:rsidRPr="002A4D6D" w:rsidRDefault="009D4E1B" w:rsidP="002A4D6D">
                  <w:pPr>
                    <w:rPr>
                      <w:rFonts w:eastAsia="Times New Roman"/>
                      <w:spacing w:val="-4"/>
                      <w:sz w:val="26"/>
                      <w:szCs w:val="26"/>
                      <w:lang w:eastAsia="lv-LV"/>
                    </w:rPr>
                  </w:pPr>
                </w:p>
              </w:tc>
            </w:tr>
            <w:tr w:rsidR="009D4E1B" w:rsidRPr="002A4D6D" w14:paraId="3656A651" w14:textId="77777777" w:rsidTr="005E7435">
              <w:tc>
                <w:tcPr>
                  <w:tcW w:w="2944" w:type="dxa"/>
                </w:tcPr>
                <w:p w14:paraId="3E38417B" w14:textId="67EC7301" w:rsidR="009D4E1B" w:rsidRPr="002A4D6D" w:rsidRDefault="007C7FD5" w:rsidP="002A4D6D">
                  <w:pPr>
                    <w:jc w:val="center"/>
                    <w:rPr>
                      <w:spacing w:val="-4"/>
                      <w:sz w:val="26"/>
                      <w:szCs w:val="26"/>
                    </w:rPr>
                  </w:pPr>
                  <w:r w:rsidRPr="002A4D6D">
                    <w:rPr>
                      <w:spacing w:val="-4"/>
                      <w:sz w:val="26"/>
                      <w:szCs w:val="26"/>
                    </w:rPr>
                    <w:t>Direktī</w:t>
                  </w:r>
                  <w:r w:rsidR="002F546F" w:rsidRPr="002A4D6D">
                    <w:rPr>
                      <w:spacing w:val="-4"/>
                      <w:sz w:val="26"/>
                      <w:szCs w:val="26"/>
                    </w:rPr>
                    <w:t xml:space="preserve">vas 2018/1910 1.panta 2.punkts  attiecībā uz </w:t>
                  </w:r>
                  <w:r w:rsidRPr="002A4D6D">
                    <w:rPr>
                      <w:spacing w:val="-4"/>
                      <w:sz w:val="26"/>
                      <w:szCs w:val="26"/>
                    </w:rPr>
                    <w:t>36.a pant</w:t>
                  </w:r>
                  <w:r w:rsidR="002F546F" w:rsidRPr="002A4D6D">
                    <w:rPr>
                      <w:spacing w:val="-4"/>
                      <w:sz w:val="26"/>
                      <w:szCs w:val="26"/>
                    </w:rPr>
                    <w:t>a 4.punkta pārņemšanu</w:t>
                  </w:r>
                </w:p>
              </w:tc>
              <w:tc>
                <w:tcPr>
                  <w:tcW w:w="2693" w:type="dxa"/>
                  <w:gridSpan w:val="2"/>
                </w:tcPr>
                <w:p w14:paraId="215944AE" w14:textId="65BFC9D8" w:rsidR="009D4E1B" w:rsidRPr="002A4D6D" w:rsidRDefault="009D4E1B" w:rsidP="002A4D6D">
                  <w:pPr>
                    <w:jc w:val="center"/>
                    <w:rPr>
                      <w:spacing w:val="-4"/>
                      <w:sz w:val="26"/>
                      <w:szCs w:val="26"/>
                    </w:rPr>
                  </w:pPr>
                  <w:r w:rsidRPr="002A4D6D">
                    <w:rPr>
                      <w:spacing w:val="-4"/>
                      <w:sz w:val="26"/>
                      <w:szCs w:val="26"/>
                    </w:rPr>
                    <w:t xml:space="preserve">Likumprojekta </w:t>
                  </w:r>
                  <w:r w:rsidR="003335B8" w:rsidRPr="002A4D6D">
                    <w:rPr>
                      <w:spacing w:val="-4"/>
                      <w:sz w:val="26"/>
                      <w:szCs w:val="26"/>
                    </w:rPr>
                    <w:t>8</w:t>
                  </w:r>
                  <w:r w:rsidRPr="002A4D6D">
                    <w:rPr>
                      <w:spacing w:val="-4"/>
                      <w:sz w:val="26"/>
                      <w:szCs w:val="26"/>
                    </w:rPr>
                    <w:t>.pants</w:t>
                  </w:r>
                </w:p>
                <w:p w14:paraId="0F34E753" w14:textId="3ADC55CE" w:rsidR="009D4E1B" w:rsidRPr="002A4D6D" w:rsidRDefault="009D4E1B" w:rsidP="002A4D6D">
                  <w:pPr>
                    <w:jc w:val="center"/>
                    <w:rPr>
                      <w:spacing w:val="-4"/>
                      <w:sz w:val="26"/>
                      <w:szCs w:val="26"/>
                    </w:rPr>
                  </w:pPr>
                  <w:r w:rsidRPr="002A4D6D">
                    <w:rPr>
                      <w:spacing w:val="-4"/>
                      <w:sz w:val="26"/>
                      <w:szCs w:val="26"/>
                    </w:rPr>
                    <w:t>(Pievienotās vērtības nodokļa likuma 43.</w:t>
                  </w:r>
                  <w:r w:rsidRPr="002A4D6D">
                    <w:rPr>
                      <w:spacing w:val="-4"/>
                      <w:sz w:val="26"/>
                      <w:szCs w:val="26"/>
                      <w:vertAlign w:val="superscript"/>
                    </w:rPr>
                    <w:t>1</w:t>
                  </w:r>
                  <w:r w:rsidRPr="002A4D6D">
                    <w:rPr>
                      <w:spacing w:val="-4"/>
                      <w:sz w:val="26"/>
                      <w:szCs w:val="26"/>
                    </w:rPr>
                    <w:t> panta ceturtā daļa)</w:t>
                  </w:r>
                </w:p>
              </w:tc>
              <w:tc>
                <w:tcPr>
                  <w:tcW w:w="1699" w:type="dxa"/>
                </w:tcPr>
                <w:p w14:paraId="7B9B143F" w14:textId="0FC29762" w:rsidR="009D4E1B" w:rsidRPr="002A4D6D" w:rsidRDefault="009D4E1B" w:rsidP="002A4D6D">
                  <w:pPr>
                    <w:jc w:val="center"/>
                    <w:rPr>
                      <w:rFonts w:eastAsia="Times New Roman"/>
                      <w:spacing w:val="-4"/>
                      <w:sz w:val="26"/>
                      <w:szCs w:val="26"/>
                      <w:lang w:eastAsia="lv-LV"/>
                    </w:rPr>
                  </w:pPr>
                  <w:r w:rsidRPr="002A4D6D">
                    <w:rPr>
                      <w:rFonts w:eastAsia="Times New Roman"/>
                      <w:spacing w:val="-4"/>
                      <w:sz w:val="26"/>
                      <w:szCs w:val="26"/>
                      <w:lang w:eastAsia="lv-LV"/>
                    </w:rPr>
                    <w:t>Ieviests pilnībā</w:t>
                  </w:r>
                </w:p>
              </w:tc>
              <w:tc>
                <w:tcPr>
                  <w:tcW w:w="1843" w:type="dxa"/>
                </w:tcPr>
                <w:p w14:paraId="07649E77" w14:textId="373647AB" w:rsidR="009D4E1B" w:rsidRPr="002A4D6D" w:rsidRDefault="009D4E1B" w:rsidP="002A4D6D">
                  <w:pPr>
                    <w:jc w:val="center"/>
                    <w:rPr>
                      <w:rFonts w:eastAsia="Times New Roman"/>
                      <w:spacing w:val="-4"/>
                      <w:sz w:val="26"/>
                      <w:szCs w:val="26"/>
                      <w:lang w:eastAsia="lv-LV"/>
                    </w:rPr>
                  </w:pPr>
                  <w:r w:rsidRPr="002A4D6D">
                    <w:rPr>
                      <w:rFonts w:eastAsia="Times New Roman"/>
                      <w:spacing w:val="-4"/>
                      <w:sz w:val="26"/>
                      <w:szCs w:val="26"/>
                      <w:lang w:eastAsia="lv-LV"/>
                    </w:rPr>
                    <w:t>Likumprojekts neparedz stingrākas prasības</w:t>
                  </w:r>
                </w:p>
              </w:tc>
              <w:tc>
                <w:tcPr>
                  <w:tcW w:w="1841" w:type="dxa"/>
                </w:tcPr>
                <w:p w14:paraId="3A1FEC29" w14:textId="77777777" w:rsidR="009D4E1B" w:rsidRPr="002A4D6D" w:rsidRDefault="009D4E1B" w:rsidP="002A4D6D">
                  <w:pPr>
                    <w:jc w:val="center"/>
                    <w:rPr>
                      <w:spacing w:val="-4"/>
                      <w:sz w:val="26"/>
                      <w:szCs w:val="26"/>
                    </w:rPr>
                  </w:pPr>
                </w:p>
              </w:tc>
              <w:tc>
                <w:tcPr>
                  <w:tcW w:w="1841" w:type="dxa"/>
                </w:tcPr>
                <w:p w14:paraId="75B3ABD2" w14:textId="77777777" w:rsidR="009D4E1B" w:rsidRPr="002A4D6D" w:rsidRDefault="009D4E1B" w:rsidP="002A4D6D">
                  <w:pPr>
                    <w:rPr>
                      <w:rFonts w:eastAsia="Times New Roman"/>
                      <w:spacing w:val="-4"/>
                      <w:sz w:val="26"/>
                      <w:szCs w:val="26"/>
                      <w:lang w:eastAsia="lv-LV"/>
                    </w:rPr>
                  </w:pPr>
                </w:p>
              </w:tc>
              <w:tc>
                <w:tcPr>
                  <w:tcW w:w="1841" w:type="dxa"/>
                </w:tcPr>
                <w:p w14:paraId="08D389B5" w14:textId="77777777" w:rsidR="009D4E1B" w:rsidRPr="002A4D6D" w:rsidRDefault="009D4E1B" w:rsidP="002A4D6D">
                  <w:pPr>
                    <w:rPr>
                      <w:rFonts w:eastAsia="Times New Roman"/>
                      <w:spacing w:val="-4"/>
                      <w:sz w:val="26"/>
                      <w:szCs w:val="26"/>
                      <w:lang w:eastAsia="lv-LV"/>
                    </w:rPr>
                  </w:pPr>
                </w:p>
              </w:tc>
            </w:tr>
            <w:tr w:rsidR="009D4E1B" w:rsidRPr="002A4D6D" w14:paraId="417261E8" w14:textId="77777777" w:rsidTr="005E7435">
              <w:tc>
                <w:tcPr>
                  <w:tcW w:w="2944" w:type="dxa"/>
                </w:tcPr>
                <w:p w14:paraId="1FB0E845" w14:textId="10C8BCA8" w:rsidR="009D4E1B" w:rsidRPr="002A4D6D" w:rsidRDefault="009D4E1B" w:rsidP="002A4D6D">
                  <w:pPr>
                    <w:jc w:val="center"/>
                    <w:rPr>
                      <w:spacing w:val="-4"/>
                      <w:sz w:val="26"/>
                      <w:szCs w:val="26"/>
                    </w:rPr>
                  </w:pPr>
                  <w:r w:rsidRPr="002A4D6D">
                    <w:rPr>
                      <w:rFonts w:eastAsia="Times New Roman"/>
                      <w:spacing w:val="-4"/>
                      <w:sz w:val="26"/>
                      <w:szCs w:val="26"/>
                      <w:lang w:eastAsia="lv-LV"/>
                    </w:rPr>
                    <w:t>Kā ir izmantota ES tiesību aktā paredzētā rīcības brīvība dalībvalstij pārņemt vai ieviest noteiktas ES tiesību akta normas? Kādēļ?</w:t>
                  </w:r>
                </w:p>
              </w:tc>
              <w:tc>
                <w:tcPr>
                  <w:tcW w:w="6235" w:type="dxa"/>
                  <w:gridSpan w:val="4"/>
                </w:tcPr>
                <w:p w14:paraId="4FB87403" w14:textId="3F0C76E7" w:rsidR="009D4E1B" w:rsidRPr="002A4D6D" w:rsidRDefault="009D4E1B" w:rsidP="002A4D6D">
                  <w:pPr>
                    <w:rPr>
                      <w:rFonts w:eastAsia="Times New Roman"/>
                      <w:spacing w:val="-4"/>
                      <w:sz w:val="26"/>
                      <w:szCs w:val="26"/>
                      <w:lang w:eastAsia="lv-LV"/>
                    </w:rPr>
                  </w:pPr>
                  <w:r w:rsidRPr="002A4D6D">
                    <w:rPr>
                      <w:rFonts w:eastAsia="Times New Roman"/>
                      <w:spacing w:val="-4"/>
                      <w:sz w:val="26"/>
                      <w:szCs w:val="26"/>
                      <w:lang w:eastAsia="lv-LV"/>
                    </w:rPr>
                    <w:t>Projekts šo jomu neskar.</w:t>
                  </w:r>
                </w:p>
              </w:tc>
              <w:tc>
                <w:tcPr>
                  <w:tcW w:w="1841" w:type="dxa"/>
                </w:tcPr>
                <w:p w14:paraId="72477D5D" w14:textId="77777777" w:rsidR="009D4E1B" w:rsidRPr="002A4D6D" w:rsidRDefault="009D4E1B" w:rsidP="002A4D6D">
                  <w:pPr>
                    <w:jc w:val="center"/>
                    <w:rPr>
                      <w:spacing w:val="-4"/>
                      <w:sz w:val="26"/>
                      <w:szCs w:val="26"/>
                    </w:rPr>
                  </w:pPr>
                </w:p>
              </w:tc>
              <w:tc>
                <w:tcPr>
                  <w:tcW w:w="1841" w:type="dxa"/>
                </w:tcPr>
                <w:p w14:paraId="3BA156AA" w14:textId="77777777" w:rsidR="009D4E1B" w:rsidRPr="002A4D6D" w:rsidRDefault="009D4E1B" w:rsidP="002A4D6D">
                  <w:pPr>
                    <w:rPr>
                      <w:rFonts w:eastAsia="Times New Roman"/>
                      <w:spacing w:val="-4"/>
                      <w:sz w:val="26"/>
                      <w:szCs w:val="26"/>
                      <w:lang w:eastAsia="lv-LV"/>
                    </w:rPr>
                  </w:pPr>
                </w:p>
              </w:tc>
              <w:tc>
                <w:tcPr>
                  <w:tcW w:w="1841" w:type="dxa"/>
                </w:tcPr>
                <w:p w14:paraId="37869798" w14:textId="77777777" w:rsidR="009D4E1B" w:rsidRPr="002A4D6D" w:rsidRDefault="009D4E1B" w:rsidP="002A4D6D">
                  <w:pPr>
                    <w:rPr>
                      <w:rFonts w:eastAsia="Times New Roman"/>
                      <w:spacing w:val="-4"/>
                      <w:sz w:val="26"/>
                      <w:szCs w:val="26"/>
                      <w:lang w:eastAsia="lv-LV"/>
                    </w:rPr>
                  </w:pPr>
                </w:p>
              </w:tc>
            </w:tr>
            <w:tr w:rsidR="009D4E1B" w:rsidRPr="002A4D6D" w14:paraId="6B492A6A" w14:textId="77777777" w:rsidTr="005E7435">
              <w:tc>
                <w:tcPr>
                  <w:tcW w:w="2944" w:type="dxa"/>
                </w:tcPr>
                <w:p w14:paraId="5C22EA41" w14:textId="7FFA4528" w:rsidR="009D4E1B" w:rsidRPr="002A4D6D" w:rsidRDefault="009D4E1B" w:rsidP="002A4D6D">
                  <w:pPr>
                    <w:jc w:val="center"/>
                    <w:rPr>
                      <w:spacing w:val="-4"/>
                      <w:sz w:val="26"/>
                      <w:szCs w:val="26"/>
                    </w:rPr>
                  </w:pPr>
                  <w:r w:rsidRPr="002A4D6D">
                    <w:rPr>
                      <w:rFonts w:eastAsia="Times New Roman"/>
                      <w:spacing w:val="-4"/>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35" w:type="dxa"/>
                  <w:gridSpan w:val="4"/>
                </w:tcPr>
                <w:p w14:paraId="06D0042B" w14:textId="5C3A64AB" w:rsidR="009D4E1B" w:rsidRPr="002A4D6D" w:rsidRDefault="009D4E1B" w:rsidP="002A4D6D">
                  <w:pPr>
                    <w:rPr>
                      <w:rFonts w:eastAsia="Times New Roman"/>
                      <w:spacing w:val="-4"/>
                      <w:sz w:val="26"/>
                      <w:szCs w:val="26"/>
                      <w:lang w:eastAsia="lv-LV"/>
                    </w:rPr>
                  </w:pPr>
                  <w:r w:rsidRPr="002A4D6D">
                    <w:rPr>
                      <w:rFonts w:eastAsia="Times New Roman"/>
                      <w:spacing w:val="-4"/>
                      <w:sz w:val="26"/>
                      <w:szCs w:val="26"/>
                      <w:lang w:eastAsia="lv-LV"/>
                    </w:rPr>
                    <w:t>Projekts šo jomu neskar.</w:t>
                  </w:r>
                </w:p>
              </w:tc>
              <w:tc>
                <w:tcPr>
                  <w:tcW w:w="1841" w:type="dxa"/>
                </w:tcPr>
                <w:p w14:paraId="753C9C8A" w14:textId="77777777" w:rsidR="009D4E1B" w:rsidRPr="002A4D6D" w:rsidRDefault="009D4E1B" w:rsidP="002A4D6D">
                  <w:pPr>
                    <w:jc w:val="center"/>
                    <w:rPr>
                      <w:spacing w:val="-4"/>
                      <w:sz w:val="26"/>
                      <w:szCs w:val="26"/>
                    </w:rPr>
                  </w:pPr>
                </w:p>
              </w:tc>
              <w:tc>
                <w:tcPr>
                  <w:tcW w:w="1841" w:type="dxa"/>
                </w:tcPr>
                <w:p w14:paraId="314E5FCE" w14:textId="77777777" w:rsidR="009D4E1B" w:rsidRPr="002A4D6D" w:rsidRDefault="009D4E1B" w:rsidP="002A4D6D">
                  <w:pPr>
                    <w:rPr>
                      <w:rFonts w:eastAsia="Times New Roman"/>
                      <w:spacing w:val="-4"/>
                      <w:sz w:val="26"/>
                      <w:szCs w:val="26"/>
                      <w:lang w:eastAsia="lv-LV"/>
                    </w:rPr>
                  </w:pPr>
                </w:p>
              </w:tc>
              <w:tc>
                <w:tcPr>
                  <w:tcW w:w="1841" w:type="dxa"/>
                </w:tcPr>
                <w:p w14:paraId="26BE3D7A" w14:textId="77777777" w:rsidR="009D4E1B" w:rsidRPr="002A4D6D" w:rsidRDefault="009D4E1B" w:rsidP="002A4D6D">
                  <w:pPr>
                    <w:rPr>
                      <w:rFonts w:eastAsia="Times New Roman"/>
                      <w:spacing w:val="-4"/>
                      <w:sz w:val="26"/>
                      <w:szCs w:val="26"/>
                      <w:lang w:eastAsia="lv-LV"/>
                    </w:rPr>
                  </w:pPr>
                </w:p>
              </w:tc>
            </w:tr>
            <w:tr w:rsidR="009D4E1B" w:rsidRPr="002A4D6D" w14:paraId="3C1D7D08" w14:textId="77777777" w:rsidTr="005E7435">
              <w:tc>
                <w:tcPr>
                  <w:tcW w:w="2944" w:type="dxa"/>
                </w:tcPr>
                <w:p w14:paraId="6320DBA2" w14:textId="4C252D1E" w:rsidR="009D4E1B" w:rsidRPr="002A4D6D" w:rsidRDefault="009D4E1B" w:rsidP="002A4D6D">
                  <w:pPr>
                    <w:jc w:val="center"/>
                    <w:rPr>
                      <w:spacing w:val="-4"/>
                      <w:sz w:val="26"/>
                      <w:szCs w:val="26"/>
                    </w:rPr>
                  </w:pPr>
                  <w:r w:rsidRPr="002A4D6D">
                    <w:rPr>
                      <w:rFonts w:eastAsia="Times New Roman"/>
                      <w:spacing w:val="-4"/>
                      <w:sz w:val="26"/>
                      <w:szCs w:val="26"/>
                      <w:lang w:eastAsia="lv-LV"/>
                    </w:rPr>
                    <w:t>Cita informācija</w:t>
                  </w:r>
                </w:p>
              </w:tc>
              <w:tc>
                <w:tcPr>
                  <w:tcW w:w="6235" w:type="dxa"/>
                  <w:gridSpan w:val="4"/>
                </w:tcPr>
                <w:p w14:paraId="2B0B032A" w14:textId="3DCE5685" w:rsidR="009D4E1B" w:rsidRPr="002A4D6D" w:rsidRDefault="009D4E1B" w:rsidP="002A4D6D">
                  <w:pPr>
                    <w:rPr>
                      <w:rFonts w:eastAsia="Times New Roman"/>
                      <w:spacing w:val="-4"/>
                      <w:sz w:val="26"/>
                      <w:szCs w:val="26"/>
                      <w:lang w:eastAsia="lv-LV"/>
                    </w:rPr>
                  </w:pPr>
                  <w:r w:rsidRPr="002A4D6D">
                    <w:rPr>
                      <w:rFonts w:eastAsia="Times New Roman"/>
                      <w:spacing w:val="-4"/>
                      <w:sz w:val="26"/>
                      <w:szCs w:val="26"/>
                      <w:lang w:eastAsia="lv-LV"/>
                    </w:rPr>
                    <w:t xml:space="preserve">Nav </w:t>
                  </w:r>
                </w:p>
              </w:tc>
              <w:tc>
                <w:tcPr>
                  <w:tcW w:w="1841" w:type="dxa"/>
                </w:tcPr>
                <w:p w14:paraId="60851D60" w14:textId="77777777" w:rsidR="009D4E1B" w:rsidRPr="002A4D6D" w:rsidRDefault="009D4E1B" w:rsidP="002A4D6D">
                  <w:pPr>
                    <w:jc w:val="center"/>
                    <w:rPr>
                      <w:spacing w:val="-4"/>
                      <w:sz w:val="26"/>
                      <w:szCs w:val="26"/>
                    </w:rPr>
                  </w:pPr>
                </w:p>
              </w:tc>
              <w:tc>
                <w:tcPr>
                  <w:tcW w:w="1841" w:type="dxa"/>
                </w:tcPr>
                <w:p w14:paraId="6DC4D1C6" w14:textId="77777777" w:rsidR="009D4E1B" w:rsidRPr="002A4D6D" w:rsidRDefault="009D4E1B" w:rsidP="002A4D6D">
                  <w:pPr>
                    <w:rPr>
                      <w:rFonts w:eastAsia="Times New Roman"/>
                      <w:spacing w:val="-4"/>
                      <w:sz w:val="26"/>
                      <w:szCs w:val="26"/>
                      <w:lang w:eastAsia="lv-LV"/>
                    </w:rPr>
                  </w:pPr>
                </w:p>
              </w:tc>
              <w:tc>
                <w:tcPr>
                  <w:tcW w:w="1841" w:type="dxa"/>
                </w:tcPr>
                <w:p w14:paraId="32B09A55" w14:textId="77777777" w:rsidR="009D4E1B" w:rsidRPr="002A4D6D" w:rsidRDefault="009D4E1B" w:rsidP="002A4D6D">
                  <w:pPr>
                    <w:rPr>
                      <w:rFonts w:eastAsia="Times New Roman"/>
                      <w:spacing w:val="-4"/>
                      <w:sz w:val="26"/>
                      <w:szCs w:val="26"/>
                      <w:lang w:eastAsia="lv-LV"/>
                    </w:rPr>
                  </w:pPr>
                </w:p>
              </w:tc>
            </w:tr>
            <w:tr w:rsidR="009D4E1B" w:rsidRPr="002A4D6D" w14:paraId="1D4D4CB5" w14:textId="77777777" w:rsidTr="005E7435">
              <w:tc>
                <w:tcPr>
                  <w:tcW w:w="2944" w:type="dxa"/>
                </w:tcPr>
                <w:p w14:paraId="0FE12EE1" w14:textId="4940BC14" w:rsidR="009D4E1B" w:rsidRPr="002A4D6D" w:rsidRDefault="009D4E1B" w:rsidP="002A4D6D">
                  <w:pPr>
                    <w:jc w:val="center"/>
                    <w:rPr>
                      <w:spacing w:val="-4"/>
                      <w:sz w:val="26"/>
                      <w:szCs w:val="26"/>
                    </w:rPr>
                  </w:pPr>
                  <w:r w:rsidRPr="002A4D6D">
                    <w:rPr>
                      <w:spacing w:val="-4"/>
                      <w:sz w:val="26"/>
                      <w:szCs w:val="26"/>
                    </w:rPr>
                    <w:t>Attiecīgā ES tiesību akta datums, numurs un nosaukums</w:t>
                  </w:r>
                </w:p>
              </w:tc>
              <w:tc>
                <w:tcPr>
                  <w:tcW w:w="6235" w:type="dxa"/>
                  <w:gridSpan w:val="4"/>
                </w:tcPr>
                <w:p w14:paraId="4222626C" w14:textId="2FDA09FA" w:rsidR="009D4E1B" w:rsidRPr="002A4D6D" w:rsidRDefault="009D4E1B" w:rsidP="002A4D6D">
                  <w:pPr>
                    <w:rPr>
                      <w:rFonts w:eastAsia="Times New Roman"/>
                      <w:spacing w:val="-4"/>
                      <w:sz w:val="26"/>
                      <w:szCs w:val="26"/>
                      <w:lang w:eastAsia="lv-LV"/>
                    </w:rPr>
                  </w:pPr>
                  <w:r w:rsidRPr="002A4D6D">
                    <w:rPr>
                      <w:spacing w:val="-4"/>
                      <w:sz w:val="26"/>
                      <w:szCs w:val="26"/>
                    </w:rPr>
                    <w:t>Padomes 2006.gada 28.novembra direktīva 2006/112/EK par kopējo pievienotās vērtības nodokļa sistēmu</w:t>
                  </w:r>
                </w:p>
              </w:tc>
              <w:tc>
                <w:tcPr>
                  <w:tcW w:w="1841" w:type="dxa"/>
                </w:tcPr>
                <w:p w14:paraId="3C26A6AC" w14:textId="77777777" w:rsidR="009D4E1B" w:rsidRPr="002A4D6D" w:rsidRDefault="009D4E1B" w:rsidP="002A4D6D">
                  <w:pPr>
                    <w:jc w:val="center"/>
                    <w:rPr>
                      <w:spacing w:val="-4"/>
                      <w:sz w:val="26"/>
                      <w:szCs w:val="26"/>
                    </w:rPr>
                  </w:pPr>
                </w:p>
              </w:tc>
              <w:tc>
                <w:tcPr>
                  <w:tcW w:w="1841" w:type="dxa"/>
                </w:tcPr>
                <w:p w14:paraId="31D4DB5E" w14:textId="77777777" w:rsidR="009D4E1B" w:rsidRPr="002A4D6D" w:rsidRDefault="009D4E1B" w:rsidP="002A4D6D">
                  <w:pPr>
                    <w:rPr>
                      <w:rFonts w:eastAsia="Times New Roman"/>
                      <w:spacing w:val="-4"/>
                      <w:sz w:val="26"/>
                      <w:szCs w:val="26"/>
                      <w:lang w:eastAsia="lv-LV"/>
                    </w:rPr>
                  </w:pPr>
                </w:p>
              </w:tc>
              <w:tc>
                <w:tcPr>
                  <w:tcW w:w="1841" w:type="dxa"/>
                </w:tcPr>
                <w:p w14:paraId="4DF0788B" w14:textId="77777777" w:rsidR="009D4E1B" w:rsidRPr="002A4D6D" w:rsidRDefault="009D4E1B" w:rsidP="002A4D6D">
                  <w:pPr>
                    <w:rPr>
                      <w:rFonts w:eastAsia="Times New Roman"/>
                      <w:spacing w:val="-4"/>
                      <w:sz w:val="26"/>
                      <w:szCs w:val="26"/>
                      <w:lang w:eastAsia="lv-LV"/>
                    </w:rPr>
                  </w:pPr>
                </w:p>
              </w:tc>
            </w:tr>
          </w:tbl>
          <w:p w14:paraId="2ABE598A" w14:textId="77777777" w:rsidR="003C371F" w:rsidRPr="002A4D6D" w:rsidRDefault="003C371F" w:rsidP="002A4D6D">
            <w:pPr>
              <w:ind w:left="57" w:right="113"/>
              <w:jc w:val="both"/>
              <w:rPr>
                <w:rFonts w:eastAsia="Times New Roman"/>
                <w:spacing w:val="-4"/>
                <w:sz w:val="26"/>
                <w:szCs w:val="26"/>
                <w:lang w:eastAsia="lv-LV"/>
              </w:rPr>
            </w:pPr>
          </w:p>
        </w:tc>
      </w:tr>
      <w:tr w:rsidR="003F09E5" w:rsidRPr="002A4D6D" w14:paraId="1F8A1F2D" w14:textId="77777777" w:rsidTr="005E7435">
        <w:trPr>
          <w:cantSplit/>
        </w:trPr>
        <w:tc>
          <w:tcPr>
            <w:tcW w:w="5000" w:type="pct"/>
            <w:gridSpan w:val="16"/>
            <w:vAlign w:val="center"/>
            <w:hideMark/>
          </w:tcPr>
          <w:p w14:paraId="375954FE" w14:textId="77777777" w:rsidR="003F09E5" w:rsidRPr="002A4D6D" w:rsidRDefault="003F09E5" w:rsidP="002A4D6D">
            <w:pPr>
              <w:jc w:val="center"/>
              <w:rPr>
                <w:b/>
                <w:bCs/>
                <w:spacing w:val="-2"/>
                <w:sz w:val="26"/>
                <w:szCs w:val="26"/>
              </w:rPr>
            </w:pPr>
            <w:r w:rsidRPr="002A4D6D">
              <w:rPr>
                <w:b/>
                <w:bCs/>
                <w:spacing w:val="-2"/>
                <w:sz w:val="26"/>
                <w:szCs w:val="26"/>
              </w:rPr>
              <w:lastRenderedPageBreak/>
              <w:t>2. tabula</w:t>
            </w:r>
            <w:r w:rsidRPr="002A4D6D">
              <w:rPr>
                <w:b/>
                <w:bCs/>
                <w:spacing w:val="-2"/>
                <w:sz w:val="26"/>
                <w:szCs w:val="26"/>
              </w:rPr>
              <w:br/>
              <w:t>Ar tiesību akta projektu izpildītās vai uzņemtās saistības, kas izriet no starptautiskajiem tiesību aktiem vai starptautiskas institūcijas vai organizācijas dokumentiem.</w:t>
            </w:r>
            <w:r w:rsidRPr="002A4D6D">
              <w:rPr>
                <w:b/>
                <w:bCs/>
                <w:spacing w:val="-2"/>
                <w:sz w:val="26"/>
                <w:szCs w:val="26"/>
              </w:rPr>
              <w:br/>
              <w:t>Pasākumi šo saistību izpildei</w:t>
            </w:r>
          </w:p>
          <w:p w14:paraId="791E6EB5" w14:textId="77777777" w:rsidR="003F09E5" w:rsidRPr="002A4D6D" w:rsidRDefault="003F09E5" w:rsidP="002A4D6D">
            <w:pPr>
              <w:jc w:val="center"/>
              <w:rPr>
                <w:b/>
                <w:bCs/>
                <w:spacing w:val="-2"/>
                <w:sz w:val="26"/>
                <w:szCs w:val="26"/>
              </w:rPr>
            </w:pPr>
          </w:p>
        </w:tc>
      </w:tr>
      <w:tr w:rsidR="003F09E5" w:rsidRPr="002A4D6D" w14:paraId="5C2D6E1B" w14:textId="77777777" w:rsidTr="005E7435">
        <w:trPr>
          <w:cantSplit/>
        </w:trPr>
        <w:tc>
          <w:tcPr>
            <w:tcW w:w="1691" w:type="pct"/>
            <w:gridSpan w:val="8"/>
            <w:hideMark/>
          </w:tcPr>
          <w:p w14:paraId="10DAB9EC" w14:textId="77777777" w:rsidR="003F09E5" w:rsidRPr="002A4D6D" w:rsidRDefault="003F09E5" w:rsidP="002A4D6D">
            <w:pPr>
              <w:rPr>
                <w:spacing w:val="-2"/>
                <w:sz w:val="26"/>
                <w:szCs w:val="26"/>
              </w:rPr>
            </w:pPr>
            <w:r w:rsidRPr="002A4D6D">
              <w:rPr>
                <w:spacing w:val="-2"/>
                <w:sz w:val="26"/>
                <w:szCs w:val="26"/>
              </w:rPr>
              <w:t>Attiecīgā starptautiskā tiesību akta vai starptautiskas institūcijas vai organizācijas dokumenta (turpmāk – starptautiskais dokuments) datums, numurs un nosaukums</w:t>
            </w:r>
          </w:p>
        </w:tc>
        <w:tc>
          <w:tcPr>
            <w:tcW w:w="3309" w:type="pct"/>
            <w:gridSpan w:val="8"/>
            <w:hideMark/>
          </w:tcPr>
          <w:p w14:paraId="321B4B88" w14:textId="77777777" w:rsidR="003F09E5" w:rsidRPr="002A4D6D" w:rsidRDefault="003F09E5" w:rsidP="002A4D6D">
            <w:pPr>
              <w:rPr>
                <w:spacing w:val="-2"/>
                <w:sz w:val="26"/>
                <w:szCs w:val="26"/>
              </w:rPr>
            </w:pPr>
            <w:r w:rsidRPr="002A4D6D">
              <w:rPr>
                <w:spacing w:val="-2"/>
                <w:sz w:val="26"/>
                <w:szCs w:val="26"/>
              </w:rPr>
              <w:t>Projekts šo jomu neskar.</w:t>
            </w:r>
          </w:p>
        </w:tc>
      </w:tr>
      <w:tr w:rsidR="003F09E5" w:rsidRPr="002A4D6D" w14:paraId="4B3C2B81" w14:textId="77777777" w:rsidTr="005E7435">
        <w:trPr>
          <w:cantSplit/>
        </w:trPr>
        <w:tc>
          <w:tcPr>
            <w:tcW w:w="1691" w:type="pct"/>
            <w:gridSpan w:val="8"/>
            <w:vAlign w:val="center"/>
            <w:hideMark/>
          </w:tcPr>
          <w:p w14:paraId="55E5E982" w14:textId="77777777" w:rsidR="003F09E5" w:rsidRPr="002A4D6D" w:rsidRDefault="003F09E5" w:rsidP="002A4D6D">
            <w:pPr>
              <w:jc w:val="center"/>
              <w:rPr>
                <w:spacing w:val="-2"/>
                <w:sz w:val="26"/>
                <w:szCs w:val="26"/>
              </w:rPr>
            </w:pPr>
            <w:r w:rsidRPr="002A4D6D">
              <w:rPr>
                <w:spacing w:val="-2"/>
                <w:sz w:val="26"/>
                <w:szCs w:val="26"/>
              </w:rPr>
              <w:t>A</w:t>
            </w:r>
          </w:p>
        </w:tc>
        <w:tc>
          <w:tcPr>
            <w:tcW w:w="615" w:type="pct"/>
            <w:vAlign w:val="center"/>
            <w:hideMark/>
          </w:tcPr>
          <w:p w14:paraId="703C090C" w14:textId="77777777" w:rsidR="003F09E5" w:rsidRPr="002A4D6D" w:rsidRDefault="003F09E5" w:rsidP="002A4D6D">
            <w:pPr>
              <w:jc w:val="center"/>
              <w:rPr>
                <w:spacing w:val="-2"/>
                <w:sz w:val="26"/>
                <w:szCs w:val="26"/>
              </w:rPr>
            </w:pPr>
            <w:r w:rsidRPr="002A4D6D">
              <w:rPr>
                <w:spacing w:val="-2"/>
                <w:sz w:val="26"/>
                <w:szCs w:val="26"/>
              </w:rPr>
              <w:t>B</w:t>
            </w:r>
          </w:p>
        </w:tc>
        <w:tc>
          <w:tcPr>
            <w:tcW w:w="2694" w:type="pct"/>
            <w:gridSpan w:val="7"/>
            <w:vAlign w:val="center"/>
            <w:hideMark/>
          </w:tcPr>
          <w:p w14:paraId="4A3415FB" w14:textId="77777777" w:rsidR="003F09E5" w:rsidRPr="002A4D6D" w:rsidRDefault="003F09E5" w:rsidP="002A4D6D">
            <w:pPr>
              <w:jc w:val="center"/>
              <w:rPr>
                <w:spacing w:val="-2"/>
                <w:sz w:val="26"/>
                <w:szCs w:val="26"/>
              </w:rPr>
            </w:pPr>
            <w:r w:rsidRPr="002A4D6D">
              <w:rPr>
                <w:spacing w:val="-2"/>
                <w:sz w:val="26"/>
                <w:szCs w:val="26"/>
              </w:rPr>
              <w:t>C</w:t>
            </w:r>
          </w:p>
        </w:tc>
      </w:tr>
      <w:tr w:rsidR="003F09E5" w:rsidRPr="002A4D6D" w14:paraId="07928E3D" w14:textId="77777777" w:rsidTr="005E7435">
        <w:trPr>
          <w:cantSplit/>
        </w:trPr>
        <w:tc>
          <w:tcPr>
            <w:tcW w:w="1691" w:type="pct"/>
            <w:gridSpan w:val="8"/>
            <w:hideMark/>
          </w:tcPr>
          <w:p w14:paraId="4FBD6328" w14:textId="0C6C1FD8" w:rsidR="003F09E5" w:rsidRPr="002A4D6D" w:rsidRDefault="003F09E5" w:rsidP="005E7435">
            <w:pPr>
              <w:rPr>
                <w:spacing w:val="-2"/>
                <w:sz w:val="26"/>
                <w:szCs w:val="26"/>
              </w:rPr>
            </w:pPr>
            <w:r w:rsidRPr="002A4D6D">
              <w:rPr>
                <w:spacing w:val="-2"/>
                <w:sz w:val="26"/>
                <w:szCs w:val="26"/>
              </w:rPr>
              <w:lastRenderedPageBreak/>
              <w:t>Starptautiskās saistības (pēc būtības), kas izriet no norādītā starptautiskā dokumenta.</w:t>
            </w:r>
            <w:r w:rsidRPr="002A4D6D">
              <w:rPr>
                <w:spacing w:val="-2"/>
                <w:sz w:val="26"/>
                <w:szCs w:val="26"/>
              </w:rPr>
              <w:br/>
              <w:t>Konkrēti veicamie pasākumi vai uzdevumi, kas nepieciešami šo starptautisko saistību izpildei</w:t>
            </w:r>
          </w:p>
        </w:tc>
        <w:tc>
          <w:tcPr>
            <w:tcW w:w="1307" w:type="pct"/>
            <w:gridSpan w:val="3"/>
            <w:hideMark/>
          </w:tcPr>
          <w:p w14:paraId="2F91D870" w14:textId="77777777" w:rsidR="003F09E5" w:rsidRPr="002A4D6D" w:rsidRDefault="003F09E5" w:rsidP="002A4D6D">
            <w:pPr>
              <w:rPr>
                <w:spacing w:val="-2"/>
                <w:sz w:val="26"/>
                <w:szCs w:val="26"/>
              </w:rPr>
            </w:pPr>
            <w:r w:rsidRPr="002A4D6D">
              <w:rPr>
                <w:spacing w:val="-2"/>
                <w:sz w:val="26"/>
                <w:szCs w:val="26"/>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2" w:type="pct"/>
            <w:gridSpan w:val="5"/>
            <w:hideMark/>
          </w:tcPr>
          <w:p w14:paraId="0929118A" w14:textId="77777777" w:rsidR="003F09E5" w:rsidRPr="002A4D6D" w:rsidRDefault="003F09E5" w:rsidP="002A4D6D">
            <w:pPr>
              <w:rPr>
                <w:spacing w:val="-2"/>
                <w:sz w:val="26"/>
                <w:szCs w:val="26"/>
              </w:rPr>
            </w:pPr>
            <w:r w:rsidRPr="002A4D6D">
              <w:rPr>
                <w:spacing w:val="-2"/>
                <w:sz w:val="26"/>
                <w:szCs w:val="26"/>
              </w:rPr>
              <w:t>Informācija par to, vai starptautiskās saistības, kas minētas šīs tabulas A ailē, tiek izpildītas pilnībā vai daļēji.</w:t>
            </w:r>
            <w:r w:rsidRPr="002A4D6D">
              <w:rPr>
                <w:spacing w:val="-2"/>
                <w:sz w:val="26"/>
                <w:szCs w:val="26"/>
              </w:rPr>
              <w:br/>
              <w:t>Ja attiecīgās starptautiskās saistības tiek izpildītas daļēji, sniedz skaidrojumu, kā arī precīzi norāda, kad un kādā veidā starptautiskās saistības tiks izpildītas pilnībā.</w:t>
            </w:r>
            <w:r w:rsidRPr="002A4D6D">
              <w:rPr>
                <w:spacing w:val="-2"/>
                <w:sz w:val="26"/>
                <w:szCs w:val="26"/>
              </w:rPr>
              <w:br/>
              <w:t>Norāda institūciju, kas ir atbildīga par šo saistību izpildi pilnībā</w:t>
            </w:r>
          </w:p>
        </w:tc>
      </w:tr>
      <w:tr w:rsidR="003F09E5" w:rsidRPr="002A4D6D" w14:paraId="66B74B36" w14:textId="77777777" w:rsidTr="005E7435">
        <w:trPr>
          <w:cantSplit/>
        </w:trPr>
        <w:tc>
          <w:tcPr>
            <w:tcW w:w="1691" w:type="pct"/>
            <w:gridSpan w:val="8"/>
            <w:hideMark/>
          </w:tcPr>
          <w:p w14:paraId="46339FE8" w14:textId="77902DE1" w:rsidR="003F09E5" w:rsidRPr="002A4D6D" w:rsidRDefault="003F09E5" w:rsidP="005E7435">
            <w:pPr>
              <w:rPr>
                <w:spacing w:val="-2"/>
                <w:sz w:val="26"/>
                <w:szCs w:val="26"/>
              </w:rPr>
            </w:pPr>
            <w:r w:rsidRPr="002A4D6D">
              <w:rPr>
                <w:spacing w:val="-2"/>
                <w:sz w:val="26"/>
                <w:szCs w:val="26"/>
              </w:rPr>
              <w:t>Vai starptautiskajā dokumentā paredzētās saistības nav pretrunā ar jau esošajām Latvijas Republikas starptautiskajām saistībām</w:t>
            </w:r>
          </w:p>
        </w:tc>
        <w:tc>
          <w:tcPr>
            <w:tcW w:w="3309" w:type="pct"/>
            <w:gridSpan w:val="8"/>
            <w:hideMark/>
          </w:tcPr>
          <w:p w14:paraId="458A53A2" w14:textId="3B458946" w:rsidR="003F09E5" w:rsidRPr="002A4D6D" w:rsidRDefault="00716312" w:rsidP="002A4D6D">
            <w:pPr>
              <w:rPr>
                <w:spacing w:val="-2"/>
                <w:sz w:val="26"/>
                <w:szCs w:val="26"/>
              </w:rPr>
            </w:pPr>
            <w:r w:rsidRPr="002A4D6D">
              <w:rPr>
                <w:spacing w:val="-2"/>
                <w:sz w:val="26"/>
                <w:szCs w:val="26"/>
              </w:rPr>
              <w:t>Projekts šo jomu neskar.</w:t>
            </w:r>
          </w:p>
        </w:tc>
      </w:tr>
      <w:tr w:rsidR="003F09E5" w:rsidRPr="002A4D6D" w14:paraId="57F5979E" w14:textId="77777777" w:rsidTr="005E7435">
        <w:trPr>
          <w:cantSplit/>
        </w:trPr>
        <w:tc>
          <w:tcPr>
            <w:tcW w:w="1691" w:type="pct"/>
            <w:gridSpan w:val="8"/>
            <w:hideMark/>
          </w:tcPr>
          <w:p w14:paraId="7CA5F4B4" w14:textId="31C1EC3A" w:rsidR="003F09E5" w:rsidRPr="002A4D6D" w:rsidRDefault="003F09E5" w:rsidP="005E7435">
            <w:pPr>
              <w:rPr>
                <w:spacing w:val="-2"/>
                <w:sz w:val="26"/>
                <w:szCs w:val="26"/>
              </w:rPr>
            </w:pPr>
            <w:r w:rsidRPr="002A4D6D">
              <w:rPr>
                <w:spacing w:val="-2"/>
                <w:sz w:val="26"/>
                <w:szCs w:val="26"/>
              </w:rPr>
              <w:t>Cita informācija</w:t>
            </w:r>
          </w:p>
        </w:tc>
        <w:tc>
          <w:tcPr>
            <w:tcW w:w="3309" w:type="pct"/>
            <w:gridSpan w:val="8"/>
            <w:hideMark/>
          </w:tcPr>
          <w:p w14:paraId="05A9A397" w14:textId="1F7B3874" w:rsidR="003F09E5" w:rsidRPr="002A4D6D" w:rsidRDefault="003F09E5" w:rsidP="002A4D6D">
            <w:pPr>
              <w:jc w:val="both"/>
              <w:rPr>
                <w:spacing w:val="-2"/>
                <w:sz w:val="26"/>
                <w:szCs w:val="26"/>
              </w:rPr>
            </w:pPr>
            <w:r w:rsidRPr="002A4D6D">
              <w:rPr>
                <w:spacing w:val="-2"/>
                <w:sz w:val="26"/>
                <w:szCs w:val="26"/>
              </w:rPr>
              <w:t>Nav</w:t>
            </w:r>
            <w:r w:rsidR="00716312" w:rsidRPr="002A4D6D">
              <w:rPr>
                <w:spacing w:val="-2"/>
                <w:sz w:val="26"/>
                <w:szCs w:val="26"/>
              </w:rPr>
              <w:t>.</w:t>
            </w:r>
          </w:p>
        </w:tc>
      </w:tr>
      <w:tr w:rsidR="00F207FB" w:rsidRPr="002A4D6D" w14:paraId="32D9EF6E" w14:textId="77777777" w:rsidTr="005E7435">
        <w:tblPrEx>
          <w:jc w:val="center"/>
          <w:tblInd w:w="0" w:type="dxa"/>
          <w:tblCellMar>
            <w:top w:w="0" w:type="dxa"/>
            <w:left w:w="0" w:type="dxa"/>
            <w:bottom w:w="0" w:type="dxa"/>
            <w:right w:w="0" w:type="dxa"/>
          </w:tblCellMar>
          <w:tblLook w:val="0000" w:firstRow="0" w:lastRow="0" w:firstColumn="0" w:lastColumn="0" w:noHBand="0" w:noVBand="0"/>
        </w:tblPrEx>
        <w:trPr>
          <w:gridAfter w:val="1"/>
          <w:wAfter w:w="4" w:type="pct"/>
          <w:trHeight w:val="421"/>
          <w:jc w:val="center"/>
        </w:trPr>
        <w:tc>
          <w:tcPr>
            <w:tcW w:w="4996" w:type="pct"/>
            <w:gridSpan w:val="15"/>
            <w:vAlign w:val="center"/>
          </w:tcPr>
          <w:p w14:paraId="6AAABB22" w14:textId="77777777" w:rsidR="00731A08" w:rsidRPr="002A4D6D" w:rsidRDefault="00731A08" w:rsidP="002A4D6D">
            <w:pPr>
              <w:pStyle w:val="naisnod"/>
              <w:spacing w:before="0" w:beforeAutospacing="0" w:after="0" w:afterAutospacing="0"/>
              <w:jc w:val="center"/>
              <w:rPr>
                <w:b/>
                <w:spacing w:val="-2"/>
                <w:sz w:val="26"/>
                <w:szCs w:val="26"/>
              </w:rPr>
            </w:pPr>
            <w:r w:rsidRPr="002A4D6D">
              <w:rPr>
                <w:b/>
                <w:spacing w:val="-2"/>
                <w:sz w:val="26"/>
                <w:szCs w:val="26"/>
              </w:rPr>
              <w:t>VI. Sabiedrības līdzdalība un komunikācijas aktivitātes</w:t>
            </w:r>
          </w:p>
        </w:tc>
      </w:tr>
      <w:tr w:rsidR="00D96306" w:rsidRPr="002A4D6D" w14:paraId="0FD296C3" w14:textId="77777777" w:rsidTr="005E7435">
        <w:tblPrEx>
          <w:jc w:val="center"/>
          <w:tblInd w:w="0" w:type="dxa"/>
          <w:tblCellMar>
            <w:top w:w="0" w:type="dxa"/>
            <w:left w:w="0" w:type="dxa"/>
            <w:bottom w:w="0" w:type="dxa"/>
            <w:right w:w="0" w:type="dxa"/>
          </w:tblCellMar>
          <w:tblLook w:val="0000" w:firstRow="0" w:lastRow="0" w:firstColumn="0" w:lastColumn="0" w:noHBand="0" w:noVBand="0"/>
        </w:tblPrEx>
        <w:trPr>
          <w:gridAfter w:val="1"/>
          <w:wAfter w:w="4" w:type="pct"/>
          <w:trHeight w:val="572"/>
          <w:jc w:val="center"/>
        </w:trPr>
        <w:tc>
          <w:tcPr>
            <w:tcW w:w="231" w:type="pct"/>
          </w:tcPr>
          <w:p w14:paraId="6DC30DE6" w14:textId="77777777" w:rsidR="00731A08" w:rsidRPr="002A4D6D" w:rsidRDefault="00731A08" w:rsidP="002A4D6D">
            <w:pPr>
              <w:jc w:val="both"/>
              <w:rPr>
                <w:bCs/>
                <w:spacing w:val="-2"/>
                <w:sz w:val="26"/>
                <w:szCs w:val="26"/>
              </w:rPr>
            </w:pPr>
            <w:r w:rsidRPr="002A4D6D">
              <w:rPr>
                <w:bCs/>
                <w:spacing w:val="-2"/>
                <w:sz w:val="26"/>
                <w:szCs w:val="26"/>
              </w:rPr>
              <w:t>1.</w:t>
            </w:r>
          </w:p>
        </w:tc>
        <w:tc>
          <w:tcPr>
            <w:tcW w:w="1306" w:type="pct"/>
            <w:gridSpan w:val="5"/>
          </w:tcPr>
          <w:p w14:paraId="6EF92092" w14:textId="77777777" w:rsidR="00731A08" w:rsidRPr="002A4D6D" w:rsidRDefault="00731A08" w:rsidP="002A4D6D">
            <w:pPr>
              <w:tabs>
                <w:tab w:val="left" w:pos="170"/>
              </w:tabs>
              <w:rPr>
                <w:spacing w:val="-2"/>
                <w:sz w:val="26"/>
                <w:szCs w:val="26"/>
              </w:rPr>
            </w:pPr>
            <w:r w:rsidRPr="002A4D6D">
              <w:rPr>
                <w:spacing w:val="-2"/>
                <w:sz w:val="26"/>
                <w:szCs w:val="26"/>
              </w:rPr>
              <w:t>Plānotās sabiedrības līdzdalības un komunikācijas aktivitātes saistībā ar projektu</w:t>
            </w:r>
          </w:p>
        </w:tc>
        <w:tc>
          <w:tcPr>
            <w:tcW w:w="3459" w:type="pct"/>
            <w:gridSpan w:val="9"/>
          </w:tcPr>
          <w:p w14:paraId="250D6E9B" w14:textId="5C74C750" w:rsidR="00460E85" w:rsidRPr="002A4D6D" w:rsidRDefault="002F546F" w:rsidP="002A4D6D">
            <w:pPr>
              <w:tabs>
                <w:tab w:val="left" w:pos="604"/>
              </w:tabs>
              <w:ind w:left="57" w:right="113"/>
              <w:jc w:val="both"/>
              <w:rPr>
                <w:i/>
                <w:iCs/>
                <w:spacing w:val="-2"/>
                <w:sz w:val="26"/>
                <w:szCs w:val="26"/>
              </w:rPr>
            </w:pPr>
            <w:bookmarkStart w:id="5" w:name="p61"/>
            <w:bookmarkEnd w:id="5"/>
            <w:r w:rsidRPr="002A4D6D">
              <w:rPr>
                <w:spacing w:val="-2"/>
                <w:sz w:val="26"/>
                <w:szCs w:val="26"/>
              </w:rPr>
              <w:t>Informācija par likumprojekt</w:t>
            </w:r>
            <w:r w:rsidR="00460E85" w:rsidRPr="002A4D6D">
              <w:rPr>
                <w:spacing w:val="-2"/>
                <w:sz w:val="26"/>
                <w:szCs w:val="26"/>
              </w:rPr>
              <w:t>a izstrādi</w:t>
            </w:r>
            <w:r w:rsidRPr="002A4D6D">
              <w:rPr>
                <w:spacing w:val="-2"/>
                <w:sz w:val="26"/>
                <w:szCs w:val="26"/>
              </w:rPr>
              <w:t xml:space="preserve"> ir </w:t>
            </w:r>
            <w:r w:rsidR="00460E85" w:rsidRPr="002A4D6D">
              <w:rPr>
                <w:spacing w:val="-2"/>
                <w:sz w:val="26"/>
                <w:szCs w:val="26"/>
              </w:rPr>
              <w:t xml:space="preserve">publicēta </w:t>
            </w:r>
            <w:r w:rsidRPr="002A4D6D">
              <w:rPr>
                <w:spacing w:val="-2"/>
                <w:sz w:val="26"/>
                <w:szCs w:val="26"/>
              </w:rPr>
              <w:t xml:space="preserve">Finanšu ministrijas tīmekļvietnē sadaļā “Sabiedrības līdzdalība” – “Tiesību aktu projekti” – “Nodokļu politika”. Līdz ar to sabiedrības pārstāvji var līdzdarboties </w:t>
            </w:r>
            <w:r w:rsidR="00F06B63" w:rsidRPr="002A4D6D">
              <w:rPr>
                <w:spacing w:val="-2"/>
                <w:sz w:val="26"/>
                <w:szCs w:val="26"/>
              </w:rPr>
              <w:t>likum</w:t>
            </w:r>
            <w:r w:rsidRPr="002A4D6D">
              <w:rPr>
                <w:spacing w:val="-2"/>
                <w:sz w:val="26"/>
                <w:szCs w:val="26"/>
              </w:rPr>
              <w:t xml:space="preserve">projekta izstrādē, rakstveidā sniedzot viedokļus par </w:t>
            </w:r>
            <w:r w:rsidR="00F06B63" w:rsidRPr="002A4D6D">
              <w:rPr>
                <w:spacing w:val="-2"/>
                <w:sz w:val="26"/>
                <w:szCs w:val="26"/>
              </w:rPr>
              <w:t>to.</w:t>
            </w:r>
            <w:r w:rsidR="00460E85" w:rsidRPr="002A4D6D">
              <w:rPr>
                <w:spacing w:val="-2"/>
                <w:sz w:val="26"/>
                <w:szCs w:val="26"/>
              </w:rPr>
              <w:t xml:space="preserve"> </w:t>
            </w:r>
            <w:r w:rsidR="00460E85" w:rsidRPr="002A4D6D">
              <w:rPr>
                <w:iCs/>
                <w:spacing w:val="-2"/>
                <w:sz w:val="26"/>
                <w:szCs w:val="26"/>
              </w:rPr>
              <w:t>Tāpat sabiedrības pārstāvji varēs sniegt viedokļus par likumprojektu pēc tā izsludināšanas Valsts sekretāru sanāksmē</w:t>
            </w:r>
            <w:r w:rsidR="00460E85" w:rsidRPr="002A4D6D">
              <w:rPr>
                <w:i/>
                <w:iCs/>
                <w:spacing w:val="-2"/>
                <w:sz w:val="26"/>
                <w:szCs w:val="26"/>
              </w:rPr>
              <w:t>.</w:t>
            </w:r>
          </w:p>
          <w:p w14:paraId="66637028" w14:textId="46E4DC7C" w:rsidR="00460E85" w:rsidRPr="002A4D6D" w:rsidRDefault="002F546F" w:rsidP="002A4D6D">
            <w:pPr>
              <w:tabs>
                <w:tab w:val="left" w:pos="604"/>
              </w:tabs>
              <w:ind w:left="57" w:right="113"/>
              <w:jc w:val="both"/>
              <w:rPr>
                <w:spacing w:val="-2"/>
                <w:sz w:val="26"/>
                <w:szCs w:val="26"/>
              </w:rPr>
            </w:pPr>
            <w:r w:rsidRPr="002A4D6D">
              <w:rPr>
                <w:spacing w:val="-2"/>
                <w:sz w:val="26"/>
                <w:szCs w:val="26"/>
              </w:rPr>
              <w:t>Informācija par likumprojektu tiks sniegta Latvijas Darba devēju konfederācijai, Latvijas Nodokļu konsultantu asociācijai, Latvijas Tirdzniecības un rūpniecības kamerai un Latvijas nodokļu maksātāju tiesību asociācijai.</w:t>
            </w:r>
          </w:p>
        </w:tc>
      </w:tr>
      <w:tr w:rsidR="00D96306" w:rsidRPr="002A4D6D" w14:paraId="5C15641A" w14:textId="77777777" w:rsidTr="005E7435">
        <w:tblPrEx>
          <w:jc w:val="center"/>
          <w:tblInd w:w="0" w:type="dxa"/>
          <w:tblCellMar>
            <w:top w:w="0" w:type="dxa"/>
            <w:left w:w="0" w:type="dxa"/>
            <w:bottom w:w="0" w:type="dxa"/>
            <w:right w:w="0" w:type="dxa"/>
          </w:tblCellMar>
          <w:tblLook w:val="0000" w:firstRow="0" w:lastRow="0" w:firstColumn="0" w:lastColumn="0" w:noHBand="0" w:noVBand="0"/>
        </w:tblPrEx>
        <w:trPr>
          <w:gridAfter w:val="1"/>
          <w:wAfter w:w="4" w:type="pct"/>
          <w:trHeight w:val="339"/>
          <w:jc w:val="center"/>
        </w:trPr>
        <w:tc>
          <w:tcPr>
            <w:tcW w:w="231" w:type="pct"/>
          </w:tcPr>
          <w:p w14:paraId="1CEE5D5B" w14:textId="77777777" w:rsidR="00731A08" w:rsidRPr="002A4D6D" w:rsidRDefault="00731A08" w:rsidP="002A4D6D">
            <w:pPr>
              <w:jc w:val="both"/>
              <w:rPr>
                <w:bCs/>
                <w:spacing w:val="-2"/>
                <w:sz w:val="26"/>
                <w:szCs w:val="26"/>
              </w:rPr>
            </w:pPr>
            <w:r w:rsidRPr="002A4D6D">
              <w:rPr>
                <w:bCs/>
                <w:spacing w:val="-2"/>
                <w:sz w:val="26"/>
                <w:szCs w:val="26"/>
              </w:rPr>
              <w:t>2.</w:t>
            </w:r>
          </w:p>
        </w:tc>
        <w:tc>
          <w:tcPr>
            <w:tcW w:w="1306" w:type="pct"/>
            <w:gridSpan w:val="5"/>
          </w:tcPr>
          <w:p w14:paraId="7F802D78" w14:textId="77777777" w:rsidR="00731A08" w:rsidRPr="002A4D6D" w:rsidRDefault="00731A08" w:rsidP="002A4D6D">
            <w:pPr>
              <w:rPr>
                <w:spacing w:val="-2"/>
                <w:sz w:val="26"/>
                <w:szCs w:val="26"/>
              </w:rPr>
            </w:pPr>
            <w:r w:rsidRPr="002A4D6D">
              <w:rPr>
                <w:spacing w:val="-2"/>
                <w:sz w:val="26"/>
                <w:szCs w:val="26"/>
              </w:rPr>
              <w:t>Sabiedrības līdzdalība projekta izstrādē</w:t>
            </w:r>
          </w:p>
        </w:tc>
        <w:tc>
          <w:tcPr>
            <w:tcW w:w="3459" w:type="pct"/>
            <w:gridSpan w:val="9"/>
          </w:tcPr>
          <w:p w14:paraId="4702FF3E" w14:textId="503CD980" w:rsidR="00F06B63" w:rsidRPr="002A4D6D" w:rsidRDefault="002F546F" w:rsidP="002A4D6D">
            <w:pPr>
              <w:tabs>
                <w:tab w:val="left" w:pos="604"/>
              </w:tabs>
              <w:ind w:left="57" w:right="113"/>
              <w:jc w:val="both"/>
              <w:rPr>
                <w:i/>
                <w:spacing w:val="-2"/>
                <w:sz w:val="26"/>
                <w:szCs w:val="26"/>
              </w:rPr>
            </w:pPr>
            <w:bookmarkStart w:id="6" w:name="p62"/>
            <w:bookmarkEnd w:id="6"/>
            <w:r w:rsidRPr="002A4D6D">
              <w:rPr>
                <w:spacing w:val="-2"/>
                <w:sz w:val="26"/>
                <w:szCs w:val="26"/>
              </w:rPr>
              <w:t xml:space="preserve">Sabiedrības pārstāvji var līdzdarboties </w:t>
            </w:r>
            <w:r w:rsidR="00F06B63" w:rsidRPr="002A4D6D">
              <w:rPr>
                <w:spacing w:val="-2"/>
                <w:sz w:val="26"/>
                <w:szCs w:val="26"/>
              </w:rPr>
              <w:t>likum</w:t>
            </w:r>
            <w:r w:rsidRPr="002A4D6D">
              <w:rPr>
                <w:spacing w:val="-2"/>
                <w:sz w:val="26"/>
                <w:szCs w:val="26"/>
              </w:rPr>
              <w:t xml:space="preserve">projekta izstrādē, </w:t>
            </w:r>
            <w:r w:rsidR="00460E85" w:rsidRPr="002A4D6D">
              <w:rPr>
                <w:spacing w:val="-2"/>
                <w:sz w:val="26"/>
                <w:szCs w:val="26"/>
              </w:rPr>
              <w:t xml:space="preserve">rakstveidā sniedzot viedokļus, </w:t>
            </w:r>
            <w:r w:rsidR="008E7552" w:rsidRPr="002A4D6D">
              <w:rPr>
                <w:spacing w:val="-2"/>
                <w:sz w:val="26"/>
                <w:szCs w:val="26"/>
              </w:rPr>
              <w:t>par ko</w:t>
            </w:r>
            <w:r w:rsidR="00F06B63" w:rsidRPr="002A4D6D">
              <w:rPr>
                <w:spacing w:val="-2"/>
                <w:sz w:val="26"/>
                <w:szCs w:val="26"/>
              </w:rPr>
              <w:t xml:space="preserve"> informācija </w:t>
            </w:r>
            <w:r w:rsidRPr="002A4D6D">
              <w:rPr>
                <w:spacing w:val="-2"/>
                <w:sz w:val="26"/>
                <w:szCs w:val="26"/>
              </w:rPr>
              <w:t>20</w:t>
            </w:r>
            <w:r w:rsidR="00197432" w:rsidRPr="002A4D6D">
              <w:rPr>
                <w:spacing w:val="-2"/>
                <w:sz w:val="26"/>
                <w:szCs w:val="26"/>
              </w:rPr>
              <w:t>20</w:t>
            </w:r>
            <w:r w:rsidRPr="002A4D6D">
              <w:rPr>
                <w:spacing w:val="-2"/>
                <w:sz w:val="26"/>
                <w:szCs w:val="26"/>
              </w:rPr>
              <w:t xml:space="preserve">.gada </w:t>
            </w:r>
            <w:r w:rsidR="00F06B63" w:rsidRPr="002A4D6D">
              <w:rPr>
                <w:spacing w:val="-2"/>
                <w:sz w:val="26"/>
                <w:szCs w:val="26"/>
              </w:rPr>
              <w:t>9.martā</w:t>
            </w:r>
            <w:r w:rsidRPr="002A4D6D">
              <w:rPr>
                <w:spacing w:val="-2"/>
                <w:sz w:val="26"/>
                <w:szCs w:val="26"/>
              </w:rPr>
              <w:t xml:space="preserve"> publicēt</w:t>
            </w:r>
            <w:r w:rsidR="00F06B63" w:rsidRPr="002A4D6D">
              <w:rPr>
                <w:spacing w:val="-2"/>
                <w:sz w:val="26"/>
                <w:szCs w:val="26"/>
              </w:rPr>
              <w:t>a</w:t>
            </w:r>
            <w:r w:rsidRPr="002A4D6D">
              <w:rPr>
                <w:spacing w:val="-2"/>
                <w:sz w:val="26"/>
                <w:szCs w:val="26"/>
              </w:rPr>
              <w:t xml:space="preserve"> Finanšu ministrijas tīmekļvietnē sadaļā “Sabiedrības līdzdalība” – “Tiesību aktu projekti” – “Nodokļu politika”, adrese</w:t>
            </w:r>
            <w:r w:rsidRPr="002A4D6D">
              <w:rPr>
                <w:i/>
                <w:spacing w:val="-2"/>
                <w:sz w:val="26"/>
                <w:szCs w:val="26"/>
              </w:rPr>
              <w:t>:</w:t>
            </w:r>
            <w:r w:rsidR="00F06B63" w:rsidRPr="002A4D6D">
              <w:rPr>
                <w:i/>
                <w:spacing w:val="-2"/>
                <w:sz w:val="26"/>
                <w:szCs w:val="26"/>
              </w:rPr>
              <w:t xml:space="preserve"> </w:t>
            </w:r>
            <w:hyperlink r:id="rId13" w:anchor="project641" w:history="1">
              <w:r w:rsidR="00F06B63" w:rsidRPr="002A4D6D">
                <w:rPr>
                  <w:rStyle w:val="Hyperlink"/>
                  <w:i/>
                  <w:spacing w:val="-2"/>
                  <w:sz w:val="26"/>
                  <w:szCs w:val="26"/>
                </w:rPr>
                <w:t>https://www.fm.gov.lv/lv/sabiedribas_lidzdaliba/tiesibu_aktu_projekti/nodoklu_politika#project641</w:t>
              </w:r>
            </w:hyperlink>
          </w:p>
          <w:p w14:paraId="735D4462" w14:textId="66504DB4" w:rsidR="00460E85" w:rsidRPr="002A4D6D" w:rsidRDefault="002F546F" w:rsidP="005E7435">
            <w:pPr>
              <w:tabs>
                <w:tab w:val="left" w:pos="604"/>
              </w:tabs>
              <w:ind w:left="57" w:right="113"/>
              <w:jc w:val="both"/>
              <w:rPr>
                <w:spacing w:val="-2"/>
                <w:sz w:val="26"/>
                <w:szCs w:val="26"/>
              </w:rPr>
            </w:pPr>
            <w:r w:rsidRPr="002A4D6D">
              <w:rPr>
                <w:spacing w:val="-2"/>
                <w:sz w:val="26"/>
                <w:szCs w:val="26"/>
              </w:rPr>
              <w:t xml:space="preserve">un Ministru kabineta tīmekļvietnē sadaļā “Valsts kanceleja” – “Sabiedrības līdzdalība”, adrese: </w:t>
            </w:r>
            <w:hyperlink r:id="rId14" w:history="1">
              <w:r w:rsidR="00F06B63" w:rsidRPr="002A4D6D">
                <w:rPr>
                  <w:rStyle w:val="Hyperlink"/>
                  <w:i/>
                  <w:spacing w:val="-2"/>
                  <w:sz w:val="26"/>
                  <w:szCs w:val="26"/>
                </w:rPr>
                <w:t>https://mk.gov.lv/content/ministru-kabineta-diskusiju-dokumenti</w:t>
              </w:r>
            </w:hyperlink>
          </w:p>
        </w:tc>
      </w:tr>
      <w:tr w:rsidR="00D96306" w:rsidRPr="002A4D6D" w14:paraId="3782598F" w14:textId="77777777" w:rsidTr="005E7435">
        <w:tblPrEx>
          <w:jc w:val="center"/>
          <w:tblInd w:w="0" w:type="dxa"/>
          <w:tblCellMar>
            <w:top w:w="0" w:type="dxa"/>
            <w:left w:w="0" w:type="dxa"/>
            <w:bottom w:w="0" w:type="dxa"/>
            <w:right w:w="0" w:type="dxa"/>
          </w:tblCellMar>
          <w:tblLook w:val="0000" w:firstRow="0" w:lastRow="0" w:firstColumn="0" w:lastColumn="0" w:noHBand="0" w:noVBand="0"/>
        </w:tblPrEx>
        <w:trPr>
          <w:gridAfter w:val="1"/>
          <w:wAfter w:w="4" w:type="pct"/>
          <w:trHeight w:val="476"/>
          <w:jc w:val="center"/>
        </w:trPr>
        <w:tc>
          <w:tcPr>
            <w:tcW w:w="231" w:type="pct"/>
          </w:tcPr>
          <w:p w14:paraId="3BAE2711" w14:textId="77777777" w:rsidR="00731A08" w:rsidRPr="002A4D6D" w:rsidRDefault="00731A08" w:rsidP="002A4D6D">
            <w:pPr>
              <w:jc w:val="both"/>
              <w:rPr>
                <w:bCs/>
                <w:spacing w:val="-2"/>
                <w:sz w:val="26"/>
                <w:szCs w:val="26"/>
              </w:rPr>
            </w:pPr>
            <w:r w:rsidRPr="002A4D6D">
              <w:rPr>
                <w:bCs/>
                <w:spacing w:val="-2"/>
                <w:sz w:val="26"/>
                <w:szCs w:val="26"/>
              </w:rPr>
              <w:t>3.</w:t>
            </w:r>
          </w:p>
        </w:tc>
        <w:tc>
          <w:tcPr>
            <w:tcW w:w="1306" w:type="pct"/>
            <w:gridSpan w:val="5"/>
          </w:tcPr>
          <w:p w14:paraId="231D870D" w14:textId="77777777" w:rsidR="00731A08" w:rsidRPr="002A4D6D" w:rsidRDefault="00731A08" w:rsidP="002A4D6D">
            <w:pPr>
              <w:rPr>
                <w:spacing w:val="-2"/>
                <w:sz w:val="26"/>
                <w:szCs w:val="26"/>
              </w:rPr>
            </w:pPr>
            <w:r w:rsidRPr="002A4D6D">
              <w:rPr>
                <w:spacing w:val="-2"/>
                <w:sz w:val="26"/>
                <w:szCs w:val="26"/>
              </w:rPr>
              <w:t>Sabiedrības līdzdalības rezultāti</w:t>
            </w:r>
          </w:p>
        </w:tc>
        <w:tc>
          <w:tcPr>
            <w:tcW w:w="3459" w:type="pct"/>
            <w:gridSpan w:val="9"/>
          </w:tcPr>
          <w:p w14:paraId="3ED2C953" w14:textId="7DAAC072" w:rsidR="00B26B68" w:rsidRPr="002A4D6D" w:rsidRDefault="00D8666B" w:rsidP="002A4D6D">
            <w:pPr>
              <w:tabs>
                <w:tab w:val="left" w:pos="604"/>
              </w:tabs>
              <w:ind w:left="57" w:right="113"/>
              <w:jc w:val="both"/>
              <w:rPr>
                <w:spacing w:val="-2"/>
                <w:sz w:val="26"/>
                <w:szCs w:val="26"/>
              </w:rPr>
            </w:pPr>
            <w:r w:rsidRPr="002A4D6D">
              <w:rPr>
                <w:spacing w:val="-2"/>
                <w:sz w:val="26"/>
                <w:szCs w:val="26"/>
              </w:rPr>
              <w:t>Iebildumi un priekšlikumi nav saņemti.</w:t>
            </w:r>
          </w:p>
        </w:tc>
      </w:tr>
      <w:tr w:rsidR="00D96306" w:rsidRPr="002A4D6D" w14:paraId="34D59D18" w14:textId="77777777" w:rsidTr="005E7435">
        <w:tblPrEx>
          <w:jc w:val="center"/>
          <w:tblInd w:w="0" w:type="dxa"/>
          <w:tblCellMar>
            <w:top w:w="0" w:type="dxa"/>
            <w:left w:w="0" w:type="dxa"/>
            <w:bottom w:w="0" w:type="dxa"/>
            <w:right w:w="0" w:type="dxa"/>
          </w:tblCellMar>
          <w:tblLook w:val="0000" w:firstRow="0" w:lastRow="0" w:firstColumn="0" w:lastColumn="0" w:noHBand="0" w:noVBand="0"/>
        </w:tblPrEx>
        <w:trPr>
          <w:gridAfter w:val="1"/>
          <w:wAfter w:w="4" w:type="pct"/>
          <w:trHeight w:val="283"/>
          <w:jc w:val="center"/>
        </w:trPr>
        <w:tc>
          <w:tcPr>
            <w:tcW w:w="231" w:type="pct"/>
          </w:tcPr>
          <w:p w14:paraId="1EB285B6" w14:textId="77777777" w:rsidR="00731A08" w:rsidRPr="002A4D6D" w:rsidRDefault="00731A08" w:rsidP="002A4D6D">
            <w:pPr>
              <w:jc w:val="both"/>
              <w:rPr>
                <w:bCs/>
                <w:spacing w:val="-2"/>
                <w:sz w:val="26"/>
                <w:szCs w:val="26"/>
              </w:rPr>
            </w:pPr>
            <w:r w:rsidRPr="002A4D6D">
              <w:rPr>
                <w:bCs/>
                <w:spacing w:val="-2"/>
                <w:sz w:val="26"/>
                <w:szCs w:val="26"/>
              </w:rPr>
              <w:t>4.</w:t>
            </w:r>
          </w:p>
        </w:tc>
        <w:tc>
          <w:tcPr>
            <w:tcW w:w="1306" w:type="pct"/>
            <w:gridSpan w:val="5"/>
          </w:tcPr>
          <w:p w14:paraId="41C06AE3" w14:textId="77777777" w:rsidR="00731A08" w:rsidRPr="002A4D6D" w:rsidRDefault="00731A08" w:rsidP="002A4D6D">
            <w:pPr>
              <w:rPr>
                <w:spacing w:val="-2"/>
                <w:sz w:val="26"/>
                <w:szCs w:val="26"/>
              </w:rPr>
            </w:pPr>
            <w:r w:rsidRPr="002A4D6D">
              <w:rPr>
                <w:spacing w:val="-2"/>
                <w:sz w:val="26"/>
                <w:szCs w:val="26"/>
              </w:rPr>
              <w:t>Cita informācija</w:t>
            </w:r>
          </w:p>
        </w:tc>
        <w:tc>
          <w:tcPr>
            <w:tcW w:w="3459" w:type="pct"/>
            <w:gridSpan w:val="9"/>
          </w:tcPr>
          <w:p w14:paraId="0DD16328" w14:textId="60E3AF65" w:rsidR="00731A08" w:rsidRPr="002A4D6D" w:rsidRDefault="00731A08" w:rsidP="002A4D6D">
            <w:pPr>
              <w:ind w:left="57" w:right="113"/>
              <w:jc w:val="both"/>
              <w:rPr>
                <w:spacing w:val="-2"/>
                <w:sz w:val="26"/>
                <w:szCs w:val="26"/>
              </w:rPr>
            </w:pPr>
            <w:r w:rsidRPr="002A4D6D">
              <w:rPr>
                <w:spacing w:val="-2"/>
                <w:sz w:val="26"/>
                <w:szCs w:val="26"/>
              </w:rPr>
              <w:t>Nav</w:t>
            </w:r>
            <w:r w:rsidR="00716312" w:rsidRPr="002A4D6D">
              <w:rPr>
                <w:spacing w:val="-2"/>
                <w:sz w:val="26"/>
                <w:szCs w:val="26"/>
              </w:rPr>
              <w:t>.</w:t>
            </w:r>
          </w:p>
        </w:tc>
      </w:tr>
      <w:tr w:rsidR="00F207FB" w:rsidRPr="002A4D6D" w14:paraId="341EF4D4" w14:textId="77777777" w:rsidTr="005E7435">
        <w:tblPrEx>
          <w:tblCellSpacing w:w="0" w:type="dxa"/>
          <w:tblCellMar>
            <w:top w:w="0" w:type="dxa"/>
            <w:left w:w="0" w:type="dxa"/>
            <w:bottom w:w="0" w:type="dxa"/>
            <w:right w:w="0" w:type="dxa"/>
          </w:tblCellMar>
        </w:tblPrEx>
        <w:trPr>
          <w:trHeight w:val="437"/>
          <w:tblCellSpacing w:w="0" w:type="dxa"/>
        </w:trPr>
        <w:tc>
          <w:tcPr>
            <w:tcW w:w="5000" w:type="pct"/>
            <w:gridSpan w:val="16"/>
            <w:tcBorders>
              <w:top w:val="nil"/>
              <w:left w:val="nil"/>
              <w:bottom w:val="nil"/>
              <w:right w:val="nil"/>
            </w:tcBorders>
            <w:vAlign w:val="center"/>
            <w:hideMark/>
          </w:tcPr>
          <w:p w14:paraId="01F877F7" w14:textId="77777777" w:rsidR="00616B4A" w:rsidRPr="002A4D6D" w:rsidRDefault="00616B4A" w:rsidP="002A4D6D">
            <w:pPr>
              <w:jc w:val="center"/>
              <w:rPr>
                <w:rFonts w:eastAsia="Times New Roman"/>
                <w:spacing w:val="-2"/>
                <w:sz w:val="26"/>
                <w:szCs w:val="26"/>
                <w:lang w:eastAsia="lv-LV"/>
              </w:rPr>
            </w:pPr>
            <w:r w:rsidRPr="002A4D6D">
              <w:rPr>
                <w:rFonts w:eastAsia="Times New Roman"/>
                <w:b/>
                <w:bCs/>
                <w:spacing w:val="-2"/>
                <w:sz w:val="26"/>
                <w:szCs w:val="26"/>
                <w:lang w:eastAsia="lv-LV"/>
              </w:rPr>
              <w:lastRenderedPageBreak/>
              <w:t>VII. Tiesību akta projekta izpildes nodrošināšana un tās ietekme uz institūcijām</w:t>
            </w:r>
          </w:p>
        </w:tc>
      </w:tr>
      <w:tr w:rsidR="00F207FB" w:rsidRPr="002A4D6D" w14:paraId="7267CBF0" w14:textId="77777777" w:rsidTr="005E7435">
        <w:tblPrEx>
          <w:tblCellSpacing w:w="0" w:type="dxa"/>
          <w:tblCellMar>
            <w:top w:w="0" w:type="dxa"/>
            <w:left w:w="0" w:type="dxa"/>
            <w:bottom w:w="0" w:type="dxa"/>
            <w:right w:w="0" w:type="dxa"/>
          </w:tblCellMar>
        </w:tblPrEx>
        <w:trPr>
          <w:trHeight w:val="2979"/>
          <w:tblCellSpacing w:w="0" w:type="dxa"/>
        </w:trPr>
        <w:tc>
          <w:tcPr>
            <w:tcW w:w="5000" w:type="pct"/>
            <w:gridSpan w:val="16"/>
            <w:vAlign w:val="center"/>
          </w:tcPr>
          <w:tbl>
            <w:tblPr>
              <w:tblW w:w="9232" w:type="dxa"/>
              <w:jc w:val="center"/>
              <w:tblBorders>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32"/>
              <w:gridCol w:w="3776"/>
              <w:gridCol w:w="5024"/>
            </w:tblGrid>
            <w:tr w:rsidR="00820287" w:rsidRPr="002A4D6D" w14:paraId="2099CD78" w14:textId="77777777" w:rsidTr="005E7435">
              <w:trPr>
                <w:trHeight w:val="444"/>
                <w:jc w:val="center"/>
              </w:trPr>
              <w:tc>
                <w:tcPr>
                  <w:tcW w:w="432" w:type="dxa"/>
                  <w:hideMark/>
                </w:tcPr>
                <w:p w14:paraId="22A34867" w14:textId="77777777" w:rsidR="003D2F4C" w:rsidRPr="002A4D6D" w:rsidRDefault="003D2F4C" w:rsidP="002A4D6D">
                  <w:pPr>
                    <w:pStyle w:val="naisnod"/>
                    <w:spacing w:before="0" w:beforeAutospacing="0" w:after="0" w:afterAutospacing="0"/>
                    <w:jc w:val="both"/>
                    <w:rPr>
                      <w:spacing w:val="-2"/>
                      <w:sz w:val="26"/>
                      <w:szCs w:val="26"/>
                    </w:rPr>
                  </w:pPr>
                  <w:r w:rsidRPr="002A4D6D">
                    <w:rPr>
                      <w:spacing w:val="-2"/>
                      <w:sz w:val="26"/>
                      <w:szCs w:val="26"/>
                    </w:rPr>
                    <w:t>1.</w:t>
                  </w:r>
                </w:p>
              </w:tc>
              <w:tc>
                <w:tcPr>
                  <w:tcW w:w="3776" w:type="dxa"/>
                  <w:hideMark/>
                </w:tcPr>
                <w:p w14:paraId="6D1D6AA9" w14:textId="77777777" w:rsidR="003D2F4C" w:rsidRPr="002A4D6D" w:rsidRDefault="003D2F4C" w:rsidP="002A4D6D">
                  <w:pPr>
                    <w:pStyle w:val="naisf"/>
                    <w:spacing w:before="0" w:beforeAutospacing="0" w:after="0" w:afterAutospacing="0"/>
                    <w:rPr>
                      <w:spacing w:val="-2"/>
                      <w:sz w:val="26"/>
                      <w:szCs w:val="26"/>
                    </w:rPr>
                  </w:pPr>
                  <w:r w:rsidRPr="002A4D6D">
                    <w:rPr>
                      <w:spacing w:val="-2"/>
                      <w:sz w:val="26"/>
                      <w:szCs w:val="26"/>
                    </w:rPr>
                    <w:t>Projekta izpildē iesaistītās institūcijas</w:t>
                  </w:r>
                </w:p>
              </w:tc>
              <w:tc>
                <w:tcPr>
                  <w:tcW w:w="5024" w:type="dxa"/>
                  <w:hideMark/>
                </w:tcPr>
                <w:p w14:paraId="1C91CE08" w14:textId="2870EDDE" w:rsidR="003D2F4C" w:rsidRPr="002A4D6D" w:rsidRDefault="00B66183" w:rsidP="002A4D6D">
                  <w:pPr>
                    <w:shd w:val="clear" w:color="auto" w:fill="FFFFFF"/>
                    <w:ind w:left="57" w:right="113"/>
                    <w:jc w:val="both"/>
                    <w:rPr>
                      <w:spacing w:val="-2"/>
                      <w:sz w:val="26"/>
                      <w:szCs w:val="26"/>
                    </w:rPr>
                  </w:pPr>
                  <w:bookmarkStart w:id="7" w:name="p69"/>
                  <w:bookmarkStart w:id="8" w:name="p68"/>
                  <w:bookmarkStart w:id="9" w:name="p67"/>
                  <w:bookmarkStart w:id="10" w:name="p66"/>
                  <w:bookmarkEnd w:id="7"/>
                  <w:bookmarkEnd w:id="8"/>
                  <w:bookmarkEnd w:id="9"/>
                  <w:bookmarkEnd w:id="10"/>
                  <w:r w:rsidRPr="002A4D6D">
                    <w:rPr>
                      <w:spacing w:val="-2"/>
                      <w:sz w:val="26"/>
                      <w:szCs w:val="26"/>
                    </w:rPr>
                    <w:t>VID</w:t>
                  </w:r>
                  <w:r w:rsidR="00075350" w:rsidRPr="002A4D6D">
                    <w:rPr>
                      <w:spacing w:val="-2"/>
                      <w:sz w:val="26"/>
                      <w:szCs w:val="26"/>
                    </w:rPr>
                    <w:t>.</w:t>
                  </w:r>
                </w:p>
              </w:tc>
            </w:tr>
            <w:tr w:rsidR="00B0423E" w:rsidRPr="002A4D6D" w14:paraId="594B312E" w14:textId="77777777" w:rsidTr="005E7435">
              <w:trPr>
                <w:trHeight w:val="482"/>
                <w:jc w:val="center"/>
              </w:trPr>
              <w:tc>
                <w:tcPr>
                  <w:tcW w:w="432" w:type="dxa"/>
                  <w:hideMark/>
                </w:tcPr>
                <w:p w14:paraId="476C2FC9" w14:textId="77777777" w:rsidR="003D2F4C" w:rsidRPr="002A4D6D" w:rsidRDefault="003D2F4C" w:rsidP="002A4D6D">
                  <w:pPr>
                    <w:pStyle w:val="naisnod"/>
                    <w:spacing w:before="0" w:beforeAutospacing="0" w:after="0" w:afterAutospacing="0"/>
                    <w:jc w:val="both"/>
                    <w:rPr>
                      <w:spacing w:val="-2"/>
                      <w:sz w:val="26"/>
                      <w:szCs w:val="26"/>
                    </w:rPr>
                  </w:pPr>
                  <w:r w:rsidRPr="002A4D6D">
                    <w:rPr>
                      <w:spacing w:val="-2"/>
                      <w:sz w:val="26"/>
                      <w:szCs w:val="26"/>
                    </w:rPr>
                    <w:t>2.</w:t>
                  </w:r>
                </w:p>
              </w:tc>
              <w:tc>
                <w:tcPr>
                  <w:tcW w:w="3776" w:type="dxa"/>
                  <w:hideMark/>
                </w:tcPr>
                <w:p w14:paraId="1C721EE5" w14:textId="77777777" w:rsidR="003D2F4C" w:rsidRPr="002A4D6D" w:rsidRDefault="003D2F4C" w:rsidP="002A4D6D">
                  <w:pPr>
                    <w:pStyle w:val="naisf"/>
                    <w:spacing w:before="0" w:beforeAutospacing="0" w:after="0" w:afterAutospacing="0"/>
                    <w:rPr>
                      <w:spacing w:val="-2"/>
                      <w:sz w:val="26"/>
                      <w:szCs w:val="26"/>
                    </w:rPr>
                  </w:pPr>
                  <w:r w:rsidRPr="002A4D6D">
                    <w:rPr>
                      <w:spacing w:val="-2"/>
                      <w:sz w:val="26"/>
                      <w:szCs w:val="26"/>
                    </w:rPr>
                    <w:t>P</w:t>
                  </w:r>
                  <w:r w:rsidR="0003592B" w:rsidRPr="002A4D6D">
                    <w:rPr>
                      <w:spacing w:val="-2"/>
                      <w:sz w:val="26"/>
                      <w:szCs w:val="26"/>
                    </w:rPr>
                    <w:t>rojekta izpildes ietekme uz pār</w:t>
                  </w:r>
                  <w:r w:rsidRPr="002A4D6D">
                    <w:rPr>
                      <w:spacing w:val="-2"/>
                      <w:sz w:val="26"/>
                      <w:szCs w:val="26"/>
                    </w:rPr>
                    <w:t>valdes funkcijām un institucionālo struktūru.</w:t>
                  </w:r>
                </w:p>
                <w:p w14:paraId="6117E7BE" w14:textId="77777777" w:rsidR="003D2F4C" w:rsidRPr="002A4D6D" w:rsidRDefault="003D2F4C" w:rsidP="002A4D6D">
                  <w:pPr>
                    <w:pStyle w:val="naisf"/>
                    <w:spacing w:before="0" w:beforeAutospacing="0" w:after="0" w:afterAutospacing="0"/>
                    <w:rPr>
                      <w:spacing w:val="-2"/>
                      <w:sz w:val="26"/>
                      <w:szCs w:val="26"/>
                    </w:rPr>
                  </w:pPr>
                  <w:r w:rsidRPr="002A4D6D">
                    <w:rPr>
                      <w:spacing w:val="-2"/>
                      <w:sz w:val="26"/>
                      <w:szCs w:val="26"/>
                    </w:rPr>
                    <w:t>Jaunu institūciju izveide, esošu institūciju likvidācija vai reorganizācija, to ietekme uz institūcijas cilvēkresursiem</w:t>
                  </w:r>
                </w:p>
              </w:tc>
              <w:tc>
                <w:tcPr>
                  <w:tcW w:w="5024" w:type="dxa"/>
                  <w:hideMark/>
                </w:tcPr>
                <w:p w14:paraId="6D2258D6" w14:textId="2F1240C5" w:rsidR="006A4F6C" w:rsidRPr="002A4D6D" w:rsidRDefault="006A4F6C" w:rsidP="002A4D6D">
                  <w:pPr>
                    <w:tabs>
                      <w:tab w:val="left" w:pos="604"/>
                    </w:tabs>
                    <w:ind w:left="57" w:right="113"/>
                    <w:jc w:val="both"/>
                    <w:rPr>
                      <w:spacing w:val="-2"/>
                      <w:sz w:val="26"/>
                      <w:szCs w:val="26"/>
                    </w:rPr>
                  </w:pPr>
                  <w:r w:rsidRPr="002A4D6D">
                    <w:rPr>
                      <w:spacing w:val="-2"/>
                      <w:sz w:val="26"/>
                      <w:szCs w:val="26"/>
                    </w:rPr>
                    <w:t xml:space="preserve">Likumprojekts nemainīs pārvaldes funkcijas un institucionālo </w:t>
                  </w:r>
                  <w:r w:rsidRPr="002A4D6D">
                    <w:rPr>
                      <w:rFonts w:eastAsia="Times New Roman"/>
                      <w:spacing w:val="-2"/>
                      <w:sz w:val="26"/>
                      <w:szCs w:val="26"/>
                      <w:lang w:eastAsia="lv-LV"/>
                    </w:rPr>
                    <w:t>struktūru</w:t>
                  </w:r>
                  <w:r w:rsidRPr="002A4D6D">
                    <w:rPr>
                      <w:spacing w:val="-2"/>
                      <w:sz w:val="26"/>
                      <w:szCs w:val="26"/>
                    </w:rPr>
                    <w:t>, kā arī netiks veidotas jaunas institūcijas, savukārt esošās institūcijas netiks likvidētas vai reorganizētas.</w:t>
                  </w:r>
                </w:p>
                <w:p w14:paraId="6A4BA09A" w14:textId="60E0B975" w:rsidR="00075350" w:rsidRPr="002A4D6D" w:rsidRDefault="00075350" w:rsidP="002A4D6D">
                  <w:pPr>
                    <w:tabs>
                      <w:tab w:val="left" w:pos="604"/>
                    </w:tabs>
                    <w:ind w:left="57" w:right="113"/>
                    <w:jc w:val="both"/>
                    <w:rPr>
                      <w:spacing w:val="-2"/>
                      <w:sz w:val="26"/>
                      <w:szCs w:val="26"/>
                    </w:rPr>
                  </w:pPr>
                  <w:r w:rsidRPr="002A4D6D">
                    <w:rPr>
                      <w:spacing w:val="-2"/>
                      <w:sz w:val="26"/>
                      <w:szCs w:val="26"/>
                    </w:rPr>
                    <w:t>Likumprojekts tiks realizēts esoš</w:t>
                  </w:r>
                  <w:r w:rsidR="00F0739A" w:rsidRPr="002A4D6D">
                    <w:rPr>
                      <w:spacing w:val="-2"/>
                      <w:sz w:val="26"/>
                      <w:szCs w:val="26"/>
                    </w:rPr>
                    <w:t>o</w:t>
                  </w:r>
                  <w:r w:rsidRPr="002A4D6D">
                    <w:rPr>
                      <w:spacing w:val="-2"/>
                      <w:sz w:val="26"/>
                      <w:szCs w:val="26"/>
                    </w:rPr>
                    <w:t xml:space="preserve"> cilvēkresursu ietvaros.</w:t>
                  </w:r>
                </w:p>
                <w:p w14:paraId="59B6EA66" w14:textId="77777777" w:rsidR="00BE0E54" w:rsidRPr="002A4D6D" w:rsidRDefault="00BE0E54" w:rsidP="002A4D6D">
                  <w:pPr>
                    <w:shd w:val="clear" w:color="auto" w:fill="FFFFFF"/>
                    <w:ind w:left="57" w:right="113" w:hanging="12"/>
                    <w:jc w:val="both"/>
                    <w:rPr>
                      <w:spacing w:val="-2"/>
                      <w:sz w:val="26"/>
                      <w:szCs w:val="26"/>
                    </w:rPr>
                  </w:pPr>
                </w:p>
              </w:tc>
            </w:tr>
            <w:tr w:rsidR="00B0423E" w:rsidRPr="002A4D6D" w14:paraId="08AF892D" w14:textId="77777777" w:rsidTr="005E7435">
              <w:trPr>
                <w:trHeight w:val="221"/>
                <w:jc w:val="center"/>
              </w:trPr>
              <w:tc>
                <w:tcPr>
                  <w:tcW w:w="432" w:type="dxa"/>
                  <w:hideMark/>
                </w:tcPr>
                <w:p w14:paraId="34AAA1A8" w14:textId="77777777" w:rsidR="003D2F4C" w:rsidRPr="002A4D6D" w:rsidRDefault="003D2F4C" w:rsidP="002A4D6D">
                  <w:pPr>
                    <w:pStyle w:val="naisnod"/>
                    <w:spacing w:before="0" w:beforeAutospacing="0" w:after="0" w:afterAutospacing="0"/>
                    <w:jc w:val="both"/>
                    <w:rPr>
                      <w:spacing w:val="-2"/>
                      <w:sz w:val="26"/>
                      <w:szCs w:val="26"/>
                    </w:rPr>
                  </w:pPr>
                  <w:r w:rsidRPr="002A4D6D">
                    <w:rPr>
                      <w:spacing w:val="-2"/>
                      <w:sz w:val="26"/>
                      <w:szCs w:val="26"/>
                    </w:rPr>
                    <w:t>3.</w:t>
                  </w:r>
                </w:p>
              </w:tc>
              <w:tc>
                <w:tcPr>
                  <w:tcW w:w="3776" w:type="dxa"/>
                  <w:hideMark/>
                </w:tcPr>
                <w:p w14:paraId="11086BBF" w14:textId="77777777" w:rsidR="003D2F4C" w:rsidRPr="002A4D6D" w:rsidRDefault="003D2F4C" w:rsidP="002A4D6D">
                  <w:pPr>
                    <w:pStyle w:val="naisf"/>
                    <w:spacing w:before="0" w:beforeAutospacing="0" w:after="0" w:afterAutospacing="0"/>
                    <w:rPr>
                      <w:spacing w:val="-2"/>
                      <w:sz w:val="26"/>
                      <w:szCs w:val="26"/>
                    </w:rPr>
                  </w:pPr>
                  <w:r w:rsidRPr="002A4D6D">
                    <w:rPr>
                      <w:spacing w:val="-2"/>
                      <w:sz w:val="26"/>
                      <w:szCs w:val="26"/>
                    </w:rPr>
                    <w:t>Cita informācija</w:t>
                  </w:r>
                </w:p>
              </w:tc>
              <w:tc>
                <w:tcPr>
                  <w:tcW w:w="5024" w:type="dxa"/>
                  <w:hideMark/>
                </w:tcPr>
                <w:p w14:paraId="0B1A3D54" w14:textId="11F154EE" w:rsidR="003D2F4C" w:rsidRPr="002A4D6D" w:rsidRDefault="003D2F4C" w:rsidP="002A4D6D">
                  <w:pPr>
                    <w:ind w:left="57" w:right="113"/>
                    <w:jc w:val="both"/>
                    <w:rPr>
                      <w:spacing w:val="-2"/>
                      <w:sz w:val="26"/>
                      <w:szCs w:val="26"/>
                    </w:rPr>
                  </w:pPr>
                  <w:r w:rsidRPr="002A4D6D">
                    <w:rPr>
                      <w:spacing w:val="-2"/>
                      <w:sz w:val="26"/>
                      <w:szCs w:val="26"/>
                    </w:rPr>
                    <w:t>Nav</w:t>
                  </w:r>
                  <w:r w:rsidR="00716312" w:rsidRPr="002A4D6D">
                    <w:rPr>
                      <w:spacing w:val="-2"/>
                      <w:sz w:val="26"/>
                      <w:szCs w:val="26"/>
                    </w:rPr>
                    <w:t>.</w:t>
                  </w:r>
                </w:p>
              </w:tc>
            </w:tr>
          </w:tbl>
          <w:p w14:paraId="512E25AA" w14:textId="77777777" w:rsidR="00616B4A" w:rsidRPr="002A4D6D" w:rsidRDefault="00616B4A" w:rsidP="002A4D6D">
            <w:pPr>
              <w:jc w:val="center"/>
              <w:rPr>
                <w:rFonts w:eastAsia="Times New Roman"/>
                <w:b/>
                <w:bCs/>
                <w:spacing w:val="-2"/>
                <w:sz w:val="26"/>
                <w:szCs w:val="26"/>
                <w:lang w:eastAsia="lv-LV"/>
              </w:rPr>
            </w:pPr>
          </w:p>
        </w:tc>
      </w:tr>
    </w:tbl>
    <w:p w14:paraId="278E674A" w14:textId="390E8E50" w:rsidR="00986EB0" w:rsidRPr="002A4D6D" w:rsidRDefault="00986EB0" w:rsidP="002A4D6D">
      <w:pPr>
        <w:pStyle w:val="BodyTextIndent"/>
        <w:tabs>
          <w:tab w:val="left" w:pos="6804"/>
        </w:tabs>
        <w:ind w:firstLine="0"/>
        <w:jc w:val="left"/>
        <w:rPr>
          <w:spacing w:val="-2"/>
          <w:sz w:val="26"/>
          <w:szCs w:val="26"/>
          <w:lang w:eastAsia="lv-LV"/>
        </w:rPr>
      </w:pPr>
    </w:p>
    <w:p w14:paraId="1D1D4E76" w14:textId="77777777" w:rsidR="00360EEC" w:rsidRPr="005E7435" w:rsidRDefault="00360EEC" w:rsidP="002A4D6D">
      <w:pPr>
        <w:ind w:firstLine="720"/>
        <w:rPr>
          <w:spacing w:val="-2"/>
          <w:szCs w:val="28"/>
        </w:rPr>
      </w:pPr>
    </w:p>
    <w:p w14:paraId="15D2ECB3" w14:textId="77777777" w:rsidR="00792505" w:rsidRDefault="00792505" w:rsidP="00037EE9">
      <w:pPr>
        <w:pStyle w:val="Body"/>
        <w:spacing w:after="0" w:line="240" w:lineRule="auto"/>
        <w:ind w:firstLine="709"/>
        <w:jc w:val="both"/>
        <w:rPr>
          <w:rFonts w:ascii="Times New Roman" w:hAnsi="Times New Roman"/>
          <w:color w:val="auto"/>
          <w:sz w:val="28"/>
          <w:lang w:val="de-DE"/>
        </w:rPr>
      </w:pPr>
    </w:p>
    <w:p w14:paraId="57CF4E6A" w14:textId="77777777" w:rsidR="00792505" w:rsidRPr="00DE283C" w:rsidRDefault="00792505"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F967DD3" w14:textId="34F7067A" w:rsidR="00DD598B" w:rsidRPr="005E7435" w:rsidRDefault="00DD598B" w:rsidP="002A4D6D">
      <w:pPr>
        <w:pStyle w:val="BodyTextIndent"/>
        <w:tabs>
          <w:tab w:val="left" w:pos="6804"/>
        </w:tabs>
        <w:ind w:firstLine="720"/>
        <w:rPr>
          <w:spacing w:val="-2"/>
          <w:sz w:val="28"/>
          <w:szCs w:val="28"/>
          <w:lang w:eastAsia="lv-LV"/>
        </w:rPr>
      </w:pPr>
    </w:p>
    <w:p w14:paraId="5C662C1C" w14:textId="47002BF9" w:rsidR="00DD598B" w:rsidRDefault="00DD598B" w:rsidP="002A4D6D">
      <w:pPr>
        <w:pStyle w:val="BodyTextIndent"/>
        <w:tabs>
          <w:tab w:val="left" w:pos="6804"/>
        </w:tabs>
        <w:ind w:firstLine="720"/>
        <w:rPr>
          <w:spacing w:val="-2"/>
          <w:sz w:val="28"/>
          <w:szCs w:val="28"/>
          <w:lang w:eastAsia="lv-LV"/>
        </w:rPr>
      </w:pPr>
    </w:p>
    <w:p w14:paraId="6CA3C5C6" w14:textId="77777777" w:rsidR="00792505" w:rsidRPr="005E7435" w:rsidRDefault="00792505" w:rsidP="002A4D6D">
      <w:pPr>
        <w:pStyle w:val="BodyTextIndent"/>
        <w:tabs>
          <w:tab w:val="left" w:pos="6804"/>
        </w:tabs>
        <w:ind w:firstLine="720"/>
        <w:rPr>
          <w:spacing w:val="-2"/>
          <w:sz w:val="28"/>
          <w:szCs w:val="28"/>
          <w:lang w:eastAsia="lv-LV"/>
        </w:rPr>
      </w:pPr>
    </w:p>
    <w:p w14:paraId="1F022C98" w14:textId="0BE2E1DD" w:rsidR="00DD598B" w:rsidRPr="002A4D6D" w:rsidRDefault="00DD598B" w:rsidP="002A4D6D">
      <w:pPr>
        <w:pStyle w:val="BodyTextIndent"/>
        <w:tabs>
          <w:tab w:val="left" w:pos="6804"/>
        </w:tabs>
        <w:ind w:firstLine="0"/>
        <w:rPr>
          <w:spacing w:val="-2"/>
          <w:sz w:val="26"/>
          <w:szCs w:val="26"/>
          <w:lang w:eastAsia="lv-LV"/>
        </w:rPr>
      </w:pPr>
    </w:p>
    <w:p w14:paraId="7072CE6B" w14:textId="61E7205C" w:rsidR="008E7552" w:rsidRDefault="008E7552" w:rsidP="002A4D6D">
      <w:pPr>
        <w:pStyle w:val="BodyTextIndent"/>
        <w:tabs>
          <w:tab w:val="left" w:pos="6804"/>
        </w:tabs>
        <w:ind w:firstLine="0"/>
        <w:jc w:val="left"/>
        <w:rPr>
          <w:rStyle w:val="Hyperlink"/>
          <w:color w:val="auto"/>
          <w:spacing w:val="-2"/>
          <w:szCs w:val="20"/>
        </w:rPr>
      </w:pPr>
      <w:proofErr w:type="spellStart"/>
      <w:r w:rsidRPr="002A4D6D">
        <w:rPr>
          <w:bCs/>
          <w:spacing w:val="-2"/>
          <w:szCs w:val="20"/>
        </w:rPr>
        <w:t>Kuhaļska</w:t>
      </w:r>
      <w:proofErr w:type="spellEnd"/>
      <w:r w:rsidRPr="002A4D6D">
        <w:rPr>
          <w:spacing w:val="-2"/>
          <w:szCs w:val="20"/>
        </w:rPr>
        <w:t>, 67083849</w:t>
      </w:r>
      <w:r w:rsidRPr="002A4D6D">
        <w:rPr>
          <w:spacing w:val="-2"/>
          <w:szCs w:val="20"/>
        </w:rPr>
        <w:br/>
      </w:r>
      <w:hyperlink r:id="rId15" w:history="1">
        <w:r w:rsidRPr="002A4D6D">
          <w:rPr>
            <w:rStyle w:val="Hyperlink"/>
            <w:color w:val="auto"/>
            <w:spacing w:val="-2"/>
            <w:szCs w:val="20"/>
          </w:rPr>
          <w:t>jelena.kuhalska@fm.gov.lv</w:t>
        </w:r>
      </w:hyperlink>
    </w:p>
    <w:p w14:paraId="7AD144C2" w14:textId="4947B06D" w:rsidR="00792505" w:rsidRDefault="00792505" w:rsidP="00792505">
      <w:pPr>
        <w:rPr>
          <w:rStyle w:val="Hyperlink"/>
          <w:rFonts w:eastAsia="Times New Roman"/>
          <w:color w:val="auto"/>
          <w:spacing w:val="-2"/>
          <w:sz w:val="20"/>
          <w:szCs w:val="20"/>
        </w:rPr>
      </w:pPr>
    </w:p>
    <w:p w14:paraId="5E481971" w14:textId="0F04E7B5" w:rsidR="00792505" w:rsidRDefault="00792505" w:rsidP="00792505">
      <w:pPr>
        <w:rPr>
          <w:rStyle w:val="Hyperlink"/>
          <w:rFonts w:eastAsia="Times New Roman"/>
          <w:color w:val="auto"/>
          <w:spacing w:val="-2"/>
          <w:sz w:val="20"/>
          <w:szCs w:val="20"/>
        </w:rPr>
      </w:pPr>
    </w:p>
    <w:p w14:paraId="4A39D48F" w14:textId="7F892B5D" w:rsidR="00792505" w:rsidRPr="00792505" w:rsidRDefault="00792505" w:rsidP="00792505">
      <w:pPr>
        <w:rPr>
          <w:sz w:val="20"/>
          <w:szCs w:val="16"/>
          <w:lang w:eastAsia="lv-LV"/>
        </w:rPr>
      </w:pPr>
      <w:proofErr w:type="spellStart"/>
      <w:r w:rsidRPr="00792505">
        <w:rPr>
          <w:sz w:val="20"/>
          <w:szCs w:val="16"/>
          <w:lang w:eastAsia="lv-LV"/>
        </w:rPr>
        <w:t>v_sk</w:t>
      </w:r>
      <w:proofErr w:type="spellEnd"/>
      <w:r w:rsidRPr="00792505">
        <w:rPr>
          <w:sz w:val="20"/>
          <w:szCs w:val="16"/>
          <w:lang w:eastAsia="lv-LV"/>
        </w:rPr>
        <w:t xml:space="preserve"> = 9344</w:t>
      </w:r>
    </w:p>
    <w:sectPr w:rsidR="00792505" w:rsidRPr="00792505" w:rsidSect="00605726">
      <w:headerReference w:type="default" r:id="rId16"/>
      <w:footerReference w:type="default" r:id="rId17"/>
      <w:footerReference w:type="first" r:id="rId18"/>
      <w:pgSz w:w="11906" w:h="16838"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88180" w14:textId="77777777" w:rsidR="002A4D6D" w:rsidRDefault="002A4D6D" w:rsidP="008125DD">
      <w:r>
        <w:separator/>
      </w:r>
    </w:p>
  </w:endnote>
  <w:endnote w:type="continuationSeparator" w:id="0">
    <w:p w14:paraId="1D8AD45B" w14:textId="77777777" w:rsidR="002A4D6D" w:rsidRDefault="002A4D6D"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00A5" w14:textId="0C0370DF" w:rsidR="002A4D6D" w:rsidRPr="00985359" w:rsidRDefault="002A4D6D" w:rsidP="00985359">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FMAnot_210520_PVNekom</w:t>
    </w:r>
    <w:r>
      <w:rPr>
        <w:sz w:val="20"/>
        <w:szCs w:val="20"/>
      </w:rPr>
      <w:fldChar w:fldCharType="end"/>
    </w:r>
    <w:r w:rsidR="00792505">
      <w:rPr>
        <w:sz w:val="20"/>
        <w:szCs w:val="20"/>
      </w:rPr>
      <w:t xml:space="preserve"> (TA-1042)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3672" w14:textId="1D25095D" w:rsidR="002A4D6D" w:rsidRPr="00985359" w:rsidRDefault="002A4D6D" w:rsidP="00985359">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FMAnot_210520_PVNekom</w:t>
    </w:r>
    <w:r>
      <w:rPr>
        <w:sz w:val="20"/>
        <w:szCs w:val="20"/>
      </w:rPr>
      <w:fldChar w:fldCharType="end"/>
    </w:r>
    <w:r w:rsidR="00792505">
      <w:rPr>
        <w:sz w:val="20"/>
        <w:szCs w:val="20"/>
      </w:rPr>
      <w:t xml:space="preserve"> (TA-1042)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2FBEA" w14:textId="77777777" w:rsidR="002A4D6D" w:rsidRDefault="002A4D6D" w:rsidP="008125DD">
      <w:r>
        <w:separator/>
      </w:r>
    </w:p>
  </w:footnote>
  <w:footnote w:type="continuationSeparator" w:id="0">
    <w:p w14:paraId="5A2A00A8" w14:textId="77777777" w:rsidR="002A4D6D" w:rsidRDefault="002A4D6D" w:rsidP="008125DD">
      <w:r>
        <w:continuationSeparator/>
      </w:r>
    </w:p>
  </w:footnote>
  <w:footnote w:id="1">
    <w:p w14:paraId="35F947A2" w14:textId="17DECFB6" w:rsidR="002A4D6D" w:rsidRPr="007235A5" w:rsidRDefault="002A4D6D" w:rsidP="00F87F76">
      <w:pPr>
        <w:pStyle w:val="FootnoteText"/>
        <w:jc w:val="both"/>
        <w:rPr>
          <w:rFonts w:ascii="Times New Roman" w:hAnsi="Times New Roman"/>
          <w:lang w:val="lv-LV"/>
        </w:rPr>
      </w:pPr>
      <w:r w:rsidRPr="007235A5">
        <w:rPr>
          <w:rStyle w:val="FootnoteReference"/>
          <w:rFonts w:ascii="Times New Roman" w:hAnsi="Times New Roman"/>
        </w:rPr>
        <w:footnoteRef/>
      </w:r>
      <w:r w:rsidRPr="007235A5">
        <w:rPr>
          <w:rFonts w:ascii="Times New Roman" w:hAnsi="Times New Roman"/>
        </w:rPr>
        <w:t xml:space="preserve"> </w:t>
      </w:r>
      <w:proofErr w:type="spellStart"/>
      <w:r w:rsidRPr="007235A5">
        <w:rPr>
          <w:rFonts w:ascii="Times New Roman" w:hAnsi="Times New Roman"/>
          <w:color w:val="000000"/>
        </w:rPr>
        <w:t>Elektroniskā</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komercija</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jeb</w:t>
      </w:r>
      <w:proofErr w:type="spellEnd"/>
      <w:r w:rsidRPr="007235A5">
        <w:rPr>
          <w:rFonts w:ascii="Times New Roman" w:hAnsi="Times New Roman"/>
          <w:color w:val="000000"/>
        </w:rPr>
        <w:t xml:space="preserve"> e-</w:t>
      </w:r>
      <w:proofErr w:type="spellStart"/>
      <w:r w:rsidRPr="007235A5">
        <w:rPr>
          <w:rFonts w:ascii="Times New Roman" w:hAnsi="Times New Roman"/>
          <w:color w:val="000000"/>
        </w:rPr>
        <w:t>komercija</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ir</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preču</w:t>
      </w:r>
      <w:proofErr w:type="spellEnd"/>
      <w:r w:rsidRPr="007235A5">
        <w:rPr>
          <w:rFonts w:ascii="Times New Roman" w:hAnsi="Times New Roman"/>
          <w:color w:val="000000"/>
        </w:rPr>
        <w:t xml:space="preserve"> un </w:t>
      </w:r>
      <w:proofErr w:type="spellStart"/>
      <w:r w:rsidRPr="007235A5">
        <w:rPr>
          <w:rFonts w:ascii="Times New Roman" w:hAnsi="Times New Roman"/>
          <w:color w:val="000000"/>
        </w:rPr>
        <w:t>pakalpojumu</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tirdzniecība</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izmantojot</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elektroniskos</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sakarus</w:t>
      </w:r>
      <w:proofErr w:type="spellEnd"/>
      <w:r w:rsidRPr="007235A5">
        <w:rPr>
          <w:rFonts w:ascii="Times New Roman" w:hAnsi="Times New Roman"/>
          <w:color w:val="000000"/>
        </w:rPr>
        <w:t>. Par e-</w:t>
      </w:r>
      <w:proofErr w:type="spellStart"/>
      <w:r w:rsidRPr="007235A5">
        <w:rPr>
          <w:rFonts w:ascii="Times New Roman" w:hAnsi="Times New Roman"/>
          <w:color w:val="000000"/>
        </w:rPr>
        <w:t>komercijas</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populārāko</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nozari</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tiek</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uzskatīta</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tirdzniecība</w:t>
      </w:r>
      <w:proofErr w:type="spellEnd"/>
      <w:r w:rsidRPr="007235A5">
        <w:rPr>
          <w:rFonts w:ascii="Times New Roman" w:hAnsi="Times New Roman"/>
          <w:color w:val="000000"/>
        </w:rPr>
        <w:t xml:space="preserve"> </w:t>
      </w:r>
      <w:proofErr w:type="spellStart"/>
      <w:r w:rsidRPr="007235A5">
        <w:rPr>
          <w:rFonts w:ascii="Times New Roman" w:hAnsi="Times New Roman"/>
          <w:color w:val="000000"/>
        </w:rPr>
        <w:t>internetā</w:t>
      </w:r>
      <w:proofErr w:type="spellEnd"/>
      <w:r w:rsidRPr="007235A5">
        <w:rPr>
          <w:rFonts w:ascii="Times New Roman" w:hAnsi="Times New Roman"/>
          <w:color w:val="000000"/>
        </w:rPr>
        <w:t>.</w:t>
      </w:r>
    </w:p>
  </w:footnote>
  <w:footnote w:id="2">
    <w:p w14:paraId="62006F2D" w14:textId="48E29737" w:rsidR="002A4D6D" w:rsidRPr="007235A5" w:rsidRDefault="002A4D6D" w:rsidP="00BB6BD9">
      <w:pPr>
        <w:pStyle w:val="FootnoteText"/>
        <w:ind w:right="-143"/>
        <w:jc w:val="both"/>
        <w:rPr>
          <w:rFonts w:ascii="Times New Roman" w:hAnsi="Times New Roman"/>
          <w:lang w:val="lv-LV"/>
        </w:rPr>
      </w:pPr>
      <w:r w:rsidRPr="007235A5">
        <w:rPr>
          <w:rStyle w:val="FootnoteReference"/>
          <w:rFonts w:ascii="Times New Roman" w:hAnsi="Times New Roman"/>
        </w:rPr>
        <w:footnoteRef/>
      </w:r>
      <w:r w:rsidRPr="007235A5">
        <w:rPr>
          <w:rFonts w:ascii="Times New Roman" w:hAnsi="Times New Roman"/>
          <w:lang w:val="lv-LV"/>
        </w:rPr>
        <w:t xml:space="preserve"> MOSS režīms ir brīvprātīgi izmantojams režīms, kas ļauj deklarēt PVN par pārrobežu </w:t>
      </w:r>
      <w:r w:rsidRPr="007235A5">
        <w:rPr>
          <w:rFonts w:ascii="Times New Roman" w:hAnsi="Times New Roman"/>
          <w:bCs/>
          <w:lang w:val="lv-LV"/>
        </w:rPr>
        <w:t xml:space="preserve">elektronisko sakaru, apraides un elektroniski sniegtiem pakalpojumiem personai, kura nav </w:t>
      </w:r>
      <w:r>
        <w:rPr>
          <w:rFonts w:ascii="Times New Roman" w:hAnsi="Times New Roman"/>
          <w:bCs/>
          <w:lang w:val="lv-LV"/>
        </w:rPr>
        <w:t>PVN</w:t>
      </w:r>
      <w:r w:rsidRPr="007235A5">
        <w:rPr>
          <w:rFonts w:ascii="Times New Roman" w:hAnsi="Times New Roman"/>
          <w:bCs/>
          <w:lang w:val="lv-LV"/>
        </w:rPr>
        <w:t xml:space="preserve"> maksātāja</w:t>
      </w:r>
      <w:r>
        <w:rPr>
          <w:rFonts w:ascii="Times New Roman" w:hAnsi="Times New Roman"/>
          <w:bCs/>
          <w:lang w:val="lv-LV"/>
        </w:rPr>
        <w:t>,</w:t>
      </w:r>
      <w:r w:rsidRPr="007235A5">
        <w:rPr>
          <w:rFonts w:ascii="Times New Roman" w:hAnsi="Times New Roman"/>
          <w:bCs/>
          <w:lang w:val="lv-LV"/>
        </w:rPr>
        <w:t xml:space="preserve"> </w:t>
      </w:r>
      <w:r w:rsidRPr="007235A5">
        <w:rPr>
          <w:rFonts w:ascii="Times New Roman" w:hAnsi="Times New Roman"/>
          <w:lang w:val="lv-LV"/>
        </w:rPr>
        <w:t>tikai vienā ES valstī</w:t>
      </w:r>
      <w:r>
        <w:rPr>
          <w:rFonts w:ascii="Times New Roman" w:hAnsi="Times New Roman"/>
          <w:lang w:val="lv-LV"/>
        </w:rPr>
        <w:t>, nereģistrējoties visās valstīs, kurās tiek sniegti šie pakalpojumi</w:t>
      </w:r>
      <w:r w:rsidRPr="007235A5">
        <w:rPr>
          <w:rFonts w:ascii="Times New Roman" w:hAnsi="Times New Roman"/>
          <w:lang w:val="lv-LV"/>
        </w:rPr>
        <w:t>.</w:t>
      </w:r>
    </w:p>
  </w:footnote>
  <w:footnote w:id="3">
    <w:p w14:paraId="0F14BA9F" w14:textId="0936F833" w:rsidR="002A4D6D" w:rsidRPr="00292FD8" w:rsidRDefault="002A4D6D" w:rsidP="007235A5">
      <w:pPr>
        <w:pStyle w:val="FootnoteText"/>
        <w:ind w:right="-143"/>
        <w:jc w:val="both"/>
        <w:rPr>
          <w:rFonts w:ascii="Times New Roman" w:hAnsi="Times New Roman"/>
          <w:lang w:val="lv-LV"/>
        </w:rPr>
      </w:pPr>
      <w:r w:rsidRPr="007235A5">
        <w:rPr>
          <w:rStyle w:val="FootnoteReference"/>
          <w:rFonts w:ascii="Times New Roman" w:hAnsi="Times New Roman"/>
        </w:rPr>
        <w:footnoteRef/>
      </w:r>
      <w:r w:rsidRPr="00292FD8">
        <w:rPr>
          <w:rFonts w:ascii="Times New Roman" w:hAnsi="Times New Roman"/>
          <w:lang w:val="lv-LV"/>
        </w:rPr>
        <w:t xml:space="preserve"> </w:t>
      </w:r>
      <w:r w:rsidRPr="00292FD8">
        <w:rPr>
          <w:rFonts w:ascii="Times New Roman" w:hAnsi="Times New Roman"/>
          <w:bCs/>
          <w:lang w:val="lv-LV"/>
        </w:rPr>
        <w:t xml:space="preserve">Šobrīd </w:t>
      </w:r>
      <w:proofErr w:type="spellStart"/>
      <w:r w:rsidRPr="00292FD8">
        <w:rPr>
          <w:rFonts w:ascii="Times New Roman" w:hAnsi="Times New Roman"/>
          <w:bCs/>
          <w:lang w:val="lv-LV"/>
        </w:rPr>
        <w:t>ārpussavienības</w:t>
      </w:r>
      <w:proofErr w:type="spellEnd"/>
      <w:r w:rsidRPr="00292FD8">
        <w:rPr>
          <w:rFonts w:ascii="Times New Roman" w:hAnsi="Times New Roman"/>
          <w:bCs/>
          <w:lang w:val="lv-LV"/>
        </w:rPr>
        <w:t xml:space="preserve"> režīmu var izmantot tikai elektronisko sakaru, apraides un elektroniski sniegtajiem pakalpojumiem, ko sniedz PVN maksātāji, kuri neveic saimniecisko darbību ES, personām, kuras nav PVN maksātājas.</w:t>
      </w:r>
    </w:p>
  </w:footnote>
  <w:footnote w:id="4">
    <w:p w14:paraId="168C105E" w14:textId="30F8970F" w:rsidR="002A4D6D" w:rsidRPr="00BB6BD9" w:rsidRDefault="002A4D6D" w:rsidP="007235A5">
      <w:pPr>
        <w:pStyle w:val="FootnoteText"/>
        <w:ind w:right="-143"/>
        <w:jc w:val="both"/>
        <w:rPr>
          <w:rFonts w:ascii="Times New Roman" w:hAnsi="Times New Roman"/>
          <w:lang w:val="lv-LV"/>
        </w:rPr>
      </w:pPr>
      <w:r w:rsidRPr="007235A5">
        <w:rPr>
          <w:rStyle w:val="FootnoteReference"/>
          <w:rFonts w:ascii="Times New Roman" w:hAnsi="Times New Roman"/>
        </w:rPr>
        <w:footnoteRef/>
      </w:r>
      <w:r w:rsidRPr="00BB6BD9">
        <w:rPr>
          <w:rFonts w:ascii="Times New Roman" w:hAnsi="Times New Roman"/>
          <w:lang w:val="lv-LV"/>
        </w:rPr>
        <w:t xml:space="preserve"> </w:t>
      </w:r>
      <w:r w:rsidRPr="00BB6BD9">
        <w:rPr>
          <w:rFonts w:ascii="Times New Roman" w:hAnsi="Times New Roman"/>
          <w:bCs/>
          <w:lang w:val="lv-LV"/>
        </w:rPr>
        <w:t xml:space="preserve">Šobrīd PVN maksātāji, kuri izmanto </w:t>
      </w:r>
      <w:proofErr w:type="spellStart"/>
      <w:r w:rsidRPr="00BB6BD9">
        <w:rPr>
          <w:rFonts w:ascii="Times New Roman" w:hAnsi="Times New Roman"/>
          <w:bCs/>
          <w:lang w:val="lv-LV"/>
        </w:rPr>
        <w:t>ārpussavienības</w:t>
      </w:r>
      <w:proofErr w:type="spellEnd"/>
      <w:r w:rsidRPr="00BB6BD9">
        <w:rPr>
          <w:rFonts w:ascii="Times New Roman" w:hAnsi="Times New Roman"/>
          <w:bCs/>
          <w:lang w:val="lv-LV"/>
        </w:rPr>
        <w:t xml:space="preserve"> režīmu, PVN deklarāciju iesniedz 20 dienu laikā pēc taksācijas perioda beigām.</w:t>
      </w:r>
    </w:p>
  </w:footnote>
  <w:footnote w:id="5">
    <w:p w14:paraId="33A04CD6" w14:textId="77777777" w:rsidR="002A4D6D" w:rsidRPr="00BB6BD9" w:rsidRDefault="002A4D6D" w:rsidP="00D662F2">
      <w:pPr>
        <w:pStyle w:val="FootnoteText"/>
        <w:jc w:val="both"/>
        <w:rPr>
          <w:rFonts w:ascii="Times New Roman" w:hAnsi="Times New Roman"/>
          <w:lang w:val="lv-LV"/>
        </w:rPr>
      </w:pPr>
      <w:r w:rsidRPr="007235A5">
        <w:rPr>
          <w:rStyle w:val="FootnoteReference"/>
          <w:rFonts w:ascii="Times New Roman" w:hAnsi="Times New Roman"/>
        </w:rPr>
        <w:footnoteRef/>
      </w:r>
      <w:r w:rsidRPr="00BB6BD9">
        <w:rPr>
          <w:rFonts w:ascii="Times New Roman" w:hAnsi="Times New Roman"/>
          <w:lang w:val="lv-LV"/>
        </w:rPr>
        <w:t xml:space="preserve"> </w:t>
      </w:r>
      <w:r w:rsidRPr="00BB6BD9">
        <w:rPr>
          <w:rFonts w:ascii="Times New Roman" w:hAnsi="Times New Roman"/>
          <w:bCs/>
          <w:lang w:val="lv-LV"/>
        </w:rPr>
        <w:t>Šobrīd savienības režīmu var izmantot tikai elektronisko sakaru, apraides un elektroniski sniegtajiem pakalpojumiem, ko sniedz PVN maksātāji, kas veic saimniecisko darbību ES, bet ne patēriņa dalībvalstī.</w:t>
      </w:r>
    </w:p>
  </w:footnote>
  <w:footnote w:id="6">
    <w:p w14:paraId="17E034DB" w14:textId="1AF44A89" w:rsidR="002A4D6D" w:rsidRPr="00250F73" w:rsidRDefault="002A4D6D">
      <w:pPr>
        <w:pStyle w:val="FootnoteText"/>
        <w:rPr>
          <w:rFonts w:ascii="Times New Roman" w:hAnsi="Times New Roman"/>
          <w:lang w:val="lv-LV"/>
        </w:rPr>
      </w:pPr>
      <w:r w:rsidRPr="00250F73">
        <w:rPr>
          <w:rStyle w:val="FootnoteReference"/>
          <w:rFonts w:ascii="Times New Roman" w:hAnsi="Times New Roman"/>
        </w:rPr>
        <w:footnoteRef/>
      </w:r>
      <w:r w:rsidRPr="00250F73">
        <w:rPr>
          <w:rFonts w:ascii="Times New Roman" w:hAnsi="Times New Roman"/>
          <w:lang w:val="lv-LV"/>
        </w:rPr>
        <w:t xml:space="preserve"> Patiesā vērtība ir pašu preču vērtība bez apdrošināšanas un pārvadājumu maksas.</w:t>
      </w:r>
    </w:p>
  </w:footnote>
  <w:footnote w:id="7">
    <w:p w14:paraId="1048E96A" w14:textId="77777777" w:rsidR="002A4D6D" w:rsidRPr="00250F73" w:rsidRDefault="002A4D6D" w:rsidP="00250F73">
      <w:pPr>
        <w:pStyle w:val="FootnoteText"/>
        <w:jc w:val="both"/>
        <w:rPr>
          <w:rFonts w:ascii="Times New Roman" w:hAnsi="Times New Roman"/>
          <w:lang w:val="lv-LV"/>
        </w:rPr>
      </w:pPr>
      <w:r w:rsidRPr="00250F73">
        <w:rPr>
          <w:rStyle w:val="FootnoteReference"/>
          <w:rFonts w:ascii="Times New Roman" w:hAnsi="Times New Roman"/>
        </w:rPr>
        <w:footnoteRef/>
      </w:r>
      <w:r w:rsidRPr="00250F73">
        <w:rPr>
          <w:rFonts w:ascii="Times New Roman" w:hAnsi="Times New Roman"/>
          <w:lang w:val="lv-LV"/>
        </w:rPr>
        <w:t xml:space="preserve"> </w:t>
      </w:r>
      <w:r w:rsidRPr="00250F73">
        <w:rPr>
          <w:rFonts w:ascii="Times New Roman" w:hAnsi="Times New Roman"/>
          <w:lang w:val="lv-LV" w:eastAsia="lv-LV"/>
        </w:rPr>
        <w:t>Šobrīd ar</w:t>
      </w:r>
      <w:r w:rsidRPr="00250F73">
        <w:rPr>
          <w:rFonts w:ascii="Times New Roman" w:hAnsi="Times New Roman"/>
          <w:color w:val="000000"/>
          <w:lang w:val="lv-LV"/>
        </w:rPr>
        <w:t xml:space="preserve"> PVN neapliek preču sūtījumus, ja sūtījuma vērtība nepārsniedz 22 </w:t>
      </w:r>
      <w:proofErr w:type="spellStart"/>
      <w:r w:rsidRPr="00250F73">
        <w:rPr>
          <w:rFonts w:ascii="Times New Roman" w:hAnsi="Times New Roman"/>
          <w:i/>
          <w:color w:val="000000"/>
          <w:lang w:val="lv-LV"/>
        </w:rPr>
        <w:t>euro</w:t>
      </w:r>
      <w:proofErr w:type="spellEnd"/>
      <w:r w:rsidRPr="00250F73">
        <w:rPr>
          <w:rFonts w:ascii="Times New Roman" w:hAnsi="Times New Roman"/>
          <w:color w:val="000000"/>
          <w:lang w:val="lv-LV"/>
        </w:rPr>
        <w:t>, kā arī preču importu komerciālā nolūkā, ja to kopējā vērtība nebija pārsniegusi 22 </w:t>
      </w:r>
      <w:proofErr w:type="spellStart"/>
      <w:r w:rsidRPr="00250F73">
        <w:rPr>
          <w:rFonts w:ascii="Times New Roman" w:hAnsi="Times New Roman"/>
          <w:i/>
          <w:color w:val="000000"/>
          <w:lang w:val="lv-LV"/>
        </w:rPr>
        <w:t>euro</w:t>
      </w:r>
      <w:proofErr w:type="spellEnd"/>
      <w:r w:rsidRPr="00250F73">
        <w:rPr>
          <w:rFonts w:ascii="Times New Roman" w:hAnsi="Times New Roman"/>
          <w:i/>
          <w:color w:val="000000"/>
          <w:lang w:val="lv-LV"/>
        </w:rPr>
        <w:t>.</w:t>
      </w:r>
    </w:p>
  </w:footnote>
  <w:footnote w:id="8">
    <w:p w14:paraId="056AFBE7" w14:textId="7492A2DB" w:rsidR="002A4D6D" w:rsidRPr="00166A0E" w:rsidRDefault="002A4D6D">
      <w:pPr>
        <w:pStyle w:val="FootnoteText"/>
        <w:rPr>
          <w:rFonts w:ascii="Times New Roman" w:hAnsi="Times New Roman"/>
          <w:lang w:val="lv-LV"/>
        </w:rPr>
      </w:pPr>
      <w:r w:rsidRPr="00166A0E">
        <w:rPr>
          <w:rStyle w:val="FootnoteReference"/>
          <w:rFonts w:ascii="Times New Roman" w:hAnsi="Times New Roman"/>
        </w:rPr>
        <w:footnoteRef/>
      </w:r>
      <w:r w:rsidRPr="00166A0E">
        <w:rPr>
          <w:rFonts w:ascii="Times New Roman" w:hAnsi="Times New Roman"/>
          <w:lang w:val="lv-LV"/>
        </w:rPr>
        <w:t xml:space="preserve"> Šobrīd ir noslēgts </w:t>
      </w:r>
      <w:r w:rsidRPr="00166A0E">
        <w:rPr>
          <w:rFonts w:ascii="Times New Roman" w:hAnsi="Times New Roman"/>
          <w:lang w:val="lv-LV" w:eastAsia="lv-LV"/>
        </w:rPr>
        <w:t>savstarpējās palīdzības nolīgums tikai ar Norvēģijas Karalisti.</w:t>
      </w:r>
    </w:p>
  </w:footnote>
  <w:footnote w:id="9">
    <w:p w14:paraId="12CFF784" w14:textId="75455C5C" w:rsidR="002A4D6D" w:rsidRPr="007D66CC" w:rsidRDefault="002A4D6D">
      <w:pPr>
        <w:pStyle w:val="FootnoteText"/>
        <w:rPr>
          <w:lang w:val="lv-LV"/>
        </w:rPr>
      </w:pPr>
      <w:r>
        <w:rPr>
          <w:rStyle w:val="FootnoteReference"/>
        </w:rPr>
        <w:footnoteRef/>
      </w:r>
      <w:r w:rsidRPr="007D66CC">
        <w:rPr>
          <w:lang w:val="lv-LV"/>
        </w:rPr>
        <w:t xml:space="preserve"> </w:t>
      </w:r>
      <w:r w:rsidRPr="007D66CC">
        <w:rPr>
          <w:rFonts w:ascii="Times New Roman" w:hAnsi="Times New Roman"/>
          <w:lang w:val="lv-LV"/>
        </w:rPr>
        <w:t>https://www.vid.gov.lv/lv/pasta-sutijumi</w:t>
      </w:r>
    </w:p>
  </w:footnote>
  <w:footnote w:id="10">
    <w:p w14:paraId="09E937CE" w14:textId="68A76F6F" w:rsidR="002A4D6D" w:rsidRPr="00CA62BC" w:rsidRDefault="002A4D6D">
      <w:pPr>
        <w:pStyle w:val="FootnoteText"/>
        <w:rPr>
          <w:rFonts w:ascii="Times New Roman" w:hAnsi="Times New Roman"/>
          <w:lang w:val="lv-LV"/>
        </w:rPr>
      </w:pPr>
      <w:r w:rsidRPr="00CA62BC">
        <w:rPr>
          <w:rStyle w:val="FootnoteReference"/>
          <w:rFonts w:ascii="Times New Roman" w:hAnsi="Times New Roman"/>
        </w:rPr>
        <w:footnoteRef/>
      </w:r>
      <w:r w:rsidRPr="00CA62BC">
        <w:rPr>
          <w:rFonts w:ascii="Times New Roman" w:hAnsi="Times New Roman"/>
          <w:lang w:val="lv-LV"/>
        </w:rPr>
        <w:t xml:space="preserve"> https://eur-lex.europa.eu/legal-content/LV/TXT/HTML/?uri=CELEX:52016PC0757&amp;from=EN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17236" w14:textId="091D60EF" w:rsidR="002A4D6D" w:rsidRPr="00AA2836" w:rsidRDefault="002A4D6D">
    <w:pPr>
      <w:pStyle w:val="Header"/>
      <w:jc w:val="center"/>
      <w:rPr>
        <w:sz w:val="24"/>
        <w:szCs w:val="20"/>
      </w:rPr>
    </w:pPr>
    <w:r w:rsidRPr="00AA2836">
      <w:rPr>
        <w:sz w:val="24"/>
        <w:szCs w:val="20"/>
      </w:rPr>
      <w:fldChar w:fldCharType="begin"/>
    </w:r>
    <w:r w:rsidRPr="00AA2836">
      <w:rPr>
        <w:sz w:val="24"/>
        <w:szCs w:val="20"/>
      </w:rPr>
      <w:instrText xml:space="preserve"> PAGE   \* MERGEFORMAT </w:instrText>
    </w:r>
    <w:r w:rsidRPr="00AA2836">
      <w:rPr>
        <w:sz w:val="24"/>
        <w:szCs w:val="20"/>
      </w:rPr>
      <w:fldChar w:fldCharType="separate"/>
    </w:r>
    <w:r w:rsidR="007472EF">
      <w:rPr>
        <w:noProof/>
        <w:sz w:val="24"/>
        <w:szCs w:val="20"/>
      </w:rPr>
      <w:t>21</w:t>
    </w:r>
    <w:r w:rsidRPr="00AA2836">
      <w:rPr>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9A6"/>
    <w:multiLevelType w:val="hybridMultilevel"/>
    <w:tmpl w:val="557CDAD6"/>
    <w:lvl w:ilvl="0" w:tplc="2638B02E">
      <w:start w:val="1"/>
      <w:numFmt w:val="decimal"/>
      <w:lvlText w:val="%1)"/>
      <w:lvlJc w:val="left"/>
      <w:pPr>
        <w:ind w:left="417"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ED13C0"/>
    <w:multiLevelType w:val="hybridMultilevel"/>
    <w:tmpl w:val="A5D08922"/>
    <w:lvl w:ilvl="0" w:tplc="04260001">
      <w:start w:val="1"/>
      <w:numFmt w:val="bullet"/>
      <w:lvlText w:val=""/>
      <w:lvlJc w:val="left"/>
      <w:pPr>
        <w:ind w:left="777" w:hanging="360"/>
      </w:pPr>
      <w:rPr>
        <w:rFonts w:ascii="Symbol" w:hAnsi="Symbol" w:hint="default"/>
      </w:rPr>
    </w:lvl>
    <w:lvl w:ilvl="1" w:tplc="04260003">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 w15:restartNumberingAfterBreak="0">
    <w:nsid w:val="25C65899"/>
    <w:multiLevelType w:val="hybridMultilevel"/>
    <w:tmpl w:val="3F02BF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15:restartNumberingAfterBreak="0">
    <w:nsid w:val="659B2B74"/>
    <w:multiLevelType w:val="hybridMultilevel"/>
    <w:tmpl w:val="D1CE6A4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E434B4"/>
    <w:multiLevelType w:val="hybridMultilevel"/>
    <w:tmpl w:val="1DC0C30A"/>
    <w:lvl w:ilvl="0" w:tplc="1FB4B1E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rPr>
    </w:lvl>
    <w:lvl w:ilvl="1" w:tplc="AB0454DE" w:tentative="1">
      <w:start w:val="1"/>
      <w:numFmt w:val="lowerLetter"/>
      <w:lvlText w:val="%2."/>
      <w:lvlJc w:val="left"/>
      <w:pPr>
        <w:ind w:left="-696" w:hanging="360"/>
      </w:pPr>
    </w:lvl>
    <w:lvl w:ilvl="2" w:tplc="4DA63BC6" w:tentative="1">
      <w:start w:val="1"/>
      <w:numFmt w:val="lowerRoman"/>
      <w:lvlText w:val="%3."/>
      <w:lvlJc w:val="right"/>
      <w:pPr>
        <w:ind w:left="24" w:hanging="180"/>
      </w:pPr>
    </w:lvl>
    <w:lvl w:ilvl="3" w:tplc="6720D17A" w:tentative="1">
      <w:start w:val="1"/>
      <w:numFmt w:val="decimal"/>
      <w:lvlText w:val="%4."/>
      <w:lvlJc w:val="left"/>
      <w:pPr>
        <w:ind w:left="744" w:hanging="360"/>
      </w:pPr>
    </w:lvl>
    <w:lvl w:ilvl="4" w:tplc="DD14F116" w:tentative="1">
      <w:start w:val="1"/>
      <w:numFmt w:val="lowerLetter"/>
      <w:lvlText w:val="%5."/>
      <w:lvlJc w:val="left"/>
      <w:pPr>
        <w:ind w:left="1464" w:hanging="360"/>
      </w:pPr>
    </w:lvl>
    <w:lvl w:ilvl="5" w:tplc="6F2AFF78" w:tentative="1">
      <w:start w:val="1"/>
      <w:numFmt w:val="lowerRoman"/>
      <w:lvlText w:val="%6."/>
      <w:lvlJc w:val="right"/>
      <w:pPr>
        <w:ind w:left="2184" w:hanging="180"/>
      </w:pPr>
    </w:lvl>
    <w:lvl w:ilvl="6" w:tplc="4DD2E848" w:tentative="1">
      <w:start w:val="1"/>
      <w:numFmt w:val="decimal"/>
      <w:lvlText w:val="%7."/>
      <w:lvlJc w:val="left"/>
      <w:pPr>
        <w:ind w:left="2904" w:hanging="360"/>
      </w:pPr>
    </w:lvl>
    <w:lvl w:ilvl="7" w:tplc="90EC4C40" w:tentative="1">
      <w:start w:val="1"/>
      <w:numFmt w:val="lowerLetter"/>
      <w:lvlText w:val="%8."/>
      <w:lvlJc w:val="left"/>
      <w:pPr>
        <w:ind w:left="3624" w:hanging="360"/>
      </w:pPr>
    </w:lvl>
    <w:lvl w:ilvl="8" w:tplc="AEF0B936" w:tentative="1">
      <w:start w:val="1"/>
      <w:numFmt w:val="lowerRoman"/>
      <w:lvlText w:val="%9."/>
      <w:lvlJc w:val="right"/>
      <w:pPr>
        <w:ind w:left="4344"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9A"/>
    <w:rsid w:val="000001E6"/>
    <w:rsid w:val="0000049F"/>
    <w:rsid w:val="00000A02"/>
    <w:rsid w:val="00000C1C"/>
    <w:rsid w:val="00000CF4"/>
    <w:rsid w:val="00000D2C"/>
    <w:rsid w:val="00000EDC"/>
    <w:rsid w:val="000012BE"/>
    <w:rsid w:val="000014FC"/>
    <w:rsid w:val="00001A12"/>
    <w:rsid w:val="00002E15"/>
    <w:rsid w:val="00002FF0"/>
    <w:rsid w:val="00003D04"/>
    <w:rsid w:val="000045A2"/>
    <w:rsid w:val="00004CCF"/>
    <w:rsid w:val="00004E8B"/>
    <w:rsid w:val="000062D5"/>
    <w:rsid w:val="000072E4"/>
    <w:rsid w:val="00007B75"/>
    <w:rsid w:val="00007C63"/>
    <w:rsid w:val="000103B6"/>
    <w:rsid w:val="00010F9E"/>
    <w:rsid w:val="0001126B"/>
    <w:rsid w:val="00011318"/>
    <w:rsid w:val="00011413"/>
    <w:rsid w:val="0001177C"/>
    <w:rsid w:val="00011E03"/>
    <w:rsid w:val="000120C6"/>
    <w:rsid w:val="00012BE6"/>
    <w:rsid w:val="000132B9"/>
    <w:rsid w:val="00013D24"/>
    <w:rsid w:val="00015253"/>
    <w:rsid w:val="000152C1"/>
    <w:rsid w:val="000155C4"/>
    <w:rsid w:val="00015A9A"/>
    <w:rsid w:val="00016B08"/>
    <w:rsid w:val="0001736F"/>
    <w:rsid w:val="0001788E"/>
    <w:rsid w:val="00017B38"/>
    <w:rsid w:val="00017C50"/>
    <w:rsid w:val="000208AC"/>
    <w:rsid w:val="000209F0"/>
    <w:rsid w:val="00020B16"/>
    <w:rsid w:val="00020F84"/>
    <w:rsid w:val="00022002"/>
    <w:rsid w:val="000228C0"/>
    <w:rsid w:val="00024038"/>
    <w:rsid w:val="0002513D"/>
    <w:rsid w:val="000256EF"/>
    <w:rsid w:val="0002575C"/>
    <w:rsid w:val="0002638B"/>
    <w:rsid w:val="000268DD"/>
    <w:rsid w:val="00027395"/>
    <w:rsid w:val="00027540"/>
    <w:rsid w:val="00027C07"/>
    <w:rsid w:val="00027F1E"/>
    <w:rsid w:val="0003052E"/>
    <w:rsid w:val="000305D7"/>
    <w:rsid w:val="00030ABA"/>
    <w:rsid w:val="0003130B"/>
    <w:rsid w:val="00031374"/>
    <w:rsid w:val="0003248D"/>
    <w:rsid w:val="00032911"/>
    <w:rsid w:val="000329B0"/>
    <w:rsid w:val="00032DA1"/>
    <w:rsid w:val="00032F60"/>
    <w:rsid w:val="00033D5E"/>
    <w:rsid w:val="0003592B"/>
    <w:rsid w:val="00035A6C"/>
    <w:rsid w:val="0003647B"/>
    <w:rsid w:val="00036550"/>
    <w:rsid w:val="00037085"/>
    <w:rsid w:val="00037265"/>
    <w:rsid w:val="000404D7"/>
    <w:rsid w:val="0004097B"/>
    <w:rsid w:val="000409CE"/>
    <w:rsid w:val="00040C1A"/>
    <w:rsid w:val="00041002"/>
    <w:rsid w:val="000422B3"/>
    <w:rsid w:val="000423EB"/>
    <w:rsid w:val="000425C1"/>
    <w:rsid w:val="00043026"/>
    <w:rsid w:val="000441FF"/>
    <w:rsid w:val="000442BD"/>
    <w:rsid w:val="000447B1"/>
    <w:rsid w:val="00046074"/>
    <w:rsid w:val="000468FE"/>
    <w:rsid w:val="000469B8"/>
    <w:rsid w:val="00050172"/>
    <w:rsid w:val="00050266"/>
    <w:rsid w:val="0005045E"/>
    <w:rsid w:val="00050EC9"/>
    <w:rsid w:val="00051559"/>
    <w:rsid w:val="0005162C"/>
    <w:rsid w:val="0005182F"/>
    <w:rsid w:val="00052038"/>
    <w:rsid w:val="00052703"/>
    <w:rsid w:val="000529D3"/>
    <w:rsid w:val="000532F3"/>
    <w:rsid w:val="00054293"/>
    <w:rsid w:val="00054A1A"/>
    <w:rsid w:val="00054FEE"/>
    <w:rsid w:val="0005528B"/>
    <w:rsid w:val="00055863"/>
    <w:rsid w:val="00055CBB"/>
    <w:rsid w:val="00057293"/>
    <w:rsid w:val="0005746C"/>
    <w:rsid w:val="000578A4"/>
    <w:rsid w:val="000579D2"/>
    <w:rsid w:val="0006147E"/>
    <w:rsid w:val="000618E7"/>
    <w:rsid w:val="0006321F"/>
    <w:rsid w:val="000637C9"/>
    <w:rsid w:val="00063B95"/>
    <w:rsid w:val="0006464B"/>
    <w:rsid w:val="00065BD1"/>
    <w:rsid w:val="00066206"/>
    <w:rsid w:val="00067431"/>
    <w:rsid w:val="00070144"/>
    <w:rsid w:val="00070478"/>
    <w:rsid w:val="000705CB"/>
    <w:rsid w:val="00071060"/>
    <w:rsid w:val="000714CF"/>
    <w:rsid w:val="000725B0"/>
    <w:rsid w:val="00072689"/>
    <w:rsid w:val="00073DDC"/>
    <w:rsid w:val="00073F5C"/>
    <w:rsid w:val="00074F63"/>
    <w:rsid w:val="00075350"/>
    <w:rsid w:val="0007599D"/>
    <w:rsid w:val="0007611A"/>
    <w:rsid w:val="00076350"/>
    <w:rsid w:val="0007662A"/>
    <w:rsid w:val="00076B15"/>
    <w:rsid w:val="00076DE6"/>
    <w:rsid w:val="00076F77"/>
    <w:rsid w:val="00077A57"/>
    <w:rsid w:val="00077C7B"/>
    <w:rsid w:val="0008053F"/>
    <w:rsid w:val="00080746"/>
    <w:rsid w:val="00081D04"/>
    <w:rsid w:val="00082E80"/>
    <w:rsid w:val="000831B6"/>
    <w:rsid w:val="00083AD8"/>
    <w:rsid w:val="000840FE"/>
    <w:rsid w:val="00084203"/>
    <w:rsid w:val="0008457C"/>
    <w:rsid w:val="000854FF"/>
    <w:rsid w:val="00085CA9"/>
    <w:rsid w:val="00085EA4"/>
    <w:rsid w:val="00085ED5"/>
    <w:rsid w:val="000865AD"/>
    <w:rsid w:val="000866E5"/>
    <w:rsid w:val="00086739"/>
    <w:rsid w:val="000871FF"/>
    <w:rsid w:val="00087D76"/>
    <w:rsid w:val="00090087"/>
    <w:rsid w:val="00090881"/>
    <w:rsid w:val="0009095D"/>
    <w:rsid w:val="00091853"/>
    <w:rsid w:val="00091EAA"/>
    <w:rsid w:val="00092FE6"/>
    <w:rsid w:val="0009372C"/>
    <w:rsid w:val="00093B22"/>
    <w:rsid w:val="000946D3"/>
    <w:rsid w:val="00094B61"/>
    <w:rsid w:val="000950BD"/>
    <w:rsid w:val="000961BE"/>
    <w:rsid w:val="00096E20"/>
    <w:rsid w:val="000970C2"/>
    <w:rsid w:val="0009728B"/>
    <w:rsid w:val="00097963"/>
    <w:rsid w:val="000979AA"/>
    <w:rsid w:val="000A007E"/>
    <w:rsid w:val="000A0242"/>
    <w:rsid w:val="000A0C8A"/>
    <w:rsid w:val="000A1409"/>
    <w:rsid w:val="000A2B67"/>
    <w:rsid w:val="000A3108"/>
    <w:rsid w:val="000A3288"/>
    <w:rsid w:val="000A35E1"/>
    <w:rsid w:val="000A42C3"/>
    <w:rsid w:val="000A44DF"/>
    <w:rsid w:val="000A4679"/>
    <w:rsid w:val="000A4A1F"/>
    <w:rsid w:val="000A4DFA"/>
    <w:rsid w:val="000A5A58"/>
    <w:rsid w:val="000A6089"/>
    <w:rsid w:val="000A6F0C"/>
    <w:rsid w:val="000A7AA1"/>
    <w:rsid w:val="000B020B"/>
    <w:rsid w:val="000B0B57"/>
    <w:rsid w:val="000B1405"/>
    <w:rsid w:val="000B159B"/>
    <w:rsid w:val="000B1CAC"/>
    <w:rsid w:val="000B2535"/>
    <w:rsid w:val="000B316D"/>
    <w:rsid w:val="000B4F82"/>
    <w:rsid w:val="000B5205"/>
    <w:rsid w:val="000B5C09"/>
    <w:rsid w:val="000B6744"/>
    <w:rsid w:val="000B73EF"/>
    <w:rsid w:val="000C052C"/>
    <w:rsid w:val="000C0772"/>
    <w:rsid w:val="000C0FE9"/>
    <w:rsid w:val="000C12D8"/>
    <w:rsid w:val="000C18D2"/>
    <w:rsid w:val="000C1CB8"/>
    <w:rsid w:val="000C2081"/>
    <w:rsid w:val="000C27B5"/>
    <w:rsid w:val="000C2F4D"/>
    <w:rsid w:val="000C4A8A"/>
    <w:rsid w:val="000C4B41"/>
    <w:rsid w:val="000C4DDB"/>
    <w:rsid w:val="000C4E1C"/>
    <w:rsid w:val="000C60D3"/>
    <w:rsid w:val="000C6693"/>
    <w:rsid w:val="000C7130"/>
    <w:rsid w:val="000C7172"/>
    <w:rsid w:val="000C7AFF"/>
    <w:rsid w:val="000C7CD2"/>
    <w:rsid w:val="000D0BCE"/>
    <w:rsid w:val="000D22E0"/>
    <w:rsid w:val="000D256F"/>
    <w:rsid w:val="000D2749"/>
    <w:rsid w:val="000D283D"/>
    <w:rsid w:val="000D2BDA"/>
    <w:rsid w:val="000D318F"/>
    <w:rsid w:val="000D3CC0"/>
    <w:rsid w:val="000D4C2C"/>
    <w:rsid w:val="000D57A0"/>
    <w:rsid w:val="000D58ED"/>
    <w:rsid w:val="000D5E0B"/>
    <w:rsid w:val="000D5E12"/>
    <w:rsid w:val="000D5E2B"/>
    <w:rsid w:val="000D66D2"/>
    <w:rsid w:val="000D6853"/>
    <w:rsid w:val="000D6927"/>
    <w:rsid w:val="000D6973"/>
    <w:rsid w:val="000D79C0"/>
    <w:rsid w:val="000D7DBA"/>
    <w:rsid w:val="000E1128"/>
    <w:rsid w:val="000E1D8D"/>
    <w:rsid w:val="000E209A"/>
    <w:rsid w:val="000E2411"/>
    <w:rsid w:val="000E2E20"/>
    <w:rsid w:val="000E324C"/>
    <w:rsid w:val="000E3760"/>
    <w:rsid w:val="000E5037"/>
    <w:rsid w:val="000E6206"/>
    <w:rsid w:val="000E7728"/>
    <w:rsid w:val="000F152B"/>
    <w:rsid w:val="000F175A"/>
    <w:rsid w:val="000F208F"/>
    <w:rsid w:val="000F2BBD"/>
    <w:rsid w:val="000F312B"/>
    <w:rsid w:val="000F3257"/>
    <w:rsid w:val="000F3A3D"/>
    <w:rsid w:val="000F3AD2"/>
    <w:rsid w:val="000F3DB3"/>
    <w:rsid w:val="000F3E77"/>
    <w:rsid w:val="000F45EF"/>
    <w:rsid w:val="000F6D34"/>
    <w:rsid w:val="000F6EA7"/>
    <w:rsid w:val="00100AE1"/>
    <w:rsid w:val="00101161"/>
    <w:rsid w:val="00101786"/>
    <w:rsid w:val="00101FB9"/>
    <w:rsid w:val="00103052"/>
    <w:rsid w:val="001030F8"/>
    <w:rsid w:val="00103DAC"/>
    <w:rsid w:val="00103FEC"/>
    <w:rsid w:val="00105189"/>
    <w:rsid w:val="0010585B"/>
    <w:rsid w:val="00105936"/>
    <w:rsid w:val="00105A93"/>
    <w:rsid w:val="00107D17"/>
    <w:rsid w:val="0011009B"/>
    <w:rsid w:val="00110200"/>
    <w:rsid w:val="00110991"/>
    <w:rsid w:val="00110A46"/>
    <w:rsid w:val="00110C46"/>
    <w:rsid w:val="001119FE"/>
    <w:rsid w:val="00112818"/>
    <w:rsid w:val="00112C7A"/>
    <w:rsid w:val="0011358F"/>
    <w:rsid w:val="0011394D"/>
    <w:rsid w:val="0011397F"/>
    <w:rsid w:val="00113C42"/>
    <w:rsid w:val="00114340"/>
    <w:rsid w:val="00114A07"/>
    <w:rsid w:val="001153E4"/>
    <w:rsid w:val="0011540C"/>
    <w:rsid w:val="00115446"/>
    <w:rsid w:val="001154CA"/>
    <w:rsid w:val="00115B3B"/>
    <w:rsid w:val="00115E48"/>
    <w:rsid w:val="00115FB3"/>
    <w:rsid w:val="001164DA"/>
    <w:rsid w:val="00116DF3"/>
    <w:rsid w:val="001172F1"/>
    <w:rsid w:val="00117407"/>
    <w:rsid w:val="0011776F"/>
    <w:rsid w:val="00117797"/>
    <w:rsid w:val="00117CA5"/>
    <w:rsid w:val="00117F8D"/>
    <w:rsid w:val="0012120E"/>
    <w:rsid w:val="00121341"/>
    <w:rsid w:val="00122DFF"/>
    <w:rsid w:val="00122F9A"/>
    <w:rsid w:val="0012301B"/>
    <w:rsid w:val="00123828"/>
    <w:rsid w:val="00123B98"/>
    <w:rsid w:val="0012419E"/>
    <w:rsid w:val="001245A2"/>
    <w:rsid w:val="00124A50"/>
    <w:rsid w:val="00124F83"/>
    <w:rsid w:val="001255C5"/>
    <w:rsid w:val="00125708"/>
    <w:rsid w:val="00125C1D"/>
    <w:rsid w:val="00126230"/>
    <w:rsid w:val="001265CD"/>
    <w:rsid w:val="001267FC"/>
    <w:rsid w:val="001268E1"/>
    <w:rsid w:val="0012692A"/>
    <w:rsid w:val="00126C90"/>
    <w:rsid w:val="00130973"/>
    <w:rsid w:val="00130A54"/>
    <w:rsid w:val="00130F78"/>
    <w:rsid w:val="001310E9"/>
    <w:rsid w:val="00131CEF"/>
    <w:rsid w:val="00132544"/>
    <w:rsid w:val="001326E9"/>
    <w:rsid w:val="001327AB"/>
    <w:rsid w:val="00132A20"/>
    <w:rsid w:val="00132FCD"/>
    <w:rsid w:val="00133261"/>
    <w:rsid w:val="001339AE"/>
    <w:rsid w:val="0013416C"/>
    <w:rsid w:val="001345BB"/>
    <w:rsid w:val="00134914"/>
    <w:rsid w:val="00134DFB"/>
    <w:rsid w:val="00134E13"/>
    <w:rsid w:val="001350C9"/>
    <w:rsid w:val="0013619C"/>
    <w:rsid w:val="00136269"/>
    <w:rsid w:val="00136868"/>
    <w:rsid w:val="00136C6E"/>
    <w:rsid w:val="00136C98"/>
    <w:rsid w:val="001370A0"/>
    <w:rsid w:val="00137370"/>
    <w:rsid w:val="00137489"/>
    <w:rsid w:val="00137580"/>
    <w:rsid w:val="001377C5"/>
    <w:rsid w:val="0013782A"/>
    <w:rsid w:val="00137918"/>
    <w:rsid w:val="00140144"/>
    <w:rsid w:val="00140714"/>
    <w:rsid w:val="001408B8"/>
    <w:rsid w:val="0014197D"/>
    <w:rsid w:val="00141DFE"/>
    <w:rsid w:val="00143B0F"/>
    <w:rsid w:val="00143D5C"/>
    <w:rsid w:val="0014442E"/>
    <w:rsid w:val="001445CD"/>
    <w:rsid w:val="001447A2"/>
    <w:rsid w:val="001448BA"/>
    <w:rsid w:val="00145595"/>
    <w:rsid w:val="0014607F"/>
    <w:rsid w:val="00146130"/>
    <w:rsid w:val="0014657A"/>
    <w:rsid w:val="00146AB2"/>
    <w:rsid w:val="00147161"/>
    <w:rsid w:val="001476FD"/>
    <w:rsid w:val="001477AA"/>
    <w:rsid w:val="001477FE"/>
    <w:rsid w:val="00147D09"/>
    <w:rsid w:val="00147DB1"/>
    <w:rsid w:val="001510FA"/>
    <w:rsid w:val="00151897"/>
    <w:rsid w:val="00151F2F"/>
    <w:rsid w:val="001523F1"/>
    <w:rsid w:val="00152700"/>
    <w:rsid w:val="00153A6E"/>
    <w:rsid w:val="00153A7B"/>
    <w:rsid w:val="00153CD8"/>
    <w:rsid w:val="00153CF1"/>
    <w:rsid w:val="00153EFE"/>
    <w:rsid w:val="00154770"/>
    <w:rsid w:val="001559DE"/>
    <w:rsid w:val="001569B6"/>
    <w:rsid w:val="001576E3"/>
    <w:rsid w:val="00160F6C"/>
    <w:rsid w:val="00161A14"/>
    <w:rsid w:val="00162009"/>
    <w:rsid w:val="001624F6"/>
    <w:rsid w:val="00162686"/>
    <w:rsid w:val="00162DAD"/>
    <w:rsid w:val="001633B9"/>
    <w:rsid w:val="00163732"/>
    <w:rsid w:val="00164343"/>
    <w:rsid w:val="0016460F"/>
    <w:rsid w:val="00164732"/>
    <w:rsid w:val="00164B5D"/>
    <w:rsid w:val="00164CEB"/>
    <w:rsid w:val="001656E1"/>
    <w:rsid w:val="00165B3D"/>
    <w:rsid w:val="00165C2D"/>
    <w:rsid w:val="001662F3"/>
    <w:rsid w:val="001669B9"/>
    <w:rsid w:val="00166A0E"/>
    <w:rsid w:val="001706FB"/>
    <w:rsid w:val="00171022"/>
    <w:rsid w:val="001714DD"/>
    <w:rsid w:val="00171EA4"/>
    <w:rsid w:val="001722D1"/>
    <w:rsid w:val="00172ACD"/>
    <w:rsid w:val="00172D9C"/>
    <w:rsid w:val="00172FCC"/>
    <w:rsid w:val="001737AD"/>
    <w:rsid w:val="0017396D"/>
    <w:rsid w:val="001748C2"/>
    <w:rsid w:val="00174B19"/>
    <w:rsid w:val="0017577F"/>
    <w:rsid w:val="001757E8"/>
    <w:rsid w:val="001758A0"/>
    <w:rsid w:val="0017623D"/>
    <w:rsid w:val="00176D67"/>
    <w:rsid w:val="00177082"/>
    <w:rsid w:val="0017754E"/>
    <w:rsid w:val="0018083E"/>
    <w:rsid w:val="00180CC6"/>
    <w:rsid w:val="00181002"/>
    <w:rsid w:val="00182D91"/>
    <w:rsid w:val="0018306F"/>
    <w:rsid w:val="0018364D"/>
    <w:rsid w:val="00184CCF"/>
    <w:rsid w:val="0018577C"/>
    <w:rsid w:val="00187264"/>
    <w:rsid w:val="00187738"/>
    <w:rsid w:val="00187776"/>
    <w:rsid w:val="001900FF"/>
    <w:rsid w:val="00190450"/>
    <w:rsid w:val="00190A4A"/>
    <w:rsid w:val="00191096"/>
    <w:rsid w:val="001915AD"/>
    <w:rsid w:val="001926B5"/>
    <w:rsid w:val="001937D3"/>
    <w:rsid w:val="00193A0C"/>
    <w:rsid w:val="001950B4"/>
    <w:rsid w:val="0019637B"/>
    <w:rsid w:val="00196683"/>
    <w:rsid w:val="00196943"/>
    <w:rsid w:val="00197432"/>
    <w:rsid w:val="0019787F"/>
    <w:rsid w:val="00197BB8"/>
    <w:rsid w:val="00197BFF"/>
    <w:rsid w:val="001A02B1"/>
    <w:rsid w:val="001A098F"/>
    <w:rsid w:val="001A1322"/>
    <w:rsid w:val="001A1362"/>
    <w:rsid w:val="001A1B88"/>
    <w:rsid w:val="001A37C2"/>
    <w:rsid w:val="001A431E"/>
    <w:rsid w:val="001A5372"/>
    <w:rsid w:val="001A542E"/>
    <w:rsid w:val="001A5C76"/>
    <w:rsid w:val="001A6533"/>
    <w:rsid w:val="001A6C8B"/>
    <w:rsid w:val="001A6F51"/>
    <w:rsid w:val="001A6FB4"/>
    <w:rsid w:val="001A7880"/>
    <w:rsid w:val="001A7B2A"/>
    <w:rsid w:val="001B0197"/>
    <w:rsid w:val="001B0345"/>
    <w:rsid w:val="001B0481"/>
    <w:rsid w:val="001B17D3"/>
    <w:rsid w:val="001B1C19"/>
    <w:rsid w:val="001B3C66"/>
    <w:rsid w:val="001B3C90"/>
    <w:rsid w:val="001B3EC8"/>
    <w:rsid w:val="001B4237"/>
    <w:rsid w:val="001B5C1C"/>
    <w:rsid w:val="001B611B"/>
    <w:rsid w:val="001B645B"/>
    <w:rsid w:val="001B677D"/>
    <w:rsid w:val="001B70E4"/>
    <w:rsid w:val="001B741B"/>
    <w:rsid w:val="001B7AAF"/>
    <w:rsid w:val="001C102A"/>
    <w:rsid w:val="001C3885"/>
    <w:rsid w:val="001C38D5"/>
    <w:rsid w:val="001C3CBB"/>
    <w:rsid w:val="001C3ED3"/>
    <w:rsid w:val="001C51C8"/>
    <w:rsid w:val="001C56B0"/>
    <w:rsid w:val="001C5A65"/>
    <w:rsid w:val="001C5C30"/>
    <w:rsid w:val="001C6615"/>
    <w:rsid w:val="001C69AB"/>
    <w:rsid w:val="001D0248"/>
    <w:rsid w:val="001D07A1"/>
    <w:rsid w:val="001D08BF"/>
    <w:rsid w:val="001D0A80"/>
    <w:rsid w:val="001D114D"/>
    <w:rsid w:val="001D1825"/>
    <w:rsid w:val="001D1BF0"/>
    <w:rsid w:val="001D31C1"/>
    <w:rsid w:val="001D350E"/>
    <w:rsid w:val="001D384C"/>
    <w:rsid w:val="001D3D28"/>
    <w:rsid w:val="001D3F95"/>
    <w:rsid w:val="001D5021"/>
    <w:rsid w:val="001D699E"/>
    <w:rsid w:val="001D6C76"/>
    <w:rsid w:val="001D6EE9"/>
    <w:rsid w:val="001D7E00"/>
    <w:rsid w:val="001E08D6"/>
    <w:rsid w:val="001E0B45"/>
    <w:rsid w:val="001E0C8C"/>
    <w:rsid w:val="001E0DD3"/>
    <w:rsid w:val="001E17B2"/>
    <w:rsid w:val="001E21CE"/>
    <w:rsid w:val="001E4AC9"/>
    <w:rsid w:val="001E4FF8"/>
    <w:rsid w:val="001E67B5"/>
    <w:rsid w:val="001E78EC"/>
    <w:rsid w:val="001E795F"/>
    <w:rsid w:val="001E7F30"/>
    <w:rsid w:val="001F037A"/>
    <w:rsid w:val="001F1490"/>
    <w:rsid w:val="001F208F"/>
    <w:rsid w:val="001F20C4"/>
    <w:rsid w:val="001F30C1"/>
    <w:rsid w:val="001F40CC"/>
    <w:rsid w:val="001F44A1"/>
    <w:rsid w:val="001F4825"/>
    <w:rsid w:val="001F493E"/>
    <w:rsid w:val="001F52FC"/>
    <w:rsid w:val="001F695F"/>
    <w:rsid w:val="001F6D11"/>
    <w:rsid w:val="001F7FD7"/>
    <w:rsid w:val="00200246"/>
    <w:rsid w:val="00201392"/>
    <w:rsid w:val="00201F69"/>
    <w:rsid w:val="00202792"/>
    <w:rsid w:val="002028EF"/>
    <w:rsid w:val="00202F86"/>
    <w:rsid w:val="00205886"/>
    <w:rsid w:val="0020614A"/>
    <w:rsid w:val="0020630C"/>
    <w:rsid w:val="00206370"/>
    <w:rsid w:val="002072FE"/>
    <w:rsid w:val="002103BF"/>
    <w:rsid w:val="00211686"/>
    <w:rsid w:val="00211D9D"/>
    <w:rsid w:val="00212302"/>
    <w:rsid w:val="0021238C"/>
    <w:rsid w:val="00212EF0"/>
    <w:rsid w:val="00214A5F"/>
    <w:rsid w:val="00214C86"/>
    <w:rsid w:val="002151E8"/>
    <w:rsid w:val="002165E0"/>
    <w:rsid w:val="002167CB"/>
    <w:rsid w:val="002168D6"/>
    <w:rsid w:val="0021690C"/>
    <w:rsid w:val="00217074"/>
    <w:rsid w:val="002178B5"/>
    <w:rsid w:val="00217C2F"/>
    <w:rsid w:val="00220650"/>
    <w:rsid w:val="0022098B"/>
    <w:rsid w:val="002217C6"/>
    <w:rsid w:val="00221D45"/>
    <w:rsid w:val="00221F34"/>
    <w:rsid w:val="00221F95"/>
    <w:rsid w:val="002220D8"/>
    <w:rsid w:val="0022251C"/>
    <w:rsid w:val="002233D8"/>
    <w:rsid w:val="00223B2F"/>
    <w:rsid w:val="002245FA"/>
    <w:rsid w:val="00225C70"/>
    <w:rsid w:val="00225F7E"/>
    <w:rsid w:val="00226657"/>
    <w:rsid w:val="00226A2C"/>
    <w:rsid w:val="00226B40"/>
    <w:rsid w:val="00226BB9"/>
    <w:rsid w:val="002271F8"/>
    <w:rsid w:val="002272EB"/>
    <w:rsid w:val="002278F0"/>
    <w:rsid w:val="00230331"/>
    <w:rsid w:val="00230377"/>
    <w:rsid w:val="0023096D"/>
    <w:rsid w:val="00230F2D"/>
    <w:rsid w:val="00231A09"/>
    <w:rsid w:val="002320A7"/>
    <w:rsid w:val="00232278"/>
    <w:rsid w:val="00232CD2"/>
    <w:rsid w:val="00233AA7"/>
    <w:rsid w:val="00233B09"/>
    <w:rsid w:val="00233F3B"/>
    <w:rsid w:val="002345E6"/>
    <w:rsid w:val="002347CA"/>
    <w:rsid w:val="00234D67"/>
    <w:rsid w:val="00234EE0"/>
    <w:rsid w:val="002353C1"/>
    <w:rsid w:val="00235CFB"/>
    <w:rsid w:val="0023604B"/>
    <w:rsid w:val="0023649B"/>
    <w:rsid w:val="00236941"/>
    <w:rsid w:val="00236D5E"/>
    <w:rsid w:val="0024035F"/>
    <w:rsid w:val="0024043A"/>
    <w:rsid w:val="00240916"/>
    <w:rsid w:val="00241864"/>
    <w:rsid w:val="00242160"/>
    <w:rsid w:val="00242655"/>
    <w:rsid w:val="00242F9F"/>
    <w:rsid w:val="002433AF"/>
    <w:rsid w:val="002443B4"/>
    <w:rsid w:val="00244612"/>
    <w:rsid w:val="002446D8"/>
    <w:rsid w:val="0024561F"/>
    <w:rsid w:val="00245EBB"/>
    <w:rsid w:val="002476A1"/>
    <w:rsid w:val="00250F73"/>
    <w:rsid w:val="00252860"/>
    <w:rsid w:val="00252A78"/>
    <w:rsid w:val="00253648"/>
    <w:rsid w:val="00253BF4"/>
    <w:rsid w:val="00255118"/>
    <w:rsid w:val="002553F6"/>
    <w:rsid w:val="002558AA"/>
    <w:rsid w:val="00255C8F"/>
    <w:rsid w:val="00256ACD"/>
    <w:rsid w:val="002577A1"/>
    <w:rsid w:val="002606D7"/>
    <w:rsid w:val="00260795"/>
    <w:rsid w:val="002619FD"/>
    <w:rsid w:val="00262B68"/>
    <w:rsid w:val="00263C50"/>
    <w:rsid w:val="00264312"/>
    <w:rsid w:val="002647E5"/>
    <w:rsid w:val="002649CA"/>
    <w:rsid w:val="00264BFC"/>
    <w:rsid w:val="00265088"/>
    <w:rsid w:val="002666F3"/>
    <w:rsid w:val="00266C97"/>
    <w:rsid w:val="00266E66"/>
    <w:rsid w:val="002674F8"/>
    <w:rsid w:val="002704AE"/>
    <w:rsid w:val="00270544"/>
    <w:rsid w:val="00271731"/>
    <w:rsid w:val="00271837"/>
    <w:rsid w:val="00271B3F"/>
    <w:rsid w:val="00272064"/>
    <w:rsid w:val="0027237E"/>
    <w:rsid w:val="0027371D"/>
    <w:rsid w:val="0027385D"/>
    <w:rsid w:val="00273C9E"/>
    <w:rsid w:val="00275C84"/>
    <w:rsid w:val="00275CFD"/>
    <w:rsid w:val="00275E82"/>
    <w:rsid w:val="002765C2"/>
    <w:rsid w:val="0027712F"/>
    <w:rsid w:val="002778BE"/>
    <w:rsid w:val="002779F1"/>
    <w:rsid w:val="00277A78"/>
    <w:rsid w:val="00277D7B"/>
    <w:rsid w:val="00277FF9"/>
    <w:rsid w:val="00280DDB"/>
    <w:rsid w:val="00280F48"/>
    <w:rsid w:val="002814B8"/>
    <w:rsid w:val="00281FAC"/>
    <w:rsid w:val="00282BC6"/>
    <w:rsid w:val="00282FD7"/>
    <w:rsid w:val="002832FE"/>
    <w:rsid w:val="002846CB"/>
    <w:rsid w:val="002854EE"/>
    <w:rsid w:val="00285CAF"/>
    <w:rsid w:val="0029068A"/>
    <w:rsid w:val="002907F0"/>
    <w:rsid w:val="00290E6B"/>
    <w:rsid w:val="00290EAC"/>
    <w:rsid w:val="00291B35"/>
    <w:rsid w:val="002925F9"/>
    <w:rsid w:val="00292614"/>
    <w:rsid w:val="00292889"/>
    <w:rsid w:val="00292896"/>
    <w:rsid w:val="00292C4C"/>
    <w:rsid w:val="00292E6D"/>
    <w:rsid w:val="00292FD8"/>
    <w:rsid w:val="0029374C"/>
    <w:rsid w:val="00293894"/>
    <w:rsid w:val="00293C73"/>
    <w:rsid w:val="00293F74"/>
    <w:rsid w:val="00294663"/>
    <w:rsid w:val="00294E3B"/>
    <w:rsid w:val="00295208"/>
    <w:rsid w:val="00295462"/>
    <w:rsid w:val="00295946"/>
    <w:rsid w:val="00295CBA"/>
    <w:rsid w:val="00296083"/>
    <w:rsid w:val="0029635E"/>
    <w:rsid w:val="00297072"/>
    <w:rsid w:val="00297347"/>
    <w:rsid w:val="002A045C"/>
    <w:rsid w:val="002A1149"/>
    <w:rsid w:val="002A124F"/>
    <w:rsid w:val="002A1556"/>
    <w:rsid w:val="002A188E"/>
    <w:rsid w:val="002A1D2E"/>
    <w:rsid w:val="002A31C3"/>
    <w:rsid w:val="002A321A"/>
    <w:rsid w:val="002A3955"/>
    <w:rsid w:val="002A3ACF"/>
    <w:rsid w:val="002A3F27"/>
    <w:rsid w:val="002A474D"/>
    <w:rsid w:val="002A4993"/>
    <w:rsid w:val="002A4D6D"/>
    <w:rsid w:val="002A4E42"/>
    <w:rsid w:val="002A4FC1"/>
    <w:rsid w:val="002A5D7D"/>
    <w:rsid w:val="002A60CF"/>
    <w:rsid w:val="002A61F1"/>
    <w:rsid w:val="002A6496"/>
    <w:rsid w:val="002A6AF0"/>
    <w:rsid w:val="002A7117"/>
    <w:rsid w:val="002A744D"/>
    <w:rsid w:val="002B04A8"/>
    <w:rsid w:val="002B09E4"/>
    <w:rsid w:val="002B0A41"/>
    <w:rsid w:val="002B0B7C"/>
    <w:rsid w:val="002B11A9"/>
    <w:rsid w:val="002B21B0"/>
    <w:rsid w:val="002B21E8"/>
    <w:rsid w:val="002B2BA6"/>
    <w:rsid w:val="002B2DD8"/>
    <w:rsid w:val="002B3797"/>
    <w:rsid w:val="002B4189"/>
    <w:rsid w:val="002B477B"/>
    <w:rsid w:val="002B5626"/>
    <w:rsid w:val="002B5EC3"/>
    <w:rsid w:val="002B60C3"/>
    <w:rsid w:val="002B62A2"/>
    <w:rsid w:val="002B656B"/>
    <w:rsid w:val="002B7DA9"/>
    <w:rsid w:val="002C04A9"/>
    <w:rsid w:val="002C0A32"/>
    <w:rsid w:val="002C0B48"/>
    <w:rsid w:val="002C1936"/>
    <w:rsid w:val="002C1BEF"/>
    <w:rsid w:val="002C2F1F"/>
    <w:rsid w:val="002C352E"/>
    <w:rsid w:val="002C38AE"/>
    <w:rsid w:val="002C3D41"/>
    <w:rsid w:val="002C44AA"/>
    <w:rsid w:val="002C46DD"/>
    <w:rsid w:val="002C564B"/>
    <w:rsid w:val="002C5DC4"/>
    <w:rsid w:val="002C61F3"/>
    <w:rsid w:val="002C62CC"/>
    <w:rsid w:val="002C69A6"/>
    <w:rsid w:val="002C728B"/>
    <w:rsid w:val="002C75E2"/>
    <w:rsid w:val="002C764E"/>
    <w:rsid w:val="002C79F3"/>
    <w:rsid w:val="002C7A56"/>
    <w:rsid w:val="002D0453"/>
    <w:rsid w:val="002D097C"/>
    <w:rsid w:val="002D0C19"/>
    <w:rsid w:val="002D0C84"/>
    <w:rsid w:val="002D0F4A"/>
    <w:rsid w:val="002D10F2"/>
    <w:rsid w:val="002D1613"/>
    <w:rsid w:val="002D18E4"/>
    <w:rsid w:val="002D1FDD"/>
    <w:rsid w:val="002D204D"/>
    <w:rsid w:val="002D2BC7"/>
    <w:rsid w:val="002D3A5A"/>
    <w:rsid w:val="002D3F38"/>
    <w:rsid w:val="002D4023"/>
    <w:rsid w:val="002D42CC"/>
    <w:rsid w:val="002D5252"/>
    <w:rsid w:val="002D548A"/>
    <w:rsid w:val="002D7462"/>
    <w:rsid w:val="002D7AD9"/>
    <w:rsid w:val="002D7F16"/>
    <w:rsid w:val="002E0449"/>
    <w:rsid w:val="002E0A19"/>
    <w:rsid w:val="002E2C26"/>
    <w:rsid w:val="002E2D92"/>
    <w:rsid w:val="002E31CF"/>
    <w:rsid w:val="002E4073"/>
    <w:rsid w:val="002E473E"/>
    <w:rsid w:val="002E53A9"/>
    <w:rsid w:val="002E5771"/>
    <w:rsid w:val="002E6133"/>
    <w:rsid w:val="002E658B"/>
    <w:rsid w:val="002E7437"/>
    <w:rsid w:val="002E791E"/>
    <w:rsid w:val="002E799F"/>
    <w:rsid w:val="002E7A47"/>
    <w:rsid w:val="002F024F"/>
    <w:rsid w:val="002F0702"/>
    <w:rsid w:val="002F170C"/>
    <w:rsid w:val="002F1EAB"/>
    <w:rsid w:val="002F21B2"/>
    <w:rsid w:val="002F236A"/>
    <w:rsid w:val="002F2640"/>
    <w:rsid w:val="002F2A76"/>
    <w:rsid w:val="002F398B"/>
    <w:rsid w:val="002F3B73"/>
    <w:rsid w:val="002F47B8"/>
    <w:rsid w:val="002F4B47"/>
    <w:rsid w:val="002F546F"/>
    <w:rsid w:val="002F5C63"/>
    <w:rsid w:val="002F66FC"/>
    <w:rsid w:val="00300031"/>
    <w:rsid w:val="00300727"/>
    <w:rsid w:val="00300A08"/>
    <w:rsid w:val="00300A4A"/>
    <w:rsid w:val="00301498"/>
    <w:rsid w:val="00301778"/>
    <w:rsid w:val="00301D7B"/>
    <w:rsid w:val="00301DE0"/>
    <w:rsid w:val="003020CF"/>
    <w:rsid w:val="00302498"/>
    <w:rsid w:val="003024BE"/>
    <w:rsid w:val="00302570"/>
    <w:rsid w:val="00302970"/>
    <w:rsid w:val="00302CD9"/>
    <w:rsid w:val="0030362D"/>
    <w:rsid w:val="003039A1"/>
    <w:rsid w:val="003043FF"/>
    <w:rsid w:val="00304CF4"/>
    <w:rsid w:val="00304FD4"/>
    <w:rsid w:val="003057F9"/>
    <w:rsid w:val="00305ACB"/>
    <w:rsid w:val="00305B19"/>
    <w:rsid w:val="00305F23"/>
    <w:rsid w:val="003074C4"/>
    <w:rsid w:val="00307DD0"/>
    <w:rsid w:val="0031004E"/>
    <w:rsid w:val="0031054D"/>
    <w:rsid w:val="003110B6"/>
    <w:rsid w:val="00311AA0"/>
    <w:rsid w:val="00311B0E"/>
    <w:rsid w:val="00311F98"/>
    <w:rsid w:val="0031202F"/>
    <w:rsid w:val="00312701"/>
    <w:rsid w:val="00312A39"/>
    <w:rsid w:val="00312ABF"/>
    <w:rsid w:val="003134CF"/>
    <w:rsid w:val="003140D7"/>
    <w:rsid w:val="00314456"/>
    <w:rsid w:val="00315424"/>
    <w:rsid w:val="003158FD"/>
    <w:rsid w:val="00315C50"/>
    <w:rsid w:val="00315FB0"/>
    <w:rsid w:val="00316194"/>
    <w:rsid w:val="003166E7"/>
    <w:rsid w:val="00317933"/>
    <w:rsid w:val="00317B3B"/>
    <w:rsid w:val="00317C2E"/>
    <w:rsid w:val="00320B23"/>
    <w:rsid w:val="00321533"/>
    <w:rsid w:val="003221E0"/>
    <w:rsid w:val="00322618"/>
    <w:rsid w:val="00322726"/>
    <w:rsid w:val="0032278F"/>
    <w:rsid w:val="00323441"/>
    <w:rsid w:val="003237CA"/>
    <w:rsid w:val="00323B02"/>
    <w:rsid w:val="00323F23"/>
    <w:rsid w:val="00324781"/>
    <w:rsid w:val="00325FB8"/>
    <w:rsid w:val="0032678A"/>
    <w:rsid w:val="00326F62"/>
    <w:rsid w:val="00330AED"/>
    <w:rsid w:val="00330B48"/>
    <w:rsid w:val="00330BDF"/>
    <w:rsid w:val="00330C74"/>
    <w:rsid w:val="00331271"/>
    <w:rsid w:val="003313FF"/>
    <w:rsid w:val="003316CE"/>
    <w:rsid w:val="003316D2"/>
    <w:rsid w:val="00331ACF"/>
    <w:rsid w:val="00332D13"/>
    <w:rsid w:val="003335B8"/>
    <w:rsid w:val="00333643"/>
    <w:rsid w:val="00333F19"/>
    <w:rsid w:val="00334215"/>
    <w:rsid w:val="003344E7"/>
    <w:rsid w:val="00336052"/>
    <w:rsid w:val="003360D9"/>
    <w:rsid w:val="003363CC"/>
    <w:rsid w:val="00336D21"/>
    <w:rsid w:val="003375A2"/>
    <w:rsid w:val="00337726"/>
    <w:rsid w:val="00337FD0"/>
    <w:rsid w:val="003412BD"/>
    <w:rsid w:val="00341674"/>
    <w:rsid w:val="003419F1"/>
    <w:rsid w:val="00341B6B"/>
    <w:rsid w:val="00343349"/>
    <w:rsid w:val="0034367F"/>
    <w:rsid w:val="00343E5E"/>
    <w:rsid w:val="00344D82"/>
    <w:rsid w:val="0034547F"/>
    <w:rsid w:val="00345488"/>
    <w:rsid w:val="00345498"/>
    <w:rsid w:val="003455D0"/>
    <w:rsid w:val="00345AED"/>
    <w:rsid w:val="00347186"/>
    <w:rsid w:val="0035049F"/>
    <w:rsid w:val="00350A53"/>
    <w:rsid w:val="00350C3D"/>
    <w:rsid w:val="00352DBC"/>
    <w:rsid w:val="003538AC"/>
    <w:rsid w:val="003540C3"/>
    <w:rsid w:val="003548CF"/>
    <w:rsid w:val="003557A5"/>
    <w:rsid w:val="00355E61"/>
    <w:rsid w:val="00355E80"/>
    <w:rsid w:val="00356153"/>
    <w:rsid w:val="00356240"/>
    <w:rsid w:val="00356996"/>
    <w:rsid w:val="00356FE3"/>
    <w:rsid w:val="0035758B"/>
    <w:rsid w:val="0036049B"/>
    <w:rsid w:val="00360626"/>
    <w:rsid w:val="003608DB"/>
    <w:rsid w:val="00360EEC"/>
    <w:rsid w:val="00361F84"/>
    <w:rsid w:val="003621E2"/>
    <w:rsid w:val="00362948"/>
    <w:rsid w:val="003635C0"/>
    <w:rsid w:val="00364A08"/>
    <w:rsid w:val="00364B18"/>
    <w:rsid w:val="0036501D"/>
    <w:rsid w:val="003705AD"/>
    <w:rsid w:val="003705DE"/>
    <w:rsid w:val="0037116F"/>
    <w:rsid w:val="00372CE9"/>
    <w:rsid w:val="0037304C"/>
    <w:rsid w:val="003738E4"/>
    <w:rsid w:val="003739A4"/>
    <w:rsid w:val="00374369"/>
    <w:rsid w:val="00374CCE"/>
    <w:rsid w:val="0037581E"/>
    <w:rsid w:val="00375D58"/>
    <w:rsid w:val="003763EC"/>
    <w:rsid w:val="0037681F"/>
    <w:rsid w:val="00376AEB"/>
    <w:rsid w:val="003778EC"/>
    <w:rsid w:val="00377A05"/>
    <w:rsid w:val="0038021D"/>
    <w:rsid w:val="00380257"/>
    <w:rsid w:val="00380532"/>
    <w:rsid w:val="00382232"/>
    <w:rsid w:val="00382A38"/>
    <w:rsid w:val="00382D98"/>
    <w:rsid w:val="003836D9"/>
    <w:rsid w:val="0038389C"/>
    <w:rsid w:val="003838EE"/>
    <w:rsid w:val="003841C1"/>
    <w:rsid w:val="003864B9"/>
    <w:rsid w:val="00387A5A"/>
    <w:rsid w:val="003908C8"/>
    <w:rsid w:val="00390A67"/>
    <w:rsid w:val="00391933"/>
    <w:rsid w:val="00391E57"/>
    <w:rsid w:val="00391FD6"/>
    <w:rsid w:val="00392507"/>
    <w:rsid w:val="00392FC1"/>
    <w:rsid w:val="003934D4"/>
    <w:rsid w:val="00393B75"/>
    <w:rsid w:val="00394C9B"/>
    <w:rsid w:val="00394CDA"/>
    <w:rsid w:val="00394F14"/>
    <w:rsid w:val="00395936"/>
    <w:rsid w:val="00395CBC"/>
    <w:rsid w:val="0039607E"/>
    <w:rsid w:val="0039636F"/>
    <w:rsid w:val="003970CE"/>
    <w:rsid w:val="0039726D"/>
    <w:rsid w:val="00397602"/>
    <w:rsid w:val="00397CFE"/>
    <w:rsid w:val="003A15C0"/>
    <w:rsid w:val="003A28B3"/>
    <w:rsid w:val="003A32E0"/>
    <w:rsid w:val="003A35ED"/>
    <w:rsid w:val="003A3B10"/>
    <w:rsid w:val="003A4C8D"/>
    <w:rsid w:val="003A4DEF"/>
    <w:rsid w:val="003A4E73"/>
    <w:rsid w:val="003A5941"/>
    <w:rsid w:val="003A5F95"/>
    <w:rsid w:val="003A5FA4"/>
    <w:rsid w:val="003A75C1"/>
    <w:rsid w:val="003A7CA8"/>
    <w:rsid w:val="003A7DC4"/>
    <w:rsid w:val="003B0028"/>
    <w:rsid w:val="003B0445"/>
    <w:rsid w:val="003B0673"/>
    <w:rsid w:val="003B0EC7"/>
    <w:rsid w:val="003B1138"/>
    <w:rsid w:val="003B129F"/>
    <w:rsid w:val="003B25CE"/>
    <w:rsid w:val="003B29D5"/>
    <w:rsid w:val="003B3E22"/>
    <w:rsid w:val="003B477C"/>
    <w:rsid w:val="003B55BE"/>
    <w:rsid w:val="003B55FD"/>
    <w:rsid w:val="003B5D32"/>
    <w:rsid w:val="003B7221"/>
    <w:rsid w:val="003B7227"/>
    <w:rsid w:val="003B778A"/>
    <w:rsid w:val="003C094E"/>
    <w:rsid w:val="003C0970"/>
    <w:rsid w:val="003C09C8"/>
    <w:rsid w:val="003C0A41"/>
    <w:rsid w:val="003C10E1"/>
    <w:rsid w:val="003C276D"/>
    <w:rsid w:val="003C3006"/>
    <w:rsid w:val="003C32E3"/>
    <w:rsid w:val="003C331A"/>
    <w:rsid w:val="003C3476"/>
    <w:rsid w:val="003C371F"/>
    <w:rsid w:val="003C3B04"/>
    <w:rsid w:val="003C429C"/>
    <w:rsid w:val="003C42CE"/>
    <w:rsid w:val="003C4B79"/>
    <w:rsid w:val="003C5319"/>
    <w:rsid w:val="003C6888"/>
    <w:rsid w:val="003C6FDD"/>
    <w:rsid w:val="003C730E"/>
    <w:rsid w:val="003D1338"/>
    <w:rsid w:val="003D1AA0"/>
    <w:rsid w:val="003D2363"/>
    <w:rsid w:val="003D2F4C"/>
    <w:rsid w:val="003D31F8"/>
    <w:rsid w:val="003D354C"/>
    <w:rsid w:val="003D384F"/>
    <w:rsid w:val="003D43B3"/>
    <w:rsid w:val="003D43B8"/>
    <w:rsid w:val="003D50C4"/>
    <w:rsid w:val="003D5FDA"/>
    <w:rsid w:val="003D6473"/>
    <w:rsid w:val="003D732F"/>
    <w:rsid w:val="003D7669"/>
    <w:rsid w:val="003D7CD2"/>
    <w:rsid w:val="003E162A"/>
    <w:rsid w:val="003E26DB"/>
    <w:rsid w:val="003E2820"/>
    <w:rsid w:val="003E2823"/>
    <w:rsid w:val="003E2FEA"/>
    <w:rsid w:val="003E3BA7"/>
    <w:rsid w:val="003E3C22"/>
    <w:rsid w:val="003E3D26"/>
    <w:rsid w:val="003E3D28"/>
    <w:rsid w:val="003E3D9F"/>
    <w:rsid w:val="003E3DBD"/>
    <w:rsid w:val="003E3DD3"/>
    <w:rsid w:val="003E43F1"/>
    <w:rsid w:val="003E46AD"/>
    <w:rsid w:val="003E4714"/>
    <w:rsid w:val="003E5FFD"/>
    <w:rsid w:val="003E6FD1"/>
    <w:rsid w:val="003E7020"/>
    <w:rsid w:val="003E7230"/>
    <w:rsid w:val="003E7CE7"/>
    <w:rsid w:val="003F09E5"/>
    <w:rsid w:val="003F0DE6"/>
    <w:rsid w:val="003F12D9"/>
    <w:rsid w:val="003F1470"/>
    <w:rsid w:val="003F2698"/>
    <w:rsid w:val="003F33DA"/>
    <w:rsid w:val="003F3538"/>
    <w:rsid w:val="003F3A05"/>
    <w:rsid w:val="003F3A6A"/>
    <w:rsid w:val="003F4AAD"/>
    <w:rsid w:val="003F5740"/>
    <w:rsid w:val="003F58F8"/>
    <w:rsid w:val="003F5C07"/>
    <w:rsid w:val="003F5E65"/>
    <w:rsid w:val="003F693D"/>
    <w:rsid w:val="003F76E9"/>
    <w:rsid w:val="0040031B"/>
    <w:rsid w:val="004003C6"/>
    <w:rsid w:val="0040046B"/>
    <w:rsid w:val="00400DDD"/>
    <w:rsid w:val="00401259"/>
    <w:rsid w:val="00401E2A"/>
    <w:rsid w:val="004033E9"/>
    <w:rsid w:val="00403AC6"/>
    <w:rsid w:val="00403B24"/>
    <w:rsid w:val="004049D5"/>
    <w:rsid w:val="00405A7C"/>
    <w:rsid w:val="00405DAE"/>
    <w:rsid w:val="00406019"/>
    <w:rsid w:val="004078E9"/>
    <w:rsid w:val="00407937"/>
    <w:rsid w:val="00407F93"/>
    <w:rsid w:val="004106C1"/>
    <w:rsid w:val="0041082F"/>
    <w:rsid w:val="004112AD"/>
    <w:rsid w:val="0041169D"/>
    <w:rsid w:val="0041376B"/>
    <w:rsid w:val="00413BA3"/>
    <w:rsid w:val="00413F0D"/>
    <w:rsid w:val="00414C12"/>
    <w:rsid w:val="00415228"/>
    <w:rsid w:val="004155C0"/>
    <w:rsid w:val="0041566F"/>
    <w:rsid w:val="004157A7"/>
    <w:rsid w:val="004159A2"/>
    <w:rsid w:val="00415AA9"/>
    <w:rsid w:val="00415FCB"/>
    <w:rsid w:val="004172C0"/>
    <w:rsid w:val="00417A4C"/>
    <w:rsid w:val="00417DDE"/>
    <w:rsid w:val="00420082"/>
    <w:rsid w:val="00420538"/>
    <w:rsid w:val="004206F7"/>
    <w:rsid w:val="004207C4"/>
    <w:rsid w:val="004210D0"/>
    <w:rsid w:val="00421655"/>
    <w:rsid w:val="0042179A"/>
    <w:rsid w:val="004217DF"/>
    <w:rsid w:val="0042293E"/>
    <w:rsid w:val="00422EE1"/>
    <w:rsid w:val="00423D00"/>
    <w:rsid w:val="004241BE"/>
    <w:rsid w:val="00424835"/>
    <w:rsid w:val="00424E3A"/>
    <w:rsid w:val="0042519A"/>
    <w:rsid w:val="00425912"/>
    <w:rsid w:val="00425E82"/>
    <w:rsid w:val="00425FBE"/>
    <w:rsid w:val="00426077"/>
    <w:rsid w:val="00426D86"/>
    <w:rsid w:val="00426E61"/>
    <w:rsid w:val="00430031"/>
    <w:rsid w:val="00430868"/>
    <w:rsid w:val="00430BCD"/>
    <w:rsid w:val="00430C2E"/>
    <w:rsid w:val="00431DB2"/>
    <w:rsid w:val="00432E50"/>
    <w:rsid w:val="004337F8"/>
    <w:rsid w:val="00433A6B"/>
    <w:rsid w:val="004341A3"/>
    <w:rsid w:val="004342E0"/>
    <w:rsid w:val="004342E8"/>
    <w:rsid w:val="004344F4"/>
    <w:rsid w:val="004348D8"/>
    <w:rsid w:val="00435E2C"/>
    <w:rsid w:val="00440558"/>
    <w:rsid w:val="00440EAC"/>
    <w:rsid w:val="0044171D"/>
    <w:rsid w:val="0044217E"/>
    <w:rsid w:val="004430C5"/>
    <w:rsid w:val="00443600"/>
    <w:rsid w:val="00443C48"/>
    <w:rsid w:val="00447130"/>
    <w:rsid w:val="004474A4"/>
    <w:rsid w:val="00450E8D"/>
    <w:rsid w:val="0045167F"/>
    <w:rsid w:val="00451AD7"/>
    <w:rsid w:val="00451BC5"/>
    <w:rsid w:val="004520CA"/>
    <w:rsid w:val="00452D44"/>
    <w:rsid w:val="00452D9A"/>
    <w:rsid w:val="00453DC2"/>
    <w:rsid w:val="00454DDC"/>
    <w:rsid w:val="00455206"/>
    <w:rsid w:val="004562BB"/>
    <w:rsid w:val="00456350"/>
    <w:rsid w:val="004573AE"/>
    <w:rsid w:val="0045768A"/>
    <w:rsid w:val="00457DA3"/>
    <w:rsid w:val="004605B5"/>
    <w:rsid w:val="00460E85"/>
    <w:rsid w:val="004613A8"/>
    <w:rsid w:val="00463BE7"/>
    <w:rsid w:val="004641E0"/>
    <w:rsid w:val="004647E1"/>
    <w:rsid w:val="00464800"/>
    <w:rsid w:val="00464BF7"/>
    <w:rsid w:val="00465173"/>
    <w:rsid w:val="0046549F"/>
    <w:rsid w:val="0046591C"/>
    <w:rsid w:val="00465C21"/>
    <w:rsid w:val="004661FC"/>
    <w:rsid w:val="0046677D"/>
    <w:rsid w:val="00467595"/>
    <w:rsid w:val="004675C3"/>
    <w:rsid w:val="004675C8"/>
    <w:rsid w:val="00467872"/>
    <w:rsid w:val="00467EC6"/>
    <w:rsid w:val="004701DD"/>
    <w:rsid w:val="00470CE3"/>
    <w:rsid w:val="00470F8F"/>
    <w:rsid w:val="004715A6"/>
    <w:rsid w:val="004718B1"/>
    <w:rsid w:val="00471E9D"/>
    <w:rsid w:val="004723A1"/>
    <w:rsid w:val="0047274D"/>
    <w:rsid w:val="00473017"/>
    <w:rsid w:val="004737E1"/>
    <w:rsid w:val="00473D76"/>
    <w:rsid w:val="0047441F"/>
    <w:rsid w:val="0047503F"/>
    <w:rsid w:val="0047549A"/>
    <w:rsid w:val="00475CF8"/>
    <w:rsid w:val="00475DBC"/>
    <w:rsid w:val="00476D9B"/>
    <w:rsid w:val="00480387"/>
    <w:rsid w:val="00480452"/>
    <w:rsid w:val="004805B0"/>
    <w:rsid w:val="004809B6"/>
    <w:rsid w:val="00481920"/>
    <w:rsid w:val="00481ABB"/>
    <w:rsid w:val="004821A5"/>
    <w:rsid w:val="004828C1"/>
    <w:rsid w:val="00483464"/>
    <w:rsid w:val="00483846"/>
    <w:rsid w:val="004844CA"/>
    <w:rsid w:val="00484656"/>
    <w:rsid w:val="004848F2"/>
    <w:rsid w:val="00485E93"/>
    <w:rsid w:val="00486BF6"/>
    <w:rsid w:val="004878D5"/>
    <w:rsid w:val="00490499"/>
    <w:rsid w:val="004907C4"/>
    <w:rsid w:val="00490DF6"/>
    <w:rsid w:val="0049311C"/>
    <w:rsid w:val="00493A44"/>
    <w:rsid w:val="004945A2"/>
    <w:rsid w:val="004948CA"/>
    <w:rsid w:val="00495689"/>
    <w:rsid w:val="0049680F"/>
    <w:rsid w:val="0049681B"/>
    <w:rsid w:val="00497A96"/>
    <w:rsid w:val="004A0433"/>
    <w:rsid w:val="004A076A"/>
    <w:rsid w:val="004A1A60"/>
    <w:rsid w:val="004A1A65"/>
    <w:rsid w:val="004A1ACA"/>
    <w:rsid w:val="004A24D4"/>
    <w:rsid w:val="004A2E72"/>
    <w:rsid w:val="004A33C6"/>
    <w:rsid w:val="004A33E7"/>
    <w:rsid w:val="004A36C0"/>
    <w:rsid w:val="004A3A96"/>
    <w:rsid w:val="004A4F50"/>
    <w:rsid w:val="004A572C"/>
    <w:rsid w:val="004A5CAC"/>
    <w:rsid w:val="004A6119"/>
    <w:rsid w:val="004A6F76"/>
    <w:rsid w:val="004A78FC"/>
    <w:rsid w:val="004A7A93"/>
    <w:rsid w:val="004B08EE"/>
    <w:rsid w:val="004B0C53"/>
    <w:rsid w:val="004B0FE9"/>
    <w:rsid w:val="004B1283"/>
    <w:rsid w:val="004B1E0D"/>
    <w:rsid w:val="004B1FA4"/>
    <w:rsid w:val="004B28D4"/>
    <w:rsid w:val="004B2D55"/>
    <w:rsid w:val="004B2F33"/>
    <w:rsid w:val="004B3331"/>
    <w:rsid w:val="004B366C"/>
    <w:rsid w:val="004B3E89"/>
    <w:rsid w:val="004B4777"/>
    <w:rsid w:val="004B501F"/>
    <w:rsid w:val="004B51C9"/>
    <w:rsid w:val="004B5231"/>
    <w:rsid w:val="004B544E"/>
    <w:rsid w:val="004B5DFE"/>
    <w:rsid w:val="004B6557"/>
    <w:rsid w:val="004B687F"/>
    <w:rsid w:val="004B7B23"/>
    <w:rsid w:val="004C036E"/>
    <w:rsid w:val="004C10BE"/>
    <w:rsid w:val="004C1142"/>
    <w:rsid w:val="004C12DB"/>
    <w:rsid w:val="004C1639"/>
    <w:rsid w:val="004C1FC4"/>
    <w:rsid w:val="004C2148"/>
    <w:rsid w:val="004C24D2"/>
    <w:rsid w:val="004C2571"/>
    <w:rsid w:val="004C2E18"/>
    <w:rsid w:val="004C2EB7"/>
    <w:rsid w:val="004C345A"/>
    <w:rsid w:val="004C3987"/>
    <w:rsid w:val="004C4DBE"/>
    <w:rsid w:val="004C670A"/>
    <w:rsid w:val="004C6848"/>
    <w:rsid w:val="004C6A47"/>
    <w:rsid w:val="004C73F8"/>
    <w:rsid w:val="004C7BC5"/>
    <w:rsid w:val="004D00EB"/>
    <w:rsid w:val="004D14A0"/>
    <w:rsid w:val="004D1859"/>
    <w:rsid w:val="004D18C0"/>
    <w:rsid w:val="004D1E94"/>
    <w:rsid w:val="004D21E1"/>
    <w:rsid w:val="004D227D"/>
    <w:rsid w:val="004D24CD"/>
    <w:rsid w:val="004D29F0"/>
    <w:rsid w:val="004D2FAC"/>
    <w:rsid w:val="004D445E"/>
    <w:rsid w:val="004D4968"/>
    <w:rsid w:val="004D4D3F"/>
    <w:rsid w:val="004D5194"/>
    <w:rsid w:val="004D698A"/>
    <w:rsid w:val="004D6A39"/>
    <w:rsid w:val="004D7201"/>
    <w:rsid w:val="004D7278"/>
    <w:rsid w:val="004E0147"/>
    <w:rsid w:val="004E0A37"/>
    <w:rsid w:val="004E1429"/>
    <w:rsid w:val="004E1BDF"/>
    <w:rsid w:val="004E1CA4"/>
    <w:rsid w:val="004E2105"/>
    <w:rsid w:val="004E2CD8"/>
    <w:rsid w:val="004E3781"/>
    <w:rsid w:val="004E3B73"/>
    <w:rsid w:val="004E4B20"/>
    <w:rsid w:val="004E5CE0"/>
    <w:rsid w:val="004E667B"/>
    <w:rsid w:val="004E67A2"/>
    <w:rsid w:val="004E714F"/>
    <w:rsid w:val="004E73A2"/>
    <w:rsid w:val="004E756C"/>
    <w:rsid w:val="004E7858"/>
    <w:rsid w:val="004E7C0E"/>
    <w:rsid w:val="004F2322"/>
    <w:rsid w:val="004F2326"/>
    <w:rsid w:val="004F28BA"/>
    <w:rsid w:val="004F2959"/>
    <w:rsid w:val="004F30A1"/>
    <w:rsid w:val="004F319D"/>
    <w:rsid w:val="004F322D"/>
    <w:rsid w:val="004F3D9C"/>
    <w:rsid w:val="004F485C"/>
    <w:rsid w:val="004F4D9C"/>
    <w:rsid w:val="004F5515"/>
    <w:rsid w:val="004F5ACC"/>
    <w:rsid w:val="004F6659"/>
    <w:rsid w:val="004F7E92"/>
    <w:rsid w:val="005005C2"/>
    <w:rsid w:val="005008F7"/>
    <w:rsid w:val="00500EFD"/>
    <w:rsid w:val="005014F4"/>
    <w:rsid w:val="0050191A"/>
    <w:rsid w:val="00501D5C"/>
    <w:rsid w:val="00502049"/>
    <w:rsid w:val="00502969"/>
    <w:rsid w:val="005033C4"/>
    <w:rsid w:val="00503A5C"/>
    <w:rsid w:val="0050467E"/>
    <w:rsid w:val="00505F98"/>
    <w:rsid w:val="00506887"/>
    <w:rsid w:val="0050786E"/>
    <w:rsid w:val="005105AC"/>
    <w:rsid w:val="00510E76"/>
    <w:rsid w:val="00510ED3"/>
    <w:rsid w:val="00510F29"/>
    <w:rsid w:val="005110F2"/>
    <w:rsid w:val="0051294B"/>
    <w:rsid w:val="005133B7"/>
    <w:rsid w:val="00513723"/>
    <w:rsid w:val="005137B2"/>
    <w:rsid w:val="005140B4"/>
    <w:rsid w:val="0051414C"/>
    <w:rsid w:val="00514322"/>
    <w:rsid w:val="00514CEE"/>
    <w:rsid w:val="0051597E"/>
    <w:rsid w:val="005169D7"/>
    <w:rsid w:val="00516BEC"/>
    <w:rsid w:val="005174A5"/>
    <w:rsid w:val="00517792"/>
    <w:rsid w:val="0052075D"/>
    <w:rsid w:val="005209D8"/>
    <w:rsid w:val="005214FB"/>
    <w:rsid w:val="00521532"/>
    <w:rsid w:val="005221D3"/>
    <w:rsid w:val="00523B9F"/>
    <w:rsid w:val="00523FBE"/>
    <w:rsid w:val="0052466A"/>
    <w:rsid w:val="0052480F"/>
    <w:rsid w:val="0052490B"/>
    <w:rsid w:val="00525218"/>
    <w:rsid w:val="00525315"/>
    <w:rsid w:val="005255CF"/>
    <w:rsid w:val="00526051"/>
    <w:rsid w:val="0052732D"/>
    <w:rsid w:val="00527B1A"/>
    <w:rsid w:val="00527B9D"/>
    <w:rsid w:val="00530419"/>
    <w:rsid w:val="0053091A"/>
    <w:rsid w:val="00531668"/>
    <w:rsid w:val="005323EC"/>
    <w:rsid w:val="005336A4"/>
    <w:rsid w:val="00533B55"/>
    <w:rsid w:val="0053430F"/>
    <w:rsid w:val="00534EC3"/>
    <w:rsid w:val="00535E8A"/>
    <w:rsid w:val="0053649B"/>
    <w:rsid w:val="005367AD"/>
    <w:rsid w:val="005376A4"/>
    <w:rsid w:val="00537996"/>
    <w:rsid w:val="005401F0"/>
    <w:rsid w:val="005414B1"/>
    <w:rsid w:val="00541E9C"/>
    <w:rsid w:val="0054234A"/>
    <w:rsid w:val="0054240B"/>
    <w:rsid w:val="00542D39"/>
    <w:rsid w:val="005435C1"/>
    <w:rsid w:val="0054450E"/>
    <w:rsid w:val="00544942"/>
    <w:rsid w:val="0054507F"/>
    <w:rsid w:val="0054543D"/>
    <w:rsid w:val="005457B1"/>
    <w:rsid w:val="00547086"/>
    <w:rsid w:val="00550713"/>
    <w:rsid w:val="005513EB"/>
    <w:rsid w:val="005530C5"/>
    <w:rsid w:val="00554812"/>
    <w:rsid w:val="00554907"/>
    <w:rsid w:val="00554CF6"/>
    <w:rsid w:val="00554DB2"/>
    <w:rsid w:val="005558D6"/>
    <w:rsid w:val="005562EE"/>
    <w:rsid w:val="00556719"/>
    <w:rsid w:val="00556EA9"/>
    <w:rsid w:val="00560D79"/>
    <w:rsid w:val="00561078"/>
    <w:rsid w:val="00561148"/>
    <w:rsid w:val="00561CE3"/>
    <w:rsid w:val="0056203D"/>
    <w:rsid w:val="0056247D"/>
    <w:rsid w:val="00562595"/>
    <w:rsid w:val="00562F81"/>
    <w:rsid w:val="00563255"/>
    <w:rsid w:val="00563363"/>
    <w:rsid w:val="00564ED9"/>
    <w:rsid w:val="00567A64"/>
    <w:rsid w:val="0057015D"/>
    <w:rsid w:val="00570428"/>
    <w:rsid w:val="00570850"/>
    <w:rsid w:val="00570F90"/>
    <w:rsid w:val="00571BF9"/>
    <w:rsid w:val="00571F52"/>
    <w:rsid w:val="00572844"/>
    <w:rsid w:val="00573A1F"/>
    <w:rsid w:val="00573A57"/>
    <w:rsid w:val="00573C28"/>
    <w:rsid w:val="00574F71"/>
    <w:rsid w:val="00575428"/>
    <w:rsid w:val="005754DF"/>
    <w:rsid w:val="00575B0A"/>
    <w:rsid w:val="005761B1"/>
    <w:rsid w:val="005762B0"/>
    <w:rsid w:val="00576C9C"/>
    <w:rsid w:val="00577061"/>
    <w:rsid w:val="00577231"/>
    <w:rsid w:val="00577604"/>
    <w:rsid w:val="00577D36"/>
    <w:rsid w:val="005809C3"/>
    <w:rsid w:val="00580BC8"/>
    <w:rsid w:val="005810EB"/>
    <w:rsid w:val="00582527"/>
    <w:rsid w:val="00582AAA"/>
    <w:rsid w:val="00582D67"/>
    <w:rsid w:val="005833B3"/>
    <w:rsid w:val="0058364E"/>
    <w:rsid w:val="00584104"/>
    <w:rsid w:val="0058563C"/>
    <w:rsid w:val="005857E0"/>
    <w:rsid w:val="005870B2"/>
    <w:rsid w:val="0058716E"/>
    <w:rsid w:val="00587DEC"/>
    <w:rsid w:val="0059007F"/>
    <w:rsid w:val="005907FD"/>
    <w:rsid w:val="00590849"/>
    <w:rsid w:val="00590C29"/>
    <w:rsid w:val="005910B2"/>
    <w:rsid w:val="0059111A"/>
    <w:rsid w:val="00591248"/>
    <w:rsid w:val="005914CC"/>
    <w:rsid w:val="00591587"/>
    <w:rsid w:val="005916DC"/>
    <w:rsid w:val="005919C5"/>
    <w:rsid w:val="00591D5A"/>
    <w:rsid w:val="00591DD8"/>
    <w:rsid w:val="00592EB3"/>
    <w:rsid w:val="0059302E"/>
    <w:rsid w:val="0059331A"/>
    <w:rsid w:val="00593715"/>
    <w:rsid w:val="00593AB9"/>
    <w:rsid w:val="00594516"/>
    <w:rsid w:val="005946AC"/>
    <w:rsid w:val="00595429"/>
    <w:rsid w:val="005954B4"/>
    <w:rsid w:val="00595C78"/>
    <w:rsid w:val="005960ED"/>
    <w:rsid w:val="0059679B"/>
    <w:rsid w:val="00596965"/>
    <w:rsid w:val="005971AE"/>
    <w:rsid w:val="00597BD0"/>
    <w:rsid w:val="00597C21"/>
    <w:rsid w:val="005A002B"/>
    <w:rsid w:val="005A039A"/>
    <w:rsid w:val="005A0C2B"/>
    <w:rsid w:val="005A10BD"/>
    <w:rsid w:val="005A12DB"/>
    <w:rsid w:val="005A3783"/>
    <w:rsid w:val="005A3986"/>
    <w:rsid w:val="005A3B85"/>
    <w:rsid w:val="005A4A0F"/>
    <w:rsid w:val="005A4ACB"/>
    <w:rsid w:val="005A5CB7"/>
    <w:rsid w:val="005A66B2"/>
    <w:rsid w:val="005A671A"/>
    <w:rsid w:val="005A6879"/>
    <w:rsid w:val="005A6941"/>
    <w:rsid w:val="005A7CD7"/>
    <w:rsid w:val="005B10AE"/>
    <w:rsid w:val="005B2A12"/>
    <w:rsid w:val="005B2D51"/>
    <w:rsid w:val="005B3626"/>
    <w:rsid w:val="005B3652"/>
    <w:rsid w:val="005B3F18"/>
    <w:rsid w:val="005B4E20"/>
    <w:rsid w:val="005B74FF"/>
    <w:rsid w:val="005B7B2D"/>
    <w:rsid w:val="005C0649"/>
    <w:rsid w:val="005C1299"/>
    <w:rsid w:val="005C1C64"/>
    <w:rsid w:val="005C1E70"/>
    <w:rsid w:val="005C1E93"/>
    <w:rsid w:val="005C2AE9"/>
    <w:rsid w:val="005C2B63"/>
    <w:rsid w:val="005C318A"/>
    <w:rsid w:val="005C3747"/>
    <w:rsid w:val="005C4A1A"/>
    <w:rsid w:val="005C4C51"/>
    <w:rsid w:val="005C5C4A"/>
    <w:rsid w:val="005C604B"/>
    <w:rsid w:val="005C65C8"/>
    <w:rsid w:val="005C6C40"/>
    <w:rsid w:val="005C7DA8"/>
    <w:rsid w:val="005C7F3D"/>
    <w:rsid w:val="005C7F85"/>
    <w:rsid w:val="005D0030"/>
    <w:rsid w:val="005D07AD"/>
    <w:rsid w:val="005D08B7"/>
    <w:rsid w:val="005D08D8"/>
    <w:rsid w:val="005D2CA8"/>
    <w:rsid w:val="005D2D73"/>
    <w:rsid w:val="005D3B02"/>
    <w:rsid w:val="005D3C27"/>
    <w:rsid w:val="005D4031"/>
    <w:rsid w:val="005D407D"/>
    <w:rsid w:val="005D4AD8"/>
    <w:rsid w:val="005D4CD1"/>
    <w:rsid w:val="005D559D"/>
    <w:rsid w:val="005D5706"/>
    <w:rsid w:val="005D5F19"/>
    <w:rsid w:val="005D617F"/>
    <w:rsid w:val="005D624D"/>
    <w:rsid w:val="005D660F"/>
    <w:rsid w:val="005D6C55"/>
    <w:rsid w:val="005D6FC9"/>
    <w:rsid w:val="005D735E"/>
    <w:rsid w:val="005D7770"/>
    <w:rsid w:val="005D7D47"/>
    <w:rsid w:val="005E0943"/>
    <w:rsid w:val="005E0FE5"/>
    <w:rsid w:val="005E1895"/>
    <w:rsid w:val="005E1E38"/>
    <w:rsid w:val="005E26A9"/>
    <w:rsid w:val="005E4418"/>
    <w:rsid w:val="005E4DF8"/>
    <w:rsid w:val="005E50B0"/>
    <w:rsid w:val="005E545B"/>
    <w:rsid w:val="005E5743"/>
    <w:rsid w:val="005E5E2E"/>
    <w:rsid w:val="005E6399"/>
    <w:rsid w:val="005E7014"/>
    <w:rsid w:val="005E7201"/>
    <w:rsid w:val="005E7435"/>
    <w:rsid w:val="005F0295"/>
    <w:rsid w:val="005F056A"/>
    <w:rsid w:val="005F0EFE"/>
    <w:rsid w:val="005F1418"/>
    <w:rsid w:val="005F1CA0"/>
    <w:rsid w:val="005F1E0A"/>
    <w:rsid w:val="005F2A84"/>
    <w:rsid w:val="005F3512"/>
    <w:rsid w:val="005F3786"/>
    <w:rsid w:val="005F4588"/>
    <w:rsid w:val="005F50A8"/>
    <w:rsid w:val="005F50C1"/>
    <w:rsid w:val="005F5C63"/>
    <w:rsid w:val="005F674E"/>
    <w:rsid w:val="005F67ED"/>
    <w:rsid w:val="005F6830"/>
    <w:rsid w:val="005F6A3F"/>
    <w:rsid w:val="005F7711"/>
    <w:rsid w:val="006001E5"/>
    <w:rsid w:val="006003AD"/>
    <w:rsid w:val="00600946"/>
    <w:rsid w:val="00600B2C"/>
    <w:rsid w:val="00601B97"/>
    <w:rsid w:val="00601DF3"/>
    <w:rsid w:val="0060209A"/>
    <w:rsid w:val="0060266D"/>
    <w:rsid w:val="00602E00"/>
    <w:rsid w:val="00603CCA"/>
    <w:rsid w:val="006044AE"/>
    <w:rsid w:val="006048EE"/>
    <w:rsid w:val="006055E7"/>
    <w:rsid w:val="00605726"/>
    <w:rsid w:val="00605A3E"/>
    <w:rsid w:val="006065DA"/>
    <w:rsid w:val="0060685C"/>
    <w:rsid w:val="00606B7E"/>
    <w:rsid w:val="0060735C"/>
    <w:rsid w:val="006106F9"/>
    <w:rsid w:val="00612940"/>
    <w:rsid w:val="00612E5E"/>
    <w:rsid w:val="006130BD"/>
    <w:rsid w:val="006130F5"/>
    <w:rsid w:val="006135DF"/>
    <w:rsid w:val="00613B56"/>
    <w:rsid w:val="006140A2"/>
    <w:rsid w:val="00614446"/>
    <w:rsid w:val="00614621"/>
    <w:rsid w:val="006149C1"/>
    <w:rsid w:val="00614EAB"/>
    <w:rsid w:val="00616B4A"/>
    <w:rsid w:val="006178DB"/>
    <w:rsid w:val="00617DB6"/>
    <w:rsid w:val="006203ED"/>
    <w:rsid w:val="00620FF0"/>
    <w:rsid w:val="00621133"/>
    <w:rsid w:val="0062192A"/>
    <w:rsid w:val="00621AA4"/>
    <w:rsid w:val="00621AC6"/>
    <w:rsid w:val="00621CC9"/>
    <w:rsid w:val="00621D1E"/>
    <w:rsid w:val="00621F43"/>
    <w:rsid w:val="00622CEE"/>
    <w:rsid w:val="006236E3"/>
    <w:rsid w:val="0062376B"/>
    <w:rsid w:val="006238BB"/>
    <w:rsid w:val="0062427A"/>
    <w:rsid w:val="00624E5B"/>
    <w:rsid w:val="006253C1"/>
    <w:rsid w:val="00625D02"/>
    <w:rsid w:val="00626135"/>
    <w:rsid w:val="006265FA"/>
    <w:rsid w:val="0062726E"/>
    <w:rsid w:val="00627288"/>
    <w:rsid w:val="0063085D"/>
    <w:rsid w:val="00630A2C"/>
    <w:rsid w:val="00630EB9"/>
    <w:rsid w:val="00630F72"/>
    <w:rsid w:val="00631026"/>
    <w:rsid w:val="00631202"/>
    <w:rsid w:val="00631E78"/>
    <w:rsid w:val="00632237"/>
    <w:rsid w:val="00632389"/>
    <w:rsid w:val="0063295A"/>
    <w:rsid w:val="00632A29"/>
    <w:rsid w:val="00632EE1"/>
    <w:rsid w:val="006330CA"/>
    <w:rsid w:val="00633C38"/>
    <w:rsid w:val="00634560"/>
    <w:rsid w:val="00634A76"/>
    <w:rsid w:val="00634B12"/>
    <w:rsid w:val="00635B2A"/>
    <w:rsid w:val="00635D8F"/>
    <w:rsid w:val="006361AE"/>
    <w:rsid w:val="00636370"/>
    <w:rsid w:val="006367A8"/>
    <w:rsid w:val="00641FBD"/>
    <w:rsid w:val="00642F79"/>
    <w:rsid w:val="006436EA"/>
    <w:rsid w:val="0064469C"/>
    <w:rsid w:val="00644E7F"/>
    <w:rsid w:val="00644ED1"/>
    <w:rsid w:val="0064507B"/>
    <w:rsid w:val="00646B7B"/>
    <w:rsid w:val="00647341"/>
    <w:rsid w:val="00647548"/>
    <w:rsid w:val="0065041F"/>
    <w:rsid w:val="006507CF"/>
    <w:rsid w:val="0065091E"/>
    <w:rsid w:val="00650E32"/>
    <w:rsid w:val="00650F4C"/>
    <w:rsid w:val="00651DA2"/>
    <w:rsid w:val="00652703"/>
    <w:rsid w:val="0065270A"/>
    <w:rsid w:val="00652844"/>
    <w:rsid w:val="0065304A"/>
    <w:rsid w:val="006536D3"/>
    <w:rsid w:val="0065388B"/>
    <w:rsid w:val="00653B41"/>
    <w:rsid w:val="00655756"/>
    <w:rsid w:val="00655CE7"/>
    <w:rsid w:val="006565D1"/>
    <w:rsid w:val="006571E8"/>
    <w:rsid w:val="0065746F"/>
    <w:rsid w:val="0066095E"/>
    <w:rsid w:val="00661608"/>
    <w:rsid w:val="00661837"/>
    <w:rsid w:val="00661E0F"/>
    <w:rsid w:val="00662672"/>
    <w:rsid w:val="00662B22"/>
    <w:rsid w:val="0066502B"/>
    <w:rsid w:val="00665ACE"/>
    <w:rsid w:val="006660AC"/>
    <w:rsid w:val="0066620A"/>
    <w:rsid w:val="00666F92"/>
    <w:rsid w:val="00667153"/>
    <w:rsid w:val="00667219"/>
    <w:rsid w:val="006677D6"/>
    <w:rsid w:val="00670A3D"/>
    <w:rsid w:val="00670C78"/>
    <w:rsid w:val="00670ECA"/>
    <w:rsid w:val="0067110A"/>
    <w:rsid w:val="0067164A"/>
    <w:rsid w:val="00672768"/>
    <w:rsid w:val="00673B2B"/>
    <w:rsid w:val="00673E45"/>
    <w:rsid w:val="00674E7A"/>
    <w:rsid w:val="006752A5"/>
    <w:rsid w:val="00675A0D"/>
    <w:rsid w:val="00675EC3"/>
    <w:rsid w:val="00675FC9"/>
    <w:rsid w:val="006766C6"/>
    <w:rsid w:val="0067694F"/>
    <w:rsid w:val="00676A71"/>
    <w:rsid w:val="00676F00"/>
    <w:rsid w:val="006772B5"/>
    <w:rsid w:val="006773D1"/>
    <w:rsid w:val="0068020A"/>
    <w:rsid w:val="0068021D"/>
    <w:rsid w:val="00681B34"/>
    <w:rsid w:val="006821F2"/>
    <w:rsid w:val="0068285A"/>
    <w:rsid w:val="006831CF"/>
    <w:rsid w:val="00683C25"/>
    <w:rsid w:val="00683E67"/>
    <w:rsid w:val="00683FCF"/>
    <w:rsid w:val="00685025"/>
    <w:rsid w:val="00685218"/>
    <w:rsid w:val="00685A74"/>
    <w:rsid w:val="006862EC"/>
    <w:rsid w:val="006865B5"/>
    <w:rsid w:val="00686C1F"/>
    <w:rsid w:val="00686D9F"/>
    <w:rsid w:val="00686FD1"/>
    <w:rsid w:val="0068717B"/>
    <w:rsid w:val="00687E23"/>
    <w:rsid w:val="00690838"/>
    <w:rsid w:val="006909E7"/>
    <w:rsid w:val="00690D44"/>
    <w:rsid w:val="00691138"/>
    <w:rsid w:val="0069169E"/>
    <w:rsid w:val="00691965"/>
    <w:rsid w:val="006932B4"/>
    <w:rsid w:val="006935D6"/>
    <w:rsid w:val="00693D89"/>
    <w:rsid w:val="0069584A"/>
    <w:rsid w:val="006A0A17"/>
    <w:rsid w:val="006A0DCB"/>
    <w:rsid w:val="006A106E"/>
    <w:rsid w:val="006A17B9"/>
    <w:rsid w:val="006A2F12"/>
    <w:rsid w:val="006A460F"/>
    <w:rsid w:val="006A4901"/>
    <w:rsid w:val="006A4F6C"/>
    <w:rsid w:val="006A52A0"/>
    <w:rsid w:val="006A5A8A"/>
    <w:rsid w:val="006A62FD"/>
    <w:rsid w:val="006A67C9"/>
    <w:rsid w:val="006A67F7"/>
    <w:rsid w:val="006A6B9A"/>
    <w:rsid w:val="006A7306"/>
    <w:rsid w:val="006A75CA"/>
    <w:rsid w:val="006A76D6"/>
    <w:rsid w:val="006A777C"/>
    <w:rsid w:val="006A7A9D"/>
    <w:rsid w:val="006A7F1E"/>
    <w:rsid w:val="006B015F"/>
    <w:rsid w:val="006B0500"/>
    <w:rsid w:val="006B08CD"/>
    <w:rsid w:val="006B09DB"/>
    <w:rsid w:val="006B12C6"/>
    <w:rsid w:val="006B1BF5"/>
    <w:rsid w:val="006B1D13"/>
    <w:rsid w:val="006B1F93"/>
    <w:rsid w:val="006B362D"/>
    <w:rsid w:val="006B3A6B"/>
    <w:rsid w:val="006B466C"/>
    <w:rsid w:val="006B55C6"/>
    <w:rsid w:val="006B6A2B"/>
    <w:rsid w:val="006B6E14"/>
    <w:rsid w:val="006B7144"/>
    <w:rsid w:val="006B7A22"/>
    <w:rsid w:val="006B7EA1"/>
    <w:rsid w:val="006C0019"/>
    <w:rsid w:val="006C03EA"/>
    <w:rsid w:val="006C1487"/>
    <w:rsid w:val="006C18BC"/>
    <w:rsid w:val="006C22C6"/>
    <w:rsid w:val="006C2365"/>
    <w:rsid w:val="006C2377"/>
    <w:rsid w:val="006C2A9C"/>
    <w:rsid w:val="006C2E95"/>
    <w:rsid w:val="006C2FE9"/>
    <w:rsid w:val="006C3355"/>
    <w:rsid w:val="006C3439"/>
    <w:rsid w:val="006C3E49"/>
    <w:rsid w:val="006C460E"/>
    <w:rsid w:val="006C4C5D"/>
    <w:rsid w:val="006C4F1A"/>
    <w:rsid w:val="006C53AA"/>
    <w:rsid w:val="006C5724"/>
    <w:rsid w:val="006C59FA"/>
    <w:rsid w:val="006C5C33"/>
    <w:rsid w:val="006C5E23"/>
    <w:rsid w:val="006C6120"/>
    <w:rsid w:val="006C6614"/>
    <w:rsid w:val="006C6A7F"/>
    <w:rsid w:val="006D0007"/>
    <w:rsid w:val="006D0D81"/>
    <w:rsid w:val="006D0EEA"/>
    <w:rsid w:val="006D0FCD"/>
    <w:rsid w:val="006D14E7"/>
    <w:rsid w:val="006D21D1"/>
    <w:rsid w:val="006D2CE6"/>
    <w:rsid w:val="006D3D80"/>
    <w:rsid w:val="006D45BD"/>
    <w:rsid w:val="006D5117"/>
    <w:rsid w:val="006D76F3"/>
    <w:rsid w:val="006D7AEB"/>
    <w:rsid w:val="006D7C4C"/>
    <w:rsid w:val="006D7D15"/>
    <w:rsid w:val="006E0A0B"/>
    <w:rsid w:val="006E10E4"/>
    <w:rsid w:val="006E1415"/>
    <w:rsid w:val="006E2FF1"/>
    <w:rsid w:val="006E3191"/>
    <w:rsid w:val="006E3395"/>
    <w:rsid w:val="006E4F03"/>
    <w:rsid w:val="006E575F"/>
    <w:rsid w:val="006E5E91"/>
    <w:rsid w:val="006E658B"/>
    <w:rsid w:val="006E667F"/>
    <w:rsid w:val="006E6A10"/>
    <w:rsid w:val="006E6EA6"/>
    <w:rsid w:val="006E7D64"/>
    <w:rsid w:val="006F0C0C"/>
    <w:rsid w:val="006F1023"/>
    <w:rsid w:val="006F1B99"/>
    <w:rsid w:val="006F24AD"/>
    <w:rsid w:val="006F273D"/>
    <w:rsid w:val="006F2C6F"/>
    <w:rsid w:val="006F360D"/>
    <w:rsid w:val="006F37F1"/>
    <w:rsid w:val="006F3C57"/>
    <w:rsid w:val="006F3D17"/>
    <w:rsid w:val="006F4697"/>
    <w:rsid w:val="006F4EDA"/>
    <w:rsid w:val="006F4F63"/>
    <w:rsid w:val="006F5689"/>
    <w:rsid w:val="006F57C8"/>
    <w:rsid w:val="006F5B6A"/>
    <w:rsid w:val="006F5C65"/>
    <w:rsid w:val="006F6289"/>
    <w:rsid w:val="006F70BD"/>
    <w:rsid w:val="006F7293"/>
    <w:rsid w:val="006F7CBA"/>
    <w:rsid w:val="0070083B"/>
    <w:rsid w:val="00700E56"/>
    <w:rsid w:val="0070128C"/>
    <w:rsid w:val="0070199A"/>
    <w:rsid w:val="007020A0"/>
    <w:rsid w:val="007022BC"/>
    <w:rsid w:val="007027CE"/>
    <w:rsid w:val="00702FDC"/>
    <w:rsid w:val="007037ED"/>
    <w:rsid w:val="00703CD6"/>
    <w:rsid w:val="00703EF1"/>
    <w:rsid w:val="00704169"/>
    <w:rsid w:val="007046D5"/>
    <w:rsid w:val="00704CC0"/>
    <w:rsid w:val="0070579C"/>
    <w:rsid w:val="00706247"/>
    <w:rsid w:val="007066B4"/>
    <w:rsid w:val="00706BB5"/>
    <w:rsid w:val="00706DAD"/>
    <w:rsid w:val="007074DB"/>
    <w:rsid w:val="00707676"/>
    <w:rsid w:val="00710B5B"/>
    <w:rsid w:val="00711292"/>
    <w:rsid w:val="007115ED"/>
    <w:rsid w:val="00711C20"/>
    <w:rsid w:val="00711E9F"/>
    <w:rsid w:val="00711EE5"/>
    <w:rsid w:val="00711F83"/>
    <w:rsid w:val="00712331"/>
    <w:rsid w:val="0071238D"/>
    <w:rsid w:val="00712592"/>
    <w:rsid w:val="00712ECD"/>
    <w:rsid w:val="00712F92"/>
    <w:rsid w:val="00713FC5"/>
    <w:rsid w:val="00714D9E"/>
    <w:rsid w:val="007151E3"/>
    <w:rsid w:val="007160A2"/>
    <w:rsid w:val="00716312"/>
    <w:rsid w:val="00716C60"/>
    <w:rsid w:val="00716F47"/>
    <w:rsid w:val="00717393"/>
    <w:rsid w:val="00717536"/>
    <w:rsid w:val="0071754B"/>
    <w:rsid w:val="00717BA1"/>
    <w:rsid w:val="00720923"/>
    <w:rsid w:val="00720A09"/>
    <w:rsid w:val="00720C6D"/>
    <w:rsid w:val="00720DFF"/>
    <w:rsid w:val="007210FE"/>
    <w:rsid w:val="0072197B"/>
    <w:rsid w:val="00722107"/>
    <w:rsid w:val="007222AE"/>
    <w:rsid w:val="00722607"/>
    <w:rsid w:val="00723173"/>
    <w:rsid w:val="00723449"/>
    <w:rsid w:val="007235A5"/>
    <w:rsid w:val="00723CED"/>
    <w:rsid w:val="0072401A"/>
    <w:rsid w:val="00724276"/>
    <w:rsid w:val="007242C8"/>
    <w:rsid w:val="007246D7"/>
    <w:rsid w:val="007247FD"/>
    <w:rsid w:val="007248E8"/>
    <w:rsid w:val="00724F74"/>
    <w:rsid w:val="007250B0"/>
    <w:rsid w:val="007251DD"/>
    <w:rsid w:val="00725CB9"/>
    <w:rsid w:val="007263E7"/>
    <w:rsid w:val="007264DC"/>
    <w:rsid w:val="0072665A"/>
    <w:rsid w:val="007267E9"/>
    <w:rsid w:val="00726FB9"/>
    <w:rsid w:val="007273A9"/>
    <w:rsid w:val="0072757E"/>
    <w:rsid w:val="007302F5"/>
    <w:rsid w:val="00730454"/>
    <w:rsid w:val="00731075"/>
    <w:rsid w:val="00731A08"/>
    <w:rsid w:val="00731A5C"/>
    <w:rsid w:val="00732216"/>
    <w:rsid w:val="00732370"/>
    <w:rsid w:val="00732454"/>
    <w:rsid w:val="00732B54"/>
    <w:rsid w:val="00732E0A"/>
    <w:rsid w:val="00733161"/>
    <w:rsid w:val="0073321E"/>
    <w:rsid w:val="0073354E"/>
    <w:rsid w:val="00733B66"/>
    <w:rsid w:val="007346C3"/>
    <w:rsid w:val="00734D73"/>
    <w:rsid w:val="007356D4"/>
    <w:rsid w:val="00736912"/>
    <w:rsid w:val="00736B2B"/>
    <w:rsid w:val="00737580"/>
    <w:rsid w:val="00737BA4"/>
    <w:rsid w:val="007407B5"/>
    <w:rsid w:val="0074099A"/>
    <w:rsid w:val="00741058"/>
    <w:rsid w:val="0074160C"/>
    <w:rsid w:val="0074261D"/>
    <w:rsid w:val="00742D22"/>
    <w:rsid w:val="0074306D"/>
    <w:rsid w:val="00743126"/>
    <w:rsid w:val="00743898"/>
    <w:rsid w:val="007441B2"/>
    <w:rsid w:val="00744C45"/>
    <w:rsid w:val="007450C0"/>
    <w:rsid w:val="007450E3"/>
    <w:rsid w:val="00745407"/>
    <w:rsid w:val="00745821"/>
    <w:rsid w:val="00745AF8"/>
    <w:rsid w:val="00746E89"/>
    <w:rsid w:val="007472EF"/>
    <w:rsid w:val="00747918"/>
    <w:rsid w:val="00747E39"/>
    <w:rsid w:val="00747F5C"/>
    <w:rsid w:val="00750093"/>
    <w:rsid w:val="0075074E"/>
    <w:rsid w:val="00751278"/>
    <w:rsid w:val="00751BF6"/>
    <w:rsid w:val="007523C4"/>
    <w:rsid w:val="00752F08"/>
    <w:rsid w:val="00752F4B"/>
    <w:rsid w:val="0075361F"/>
    <w:rsid w:val="00753EC0"/>
    <w:rsid w:val="00754A1F"/>
    <w:rsid w:val="007557A2"/>
    <w:rsid w:val="00755FA1"/>
    <w:rsid w:val="00757B02"/>
    <w:rsid w:val="007618E3"/>
    <w:rsid w:val="00763064"/>
    <w:rsid w:val="0076423B"/>
    <w:rsid w:val="00764BC7"/>
    <w:rsid w:val="00764E04"/>
    <w:rsid w:val="007667BB"/>
    <w:rsid w:val="00770A12"/>
    <w:rsid w:val="00771507"/>
    <w:rsid w:val="00771AF9"/>
    <w:rsid w:val="00771B39"/>
    <w:rsid w:val="00772164"/>
    <w:rsid w:val="007723B6"/>
    <w:rsid w:val="00772AA7"/>
    <w:rsid w:val="00772CD4"/>
    <w:rsid w:val="00772D65"/>
    <w:rsid w:val="00772E26"/>
    <w:rsid w:val="00772EEA"/>
    <w:rsid w:val="00775021"/>
    <w:rsid w:val="0077537F"/>
    <w:rsid w:val="007755A7"/>
    <w:rsid w:val="007759E6"/>
    <w:rsid w:val="00775E60"/>
    <w:rsid w:val="00776EE9"/>
    <w:rsid w:val="007779CB"/>
    <w:rsid w:val="00777D03"/>
    <w:rsid w:val="00780862"/>
    <w:rsid w:val="007809CC"/>
    <w:rsid w:val="00780F9D"/>
    <w:rsid w:val="00781121"/>
    <w:rsid w:val="0078141F"/>
    <w:rsid w:val="0078288D"/>
    <w:rsid w:val="00783621"/>
    <w:rsid w:val="00784117"/>
    <w:rsid w:val="007841FB"/>
    <w:rsid w:val="00784DCC"/>
    <w:rsid w:val="007858B8"/>
    <w:rsid w:val="00785B02"/>
    <w:rsid w:val="00786903"/>
    <w:rsid w:val="00786E79"/>
    <w:rsid w:val="0078772E"/>
    <w:rsid w:val="00787B08"/>
    <w:rsid w:val="0079084B"/>
    <w:rsid w:val="00790BF7"/>
    <w:rsid w:val="00792505"/>
    <w:rsid w:val="00792B0E"/>
    <w:rsid w:val="00793074"/>
    <w:rsid w:val="00793ECA"/>
    <w:rsid w:val="00793EE1"/>
    <w:rsid w:val="0079410D"/>
    <w:rsid w:val="00794215"/>
    <w:rsid w:val="00794849"/>
    <w:rsid w:val="00794B39"/>
    <w:rsid w:val="00794B86"/>
    <w:rsid w:val="007953CE"/>
    <w:rsid w:val="00796476"/>
    <w:rsid w:val="0079661E"/>
    <w:rsid w:val="00796BEB"/>
    <w:rsid w:val="00796FA5"/>
    <w:rsid w:val="00797CB1"/>
    <w:rsid w:val="00797E54"/>
    <w:rsid w:val="00797FA6"/>
    <w:rsid w:val="007A01C1"/>
    <w:rsid w:val="007A02EC"/>
    <w:rsid w:val="007A0C42"/>
    <w:rsid w:val="007A1225"/>
    <w:rsid w:val="007A15CD"/>
    <w:rsid w:val="007A219B"/>
    <w:rsid w:val="007A2486"/>
    <w:rsid w:val="007A271A"/>
    <w:rsid w:val="007A377D"/>
    <w:rsid w:val="007A436F"/>
    <w:rsid w:val="007A489A"/>
    <w:rsid w:val="007A4AE9"/>
    <w:rsid w:val="007A4BB7"/>
    <w:rsid w:val="007A4E25"/>
    <w:rsid w:val="007A5AC1"/>
    <w:rsid w:val="007A5EC7"/>
    <w:rsid w:val="007A6802"/>
    <w:rsid w:val="007A6B26"/>
    <w:rsid w:val="007A6EEE"/>
    <w:rsid w:val="007A7186"/>
    <w:rsid w:val="007A72E2"/>
    <w:rsid w:val="007A7824"/>
    <w:rsid w:val="007A7D95"/>
    <w:rsid w:val="007A7F83"/>
    <w:rsid w:val="007B025C"/>
    <w:rsid w:val="007B0D2F"/>
    <w:rsid w:val="007B165C"/>
    <w:rsid w:val="007B1B05"/>
    <w:rsid w:val="007B1F92"/>
    <w:rsid w:val="007B29E3"/>
    <w:rsid w:val="007B2DA6"/>
    <w:rsid w:val="007B2F0F"/>
    <w:rsid w:val="007B3788"/>
    <w:rsid w:val="007B37DD"/>
    <w:rsid w:val="007B3C3E"/>
    <w:rsid w:val="007B4202"/>
    <w:rsid w:val="007B443C"/>
    <w:rsid w:val="007B5D56"/>
    <w:rsid w:val="007B660F"/>
    <w:rsid w:val="007B682D"/>
    <w:rsid w:val="007B7954"/>
    <w:rsid w:val="007B7BB3"/>
    <w:rsid w:val="007C0056"/>
    <w:rsid w:val="007C2428"/>
    <w:rsid w:val="007C3066"/>
    <w:rsid w:val="007C3919"/>
    <w:rsid w:val="007C44FE"/>
    <w:rsid w:val="007C4E11"/>
    <w:rsid w:val="007C5093"/>
    <w:rsid w:val="007C5E22"/>
    <w:rsid w:val="007C61D8"/>
    <w:rsid w:val="007C6213"/>
    <w:rsid w:val="007C6FA3"/>
    <w:rsid w:val="007C7FD5"/>
    <w:rsid w:val="007D09E6"/>
    <w:rsid w:val="007D0B62"/>
    <w:rsid w:val="007D0E8A"/>
    <w:rsid w:val="007D0FF6"/>
    <w:rsid w:val="007D1021"/>
    <w:rsid w:val="007D1559"/>
    <w:rsid w:val="007D1D03"/>
    <w:rsid w:val="007D4245"/>
    <w:rsid w:val="007D4392"/>
    <w:rsid w:val="007D4BB3"/>
    <w:rsid w:val="007D4BE2"/>
    <w:rsid w:val="007D4D3E"/>
    <w:rsid w:val="007D5047"/>
    <w:rsid w:val="007D50ED"/>
    <w:rsid w:val="007D5B1C"/>
    <w:rsid w:val="007D5D27"/>
    <w:rsid w:val="007D6062"/>
    <w:rsid w:val="007D6321"/>
    <w:rsid w:val="007D66CC"/>
    <w:rsid w:val="007D6AF5"/>
    <w:rsid w:val="007D6B5D"/>
    <w:rsid w:val="007D7589"/>
    <w:rsid w:val="007D780B"/>
    <w:rsid w:val="007E0247"/>
    <w:rsid w:val="007E0361"/>
    <w:rsid w:val="007E044B"/>
    <w:rsid w:val="007E051A"/>
    <w:rsid w:val="007E09B9"/>
    <w:rsid w:val="007E150D"/>
    <w:rsid w:val="007E17C6"/>
    <w:rsid w:val="007E1A66"/>
    <w:rsid w:val="007E238B"/>
    <w:rsid w:val="007E2637"/>
    <w:rsid w:val="007E3A14"/>
    <w:rsid w:val="007E3FE7"/>
    <w:rsid w:val="007E4D50"/>
    <w:rsid w:val="007E50CC"/>
    <w:rsid w:val="007E52BE"/>
    <w:rsid w:val="007E5C58"/>
    <w:rsid w:val="007E613A"/>
    <w:rsid w:val="007E65E0"/>
    <w:rsid w:val="007E6AD4"/>
    <w:rsid w:val="007E72AA"/>
    <w:rsid w:val="007E747D"/>
    <w:rsid w:val="007E78A9"/>
    <w:rsid w:val="007F0191"/>
    <w:rsid w:val="007F0BFE"/>
    <w:rsid w:val="007F0EDF"/>
    <w:rsid w:val="007F1D57"/>
    <w:rsid w:val="007F2F39"/>
    <w:rsid w:val="007F31BD"/>
    <w:rsid w:val="007F3578"/>
    <w:rsid w:val="007F3B06"/>
    <w:rsid w:val="007F3C9F"/>
    <w:rsid w:val="007F4064"/>
    <w:rsid w:val="007F4349"/>
    <w:rsid w:val="007F4516"/>
    <w:rsid w:val="007F49D3"/>
    <w:rsid w:val="007F4FA2"/>
    <w:rsid w:val="007F5866"/>
    <w:rsid w:val="007F5ABB"/>
    <w:rsid w:val="007F5BA0"/>
    <w:rsid w:val="007F6DFB"/>
    <w:rsid w:val="007F6E22"/>
    <w:rsid w:val="007F78D7"/>
    <w:rsid w:val="008000AD"/>
    <w:rsid w:val="008011F3"/>
    <w:rsid w:val="0080179A"/>
    <w:rsid w:val="00801A19"/>
    <w:rsid w:val="00802BBC"/>
    <w:rsid w:val="00802E6D"/>
    <w:rsid w:val="00802EA9"/>
    <w:rsid w:val="00803179"/>
    <w:rsid w:val="00803AA8"/>
    <w:rsid w:val="008042E1"/>
    <w:rsid w:val="008047A6"/>
    <w:rsid w:val="00804B1B"/>
    <w:rsid w:val="0080501A"/>
    <w:rsid w:val="008053EB"/>
    <w:rsid w:val="00805D61"/>
    <w:rsid w:val="008064C3"/>
    <w:rsid w:val="00806CAE"/>
    <w:rsid w:val="00806D77"/>
    <w:rsid w:val="00806D90"/>
    <w:rsid w:val="008071A6"/>
    <w:rsid w:val="00807D07"/>
    <w:rsid w:val="00807D08"/>
    <w:rsid w:val="008114B0"/>
    <w:rsid w:val="00811CC9"/>
    <w:rsid w:val="00811F88"/>
    <w:rsid w:val="008120A1"/>
    <w:rsid w:val="008125DD"/>
    <w:rsid w:val="00812B61"/>
    <w:rsid w:val="00813171"/>
    <w:rsid w:val="00813430"/>
    <w:rsid w:val="008149EF"/>
    <w:rsid w:val="00814B6D"/>
    <w:rsid w:val="00815AD5"/>
    <w:rsid w:val="008161B0"/>
    <w:rsid w:val="00816AFD"/>
    <w:rsid w:val="00816B93"/>
    <w:rsid w:val="00816C62"/>
    <w:rsid w:val="00816D7B"/>
    <w:rsid w:val="0081711B"/>
    <w:rsid w:val="0081763B"/>
    <w:rsid w:val="008176F3"/>
    <w:rsid w:val="00817A10"/>
    <w:rsid w:val="00820287"/>
    <w:rsid w:val="00822749"/>
    <w:rsid w:val="008237C1"/>
    <w:rsid w:val="00823842"/>
    <w:rsid w:val="008244AE"/>
    <w:rsid w:val="00824C93"/>
    <w:rsid w:val="00825484"/>
    <w:rsid w:val="00826652"/>
    <w:rsid w:val="00830519"/>
    <w:rsid w:val="008305D5"/>
    <w:rsid w:val="0083084F"/>
    <w:rsid w:val="00830CBC"/>
    <w:rsid w:val="00830E70"/>
    <w:rsid w:val="008318CB"/>
    <w:rsid w:val="00831F97"/>
    <w:rsid w:val="00832D07"/>
    <w:rsid w:val="00833334"/>
    <w:rsid w:val="008345EB"/>
    <w:rsid w:val="00836115"/>
    <w:rsid w:val="00836155"/>
    <w:rsid w:val="00836480"/>
    <w:rsid w:val="00836EA8"/>
    <w:rsid w:val="0084021F"/>
    <w:rsid w:val="00840668"/>
    <w:rsid w:val="0084081F"/>
    <w:rsid w:val="0084114E"/>
    <w:rsid w:val="00841440"/>
    <w:rsid w:val="00841696"/>
    <w:rsid w:val="00841D7F"/>
    <w:rsid w:val="00842826"/>
    <w:rsid w:val="00842A7A"/>
    <w:rsid w:val="0084563F"/>
    <w:rsid w:val="00845E11"/>
    <w:rsid w:val="008464FE"/>
    <w:rsid w:val="008469B6"/>
    <w:rsid w:val="00846DAD"/>
    <w:rsid w:val="00847506"/>
    <w:rsid w:val="0084751F"/>
    <w:rsid w:val="00850401"/>
    <w:rsid w:val="008506B9"/>
    <w:rsid w:val="0085087A"/>
    <w:rsid w:val="00851967"/>
    <w:rsid w:val="00852031"/>
    <w:rsid w:val="008523E5"/>
    <w:rsid w:val="00852F31"/>
    <w:rsid w:val="00854197"/>
    <w:rsid w:val="00854DBE"/>
    <w:rsid w:val="0085501A"/>
    <w:rsid w:val="0085539E"/>
    <w:rsid w:val="008559AF"/>
    <w:rsid w:val="00856010"/>
    <w:rsid w:val="00856A8C"/>
    <w:rsid w:val="00857833"/>
    <w:rsid w:val="008607B8"/>
    <w:rsid w:val="00860856"/>
    <w:rsid w:val="00860FF1"/>
    <w:rsid w:val="008619D8"/>
    <w:rsid w:val="00861D80"/>
    <w:rsid w:val="008627F4"/>
    <w:rsid w:val="0086410C"/>
    <w:rsid w:val="00864A2F"/>
    <w:rsid w:val="0086528D"/>
    <w:rsid w:val="00865516"/>
    <w:rsid w:val="008660C9"/>
    <w:rsid w:val="0086614A"/>
    <w:rsid w:val="008662FF"/>
    <w:rsid w:val="0086639A"/>
    <w:rsid w:val="00866CE8"/>
    <w:rsid w:val="00867862"/>
    <w:rsid w:val="00867A87"/>
    <w:rsid w:val="00867C2D"/>
    <w:rsid w:val="00867C74"/>
    <w:rsid w:val="0087028A"/>
    <w:rsid w:val="00870517"/>
    <w:rsid w:val="00870842"/>
    <w:rsid w:val="00870B22"/>
    <w:rsid w:val="008718CF"/>
    <w:rsid w:val="008720A5"/>
    <w:rsid w:val="00872484"/>
    <w:rsid w:val="00874098"/>
    <w:rsid w:val="00874871"/>
    <w:rsid w:val="008748A7"/>
    <w:rsid w:val="008749D0"/>
    <w:rsid w:val="008752ED"/>
    <w:rsid w:val="008759F7"/>
    <w:rsid w:val="00875C92"/>
    <w:rsid w:val="00875CF8"/>
    <w:rsid w:val="00876830"/>
    <w:rsid w:val="008768DC"/>
    <w:rsid w:val="008772D6"/>
    <w:rsid w:val="00877384"/>
    <w:rsid w:val="008773BF"/>
    <w:rsid w:val="00877932"/>
    <w:rsid w:val="0088032F"/>
    <w:rsid w:val="00880BFE"/>
    <w:rsid w:val="00880DFB"/>
    <w:rsid w:val="00881F21"/>
    <w:rsid w:val="00882009"/>
    <w:rsid w:val="00882348"/>
    <w:rsid w:val="00884351"/>
    <w:rsid w:val="00884A30"/>
    <w:rsid w:val="008851BC"/>
    <w:rsid w:val="00886858"/>
    <w:rsid w:val="008876AD"/>
    <w:rsid w:val="00890ADD"/>
    <w:rsid w:val="00890B91"/>
    <w:rsid w:val="00890DCD"/>
    <w:rsid w:val="008910D5"/>
    <w:rsid w:val="008913D9"/>
    <w:rsid w:val="00892EE6"/>
    <w:rsid w:val="00893451"/>
    <w:rsid w:val="00893839"/>
    <w:rsid w:val="00895D1B"/>
    <w:rsid w:val="0089784A"/>
    <w:rsid w:val="00897C62"/>
    <w:rsid w:val="00897E19"/>
    <w:rsid w:val="00897F0E"/>
    <w:rsid w:val="008A017C"/>
    <w:rsid w:val="008A1E55"/>
    <w:rsid w:val="008A21CA"/>
    <w:rsid w:val="008A238C"/>
    <w:rsid w:val="008A2883"/>
    <w:rsid w:val="008A331C"/>
    <w:rsid w:val="008A3B89"/>
    <w:rsid w:val="008A402E"/>
    <w:rsid w:val="008A4078"/>
    <w:rsid w:val="008A4B9B"/>
    <w:rsid w:val="008A52B8"/>
    <w:rsid w:val="008A58E3"/>
    <w:rsid w:val="008A63D5"/>
    <w:rsid w:val="008A6D18"/>
    <w:rsid w:val="008A6E7A"/>
    <w:rsid w:val="008A73DB"/>
    <w:rsid w:val="008A73F2"/>
    <w:rsid w:val="008B0375"/>
    <w:rsid w:val="008B040E"/>
    <w:rsid w:val="008B0C03"/>
    <w:rsid w:val="008B15F2"/>
    <w:rsid w:val="008B24BA"/>
    <w:rsid w:val="008B29CC"/>
    <w:rsid w:val="008B2A46"/>
    <w:rsid w:val="008B3080"/>
    <w:rsid w:val="008B4940"/>
    <w:rsid w:val="008B4CC6"/>
    <w:rsid w:val="008B5644"/>
    <w:rsid w:val="008B65B7"/>
    <w:rsid w:val="008B687B"/>
    <w:rsid w:val="008B73E6"/>
    <w:rsid w:val="008B748C"/>
    <w:rsid w:val="008C0023"/>
    <w:rsid w:val="008C0EE0"/>
    <w:rsid w:val="008C12C8"/>
    <w:rsid w:val="008C1646"/>
    <w:rsid w:val="008C212F"/>
    <w:rsid w:val="008C2385"/>
    <w:rsid w:val="008C2BF1"/>
    <w:rsid w:val="008C2D02"/>
    <w:rsid w:val="008C2DDA"/>
    <w:rsid w:val="008C3135"/>
    <w:rsid w:val="008C34DA"/>
    <w:rsid w:val="008C398D"/>
    <w:rsid w:val="008C449D"/>
    <w:rsid w:val="008C4D25"/>
    <w:rsid w:val="008C519E"/>
    <w:rsid w:val="008C535F"/>
    <w:rsid w:val="008C558F"/>
    <w:rsid w:val="008C5F5E"/>
    <w:rsid w:val="008C6613"/>
    <w:rsid w:val="008C6964"/>
    <w:rsid w:val="008C6C15"/>
    <w:rsid w:val="008D0E91"/>
    <w:rsid w:val="008D1677"/>
    <w:rsid w:val="008D190C"/>
    <w:rsid w:val="008D1FBD"/>
    <w:rsid w:val="008D2234"/>
    <w:rsid w:val="008D2FFF"/>
    <w:rsid w:val="008D3668"/>
    <w:rsid w:val="008D3682"/>
    <w:rsid w:val="008D3799"/>
    <w:rsid w:val="008D39B0"/>
    <w:rsid w:val="008D41D3"/>
    <w:rsid w:val="008D495C"/>
    <w:rsid w:val="008D5738"/>
    <w:rsid w:val="008D57D5"/>
    <w:rsid w:val="008D59BC"/>
    <w:rsid w:val="008D5DB4"/>
    <w:rsid w:val="008D6ADC"/>
    <w:rsid w:val="008D7057"/>
    <w:rsid w:val="008D7237"/>
    <w:rsid w:val="008D789C"/>
    <w:rsid w:val="008E0B5B"/>
    <w:rsid w:val="008E217E"/>
    <w:rsid w:val="008E362C"/>
    <w:rsid w:val="008E3FC9"/>
    <w:rsid w:val="008E4251"/>
    <w:rsid w:val="008E4920"/>
    <w:rsid w:val="008E5219"/>
    <w:rsid w:val="008E52FB"/>
    <w:rsid w:val="008E64BB"/>
    <w:rsid w:val="008E7552"/>
    <w:rsid w:val="008E7624"/>
    <w:rsid w:val="008E7822"/>
    <w:rsid w:val="008E7840"/>
    <w:rsid w:val="008E7EE2"/>
    <w:rsid w:val="008E7FF6"/>
    <w:rsid w:val="008F0C4D"/>
    <w:rsid w:val="008F0E60"/>
    <w:rsid w:val="008F1384"/>
    <w:rsid w:val="008F2C2E"/>
    <w:rsid w:val="008F4567"/>
    <w:rsid w:val="008F4AA5"/>
    <w:rsid w:val="008F4E3D"/>
    <w:rsid w:val="008F4FB5"/>
    <w:rsid w:val="008F503F"/>
    <w:rsid w:val="008F6C71"/>
    <w:rsid w:val="008F6D48"/>
    <w:rsid w:val="008F77C0"/>
    <w:rsid w:val="0090002A"/>
    <w:rsid w:val="009006C3"/>
    <w:rsid w:val="009008CE"/>
    <w:rsid w:val="00900C9E"/>
    <w:rsid w:val="00900EDC"/>
    <w:rsid w:val="00900FF8"/>
    <w:rsid w:val="00901620"/>
    <w:rsid w:val="00901A62"/>
    <w:rsid w:val="00901E7F"/>
    <w:rsid w:val="00901ED3"/>
    <w:rsid w:val="00902A18"/>
    <w:rsid w:val="00903433"/>
    <w:rsid w:val="0090355F"/>
    <w:rsid w:val="00903C0F"/>
    <w:rsid w:val="0090428D"/>
    <w:rsid w:val="009049E7"/>
    <w:rsid w:val="00904AF7"/>
    <w:rsid w:val="0090518E"/>
    <w:rsid w:val="00905971"/>
    <w:rsid w:val="00905B34"/>
    <w:rsid w:val="00905E58"/>
    <w:rsid w:val="0090623D"/>
    <w:rsid w:val="00906335"/>
    <w:rsid w:val="00906C82"/>
    <w:rsid w:val="00906D68"/>
    <w:rsid w:val="00907275"/>
    <w:rsid w:val="0090752C"/>
    <w:rsid w:val="009075F2"/>
    <w:rsid w:val="00907CFD"/>
    <w:rsid w:val="009107D0"/>
    <w:rsid w:val="00912059"/>
    <w:rsid w:val="00912908"/>
    <w:rsid w:val="00912EA7"/>
    <w:rsid w:val="00913BA8"/>
    <w:rsid w:val="00913FC2"/>
    <w:rsid w:val="00914462"/>
    <w:rsid w:val="0091453D"/>
    <w:rsid w:val="00914D13"/>
    <w:rsid w:val="00914E5D"/>
    <w:rsid w:val="009155C6"/>
    <w:rsid w:val="00915DD5"/>
    <w:rsid w:val="00915F79"/>
    <w:rsid w:val="009160E7"/>
    <w:rsid w:val="00916644"/>
    <w:rsid w:val="00916A66"/>
    <w:rsid w:val="009209A7"/>
    <w:rsid w:val="00920BC4"/>
    <w:rsid w:val="00920CBD"/>
    <w:rsid w:val="0092117E"/>
    <w:rsid w:val="009222B1"/>
    <w:rsid w:val="009222FC"/>
    <w:rsid w:val="00922500"/>
    <w:rsid w:val="009231B6"/>
    <w:rsid w:val="00923933"/>
    <w:rsid w:val="00923DDD"/>
    <w:rsid w:val="00924C78"/>
    <w:rsid w:val="009252B8"/>
    <w:rsid w:val="0092547C"/>
    <w:rsid w:val="00925861"/>
    <w:rsid w:val="00926B88"/>
    <w:rsid w:val="009273BF"/>
    <w:rsid w:val="00931088"/>
    <w:rsid w:val="0093177E"/>
    <w:rsid w:val="00933299"/>
    <w:rsid w:val="0093378A"/>
    <w:rsid w:val="009337BE"/>
    <w:rsid w:val="0093422A"/>
    <w:rsid w:val="009342CB"/>
    <w:rsid w:val="00934325"/>
    <w:rsid w:val="00934D25"/>
    <w:rsid w:val="0093503F"/>
    <w:rsid w:val="00935764"/>
    <w:rsid w:val="00935997"/>
    <w:rsid w:val="009360A1"/>
    <w:rsid w:val="0093629F"/>
    <w:rsid w:val="00936730"/>
    <w:rsid w:val="00937045"/>
    <w:rsid w:val="0093777D"/>
    <w:rsid w:val="00937BC4"/>
    <w:rsid w:val="009402BB"/>
    <w:rsid w:val="00940A38"/>
    <w:rsid w:val="0094109D"/>
    <w:rsid w:val="00941891"/>
    <w:rsid w:val="00941DA8"/>
    <w:rsid w:val="0094206B"/>
    <w:rsid w:val="0094262E"/>
    <w:rsid w:val="00944B3D"/>
    <w:rsid w:val="00945FF5"/>
    <w:rsid w:val="00946182"/>
    <w:rsid w:val="00946E0C"/>
    <w:rsid w:val="00946E6B"/>
    <w:rsid w:val="00947A94"/>
    <w:rsid w:val="00947D91"/>
    <w:rsid w:val="00950385"/>
    <w:rsid w:val="009508CB"/>
    <w:rsid w:val="00951395"/>
    <w:rsid w:val="00951472"/>
    <w:rsid w:val="00951981"/>
    <w:rsid w:val="00951DD5"/>
    <w:rsid w:val="00952066"/>
    <w:rsid w:val="00952242"/>
    <w:rsid w:val="0095227B"/>
    <w:rsid w:val="0095228D"/>
    <w:rsid w:val="00954039"/>
    <w:rsid w:val="00956672"/>
    <w:rsid w:val="00956A18"/>
    <w:rsid w:val="00957073"/>
    <w:rsid w:val="009573B5"/>
    <w:rsid w:val="00960403"/>
    <w:rsid w:val="00960801"/>
    <w:rsid w:val="00960991"/>
    <w:rsid w:val="00960EEF"/>
    <w:rsid w:val="0096106D"/>
    <w:rsid w:val="0096121A"/>
    <w:rsid w:val="009616CC"/>
    <w:rsid w:val="0096218E"/>
    <w:rsid w:val="009621CA"/>
    <w:rsid w:val="00962CE7"/>
    <w:rsid w:val="00963F93"/>
    <w:rsid w:val="00964280"/>
    <w:rsid w:val="00964312"/>
    <w:rsid w:val="00965F94"/>
    <w:rsid w:val="009665A7"/>
    <w:rsid w:val="00967B19"/>
    <w:rsid w:val="00967DEC"/>
    <w:rsid w:val="00967E98"/>
    <w:rsid w:val="00970D89"/>
    <w:rsid w:val="0097122D"/>
    <w:rsid w:val="009743CF"/>
    <w:rsid w:val="00974A4C"/>
    <w:rsid w:val="00974F57"/>
    <w:rsid w:val="0097567B"/>
    <w:rsid w:val="00976074"/>
    <w:rsid w:val="00977485"/>
    <w:rsid w:val="00980B45"/>
    <w:rsid w:val="00981595"/>
    <w:rsid w:val="00981BE3"/>
    <w:rsid w:val="00981F6D"/>
    <w:rsid w:val="00982053"/>
    <w:rsid w:val="00982435"/>
    <w:rsid w:val="00982463"/>
    <w:rsid w:val="00982B03"/>
    <w:rsid w:val="00982ECC"/>
    <w:rsid w:val="0098388A"/>
    <w:rsid w:val="00983CD6"/>
    <w:rsid w:val="009842D6"/>
    <w:rsid w:val="00984712"/>
    <w:rsid w:val="00985359"/>
    <w:rsid w:val="00985AE5"/>
    <w:rsid w:val="00985CE2"/>
    <w:rsid w:val="00986025"/>
    <w:rsid w:val="009864D9"/>
    <w:rsid w:val="009865D6"/>
    <w:rsid w:val="00986EB0"/>
    <w:rsid w:val="00987132"/>
    <w:rsid w:val="0098713E"/>
    <w:rsid w:val="009904E2"/>
    <w:rsid w:val="00990809"/>
    <w:rsid w:val="00991753"/>
    <w:rsid w:val="00991CA8"/>
    <w:rsid w:val="0099261B"/>
    <w:rsid w:val="009930D8"/>
    <w:rsid w:val="00993175"/>
    <w:rsid w:val="00993A36"/>
    <w:rsid w:val="009940CA"/>
    <w:rsid w:val="009940D9"/>
    <w:rsid w:val="009942BA"/>
    <w:rsid w:val="009943B0"/>
    <w:rsid w:val="00994FC2"/>
    <w:rsid w:val="009963C3"/>
    <w:rsid w:val="009966EA"/>
    <w:rsid w:val="00996BA2"/>
    <w:rsid w:val="00996DAF"/>
    <w:rsid w:val="00996FC2"/>
    <w:rsid w:val="00996FF0"/>
    <w:rsid w:val="00997130"/>
    <w:rsid w:val="00997385"/>
    <w:rsid w:val="00997674"/>
    <w:rsid w:val="009A0742"/>
    <w:rsid w:val="009A0A74"/>
    <w:rsid w:val="009A123F"/>
    <w:rsid w:val="009A16E2"/>
    <w:rsid w:val="009A1CC6"/>
    <w:rsid w:val="009A1D25"/>
    <w:rsid w:val="009A2C86"/>
    <w:rsid w:val="009A3959"/>
    <w:rsid w:val="009A3B4D"/>
    <w:rsid w:val="009A4404"/>
    <w:rsid w:val="009A52C5"/>
    <w:rsid w:val="009A538A"/>
    <w:rsid w:val="009A58AF"/>
    <w:rsid w:val="009A599E"/>
    <w:rsid w:val="009A64EF"/>
    <w:rsid w:val="009A679C"/>
    <w:rsid w:val="009A6886"/>
    <w:rsid w:val="009A6B60"/>
    <w:rsid w:val="009A6E1B"/>
    <w:rsid w:val="009A6ED5"/>
    <w:rsid w:val="009A74A9"/>
    <w:rsid w:val="009A7DA2"/>
    <w:rsid w:val="009A7E12"/>
    <w:rsid w:val="009B05BE"/>
    <w:rsid w:val="009B1323"/>
    <w:rsid w:val="009B2795"/>
    <w:rsid w:val="009B369C"/>
    <w:rsid w:val="009B43C3"/>
    <w:rsid w:val="009B45D5"/>
    <w:rsid w:val="009B4D5A"/>
    <w:rsid w:val="009B50E4"/>
    <w:rsid w:val="009B5BAD"/>
    <w:rsid w:val="009B6205"/>
    <w:rsid w:val="009B68C8"/>
    <w:rsid w:val="009B698A"/>
    <w:rsid w:val="009B6FDB"/>
    <w:rsid w:val="009B74A6"/>
    <w:rsid w:val="009B788D"/>
    <w:rsid w:val="009B7DCB"/>
    <w:rsid w:val="009C08EA"/>
    <w:rsid w:val="009C09D0"/>
    <w:rsid w:val="009C0C22"/>
    <w:rsid w:val="009C1D9B"/>
    <w:rsid w:val="009C1DD6"/>
    <w:rsid w:val="009C1EB4"/>
    <w:rsid w:val="009C3377"/>
    <w:rsid w:val="009C370E"/>
    <w:rsid w:val="009C3BE9"/>
    <w:rsid w:val="009C3CBF"/>
    <w:rsid w:val="009C43BD"/>
    <w:rsid w:val="009C4F1E"/>
    <w:rsid w:val="009C5056"/>
    <w:rsid w:val="009C59E0"/>
    <w:rsid w:val="009C5A38"/>
    <w:rsid w:val="009C5BD3"/>
    <w:rsid w:val="009C6261"/>
    <w:rsid w:val="009C62E1"/>
    <w:rsid w:val="009C6567"/>
    <w:rsid w:val="009C71DE"/>
    <w:rsid w:val="009C753B"/>
    <w:rsid w:val="009C797D"/>
    <w:rsid w:val="009D00EC"/>
    <w:rsid w:val="009D0282"/>
    <w:rsid w:val="009D02B7"/>
    <w:rsid w:val="009D0BE2"/>
    <w:rsid w:val="009D0CE0"/>
    <w:rsid w:val="009D0DA7"/>
    <w:rsid w:val="009D1ACE"/>
    <w:rsid w:val="009D21EE"/>
    <w:rsid w:val="009D28DC"/>
    <w:rsid w:val="009D2B82"/>
    <w:rsid w:val="009D3C47"/>
    <w:rsid w:val="009D41F8"/>
    <w:rsid w:val="009D4B12"/>
    <w:rsid w:val="009D4E1B"/>
    <w:rsid w:val="009D5F49"/>
    <w:rsid w:val="009D61DA"/>
    <w:rsid w:val="009D6249"/>
    <w:rsid w:val="009D7122"/>
    <w:rsid w:val="009D79D1"/>
    <w:rsid w:val="009D7FED"/>
    <w:rsid w:val="009E0899"/>
    <w:rsid w:val="009E0EB4"/>
    <w:rsid w:val="009E0EEA"/>
    <w:rsid w:val="009E1158"/>
    <w:rsid w:val="009E2539"/>
    <w:rsid w:val="009E297B"/>
    <w:rsid w:val="009E2B9E"/>
    <w:rsid w:val="009E2C76"/>
    <w:rsid w:val="009E2E18"/>
    <w:rsid w:val="009E33D2"/>
    <w:rsid w:val="009E45D9"/>
    <w:rsid w:val="009E521F"/>
    <w:rsid w:val="009E5729"/>
    <w:rsid w:val="009E582E"/>
    <w:rsid w:val="009E588D"/>
    <w:rsid w:val="009E5C2C"/>
    <w:rsid w:val="009E66E6"/>
    <w:rsid w:val="009E68BE"/>
    <w:rsid w:val="009E6C01"/>
    <w:rsid w:val="009E6F0A"/>
    <w:rsid w:val="009E70DF"/>
    <w:rsid w:val="009E7183"/>
    <w:rsid w:val="009E7598"/>
    <w:rsid w:val="009E7D59"/>
    <w:rsid w:val="009E7DEB"/>
    <w:rsid w:val="009E7F7F"/>
    <w:rsid w:val="009F081D"/>
    <w:rsid w:val="009F100E"/>
    <w:rsid w:val="009F2147"/>
    <w:rsid w:val="009F247E"/>
    <w:rsid w:val="009F29D8"/>
    <w:rsid w:val="009F3BF9"/>
    <w:rsid w:val="009F46AC"/>
    <w:rsid w:val="009F5006"/>
    <w:rsid w:val="009F55A5"/>
    <w:rsid w:val="009F5E0A"/>
    <w:rsid w:val="009F645B"/>
    <w:rsid w:val="009F682A"/>
    <w:rsid w:val="009F6911"/>
    <w:rsid w:val="009F72D5"/>
    <w:rsid w:val="009F7D6B"/>
    <w:rsid w:val="009F7DA4"/>
    <w:rsid w:val="00A00526"/>
    <w:rsid w:val="00A00714"/>
    <w:rsid w:val="00A01681"/>
    <w:rsid w:val="00A01779"/>
    <w:rsid w:val="00A0197E"/>
    <w:rsid w:val="00A0259A"/>
    <w:rsid w:val="00A0270A"/>
    <w:rsid w:val="00A0342F"/>
    <w:rsid w:val="00A037CA"/>
    <w:rsid w:val="00A03C60"/>
    <w:rsid w:val="00A041E3"/>
    <w:rsid w:val="00A04717"/>
    <w:rsid w:val="00A05E3B"/>
    <w:rsid w:val="00A0640D"/>
    <w:rsid w:val="00A066AE"/>
    <w:rsid w:val="00A10079"/>
    <w:rsid w:val="00A100B7"/>
    <w:rsid w:val="00A10CDA"/>
    <w:rsid w:val="00A10CEF"/>
    <w:rsid w:val="00A11E78"/>
    <w:rsid w:val="00A120FA"/>
    <w:rsid w:val="00A12235"/>
    <w:rsid w:val="00A125B3"/>
    <w:rsid w:val="00A12B51"/>
    <w:rsid w:val="00A12C68"/>
    <w:rsid w:val="00A12C71"/>
    <w:rsid w:val="00A130C0"/>
    <w:rsid w:val="00A13875"/>
    <w:rsid w:val="00A14964"/>
    <w:rsid w:val="00A14B77"/>
    <w:rsid w:val="00A14C6C"/>
    <w:rsid w:val="00A14DF2"/>
    <w:rsid w:val="00A15307"/>
    <w:rsid w:val="00A15801"/>
    <w:rsid w:val="00A15A76"/>
    <w:rsid w:val="00A15B19"/>
    <w:rsid w:val="00A15C93"/>
    <w:rsid w:val="00A1637D"/>
    <w:rsid w:val="00A163A9"/>
    <w:rsid w:val="00A163CE"/>
    <w:rsid w:val="00A16AF1"/>
    <w:rsid w:val="00A1714E"/>
    <w:rsid w:val="00A172AD"/>
    <w:rsid w:val="00A177E1"/>
    <w:rsid w:val="00A17B1C"/>
    <w:rsid w:val="00A17B80"/>
    <w:rsid w:val="00A202DB"/>
    <w:rsid w:val="00A202EC"/>
    <w:rsid w:val="00A20638"/>
    <w:rsid w:val="00A214CD"/>
    <w:rsid w:val="00A21EE0"/>
    <w:rsid w:val="00A22692"/>
    <w:rsid w:val="00A23752"/>
    <w:rsid w:val="00A24A5E"/>
    <w:rsid w:val="00A25B2B"/>
    <w:rsid w:val="00A25E07"/>
    <w:rsid w:val="00A262C3"/>
    <w:rsid w:val="00A2645B"/>
    <w:rsid w:val="00A2754E"/>
    <w:rsid w:val="00A27C77"/>
    <w:rsid w:val="00A30422"/>
    <w:rsid w:val="00A311CF"/>
    <w:rsid w:val="00A3157A"/>
    <w:rsid w:val="00A31980"/>
    <w:rsid w:val="00A32104"/>
    <w:rsid w:val="00A3213A"/>
    <w:rsid w:val="00A32790"/>
    <w:rsid w:val="00A32AAB"/>
    <w:rsid w:val="00A3433E"/>
    <w:rsid w:val="00A343F6"/>
    <w:rsid w:val="00A34630"/>
    <w:rsid w:val="00A34679"/>
    <w:rsid w:val="00A3480E"/>
    <w:rsid w:val="00A34E3F"/>
    <w:rsid w:val="00A3597C"/>
    <w:rsid w:val="00A3671F"/>
    <w:rsid w:val="00A36D5D"/>
    <w:rsid w:val="00A40A7A"/>
    <w:rsid w:val="00A41284"/>
    <w:rsid w:val="00A412AD"/>
    <w:rsid w:val="00A41399"/>
    <w:rsid w:val="00A420E2"/>
    <w:rsid w:val="00A42223"/>
    <w:rsid w:val="00A429AC"/>
    <w:rsid w:val="00A43D55"/>
    <w:rsid w:val="00A43EE3"/>
    <w:rsid w:val="00A44D26"/>
    <w:rsid w:val="00A4513B"/>
    <w:rsid w:val="00A452D7"/>
    <w:rsid w:val="00A4583D"/>
    <w:rsid w:val="00A464B1"/>
    <w:rsid w:val="00A47860"/>
    <w:rsid w:val="00A505D0"/>
    <w:rsid w:val="00A509BA"/>
    <w:rsid w:val="00A51070"/>
    <w:rsid w:val="00A5180D"/>
    <w:rsid w:val="00A51BBE"/>
    <w:rsid w:val="00A520C6"/>
    <w:rsid w:val="00A5265E"/>
    <w:rsid w:val="00A531D8"/>
    <w:rsid w:val="00A53FD9"/>
    <w:rsid w:val="00A543B8"/>
    <w:rsid w:val="00A548CF"/>
    <w:rsid w:val="00A54D58"/>
    <w:rsid w:val="00A5529D"/>
    <w:rsid w:val="00A553D0"/>
    <w:rsid w:val="00A5686F"/>
    <w:rsid w:val="00A57B3C"/>
    <w:rsid w:val="00A60B0B"/>
    <w:rsid w:val="00A625DB"/>
    <w:rsid w:val="00A6260E"/>
    <w:rsid w:val="00A626F7"/>
    <w:rsid w:val="00A631C7"/>
    <w:rsid w:val="00A63696"/>
    <w:rsid w:val="00A63DC0"/>
    <w:rsid w:val="00A63F51"/>
    <w:rsid w:val="00A64B76"/>
    <w:rsid w:val="00A64CAE"/>
    <w:rsid w:val="00A655A4"/>
    <w:rsid w:val="00A65A8D"/>
    <w:rsid w:val="00A661FD"/>
    <w:rsid w:val="00A665E6"/>
    <w:rsid w:val="00A676A7"/>
    <w:rsid w:val="00A67A75"/>
    <w:rsid w:val="00A702F7"/>
    <w:rsid w:val="00A7143B"/>
    <w:rsid w:val="00A7217F"/>
    <w:rsid w:val="00A724AE"/>
    <w:rsid w:val="00A72B91"/>
    <w:rsid w:val="00A7388D"/>
    <w:rsid w:val="00A74982"/>
    <w:rsid w:val="00A74DED"/>
    <w:rsid w:val="00A74FF3"/>
    <w:rsid w:val="00A752D4"/>
    <w:rsid w:val="00A7574C"/>
    <w:rsid w:val="00A76CD4"/>
    <w:rsid w:val="00A7721F"/>
    <w:rsid w:val="00A77539"/>
    <w:rsid w:val="00A775AB"/>
    <w:rsid w:val="00A775BC"/>
    <w:rsid w:val="00A775D0"/>
    <w:rsid w:val="00A77D74"/>
    <w:rsid w:val="00A77E19"/>
    <w:rsid w:val="00A80043"/>
    <w:rsid w:val="00A80124"/>
    <w:rsid w:val="00A8020D"/>
    <w:rsid w:val="00A805E9"/>
    <w:rsid w:val="00A8096B"/>
    <w:rsid w:val="00A81DF5"/>
    <w:rsid w:val="00A81FEC"/>
    <w:rsid w:val="00A82C0C"/>
    <w:rsid w:val="00A82C41"/>
    <w:rsid w:val="00A83512"/>
    <w:rsid w:val="00A83731"/>
    <w:rsid w:val="00A83EB6"/>
    <w:rsid w:val="00A8403B"/>
    <w:rsid w:val="00A8425D"/>
    <w:rsid w:val="00A854E8"/>
    <w:rsid w:val="00A871D7"/>
    <w:rsid w:val="00A874EC"/>
    <w:rsid w:val="00A91A97"/>
    <w:rsid w:val="00A92A9F"/>
    <w:rsid w:val="00A92B15"/>
    <w:rsid w:val="00A93C56"/>
    <w:rsid w:val="00A940C7"/>
    <w:rsid w:val="00A9435F"/>
    <w:rsid w:val="00A95D7A"/>
    <w:rsid w:val="00A96009"/>
    <w:rsid w:val="00A962E2"/>
    <w:rsid w:val="00A9638C"/>
    <w:rsid w:val="00A96E42"/>
    <w:rsid w:val="00A96F9F"/>
    <w:rsid w:val="00A9730C"/>
    <w:rsid w:val="00A97C0F"/>
    <w:rsid w:val="00A97E39"/>
    <w:rsid w:val="00AA11DE"/>
    <w:rsid w:val="00AA11FE"/>
    <w:rsid w:val="00AA1295"/>
    <w:rsid w:val="00AA131F"/>
    <w:rsid w:val="00AA259A"/>
    <w:rsid w:val="00AA2836"/>
    <w:rsid w:val="00AA33ED"/>
    <w:rsid w:val="00AA43FD"/>
    <w:rsid w:val="00AA4BB1"/>
    <w:rsid w:val="00AA526F"/>
    <w:rsid w:val="00AA588B"/>
    <w:rsid w:val="00AA590B"/>
    <w:rsid w:val="00AA5F1B"/>
    <w:rsid w:val="00AA607E"/>
    <w:rsid w:val="00AA67BF"/>
    <w:rsid w:val="00AA67D5"/>
    <w:rsid w:val="00AA6EB2"/>
    <w:rsid w:val="00AA70B6"/>
    <w:rsid w:val="00AA7138"/>
    <w:rsid w:val="00AA725D"/>
    <w:rsid w:val="00AB045E"/>
    <w:rsid w:val="00AB0C1C"/>
    <w:rsid w:val="00AB1550"/>
    <w:rsid w:val="00AB1FDA"/>
    <w:rsid w:val="00AB2257"/>
    <w:rsid w:val="00AB22C7"/>
    <w:rsid w:val="00AB3317"/>
    <w:rsid w:val="00AB34F9"/>
    <w:rsid w:val="00AB3956"/>
    <w:rsid w:val="00AB4BC5"/>
    <w:rsid w:val="00AB4CD7"/>
    <w:rsid w:val="00AB55BA"/>
    <w:rsid w:val="00AB5DAE"/>
    <w:rsid w:val="00AB5FC6"/>
    <w:rsid w:val="00AB61E0"/>
    <w:rsid w:val="00AB78DE"/>
    <w:rsid w:val="00AC006E"/>
    <w:rsid w:val="00AC0967"/>
    <w:rsid w:val="00AC1462"/>
    <w:rsid w:val="00AC30AA"/>
    <w:rsid w:val="00AC31B9"/>
    <w:rsid w:val="00AC409E"/>
    <w:rsid w:val="00AC4D94"/>
    <w:rsid w:val="00AC55B2"/>
    <w:rsid w:val="00AC5CFD"/>
    <w:rsid w:val="00AC6042"/>
    <w:rsid w:val="00AC6783"/>
    <w:rsid w:val="00AC7009"/>
    <w:rsid w:val="00AC72A8"/>
    <w:rsid w:val="00AC7D8E"/>
    <w:rsid w:val="00AD021A"/>
    <w:rsid w:val="00AD0944"/>
    <w:rsid w:val="00AD0E0C"/>
    <w:rsid w:val="00AD12EB"/>
    <w:rsid w:val="00AD16AF"/>
    <w:rsid w:val="00AD16F6"/>
    <w:rsid w:val="00AD1C81"/>
    <w:rsid w:val="00AD395B"/>
    <w:rsid w:val="00AD4A7D"/>
    <w:rsid w:val="00AD594A"/>
    <w:rsid w:val="00AD594F"/>
    <w:rsid w:val="00AD5F6A"/>
    <w:rsid w:val="00AD6641"/>
    <w:rsid w:val="00AD66A6"/>
    <w:rsid w:val="00AD712C"/>
    <w:rsid w:val="00AD7801"/>
    <w:rsid w:val="00AE06FD"/>
    <w:rsid w:val="00AE0D8E"/>
    <w:rsid w:val="00AE1225"/>
    <w:rsid w:val="00AE1822"/>
    <w:rsid w:val="00AE21DE"/>
    <w:rsid w:val="00AE22E4"/>
    <w:rsid w:val="00AE2A3E"/>
    <w:rsid w:val="00AE37A9"/>
    <w:rsid w:val="00AE4B81"/>
    <w:rsid w:val="00AE5144"/>
    <w:rsid w:val="00AE5FB5"/>
    <w:rsid w:val="00AE6A9B"/>
    <w:rsid w:val="00AE7838"/>
    <w:rsid w:val="00AF2154"/>
    <w:rsid w:val="00AF233B"/>
    <w:rsid w:val="00AF282E"/>
    <w:rsid w:val="00AF28C2"/>
    <w:rsid w:val="00AF318F"/>
    <w:rsid w:val="00AF3CA4"/>
    <w:rsid w:val="00AF3FE8"/>
    <w:rsid w:val="00AF4252"/>
    <w:rsid w:val="00AF4AAC"/>
    <w:rsid w:val="00AF4B0C"/>
    <w:rsid w:val="00AF4B54"/>
    <w:rsid w:val="00AF4E39"/>
    <w:rsid w:val="00AF502C"/>
    <w:rsid w:val="00AF59A0"/>
    <w:rsid w:val="00AF6409"/>
    <w:rsid w:val="00AF67CE"/>
    <w:rsid w:val="00AF6A70"/>
    <w:rsid w:val="00AF6F4B"/>
    <w:rsid w:val="00AF7654"/>
    <w:rsid w:val="00AF7AC6"/>
    <w:rsid w:val="00B000C1"/>
    <w:rsid w:val="00B0040C"/>
    <w:rsid w:val="00B00AD8"/>
    <w:rsid w:val="00B00C15"/>
    <w:rsid w:val="00B0126A"/>
    <w:rsid w:val="00B01684"/>
    <w:rsid w:val="00B016C6"/>
    <w:rsid w:val="00B020A7"/>
    <w:rsid w:val="00B02A41"/>
    <w:rsid w:val="00B03C9B"/>
    <w:rsid w:val="00B03EDD"/>
    <w:rsid w:val="00B04044"/>
    <w:rsid w:val="00B0423E"/>
    <w:rsid w:val="00B04555"/>
    <w:rsid w:val="00B04852"/>
    <w:rsid w:val="00B04AB8"/>
    <w:rsid w:val="00B053A5"/>
    <w:rsid w:val="00B0551B"/>
    <w:rsid w:val="00B05544"/>
    <w:rsid w:val="00B05654"/>
    <w:rsid w:val="00B06657"/>
    <w:rsid w:val="00B07237"/>
    <w:rsid w:val="00B07E1E"/>
    <w:rsid w:val="00B11820"/>
    <w:rsid w:val="00B126E9"/>
    <w:rsid w:val="00B128DC"/>
    <w:rsid w:val="00B13727"/>
    <w:rsid w:val="00B137C6"/>
    <w:rsid w:val="00B147F4"/>
    <w:rsid w:val="00B1660A"/>
    <w:rsid w:val="00B168FC"/>
    <w:rsid w:val="00B16B83"/>
    <w:rsid w:val="00B16C2A"/>
    <w:rsid w:val="00B171F6"/>
    <w:rsid w:val="00B17522"/>
    <w:rsid w:val="00B17C59"/>
    <w:rsid w:val="00B17E1D"/>
    <w:rsid w:val="00B17EE0"/>
    <w:rsid w:val="00B20455"/>
    <w:rsid w:val="00B208D2"/>
    <w:rsid w:val="00B20D65"/>
    <w:rsid w:val="00B22987"/>
    <w:rsid w:val="00B22C36"/>
    <w:rsid w:val="00B23126"/>
    <w:rsid w:val="00B23E89"/>
    <w:rsid w:val="00B24C14"/>
    <w:rsid w:val="00B24E2C"/>
    <w:rsid w:val="00B257F2"/>
    <w:rsid w:val="00B25D33"/>
    <w:rsid w:val="00B260E7"/>
    <w:rsid w:val="00B262F3"/>
    <w:rsid w:val="00B26A33"/>
    <w:rsid w:val="00B26B68"/>
    <w:rsid w:val="00B2789A"/>
    <w:rsid w:val="00B30341"/>
    <w:rsid w:val="00B30452"/>
    <w:rsid w:val="00B304D9"/>
    <w:rsid w:val="00B3087C"/>
    <w:rsid w:val="00B30E60"/>
    <w:rsid w:val="00B3159B"/>
    <w:rsid w:val="00B3205B"/>
    <w:rsid w:val="00B32193"/>
    <w:rsid w:val="00B32F02"/>
    <w:rsid w:val="00B32F95"/>
    <w:rsid w:val="00B33565"/>
    <w:rsid w:val="00B343F2"/>
    <w:rsid w:val="00B344C4"/>
    <w:rsid w:val="00B34778"/>
    <w:rsid w:val="00B3531E"/>
    <w:rsid w:val="00B355B1"/>
    <w:rsid w:val="00B3563A"/>
    <w:rsid w:val="00B35691"/>
    <w:rsid w:val="00B37247"/>
    <w:rsid w:val="00B37326"/>
    <w:rsid w:val="00B373E2"/>
    <w:rsid w:val="00B4092F"/>
    <w:rsid w:val="00B40AB2"/>
    <w:rsid w:val="00B40B8F"/>
    <w:rsid w:val="00B40B9B"/>
    <w:rsid w:val="00B410D5"/>
    <w:rsid w:val="00B41ED7"/>
    <w:rsid w:val="00B41F2F"/>
    <w:rsid w:val="00B42323"/>
    <w:rsid w:val="00B424B1"/>
    <w:rsid w:val="00B42919"/>
    <w:rsid w:val="00B42E67"/>
    <w:rsid w:val="00B43684"/>
    <w:rsid w:val="00B439B2"/>
    <w:rsid w:val="00B441CE"/>
    <w:rsid w:val="00B44527"/>
    <w:rsid w:val="00B449B5"/>
    <w:rsid w:val="00B44FF3"/>
    <w:rsid w:val="00B45102"/>
    <w:rsid w:val="00B45FA7"/>
    <w:rsid w:val="00B463EE"/>
    <w:rsid w:val="00B467CE"/>
    <w:rsid w:val="00B46DB2"/>
    <w:rsid w:val="00B46E43"/>
    <w:rsid w:val="00B47154"/>
    <w:rsid w:val="00B47A72"/>
    <w:rsid w:val="00B50B78"/>
    <w:rsid w:val="00B50E34"/>
    <w:rsid w:val="00B5240C"/>
    <w:rsid w:val="00B52462"/>
    <w:rsid w:val="00B52D76"/>
    <w:rsid w:val="00B52F6C"/>
    <w:rsid w:val="00B531DF"/>
    <w:rsid w:val="00B53BFA"/>
    <w:rsid w:val="00B53E21"/>
    <w:rsid w:val="00B54180"/>
    <w:rsid w:val="00B54CA8"/>
    <w:rsid w:val="00B55020"/>
    <w:rsid w:val="00B55126"/>
    <w:rsid w:val="00B55B33"/>
    <w:rsid w:val="00B55EE7"/>
    <w:rsid w:val="00B562B0"/>
    <w:rsid w:val="00B566EF"/>
    <w:rsid w:val="00B5697A"/>
    <w:rsid w:val="00B570FE"/>
    <w:rsid w:val="00B5748C"/>
    <w:rsid w:val="00B57BBD"/>
    <w:rsid w:val="00B60274"/>
    <w:rsid w:val="00B60639"/>
    <w:rsid w:val="00B607EE"/>
    <w:rsid w:val="00B60923"/>
    <w:rsid w:val="00B609C3"/>
    <w:rsid w:val="00B60C0D"/>
    <w:rsid w:val="00B612DD"/>
    <w:rsid w:val="00B61DC1"/>
    <w:rsid w:val="00B61FDB"/>
    <w:rsid w:val="00B6267F"/>
    <w:rsid w:val="00B6354C"/>
    <w:rsid w:val="00B636AD"/>
    <w:rsid w:val="00B63CAB"/>
    <w:rsid w:val="00B63EE3"/>
    <w:rsid w:val="00B64379"/>
    <w:rsid w:val="00B65861"/>
    <w:rsid w:val="00B65CC2"/>
    <w:rsid w:val="00B66183"/>
    <w:rsid w:val="00B6630A"/>
    <w:rsid w:val="00B66351"/>
    <w:rsid w:val="00B6673B"/>
    <w:rsid w:val="00B675E1"/>
    <w:rsid w:val="00B70BC1"/>
    <w:rsid w:val="00B70E7F"/>
    <w:rsid w:val="00B70EA8"/>
    <w:rsid w:val="00B7168D"/>
    <w:rsid w:val="00B7178E"/>
    <w:rsid w:val="00B71A16"/>
    <w:rsid w:val="00B71C1A"/>
    <w:rsid w:val="00B71C4C"/>
    <w:rsid w:val="00B73067"/>
    <w:rsid w:val="00B7416B"/>
    <w:rsid w:val="00B74500"/>
    <w:rsid w:val="00B74912"/>
    <w:rsid w:val="00B74DD1"/>
    <w:rsid w:val="00B75355"/>
    <w:rsid w:val="00B75465"/>
    <w:rsid w:val="00B75BE0"/>
    <w:rsid w:val="00B75DF1"/>
    <w:rsid w:val="00B76A4D"/>
    <w:rsid w:val="00B7700B"/>
    <w:rsid w:val="00B801F5"/>
    <w:rsid w:val="00B810D2"/>
    <w:rsid w:val="00B81479"/>
    <w:rsid w:val="00B81BEC"/>
    <w:rsid w:val="00B81E9D"/>
    <w:rsid w:val="00B823DC"/>
    <w:rsid w:val="00B83868"/>
    <w:rsid w:val="00B8407E"/>
    <w:rsid w:val="00B84097"/>
    <w:rsid w:val="00B84125"/>
    <w:rsid w:val="00B84C96"/>
    <w:rsid w:val="00B84E43"/>
    <w:rsid w:val="00B8500E"/>
    <w:rsid w:val="00B85EEE"/>
    <w:rsid w:val="00B85FC6"/>
    <w:rsid w:val="00B87F6D"/>
    <w:rsid w:val="00B90266"/>
    <w:rsid w:val="00B9099A"/>
    <w:rsid w:val="00B90C6F"/>
    <w:rsid w:val="00B91CC9"/>
    <w:rsid w:val="00B91D25"/>
    <w:rsid w:val="00B91E6D"/>
    <w:rsid w:val="00B92494"/>
    <w:rsid w:val="00B927AA"/>
    <w:rsid w:val="00B92BE5"/>
    <w:rsid w:val="00B92CB5"/>
    <w:rsid w:val="00B92E3C"/>
    <w:rsid w:val="00B938BF"/>
    <w:rsid w:val="00B94231"/>
    <w:rsid w:val="00B942BA"/>
    <w:rsid w:val="00B94748"/>
    <w:rsid w:val="00B94C8A"/>
    <w:rsid w:val="00B97B17"/>
    <w:rsid w:val="00B97E6C"/>
    <w:rsid w:val="00BA0136"/>
    <w:rsid w:val="00BA040B"/>
    <w:rsid w:val="00BA09D9"/>
    <w:rsid w:val="00BA0A5B"/>
    <w:rsid w:val="00BA0C0D"/>
    <w:rsid w:val="00BA0D75"/>
    <w:rsid w:val="00BA0ECF"/>
    <w:rsid w:val="00BA13A2"/>
    <w:rsid w:val="00BA14B5"/>
    <w:rsid w:val="00BA243F"/>
    <w:rsid w:val="00BA29BB"/>
    <w:rsid w:val="00BA2DD1"/>
    <w:rsid w:val="00BA314D"/>
    <w:rsid w:val="00BA3AD3"/>
    <w:rsid w:val="00BA5FAB"/>
    <w:rsid w:val="00BA6185"/>
    <w:rsid w:val="00BA69CE"/>
    <w:rsid w:val="00BA7175"/>
    <w:rsid w:val="00BA77FE"/>
    <w:rsid w:val="00BA7ACC"/>
    <w:rsid w:val="00BA7CE8"/>
    <w:rsid w:val="00BB08A9"/>
    <w:rsid w:val="00BB0B17"/>
    <w:rsid w:val="00BB0C7D"/>
    <w:rsid w:val="00BB0F60"/>
    <w:rsid w:val="00BB1E0F"/>
    <w:rsid w:val="00BB21D3"/>
    <w:rsid w:val="00BB22D7"/>
    <w:rsid w:val="00BB2B33"/>
    <w:rsid w:val="00BB2BCD"/>
    <w:rsid w:val="00BB2F4C"/>
    <w:rsid w:val="00BB325B"/>
    <w:rsid w:val="00BB3ADA"/>
    <w:rsid w:val="00BB3C27"/>
    <w:rsid w:val="00BB3E89"/>
    <w:rsid w:val="00BB3F9E"/>
    <w:rsid w:val="00BB3FB3"/>
    <w:rsid w:val="00BB405B"/>
    <w:rsid w:val="00BB42BE"/>
    <w:rsid w:val="00BB460B"/>
    <w:rsid w:val="00BB514B"/>
    <w:rsid w:val="00BB5E57"/>
    <w:rsid w:val="00BB60CC"/>
    <w:rsid w:val="00BB6BD9"/>
    <w:rsid w:val="00BB7169"/>
    <w:rsid w:val="00BB7198"/>
    <w:rsid w:val="00BC0334"/>
    <w:rsid w:val="00BC0992"/>
    <w:rsid w:val="00BC09D2"/>
    <w:rsid w:val="00BC12EE"/>
    <w:rsid w:val="00BC15BF"/>
    <w:rsid w:val="00BC1AA3"/>
    <w:rsid w:val="00BC1D6B"/>
    <w:rsid w:val="00BC4239"/>
    <w:rsid w:val="00BC495A"/>
    <w:rsid w:val="00BC4996"/>
    <w:rsid w:val="00BC7830"/>
    <w:rsid w:val="00BD06A5"/>
    <w:rsid w:val="00BD2110"/>
    <w:rsid w:val="00BD3EF3"/>
    <w:rsid w:val="00BD4019"/>
    <w:rsid w:val="00BD40C8"/>
    <w:rsid w:val="00BD42B2"/>
    <w:rsid w:val="00BD50F2"/>
    <w:rsid w:val="00BD52BE"/>
    <w:rsid w:val="00BD54EE"/>
    <w:rsid w:val="00BD55EB"/>
    <w:rsid w:val="00BD62F0"/>
    <w:rsid w:val="00BD669C"/>
    <w:rsid w:val="00BD78F2"/>
    <w:rsid w:val="00BD7DEC"/>
    <w:rsid w:val="00BE0A28"/>
    <w:rsid w:val="00BE0C24"/>
    <w:rsid w:val="00BE0E54"/>
    <w:rsid w:val="00BE0EE6"/>
    <w:rsid w:val="00BE174A"/>
    <w:rsid w:val="00BE24E6"/>
    <w:rsid w:val="00BE2915"/>
    <w:rsid w:val="00BE34E5"/>
    <w:rsid w:val="00BE380C"/>
    <w:rsid w:val="00BE4244"/>
    <w:rsid w:val="00BE43BF"/>
    <w:rsid w:val="00BE46D4"/>
    <w:rsid w:val="00BE49E1"/>
    <w:rsid w:val="00BE4BC6"/>
    <w:rsid w:val="00BE4E01"/>
    <w:rsid w:val="00BE5185"/>
    <w:rsid w:val="00BE5793"/>
    <w:rsid w:val="00BE57CB"/>
    <w:rsid w:val="00BE682C"/>
    <w:rsid w:val="00BE6992"/>
    <w:rsid w:val="00BE7C8E"/>
    <w:rsid w:val="00BF0145"/>
    <w:rsid w:val="00BF05A7"/>
    <w:rsid w:val="00BF0B46"/>
    <w:rsid w:val="00BF0BC2"/>
    <w:rsid w:val="00BF0C43"/>
    <w:rsid w:val="00BF1E13"/>
    <w:rsid w:val="00BF1F90"/>
    <w:rsid w:val="00BF23E3"/>
    <w:rsid w:val="00BF2823"/>
    <w:rsid w:val="00BF39B9"/>
    <w:rsid w:val="00BF4313"/>
    <w:rsid w:val="00BF4CCA"/>
    <w:rsid w:val="00BF4D21"/>
    <w:rsid w:val="00BF5183"/>
    <w:rsid w:val="00BF5D39"/>
    <w:rsid w:val="00BF5EE7"/>
    <w:rsid w:val="00BF6104"/>
    <w:rsid w:val="00BF6339"/>
    <w:rsid w:val="00BF65F5"/>
    <w:rsid w:val="00C00450"/>
    <w:rsid w:val="00C01057"/>
    <w:rsid w:val="00C01743"/>
    <w:rsid w:val="00C028BE"/>
    <w:rsid w:val="00C02CCE"/>
    <w:rsid w:val="00C0328B"/>
    <w:rsid w:val="00C03888"/>
    <w:rsid w:val="00C045E7"/>
    <w:rsid w:val="00C04A99"/>
    <w:rsid w:val="00C05226"/>
    <w:rsid w:val="00C052AC"/>
    <w:rsid w:val="00C0538B"/>
    <w:rsid w:val="00C057FE"/>
    <w:rsid w:val="00C058B4"/>
    <w:rsid w:val="00C05B5F"/>
    <w:rsid w:val="00C05BAD"/>
    <w:rsid w:val="00C05E04"/>
    <w:rsid w:val="00C0616F"/>
    <w:rsid w:val="00C06844"/>
    <w:rsid w:val="00C06A48"/>
    <w:rsid w:val="00C06B8A"/>
    <w:rsid w:val="00C07EA5"/>
    <w:rsid w:val="00C10635"/>
    <w:rsid w:val="00C1074A"/>
    <w:rsid w:val="00C10AD8"/>
    <w:rsid w:val="00C11047"/>
    <w:rsid w:val="00C1162F"/>
    <w:rsid w:val="00C122DD"/>
    <w:rsid w:val="00C12887"/>
    <w:rsid w:val="00C13269"/>
    <w:rsid w:val="00C13463"/>
    <w:rsid w:val="00C14373"/>
    <w:rsid w:val="00C148BD"/>
    <w:rsid w:val="00C14BF7"/>
    <w:rsid w:val="00C1542D"/>
    <w:rsid w:val="00C158FB"/>
    <w:rsid w:val="00C160D8"/>
    <w:rsid w:val="00C171F3"/>
    <w:rsid w:val="00C20247"/>
    <w:rsid w:val="00C204DB"/>
    <w:rsid w:val="00C205D5"/>
    <w:rsid w:val="00C2070B"/>
    <w:rsid w:val="00C214AC"/>
    <w:rsid w:val="00C21544"/>
    <w:rsid w:val="00C21952"/>
    <w:rsid w:val="00C229E3"/>
    <w:rsid w:val="00C22CB0"/>
    <w:rsid w:val="00C230D4"/>
    <w:rsid w:val="00C237EF"/>
    <w:rsid w:val="00C23980"/>
    <w:rsid w:val="00C24DC5"/>
    <w:rsid w:val="00C24EF8"/>
    <w:rsid w:val="00C24FDE"/>
    <w:rsid w:val="00C25339"/>
    <w:rsid w:val="00C267EA"/>
    <w:rsid w:val="00C26BB3"/>
    <w:rsid w:val="00C26F1F"/>
    <w:rsid w:val="00C2713F"/>
    <w:rsid w:val="00C27736"/>
    <w:rsid w:val="00C3037A"/>
    <w:rsid w:val="00C304DA"/>
    <w:rsid w:val="00C311D9"/>
    <w:rsid w:val="00C31D8E"/>
    <w:rsid w:val="00C329EC"/>
    <w:rsid w:val="00C32D78"/>
    <w:rsid w:val="00C332B8"/>
    <w:rsid w:val="00C334EE"/>
    <w:rsid w:val="00C336FD"/>
    <w:rsid w:val="00C33B0D"/>
    <w:rsid w:val="00C33C87"/>
    <w:rsid w:val="00C34576"/>
    <w:rsid w:val="00C35FFB"/>
    <w:rsid w:val="00C36066"/>
    <w:rsid w:val="00C3642F"/>
    <w:rsid w:val="00C3643B"/>
    <w:rsid w:val="00C365F5"/>
    <w:rsid w:val="00C37CA4"/>
    <w:rsid w:val="00C40441"/>
    <w:rsid w:val="00C417D5"/>
    <w:rsid w:val="00C4258B"/>
    <w:rsid w:val="00C426F6"/>
    <w:rsid w:val="00C4280B"/>
    <w:rsid w:val="00C42B81"/>
    <w:rsid w:val="00C42D4C"/>
    <w:rsid w:val="00C43401"/>
    <w:rsid w:val="00C43B49"/>
    <w:rsid w:val="00C43E07"/>
    <w:rsid w:val="00C43FB8"/>
    <w:rsid w:val="00C4427A"/>
    <w:rsid w:val="00C45411"/>
    <w:rsid w:val="00C45EA3"/>
    <w:rsid w:val="00C4622C"/>
    <w:rsid w:val="00C4744F"/>
    <w:rsid w:val="00C4786C"/>
    <w:rsid w:val="00C47D2D"/>
    <w:rsid w:val="00C51E18"/>
    <w:rsid w:val="00C52216"/>
    <w:rsid w:val="00C5233D"/>
    <w:rsid w:val="00C52931"/>
    <w:rsid w:val="00C534E4"/>
    <w:rsid w:val="00C5374E"/>
    <w:rsid w:val="00C53B25"/>
    <w:rsid w:val="00C53D44"/>
    <w:rsid w:val="00C53DD0"/>
    <w:rsid w:val="00C54084"/>
    <w:rsid w:val="00C5414A"/>
    <w:rsid w:val="00C546E6"/>
    <w:rsid w:val="00C54896"/>
    <w:rsid w:val="00C54D53"/>
    <w:rsid w:val="00C54F6B"/>
    <w:rsid w:val="00C5595D"/>
    <w:rsid w:val="00C563A7"/>
    <w:rsid w:val="00C56A77"/>
    <w:rsid w:val="00C56A98"/>
    <w:rsid w:val="00C57195"/>
    <w:rsid w:val="00C576E6"/>
    <w:rsid w:val="00C60553"/>
    <w:rsid w:val="00C60B4F"/>
    <w:rsid w:val="00C60D11"/>
    <w:rsid w:val="00C6191B"/>
    <w:rsid w:val="00C6210C"/>
    <w:rsid w:val="00C62EF1"/>
    <w:rsid w:val="00C64FBE"/>
    <w:rsid w:val="00C652C8"/>
    <w:rsid w:val="00C65D2D"/>
    <w:rsid w:val="00C664DB"/>
    <w:rsid w:val="00C66B61"/>
    <w:rsid w:val="00C67335"/>
    <w:rsid w:val="00C6740E"/>
    <w:rsid w:val="00C675AB"/>
    <w:rsid w:val="00C678B9"/>
    <w:rsid w:val="00C7065A"/>
    <w:rsid w:val="00C707E7"/>
    <w:rsid w:val="00C70805"/>
    <w:rsid w:val="00C710D6"/>
    <w:rsid w:val="00C72561"/>
    <w:rsid w:val="00C72812"/>
    <w:rsid w:val="00C72A6F"/>
    <w:rsid w:val="00C72DBA"/>
    <w:rsid w:val="00C734BB"/>
    <w:rsid w:val="00C75CD0"/>
    <w:rsid w:val="00C762B9"/>
    <w:rsid w:val="00C765CF"/>
    <w:rsid w:val="00C76BAA"/>
    <w:rsid w:val="00C779BB"/>
    <w:rsid w:val="00C779BF"/>
    <w:rsid w:val="00C77DE3"/>
    <w:rsid w:val="00C8040D"/>
    <w:rsid w:val="00C809A9"/>
    <w:rsid w:val="00C80C30"/>
    <w:rsid w:val="00C81524"/>
    <w:rsid w:val="00C81EB7"/>
    <w:rsid w:val="00C81F2F"/>
    <w:rsid w:val="00C822AC"/>
    <w:rsid w:val="00C8256B"/>
    <w:rsid w:val="00C828CA"/>
    <w:rsid w:val="00C82D12"/>
    <w:rsid w:val="00C83077"/>
    <w:rsid w:val="00C83116"/>
    <w:rsid w:val="00C83318"/>
    <w:rsid w:val="00C83CDC"/>
    <w:rsid w:val="00C848B4"/>
    <w:rsid w:val="00C855B3"/>
    <w:rsid w:val="00C85F36"/>
    <w:rsid w:val="00C87E9B"/>
    <w:rsid w:val="00C90BA7"/>
    <w:rsid w:val="00C90FF5"/>
    <w:rsid w:val="00C91B84"/>
    <w:rsid w:val="00C91F0F"/>
    <w:rsid w:val="00C9272B"/>
    <w:rsid w:val="00C92A95"/>
    <w:rsid w:val="00C9311D"/>
    <w:rsid w:val="00C9391B"/>
    <w:rsid w:val="00C93B26"/>
    <w:rsid w:val="00C93BAB"/>
    <w:rsid w:val="00C93F43"/>
    <w:rsid w:val="00C94065"/>
    <w:rsid w:val="00C95123"/>
    <w:rsid w:val="00C9571C"/>
    <w:rsid w:val="00C96971"/>
    <w:rsid w:val="00C97598"/>
    <w:rsid w:val="00C97A97"/>
    <w:rsid w:val="00C97C4C"/>
    <w:rsid w:val="00C97FC5"/>
    <w:rsid w:val="00CA0710"/>
    <w:rsid w:val="00CA084E"/>
    <w:rsid w:val="00CA09E5"/>
    <w:rsid w:val="00CA0BA8"/>
    <w:rsid w:val="00CA1D50"/>
    <w:rsid w:val="00CA2C07"/>
    <w:rsid w:val="00CA3D44"/>
    <w:rsid w:val="00CA474A"/>
    <w:rsid w:val="00CA4DC4"/>
    <w:rsid w:val="00CA5219"/>
    <w:rsid w:val="00CA54DE"/>
    <w:rsid w:val="00CA5933"/>
    <w:rsid w:val="00CA59F3"/>
    <w:rsid w:val="00CA62BC"/>
    <w:rsid w:val="00CA6610"/>
    <w:rsid w:val="00CA694C"/>
    <w:rsid w:val="00CA69D5"/>
    <w:rsid w:val="00CA6D1C"/>
    <w:rsid w:val="00CA7105"/>
    <w:rsid w:val="00CA7166"/>
    <w:rsid w:val="00CA74E1"/>
    <w:rsid w:val="00CA7B47"/>
    <w:rsid w:val="00CB0512"/>
    <w:rsid w:val="00CB2428"/>
    <w:rsid w:val="00CB275C"/>
    <w:rsid w:val="00CB28C5"/>
    <w:rsid w:val="00CB2B41"/>
    <w:rsid w:val="00CB2ECE"/>
    <w:rsid w:val="00CB3F3C"/>
    <w:rsid w:val="00CB485A"/>
    <w:rsid w:val="00CB518B"/>
    <w:rsid w:val="00CB57CD"/>
    <w:rsid w:val="00CB5C27"/>
    <w:rsid w:val="00CB6370"/>
    <w:rsid w:val="00CB6ED5"/>
    <w:rsid w:val="00CB6F86"/>
    <w:rsid w:val="00CB7153"/>
    <w:rsid w:val="00CB71C4"/>
    <w:rsid w:val="00CB7E8B"/>
    <w:rsid w:val="00CC00B3"/>
    <w:rsid w:val="00CC062F"/>
    <w:rsid w:val="00CC0C1E"/>
    <w:rsid w:val="00CC1146"/>
    <w:rsid w:val="00CC195B"/>
    <w:rsid w:val="00CC2272"/>
    <w:rsid w:val="00CC2626"/>
    <w:rsid w:val="00CC2A18"/>
    <w:rsid w:val="00CC3432"/>
    <w:rsid w:val="00CC35F4"/>
    <w:rsid w:val="00CC470A"/>
    <w:rsid w:val="00CC4767"/>
    <w:rsid w:val="00CC54B9"/>
    <w:rsid w:val="00CC7604"/>
    <w:rsid w:val="00CC767E"/>
    <w:rsid w:val="00CC78F0"/>
    <w:rsid w:val="00CD065B"/>
    <w:rsid w:val="00CD121F"/>
    <w:rsid w:val="00CD16DD"/>
    <w:rsid w:val="00CD20C0"/>
    <w:rsid w:val="00CD3649"/>
    <w:rsid w:val="00CD3A28"/>
    <w:rsid w:val="00CD3ACC"/>
    <w:rsid w:val="00CD44E8"/>
    <w:rsid w:val="00CD4B5D"/>
    <w:rsid w:val="00CD4C02"/>
    <w:rsid w:val="00CD4E35"/>
    <w:rsid w:val="00CD51DA"/>
    <w:rsid w:val="00CD60E3"/>
    <w:rsid w:val="00CD6274"/>
    <w:rsid w:val="00CD7091"/>
    <w:rsid w:val="00CD791E"/>
    <w:rsid w:val="00CD7BFB"/>
    <w:rsid w:val="00CE099A"/>
    <w:rsid w:val="00CE09D1"/>
    <w:rsid w:val="00CE0C7B"/>
    <w:rsid w:val="00CE11F6"/>
    <w:rsid w:val="00CE183E"/>
    <w:rsid w:val="00CE1D7D"/>
    <w:rsid w:val="00CE1F5B"/>
    <w:rsid w:val="00CE2440"/>
    <w:rsid w:val="00CE2B0C"/>
    <w:rsid w:val="00CE2B7C"/>
    <w:rsid w:val="00CE3096"/>
    <w:rsid w:val="00CE31DC"/>
    <w:rsid w:val="00CE324B"/>
    <w:rsid w:val="00CE326A"/>
    <w:rsid w:val="00CE50D8"/>
    <w:rsid w:val="00CE514A"/>
    <w:rsid w:val="00CE5968"/>
    <w:rsid w:val="00CE6179"/>
    <w:rsid w:val="00CE697C"/>
    <w:rsid w:val="00CE7215"/>
    <w:rsid w:val="00CE74B7"/>
    <w:rsid w:val="00CE78B3"/>
    <w:rsid w:val="00CE7B44"/>
    <w:rsid w:val="00CF025C"/>
    <w:rsid w:val="00CF1168"/>
    <w:rsid w:val="00CF12F1"/>
    <w:rsid w:val="00CF17D1"/>
    <w:rsid w:val="00CF203A"/>
    <w:rsid w:val="00CF318D"/>
    <w:rsid w:val="00CF34AC"/>
    <w:rsid w:val="00CF3B2C"/>
    <w:rsid w:val="00CF40EA"/>
    <w:rsid w:val="00CF4280"/>
    <w:rsid w:val="00CF4D76"/>
    <w:rsid w:val="00CF5318"/>
    <w:rsid w:val="00CF53FE"/>
    <w:rsid w:val="00CF674E"/>
    <w:rsid w:val="00CF6AFF"/>
    <w:rsid w:val="00CF6DC8"/>
    <w:rsid w:val="00CF71ED"/>
    <w:rsid w:val="00CF742E"/>
    <w:rsid w:val="00CF7ADC"/>
    <w:rsid w:val="00D014D1"/>
    <w:rsid w:val="00D02573"/>
    <w:rsid w:val="00D02628"/>
    <w:rsid w:val="00D02813"/>
    <w:rsid w:val="00D02E7E"/>
    <w:rsid w:val="00D0363B"/>
    <w:rsid w:val="00D05236"/>
    <w:rsid w:val="00D05320"/>
    <w:rsid w:val="00D054F6"/>
    <w:rsid w:val="00D076EB"/>
    <w:rsid w:val="00D101D5"/>
    <w:rsid w:val="00D102F0"/>
    <w:rsid w:val="00D10C16"/>
    <w:rsid w:val="00D10C5E"/>
    <w:rsid w:val="00D10D1A"/>
    <w:rsid w:val="00D10D4D"/>
    <w:rsid w:val="00D115A6"/>
    <w:rsid w:val="00D119A1"/>
    <w:rsid w:val="00D11DD4"/>
    <w:rsid w:val="00D12802"/>
    <w:rsid w:val="00D14266"/>
    <w:rsid w:val="00D1428D"/>
    <w:rsid w:val="00D14A77"/>
    <w:rsid w:val="00D150EA"/>
    <w:rsid w:val="00D154DB"/>
    <w:rsid w:val="00D15680"/>
    <w:rsid w:val="00D15A0A"/>
    <w:rsid w:val="00D1671C"/>
    <w:rsid w:val="00D16C89"/>
    <w:rsid w:val="00D16DB6"/>
    <w:rsid w:val="00D17076"/>
    <w:rsid w:val="00D20611"/>
    <w:rsid w:val="00D20C2B"/>
    <w:rsid w:val="00D20E85"/>
    <w:rsid w:val="00D21640"/>
    <w:rsid w:val="00D218A0"/>
    <w:rsid w:val="00D21AF1"/>
    <w:rsid w:val="00D22498"/>
    <w:rsid w:val="00D22B0E"/>
    <w:rsid w:val="00D22ECC"/>
    <w:rsid w:val="00D2391D"/>
    <w:rsid w:val="00D24D9A"/>
    <w:rsid w:val="00D251C7"/>
    <w:rsid w:val="00D25F1C"/>
    <w:rsid w:val="00D264A1"/>
    <w:rsid w:val="00D27371"/>
    <w:rsid w:val="00D2760F"/>
    <w:rsid w:val="00D278BE"/>
    <w:rsid w:val="00D31CC2"/>
    <w:rsid w:val="00D31E2E"/>
    <w:rsid w:val="00D32032"/>
    <w:rsid w:val="00D32FA8"/>
    <w:rsid w:val="00D33E27"/>
    <w:rsid w:val="00D33F4E"/>
    <w:rsid w:val="00D34A5B"/>
    <w:rsid w:val="00D354FB"/>
    <w:rsid w:val="00D35875"/>
    <w:rsid w:val="00D35F37"/>
    <w:rsid w:val="00D36017"/>
    <w:rsid w:val="00D362CE"/>
    <w:rsid w:val="00D36558"/>
    <w:rsid w:val="00D3658A"/>
    <w:rsid w:val="00D372CF"/>
    <w:rsid w:val="00D37917"/>
    <w:rsid w:val="00D403CD"/>
    <w:rsid w:val="00D4072E"/>
    <w:rsid w:val="00D40790"/>
    <w:rsid w:val="00D408A1"/>
    <w:rsid w:val="00D40BE5"/>
    <w:rsid w:val="00D40F43"/>
    <w:rsid w:val="00D41E6A"/>
    <w:rsid w:val="00D4239C"/>
    <w:rsid w:val="00D4267B"/>
    <w:rsid w:val="00D42918"/>
    <w:rsid w:val="00D42B67"/>
    <w:rsid w:val="00D450DA"/>
    <w:rsid w:val="00D46359"/>
    <w:rsid w:val="00D46A4B"/>
    <w:rsid w:val="00D46AA2"/>
    <w:rsid w:val="00D46E9F"/>
    <w:rsid w:val="00D50D15"/>
    <w:rsid w:val="00D52193"/>
    <w:rsid w:val="00D528EE"/>
    <w:rsid w:val="00D52B29"/>
    <w:rsid w:val="00D52F62"/>
    <w:rsid w:val="00D534B0"/>
    <w:rsid w:val="00D536E2"/>
    <w:rsid w:val="00D5372E"/>
    <w:rsid w:val="00D53766"/>
    <w:rsid w:val="00D53835"/>
    <w:rsid w:val="00D53ED7"/>
    <w:rsid w:val="00D55B51"/>
    <w:rsid w:val="00D561CE"/>
    <w:rsid w:val="00D568B9"/>
    <w:rsid w:val="00D600E6"/>
    <w:rsid w:val="00D6052B"/>
    <w:rsid w:val="00D6127D"/>
    <w:rsid w:val="00D616C3"/>
    <w:rsid w:val="00D62132"/>
    <w:rsid w:val="00D627CC"/>
    <w:rsid w:val="00D64154"/>
    <w:rsid w:val="00D642F0"/>
    <w:rsid w:val="00D657D4"/>
    <w:rsid w:val="00D66054"/>
    <w:rsid w:val="00D662F2"/>
    <w:rsid w:val="00D669BD"/>
    <w:rsid w:val="00D66B8B"/>
    <w:rsid w:val="00D66C77"/>
    <w:rsid w:val="00D66E55"/>
    <w:rsid w:val="00D67053"/>
    <w:rsid w:val="00D7089D"/>
    <w:rsid w:val="00D70A99"/>
    <w:rsid w:val="00D70D36"/>
    <w:rsid w:val="00D70D4A"/>
    <w:rsid w:val="00D70FE1"/>
    <w:rsid w:val="00D72699"/>
    <w:rsid w:val="00D72D9B"/>
    <w:rsid w:val="00D7333F"/>
    <w:rsid w:val="00D7334F"/>
    <w:rsid w:val="00D745E6"/>
    <w:rsid w:val="00D74A98"/>
    <w:rsid w:val="00D74C58"/>
    <w:rsid w:val="00D75007"/>
    <w:rsid w:val="00D76081"/>
    <w:rsid w:val="00D76401"/>
    <w:rsid w:val="00D76993"/>
    <w:rsid w:val="00D7741C"/>
    <w:rsid w:val="00D775E7"/>
    <w:rsid w:val="00D77B20"/>
    <w:rsid w:val="00D77E81"/>
    <w:rsid w:val="00D806F0"/>
    <w:rsid w:val="00D81D23"/>
    <w:rsid w:val="00D82ABE"/>
    <w:rsid w:val="00D841E2"/>
    <w:rsid w:val="00D84F34"/>
    <w:rsid w:val="00D856D0"/>
    <w:rsid w:val="00D865D3"/>
    <w:rsid w:val="00D8666B"/>
    <w:rsid w:val="00D8682C"/>
    <w:rsid w:val="00D872AC"/>
    <w:rsid w:val="00D879BB"/>
    <w:rsid w:val="00D90DFA"/>
    <w:rsid w:val="00D91189"/>
    <w:rsid w:val="00D9142E"/>
    <w:rsid w:val="00D914B2"/>
    <w:rsid w:val="00D91C2D"/>
    <w:rsid w:val="00D91F25"/>
    <w:rsid w:val="00D92355"/>
    <w:rsid w:val="00D92491"/>
    <w:rsid w:val="00D939D5"/>
    <w:rsid w:val="00D93A11"/>
    <w:rsid w:val="00D93BC4"/>
    <w:rsid w:val="00D961E6"/>
    <w:rsid w:val="00D96306"/>
    <w:rsid w:val="00D97EB8"/>
    <w:rsid w:val="00D97F44"/>
    <w:rsid w:val="00DA038D"/>
    <w:rsid w:val="00DA240F"/>
    <w:rsid w:val="00DA2BCA"/>
    <w:rsid w:val="00DA36D2"/>
    <w:rsid w:val="00DA55F1"/>
    <w:rsid w:val="00DA57D3"/>
    <w:rsid w:val="00DA67D1"/>
    <w:rsid w:val="00DA7100"/>
    <w:rsid w:val="00DA799F"/>
    <w:rsid w:val="00DA7FA8"/>
    <w:rsid w:val="00DB03D0"/>
    <w:rsid w:val="00DB1226"/>
    <w:rsid w:val="00DB1B4E"/>
    <w:rsid w:val="00DB2993"/>
    <w:rsid w:val="00DB2B04"/>
    <w:rsid w:val="00DB2BAE"/>
    <w:rsid w:val="00DB2E50"/>
    <w:rsid w:val="00DB3631"/>
    <w:rsid w:val="00DB3F45"/>
    <w:rsid w:val="00DB479F"/>
    <w:rsid w:val="00DB4E28"/>
    <w:rsid w:val="00DB52C8"/>
    <w:rsid w:val="00DB5779"/>
    <w:rsid w:val="00DB60D6"/>
    <w:rsid w:val="00DB6359"/>
    <w:rsid w:val="00DB63FB"/>
    <w:rsid w:val="00DB7728"/>
    <w:rsid w:val="00DC1A85"/>
    <w:rsid w:val="00DC1BF9"/>
    <w:rsid w:val="00DC1D8E"/>
    <w:rsid w:val="00DC1E7F"/>
    <w:rsid w:val="00DC1E83"/>
    <w:rsid w:val="00DC33D8"/>
    <w:rsid w:val="00DC3CBE"/>
    <w:rsid w:val="00DC4D61"/>
    <w:rsid w:val="00DC52F0"/>
    <w:rsid w:val="00DC5CC2"/>
    <w:rsid w:val="00DC72B9"/>
    <w:rsid w:val="00DD00A6"/>
    <w:rsid w:val="00DD018F"/>
    <w:rsid w:val="00DD034C"/>
    <w:rsid w:val="00DD0EC5"/>
    <w:rsid w:val="00DD1D2C"/>
    <w:rsid w:val="00DD1E31"/>
    <w:rsid w:val="00DD2349"/>
    <w:rsid w:val="00DD32B4"/>
    <w:rsid w:val="00DD33C3"/>
    <w:rsid w:val="00DD3677"/>
    <w:rsid w:val="00DD3EF8"/>
    <w:rsid w:val="00DD461F"/>
    <w:rsid w:val="00DD4D67"/>
    <w:rsid w:val="00DD4E87"/>
    <w:rsid w:val="00DD503E"/>
    <w:rsid w:val="00DD5179"/>
    <w:rsid w:val="00DD5345"/>
    <w:rsid w:val="00DD581C"/>
    <w:rsid w:val="00DD58EF"/>
    <w:rsid w:val="00DD598B"/>
    <w:rsid w:val="00DD6D34"/>
    <w:rsid w:val="00DD7607"/>
    <w:rsid w:val="00DD7846"/>
    <w:rsid w:val="00DD7AE5"/>
    <w:rsid w:val="00DE0153"/>
    <w:rsid w:val="00DE0600"/>
    <w:rsid w:val="00DE06E5"/>
    <w:rsid w:val="00DE0C8D"/>
    <w:rsid w:val="00DE0E85"/>
    <w:rsid w:val="00DE10AB"/>
    <w:rsid w:val="00DE1C37"/>
    <w:rsid w:val="00DE279E"/>
    <w:rsid w:val="00DE2CDC"/>
    <w:rsid w:val="00DE365A"/>
    <w:rsid w:val="00DE435D"/>
    <w:rsid w:val="00DE43B1"/>
    <w:rsid w:val="00DE452C"/>
    <w:rsid w:val="00DE57A8"/>
    <w:rsid w:val="00DE5920"/>
    <w:rsid w:val="00DE5BFD"/>
    <w:rsid w:val="00DE5D16"/>
    <w:rsid w:val="00DE676A"/>
    <w:rsid w:val="00DE681C"/>
    <w:rsid w:val="00DE708D"/>
    <w:rsid w:val="00DF0727"/>
    <w:rsid w:val="00DF0B2C"/>
    <w:rsid w:val="00DF0BB6"/>
    <w:rsid w:val="00DF19AF"/>
    <w:rsid w:val="00DF1E71"/>
    <w:rsid w:val="00DF1ED5"/>
    <w:rsid w:val="00DF3051"/>
    <w:rsid w:val="00DF3422"/>
    <w:rsid w:val="00DF4B7E"/>
    <w:rsid w:val="00DF5634"/>
    <w:rsid w:val="00DF5944"/>
    <w:rsid w:val="00DF6091"/>
    <w:rsid w:val="00DF68B7"/>
    <w:rsid w:val="00DF7096"/>
    <w:rsid w:val="00DF7FBC"/>
    <w:rsid w:val="00E003C2"/>
    <w:rsid w:val="00E00B95"/>
    <w:rsid w:val="00E00C4F"/>
    <w:rsid w:val="00E00E5A"/>
    <w:rsid w:val="00E01572"/>
    <w:rsid w:val="00E01859"/>
    <w:rsid w:val="00E01CB9"/>
    <w:rsid w:val="00E02143"/>
    <w:rsid w:val="00E02243"/>
    <w:rsid w:val="00E02682"/>
    <w:rsid w:val="00E02966"/>
    <w:rsid w:val="00E029B0"/>
    <w:rsid w:val="00E03F32"/>
    <w:rsid w:val="00E04C81"/>
    <w:rsid w:val="00E068BA"/>
    <w:rsid w:val="00E07268"/>
    <w:rsid w:val="00E07965"/>
    <w:rsid w:val="00E07A63"/>
    <w:rsid w:val="00E07B96"/>
    <w:rsid w:val="00E1046A"/>
    <w:rsid w:val="00E104CD"/>
    <w:rsid w:val="00E106A6"/>
    <w:rsid w:val="00E109DD"/>
    <w:rsid w:val="00E10C51"/>
    <w:rsid w:val="00E10DA7"/>
    <w:rsid w:val="00E10EB9"/>
    <w:rsid w:val="00E1202F"/>
    <w:rsid w:val="00E12975"/>
    <w:rsid w:val="00E136E3"/>
    <w:rsid w:val="00E14780"/>
    <w:rsid w:val="00E1499E"/>
    <w:rsid w:val="00E14AB2"/>
    <w:rsid w:val="00E14FAC"/>
    <w:rsid w:val="00E161C1"/>
    <w:rsid w:val="00E16258"/>
    <w:rsid w:val="00E16BD7"/>
    <w:rsid w:val="00E16D47"/>
    <w:rsid w:val="00E1741A"/>
    <w:rsid w:val="00E17AD1"/>
    <w:rsid w:val="00E20002"/>
    <w:rsid w:val="00E20171"/>
    <w:rsid w:val="00E211F4"/>
    <w:rsid w:val="00E21C1A"/>
    <w:rsid w:val="00E21D71"/>
    <w:rsid w:val="00E22391"/>
    <w:rsid w:val="00E2289F"/>
    <w:rsid w:val="00E22C46"/>
    <w:rsid w:val="00E236CC"/>
    <w:rsid w:val="00E244A4"/>
    <w:rsid w:val="00E24E81"/>
    <w:rsid w:val="00E250DD"/>
    <w:rsid w:val="00E25A8D"/>
    <w:rsid w:val="00E2686A"/>
    <w:rsid w:val="00E269C7"/>
    <w:rsid w:val="00E26D9E"/>
    <w:rsid w:val="00E27DB0"/>
    <w:rsid w:val="00E3082B"/>
    <w:rsid w:val="00E3083F"/>
    <w:rsid w:val="00E3092C"/>
    <w:rsid w:val="00E30DBB"/>
    <w:rsid w:val="00E31C07"/>
    <w:rsid w:val="00E332BD"/>
    <w:rsid w:val="00E338B2"/>
    <w:rsid w:val="00E33A8D"/>
    <w:rsid w:val="00E35FA2"/>
    <w:rsid w:val="00E36094"/>
    <w:rsid w:val="00E3618A"/>
    <w:rsid w:val="00E3718E"/>
    <w:rsid w:val="00E3734B"/>
    <w:rsid w:val="00E400B7"/>
    <w:rsid w:val="00E4040C"/>
    <w:rsid w:val="00E40759"/>
    <w:rsid w:val="00E40BA8"/>
    <w:rsid w:val="00E40C98"/>
    <w:rsid w:val="00E411A5"/>
    <w:rsid w:val="00E41A43"/>
    <w:rsid w:val="00E42455"/>
    <w:rsid w:val="00E430F2"/>
    <w:rsid w:val="00E43537"/>
    <w:rsid w:val="00E435C8"/>
    <w:rsid w:val="00E43ABF"/>
    <w:rsid w:val="00E43C32"/>
    <w:rsid w:val="00E44286"/>
    <w:rsid w:val="00E44428"/>
    <w:rsid w:val="00E44C64"/>
    <w:rsid w:val="00E45208"/>
    <w:rsid w:val="00E460FA"/>
    <w:rsid w:val="00E4632F"/>
    <w:rsid w:val="00E46397"/>
    <w:rsid w:val="00E465F3"/>
    <w:rsid w:val="00E4781A"/>
    <w:rsid w:val="00E50F2B"/>
    <w:rsid w:val="00E515E0"/>
    <w:rsid w:val="00E520E9"/>
    <w:rsid w:val="00E52277"/>
    <w:rsid w:val="00E5399B"/>
    <w:rsid w:val="00E53A56"/>
    <w:rsid w:val="00E53B00"/>
    <w:rsid w:val="00E5414D"/>
    <w:rsid w:val="00E54A8A"/>
    <w:rsid w:val="00E55977"/>
    <w:rsid w:val="00E55D94"/>
    <w:rsid w:val="00E56310"/>
    <w:rsid w:val="00E567D0"/>
    <w:rsid w:val="00E56D68"/>
    <w:rsid w:val="00E5713A"/>
    <w:rsid w:val="00E57543"/>
    <w:rsid w:val="00E57735"/>
    <w:rsid w:val="00E57F8B"/>
    <w:rsid w:val="00E605BE"/>
    <w:rsid w:val="00E60656"/>
    <w:rsid w:val="00E60C06"/>
    <w:rsid w:val="00E6155F"/>
    <w:rsid w:val="00E62148"/>
    <w:rsid w:val="00E628A5"/>
    <w:rsid w:val="00E62AEF"/>
    <w:rsid w:val="00E63F5E"/>
    <w:rsid w:val="00E64B2B"/>
    <w:rsid w:val="00E6526A"/>
    <w:rsid w:val="00E652EF"/>
    <w:rsid w:val="00E653A6"/>
    <w:rsid w:val="00E6568E"/>
    <w:rsid w:val="00E658B7"/>
    <w:rsid w:val="00E65D18"/>
    <w:rsid w:val="00E66345"/>
    <w:rsid w:val="00E66453"/>
    <w:rsid w:val="00E6668D"/>
    <w:rsid w:val="00E676D1"/>
    <w:rsid w:val="00E7027C"/>
    <w:rsid w:val="00E7089F"/>
    <w:rsid w:val="00E70D42"/>
    <w:rsid w:val="00E710B1"/>
    <w:rsid w:val="00E712C8"/>
    <w:rsid w:val="00E733B8"/>
    <w:rsid w:val="00E73DA6"/>
    <w:rsid w:val="00E76544"/>
    <w:rsid w:val="00E7770A"/>
    <w:rsid w:val="00E77E25"/>
    <w:rsid w:val="00E77E9A"/>
    <w:rsid w:val="00E81EEA"/>
    <w:rsid w:val="00E82045"/>
    <w:rsid w:val="00E820B9"/>
    <w:rsid w:val="00E82249"/>
    <w:rsid w:val="00E82FA0"/>
    <w:rsid w:val="00E8307D"/>
    <w:rsid w:val="00E8313D"/>
    <w:rsid w:val="00E8334A"/>
    <w:rsid w:val="00E83893"/>
    <w:rsid w:val="00E84864"/>
    <w:rsid w:val="00E8529F"/>
    <w:rsid w:val="00E85B3D"/>
    <w:rsid w:val="00E85E64"/>
    <w:rsid w:val="00E86E0B"/>
    <w:rsid w:val="00E86E1B"/>
    <w:rsid w:val="00E877CE"/>
    <w:rsid w:val="00E87877"/>
    <w:rsid w:val="00E87A1E"/>
    <w:rsid w:val="00E87A87"/>
    <w:rsid w:val="00E87EDC"/>
    <w:rsid w:val="00E90C13"/>
    <w:rsid w:val="00E9152C"/>
    <w:rsid w:val="00E91ACF"/>
    <w:rsid w:val="00E93117"/>
    <w:rsid w:val="00E9354F"/>
    <w:rsid w:val="00E93BAB"/>
    <w:rsid w:val="00E93CE1"/>
    <w:rsid w:val="00E9448F"/>
    <w:rsid w:val="00E949EC"/>
    <w:rsid w:val="00E94A74"/>
    <w:rsid w:val="00E94D8A"/>
    <w:rsid w:val="00E95027"/>
    <w:rsid w:val="00E95EE8"/>
    <w:rsid w:val="00E96209"/>
    <w:rsid w:val="00E9731B"/>
    <w:rsid w:val="00E97E3B"/>
    <w:rsid w:val="00EA124E"/>
    <w:rsid w:val="00EA18D4"/>
    <w:rsid w:val="00EA1B42"/>
    <w:rsid w:val="00EA252D"/>
    <w:rsid w:val="00EA2849"/>
    <w:rsid w:val="00EA2A15"/>
    <w:rsid w:val="00EA3201"/>
    <w:rsid w:val="00EA34D5"/>
    <w:rsid w:val="00EA3884"/>
    <w:rsid w:val="00EA3BB3"/>
    <w:rsid w:val="00EA3D0B"/>
    <w:rsid w:val="00EA446F"/>
    <w:rsid w:val="00EA4790"/>
    <w:rsid w:val="00EA4DF8"/>
    <w:rsid w:val="00EA59AA"/>
    <w:rsid w:val="00EA5C1B"/>
    <w:rsid w:val="00EA64A7"/>
    <w:rsid w:val="00EA6726"/>
    <w:rsid w:val="00EA6F67"/>
    <w:rsid w:val="00EA6FA3"/>
    <w:rsid w:val="00EA7571"/>
    <w:rsid w:val="00EB04CC"/>
    <w:rsid w:val="00EB0A59"/>
    <w:rsid w:val="00EB1390"/>
    <w:rsid w:val="00EB14C0"/>
    <w:rsid w:val="00EB1C65"/>
    <w:rsid w:val="00EB1F50"/>
    <w:rsid w:val="00EB1F5E"/>
    <w:rsid w:val="00EB2202"/>
    <w:rsid w:val="00EB2FBE"/>
    <w:rsid w:val="00EB3232"/>
    <w:rsid w:val="00EB3255"/>
    <w:rsid w:val="00EB36B4"/>
    <w:rsid w:val="00EB3A8F"/>
    <w:rsid w:val="00EB48F6"/>
    <w:rsid w:val="00EB494A"/>
    <w:rsid w:val="00EB49C6"/>
    <w:rsid w:val="00EB4C06"/>
    <w:rsid w:val="00EB4EA8"/>
    <w:rsid w:val="00EB5F8E"/>
    <w:rsid w:val="00EB6CD8"/>
    <w:rsid w:val="00EB748C"/>
    <w:rsid w:val="00EB7C37"/>
    <w:rsid w:val="00EC0357"/>
    <w:rsid w:val="00EC03A8"/>
    <w:rsid w:val="00EC0C21"/>
    <w:rsid w:val="00EC0FC1"/>
    <w:rsid w:val="00EC1462"/>
    <w:rsid w:val="00EC1777"/>
    <w:rsid w:val="00EC1A34"/>
    <w:rsid w:val="00EC26BE"/>
    <w:rsid w:val="00EC2E62"/>
    <w:rsid w:val="00EC3371"/>
    <w:rsid w:val="00EC36D6"/>
    <w:rsid w:val="00EC3AF1"/>
    <w:rsid w:val="00EC3F72"/>
    <w:rsid w:val="00EC4118"/>
    <w:rsid w:val="00EC46FF"/>
    <w:rsid w:val="00EC652B"/>
    <w:rsid w:val="00EC6790"/>
    <w:rsid w:val="00EC6909"/>
    <w:rsid w:val="00EC7379"/>
    <w:rsid w:val="00ED0BC4"/>
    <w:rsid w:val="00ED12E8"/>
    <w:rsid w:val="00ED1840"/>
    <w:rsid w:val="00ED18F2"/>
    <w:rsid w:val="00ED2CD1"/>
    <w:rsid w:val="00ED3342"/>
    <w:rsid w:val="00ED36BD"/>
    <w:rsid w:val="00ED3CCA"/>
    <w:rsid w:val="00ED3D3C"/>
    <w:rsid w:val="00ED3DB3"/>
    <w:rsid w:val="00ED3F13"/>
    <w:rsid w:val="00ED43DC"/>
    <w:rsid w:val="00ED5228"/>
    <w:rsid w:val="00ED63BC"/>
    <w:rsid w:val="00ED66BA"/>
    <w:rsid w:val="00ED6726"/>
    <w:rsid w:val="00ED6A79"/>
    <w:rsid w:val="00ED6C1A"/>
    <w:rsid w:val="00ED767E"/>
    <w:rsid w:val="00EE0533"/>
    <w:rsid w:val="00EE177F"/>
    <w:rsid w:val="00EE1B89"/>
    <w:rsid w:val="00EE1C14"/>
    <w:rsid w:val="00EE302B"/>
    <w:rsid w:val="00EE31CD"/>
    <w:rsid w:val="00EE385C"/>
    <w:rsid w:val="00EE52FC"/>
    <w:rsid w:val="00EE5C22"/>
    <w:rsid w:val="00EE5E7F"/>
    <w:rsid w:val="00EE6130"/>
    <w:rsid w:val="00EE6C6E"/>
    <w:rsid w:val="00EF0B5D"/>
    <w:rsid w:val="00EF0C65"/>
    <w:rsid w:val="00EF1C08"/>
    <w:rsid w:val="00EF21C1"/>
    <w:rsid w:val="00EF2766"/>
    <w:rsid w:val="00EF3A8B"/>
    <w:rsid w:val="00EF3EA6"/>
    <w:rsid w:val="00EF40A3"/>
    <w:rsid w:val="00EF4BC4"/>
    <w:rsid w:val="00EF50FB"/>
    <w:rsid w:val="00EF58D4"/>
    <w:rsid w:val="00EF682D"/>
    <w:rsid w:val="00EF6DC8"/>
    <w:rsid w:val="00F005B7"/>
    <w:rsid w:val="00F00832"/>
    <w:rsid w:val="00F00A52"/>
    <w:rsid w:val="00F01FB1"/>
    <w:rsid w:val="00F024FA"/>
    <w:rsid w:val="00F02DAB"/>
    <w:rsid w:val="00F0342E"/>
    <w:rsid w:val="00F03CE0"/>
    <w:rsid w:val="00F041E6"/>
    <w:rsid w:val="00F04601"/>
    <w:rsid w:val="00F0503E"/>
    <w:rsid w:val="00F05DFF"/>
    <w:rsid w:val="00F068F3"/>
    <w:rsid w:val="00F06B63"/>
    <w:rsid w:val="00F0739A"/>
    <w:rsid w:val="00F07C07"/>
    <w:rsid w:val="00F07CC7"/>
    <w:rsid w:val="00F07D48"/>
    <w:rsid w:val="00F10CCC"/>
    <w:rsid w:val="00F11728"/>
    <w:rsid w:val="00F11780"/>
    <w:rsid w:val="00F1383B"/>
    <w:rsid w:val="00F13FC5"/>
    <w:rsid w:val="00F141E1"/>
    <w:rsid w:val="00F149DB"/>
    <w:rsid w:val="00F154CA"/>
    <w:rsid w:val="00F1561E"/>
    <w:rsid w:val="00F1570F"/>
    <w:rsid w:val="00F16F11"/>
    <w:rsid w:val="00F17F2C"/>
    <w:rsid w:val="00F20026"/>
    <w:rsid w:val="00F207FB"/>
    <w:rsid w:val="00F229FB"/>
    <w:rsid w:val="00F22B17"/>
    <w:rsid w:val="00F22CB4"/>
    <w:rsid w:val="00F22CFF"/>
    <w:rsid w:val="00F2326C"/>
    <w:rsid w:val="00F24754"/>
    <w:rsid w:val="00F24DB1"/>
    <w:rsid w:val="00F24EFD"/>
    <w:rsid w:val="00F25048"/>
    <w:rsid w:val="00F25324"/>
    <w:rsid w:val="00F25DF3"/>
    <w:rsid w:val="00F261D0"/>
    <w:rsid w:val="00F26EAB"/>
    <w:rsid w:val="00F27770"/>
    <w:rsid w:val="00F301C8"/>
    <w:rsid w:val="00F302D5"/>
    <w:rsid w:val="00F30553"/>
    <w:rsid w:val="00F30914"/>
    <w:rsid w:val="00F30B8D"/>
    <w:rsid w:val="00F30C6F"/>
    <w:rsid w:val="00F30E30"/>
    <w:rsid w:val="00F321B2"/>
    <w:rsid w:val="00F349EB"/>
    <w:rsid w:val="00F34EF9"/>
    <w:rsid w:val="00F3540B"/>
    <w:rsid w:val="00F354E8"/>
    <w:rsid w:val="00F3671A"/>
    <w:rsid w:val="00F37EF5"/>
    <w:rsid w:val="00F37F56"/>
    <w:rsid w:val="00F40A44"/>
    <w:rsid w:val="00F416A4"/>
    <w:rsid w:val="00F4184E"/>
    <w:rsid w:val="00F41DEC"/>
    <w:rsid w:val="00F429D0"/>
    <w:rsid w:val="00F4385F"/>
    <w:rsid w:val="00F44151"/>
    <w:rsid w:val="00F4449E"/>
    <w:rsid w:val="00F44A98"/>
    <w:rsid w:val="00F453E7"/>
    <w:rsid w:val="00F45C48"/>
    <w:rsid w:val="00F4633D"/>
    <w:rsid w:val="00F465A7"/>
    <w:rsid w:val="00F46F3B"/>
    <w:rsid w:val="00F47275"/>
    <w:rsid w:val="00F47853"/>
    <w:rsid w:val="00F47DAB"/>
    <w:rsid w:val="00F5090E"/>
    <w:rsid w:val="00F516E8"/>
    <w:rsid w:val="00F530C6"/>
    <w:rsid w:val="00F53D6A"/>
    <w:rsid w:val="00F53F7E"/>
    <w:rsid w:val="00F555D0"/>
    <w:rsid w:val="00F555F9"/>
    <w:rsid w:val="00F55639"/>
    <w:rsid w:val="00F565D8"/>
    <w:rsid w:val="00F56A67"/>
    <w:rsid w:val="00F576DC"/>
    <w:rsid w:val="00F57B10"/>
    <w:rsid w:val="00F57C3A"/>
    <w:rsid w:val="00F60610"/>
    <w:rsid w:val="00F610EA"/>
    <w:rsid w:val="00F61984"/>
    <w:rsid w:val="00F619CD"/>
    <w:rsid w:val="00F61F36"/>
    <w:rsid w:val="00F6267C"/>
    <w:rsid w:val="00F62B11"/>
    <w:rsid w:val="00F63D9D"/>
    <w:rsid w:val="00F643C2"/>
    <w:rsid w:val="00F64547"/>
    <w:rsid w:val="00F646B0"/>
    <w:rsid w:val="00F64C5D"/>
    <w:rsid w:val="00F668D9"/>
    <w:rsid w:val="00F669EC"/>
    <w:rsid w:val="00F67860"/>
    <w:rsid w:val="00F67A91"/>
    <w:rsid w:val="00F708CE"/>
    <w:rsid w:val="00F70CEF"/>
    <w:rsid w:val="00F71357"/>
    <w:rsid w:val="00F729CE"/>
    <w:rsid w:val="00F73850"/>
    <w:rsid w:val="00F743CC"/>
    <w:rsid w:val="00F7530F"/>
    <w:rsid w:val="00F75358"/>
    <w:rsid w:val="00F75B15"/>
    <w:rsid w:val="00F75F5E"/>
    <w:rsid w:val="00F764D8"/>
    <w:rsid w:val="00F76584"/>
    <w:rsid w:val="00F7717E"/>
    <w:rsid w:val="00F80603"/>
    <w:rsid w:val="00F8080D"/>
    <w:rsid w:val="00F80AAD"/>
    <w:rsid w:val="00F81129"/>
    <w:rsid w:val="00F81748"/>
    <w:rsid w:val="00F81F65"/>
    <w:rsid w:val="00F8287B"/>
    <w:rsid w:val="00F82B9D"/>
    <w:rsid w:val="00F84915"/>
    <w:rsid w:val="00F85275"/>
    <w:rsid w:val="00F85628"/>
    <w:rsid w:val="00F85657"/>
    <w:rsid w:val="00F85D72"/>
    <w:rsid w:val="00F8675D"/>
    <w:rsid w:val="00F87806"/>
    <w:rsid w:val="00F87F76"/>
    <w:rsid w:val="00F907E2"/>
    <w:rsid w:val="00F90E0E"/>
    <w:rsid w:val="00F90F49"/>
    <w:rsid w:val="00F90F75"/>
    <w:rsid w:val="00F91169"/>
    <w:rsid w:val="00F91EAE"/>
    <w:rsid w:val="00F9215A"/>
    <w:rsid w:val="00F93660"/>
    <w:rsid w:val="00F93E43"/>
    <w:rsid w:val="00F94202"/>
    <w:rsid w:val="00F954A5"/>
    <w:rsid w:val="00F9564D"/>
    <w:rsid w:val="00F95D81"/>
    <w:rsid w:val="00F968F0"/>
    <w:rsid w:val="00F970B8"/>
    <w:rsid w:val="00F97813"/>
    <w:rsid w:val="00F97B4D"/>
    <w:rsid w:val="00FA0D59"/>
    <w:rsid w:val="00FA0D90"/>
    <w:rsid w:val="00FA14DD"/>
    <w:rsid w:val="00FA1915"/>
    <w:rsid w:val="00FA1E73"/>
    <w:rsid w:val="00FA1F09"/>
    <w:rsid w:val="00FA2B1B"/>
    <w:rsid w:val="00FA3237"/>
    <w:rsid w:val="00FA3631"/>
    <w:rsid w:val="00FA3749"/>
    <w:rsid w:val="00FA415A"/>
    <w:rsid w:val="00FA4959"/>
    <w:rsid w:val="00FA6319"/>
    <w:rsid w:val="00FA68E1"/>
    <w:rsid w:val="00FA6CFB"/>
    <w:rsid w:val="00FA70AE"/>
    <w:rsid w:val="00FA7E85"/>
    <w:rsid w:val="00FB0252"/>
    <w:rsid w:val="00FB0A8D"/>
    <w:rsid w:val="00FB0AFB"/>
    <w:rsid w:val="00FB0B19"/>
    <w:rsid w:val="00FB0D06"/>
    <w:rsid w:val="00FB1383"/>
    <w:rsid w:val="00FB16EC"/>
    <w:rsid w:val="00FB1952"/>
    <w:rsid w:val="00FB2461"/>
    <w:rsid w:val="00FB287F"/>
    <w:rsid w:val="00FB2985"/>
    <w:rsid w:val="00FB2C5C"/>
    <w:rsid w:val="00FB2CB5"/>
    <w:rsid w:val="00FB3A11"/>
    <w:rsid w:val="00FB3C45"/>
    <w:rsid w:val="00FB45E3"/>
    <w:rsid w:val="00FB4833"/>
    <w:rsid w:val="00FB5761"/>
    <w:rsid w:val="00FB5E10"/>
    <w:rsid w:val="00FB61B8"/>
    <w:rsid w:val="00FB646B"/>
    <w:rsid w:val="00FB70C5"/>
    <w:rsid w:val="00FB77A4"/>
    <w:rsid w:val="00FB7D9A"/>
    <w:rsid w:val="00FC0DBD"/>
    <w:rsid w:val="00FC170C"/>
    <w:rsid w:val="00FC1C5A"/>
    <w:rsid w:val="00FC37A5"/>
    <w:rsid w:val="00FC3E4F"/>
    <w:rsid w:val="00FC3F9F"/>
    <w:rsid w:val="00FC4463"/>
    <w:rsid w:val="00FC45CF"/>
    <w:rsid w:val="00FC67EA"/>
    <w:rsid w:val="00FC69F0"/>
    <w:rsid w:val="00FC6D7A"/>
    <w:rsid w:val="00FC7060"/>
    <w:rsid w:val="00FC717F"/>
    <w:rsid w:val="00FC77EB"/>
    <w:rsid w:val="00FC7BF1"/>
    <w:rsid w:val="00FD01C0"/>
    <w:rsid w:val="00FD0971"/>
    <w:rsid w:val="00FD10F2"/>
    <w:rsid w:val="00FD113B"/>
    <w:rsid w:val="00FD1A14"/>
    <w:rsid w:val="00FD1EEE"/>
    <w:rsid w:val="00FD2239"/>
    <w:rsid w:val="00FD231D"/>
    <w:rsid w:val="00FD2351"/>
    <w:rsid w:val="00FD301A"/>
    <w:rsid w:val="00FD3D3A"/>
    <w:rsid w:val="00FD43A9"/>
    <w:rsid w:val="00FD467F"/>
    <w:rsid w:val="00FD4781"/>
    <w:rsid w:val="00FD4855"/>
    <w:rsid w:val="00FD4A8B"/>
    <w:rsid w:val="00FD545B"/>
    <w:rsid w:val="00FD584C"/>
    <w:rsid w:val="00FD722C"/>
    <w:rsid w:val="00FE1487"/>
    <w:rsid w:val="00FE3144"/>
    <w:rsid w:val="00FE3467"/>
    <w:rsid w:val="00FE354D"/>
    <w:rsid w:val="00FE36B6"/>
    <w:rsid w:val="00FE3808"/>
    <w:rsid w:val="00FE3D46"/>
    <w:rsid w:val="00FE4611"/>
    <w:rsid w:val="00FE4D2D"/>
    <w:rsid w:val="00FE4E31"/>
    <w:rsid w:val="00FE5161"/>
    <w:rsid w:val="00FE5D27"/>
    <w:rsid w:val="00FE6281"/>
    <w:rsid w:val="00FE6FF4"/>
    <w:rsid w:val="00FE7469"/>
    <w:rsid w:val="00FF1CF2"/>
    <w:rsid w:val="00FF2209"/>
    <w:rsid w:val="00FF25BE"/>
    <w:rsid w:val="00FF27A5"/>
    <w:rsid w:val="00FF3CAB"/>
    <w:rsid w:val="00FF4402"/>
    <w:rsid w:val="00FF4DEA"/>
    <w:rsid w:val="00FF5316"/>
    <w:rsid w:val="00FF7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EE96"/>
  <w15:docId w15:val="{17AB6833-CFA5-4763-8309-144A7AAA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FBD"/>
    <w:rPr>
      <w:sz w:val="28"/>
      <w:szCs w:val="22"/>
      <w:lang w:eastAsia="en-US"/>
    </w:rPr>
  </w:style>
  <w:style w:type="paragraph" w:styleId="Heading1">
    <w:name w:val="heading 1"/>
    <w:basedOn w:val="Normal"/>
    <w:next w:val="Normal"/>
    <w:link w:val="Heading1Char"/>
    <w:uiPriority w:val="9"/>
    <w:qFormat/>
    <w:rsid w:val="00A130C0"/>
    <w:pPr>
      <w:keepNext/>
      <w:keepLines/>
      <w:outlineLvl w:val="0"/>
    </w:pPr>
    <w:rPr>
      <w:rFonts w:eastAsia="Times New Roman"/>
      <w:b/>
      <w:bCs/>
      <w:sz w:val="32"/>
      <w:szCs w:val="28"/>
    </w:rPr>
  </w:style>
  <w:style w:type="paragraph" w:styleId="Heading3">
    <w:name w:val="heading 3"/>
    <w:basedOn w:val="Normal"/>
    <w:next w:val="Normal"/>
    <w:link w:val="Heading3Char"/>
    <w:uiPriority w:val="9"/>
    <w:qFormat/>
    <w:rsid w:val="00CC470A"/>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BB1E0F"/>
    <w:pPr>
      <w:suppressAutoHyphens/>
      <w:spacing w:before="240" w:after="60"/>
      <w:outlineLvl w:val="4"/>
    </w:pPr>
    <w:rPr>
      <w:rFonts w:eastAsia="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link w:val="Heading1"/>
    <w:uiPriority w:val="9"/>
    <w:rsid w:val="00A130C0"/>
    <w:rPr>
      <w:rFonts w:eastAsia="Times New Roman" w:cs="Times New Roman"/>
      <w:b/>
      <w:bCs/>
      <w:sz w:val="32"/>
      <w:szCs w:val="28"/>
    </w:rPr>
  </w:style>
  <w:style w:type="character" w:customStyle="1" w:styleId="spelle">
    <w:name w:val="spelle"/>
    <w:basedOn w:val="DefaultParagraphFont"/>
    <w:rsid w:val="00A130C0"/>
  </w:style>
  <w:style w:type="character" w:styleId="Hyperlink">
    <w:name w:val="Hyperlink"/>
    <w:uiPriority w:val="99"/>
    <w:rsid w:val="0070128C"/>
    <w:rPr>
      <w:color w:val="0000FF"/>
      <w:u w:val="single"/>
    </w:rPr>
  </w:style>
  <w:style w:type="character" w:styleId="Strong">
    <w:name w:val="Strong"/>
    <w:uiPriority w:val="22"/>
    <w:qFormat/>
    <w:rsid w:val="0070128C"/>
    <w:rPr>
      <w:b/>
      <w:bCs/>
    </w:rPr>
  </w:style>
  <w:style w:type="character" w:styleId="CommentReference">
    <w:name w:val="annotation reference"/>
    <w:uiPriority w:val="99"/>
    <w:semiHidden/>
    <w:unhideWhenUsed/>
    <w:rsid w:val="009D7FED"/>
    <w:rPr>
      <w:sz w:val="16"/>
      <w:szCs w:val="16"/>
    </w:rPr>
  </w:style>
  <w:style w:type="paragraph" w:styleId="CommentText">
    <w:name w:val="annotation text"/>
    <w:basedOn w:val="Normal"/>
    <w:link w:val="CommentTextChar"/>
    <w:uiPriority w:val="99"/>
    <w:unhideWhenUsed/>
    <w:rsid w:val="009D7FED"/>
    <w:rPr>
      <w:rFonts w:ascii="Calibri" w:hAnsi="Calibri"/>
      <w:sz w:val="20"/>
      <w:szCs w:val="20"/>
    </w:rPr>
  </w:style>
  <w:style w:type="character" w:customStyle="1" w:styleId="CommentTextChar">
    <w:name w:val="Comment Text Char"/>
    <w:link w:val="CommentText"/>
    <w:uiPriority w:val="99"/>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sz w:val="16"/>
      <w:szCs w:val="16"/>
    </w:rPr>
  </w:style>
  <w:style w:type="character" w:customStyle="1" w:styleId="BalloonTextChar">
    <w:name w:val="Balloon Text Char"/>
    <w:link w:val="BalloonText"/>
    <w:uiPriority w:val="99"/>
    <w:semiHidden/>
    <w:rsid w:val="009D7FED"/>
    <w:rPr>
      <w:rFonts w:ascii="Tahoma" w:hAnsi="Tahoma" w:cs="Tahoma"/>
      <w:sz w:val="16"/>
      <w:szCs w:val="16"/>
    </w:rPr>
  </w:style>
  <w:style w:type="paragraph" w:styleId="NoSpacing">
    <w:name w:val="No Spacing"/>
    <w:uiPriority w:val="1"/>
    <w:qFormat/>
    <w:rsid w:val="0013416C"/>
    <w:rPr>
      <w:sz w:val="28"/>
      <w:szCs w:val="22"/>
      <w:lang w:eastAsia="en-US"/>
    </w:rPr>
  </w:style>
  <w:style w:type="paragraph" w:styleId="BodyTextIndent">
    <w:name w:val="Body Text Indent"/>
    <w:basedOn w:val="Normal"/>
    <w:link w:val="BodyTextIndentChar"/>
    <w:uiPriority w:val="99"/>
    <w:rsid w:val="00BB1E0F"/>
    <w:pPr>
      <w:ind w:firstLine="700"/>
      <w:jc w:val="both"/>
    </w:pPr>
    <w:rPr>
      <w:rFonts w:eastAsia="Times New Roman"/>
      <w:sz w:val="20"/>
      <w:szCs w:val="24"/>
    </w:rPr>
  </w:style>
  <w:style w:type="character" w:customStyle="1" w:styleId="BodyTextIndentChar">
    <w:name w:val="Body Text Indent Char"/>
    <w:link w:val="BodyTextIndent"/>
    <w:uiPriority w:val="99"/>
    <w:rsid w:val="00BB1E0F"/>
    <w:rPr>
      <w:rFonts w:eastAsia="Times New Roman" w:cs="Times New Roman"/>
      <w:szCs w:val="24"/>
    </w:rPr>
  </w:style>
  <w:style w:type="character" w:customStyle="1" w:styleId="Heading5Char">
    <w:name w:val="Heading 5 Char"/>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customStyle="1" w:styleId="Default">
    <w:name w:val="Default"/>
    <w:rsid w:val="002B7DA9"/>
    <w:pPr>
      <w:autoSpaceDE w:val="0"/>
      <w:autoSpaceDN w:val="0"/>
      <w:adjustRightInd w:val="0"/>
    </w:pPr>
    <w:rPr>
      <w:rFonts w:ascii="EUAlbertina" w:hAnsi="EUAlbertina" w:cs="EUAlbertina"/>
      <w:color w:val="000000"/>
      <w:sz w:val="24"/>
      <w:szCs w:val="24"/>
    </w:rPr>
  </w:style>
  <w:style w:type="paragraph" w:styleId="BodyText">
    <w:name w:val="Body Text"/>
    <w:basedOn w:val="Normal"/>
    <w:link w:val="BodyTextChar"/>
    <w:uiPriority w:val="99"/>
    <w:unhideWhenUsed/>
    <w:rsid w:val="00F45C48"/>
    <w:pPr>
      <w:spacing w:after="120"/>
    </w:pPr>
  </w:style>
  <w:style w:type="character" w:customStyle="1" w:styleId="BodyTextChar">
    <w:name w:val="Body Text Char"/>
    <w:link w:val="BodyText"/>
    <w:uiPriority w:val="99"/>
    <w:rsid w:val="00F45C48"/>
    <w:rPr>
      <w:sz w:val="28"/>
      <w:szCs w:val="22"/>
      <w:lang w:eastAsia="en-US"/>
    </w:rPr>
  </w:style>
  <w:style w:type="paragraph" w:customStyle="1" w:styleId="T">
    <w:name w:val="T"/>
    <w:basedOn w:val="Normal"/>
    <w:rsid w:val="00AC6042"/>
    <w:pPr>
      <w:jc w:val="center"/>
    </w:pPr>
    <w:rPr>
      <w:rFonts w:eastAsia="Times New Roman"/>
      <w:b/>
      <w:i/>
      <w:sz w:val="24"/>
      <w:szCs w:val="20"/>
    </w:rPr>
  </w:style>
  <w:style w:type="paragraph" w:styleId="CommentSubject">
    <w:name w:val="annotation subject"/>
    <w:basedOn w:val="CommentText"/>
    <w:next w:val="CommentText"/>
    <w:link w:val="CommentSubjectChar"/>
    <w:uiPriority w:val="99"/>
    <w:semiHidden/>
    <w:unhideWhenUsed/>
    <w:rsid w:val="00E02682"/>
    <w:rPr>
      <w:rFonts w:ascii="Times New Roman" w:hAnsi="Times New Roman"/>
      <w:b/>
      <w:bCs/>
    </w:rPr>
  </w:style>
  <w:style w:type="character" w:customStyle="1" w:styleId="CommentSubjectChar">
    <w:name w:val="Comment Subject Char"/>
    <w:link w:val="CommentSubject"/>
    <w:uiPriority w:val="99"/>
    <w:semiHidden/>
    <w:rsid w:val="00E02682"/>
    <w:rPr>
      <w:rFonts w:ascii="Calibri" w:eastAsia="Calibri" w:hAnsi="Calibri" w:cs="Times New Roman"/>
      <w:b/>
      <w:bCs/>
      <w:sz w:val="20"/>
      <w:szCs w:val="20"/>
      <w:lang w:eastAsia="en-US"/>
    </w:rPr>
  </w:style>
  <w:style w:type="paragraph" w:customStyle="1" w:styleId="Daaarnumuru">
    <w:name w:val="Daļa ar numuru"/>
    <w:basedOn w:val="Normal"/>
    <w:qFormat/>
    <w:rsid w:val="00D218A0"/>
    <w:pPr>
      <w:widowControl w:val="0"/>
      <w:numPr>
        <w:numId w:val="1"/>
      </w:numPr>
      <w:tabs>
        <w:tab w:val="left" w:pos="1072"/>
        <w:tab w:val="left" w:pos="1418"/>
      </w:tabs>
      <w:adjustRightInd w:val="0"/>
      <w:spacing w:before="120" w:after="120"/>
      <w:ind w:left="0" w:firstLine="720"/>
      <w:jc w:val="both"/>
      <w:textAlignment w:val="baseline"/>
    </w:pPr>
    <w:rPr>
      <w:rFonts w:eastAsia="Times New Roman"/>
      <w:szCs w:val="28"/>
      <w:lang w:eastAsia="lv-LV"/>
    </w:rPr>
  </w:style>
  <w:style w:type="paragraph" w:customStyle="1" w:styleId="CM4">
    <w:name w:val="CM4"/>
    <w:basedOn w:val="Default"/>
    <w:next w:val="Default"/>
    <w:uiPriority w:val="99"/>
    <w:rsid w:val="00D841E2"/>
    <w:rPr>
      <w:rFonts w:cs="Times New Roman"/>
      <w:color w:val="auto"/>
    </w:rPr>
  </w:style>
  <w:style w:type="table" w:styleId="TableGrid">
    <w:name w:val="Table Grid"/>
    <w:basedOn w:val="TableNormal"/>
    <w:uiPriority w:val="39"/>
    <w:rsid w:val="006A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2F024F"/>
    <w:pPr>
      <w:spacing w:before="100" w:beforeAutospacing="1" w:after="100" w:afterAutospacing="1"/>
    </w:pPr>
    <w:rPr>
      <w:rFonts w:eastAsia="Times New Roman"/>
      <w:color w:val="000000"/>
      <w:sz w:val="24"/>
      <w:szCs w:val="24"/>
      <w:lang w:eastAsia="lv-LV"/>
    </w:rPr>
  </w:style>
  <w:style w:type="paragraph" w:customStyle="1" w:styleId="Daabeznumura">
    <w:name w:val="Daļa bez numura"/>
    <w:basedOn w:val="Normal"/>
    <w:qFormat/>
    <w:rsid w:val="002F024F"/>
    <w:pPr>
      <w:widowControl w:val="0"/>
      <w:adjustRightInd w:val="0"/>
      <w:spacing w:before="120" w:after="120"/>
      <w:ind w:firstLine="720"/>
      <w:jc w:val="both"/>
      <w:textAlignment w:val="baseline"/>
    </w:pPr>
    <w:rPr>
      <w:rFonts w:eastAsia="Times New Roman"/>
      <w:szCs w:val="28"/>
      <w:lang w:eastAsia="lv-LV"/>
    </w:rPr>
  </w:style>
  <w:style w:type="paragraph" w:customStyle="1" w:styleId="CharChar">
    <w:name w:val="Char Char"/>
    <w:basedOn w:val="Normal"/>
    <w:rsid w:val="00CE50D8"/>
    <w:pPr>
      <w:spacing w:after="160" w:line="240" w:lineRule="exact"/>
    </w:pPr>
    <w:rPr>
      <w:rFonts w:ascii="Tahoma" w:eastAsia="Times New Roman" w:hAnsi="Tahoma"/>
      <w:sz w:val="20"/>
      <w:szCs w:val="20"/>
      <w:lang w:val="en-US"/>
    </w:rPr>
  </w:style>
  <w:style w:type="paragraph" w:styleId="NormalWeb">
    <w:name w:val="Normal (Web)"/>
    <w:basedOn w:val="Normal"/>
    <w:uiPriority w:val="99"/>
    <w:rsid w:val="004D4968"/>
    <w:pPr>
      <w:spacing w:before="100" w:beforeAutospacing="1" w:after="100" w:afterAutospacing="1"/>
    </w:pPr>
    <w:rPr>
      <w:rFonts w:eastAsia="Times New Roman"/>
      <w:sz w:val="24"/>
      <w:szCs w:val="24"/>
      <w:lang w:eastAsia="lv-LV"/>
    </w:rPr>
  </w:style>
  <w:style w:type="character" w:customStyle="1" w:styleId="Heading3Char">
    <w:name w:val="Heading 3 Char"/>
    <w:link w:val="Heading3"/>
    <w:uiPriority w:val="9"/>
    <w:rsid w:val="00CC470A"/>
    <w:rPr>
      <w:rFonts w:ascii="Cambria" w:eastAsia="Times New Roman" w:hAnsi="Cambria" w:cs="Times New Roman"/>
      <w:b/>
      <w:bCs/>
      <w:sz w:val="26"/>
      <w:szCs w:val="26"/>
      <w:lang w:eastAsia="en-US"/>
    </w:rPr>
  </w:style>
  <w:style w:type="paragraph" w:customStyle="1" w:styleId="CM1">
    <w:name w:val="CM1"/>
    <w:basedOn w:val="Default"/>
    <w:next w:val="Default"/>
    <w:uiPriority w:val="99"/>
    <w:rsid w:val="00667153"/>
    <w:rPr>
      <w:rFonts w:eastAsia="Times New Roman" w:cs="Times New Roman"/>
      <w:color w:val="auto"/>
    </w:rPr>
  </w:style>
  <w:style w:type="paragraph" w:styleId="Revision">
    <w:name w:val="Revision"/>
    <w:hidden/>
    <w:uiPriority w:val="99"/>
    <w:semiHidden/>
    <w:rsid w:val="00397602"/>
    <w:rPr>
      <w:sz w:val="28"/>
      <w:szCs w:val="22"/>
      <w:lang w:eastAsia="en-US"/>
    </w:rPr>
  </w:style>
  <w:style w:type="paragraph" w:styleId="FootnoteText">
    <w:name w:val="footnote text"/>
    <w:basedOn w:val="Normal"/>
    <w:link w:val="FootnoteTextChar"/>
    <w:uiPriority w:val="99"/>
    <w:semiHidden/>
    <w:unhideWhenUsed/>
    <w:rsid w:val="005E1E38"/>
    <w:pPr>
      <w:widowControl w:val="0"/>
    </w:pPr>
    <w:rPr>
      <w:rFonts w:ascii="Calibri" w:hAnsi="Calibri"/>
      <w:sz w:val="20"/>
      <w:szCs w:val="20"/>
      <w:lang w:val="en-US"/>
    </w:rPr>
  </w:style>
  <w:style w:type="character" w:customStyle="1" w:styleId="FootnoteTextChar">
    <w:name w:val="Footnote Text Char"/>
    <w:link w:val="FootnoteText"/>
    <w:uiPriority w:val="99"/>
    <w:semiHidden/>
    <w:rsid w:val="005E1E38"/>
    <w:rPr>
      <w:rFonts w:ascii="Calibri" w:hAnsi="Calibri"/>
      <w:lang w:val="en-US" w:eastAsia="en-US"/>
    </w:rPr>
  </w:style>
  <w:style w:type="character" w:styleId="FootnoteReference">
    <w:name w:val="footnote reference"/>
    <w:uiPriority w:val="99"/>
    <w:unhideWhenUsed/>
    <w:rsid w:val="005E1E38"/>
    <w:rPr>
      <w:vertAlign w:val="superscript"/>
    </w:rPr>
  </w:style>
  <w:style w:type="character" w:customStyle="1" w:styleId="FontStyle26">
    <w:name w:val="Font Style26"/>
    <w:uiPriority w:val="99"/>
    <w:rsid w:val="005E1E38"/>
    <w:rPr>
      <w:rFonts w:ascii="Calibri" w:hAnsi="Calibri" w:cs="Calibri" w:hint="default"/>
      <w:b/>
      <w:bCs/>
      <w:sz w:val="22"/>
      <w:szCs w:val="22"/>
    </w:rPr>
  </w:style>
  <w:style w:type="paragraph" w:styleId="PlainText">
    <w:name w:val="Plain Text"/>
    <w:basedOn w:val="Normal"/>
    <w:link w:val="PlainTextChar"/>
    <w:uiPriority w:val="99"/>
    <w:unhideWhenUsed/>
    <w:rsid w:val="00E53A56"/>
    <w:rPr>
      <w:rFonts w:ascii="Calibri" w:hAnsi="Calibri" w:cs="Calibri"/>
      <w:sz w:val="22"/>
      <w:lang w:eastAsia="lv-LV"/>
    </w:rPr>
  </w:style>
  <w:style w:type="character" w:customStyle="1" w:styleId="PlainTextChar">
    <w:name w:val="Plain Text Char"/>
    <w:link w:val="PlainText"/>
    <w:uiPriority w:val="99"/>
    <w:rsid w:val="00E53A56"/>
    <w:rPr>
      <w:rFonts w:ascii="Calibri" w:hAnsi="Calibri" w:cs="Calibri"/>
      <w:sz w:val="22"/>
      <w:szCs w:val="22"/>
    </w:rPr>
  </w:style>
  <w:style w:type="paragraph" w:styleId="BodyText2">
    <w:name w:val="Body Text 2"/>
    <w:basedOn w:val="Normal"/>
    <w:link w:val="BodyText2Char"/>
    <w:uiPriority w:val="99"/>
    <w:semiHidden/>
    <w:unhideWhenUsed/>
    <w:rsid w:val="00037265"/>
    <w:pPr>
      <w:spacing w:after="120" w:line="480" w:lineRule="auto"/>
    </w:pPr>
  </w:style>
  <w:style w:type="character" w:customStyle="1" w:styleId="BodyText2Char">
    <w:name w:val="Body Text 2 Char"/>
    <w:basedOn w:val="DefaultParagraphFont"/>
    <w:link w:val="BodyText2"/>
    <w:uiPriority w:val="99"/>
    <w:semiHidden/>
    <w:rsid w:val="00037265"/>
    <w:rPr>
      <w:sz w:val="28"/>
      <w:szCs w:val="22"/>
      <w:lang w:eastAsia="en-US"/>
    </w:rPr>
  </w:style>
  <w:style w:type="paragraph" w:customStyle="1" w:styleId="Tiret0">
    <w:name w:val="Tiret 0"/>
    <w:basedOn w:val="Normal"/>
    <w:rsid w:val="00072689"/>
    <w:pPr>
      <w:numPr>
        <w:numId w:val="3"/>
      </w:numPr>
      <w:spacing w:before="120" w:after="120"/>
      <w:jc w:val="both"/>
    </w:pPr>
    <w:rPr>
      <w:rFonts w:eastAsiaTheme="minorHAnsi"/>
      <w:sz w:val="24"/>
      <w:lang w:eastAsia="lv-LV" w:bidi="lv-LV"/>
    </w:rPr>
  </w:style>
  <w:style w:type="character" w:customStyle="1" w:styleId="tlid-translation">
    <w:name w:val="tlid-translation"/>
    <w:basedOn w:val="DefaultParagraphFont"/>
    <w:rsid w:val="00350A53"/>
  </w:style>
  <w:style w:type="paragraph" w:customStyle="1" w:styleId="Body">
    <w:name w:val="Body"/>
    <w:rsid w:val="00792505"/>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017">
      <w:bodyDiv w:val="1"/>
      <w:marLeft w:val="0"/>
      <w:marRight w:val="0"/>
      <w:marTop w:val="0"/>
      <w:marBottom w:val="0"/>
      <w:divBdr>
        <w:top w:val="none" w:sz="0" w:space="0" w:color="auto"/>
        <w:left w:val="none" w:sz="0" w:space="0" w:color="auto"/>
        <w:bottom w:val="none" w:sz="0" w:space="0" w:color="auto"/>
        <w:right w:val="none" w:sz="0" w:space="0" w:color="auto"/>
      </w:divBdr>
    </w:div>
    <w:div w:id="33358519">
      <w:bodyDiv w:val="1"/>
      <w:marLeft w:val="0"/>
      <w:marRight w:val="0"/>
      <w:marTop w:val="0"/>
      <w:marBottom w:val="0"/>
      <w:divBdr>
        <w:top w:val="none" w:sz="0" w:space="0" w:color="auto"/>
        <w:left w:val="none" w:sz="0" w:space="0" w:color="auto"/>
        <w:bottom w:val="none" w:sz="0" w:space="0" w:color="auto"/>
        <w:right w:val="none" w:sz="0" w:space="0" w:color="auto"/>
      </w:divBdr>
    </w:div>
    <w:div w:id="39329952">
      <w:bodyDiv w:val="1"/>
      <w:marLeft w:val="0"/>
      <w:marRight w:val="0"/>
      <w:marTop w:val="0"/>
      <w:marBottom w:val="0"/>
      <w:divBdr>
        <w:top w:val="none" w:sz="0" w:space="0" w:color="auto"/>
        <w:left w:val="none" w:sz="0" w:space="0" w:color="auto"/>
        <w:bottom w:val="none" w:sz="0" w:space="0" w:color="auto"/>
        <w:right w:val="none" w:sz="0" w:space="0" w:color="auto"/>
      </w:divBdr>
    </w:div>
    <w:div w:id="45570321">
      <w:bodyDiv w:val="1"/>
      <w:marLeft w:val="0"/>
      <w:marRight w:val="0"/>
      <w:marTop w:val="0"/>
      <w:marBottom w:val="0"/>
      <w:divBdr>
        <w:top w:val="none" w:sz="0" w:space="0" w:color="auto"/>
        <w:left w:val="none" w:sz="0" w:space="0" w:color="auto"/>
        <w:bottom w:val="none" w:sz="0" w:space="0" w:color="auto"/>
        <w:right w:val="none" w:sz="0" w:space="0" w:color="auto"/>
      </w:divBdr>
    </w:div>
    <w:div w:id="75059822">
      <w:bodyDiv w:val="1"/>
      <w:marLeft w:val="0"/>
      <w:marRight w:val="0"/>
      <w:marTop w:val="0"/>
      <w:marBottom w:val="0"/>
      <w:divBdr>
        <w:top w:val="none" w:sz="0" w:space="0" w:color="auto"/>
        <w:left w:val="none" w:sz="0" w:space="0" w:color="auto"/>
        <w:bottom w:val="none" w:sz="0" w:space="0" w:color="auto"/>
        <w:right w:val="none" w:sz="0" w:space="0" w:color="auto"/>
      </w:divBdr>
    </w:div>
    <w:div w:id="98763792">
      <w:bodyDiv w:val="1"/>
      <w:marLeft w:val="0"/>
      <w:marRight w:val="0"/>
      <w:marTop w:val="0"/>
      <w:marBottom w:val="0"/>
      <w:divBdr>
        <w:top w:val="none" w:sz="0" w:space="0" w:color="auto"/>
        <w:left w:val="none" w:sz="0" w:space="0" w:color="auto"/>
        <w:bottom w:val="none" w:sz="0" w:space="0" w:color="auto"/>
        <w:right w:val="none" w:sz="0" w:space="0" w:color="auto"/>
      </w:divBdr>
    </w:div>
    <w:div w:id="114105764">
      <w:bodyDiv w:val="1"/>
      <w:marLeft w:val="0"/>
      <w:marRight w:val="0"/>
      <w:marTop w:val="0"/>
      <w:marBottom w:val="0"/>
      <w:divBdr>
        <w:top w:val="none" w:sz="0" w:space="0" w:color="auto"/>
        <w:left w:val="none" w:sz="0" w:space="0" w:color="auto"/>
        <w:bottom w:val="none" w:sz="0" w:space="0" w:color="auto"/>
        <w:right w:val="none" w:sz="0" w:space="0" w:color="auto"/>
      </w:divBdr>
    </w:div>
    <w:div w:id="123936585">
      <w:bodyDiv w:val="1"/>
      <w:marLeft w:val="0"/>
      <w:marRight w:val="0"/>
      <w:marTop w:val="0"/>
      <w:marBottom w:val="0"/>
      <w:divBdr>
        <w:top w:val="none" w:sz="0" w:space="0" w:color="auto"/>
        <w:left w:val="none" w:sz="0" w:space="0" w:color="auto"/>
        <w:bottom w:val="none" w:sz="0" w:space="0" w:color="auto"/>
        <w:right w:val="none" w:sz="0" w:space="0" w:color="auto"/>
      </w:divBdr>
    </w:div>
    <w:div w:id="171264802">
      <w:bodyDiv w:val="1"/>
      <w:marLeft w:val="0"/>
      <w:marRight w:val="0"/>
      <w:marTop w:val="0"/>
      <w:marBottom w:val="0"/>
      <w:divBdr>
        <w:top w:val="none" w:sz="0" w:space="0" w:color="auto"/>
        <w:left w:val="none" w:sz="0" w:space="0" w:color="auto"/>
        <w:bottom w:val="none" w:sz="0" w:space="0" w:color="auto"/>
        <w:right w:val="none" w:sz="0" w:space="0" w:color="auto"/>
      </w:divBdr>
    </w:div>
    <w:div w:id="203299153">
      <w:bodyDiv w:val="1"/>
      <w:marLeft w:val="0"/>
      <w:marRight w:val="0"/>
      <w:marTop w:val="0"/>
      <w:marBottom w:val="0"/>
      <w:divBdr>
        <w:top w:val="none" w:sz="0" w:space="0" w:color="auto"/>
        <w:left w:val="none" w:sz="0" w:space="0" w:color="auto"/>
        <w:bottom w:val="none" w:sz="0" w:space="0" w:color="auto"/>
        <w:right w:val="none" w:sz="0" w:space="0" w:color="auto"/>
      </w:divBdr>
    </w:div>
    <w:div w:id="332101422">
      <w:bodyDiv w:val="1"/>
      <w:marLeft w:val="0"/>
      <w:marRight w:val="0"/>
      <w:marTop w:val="0"/>
      <w:marBottom w:val="0"/>
      <w:divBdr>
        <w:top w:val="none" w:sz="0" w:space="0" w:color="auto"/>
        <w:left w:val="none" w:sz="0" w:space="0" w:color="auto"/>
        <w:bottom w:val="none" w:sz="0" w:space="0" w:color="auto"/>
        <w:right w:val="none" w:sz="0" w:space="0" w:color="auto"/>
      </w:divBdr>
      <w:divsChild>
        <w:div w:id="1349210238">
          <w:marLeft w:val="0"/>
          <w:marRight w:val="0"/>
          <w:marTop w:val="0"/>
          <w:marBottom w:val="0"/>
          <w:divBdr>
            <w:top w:val="none" w:sz="0" w:space="0" w:color="auto"/>
            <w:left w:val="none" w:sz="0" w:space="0" w:color="auto"/>
            <w:bottom w:val="none" w:sz="0" w:space="0" w:color="auto"/>
            <w:right w:val="none" w:sz="0" w:space="0" w:color="auto"/>
          </w:divBdr>
          <w:divsChild>
            <w:div w:id="1686831990">
              <w:marLeft w:val="0"/>
              <w:marRight w:val="0"/>
              <w:marTop w:val="0"/>
              <w:marBottom w:val="0"/>
              <w:divBdr>
                <w:top w:val="none" w:sz="0" w:space="0" w:color="auto"/>
                <w:left w:val="none" w:sz="0" w:space="0" w:color="auto"/>
                <w:bottom w:val="none" w:sz="0" w:space="0" w:color="auto"/>
                <w:right w:val="none" w:sz="0" w:space="0" w:color="auto"/>
              </w:divBdr>
              <w:divsChild>
                <w:div w:id="16859940">
                  <w:marLeft w:val="0"/>
                  <w:marRight w:val="0"/>
                  <w:marTop w:val="0"/>
                  <w:marBottom w:val="0"/>
                  <w:divBdr>
                    <w:top w:val="none" w:sz="0" w:space="0" w:color="auto"/>
                    <w:left w:val="none" w:sz="0" w:space="0" w:color="auto"/>
                    <w:bottom w:val="none" w:sz="0" w:space="0" w:color="auto"/>
                    <w:right w:val="none" w:sz="0" w:space="0" w:color="auto"/>
                  </w:divBdr>
                  <w:divsChild>
                    <w:div w:id="395248190">
                      <w:marLeft w:val="0"/>
                      <w:marRight w:val="0"/>
                      <w:marTop w:val="300"/>
                      <w:marBottom w:val="1200"/>
                      <w:divBdr>
                        <w:top w:val="none" w:sz="0" w:space="0" w:color="auto"/>
                        <w:left w:val="none" w:sz="0" w:space="0" w:color="auto"/>
                        <w:bottom w:val="none" w:sz="0" w:space="0" w:color="auto"/>
                        <w:right w:val="none" w:sz="0" w:space="0" w:color="auto"/>
                      </w:divBdr>
                      <w:divsChild>
                        <w:div w:id="2123650164">
                          <w:marLeft w:val="0"/>
                          <w:marRight w:val="0"/>
                          <w:marTop w:val="0"/>
                          <w:marBottom w:val="0"/>
                          <w:divBdr>
                            <w:top w:val="none" w:sz="0" w:space="0" w:color="auto"/>
                            <w:left w:val="none" w:sz="0" w:space="0" w:color="auto"/>
                            <w:bottom w:val="none" w:sz="0" w:space="0" w:color="auto"/>
                            <w:right w:val="none" w:sz="0" w:space="0" w:color="auto"/>
                          </w:divBdr>
                          <w:divsChild>
                            <w:div w:id="91510970">
                              <w:marLeft w:val="0"/>
                              <w:marRight w:val="0"/>
                              <w:marTop w:val="0"/>
                              <w:marBottom w:val="0"/>
                              <w:divBdr>
                                <w:top w:val="none" w:sz="0" w:space="0" w:color="auto"/>
                                <w:left w:val="none" w:sz="0" w:space="0" w:color="auto"/>
                                <w:bottom w:val="none" w:sz="0" w:space="0" w:color="auto"/>
                                <w:right w:val="none" w:sz="0" w:space="0" w:color="auto"/>
                              </w:divBdr>
                              <w:divsChild>
                                <w:div w:id="1407071679">
                                  <w:marLeft w:val="0"/>
                                  <w:marRight w:val="0"/>
                                  <w:marTop w:val="0"/>
                                  <w:marBottom w:val="0"/>
                                  <w:divBdr>
                                    <w:top w:val="none" w:sz="0" w:space="0" w:color="auto"/>
                                    <w:left w:val="none" w:sz="0" w:space="0" w:color="auto"/>
                                    <w:bottom w:val="none" w:sz="0" w:space="0" w:color="auto"/>
                                    <w:right w:val="none" w:sz="0" w:space="0" w:color="auto"/>
                                  </w:divBdr>
                                  <w:divsChild>
                                    <w:div w:id="244344981">
                                      <w:marLeft w:val="0"/>
                                      <w:marRight w:val="0"/>
                                      <w:marTop w:val="0"/>
                                      <w:marBottom w:val="0"/>
                                      <w:divBdr>
                                        <w:top w:val="none" w:sz="0" w:space="0" w:color="auto"/>
                                        <w:left w:val="none" w:sz="0" w:space="0" w:color="auto"/>
                                        <w:bottom w:val="none" w:sz="0" w:space="0" w:color="auto"/>
                                        <w:right w:val="none" w:sz="0" w:space="0" w:color="auto"/>
                                      </w:divBdr>
                                    </w:div>
                                    <w:div w:id="910237727">
                                      <w:marLeft w:val="0"/>
                                      <w:marRight w:val="0"/>
                                      <w:marTop w:val="0"/>
                                      <w:marBottom w:val="0"/>
                                      <w:divBdr>
                                        <w:top w:val="none" w:sz="0" w:space="0" w:color="auto"/>
                                        <w:left w:val="none" w:sz="0" w:space="0" w:color="auto"/>
                                        <w:bottom w:val="none" w:sz="0" w:space="0" w:color="auto"/>
                                        <w:right w:val="none" w:sz="0" w:space="0" w:color="auto"/>
                                      </w:divBdr>
                                    </w:div>
                                    <w:div w:id="1182084348">
                                      <w:marLeft w:val="0"/>
                                      <w:marRight w:val="0"/>
                                      <w:marTop w:val="0"/>
                                      <w:marBottom w:val="0"/>
                                      <w:divBdr>
                                        <w:top w:val="none" w:sz="0" w:space="0" w:color="auto"/>
                                        <w:left w:val="none" w:sz="0" w:space="0" w:color="auto"/>
                                        <w:bottom w:val="none" w:sz="0" w:space="0" w:color="auto"/>
                                        <w:right w:val="none" w:sz="0" w:space="0" w:color="auto"/>
                                      </w:divBdr>
                                    </w:div>
                                    <w:div w:id="1251280141">
                                      <w:marLeft w:val="0"/>
                                      <w:marRight w:val="0"/>
                                      <w:marTop w:val="0"/>
                                      <w:marBottom w:val="0"/>
                                      <w:divBdr>
                                        <w:top w:val="none" w:sz="0" w:space="0" w:color="auto"/>
                                        <w:left w:val="none" w:sz="0" w:space="0" w:color="auto"/>
                                        <w:bottom w:val="none" w:sz="0" w:space="0" w:color="auto"/>
                                        <w:right w:val="none" w:sz="0" w:space="0" w:color="auto"/>
                                      </w:divBdr>
                                    </w:div>
                                    <w:div w:id="16827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497550">
      <w:bodyDiv w:val="1"/>
      <w:marLeft w:val="0"/>
      <w:marRight w:val="0"/>
      <w:marTop w:val="0"/>
      <w:marBottom w:val="0"/>
      <w:divBdr>
        <w:top w:val="none" w:sz="0" w:space="0" w:color="auto"/>
        <w:left w:val="none" w:sz="0" w:space="0" w:color="auto"/>
        <w:bottom w:val="none" w:sz="0" w:space="0" w:color="auto"/>
        <w:right w:val="none" w:sz="0" w:space="0" w:color="auto"/>
      </w:divBdr>
    </w:div>
    <w:div w:id="377124483">
      <w:bodyDiv w:val="1"/>
      <w:marLeft w:val="0"/>
      <w:marRight w:val="0"/>
      <w:marTop w:val="0"/>
      <w:marBottom w:val="0"/>
      <w:divBdr>
        <w:top w:val="none" w:sz="0" w:space="0" w:color="auto"/>
        <w:left w:val="none" w:sz="0" w:space="0" w:color="auto"/>
        <w:bottom w:val="none" w:sz="0" w:space="0" w:color="auto"/>
        <w:right w:val="none" w:sz="0" w:space="0" w:color="auto"/>
      </w:divBdr>
    </w:div>
    <w:div w:id="385028940">
      <w:bodyDiv w:val="1"/>
      <w:marLeft w:val="0"/>
      <w:marRight w:val="0"/>
      <w:marTop w:val="0"/>
      <w:marBottom w:val="0"/>
      <w:divBdr>
        <w:top w:val="none" w:sz="0" w:space="0" w:color="auto"/>
        <w:left w:val="none" w:sz="0" w:space="0" w:color="auto"/>
        <w:bottom w:val="none" w:sz="0" w:space="0" w:color="auto"/>
        <w:right w:val="none" w:sz="0" w:space="0" w:color="auto"/>
      </w:divBdr>
      <w:divsChild>
        <w:div w:id="2106609663">
          <w:marLeft w:val="0"/>
          <w:marRight w:val="0"/>
          <w:marTop w:val="0"/>
          <w:marBottom w:val="0"/>
          <w:divBdr>
            <w:top w:val="none" w:sz="0" w:space="0" w:color="auto"/>
            <w:left w:val="none" w:sz="0" w:space="0" w:color="auto"/>
            <w:bottom w:val="none" w:sz="0" w:space="0" w:color="auto"/>
            <w:right w:val="none" w:sz="0" w:space="0" w:color="auto"/>
          </w:divBdr>
          <w:divsChild>
            <w:div w:id="1545483347">
              <w:marLeft w:val="0"/>
              <w:marRight w:val="0"/>
              <w:marTop w:val="0"/>
              <w:marBottom w:val="0"/>
              <w:divBdr>
                <w:top w:val="none" w:sz="0" w:space="0" w:color="auto"/>
                <w:left w:val="none" w:sz="0" w:space="0" w:color="auto"/>
                <w:bottom w:val="none" w:sz="0" w:space="0" w:color="auto"/>
                <w:right w:val="none" w:sz="0" w:space="0" w:color="auto"/>
              </w:divBdr>
              <w:divsChild>
                <w:div w:id="897937558">
                  <w:marLeft w:val="0"/>
                  <w:marRight w:val="0"/>
                  <w:marTop w:val="0"/>
                  <w:marBottom w:val="0"/>
                  <w:divBdr>
                    <w:top w:val="none" w:sz="0" w:space="0" w:color="auto"/>
                    <w:left w:val="none" w:sz="0" w:space="0" w:color="auto"/>
                    <w:bottom w:val="none" w:sz="0" w:space="0" w:color="auto"/>
                    <w:right w:val="none" w:sz="0" w:space="0" w:color="auto"/>
                  </w:divBdr>
                  <w:divsChild>
                    <w:div w:id="1660308967">
                      <w:marLeft w:val="0"/>
                      <w:marRight w:val="0"/>
                      <w:marTop w:val="300"/>
                      <w:marBottom w:val="1200"/>
                      <w:divBdr>
                        <w:top w:val="none" w:sz="0" w:space="0" w:color="auto"/>
                        <w:left w:val="none" w:sz="0" w:space="0" w:color="auto"/>
                        <w:bottom w:val="none" w:sz="0" w:space="0" w:color="auto"/>
                        <w:right w:val="none" w:sz="0" w:space="0" w:color="auto"/>
                      </w:divBdr>
                      <w:divsChild>
                        <w:div w:id="1497499227">
                          <w:marLeft w:val="0"/>
                          <w:marRight w:val="0"/>
                          <w:marTop w:val="0"/>
                          <w:marBottom w:val="0"/>
                          <w:divBdr>
                            <w:top w:val="none" w:sz="0" w:space="0" w:color="auto"/>
                            <w:left w:val="none" w:sz="0" w:space="0" w:color="auto"/>
                            <w:bottom w:val="none" w:sz="0" w:space="0" w:color="auto"/>
                            <w:right w:val="none" w:sz="0" w:space="0" w:color="auto"/>
                          </w:divBdr>
                          <w:divsChild>
                            <w:div w:id="1398090390">
                              <w:marLeft w:val="0"/>
                              <w:marRight w:val="0"/>
                              <w:marTop w:val="0"/>
                              <w:marBottom w:val="0"/>
                              <w:divBdr>
                                <w:top w:val="none" w:sz="0" w:space="0" w:color="auto"/>
                                <w:left w:val="none" w:sz="0" w:space="0" w:color="auto"/>
                                <w:bottom w:val="none" w:sz="0" w:space="0" w:color="auto"/>
                                <w:right w:val="none" w:sz="0" w:space="0" w:color="auto"/>
                              </w:divBdr>
                              <w:divsChild>
                                <w:div w:id="274210907">
                                  <w:marLeft w:val="0"/>
                                  <w:marRight w:val="0"/>
                                  <w:marTop w:val="0"/>
                                  <w:marBottom w:val="0"/>
                                  <w:divBdr>
                                    <w:top w:val="none" w:sz="0" w:space="0" w:color="auto"/>
                                    <w:left w:val="none" w:sz="0" w:space="0" w:color="auto"/>
                                    <w:bottom w:val="none" w:sz="0" w:space="0" w:color="auto"/>
                                    <w:right w:val="none" w:sz="0" w:space="0" w:color="auto"/>
                                  </w:divBdr>
                                  <w:divsChild>
                                    <w:div w:id="883177022">
                                      <w:marLeft w:val="0"/>
                                      <w:marRight w:val="0"/>
                                      <w:marTop w:val="0"/>
                                      <w:marBottom w:val="0"/>
                                      <w:divBdr>
                                        <w:top w:val="none" w:sz="0" w:space="0" w:color="auto"/>
                                        <w:left w:val="none" w:sz="0" w:space="0" w:color="auto"/>
                                        <w:bottom w:val="none" w:sz="0" w:space="0" w:color="auto"/>
                                        <w:right w:val="none" w:sz="0" w:space="0" w:color="auto"/>
                                      </w:divBdr>
                                    </w:div>
                                    <w:div w:id="1328364249">
                                      <w:marLeft w:val="0"/>
                                      <w:marRight w:val="0"/>
                                      <w:marTop w:val="0"/>
                                      <w:marBottom w:val="0"/>
                                      <w:divBdr>
                                        <w:top w:val="none" w:sz="0" w:space="0" w:color="auto"/>
                                        <w:left w:val="none" w:sz="0" w:space="0" w:color="auto"/>
                                        <w:bottom w:val="none" w:sz="0" w:space="0" w:color="auto"/>
                                        <w:right w:val="none" w:sz="0" w:space="0" w:color="auto"/>
                                      </w:divBdr>
                                    </w:div>
                                    <w:div w:id="17090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15740">
      <w:bodyDiv w:val="1"/>
      <w:marLeft w:val="0"/>
      <w:marRight w:val="0"/>
      <w:marTop w:val="0"/>
      <w:marBottom w:val="0"/>
      <w:divBdr>
        <w:top w:val="none" w:sz="0" w:space="0" w:color="auto"/>
        <w:left w:val="none" w:sz="0" w:space="0" w:color="auto"/>
        <w:bottom w:val="none" w:sz="0" w:space="0" w:color="auto"/>
        <w:right w:val="none" w:sz="0" w:space="0" w:color="auto"/>
      </w:divBdr>
    </w:div>
    <w:div w:id="397290533">
      <w:bodyDiv w:val="1"/>
      <w:marLeft w:val="0"/>
      <w:marRight w:val="0"/>
      <w:marTop w:val="0"/>
      <w:marBottom w:val="0"/>
      <w:divBdr>
        <w:top w:val="none" w:sz="0" w:space="0" w:color="auto"/>
        <w:left w:val="none" w:sz="0" w:space="0" w:color="auto"/>
        <w:bottom w:val="none" w:sz="0" w:space="0" w:color="auto"/>
        <w:right w:val="none" w:sz="0" w:space="0" w:color="auto"/>
      </w:divBdr>
    </w:div>
    <w:div w:id="399210745">
      <w:bodyDiv w:val="1"/>
      <w:marLeft w:val="0"/>
      <w:marRight w:val="0"/>
      <w:marTop w:val="0"/>
      <w:marBottom w:val="0"/>
      <w:divBdr>
        <w:top w:val="none" w:sz="0" w:space="0" w:color="auto"/>
        <w:left w:val="none" w:sz="0" w:space="0" w:color="auto"/>
        <w:bottom w:val="none" w:sz="0" w:space="0" w:color="auto"/>
        <w:right w:val="none" w:sz="0" w:space="0" w:color="auto"/>
      </w:divBdr>
    </w:div>
    <w:div w:id="415248879">
      <w:bodyDiv w:val="1"/>
      <w:marLeft w:val="0"/>
      <w:marRight w:val="0"/>
      <w:marTop w:val="0"/>
      <w:marBottom w:val="0"/>
      <w:divBdr>
        <w:top w:val="none" w:sz="0" w:space="0" w:color="auto"/>
        <w:left w:val="none" w:sz="0" w:space="0" w:color="auto"/>
        <w:bottom w:val="none" w:sz="0" w:space="0" w:color="auto"/>
        <w:right w:val="none" w:sz="0" w:space="0" w:color="auto"/>
      </w:divBdr>
      <w:divsChild>
        <w:div w:id="134950389">
          <w:marLeft w:val="0"/>
          <w:marRight w:val="0"/>
          <w:marTop w:val="0"/>
          <w:marBottom w:val="0"/>
          <w:divBdr>
            <w:top w:val="none" w:sz="0" w:space="0" w:color="auto"/>
            <w:left w:val="none" w:sz="0" w:space="0" w:color="auto"/>
            <w:bottom w:val="none" w:sz="0" w:space="0" w:color="auto"/>
            <w:right w:val="none" w:sz="0" w:space="0" w:color="auto"/>
          </w:divBdr>
          <w:divsChild>
            <w:div w:id="1374159075">
              <w:marLeft w:val="0"/>
              <w:marRight w:val="0"/>
              <w:marTop w:val="0"/>
              <w:marBottom w:val="0"/>
              <w:divBdr>
                <w:top w:val="none" w:sz="0" w:space="0" w:color="auto"/>
                <w:left w:val="none" w:sz="0" w:space="0" w:color="auto"/>
                <w:bottom w:val="none" w:sz="0" w:space="0" w:color="auto"/>
                <w:right w:val="none" w:sz="0" w:space="0" w:color="auto"/>
              </w:divBdr>
              <w:divsChild>
                <w:div w:id="760417837">
                  <w:marLeft w:val="0"/>
                  <w:marRight w:val="0"/>
                  <w:marTop w:val="0"/>
                  <w:marBottom w:val="0"/>
                  <w:divBdr>
                    <w:top w:val="none" w:sz="0" w:space="0" w:color="auto"/>
                    <w:left w:val="none" w:sz="0" w:space="0" w:color="auto"/>
                    <w:bottom w:val="none" w:sz="0" w:space="0" w:color="auto"/>
                    <w:right w:val="none" w:sz="0" w:space="0" w:color="auto"/>
                  </w:divBdr>
                  <w:divsChild>
                    <w:div w:id="360908962">
                      <w:marLeft w:val="0"/>
                      <w:marRight w:val="0"/>
                      <w:marTop w:val="300"/>
                      <w:marBottom w:val="1200"/>
                      <w:divBdr>
                        <w:top w:val="none" w:sz="0" w:space="0" w:color="auto"/>
                        <w:left w:val="none" w:sz="0" w:space="0" w:color="auto"/>
                        <w:bottom w:val="none" w:sz="0" w:space="0" w:color="auto"/>
                        <w:right w:val="none" w:sz="0" w:space="0" w:color="auto"/>
                      </w:divBdr>
                      <w:divsChild>
                        <w:div w:id="2075228573">
                          <w:marLeft w:val="0"/>
                          <w:marRight w:val="0"/>
                          <w:marTop w:val="0"/>
                          <w:marBottom w:val="0"/>
                          <w:divBdr>
                            <w:top w:val="none" w:sz="0" w:space="0" w:color="auto"/>
                            <w:left w:val="none" w:sz="0" w:space="0" w:color="auto"/>
                            <w:bottom w:val="none" w:sz="0" w:space="0" w:color="auto"/>
                            <w:right w:val="none" w:sz="0" w:space="0" w:color="auto"/>
                          </w:divBdr>
                          <w:divsChild>
                            <w:div w:id="1386290772">
                              <w:marLeft w:val="0"/>
                              <w:marRight w:val="0"/>
                              <w:marTop w:val="0"/>
                              <w:marBottom w:val="0"/>
                              <w:divBdr>
                                <w:top w:val="none" w:sz="0" w:space="0" w:color="auto"/>
                                <w:left w:val="none" w:sz="0" w:space="0" w:color="auto"/>
                                <w:bottom w:val="none" w:sz="0" w:space="0" w:color="auto"/>
                                <w:right w:val="none" w:sz="0" w:space="0" w:color="auto"/>
                              </w:divBdr>
                              <w:divsChild>
                                <w:div w:id="932661318">
                                  <w:marLeft w:val="0"/>
                                  <w:marRight w:val="0"/>
                                  <w:marTop w:val="0"/>
                                  <w:marBottom w:val="0"/>
                                  <w:divBdr>
                                    <w:top w:val="none" w:sz="0" w:space="0" w:color="auto"/>
                                    <w:left w:val="none" w:sz="0" w:space="0" w:color="auto"/>
                                    <w:bottom w:val="none" w:sz="0" w:space="0" w:color="auto"/>
                                    <w:right w:val="none" w:sz="0" w:space="0" w:color="auto"/>
                                  </w:divBdr>
                                  <w:divsChild>
                                    <w:div w:id="264118857">
                                      <w:marLeft w:val="0"/>
                                      <w:marRight w:val="0"/>
                                      <w:marTop w:val="0"/>
                                      <w:marBottom w:val="0"/>
                                      <w:divBdr>
                                        <w:top w:val="none" w:sz="0" w:space="0" w:color="auto"/>
                                        <w:left w:val="none" w:sz="0" w:space="0" w:color="auto"/>
                                        <w:bottom w:val="none" w:sz="0" w:space="0" w:color="auto"/>
                                        <w:right w:val="none" w:sz="0" w:space="0" w:color="auto"/>
                                      </w:divBdr>
                                    </w:div>
                                    <w:div w:id="417990265">
                                      <w:marLeft w:val="0"/>
                                      <w:marRight w:val="0"/>
                                      <w:marTop w:val="0"/>
                                      <w:marBottom w:val="0"/>
                                      <w:divBdr>
                                        <w:top w:val="none" w:sz="0" w:space="0" w:color="auto"/>
                                        <w:left w:val="none" w:sz="0" w:space="0" w:color="auto"/>
                                        <w:bottom w:val="none" w:sz="0" w:space="0" w:color="auto"/>
                                        <w:right w:val="none" w:sz="0" w:space="0" w:color="auto"/>
                                      </w:divBdr>
                                    </w:div>
                                    <w:div w:id="1692873495">
                                      <w:marLeft w:val="0"/>
                                      <w:marRight w:val="0"/>
                                      <w:marTop w:val="0"/>
                                      <w:marBottom w:val="0"/>
                                      <w:divBdr>
                                        <w:top w:val="none" w:sz="0" w:space="0" w:color="auto"/>
                                        <w:left w:val="none" w:sz="0" w:space="0" w:color="auto"/>
                                        <w:bottom w:val="none" w:sz="0" w:space="0" w:color="auto"/>
                                        <w:right w:val="none" w:sz="0" w:space="0" w:color="auto"/>
                                      </w:divBdr>
                                    </w:div>
                                    <w:div w:id="1850100334">
                                      <w:marLeft w:val="0"/>
                                      <w:marRight w:val="0"/>
                                      <w:marTop w:val="0"/>
                                      <w:marBottom w:val="0"/>
                                      <w:divBdr>
                                        <w:top w:val="none" w:sz="0" w:space="0" w:color="auto"/>
                                        <w:left w:val="none" w:sz="0" w:space="0" w:color="auto"/>
                                        <w:bottom w:val="none" w:sz="0" w:space="0" w:color="auto"/>
                                        <w:right w:val="none" w:sz="0" w:space="0" w:color="auto"/>
                                      </w:divBdr>
                                    </w:div>
                                    <w:div w:id="2125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642973">
      <w:bodyDiv w:val="1"/>
      <w:marLeft w:val="0"/>
      <w:marRight w:val="0"/>
      <w:marTop w:val="0"/>
      <w:marBottom w:val="0"/>
      <w:divBdr>
        <w:top w:val="none" w:sz="0" w:space="0" w:color="auto"/>
        <w:left w:val="none" w:sz="0" w:space="0" w:color="auto"/>
        <w:bottom w:val="none" w:sz="0" w:space="0" w:color="auto"/>
        <w:right w:val="none" w:sz="0" w:space="0" w:color="auto"/>
      </w:divBdr>
      <w:divsChild>
        <w:div w:id="22943319">
          <w:marLeft w:val="0"/>
          <w:marRight w:val="0"/>
          <w:marTop w:val="0"/>
          <w:marBottom w:val="0"/>
          <w:divBdr>
            <w:top w:val="none" w:sz="0" w:space="0" w:color="auto"/>
            <w:left w:val="none" w:sz="0" w:space="0" w:color="auto"/>
            <w:bottom w:val="none" w:sz="0" w:space="0" w:color="auto"/>
            <w:right w:val="none" w:sz="0" w:space="0" w:color="auto"/>
          </w:divBdr>
        </w:div>
        <w:div w:id="52198664">
          <w:marLeft w:val="0"/>
          <w:marRight w:val="0"/>
          <w:marTop w:val="0"/>
          <w:marBottom w:val="0"/>
          <w:divBdr>
            <w:top w:val="none" w:sz="0" w:space="0" w:color="auto"/>
            <w:left w:val="none" w:sz="0" w:space="0" w:color="auto"/>
            <w:bottom w:val="none" w:sz="0" w:space="0" w:color="auto"/>
            <w:right w:val="none" w:sz="0" w:space="0" w:color="auto"/>
          </w:divBdr>
        </w:div>
        <w:div w:id="79646566">
          <w:marLeft w:val="0"/>
          <w:marRight w:val="0"/>
          <w:marTop w:val="0"/>
          <w:marBottom w:val="0"/>
          <w:divBdr>
            <w:top w:val="none" w:sz="0" w:space="0" w:color="auto"/>
            <w:left w:val="none" w:sz="0" w:space="0" w:color="auto"/>
            <w:bottom w:val="none" w:sz="0" w:space="0" w:color="auto"/>
            <w:right w:val="none" w:sz="0" w:space="0" w:color="auto"/>
          </w:divBdr>
        </w:div>
        <w:div w:id="105775148">
          <w:marLeft w:val="0"/>
          <w:marRight w:val="0"/>
          <w:marTop w:val="0"/>
          <w:marBottom w:val="0"/>
          <w:divBdr>
            <w:top w:val="none" w:sz="0" w:space="0" w:color="auto"/>
            <w:left w:val="none" w:sz="0" w:space="0" w:color="auto"/>
            <w:bottom w:val="none" w:sz="0" w:space="0" w:color="auto"/>
            <w:right w:val="none" w:sz="0" w:space="0" w:color="auto"/>
          </w:divBdr>
        </w:div>
        <w:div w:id="117459562">
          <w:marLeft w:val="0"/>
          <w:marRight w:val="0"/>
          <w:marTop w:val="0"/>
          <w:marBottom w:val="0"/>
          <w:divBdr>
            <w:top w:val="none" w:sz="0" w:space="0" w:color="auto"/>
            <w:left w:val="none" w:sz="0" w:space="0" w:color="auto"/>
            <w:bottom w:val="none" w:sz="0" w:space="0" w:color="auto"/>
            <w:right w:val="none" w:sz="0" w:space="0" w:color="auto"/>
          </w:divBdr>
        </w:div>
        <w:div w:id="218051320">
          <w:marLeft w:val="0"/>
          <w:marRight w:val="0"/>
          <w:marTop w:val="0"/>
          <w:marBottom w:val="0"/>
          <w:divBdr>
            <w:top w:val="none" w:sz="0" w:space="0" w:color="auto"/>
            <w:left w:val="none" w:sz="0" w:space="0" w:color="auto"/>
            <w:bottom w:val="none" w:sz="0" w:space="0" w:color="auto"/>
            <w:right w:val="none" w:sz="0" w:space="0" w:color="auto"/>
          </w:divBdr>
        </w:div>
        <w:div w:id="257256364">
          <w:marLeft w:val="0"/>
          <w:marRight w:val="0"/>
          <w:marTop w:val="0"/>
          <w:marBottom w:val="0"/>
          <w:divBdr>
            <w:top w:val="none" w:sz="0" w:space="0" w:color="auto"/>
            <w:left w:val="none" w:sz="0" w:space="0" w:color="auto"/>
            <w:bottom w:val="none" w:sz="0" w:space="0" w:color="auto"/>
            <w:right w:val="none" w:sz="0" w:space="0" w:color="auto"/>
          </w:divBdr>
        </w:div>
        <w:div w:id="465508485">
          <w:marLeft w:val="0"/>
          <w:marRight w:val="0"/>
          <w:marTop w:val="0"/>
          <w:marBottom w:val="0"/>
          <w:divBdr>
            <w:top w:val="none" w:sz="0" w:space="0" w:color="auto"/>
            <w:left w:val="none" w:sz="0" w:space="0" w:color="auto"/>
            <w:bottom w:val="none" w:sz="0" w:space="0" w:color="auto"/>
            <w:right w:val="none" w:sz="0" w:space="0" w:color="auto"/>
          </w:divBdr>
        </w:div>
        <w:div w:id="486242030">
          <w:marLeft w:val="0"/>
          <w:marRight w:val="0"/>
          <w:marTop w:val="0"/>
          <w:marBottom w:val="0"/>
          <w:divBdr>
            <w:top w:val="none" w:sz="0" w:space="0" w:color="auto"/>
            <w:left w:val="none" w:sz="0" w:space="0" w:color="auto"/>
            <w:bottom w:val="none" w:sz="0" w:space="0" w:color="auto"/>
            <w:right w:val="none" w:sz="0" w:space="0" w:color="auto"/>
          </w:divBdr>
        </w:div>
        <w:div w:id="586963803">
          <w:marLeft w:val="0"/>
          <w:marRight w:val="0"/>
          <w:marTop w:val="0"/>
          <w:marBottom w:val="0"/>
          <w:divBdr>
            <w:top w:val="none" w:sz="0" w:space="0" w:color="auto"/>
            <w:left w:val="none" w:sz="0" w:space="0" w:color="auto"/>
            <w:bottom w:val="none" w:sz="0" w:space="0" w:color="auto"/>
            <w:right w:val="none" w:sz="0" w:space="0" w:color="auto"/>
          </w:divBdr>
        </w:div>
        <w:div w:id="605505968">
          <w:marLeft w:val="0"/>
          <w:marRight w:val="0"/>
          <w:marTop w:val="0"/>
          <w:marBottom w:val="0"/>
          <w:divBdr>
            <w:top w:val="none" w:sz="0" w:space="0" w:color="auto"/>
            <w:left w:val="none" w:sz="0" w:space="0" w:color="auto"/>
            <w:bottom w:val="none" w:sz="0" w:space="0" w:color="auto"/>
            <w:right w:val="none" w:sz="0" w:space="0" w:color="auto"/>
          </w:divBdr>
        </w:div>
        <w:div w:id="623385454">
          <w:marLeft w:val="0"/>
          <w:marRight w:val="0"/>
          <w:marTop w:val="0"/>
          <w:marBottom w:val="0"/>
          <w:divBdr>
            <w:top w:val="none" w:sz="0" w:space="0" w:color="auto"/>
            <w:left w:val="none" w:sz="0" w:space="0" w:color="auto"/>
            <w:bottom w:val="none" w:sz="0" w:space="0" w:color="auto"/>
            <w:right w:val="none" w:sz="0" w:space="0" w:color="auto"/>
          </w:divBdr>
        </w:div>
        <w:div w:id="693117915">
          <w:marLeft w:val="0"/>
          <w:marRight w:val="0"/>
          <w:marTop w:val="0"/>
          <w:marBottom w:val="0"/>
          <w:divBdr>
            <w:top w:val="none" w:sz="0" w:space="0" w:color="auto"/>
            <w:left w:val="none" w:sz="0" w:space="0" w:color="auto"/>
            <w:bottom w:val="none" w:sz="0" w:space="0" w:color="auto"/>
            <w:right w:val="none" w:sz="0" w:space="0" w:color="auto"/>
          </w:divBdr>
        </w:div>
        <w:div w:id="719019505">
          <w:marLeft w:val="0"/>
          <w:marRight w:val="0"/>
          <w:marTop w:val="0"/>
          <w:marBottom w:val="0"/>
          <w:divBdr>
            <w:top w:val="none" w:sz="0" w:space="0" w:color="auto"/>
            <w:left w:val="none" w:sz="0" w:space="0" w:color="auto"/>
            <w:bottom w:val="none" w:sz="0" w:space="0" w:color="auto"/>
            <w:right w:val="none" w:sz="0" w:space="0" w:color="auto"/>
          </w:divBdr>
        </w:div>
        <w:div w:id="726684542">
          <w:marLeft w:val="0"/>
          <w:marRight w:val="0"/>
          <w:marTop w:val="0"/>
          <w:marBottom w:val="0"/>
          <w:divBdr>
            <w:top w:val="none" w:sz="0" w:space="0" w:color="auto"/>
            <w:left w:val="none" w:sz="0" w:space="0" w:color="auto"/>
            <w:bottom w:val="none" w:sz="0" w:space="0" w:color="auto"/>
            <w:right w:val="none" w:sz="0" w:space="0" w:color="auto"/>
          </w:divBdr>
        </w:div>
        <w:div w:id="756293917">
          <w:marLeft w:val="0"/>
          <w:marRight w:val="0"/>
          <w:marTop w:val="0"/>
          <w:marBottom w:val="0"/>
          <w:divBdr>
            <w:top w:val="none" w:sz="0" w:space="0" w:color="auto"/>
            <w:left w:val="none" w:sz="0" w:space="0" w:color="auto"/>
            <w:bottom w:val="none" w:sz="0" w:space="0" w:color="auto"/>
            <w:right w:val="none" w:sz="0" w:space="0" w:color="auto"/>
          </w:divBdr>
        </w:div>
        <w:div w:id="1014186319">
          <w:marLeft w:val="0"/>
          <w:marRight w:val="0"/>
          <w:marTop w:val="0"/>
          <w:marBottom w:val="0"/>
          <w:divBdr>
            <w:top w:val="none" w:sz="0" w:space="0" w:color="auto"/>
            <w:left w:val="none" w:sz="0" w:space="0" w:color="auto"/>
            <w:bottom w:val="none" w:sz="0" w:space="0" w:color="auto"/>
            <w:right w:val="none" w:sz="0" w:space="0" w:color="auto"/>
          </w:divBdr>
        </w:div>
        <w:div w:id="1170634718">
          <w:marLeft w:val="0"/>
          <w:marRight w:val="0"/>
          <w:marTop w:val="0"/>
          <w:marBottom w:val="0"/>
          <w:divBdr>
            <w:top w:val="none" w:sz="0" w:space="0" w:color="auto"/>
            <w:left w:val="none" w:sz="0" w:space="0" w:color="auto"/>
            <w:bottom w:val="none" w:sz="0" w:space="0" w:color="auto"/>
            <w:right w:val="none" w:sz="0" w:space="0" w:color="auto"/>
          </w:divBdr>
        </w:div>
        <w:div w:id="1183327725">
          <w:marLeft w:val="0"/>
          <w:marRight w:val="0"/>
          <w:marTop w:val="0"/>
          <w:marBottom w:val="0"/>
          <w:divBdr>
            <w:top w:val="none" w:sz="0" w:space="0" w:color="auto"/>
            <w:left w:val="none" w:sz="0" w:space="0" w:color="auto"/>
            <w:bottom w:val="none" w:sz="0" w:space="0" w:color="auto"/>
            <w:right w:val="none" w:sz="0" w:space="0" w:color="auto"/>
          </w:divBdr>
        </w:div>
        <w:div w:id="1238174176">
          <w:marLeft w:val="0"/>
          <w:marRight w:val="0"/>
          <w:marTop w:val="0"/>
          <w:marBottom w:val="0"/>
          <w:divBdr>
            <w:top w:val="none" w:sz="0" w:space="0" w:color="auto"/>
            <w:left w:val="none" w:sz="0" w:space="0" w:color="auto"/>
            <w:bottom w:val="none" w:sz="0" w:space="0" w:color="auto"/>
            <w:right w:val="none" w:sz="0" w:space="0" w:color="auto"/>
          </w:divBdr>
        </w:div>
        <w:div w:id="1239973817">
          <w:marLeft w:val="0"/>
          <w:marRight w:val="0"/>
          <w:marTop w:val="0"/>
          <w:marBottom w:val="0"/>
          <w:divBdr>
            <w:top w:val="none" w:sz="0" w:space="0" w:color="auto"/>
            <w:left w:val="none" w:sz="0" w:space="0" w:color="auto"/>
            <w:bottom w:val="none" w:sz="0" w:space="0" w:color="auto"/>
            <w:right w:val="none" w:sz="0" w:space="0" w:color="auto"/>
          </w:divBdr>
        </w:div>
        <w:div w:id="1361470435">
          <w:marLeft w:val="0"/>
          <w:marRight w:val="0"/>
          <w:marTop w:val="0"/>
          <w:marBottom w:val="0"/>
          <w:divBdr>
            <w:top w:val="none" w:sz="0" w:space="0" w:color="auto"/>
            <w:left w:val="none" w:sz="0" w:space="0" w:color="auto"/>
            <w:bottom w:val="none" w:sz="0" w:space="0" w:color="auto"/>
            <w:right w:val="none" w:sz="0" w:space="0" w:color="auto"/>
          </w:divBdr>
        </w:div>
        <w:div w:id="1464232558">
          <w:marLeft w:val="0"/>
          <w:marRight w:val="0"/>
          <w:marTop w:val="0"/>
          <w:marBottom w:val="0"/>
          <w:divBdr>
            <w:top w:val="none" w:sz="0" w:space="0" w:color="auto"/>
            <w:left w:val="none" w:sz="0" w:space="0" w:color="auto"/>
            <w:bottom w:val="none" w:sz="0" w:space="0" w:color="auto"/>
            <w:right w:val="none" w:sz="0" w:space="0" w:color="auto"/>
          </w:divBdr>
        </w:div>
        <w:div w:id="1546063302">
          <w:marLeft w:val="0"/>
          <w:marRight w:val="0"/>
          <w:marTop w:val="0"/>
          <w:marBottom w:val="0"/>
          <w:divBdr>
            <w:top w:val="none" w:sz="0" w:space="0" w:color="auto"/>
            <w:left w:val="none" w:sz="0" w:space="0" w:color="auto"/>
            <w:bottom w:val="none" w:sz="0" w:space="0" w:color="auto"/>
            <w:right w:val="none" w:sz="0" w:space="0" w:color="auto"/>
          </w:divBdr>
        </w:div>
        <w:div w:id="1758013337">
          <w:marLeft w:val="0"/>
          <w:marRight w:val="0"/>
          <w:marTop w:val="0"/>
          <w:marBottom w:val="0"/>
          <w:divBdr>
            <w:top w:val="none" w:sz="0" w:space="0" w:color="auto"/>
            <w:left w:val="none" w:sz="0" w:space="0" w:color="auto"/>
            <w:bottom w:val="none" w:sz="0" w:space="0" w:color="auto"/>
            <w:right w:val="none" w:sz="0" w:space="0" w:color="auto"/>
          </w:divBdr>
        </w:div>
        <w:div w:id="1780639641">
          <w:marLeft w:val="0"/>
          <w:marRight w:val="0"/>
          <w:marTop w:val="0"/>
          <w:marBottom w:val="0"/>
          <w:divBdr>
            <w:top w:val="none" w:sz="0" w:space="0" w:color="auto"/>
            <w:left w:val="none" w:sz="0" w:space="0" w:color="auto"/>
            <w:bottom w:val="none" w:sz="0" w:space="0" w:color="auto"/>
            <w:right w:val="none" w:sz="0" w:space="0" w:color="auto"/>
          </w:divBdr>
        </w:div>
        <w:div w:id="1781021647">
          <w:marLeft w:val="0"/>
          <w:marRight w:val="0"/>
          <w:marTop w:val="0"/>
          <w:marBottom w:val="0"/>
          <w:divBdr>
            <w:top w:val="none" w:sz="0" w:space="0" w:color="auto"/>
            <w:left w:val="none" w:sz="0" w:space="0" w:color="auto"/>
            <w:bottom w:val="none" w:sz="0" w:space="0" w:color="auto"/>
            <w:right w:val="none" w:sz="0" w:space="0" w:color="auto"/>
          </w:divBdr>
        </w:div>
        <w:div w:id="2001958752">
          <w:marLeft w:val="0"/>
          <w:marRight w:val="0"/>
          <w:marTop w:val="0"/>
          <w:marBottom w:val="0"/>
          <w:divBdr>
            <w:top w:val="none" w:sz="0" w:space="0" w:color="auto"/>
            <w:left w:val="none" w:sz="0" w:space="0" w:color="auto"/>
            <w:bottom w:val="none" w:sz="0" w:space="0" w:color="auto"/>
            <w:right w:val="none" w:sz="0" w:space="0" w:color="auto"/>
          </w:divBdr>
        </w:div>
        <w:div w:id="2020934660">
          <w:marLeft w:val="0"/>
          <w:marRight w:val="0"/>
          <w:marTop w:val="0"/>
          <w:marBottom w:val="0"/>
          <w:divBdr>
            <w:top w:val="none" w:sz="0" w:space="0" w:color="auto"/>
            <w:left w:val="none" w:sz="0" w:space="0" w:color="auto"/>
            <w:bottom w:val="none" w:sz="0" w:space="0" w:color="auto"/>
            <w:right w:val="none" w:sz="0" w:space="0" w:color="auto"/>
          </w:divBdr>
        </w:div>
        <w:div w:id="2028024362">
          <w:marLeft w:val="0"/>
          <w:marRight w:val="0"/>
          <w:marTop w:val="0"/>
          <w:marBottom w:val="0"/>
          <w:divBdr>
            <w:top w:val="none" w:sz="0" w:space="0" w:color="auto"/>
            <w:left w:val="none" w:sz="0" w:space="0" w:color="auto"/>
            <w:bottom w:val="none" w:sz="0" w:space="0" w:color="auto"/>
            <w:right w:val="none" w:sz="0" w:space="0" w:color="auto"/>
          </w:divBdr>
        </w:div>
        <w:div w:id="2075203963">
          <w:marLeft w:val="0"/>
          <w:marRight w:val="0"/>
          <w:marTop w:val="0"/>
          <w:marBottom w:val="0"/>
          <w:divBdr>
            <w:top w:val="none" w:sz="0" w:space="0" w:color="auto"/>
            <w:left w:val="none" w:sz="0" w:space="0" w:color="auto"/>
            <w:bottom w:val="none" w:sz="0" w:space="0" w:color="auto"/>
            <w:right w:val="none" w:sz="0" w:space="0" w:color="auto"/>
          </w:divBdr>
        </w:div>
      </w:divsChild>
    </w:div>
    <w:div w:id="497355497">
      <w:bodyDiv w:val="1"/>
      <w:marLeft w:val="0"/>
      <w:marRight w:val="0"/>
      <w:marTop w:val="0"/>
      <w:marBottom w:val="0"/>
      <w:divBdr>
        <w:top w:val="none" w:sz="0" w:space="0" w:color="auto"/>
        <w:left w:val="none" w:sz="0" w:space="0" w:color="auto"/>
        <w:bottom w:val="none" w:sz="0" w:space="0" w:color="auto"/>
        <w:right w:val="none" w:sz="0" w:space="0" w:color="auto"/>
      </w:divBdr>
    </w:div>
    <w:div w:id="525101776">
      <w:bodyDiv w:val="1"/>
      <w:marLeft w:val="0"/>
      <w:marRight w:val="0"/>
      <w:marTop w:val="0"/>
      <w:marBottom w:val="0"/>
      <w:divBdr>
        <w:top w:val="none" w:sz="0" w:space="0" w:color="auto"/>
        <w:left w:val="none" w:sz="0" w:space="0" w:color="auto"/>
        <w:bottom w:val="none" w:sz="0" w:space="0" w:color="auto"/>
        <w:right w:val="none" w:sz="0" w:space="0" w:color="auto"/>
      </w:divBdr>
    </w:div>
    <w:div w:id="554699140">
      <w:bodyDiv w:val="1"/>
      <w:marLeft w:val="0"/>
      <w:marRight w:val="0"/>
      <w:marTop w:val="0"/>
      <w:marBottom w:val="0"/>
      <w:divBdr>
        <w:top w:val="none" w:sz="0" w:space="0" w:color="auto"/>
        <w:left w:val="none" w:sz="0" w:space="0" w:color="auto"/>
        <w:bottom w:val="none" w:sz="0" w:space="0" w:color="auto"/>
        <w:right w:val="none" w:sz="0" w:space="0" w:color="auto"/>
      </w:divBdr>
    </w:div>
    <w:div w:id="690304153">
      <w:bodyDiv w:val="1"/>
      <w:marLeft w:val="0"/>
      <w:marRight w:val="0"/>
      <w:marTop w:val="0"/>
      <w:marBottom w:val="0"/>
      <w:divBdr>
        <w:top w:val="none" w:sz="0" w:space="0" w:color="auto"/>
        <w:left w:val="none" w:sz="0" w:space="0" w:color="auto"/>
        <w:bottom w:val="none" w:sz="0" w:space="0" w:color="auto"/>
        <w:right w:val="none" w:sz="0" w:space="0" w:color="auto"/>
      </w:divBdr>
      <w:divsChild>
        <w:div w:id="151603877">
          <w:marLeft w:val="0"/>
          <w:marRight w:val="0"/>
          <w:marTop w:val="0"/>
          <w:marBottom w:val="0"/>
          <w:divBdr>
            <w:top w:val="none" w:sz="0" w:space="0" w:color="auto"/>
            <w:left w:val="none" w:sz="0" w:space="0" w:color="auto"/>
            <w:bottom w:val="none" w:sz="0" w:space="0" w:color="auto"/>
            <w:right w:val="none" w:sz="0" w:space="0" w:color="auto"/>
          </w:divBdr>
          <w:divsChild>
            <w:div w:id="660424395">
              <w:marLeft w:val="0"/>
              <w:marRight w:val="0"/>
              <w:marTop w:val="0"/>
              <w:marBottom w:val="0"/>
              <w:divBdr>
                <w:top w:val="none" w:sz="0" w:space="0" w:color="auto"/>
                <w:left w:val="none" w:sz="0" w:space="0" w:color="auto"/>
                <w:bottom w:val="none" w:sz="0" w:space="0" w:color="auto"/>
                <w:right w:val="none" w:sz="0" w:space="0" w:color="auto"/>
              </w:divBdr>
              <w:divsChild>
                <w:div w:id="1055785308">
                  <w:marLeft w:val="0"/>
                  <w:marRight w:val="0"/>
                  <w:marTop w:val="0"/>
                  <w:marBottom w:val="0"/>
                  <w:divBdr>
                    <w:top w:val="none" w:sz="0" w:space="0" w:color="auto"/>
                    <w:left w:val="none" w:sz="0" w:space="0" w:color="auto"/>
                    <w:bottom w:val="none" w:sz="0" w:space="0" w:color="auto"/>
                    <w:right w:val="none" w:sz="0" w:space="0" w:color="auto"/>
                  </w:divBdr>
                  <w:divsChild>
                    <w:div w:id="623384035">
                      <w:marLeft w:val="0"/>
                      <w:marRight w:val="0"/>
                      <w:marTop w:val="0"/>
                      <w:marBottom w:val="0"/>
                      <w:divBdr>
                        <w:top w:val="none" w:sz="0" w:space="0" w:color="auto"/>
                        <w:left w:val="none" w:sz="0" w:space="0" w:color="auto"/>
                        <w:bottom w:val="none" w:sz="0" w:space="0" w:color="auto"/>
                        <w:right w:val="none" w:sz="0" w:space="0" w:color="auto"/>
                      </w:divBdr>
                      <w:divsChild>
                        <w:div w:id="412701246">
                          <w:marLeft w:val="0"/>
                          <w:marRight w:val="0"/>
                          <w:marTop w:val="0"/>
                          <w:marBottom w:val="0"/>
                          <w:divBdr>
                            <w:top w:val="none" w:sz="0" w:space="0" w:color="auto"/>
                            <w:left w:val="none" w:sz="0" w:space="0" w:color="auto"/>
                            <w:bottom w:val="none" w:sz="0" w:space="0" w:color="auto"/>
                            <w:right w:val="none" w:sz="0" w:space="0" w:color="auto"/>
                          </w:divBdr>
                          <w:divsChild>
                            <w:div w:id="677343868">
                              <w:marLeft w:val="0"/>
                              <w:marRight w:val="0"/>
                              <w:marTop w:val="0"/>
                              <w:marBottom w:val="0"/>
                              <w:divBdr>
                                <w:top w:val="none" w:sz="0" w:space="0" w:color="auto"/>
                                <w:left w:val="none" w:sz="0" w:space="0" w:color="auto"/>
                                <w:bottom w:val="none" w:sz="0" w:space="0" w:color="auto"/>
                                <w:right w:val="none" w:sz="0" w:space="0" w:color="auto"/>
                              </w:divBdr>
                              <w:divsChild>
                                <w:div w:id="682587762">
                                  <w:marLeft w:val="0"/>
                                  <w:marRight w:val="0"/>
                                  <w:marTop w:val="0"/>
                                  <w:marBottom w:val="0"/>
                                  <w:divBdr>
                                    <w:top w:val="none" w:sz="0" w:space="0" w:color="auto"/>
                                    <w:left w:val="none" w:sz="0" w:space="0" w:color="auto"/>
                                    <w:bottom w:val="none" w:sz="0" w:space="0" w:color="auto"/>
                                    <w:right w:val="none" w:sz="0" w:space="0" w:color="auto"/>
                                  </w:divBdr>
                                  <w:divsChild>
                                    <w:div w:id="2014528638">
                                      <w:marLeft w:val="0"/>
                                      <w:marRight w:val="0"/>
                                      <w:marTop w:val="0"/>
                                      <w:marBottom w:val="0"/>
                                      <w:divBdr>
                                        <w:top w:val="none" w:sz="0" w:space="0" w:color="auto"/>
                                        <w:left w:val="none" w:sz="0" w:space="0" w:color="auto"/>
                                        <w:bottom w:val="none" w:sz="0" w:space="0" w:color="auto"/>
                                        <w:right w:val="none" w:sz="0" w:space="0" w:color="auto"/>
                                      </w:divBdr>
                                      <w:divsChild>
                                        <w:div w:id="700588955">
                                          <w:marLeft w:val="0"/>
                                          <w:marRight w:val="0"/>
                                          <w:marTop w:val="0"/>
                                          <w:marBottom w:val="0"/>
                                          <w:divBdr>
                                            <w:top w:val="none" w:sz="0" w:space="0" w:color="auto"/>
                                            <w:left w:val="none" w:sz="0" w:space="0" w:color="auto"/>
                                            <w:bottom w:val="none" w:sz="0" w:space="0" w:color="auto"/>
                                            <w:right w:val="none" w:sz="0" w:space="0" w:color="auto"/>
                                          </w:divBdr>
                                          <w:divsChild>
                                            <w:div w:id="2093119721">
                                              <w:marLeft w:val="0"/>
                                              <w:marRight w:val="0"/>
                                              <w:marTop w:val="0"/>
                                              <w:marBottom w:val="495"/>
                                              <w:divBdr>
                                                <w:top w:val="none" w:sz="0" w:space="0" w:color="auto"/>
                                                <w:left w:val="none" w:sz="0" w:space="0" w:color="auto"/>
                                                <w:bottom w:val="none" w:sz="0" w:space="0" w:color="auto"/>
                                                <w:right w:val="none" w:sz="0" w:space="0" w:color="auto"/>
                                              </w:divBdr>
                                              <w:divsChild>
                                                <w:div w:id="3756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320152">
      <w:bodyDiv w:val="1"/>
      <w:marLeft w:val="0"/>
      <w:marRight w:val="0"/>
      <w:marTop w:val="0"/>
      <w:marBottom w:val="0"/>
      <w:divBdr>
        <w:top w:val="none" w:sz="0" w:space="0" w:color="auto"/>
        <w:left w:val="none" w:sz="0" w:space="0" w:color="auto"/>
        <w:bottom w:val="none" w:sz="0" w:space="0" w:color="auto"/>
        <w:right w:val="none" w:sz="0" w:space="0" w:color="auto"/>
      </w:divBdr>
      <w:divsChild>
        <w:div w:id="47464093">
          <w:marLeft w:val="0"/>
          <w:marRight w:val="0"/>
          <w:marTop w:val="0"/>
          <w:marBottom w:val="0"/>
          <w:divBdr>
            <w:top w:val="none" w:sz="0" w:space="0" w:color="auto"/>
            <w:left w:val="none" w:sz="0" w:space="0" w:color="auto"/>
            <w:bottom w:val="none" w:sz="0" w:space="0" w:color="auto"/>
            <w:right w:val="none" w:sz="0" w:space="0" w:color="auto"/>
          </w:divBdr>
          <w:divsChild>
            <w:div w:id="653535301">
              <w:marLeft w:val="0"/>
              <w:marRight w:val="0"/>
              <w:marTop w:val="0"/>
              <w:marBottom w:val="0"/>
              <w:divBdr>
                <w:top w:val="none" w:sz="0" w:space="0" w:color="auto"/>
                <w:left w:val="none" w:sz="0" w:space="0" w:color="auto"/>
                <w:bottom w:val="none" w:sz="0" w:space="0" w:color="auto"/>
                <w:right w:val="none" w:sz="0" w:space="0" w:color="auto"/>
              </w:divBdr>
              <w:divsChild>
                <w:div w:id="975914490">
                  <w:marLeft w:val="0"/>
                  <w:marRight w:val="0"/>
                  <w:marTop w:val="0"/>
                  <w:marBottom w:val="0"/>
                  <w:divBdr>
                    <w:top w:val="none" w:sz="0" w:space="0" w:color="auto"/>
                    <w:left w:val="none" w:sz="0" w:space="0" w:color="auto"/>
                    <w:bottom w:val="none" w:sz="0" w:space="0" w:color="auto"/>
                    <w:right w:val="none" w:sz="0" w:space="0" w:color="auto"/>
                  </w:divBdr>
                  <w:divsChild>
                    <w:div w:id="778843034">
                      <w:marLeft w:val="0"/>
                      <w:marRight w:val="0"/>
                      <w:marTop w:val="300"/>
                      <w:marBottom w:val="1200"/>
                      <w:divBdr>
                        <w:top w:val="none" w:sz="0" w:space="0" w:color="auto"/>
                        <w:left w:val="none" w:sz="0" w:space="0" w:color="auto"/>
                        <w:bottom w:val="none" w:sz="0" w:space="0" w:color="auto"/>
                        <w:right w:val="none" w:sz="0" w:space="0" w:color="auto"/>
                      </w:divBdr>
                      <w:divsChild>
                        <w:div w:id="707031209">
                          <w:marLeft w:val="0"/>
                          <w:marRight w:val="0"/>
                          <w:marTop w:val="0"/>
                          <w:marBottom w:val="0"/>
                          <w:divBdr>
                            <w:top w:val="none" w:sz="0" w:space="0" w:color="auto"/>
                            <w:left w:val="none" w:sz="0" w:space="0" w:color="auto"/>
                            <w:bottom w:val="none" w:sz="0" w:space="0" w:color="auto"/>
                            <w:right w:val="none" w:sz="0" w:space="0" w:color="auto"/>
                          </w:divBdr>
                          <w:divsChild>
                            <w:div w:id="803278833">
                              <w:marLeft w:val="0"/>
                              <w:marRight w:val="0"/>
                              <w:marTop w:val="0"/>
                              <w:marBottom w:val="0"/>
                              <w:divBdr>
                                <w:top w:val="none" w:sz="0" w:space="0" w:color="auto"/>
                                <w:left w:val="none" w:sz="0" w:space="0" w:color="auto"/>
                                <w:bottom w:val="none" w:sz="0" w:space="0" w:color="auto"/>
                                <w:right w:val="none" w:sz="0" w:space="0" w:color="auto"/>
                              </w:divBdr>
                              <w:divsChild>
                                <w:div w:id="1523008011">
                                  <w:marLeft w:val="0"/>
                                  <w:marRight w:val="0"/>
                                  <w:marTop w:val="0"/>
                                  <w:marBottom w:val="0"/>
                                  <w:divBdr>
                                    <w:top w:val="none" w:sz="0" w:space="0" w:color="auto"/>
                                    <w:left w:val="none" w:sz="0" w:space="0" w:color="auto"/>
                                    <w:bottom w:val="none" w:sz="0" w:space="0" w:color="auto"/>
                                    <w:right w:val="none" w:sz="0" w:space="0" w:color="auto"/>
                                  </w:divBdr>
                                  <w:divsChild>
                                    <w:div w:id="223227024">
                                      <w:marLeft w:val="0"/>
                                      <w:marRight w:val="0"/>
                                      <w:marTop w:val="0"/>
                                      <w:marBottom w:val="0"/>
                                      <w:divBdr>
                                        <w:top w:val="none" w:sz="0" w:space="0" w:color="auto"/>
                                        <w:left w:val="none" w:sz="0" w:space="0" w:color="auto"/>
                                        <w:bottom w:val="none" w:sz="0" w:space="0" w:color="auto"/>
                                        <w:right w:val="none" w:sz="0" w:space="0" w:color="auto"/>
                                      </w:divBdr>
                                    </w:div>
                                    <w:div w:id="294334044">
                                      <w:marLeft w:val="0"/>
                                      <w:marRight w:val="0"/>
                                      <w:marTop w:val="0"/>
                                      <w:marBottom w:val="0"/>
                                      <w:divBdr>
                                        <w:top w:val="none" w:sz="0" w:space="0" w:color="auto"/>
                                        <w:left w:val="none" w:sz="0" w:space="0" w:color="auto"/>
                                        <w:bottom w:val="none" w:sz="0" w:space="0" w:color="auto"/>
                                        <w:right w:val="none" w:sz="0" w:space="0" w:color="auto"/>
                                      </w:divBdr>
                                    </w:div>
                                    <w:div w:id="330914252">
                                      <w:marLeft w:val="0"/>
                                      <w:marRight w:val="0"/>
                                      <w:marTop w:val="0"/>
                                      <w:marBottom w:val="0"/>
                                      <w:divBdr>
                                        <w:top w:val="none" w:sz="0" w:space="0" w:color="auto"/>
                                        <w:left w:val="none" w:sz="0" w:space="0" w:color="auto"/>
                                        <w:bottom w:val="none" w:sz="0" w:space="0" w:color="auto"/>
                                        <w:right w:val="none" w:sz="0" w:space="0" w:color="auto"/>
                                      </w:divBdr>
                                    </w:div>
                                    <w:div w:id="664164329">
                                      <w:marLeft w:val="0"/>
                                      <w:marRight w:val="0"/>
                                      <w:marTop w:val="0"/>
                                      <w:marBottom w:val="0"/>
                                      <w:divBdr>
                                        <w:top w:val="none" w:sz="0" w:space="0" w:color="auto"/>
                                        <w:left w:val="none" w:sz="0" w:space="0" w:color="auto"/>
                                        <w:bottom w:val="none" w:sz="0" w:space="0" w:color="auto"/>
                                        <w:right w:val="none" w:sz="0" w:space="0" w:color="auto"/>
                                      </w:divBdr>
                                    </w:div>
                                    <w:div w:id="731926610">
                                      <w:marLeft w:val="0"/>
                                      <w:marRight w:val="0"/>
                                      <w:marTop w:val="0"/>
                                      <w:marBottom w:val="0"/>
                                      <w:divBdr>
                                        <w:top w:val="none" w:sz="0" w:space="0" w:color="auto"/>
                                        <w:left w:val="none" w:sz="0" w:space="0" w:color="auto"/>
                                        <w:bottom w:val="none" w:sz="0" w:space="0" w:color="auto"/>
                                        <w:right w:val="none" w:sz="0" w:space="0" w:color="auto"/>
                                      </w:divBdr>
                                    </w:div>
                                    <w:div w:id="780994965">
                                      <w:marLeft w:val="0"/>
                                      <w:marRight w:val="0"/>
                                      <w:marTop w:val="0"/>
                                      <w:marBottom w:val="0"/>
                                      <w:divBdr>
                                        <w:top w:val="none" w:sz="0" w:space="0" w:color="auto"/>
                                        <w:left w:val="none" w:sz="0" w:space="0" w:color="auto"/>
                                        <w:bottom w:val="none" w:sz="0" w:space="0" w:color="auto"/>
                                        <w:right w:val="none" w:sz="0" w:space="0" w:color="auto"/>
                                      </w:divBdr>
                                    </w:div>
                                    <w:div w:id="963803009">
                                      <w:marLeft w:val="0"/>
                                      <w:marRight w:val="0"/>
                                      <w:marTop w:val="0"/>
                                      <w:marBottom w:val="0"/>
                                      <w:divBdr>
                                        <w:top w:val="none" w:sz="0" w:space="0" w:color="auto"/>
                                        <w:left w:val="none" w:sz="0" w:space="0" w:color="auto"/>
                                        <w:bottom w:val="none" w:sz="0" w:space="0" w:color="auto"/>
                                        <w:right w:val="none" w:sz="0" w:space="0" w:color="auto"/>
                                      </w:divBdr>
                                    </w:div>
                                    <w:div w:id="1295868001">
                                      <w:marLeft w:val="0"/>
                                      <w:marRight w:val="0"/>
                                      <w:marTop w:val="0"/>
                                      <w:marBottom w:val="0"/>
                                      <w:divBdr>
                                        <w:top w:val="none" w:sz="0" w:space="0" w:color="auto"/>
                                        <w:left w:val="none" w:sz="0" w:space="0" w:color="auto"/>
                                        <w:bottom w:val="none" w:sz="0" w:space="0" w:color="auto"/>
                                        <w:right w:val="none" w:sz="0" w:space="0" w:color="auto"/>
                                      </w:divBdr>
                                    </w:div>
                                    <w:div w:id="17358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71560">
      <w:bodyDiv w:val="1"/>
      <w:marLeft w:val="0"/>
      <w:marRight w:val="0"/>
      <w:marTop w:val="0"/>
      <w:marBottom w:val="0"/>
      <w:divBdr>
        <w:top w:val="none" w:sz="0" w:space="0" w:color="auto"/>
        <w:left w:val="none" w:sz="0" w:space="0" w:color="auto"/>
        <w:bottom w:val="none" w:sz="0" w:space="0" w:color="auto"/>
        <w:right w:val="none" w:sz="0" w:space="0" w:color="auto"/>
      </w:divBdr>
    </w:div>
    <w:div w:id="796677735">
      <w:bodyDiv w:val="1"/>
      <w:marLeft w:val="0"/>
      <w:marRight w:val="0"/>
      <w:marTop w:val="0"/>
      <w:marBottom w:val="0"/>
      <w:divBdr>
        <w:top w:val="none" w:sz="0" w:space="0" w:color="auto"/>
        <w:left w:val="none" w:sz="0" w:space="0" w:color="auto"/>
        <w:bottom w:val="none" w:sz="0" w:space="0" w:color="auto"/>
        <w:right w:val="none" w:sz="0" w:space="0" w:color="auto"/>
      </w:divBdr>
    </w:div>
    <w:div w:id="801732103">
      <w:bodyDiv w:val="1"/>
      <w:marLeft w:val="0"/>
      <w:marRight w:val="0"/>
      <w:marTop w:val="0"/>
      <w:marBottom w:val="0"/>
      <w:divBdr>
        <w:top w:val="none" w:sz="0" w:space="0" w:color="auto"/>
        <w:left w:val="none" w:sz="0" w:space="0" w:color="auto"/>
        <w:bottom w:val="none" w:sz="0" w:space="0" w:color="auto"/>
        <w:right w:val="none" w:sz="0" w:space="0" w:color="auto"/>
      </w:divBdr>
    </w:div>
    <w:div w:id="817185405">
      <w:bodyDiv w:val="1"/>
      <w:marLeft w:val="0"/>
      <w:marRight w:val="0"/>
      <w:marTop w:val="0"/>
      <w:marBottom w:val="0"/>
      <w:divBdr>
        <w:top w:val="none" w:sz="0" w:space="0" w:color="auto"/>
        <w:left w:val="none" w:sz="0" w:space="0" w:color="auto"/>
        <w:bottom w:val="none" w:sz="0" w:space="0" w:color="auto"/>
        <w:right w:val="none" w:sz="0" w:space="0" w:color="auto"/>
      </w:divBdr>
      <w:divsChild>
        <w:div w:id="445387492">
          <w:marLeft w:val="0"/>
          <w:marRight w:val="0"/>
          <w:marTop w:val="0"/>
          <w:marBottom w:val="0"/>
          <w:divBdr>
            <w:top w:val="none" w:sz="0" w:space="0" w:color="auto"/>
            <w:left w:val="none" w:sz="0" w:space="0" w:color="auto"/>
            <w:bottom w:val="none" w:sz="0" w:space="0" w:color="auto"/>
            <w:right w:val="none" w:sz="0" w:space="0" w:color="auto"/>
          </w:divBdr>
          <w:divsChild>
            <w:div w:id="119612653">
              <w:marLeft w:val="0"/>
              <w:marRight w:val="0"/>
              <w:marTop w:val="0"/>
              <w:marBottom w:val="0"/>
              <w:divBdr>
                <w:top w:val="none" w:sz="0" w:space="0" w:color="auto"/>
                <w:left w:val="none" w:sz="0" w:space="0" w:color="auto"/>
                <w:bottom w:val="none" w:sz="0" w:space="0" w:color="auto"/>
                <w:right w:val="none" w:sz="0" w:space="0" w:color="auto"/>
              </w:divBdr>
              <w:divsChild>
                <w:div w:id="2103337120">
                  <w:marLeft w:val="0"/>
                  <w:marRight w:val="0"/>
                  <w:marTop w:val="0"/>
                  <w:marBottom w:val="0"/>
                  <w:divBdr>
                    <w:top w:val="none" w:sz="0" w:space="0" w:color="auto"/>
                    <w:left w:val="none" w:sz="0" w:space="0" w:color="auto"/>
                    <w:bottom w:val="none" w:sz="0" w:space="0" w:color="auto"/>
                    <w:right w:val="none" w:sz="0" w:space="0" w:color="auto"/>
                  </w:divBdr>
                  <w:divsChild>
                    <w:div w:id="1518959631">
                      <w:marLeft w:val="0"/>
                      <w:marRight w:val="0"/>
                      <w:marTop w:val="300"/>
                      <w:marBottom w:val="1200"/>
                      <w:divBdr>
                        <w:top w:val="none" w:sz="0" w:space="0" w:color="auto"/>
                        <w:left w:val="none" w:sz="0" w:space="0" w:color="auto"/>
                        <w:bottom w:val="none" w:sz="0" w:space="0" w:color="auto"/>
                        <w:right w:val="none" w:sz="0" w:space="0" w:color="auto"/>
                      </w:divBdr>
                      <w:divsChild>
                        <w:div w:id="447549166">
                          <w:marLeft w:val="0"/>
                          <w:marRight w:val="0"/>
                          <w:marTop w:val="0"/>
                          <w:marBottom w:val="0"/>
                          <w:divBdr>
                            <w:top w:val="none" w:sz="0" w:space="0" w:color="auto"/>
                            <w:left w:val="none" w:sz="0" w:space="0" w:color="auto"/>
                            <w:bottom w:val="none" w:sz="0" w:space="0" w:color="auto"/>
                            <w:right w:val="none" w:sz="0" w:space="0" w:color="auto"/>
                          </w:divBdr>
                          <w:divsChild>
                            <w:div w:id="2141531703">
                              <w:marLeft w:val="0"/>
                              <w:marRight w:val="0"/>
                              <w:marTop w:val="0"/>
                              <w:marBottom w:val="0"/>
                              <w:divBdr>
                                <w:top w:val="none" w:sz="0" w:space="0" w:color="auto"/>
                                <w:left w:val="none" w:sz="0" w:space="0" w:color="auto"/>
                                <w:bottom w:val="none" w:sz="0" w:space="0" w:color="auto"/>
                                <w:right w:val="none" w:sz="0" w:space="0" w:color="auto"/>
                              </w:divBdr>
                              <w:divsChild>
                                <w:div w:id="1343586246">
                                  <w:marLeft w:val="0"/>
                                  <w:marRight w:val="0"/>
                                  <w:marTop w:val="0"/>
                                  <w:marBottom w:val="0"/>
                                  <w:divBdr>
                                    <w:top w:val="none" w:sz="0" w:space="0" w:color="auto"/>
                                    <w:left w:val="none" w:sz="0" w:space="0" w:color="auto"/>
                                    <w:bottom w:val="none" w:sz="0" w:space="0" w:color="auto"/>
                                    <w:right w:val="none" w:sz="0" w:space="0" w:color="auto"/>
                                  </w:divBdr>
                                  <w:divsChild>
                                    <w:div w:id="61877927">
                                      <w:marLeft w:val="0"/>
                                      <w:marRight w:val="0"/>
                                      <w:marTop w:val="0"/>
                                      <w:marBottom w:val="0"/>
                                      <w:divBdr>
                                        <w:top w:val="none" w:sz="0" w:space="0" w:color="auto"/>
                                        <w:left w:val="none" w:sz="0" w:space="0" w:color="auto"/>
                                        <w:bottom w:val="none" w:sz="0" w:space="0" w:color="auto"/>
                                        <w:right w:val="none" w:sz="0" w:space="0" w:color="auto"/>
                                      </w:divBdr>
                                    </w:div>
                                    <w:div w:id="135726282">
                                      <w:marLeft w:val="0"/>
                                      <w:marRight w:val="0"/>
                                      <w:marTop w:val="0"/>
                                      <w:marBottom w:val="0"/>
                                      <w:divBdr>
                                        <w:top w:val="none" w:sz="0" w:space="0" w:color="auto"/>
                                        <w:left w:val="none" w:sz="0" w:space="0" w:color="auto"/>
                                        <w:bottom w:val="none" w:sz="0" w:space="0" w:color="auto"/>
                                        <w:right w:val="none" w:sz="0" w:space="0" w:color="auto"/>
                                      </w:divBdr>
                                    </w:div>
                                    <w:div w:id="335890717">
                                      <w:marLeft w:val="0"/>
                                      <w:marRight w:val="0"/>
                                      <w:marTop w:val="0"/>
                                      <w:marBottom w:val="0"/>
                                      <w:divBdr>
                                        <w:top w:val="none" w:sz="0" w:space="0" w:color="auto"/>
                                        <w:left w:val="none" w:sz="0" w:space="0" w:color="auto"/>
                                        <w:bottom w:val="none" w:sz="0" w:space="0" w:color="auto"/>
                                        <w:right w:val="none" w:sz="0" w:space="0" w:color="auto"/>
                                      </w:divBdr>
                                    </w:div>
                                    <w:div w:id="1220479613">
                                      <w:marLeft w:val="0"/>
                                      <w:marRight w:val="0"/>
                                      <w:marTop w:val="0"/>
                                      <w:marBottom w:val="0"/>
                                      <w:divBdr>
                                        <w:top w:val="none" w:sz="0" w:space="0" w:color="auto"/>
                                        <w:left w:val="none" w:sz="0" w:space="0" w:color="auto"/>
                                        <w:bottom w:val="none" w:sz="0" w:space="0" w:color="auto"/>
                                        <w:right w:val="none" w:sz="0" w:space="0" w:color="auto"/>
                                      </w:divBdr>
                                    </w:div>
                                    <w:div w:id="2013799520">
                                      <w:marLeft w:val="0"/>
                                      <w:marRight w:val="0"/>
                                      <w:marTop w:val="0"/>
                                      <w:marBottom w:val="0"/>
                                      <w:divBdr>
                                        <w:top w:val="none" w:sz="0" w:space="0" w:color="auto"/>
                                        <w:left w:val="none" w:sz="0" w:space="0" w:color="auto"/>
                                        <w:bottom w:val="none" w:sz="0" w:space="0" w:color="auto"/>
                                        <w:right w:val="none" w:sz="0" w:space="0" w:color="auto"/>
                                      </w:divBdr>
                                    </w:div>
                                    <w:div w:id="20711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3909">
      <w:bodyDiv w:val="1"/>
      <w:marLeft w:val="0"/>
      <w:marRight w:val="0"/>
      <w:marTop w:val="0"/>
      <w:marBottom w:val="0"/>
      <w:divBdr>
        <w:top w:val="none" w:sz="0" w:space="0" w:color="auto"/>
        <w:left w:val="none" w:sz="0" w:space="0" w:color="auto"/>
        <w:bottom w:val="none" w:sz="0" w:space="0" w:color="auto"/>
        <w:right w:val="none" w:sz="0" w:space="0" w:color="auto"/>
      </w:divBdr>
      <w:divsChild>
        <w:div w:id="1641492805">
          <w:marLeft w:val="0"/>
          <w:marRight w:val="0"/>
          <w:marTop w:val="0"/>
          <w:marBottom w:val="0"/>
          <w:divBdr>
            <w:top w:val="none" w:sz="0" w:space="0" w:color="auto"/>
            <w:left w:val="none" w:sz="0" w:space="0" w:color="auto"/>
            <w:bottom w:val="none" w:sz="0" w:space="0" w:color="auto"/>
            <w:right w:val="none" w:sz="0" w:space="0" w:color="auto"/>
          </w:divBdr>
          <w:divsChild>
            <w:div w:id="1443770631">
              <w:marLeft w:val="0"/>
              <w:marRight w:val="0"/>
              <w:marTop w:val="0"/>
              <w:marBottom w:val="0"/>
              <w:divBdr>
                <w:top w:val="none" w:sz="0" w:space="0" w:color="auto"/>
                <w:left w:val="none" w:sz="0" w:space="0" w:color="auto"/>
                <w:bottom w:val="none" w:sz="0" w:space="0" w:color="auto"/>
                <w:right w:val="none" w:sz="0" w:space="0" w:color="auto"/>
              </w:divBdr>
              <w:divsChild>
                <w:div w:id="1605042261">
                  <w:marLeft w:val="0"/>
                  <w:marRight w:val="0"/>
                  <w:marTop w:val="0"/>
                  <w:marBottom w:val="0"/>
                  <w:divBdr>
                    <w:top w:val="none" w:sz="0" w:space="0" w:color="auto"/>
                    <w:left w:val="none" w:sz="0" w:space="0" w:color="auto"/>
                    <w:bottom w:val="none" w:sz="0" w:space="0" w:color="auto"/>
                    <w:right w:val="none" w:sz="0" w:space="0" w:color="auto"/>
                  </w:divBdr>
                  <w:divsChild>
                    <w:div w:id="1170947099">
                      <w:marLeft w:val="0"/>
                      <w:marRight w:val="0"/>
                      <w:marTop w:val="300"/>
                      <w:marBottom w:val="1200"/>
                      <w:divBdr>
                        <w:top w:val="none" w:sz="0" w:space="0" w:color="auto"/>
                        <w:left w:val="none" w:sz="0" w:space="0" w:color="auto"/>
                        <w:bottom w:val="none" w:sz="0" w:space="0" w:color="auto"/>
                        <w:right w:val="none" w:sz="0" w:space="0" w:color="auto"/>
                      </w:divBdr>
                      <w:divsChild>
                        <w:div w:id="361252997">
                          <w:marLeft w:val="0"/>
                          <w:marRight w:val="0"/>
                          <w:marTop w:val="0"/>
                          <w:marBottom w:val="0"/>
                          <w:divBdr>
                            <w:top w:val="none" w:sz="0" w:space="0" w:color="auto"/>
                            <w:left w:val="none" w:sz="0" w:space="0" w:color="auto"/>
                            <w:bottom w:val="none" w:sz="0" w:space="0" w:color="auto"/>
                            <w:right w:val="none" w:sz="0" w:space="0" w:color="auto"/>
                          </w:divBdr>
                          <w:divsChild>
                            <w:div w:id="761679378">
                              <w:marLeft w:val="0"/>
                              <w:marRight w:val="0"/>
                              <w:marTop w:val="0"/>
                              <w:marBottom w:val="0"/>
                              <w:divBdr>
                                <w:top w:val="none" w:sz="0" w:space="0" w:color="auto"/>
                                <w:left w:val="none" w:sz="0" w:space="0" w:color="auto"/>
                                <w:bottom w:val="none" w:sz="0" w:space="0" w:color="auto"/>
                                <w:right w:val="none" w:sz="0" w:space="0" w:color="auto"/>
                              </w:divBdr>
                              <w:divsChild>
                                <w:div w:id="1064640792">
                                  <w:marLeft w:val="0"/>
                                  <w:marRight w:val="0"/>
                                  <w:marTop w:val="0"/>
                                  <w:marBottom w:val="0"/>
                                  <w:divBdr>
                                    <w:top w:val="none" w:sz="0" w:space="0" w:color="auto"/>
                                    <w:left w:val="none" w:sz="0" w:space="0" w:color="auto"/>
                                    <w:bottom w:val="none" w:sz="0" w:space="0" w:color="auto"/>
                                    <w:right w:val="none" w:sz="0" w:space="0" w:color="auto"/>
                                  </w:divBdr>
                                  <w:divsChild>
                                    <w:div w:id="5131445">
                                      <w:marLeft w:val="0"/>
                                      <w:marRight w:val="0"/>
                                      <w:marTop w:val="0"/>
                                      <w:marBottom w:val="0"/>
                                      <w:divBdr>
                                        <w:top w:val="none" w:sz="0" w:space="0" w:color="auto"/>
                                        <w:left w:val="none" w:sz="0" w:space="0" w:color="auto"/>
                                        <w:bottom w:val="none" w:sz="0" w:space="0" w:color="auto"/>
                                        <w:right w:val="none" w:sz="0" w:space="0" w:color="auto"/>
                                      </w:divBdr>
                                    </w:div>
                                    <w:div w:id="1313407461">
                                      <w:marLeft w:val="0"/>
                                      <w:marRight w:val="0"/>
                                      <w:marTop w:val="0"/>
                                      <w:marBottom w:val="0"/>
                                      <w:divBdr>
                                        <w:top w:val="none" w:sz="0" w:space="0" w:color="auto"/>
                                        <w:left w:val="none" w:sz="0" w:space="0" w:color="auto"/>
                                        <w:bottom w:val="none" w:sz="0" w:space="0" w:color="auto"/>
                                        <w:right w:val="none" w:sz="0" w:space="0" w:color="auto"/>
                                      </w:divBdr>
                                    </w:div>
                                    <w:div w:id="1403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453458">
      <w:bodyDiv w:val="1"/>
      <w:marLeft w:val="0"/>
      <w:marRight w:val="0"/>
      <w:marTop w:val="0"/>
      <w:marBottom w:val="0"/>
      <w:divBdr>
        <w:top w:val="none" w:sz="0" w:space="0" w:color="auto"/>
        <w:left w:val="none" w:sz="0" w:space="0" w:color="auto"/>
        <w:bottom w:val="none" w:sz="0" w:space="0" w:color="auto"/>
        <w:right w:val="none" w:sz="0" w:space="0" w:color="auto"/>
      </w:divBdr>
      <w:divsChild>
        <w:div w:id="1161890361">
          <w:marLeft w:val="0"/>
          <w:marRight w:val="0"/>
          <w:marTop w:val="0"/>
          <w:marBottom w:val="0"/>
          <w:divBdr>
            <w:top w:val="none" w:sz="0" w:space="0" w:color="auto"/>
            <w:left w:val="none" w:sz="0" w:space="0" w:color="auto"/>
            <w:bottom w:val="none" w:sz="0" w:space="0" w:color="auto"/>
            <w:right w:val="none" w:sz="0" w:space="0" w:color="auto"/>
          </w:divBdr>
          <w:divsChild>
            <w:div w:id="593322426">
              <w:marLeft w:val="0"/>
              <w:marRight w:val="0"/>
              <w:marTop w:val="0"/>
              <w:marBottom w:val="0"/>
              <w:divBdr>
                <w:top w:val="none" w:sz="0" w:space="0" w:color="auto"/>
                <w:left w:val="none" w:sz="0" w:space="0" w:color="auto"/>
                <w:bottom w:val="none" w:sz="0" w:space="0" w:color="auto"/>
                <w:right w:val="none" w:sz="0" w:space="0" w:color="auto"/>
              </w:divBdr>
              <w:divsChild>
                <w:div w:id="1932278856">
                  <w:marLeft w:val="0"/>
                  <w:marRight w:val="0"/>
                  <w:marTop w:val="0"/>
                  <w:marBottom w:val="0"/>
                  <w:divBdr>
                    <w:top w:val="none" w:sz="0" w:space="0" w:color="auto"/>
                    <w:left w:val="none" w:sz="0" w:space="0" w:color="auto"/>
                    <w:bottom w:val="none" w:sz="0" w:space="0" w:color="auto"/>
                    <w:right w:val="none" w:sz="0" w:space="0" w:color="auto"/>
                  </w:divBdr>
                  <w:divsChild>
                    <w:div w:id="1093625956">
                      <w:marLeft w:val="0"/>
                      <w:marRight w:val="0"/>
                      <w:marTop w:val="0"/>
                      <w:marBottom w:val="0"/>
                      <w:divBdr>
                        <w:top w:val="none" w:sz="0" w:space="0" w:color="auto"/>
                        <w:left w:val="none" w:sz="0" w:space="0" w:color="auto"/>
                        <w:bottom w:val="none" w:sz="0" w:space="0" w:color="auto"/>
                        <w:right w:val="none" w:sz="0" w:space="0" w:color="auto"/>
                      </w:divBdr>
                      <w:divsChild>
                        <w:div w:id="1508863169">
                          <w:marLeft w:val="0"/>
                          <w:marRight w:val="0"/>
                          <w:marTop w:val="0"/>
                          <w:marBottom w:val="0"/>
                          <w:divBdr>
                            <w:top w:val="none" w:sz="0" w:space="0" w:color="auto"/>
                            <w:left w:val="none" w:sz="0" w:space="0" w:color="auto"/>
                            <w:bottom w:val="none" w:sz="0" w:space="0" w:color="auto"/>
                            <w:right w:val="none" w:sz="0" w:space="0" w:color="auto"/>
                          </w:divBdr>
                          <w:divsChild>
                            <w:div w:id="1884439189">
                              <w:marLeft w:val="0"/>
                              <w:marRight w:val="0"/>
                              <w:marTop w:val="0"/>
                              <w:marBottom w:val="0"/>
                              <w:divBdr>
                                <w:top w:val="none" w:sz="0" w:space="0" w:color="auto"/>
                                <w:left w:val="none" w:sz="0" w:space="0" w:color="auto"/>
                                <w:bottom w:val="none" w:sz="0" w:space="0" w:color="auto"/>
                                <w:right w:val="none" w:sz="0" w:space="0" w:color="auto"/>
                              </w:divBdr>
                              <w:divsChild>
                                <w:div w:id="424962248">
                                  <w:marLeft w:val="0"/>
                                  <w:marRight w:val="0"/>
                                  <w:marTop w:val="0"/>
                                  <w:marBottom w:val="0"/>
                                  <w:divBdr>
                                    <w:top w:val="none" w:sz="0" w:space="0" w:color="auto"/>
                                    <w:left w:val="none" w:sz="0" w:space="0" w:color="auto"/>
                                    <w:bottom w:val="none" w:sz="0" w:space="0" w:color="auto"/>
                                    <w:right w:val="none" w:sz="0" w:space="0" w:color="auto"/>
                                  </w:divBdr>
                                  <w:divsChild>
                                    <w:div w:id="296300314">
                                      <w:marLeft w:val="0"/>
                                      <w:marRight w:val="0"/>
                                      <w:marTop w:val="0"/>
                                      <w:marBottom w:val="0"/>
                                      <w:divBdr>
                                        <w:top w:val="none" w:sz="0" w:space="0" w:color="auto"/>
                                        <w:left w:val="none" w:sz="0" w:space="0" w:color="auto"/>
                                        <w:bottom w:val="none" w:sz="0" w:space="0" w:color="auto"/>
                                        <w:right w:val="none" w:sz="0" w:space="0" w:color="auto"/>
                                      </w:divBdr>
                                      <w:divsChild>
                                        <w:div w:id="1124619657">
                                          <w:marLeft w:val="0"/>
                                          <w:marRight w:val="0"/>
                                          <w:marTop w:val="0"/>
                                          <w:marBottom w:val="0"/>
                                          <w:divBdr>
                                            <w:top w:val="none" w:sz="0" w:space="0" w:color="auto"/>
                                            <w:left w:val="none" w:sz="0" w:space="0" w:color="auto"/>
                                            <w:bottom w:val="none" w:sz="0" w:space="0" w:color="auto"/>
                                            <w:right w:val="none" w:sz="0" w:space="0" w:color="auto"/>
                                          </w:divBdr>
                                          <w:divsChild>
                                            <w:div w:id="134031411">
                                              <w:marLeft w:val="0"/>
                                              <w:marRight w:val="0"/>
                                              <w:marTop w:val="0"/>
                                              <w:marBottom w:val="495"/>
                                              <w:divBdr>
                                                <w:top w:val="none" w:sz="0" w:space="0" w:color="auto"/>
                                                <w:left w:val="none" w:sz="0" w:space="0" w:color="auto"/>
                                                <w:bottom w:val="none" w:sz="0" w:space="0" w:color="auto"/>
                                                <w:right w:val="none" w:sz="0" w:space="0" w:color="auto"/>
                                              </w:divBdr>
                                              <w:divsChild>
                                                <w:div w:id="9064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917959">
      <w:bodyDiv w:val="1"/>
      <w:marLeft w:val="0"/>
      <w:marRight w:val="0"/>
      <w:marTop w:val="0"/>
      <w:marBottom w:val="0"/>
      <w:divBdr>
        <w:top w:val="none" w:sz="0" w:space="0" w:color="auto"/>
        <w:left w:val="none" w:sz="0" w:space="0" w:color="auto"/>
        <w:bottom w:val="none" w:sz="0" w:space="0" w:color="auto"/>
        <w:right w:val="none" w:sz="0" w:space="0" w:color="auto"/>
      </w:divBdr>
    </w:div>
    <w:div w:id="863520985">
      <w:bodyDiv w:val="1"/>
      <w:marLeft w:val="0"/>
      <w:marRight w:val="0"/>
      <w:marTop w:val="0"/>
      <w:marBottom w:val="0"/>
      <w:divBdr>
        <w:top w:val="none" w:sz="0" w:space="0" w:color="auto"/>
        <w:left w:val="none" w:sz="0" w:space="0" w:color="auto"/>
        <w:bottom w:val="none" w:sz="0" w:space="0" w:color="auto"/>
        <w:right w:val="none" w:sz="0" w:space="0" w:color="auto"/>
      </w:divBdr>
    </w:div>
    <w:div w:id="873276103">
      <w:bodyDiv w:val="1"/>
      <w:marLeft w:val="0"/>
      <w:marRight w:val="0"/>
      <w:marTop w:val="0"/>
      <w:marBottom w:val="0"/>
      <w:divBdr>
        <w:top w:val="none" w:sz="0" w:space="0" w:color="auto"/>
        <w:left w:val="none" w:sz="0" w:space="0" w:color="auto"/>
        <w:bottom w:val="none" w:sz="0" w:space="0" w:color="auto"/>
        <w:right w:val="none" w:sz="0" w:space="0" w:color="auto"/>
      </w:divBdr>
    </w:div>
    <w:div w:id="938365382">
      <w:bodyDiv w:val="1"/>
      <w:marLeft w:val="0"/>
      <w:marRight w:val="0"/>
      <w:marTop w:val="0"/>
      <w:marBottom w:val="0"/>
      <w:divBdr>
        <w:top w:val="none" w:sz="0" w:space="0" w:color="auto"/>
        <w:left w:val="none" w:sz="0" w:space="0" w:color="auto"/>
        <w:bottom w:val="none" w:sz="0" w:space="0" w:color="auto"/>
        <w:right w:val="none" w:sz="0" w:space="0" w:color="auto"/>
      </w:divBdr>
    </w:div>
    <w:div w:id="975791067">
      <w:bodyDiv w:val="1"/>
      <w:marLeft w:val="0"/>
      <w:marRight w:val="0"/>
      <w:marTop w:val="0"/>
      <w:marBottom w:val="0"/>
      <w:divBdr>
        <w:top w:val="none" w:sz="0" w:space="0" w:color="auto"/>
        <w:left w:val="none" w:sz="0" w:space="0" w:color="auto"/>
        <w:bottom w:val="none" w:sz="0" w:space="0" w:color="auto"/>
        <w:right w:val="none" w:sz="0" w:space="0" w:color="auto"/>
      </w:divBdr>
    </w:div>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010989235">
      <w:bodyDiv w:val="1"/>
      <w:marLeft w:val="0"/>
      <w:marRight w:val="0"/>
      <w:marTop w:val="0"/>
      <w:marBottom w:val="0"/>
      <w:divBdr>
        <w:top w:val="none" w:sz="0" w:space="0" w:color="auto"/>
        <w:left w:val="none" w:sz="0" w:space="0" w:color="auto"/>
        <w:bottom w:val="none" w:sz="0" w:space="0" w:color="auto"/>
        <w:right w:val="none" w:sz="0" w:space="0" w:color="auto"/>
      </w:divBdr>
    </w:div>
    <w:div w:id="1024209681">
      <w:bodyDiv w:val="1"/>
      <w:marLeft w:val="0"/>
      <w:marRight w:val="0"/>
      <w:marTop w:val="0"/>
      <w:marBottom w:val="0"/>
      <w:divBdr>
        <w:top w:val="none" w:sz="0" w:space="0" w:color="auto"/>
        <w:left w:val="none" w:sz="0" w:space="0" w:color="auto"/>
        <w:bottom w:val="none" w:sz="0" w:space="0" w:color="auto"/>
        <w:right w:val="none" w:sz="0" w:space="0" w:color="auto"/>
      </w:divBdr>
    </w:div>
    <w:div w:id="1028413709">
      <w:bodyDiv w:val="1"/>
      <w:marLeft w:val="0"/>
      <w:marRight w:val="0"/>
      <w:marTop w:val="0"/>
      <w:marBottom w:val="0"/>
      <w:divBdr>
        <w:top w:val="none" w:sz="0" w:space="0" w:color="auto"/>
        <w:left w:val="none" w:sz="0" w:space="0" w:color="auto"/>
        <w:bottom w:val="none" w:sz="0" w:space="0" w:color="auto"/>
        <w:right w:val="none" w:sz="0" w:space="0" w:color="auto"/>
      </w:divBdr>
    </w:div>
    <w:div w:id="1103233572">
      <w:bodyDiv w:val="1"/>
      <w:marLeft w:val="0"/>
      <w:marRight w:val="0"/>
      <w:marTop w:val="0"/>
      <w:marBottom w:val="0"/>
      <w:divBdr>
        <w:top w:val="none" w:sz="0" w:space="0" w:color="auto"/>
        <w:left w:val="none" w:sz="0" w:space="0" w:color="auto"/>
        <w:bottom w:val="none" w:sz="0" w:space="0" w:color="auto"/>
        <w:right w:val="none" w:sz="0" w:space="0" w:color="auto"/>
      </w:divBdr>
    </w:div>
    <w:div w:id="1122462205">
      <w:bodyDiv w:val="1"/>
      <w:marLeft w:val="0"/>
      <w:marRight w:val="0"/>
      <w:marTop w:val="0"/>
      <w:marBottom w:val="0"/>
      <w:divBdr>
        <w:top w:val="none" w:sz="0" w:space="0" w:color="auto"/>
        <w:left w:val="none" w:sz="0" w:space="0" w:color="auto"/>
        <w:bottom w:val="none" w:sz="0" w:space="0" w:color="auto"/>
        <w:right w:val="none" w:sz="0" w:space="0" w:color="auto"/>
      </w:divBdr>
    </w:div>
    <w:div w:id="1195770781">
      <w:bodyDiv w:val="1"/>
      <w:marLeft w:val="0"/>
      <w:marRight w:val="0"/>
      <w:marTop w:val="0"/>
      <w:marBottom w:val="0"/>
      <w:divBdr>
        <w:top w:val="none" w:sz="0" w:space="0" w:color="auto"/>
        <w:left w:val="none" w:sz="0" w:space="0" w:color="auto"/>
        <w:bottom w:val="none" w:sz="0" w:space="0" w:color="auto"/>
        <w:right w:val="none" w:sz="0" w:space="0" w:color="auto"/>
      </w:divBdr>
    </w:div>
    <w:div w:id="1229531888">
      <w:bodyDiv w:val="1"/>
      <w:marLeft w:val="0"/>
      <w:marRight w:val="0"/>
      <w:marTop w:val="0"/>
      <w:marBottom w:val="0"/>
      <w:divBdr>
        <w:top w:val="none" w:sz="0" w:space="0" w:color="auto"/>
        <w:left w:val="none" w:sz="0" w:space="0" w:color="auto"/>
        <w:bottom w:val="none" w:sz="0" w:space="0" w:color="auto"/>
        <w:right w:val="none" w:sz="0" w:space="0" w:color="auto"/>
      </w:divBdr>
      <w:divsChild>
        <w:div w:id="37555179">
          <w:marLeft w:val="0"/>
          <w:marRight w:val="0"/>
          <w:marTop w:val="0"/>
          <w:marBottom w:val="0"/>
          <w:divBdr>
            <w:top w:val="none" w:sz="0" w:space="0" w:color="auto"/>
            <w:left w:val="none" w:sz="0" w:space="0" w:color="auto"/>
            <w:bottom w:val="none" w:sz="0" w:space="0" w:color="auto"/>
            <w:right w:val="none" w:sz="0" w:space="0" w:color="auto"/>
          </w:divBdr>
          <w:divsChild>
            <w:div w:id="1379627726">
              <w:marLeft w:val="0"/>
              <w:marRight w:val="0"/>
              <w:marTop w:val="0"/>
              <w:marBottom w:val="0"/>
              <w:divBdr>
                <w:top w:val="none" w:sz="0" w:space="0" w:color="auto"/>
                <w:left w:val="none" w:sz="0" w:space="0" w:color="auto"/>
                <w:bottom w:val="none" w:sz="0" w:space="0" w:color="auto"/>
                <w:right w:val="none" w:sz="0" w:space="0" w:color="auto"/>
              </w:divBdr>
              <w:divsChild>
                <w:div w:id="1496383540">
                  <w:marLeft w:val="0"/>
                  <w:marRight w:val="0"/>
                  <w:marTop w:val="0"/>
                  <w:marBottom w:val="0"/>
                  <w:divBdr>
                    <w:top w:val="none" w:sz="0" w:space="0" w:color="auto"/>
                    <w:left w:val="none" w:sz="0" w:space="0" w:color="auto"/>
                    <w:bottom w:val="none" w:sz="0" w:space="0" w:color="auto"/>
                    <w:right w:val="none" w:sz="0" w:space="0" w:color="auto"/>
                  </w:divBdr>
                  <w:divsChild>
                    <w:div w:id="1101993347">
                      <w:marLeft w:val="0"/>
                      <w:marRight w:val="0"/>
                      <w:marTop w:val="300"/>
                      <w:marBottom w:val="1200"/>
                      <w:divBdr>
                        <w:top w:val="none" w:sz="0" w:space="0" w:color="auto"/>
                        <w:left w:val="none" w:sz="0" w:space="0" w:color="auto"/>
                        <w:bottom w:val="none" w:sz="0" w:space="0" w:color="auto"/>
                        <w:right w:val="none" w:sz="0" w:space="0" w:color="auto"/>
                      </w:divBdr>
                      <w:divsChild>
                        <w:div w:id="1306861505">
                          <w:marLeft w:val="0"/>
                          <w:marRight w:val="0"/>
                          <w:marTop w:val="0"/>
                          <w:marBottom w:val="0"/>
                          <w:divBdr>
                            <w:top w:val="none" w:sz="0" w:space="0" w:color="auto"/>
                            <w:left w:val="none" w:sz="0" w:space="0" w:color="auto"/>
                            <w:bottom w:val="none" w:sz="0" w:space="0" w:color="auto"/>
                            <w:right w:val="none" w:sz="0" w:space="0" w:color="auto"/>
                          </w:divBdr>
                          <w:divsChild>
                            <w:div w:id="1836144551">
                              <w:marLeft w:val="0"/>
                              <w:marRight w:val="0"/>
                              <w:marTop w:val="0"/>
                              <w:marBottom w:val="0"/>
                              <w:divBdr>
                                <w:top w:val="none" w:sz="0" w:space="0" w:color="auto"/>
                                <w:left w:val="none" w:sz="0" w:space="0" w:color="auto"/>
                                <w:bottom w:val="none" w:sz="0" w:space="0" w:color="auto"/>
                                <w:right w:val="none" w:sz="0" w:space="0" w:color="auto"/>
                              </w:divBdr>
                              <w:divsChild>
                                <w:div w:id="1000500321">
                                  <w:marLeft w:val="0"/>
                                  <w:marRight w:val="0"/>
                                  <w:marTop w:val="0"/>
                                  <w:marBottom w:val="0"/>
                                  <w:divBdr>
                                    <w:top w:val="none" w:sz="0" w:space="0" w:color="auto"/>
                                    <w:left w:val="none" w:sz="0" w:space="0" w:color="auto"/>
                                    <w:bottom w:val="none" w:sz="0" w:space="0" w:color="auto"/>
                                    <w:right w:val="none" w:sz="0" w:space="0" w:color="auto"/>
                                  </w:divBdr>
                                  <w:divsChild>
                                    <w:div w:id="577443673">
                                      <w:marLeft w:val="0"/>
                                      <w:marRight w:val="0"/>
                                      <w:marTop w:val="0"/>
                                      <w:marBottom w:val="0"/>
                                      <w:divBdr>
                                        <w:top w:val="none" w:sz="0" w:space="0" w:color="auto"/>
                                        <w:left w:val="none" w:sz="0" w:space="0" w:color="auto"/>
                                        <w:bottom w:val="none" w:sz="0" w:space="0" w:color="auto"/>
                                        <w:right w:val="none" w:sz="0" w:space="0" w:color="auto"/>
                                      </w:divBdr>
                                    </w:div>
                                    <w:div w:id="1041856559">
                                      <w:marLeft w:val="0"/>
                                      <w:marRight w:val="0"/>
                                      <w:marTop w:val="0"/>
                                      <w:marBottom w:val="0"/>
                                      <w:divBdr>
                                        <w:top w:val="none" w:sz="0" w:space="0" w:color="auto"/>
                                        <w:left w:val="none" w:sz="0" w:space="0" w:color="auto"/>
                                        <w:bottom w:val="none" w:sz="0" w:space="0" w:color="auto"/>
                                        <w:right w:val="none" w:sz="0" w:space="0" w:color="auto"/>
                                      </w:divBdr>
                                    </w:div>
                                    <w:div w:id="1361205052">
                                      <w:marLeft w:val="0"/>
                                      <w:marRight w:val="0"/>
                                      <w:marTop w:val="0"/>
                                      <w:marBottom w:val="0"/>
                                      <w:divBdr>
                                        <w:top w:val="none" w:sz="0" w:space="0" w:color="auto"/>
                                        <w:left w:val="none" w:sz="0" w:space="0" w:color="auto"/>
                                        <w:bottom w:val="none" w:sz="0" w:space="0" w:color="auto"/>
                                        <w:right w:val="none" w:sz="0" w:space="0" w:color="auto"/>
                                      </w:divBdr>
                                    </w:div>
                                    <w:div w:id="14210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320109">
      <w:bodyDiv w:val="1"/>
      <w:marLeft w:val="0"/>
      <w:marRight w:val="0"/>
      <w:marTop w:val="0"/>
      <w:marBottom w:val="0"/>
      <w:divBdr>
        <w:top w:val="none" w:sz="0" w:space="0" w:color="auto"/>
        <w:left w:val="none" w:sz="0" w:space="0" w:color="auto"/>
        <w:bottom w:val="none" w:sz="0" w:space="0" w:color="auto"/>
        <w:right w:val="none" w:sz="0" w:space="0" w:color="auto"/>
      </w:divBdr>
    </w:div>
    <w:div w:id="1279066132">
      <w:bodyDiv w:val="1"/>
      <w:marLeft w:val="0"/>
      <w:marRight w:val="0"/>
      <w:marTop w:val="0"/>
      <w:marBottom w:val="0"/>
      <w:divBdr>
        <w:top w:val="none" w:sz="0" w:space="0" w:color="auto"/>
        <w:left w:val="none" w:sz="0" w:space="0" w:color="auto"/>
        <w:bottom w:val="none" w:sz="0" w:space="0" w:color="auto"/>
        <w:right w:val="none" w:sz="0" w:space="0" w:color="auto"/>
      </w:divBdr>
    </w:div>
    <w:div w:id="1303731880">
      <w:bodyDiv w:val="1"/>
      <w:marLeft w:val="0"/>
      <w:marRight w:val="0"/>
      <w:marTop w:val="0"/>
      <w:marBottom w:val="0"/>
      <w:divBdr>
        <w:top w:val="none" w:sz="0" w:space="0" w:color="auto"/>
        <w:left w:val="none" w:sz="0" w:space="0" w:color="auto"/>
        <w:bottom w:val="none" w:sz="0" w:space="0" w:color="auto"/>
        <w:right w:val="none" w:sz="0" w:space="0" w:color="auto"/>
      </w:divBdr>
    </w:div>
    <w:div w:id="1304046044">
      <w:bodyDiv w:val="1"/>
      <w:marLeft w:val="0"/>
      <w:marRight w:val="0"/>
      <w:marTop w:val="0"/>
      <w:marBottom w:val="0"/>
      <w:divBdr>
        <w:top w:val="none" w:sz="0" w:space="0" w:color="auto"/>
        <w:left w:val="none" w:sz="0" w:space="0" w:color="auto"/>
        <w:bottom w:val="none" w:sz="0" w:space="0" w:color="auto"/>
        <w:right w:val="none" w:sz="0" w:space="0" w:color="auto"/>
      </w:divBdr>
    </w:div>
    <w:div w:id="1333951783">
      <w:bodyDiv w:val="1"/>
      <w:marLeft w:val="0"/>
      <w:marRight w:val="0"/>
      <w:marTop w:val="0"/>
      <w:marBottom w:val="0"/>
      <w:divBdr>
        <w:top w:val="none" w:sz="0" w:space="0" w:color="auto"/>
        <w:left w:val="none" w:sz="0" w:space="0" w:color="auto"/>
        <w:bottom w:val="none" w:sz="0" w:space="0" w:color="auto"/>
        <w:right w:val="none" w:sz="0" w:space="0" w:color="auto"/>
      </w:divBdr>
    </w:div>
    <w:div w:id="1369527771">
      <w:bodyDiv w:val="1"/>
      <w:marLeft w:val="0"/>
      <w:marRight w:val="0"/>
      <w:marTop w:val="0"/>
      <w:marBottom w:val="0"/>
      <w:divBdr>
        <w:top w:val="none" w:sz="0" w:space="0" w:color="auto"/>
        <w:left w:val="none" w:sz="0" w:space="0" w:color="auto"/>
        <w:bottom w:val="none" w:sz="0" w:space="0" w:color="auto"/>
        <w:right w:val="none" w:sz="0" w:space="0" w:color="auto"/>
      </w:divBdr>
    </w:div>
    <w:div w:id="1391077284">
      <w:bodyDiv w:val="1"/>
      <w:marLeft w:val="0"/>
      <w:marRight w:val="0"/>
      <w:marTop w:val="0"/>
      <w:marBottom w:val="0"/>
      <w:divBdr>
        <w:top w:val="none" w:sz="0" w:space="0" w:color="auto"/>
        <w:left w:val="none" w:sz="0" w:space="0" w:color="auto"/>
        <w:bottom w:val="none" w:sz="0" w:space="0" w:color="auto"/>
        <w:right w:val="none" w:sz="0" w:space="0" w:color="auto"/>
      </w:divBdr>
    </w:div>
    <w:div w:id="1394041088">
      <w:bodyDiv w:val="1"/>
      <w:marLeft w:val="0"/>
      <w:marRight w:val="0"/>
      <w:marTop w:val="0"/>
      <w:marBottom w:val="0"/>
      <w:divBdr>
        <w:top w:val="none" w:sz="0" w:space="0" w:color="auto"/>
        <w:left w:val="none" w:sz="0" w:space="0" w:color="auto"/>
        <w:bottom w:val="none" w:sz="0" w:space="0" w:color="auto"/>
        <w:right w:val="none" w:sz="0" w:space="0" w:color="auto"/>
      </w:divBdr>
    </w:div>
    <w:div w:id="1409497550">
      <w:bodyDiv w:val="1"/>
      <w:marLeft w:val="0"/>
      <w:marRight w:val="0"/>
      <w:marTop w:val="0"/>
      <w:marBottom w:val="0"/>
      <w:divBdr>
        <w:top w:val="none" w:sz="0" w:space="0" w:color="auto"/>
        <w:left w:val="none" w:sz="0" w:space="0" w:color="auto"/>
        <w:bottom w:val="none" w:sz="0" w:space="0" w:color="auto"/>
        <w:right w:val="none" w:sz="0" w:space="0" w:color="auto"/>
      </w:divBdr>
    </w:div>
    <w:div w:id="1423262299">
      <w:bodyDiv w:val="1"/>
      <w:marLeft w:val="0"/>
      <w:marRight w:val="0"/>
      <w:marTop w:val="0"/>
      <w:marBottom w:val="0"/>
      <w:divBdr>
        <w:top w:val="none" w:sz="0" w:space="0" w:color="auto"/>
        <w:left w:val="none" w:sz="0" w:space="0" w:color="auto"/>
        <w:bottom w:val="none" w:sz="0" w:space="0" w:color="auto"/>
        <w:right w:val="none" w:sz="0" w:space="0" w:color="auto"/>
      </w:divBdr>
    </w:div>
    <w:div w:id="1442922139">
      <w:bodyDiv w:val="1"/>
      <w:marLeft w:val="0"/>
      <w:marRight w:val="0"/>
      <w:marTop w:val="0"/>
      <w:marBottom w:val="0"/>
      <w:divBdr>
        <w:top w:val="none" w:sz="0" w:space="0" w:color="auto"/>
        <w:left w:val="none" w:sz="0" w:space="0" w:color="auto"/>
        <w:bottom w:val="none" w:sz="0" w:space="0" w:color="auto"/>
        <w:right w:val="none" w:sz="0" w:space="0" w:color="auto"/>
      </w:divBdr>
      <w:divsChild>
        <w:div w:id="388845626">
          <w:marLeft w:val="0"/>
          <w:marRight w:val="0"/>
          <w:marTop w:val="0"/>
          <w:marBottom w:val="0"/>
          <w:divBdr>
            <w:top w:val="none" w:sz="0" w:space="0" w:color="auto"/>
            <w:left w:val="none" w:sz="0" w:space="0" w:color="auto"/>
            <w:bottom w:val="none" w:sz="0" w:space="0" w:color="auto"/>
            <w:right w:val="none" w:sz="0" w:space="0" w:color="auto"/>
          </w:divBdr>
          <w:divsChild>
            <w:div w:id="1744058539">
              <w:marLeft w:val="0"/>
              <w:marRight w:val="0"/>
              <w:marTop w:val="0"/>
              <w:marBottom w:val="0"/>
              <w:divBdr>
                <w:top w:val="none" w:sz="0" w:space="0" w:color="auto"/>
                <w:left w:val="none" w:sz="0" w:space="0" w:color="auto"/>
                <w:bottom w:val="none" w:sz="0" w:space="0" w:color="auto"/>
                <w:right w:val="none" w:sz="0" w:space="0" w:color="auto"/>
              </w:divBdr>
              <w:divsChild>
                <w:div w:id="1823042537">
                  <w:marLeft w:val="0"/>
                  <w:marRight w:val="0"/>
                  <w:marTop w:val="0"/>
                  <w:marBottom w:val="0"/>
                  <w:divBdr>
                    <w:top w:val="none" w:sz="0" w:space="0" w:color="auto"/>
                    <w:left w:val="none" w:sz="0" w:space="0" w:color="auto"/>
                    <w:bottom w:val="none" w:sz="0" w:space="0" w:color="auto"/>
                    <w:right w:val="none" w:sz="0" w:space="0" w:color="auto"/>
                  </w:divBdr>
                  <w:divsChild>
                    <w:div w:id="42215206">
                      <w:marLeft w:val="0"/>
                      <w:marRight w:val="0"/>
                      <w:marTop w:val="300"/>
                      <w:marBottom w:val="1200"/>
                      <w:divBdr>
                        <w:top w:val="none" w:sz="0" w:space="0" w:color="auto"/>
                        <w:left w:val="none" w:sz="0" w:space="0" w:color="auto"/>
                        <w:bottom w:val="none" w:sz="0" w:space="0" w:color="auto"/>
                        <w:right w:val="none" w:sz="0" w:space="0" w:color="auto"/>
                      </w:divBdr>
                      <w:divsChild>
                        <w:div w:id="515997488">
                          <w:marLeft w:val="0"/>
                          <w:marRight w:val="0"/>
                          <w:marTop w:val="0"/>
                          <w:marBottom w:val="0"/>
                          <w:divBdr>
                            <w:top w:val="none" w:sz="0" w:space="0" w:color="auto"/>
                            <w:left w:val="none" w:sz="0" w:space="0" w:color="auto"/>
                            <w:bottom w:val="none" w:sz="0" w:space="0" w:color="auto"/>
                            <w:right w:val="none" w:sz="0" w:space="0" w:color="auto"/>
                          </w:divBdr>
                          <w:divsChild>
                            <w:div w:id="293413447">
                              <w:marLeft w:val="0"/>
                              <w:marRight w:val="0"/>
                              <w:marTop w:val="0"/>
                              <w:marBottom w:val="0"/>
                              <w:divBdr>
                                <w:top w:val="none" w:sz="0" w:space="0" w:color="auto"/>
                                <w:left w:val="none" w:sz="0" w:space="0" w:color="auto"/>
                                <w:bottom w:val="none" w:sz="0" w:space="0" w:color="auto"/>
                                <w:right w:val="none" w:sz="0" w:space="0" w:color="auto"/>
                              </w:divBdr>
                              <w:divsChild>
                                <w:div w:id="544099791">
                                  <w:marLeft w:val="0"/>
                                  <w:marRight w:val="0"/>
                                  <w:marTop w:val="0"/>
                                  <w:marBottom w:val="0"/>
                                  <w:divBdr>
                                    <w:top w:val="none" w:sz="0" w:space="0" w:color="auto"/>
                                    <w:left w:val="none" w:sz="0" w:space="0" w:color="auto"/>
                                    <w:bottom w:val="none" w:sz="0" w:space="0" w:color="auto"/>
                                    <w:right w:val="none" w:sz="0" w:space="0" w:color="auto"/>
                                  </w:divBdr>
                                  <w:divsChild>
                                    <w:div w:id="75715110">
                                      <w:marLeft w:val="0"/>
                                      <w:marRight w:val="0"/>
                                      <w:marTop w:val="0"/>
                                      <w:marBottom w:val="0"/>
                                      <w:divBdr>
                                        <w:top w:val="none" w:sz="0" w:space="0" w:color="auto"/>
                                        <w:left w:val="none" w:sz="0" w:space="0" w:color="auto"/>
                                        <w:bottom w:val="none" w:sz="0" w:space="0" w:color="auto"/>
                                        <w:right w:val="none" w:sz="0" w:space="0" w:color="auto"/>
                                      </w:divBdr>
                                    </w:div>
                                    <w:div w:id="217284130">
                                      <w:marLeft w:val="0"/>
                                      <w:marRight w:val="0"/>
                                      <w:marTop w:val="0"/>
                                      <w:marBottom w:val="0"/>
                                      <w:divBdr>
                                        <w:top w:val="none" w:sz="0" w:space="0" w:color="auto"/>
                                        <w:left w:val="none" w:sz="0" w:space="0" w:color="auto"/>
                                        <w:bottom w:val="none" w:sz="0" w:space="0" w:color="auto"/>
                                        <w:right w:val="none" w:sz="0" w:space="0" w:color="auto"/>
                                      </w:divBdr>
                                    </w:div>
                                    <w:div w:id="746222475">
                                      <w:marLeft w:val="0"/>
                                      <w:marRight w:val="0"/>
                                      <w:marTop w:val="0"/>
                                      <w:marBottom w:val="0"/>
                                      <w:divBdr>
                                        <w:top w:val="none" w:sz="0" w:space="0" w:color="auto"/>
                                        <w:left w:val="none" w:sz="0" w:space="0" w:color="auto"/>
                                        <w:bottom w:val="none" w:sz="0" w:space="0" w:color="auto"/>
                                        <w:right w:val="none" w:sz="0" w:space="0" w:color="auto"/>
                                      </w:divBdr>
                                    </w:div>
                                    <w:div w:id="912592223">
                                      <w:marLeft w:val="0"/>
                                      <w:marRight w:val="0"/>
                                      <w:marTop w:val="0"/>
                                      <w:marBottom w:val="0"/>
                                      <w:divBdr>
                                        <w:top w:val="none" w:sz="0" w:space="0" w:color="auto"/>
                                        <w:left w:val="none" w:sz="0" w:space="0" w:color="auto"/>
                                        <w:bottom w:val="none" w:sz="0" w:space="0" w:color="auto"/>
                                        <w:right w:val="none" w:sz="0" w:space="0" w:color="auto"/>
                                      </w:divBdr>
                                    </w:div>
                                    <w:div w:id="969819034">
                                      <w:marLeft w:val="0"/>
                                      <w:marRight w:val="0"/>
                                      <w:marTop w:val="0"/>
                                      <w:marBottom w:val="0"/>
                                      <w:divBdr>
                                        <w:top w:val="none" w:sz="0" w:space="0" w:color="auto"/>
                                        <w:left w:val="none" w:sz="0" w:space="0" w:color="auto"/>
                                        <w:bottom w:val="none" w:sz="0" w:space="0" w:color="auto"/>
                                        <w:right w:val="none" w:sz="0" w:space="0" w:color="auto"/>
                                      </w:divBdr>
                                    </w:div>
                                    <w:div w:id="1249652170">
                                      <w:marLeft w:val="0"/>
                                      <w:marRight w:val="0"/>
                                      <w:marTop w:val="0"/>
                                      <w:marBottom w:val="0"/>
                                      <w:divBdr>
                                        <w:top w:val="none" w:sz="0" w:space="0" w:color="auto"/>
                                        <w:left w:val="none" w:sz="0" w:space="0" w:color="auto"/>
                                        <w:bottom w:val="none" w:sz="0" w:space="0" w:color="auto"/>
                                        <w:right w:val="none" w:sz="0" w:space="0" w:color="auto"/>
                                      </w:divBdr>
                                    </w:div>
                                    <w:div w:id="1318848026">
                                      <w:marLeft w:val="0"/>
                                      <w:marRight w:val="0"/>
                                      <w:marTop w:val="0"/>
                                      <w:marBottom w:val="0"/>
                                      <w:divBdr>
                                        <w:top w:val="none" w:sz="0" w:space="0" w:color="auto"/>
                                        <w:left w:val="none" w:sz="0" w:space="0" w:color="auto"/>
                                        <w:bottom w:val="none" w:sz="0" w:space="0" w:color="auto"/>
                                        <w:right w:val="none" w:sz="0" w:space="0" w:color="auto"/>
                                      </w:divBdr>
                                    </w:div>
                                    <w:div w:id="1333988007">
                                      <w:marLeft w:val="0"/>
                                      <w:marRight w:val="0"/>
                                      <w:marTop w:val="0"/>
                                      <w:marBottom w:val="0"/>
                                      <w:divBdr>
                                        <w:top w:val="none" w:sz="0" w:space="0" w:color="auto"/>
                                        <w:left w:val="none" w:sz="0" w:space="0" w:color="auto"/>
                                        <w:bottom w:val="none" w:sz="0" w:space="0" w:color="auto"/>
                                        <w:right w:val="none" w:sz="0" w:space="0" w:color="auto"/>
                                      </w:divBdr>
                                    </w:div>
                                    <w:div w:id="1431051509">
                                      <w:marLeft w:val="0"/>
                                      <w:marRight w:val="0"/>
                                      <w:marTop w:val="0"/>
                                      <w:marBottom w:val="0"/>
                                      <w:divBdr>
                                        <w:top w:val="none" w:sz="0" w:space="0" w:color="auto"/>
                                        <w:left w:val="none" w:sz="0" w:space="0" w:color="auto"/>
                                        <w:bottom w:val="none" w:sz="0" w:space="0" w:color="auto"/>
                                        <w:right w:val="none" w:sz="0" w:space="0" w:color="auto"/>
                                      </w:divBdr>
                                    </w:div>
                                    <w:div w:id="1915628262">
                                      <w:marLeft w:val="0"/>
                                      <w:marRight w:val="0"/>
                                      <w:marTop w:val="0"/>
                                      <w:marBottom w:val="0"/>
                                      <w:divBdr>
                                        <w:top w:val="none" w:sz="0" w:space="0" w:color="auto"/>
                                        <w:left w:val="none" w:sz="0" w:space="0" w:color="auto"/>
                                        <w:bottom w:val="none" w:sz="0" w:space="0" w:color="auto"/>
                                        <w:right w:val="none" w:sz="0" w:space="0" w:color="auto"/>
                                      </w:divBdr>
                                    </w:div>
                                    <w:div w:id="2070422983">
                                      <w:marLeft w:val="0"/>
                                      <w:marRight w:val="0"/>
                                      <w:marTop w:val="0"/>
                                      <w:marBottom w:val="0"/>
                                      <w:divBdr>
                                        <w:top w:val="none" w:sz="0" w:space="0" w:color="auto"/>
                                        <w:left w:val="none" w:sz="0" w:space="0" w:color="auto"/>
                                        <w:bottom w:val="none" w:sz="0" w:space="0" w:color="auto"/>
                                        <w:right w:val="none" w:sz="0" w:space="0" w:color="auto"/>
                                      </w:divBdr>
                                    </w:div>
                                    <w:div w:id="2074159663">
                                      <w:marLeft w:val="0"/>
                                      <w:marRight w:val="0"/>
                                      <w:marTop w:val="0"/>
                                      <w:marBottom w:val="0"/>
                                      <w:divBdr>
                                        <w:top w:val="none" w:sz="0" w:space="0" w:color="auto"/>
                                        <w:left w:val="none" w:sz="0" w:space="0" w:color="auto"/>
                                        <w:bottom w:val="none" w:sz="0" w:space="0" w:color="auto"/>
                                        <w:right w:val="none" w:sz="0" w:space="0" w:color="auto"/>
                                      </w:divBdr>
                                    </w:div>
                                    <w:div w:id="21213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46958">
      <w:bodyDiv w:val="1"/>
      <w:marLeft w:val="0"/>
      <w:marRight w:val="0"/>
      <w:marTop w:val="0"/>
      <w:marBottom w:val="0"/>
      <w:divBdr>
        <w:top w:val="none" w:sz="0" w:space="0" w:color="auto"/>
        <w:left w:val="none" w:sz="0" w:space="0" w:color="auto"/>
        <w:bottom w:val="none" w:sz="0" w:space="0" w:color="auto"/>
        <w:right w:val="none" w:sz="0" w:space="0" w:color="auto"/>
      </w:divBdr>
    </w:div>
    <w:div w:id="1480489710">
      <w:bodyDiv w:val="1"/>
      <w:marLeft w:val="0"/>
      <w:marRight w:val="0"/>
      <w:marTop w:val="0"/>
      <w:marBottom w:val="0"/>
      <w:divBdr>
        <w:top w:val="none" w:sz="0" w:space="0" w:color="auto"/>
        <w:left w:val="none" w:sz="0" w:space="0" w:color="auto"/>
        <w:bottom w:val="none" w:sz="0" w:space="0" w:color="auto"/>
        <w:right w:val="none" w:sz="0" w:space="0" w:color="auto"/>
      </w:divBdr>
    </w:div>
    <w:div w:id="1484548122">
      <w:bodyDiv w:val="1"/>
      <w:marLeft w:val="0"/>
      <w:marRight w:val="0"/>
      <w:marTop w:val="0"/>
      <w:marBottom w:val="0"/>
      <w:divBdr>
        <w:top w:val="none" w:sz="0" w:space="0" w:color="auto"/>
        <w:left w:val="none" w:sz="0" w:space="0" w:color="auto"/>
        <w:bottom w:val="none" w:sz="0" w:space="0" w:color="auto"/>
        <w:right w:val="none" w:sz="0" w:space="0" w:color="auto"/>
      </w:divBdr>
    </w:div>
    <w:div w:id="1578708663">
      <w:bodyDiv w:val="1"/>
      <w:marLeft w:val="0"/>
      <w:marRight w:val="0"/>
      <w:marTop w:val="0"/>
      <w:marBottom w:val="0"/>
      <w:divBdr>
        <w:top w:val="none" w:sz="0" w:space="0" w:color="auto"/>
        <w:left w:val="none" w:sz="0" w:space="0" w:color="auto"/>
        <w:bottom w:val="none" w:sz="0" w:space="0" w:color="auto"/>
        <w:right w:val="none" w:sz="0" w:space="0" w:color="auto"/>
      </w:divBdr>
      <w:divsChild>
        <w:div w:id="491530989">
          <w:marLeft w:val="0"/>
          <w:marRight w:val="0"/>
          <w:marTop w:val="0"/>
          <w:marBottom w:val="0"/>
          <w:divBdr>
            <w:top w:val="none" w:sz="0" w:space="0" w:color="auto"/>
            <w:left w:val="none" w:sz="0" w:space="0" w:color="auto"/>
            <w:bottom w:val="none" w:sz="0" w:space="0" w:color="auto"/>
            <w:right w:val="none" w:sz="0" w:space="0" w:color="auto"/>
          </w:divBdr>
          <w:divsChild>
            <w:div w:id="1241792784">
              <w:marLeft w:val="0"/>
              <w:marRight w:val="0"/>
              <w:marTop w:val="0"/>
              <w:marBottom w:val="0"/>
              <w:divBdr>
                <w:top w:val="none" w:sz="0" w:space="0" w:color="auto"/>
                <w:left w:val="none" w:sz="0" w:space="0" w:color="auto"/>
                <w:bottom w:val="none" w:sz="0" w:space="0" w:color="auto"/>
                <w:right w:val="none" w:sz="0" w:space="0" w:color="auto"/>
              </w:divBdr>
              <w:divsChild>
                <w:div w:id="715397537">
                  <w:marLeft w:val="0"/>
                  <w:marRight w:val="0"/>
                  <w:marTop w:val="0"/>
                  <w:marBottom w:val="0"/>
                  <w:divBdr>
                    <w:top w:val="none" w:sz="0" w:space="0" w:color="auto"/>
                    <w:left w:val="none" w:sz="0" w:space="0" w:color="auto"/>
                    <w:bottom w:val="none" w:sz="0" w:space="0" w:color="auto"/>
                    <w:right w:val="none" w:sz="0" w:space="0" w:color="auto"/>
                  </w:divBdr>
                  <w:divsChild>
                    <w:div w:id="1229926755">
                      <w:marLeft w:val="0"/>
                      <w:marRight w:val="0"/>
                      <w:marTop w:val="300"/>
                      <w:marBottom w:val="1200"/>
                      <w:divBdr>
                        <w:top w:val="none" w:sz="0" w:space="0" w:color="auto"/>
                        <w:left w:val="none" w:sz="0" w:space="0" w:color="auto"/>
                        <w:bottom w:val="none" w:sz="0" w:space="0" w:color="auto"/>
                        <w:right w:val="none" w:sz="0" w:space="0" w:color="auto"/>
                      </w:divBdr>
                      <w:divsChild>
                        <w:div w:id="282544682">
                          <w:marLeft w:val="0"/>
                          <w:marRight w:val="0"/>
                          <w:marTop w:val="0"/>
                          <w:marBottom w:val="0"/>
                          <w:divBdr>
                            <w:top w:val="none" w:sz="0" w:space="0" w:color="auto"/>
                            <w:left w:val="none" w:sz="0" w:space="0" w:color="auto"/>
                            <w:bottom w:val="none" w:sz="0" w:space="0" w:color="auto"/>
                            <w:right w:val="none" w:sz="0" w:space="0" w:color="auto"/>
                          </w:divBdr>
                          <w:divsChild>
                            <w:div w:id="1518544952">
                              <w:marLeft w:val="0"/>
                              <w:marRight w:val="0"/>
                              <w:marTop w:val="0"/>
                              <w:marBottom w:val="0"/>
                              <w:divBdr>
                                <w:top w:val="none" w:sz="0" w:space="0" w:color="auto"/>
                                <w:left w:val="none" w:sz="0" w:space="0" w:color="auto"/>
                                <w:bottom w:val="none" w:sz="0" w:space="0" w:color="auto"/>
                                <w:right w:val="none" w:sz="0" w:space="0" w:color="auto"/>
                              </w:divBdr>
                              <w:divsChild>
                                <w:div w:id="731083019">
                                  <w:marLeft w:val="0"/>
                                  <w:marRight w:val="0"/>
                                  <w:marTop w:val="0"/>
                                  <w:marBottom w:val="0"/>
                                  <w:divBdr>
                                    <w:top w:val="none" w:sz="0" w:space="0" w:color="auto"/>
                                    <w:left w:val="none" w:sz="0" w:space="0" w:color="auto"/>
                                    <w:bottom w:val="none" w:sz="0" w:space="0" w:color="auto"/>
                                    <w:right w:val="none" w:sz="0" w:space="0" w:color="auto"/>
                                  </w:divBdr>
                                  <w:divsChild>
                                    <w:div w:id="1211914265">
                                      <w:marLeft w:val="0"/>
                                      <w:marRight w:val="0"/>
                                      <w:marTop w:val="0"/>
                                      <w:marBottom w:val="0"/>
                                      <w:divBdr>
                                        <w:top w:val="none" w:sz="0" w:space="0" w:color="auto"/>
                                        <w:left w:val="none" w:sz="0" w:space="0" w:color="auto"/>
                                        <w:bottom w:val="none" w:sz="0" w:space="0" w:color="auto"/>
                                        <w:right w:val="none" w:sz="0" w:space="0" w:color="auto"/>
                                      </w:divBdr>
                                    </w:div>
                                    <w:div w:id="16897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364544">
      <w:bodyDiv w:val="1"/>
      <w:marLeft w:val="0"/>
      <w:marRight w:val="0"/>
      <w:marTop w:val="0"/>
      <w:marBottom w:val="0"/>
      <w:divBdr>
        <w:top w:val="none" w:sz="0" w:space="0" w:color="auto"/>
        <w:left w:val="none" w:sz="0" w:space="0" w:color="auto"/>
        <w:bottom w:val="none" w:sz="0" w:space="0" w:color="auto"/>
        <w:right w:val="none" w:sz="0" w:space="0" w:color="auto"/>
      </w:divBdr>
      <w:divsChild>
        <w:div w:id="161900697">
          <w:marLeft w:val="0"/>
          <w:marRight w:val="0"/>
          <w:marTop w:val="0"/>
          <w:marBottom w:val="0"/>
          <w:divBdr>
            <w:top w:val="none" w:sz="0" w:space="0" w:color="auto"/>
            <w:left w:val="none" w:sz="0" w:space="0" w:color="auto"/>
            <w:bottom w:val="none" w:sz="0" w:space="0" w:color="auto"/>
            <w:right w:val="none" w:sz="0" w:space="0" w:color="auto"/>
          </w:divBdr>
          <w:divsChild>
            <w:div w:id="1245840751">
              <w:marLeft w:val="0"/>
              <w:marRight w:val="0"/>
              <w:marTop w:val="0"/>
              <w:marBottom w:val="0"/>
              <w:divBdr>
                <w:top w:val="none" w:sz="0" w:space="0" w:color="auto"/>
                <w:left w:val="none" w:sz="0" w:space="0" w:color="auto"/>
                <w:bottom w:val="none" w:sz="0" w:space="0" w:color="auto"/>
                <w:right w:val="none" w:sz="0" w:space="0" w:color="auto"/>
              </w:divBdr>
              <w:divsChild>
                <w:div w:id="1372875996">
                  <w:marLeft w:val="0"/>
                  <w:marRight w:val="0"/>
                  <w:marTop w:val="0"/>
                  <w:marBottom w:val="0"/>
                  <w:divBdr>
                    <w:top w:val="none" w:sz="0" w:space="0" w:color="auto"/>
                    <w:left w:val="none" w:sz="0" w:space="0" w:color="auto"/>
                    <w:bottom w:val="none" w:sz="0" w:space="0" w:color="auto"/>
                    <w:right w:val="none" w:sz="0" w:space="0" w:color="auto"/>
                  </w:divBdr>
                  <w:divsChild>
                    <w:div w:id="758480563">
                      <w:marLeft w:val="0"/>
                      <w:marRight w:val="0"/>
                      <w:marTop w:val="0"/>
                      <w:marBottom w:val="0"/>
                      <w:divBdr>
                        <w:top w:val="none" w:sz="0" w:space="0" w:color="auto"/>
                        <w:left w:val="none" w:sz="0" w:space="0" w:color="auto"/>
                        <w:bottom w:val="none" w:sz="0" w:space="0" w:color="auto"/>
                        <w:right w:val="none" w:sz="0" w:space="0" w:color="auto"/>
                      </w:divBdr>
                      <w:divsChild>
                        <w:div w:id="1311514887">
                          <w:marLeft w:val="0"/>
                          <w:marRight w:val="0"/>
                          <w:marTop w:val="0"/>
                          <w:marBottom w:val="0"/>
                          <w:divBdr>
                            <w:top w:val="none" w:sz="0" w:space="0" w:color="auto"/>
                            <w:left w:val="none" w:sz="0" w:space="0" w:color="auto"/>
                            <w:bottom w:val="none" w:sz="0" w:space="0" w:color="auto"/>
                            <w:right w:val="none" w:sz="0" w:space="0" w:color="auto"/>
                          </w:divBdr>
                          <w:divsChild>
                            <w:div w:id="364523408">
                              <w:marLeft w:val="0"/>
                              <w:marRight w:val="0"/>
                              <w:marTop w:val="0"/>
                              <w:marBottom w:val="0"/>
                              <w:divBdr>
                                <w:top w:val="none" w:sz="0" w:space="0" w:color="auto"/>
                                <w:left w:val="none" w:sz="0" w:space="0" w:color="auto"/>
                                <w:bottom w:val="none" w:sz="0" w:space="0" w:color="auto"/>
                                <w:right w:val="none" w:sz="0" w:space="0" w:color="auto"/>
                              </w:divBdr>
                              <w:divsChild>
                                <w:div w:id="1218274248">
                                  <w:marLeft w:val="0"/>
                                  <w:marRight w:val="0"/>
                                  <w:marTop w:val="0"/>
                                  <w:marBottom w:val="0"/>
                                  <w:divBdr>
                                    <w:top w:val="none" w:sz="0" w:space="0" w:color="auto"/>
                                    <w:left w:val="none" w:sz="0" w:space="0" w:color="auto"/>
                                    <w:bottom w:val="none" w:sz="0" w:space="0" w:color="auto"/>
                                    <w:right w:val="none" w:sz="0" w:space="0" w:color="auto"/>
                                  </w:divBdr>
                                  <w:divsChild>
                                    <w:div w:id="1790776587">
                                      <w:marLeft w:val="0"/>
                                      <w:marRight w:val="0"/>
                                      <w:marTop w:val="0"/>
                                      <w:marBottom w:val="0"/>
                                      <w:divBdr>
                                        <w:top w:val="none" w:sz="0" w:space="0" w:color="auto"/>
                                        <w:left w:val="none" w:sz="0" w:space="0" w:color="auto"/>
                                        <w:bottom w:val="none" w:sz="0" w:space="0" w:color="auto"/>
                                        <w:right w:val="none" w:sz="0" w:space="0" w:color="auto"/>
                                      </w:divBdr>
                                      <w:divsChild>
                                        <w:div w:id="718288032">
                                          <w:marLeft w:val="0"/>
                                          <w:marRight w:val="0"/>
                                          <w:marTop w:val="0"/>
                                          <w:marBottom w:val="0"/>
                                          <w:divBdr>
                                            <w:top w:val="none" w:sz="0" w:space="0" w:color="auto"/>
                                            <w:left w:val="none" w:sz="0" w:space="0" w:color="auto"/>
                                            <w:bottom w:val="none" w:sz="0" w:space="0" w:color="auto"/>
                                            <w:right w:val="none" w:sz="0" w:space="0" w:color="auto"/>
                                          </w:divBdr>
                                          <w:divsChild>
                                            <w:div w:id="928345944">
                                              <w:marLeft w:val="0"/>
                                              <w:marRight w:val="0"/>
                                              <w:marTop w:val="0"/>
                                              <w:marBottom w:val="495"/>
                                              <w:divBdr>
                                                <w:top w:val="none" w:sz="0" w:space="0" w:color="auto"/>
                                                <w:left w:val="none" w:sz="0" w:space="0" w:color="auto"/>
                                                <w:bottom w:val="none" w:sz="0" w:space="0" w:color="auto"/>
                                                <w:right w:val="none" w:sz="0" w:space="0" w:color="auto"/>
                                              </w:divBdr>
                                              <w:divsChild>
                                                <w:div w:id="15007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0262">
      <w:bodyDiv w:val="1"/>
      <w:marLeft w:val="0"/>
      <w:marRight w:val="0"/>
      <w:marTop w:val="0"/>
      <w:marBottom w:val="0"/>
      <w:divBdr>
        <w:top w:val="none" w:sz="0" w:space="0" w:color="auto"/>
        <w:left w:val="none" w:sz="0" w:space="0" w:color="auto"/>
        <w:bottom w:val="none" w:sz="0" w:space="0" w:color="auto"/>
        <w:right w:val="none" w:sz="0" w:space="0" w:color="auto"/>
      </w:divBdr>
      <w:divsChild>
        <w:div w:id="1465851368">
          <w:marLeft w:val="0"/>
          <w:marRight w:val="0"/>
          <w:marTop w:val="0"/>
          <w:marBottom w:val="0"/>
          <w:divBdr>
            <w:top w:val="none" w:sz="0" w:space="0" w:color="auto"/>
            <w:left w:val="none" w:sz="0" w:space="0" w:color="auto"/>
            <w:bottom w:val="none" w:sz="0" w:space="0" w:color="auto"/>
            <w:right w:val="none" w:sz="0" w:space="0" w:color="auto"/>
          </w:divBdr>
          <w:divsChild>
            <w:div w:id="61031698">
              <w:marLeft w:val="0"/>
              <w:marRight w:val="0"/>
              <w:marTop w:val="0"/>
              <w:marBottom w:val="0"/>
              <w:divBdr>
                <w:top w:val="none" w:sz="0" w:space="0" w:color="auto"/>
                <w:left w:val="none" w:sz="0" w:space="0" w:color="auto"/>
                <w:bottom w:val="none" w:sz="0" w:space="0" w:color="auto"/>
                <w:right w:val="none" w:sz="0" w:space="0" w:color="auto"/>
              </w:divBdr>
              <w:divsChild>
                <w:div w:id="329791322">
                  <w:marLeft w:val="0"/>
                  <w:marRight w:val="0"/>
                  <w:marTop w:val="0"/>
                  <w:marBottom w:val="0"/>
                  <w:divBdr>
                    <w:top w:val="none" w:sz="0" w:space="0" w:color="auto"/>
                    <w:left w:val="none" w:sz="0" w:space="0" w:color="auto"/>
                    <w:bottom w:val="none" w:sz="0" w:space="0" w:color="auto"/>
                    <w:right w:val="none" w:sz="0" w:space="0" w:color="auto"/>
                  </w:divBdr>
                  <w:divsChild>
                    <w:div w:id="1992172093">
                      <w:marLeft w:val="0"/>
                      <w:marRight w:val="0"/>
                      <w:marTop w:val="300"/>
                      <w:marBottom w:val="1200"/>
                      <w:divBdr>
                        <w:top w:val="none" w:sz="0" w:space="0" w:color="auto"/>
                        <w:left w:val="none" w:sz="0" w:space="0" w:color="auto"/>
                        <w:bottom w:val="none" w:sz="0" w:space="0" w:color="auto"/>
                        <w:right w:val="none" w:sz="0" w:space="0" w:color="auto"/>
                      </w:divBdr>
                      <w:divsChild>
                        <w:div w:id="1920284115">
                          <w:marLeft w:val="0"/>
                          <w:marRight w:val="0"/>
                          <w:marTop w:val="0"/>
                          <w:marBottom w:val="0"/>
                          <w:divBdr>
                            <w:top w:val="none" w:sz="0" w:space="0" w:color="auto"/>
                            <w:left w:val="none" w:sz="0" w:space="0" w:color="auto"/>
                            <w:bottom w:val="none" w:sz="0" w:space="0" w:color="auto"/>
                            <w:right w:val="none" w:sz="0" w:space="0" w:color="auto"/>
                          </w:divBdr>
                          <w:divsChild>
                            <w:div w:id="1484857716">
                              <w:marLeft w:val="0"/>
                              <w:marRight w:val="0"/>
                              <w:marTop w:val="0"/>
                              <w:marBottom w:val="0"/>
                              <w:divBdr>
                                <w:top w:val="none" w:sz="0" w:space="0" w:color="auto"/>
                                <w:left w:val="none" w:sz="0" w:space="0" w:color="auto"/>
                                <w:bottom w:val="none" w:sz="0" w:space="0" w:color="auto"/>
                                <w:right w:val="none" w:sz="0" w:space="0" w:color="auto"/>
                              </w:divBdr>
                              <w:divsChild>
                                <w:div w:id="1807122380">
                                  <w:marLeft w:val="0"/>
                                  <w:marRight w:val="0"/>
                                  <w:marTop w:val="0"/>
                                  <w:marBottom w:val="0"/>
                                  <w:divBdr>
                                    <w:top w:val="none" w:sz="0" w:space="0" w:color="auto"/>
                                    <w:left w:val="none" w:sz="0" w:space="0" w:color="auto"/>
                                    <w:bottom w:val="none" w:sz="0" w:space="0" w:color="auto"/>
                                    <w:right w:val="none" w:sz="0" w:space="0" w:color="auto"/>
                                  </w:divBdr>
                                  <w:divsChild>
                                    <w:div w:id="885409214">
                                      <w:marLeft w:val="0"/>
                                      <w:marRight w:val="0"/>
                                      <w:marTop w:val="0"/>
                                      <w:marBottom w:val="0"/>
                                      <w:divBdr>
                                        <w:top w:val="none" w:sz="0" w:space="0" w:color="auto"/>
                                        <w:left w:val="none" w:sz="0" w:space="0" w:color="auto"/>
                                        <w:bottom w:val="none" w:sz="0" w:space="0" w:color="auto"/>
                                        <w:right w:val="none" w:sz="0" w:space="0" w:color="auto"/>
                                      </w:divBdr>
                                    </w:div>
                                    <w:div w:id="927495009">
                                      <w:marLeft w:val="0"/>
                                      <w:marRight w:val="0"/>
                                      <w:marTop w:val="0"/>
                                      <w:marBottom w:val="0"/>
                                      <w:divBdr>
                                        <w:top w:val="none" w:sz="0" w:space="0" w:color="auto"/>
                                        <w:left w:val="none" w:sz="0" w:space="0" w:color="auto"/>
                                        <w:bottom w:val="none" w:sz="0" w:space="0" w:color="auto"/>
                                        <w:right w:val="none" w:sz="0" w:space="0" w:color="auto"/>
                                      </w:divBdr>
                                    </w:div>
                                    <w:div w:id="1296713227">
                                      <w:marLeft w:val="0"/>
                                      <w:marRight w:val="0"/>
                                      <w:marTop w:val="0"/>
                                      <w:marBottom w:val="0"/>
                                      <w:divBdr>
                                        <w:top w:val="none" w:sz="0" w:space="0" w:color="auto"/>
                                        <w:left w:val="none" w:sz="0" w:space="0" w:color="auto"/>
                                        <w:bottom w:val="none" w:sz="0" w:space="0" w:color="auto"/>
                                        <w:right w:val="none" w:sz="0" w:space="0" w:color="auto"/>
                                      </w:divBdr>
                                    </w:div>
                                    <w:div w:id="15481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122191">
      <w:bodyDiv w:val="1"/>
      <w:marLeft w:val="0"/>
      <w:marRight w:val="0"/>
      <w:marTop w:val="0"/>
      <w:marBottom w:val="0"/>
      <w:divBdr>
        <w:top w:val="none" w:sz="0" w:space="0" w:color="auto"/>
        <w:left w:val="none" w:sz="0" w:space="0" w:color="auto"/>
        <w:bottom w:val="none" w:sz="0" w:space="0" w:color="auto"/>
        <w:right w:val="none" w:sz="0" w:space="0" w:color="auto"/>
      </w:divBdr>
    </w:div>
    <w:div w:id="1654137214">
      <w:bodyDiv w:val="1"/>
      <w:marLeft w:val="0"/>
      <w:marRight w:val="0"/>
      <w:marTop w:val="0"/>
      <w:marBottom w:val="0"/>
      <w:divBdr>
        <w:top w:val="none" w:sz="0" w:space="0" w:color="auto"/>
        <w:left w:val="none" w:sz="0" w:space="0" w:color="auto"/>
        <w:bottom w:val="none" w:sz="0" w:space="0" w:color="auto"/>
        <w:right w:val="none" w:sz="0" w:space="0" w:color="auto"/>
      </w:divBdr>
    </w:div>
    <w:div w:id="1715231078">
      <w:bodyDiv w:val="1"/>
      <w:marLeft w:val="0"/>
      <w:marRight w:val="0"/>
      <w:marTop w:val="0"/>
      <w:marBottom w:val="0"/>
      <w:divBdr>
        <w:top w:val="none" w:sz="0" w:space="0" w:color="auto"/>
        <w:left w:val="none" w:sz="0" w:space="0" w:color="auto"/>
        <w:bottom w:val="none" w:sz="0" w:space="0" w:color="auto"/>
        <w:right w:val="none" w:sz="0" w:space="0" w:color="auto"/>
      </w:divBdr>
      <w:divsChild>
        <w:div w:id="69646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43985616">
      <w:bodyDiv w:val="1"/>
      <w:marLeft w:val="0"/>
      <w:marRight w:val="0"/>
      <w:marTop w:val="0"/>
      <w:marBottom w:val="0"/>
      <w:divBdr>
        <w:top w:val="none" w:sz="0" w:space="0" w:color="auto"/>
        <w:left w:val="none" w:sz="0" w:space="0" w:color="auto"/>
        <w:bottom w:val="none" w:sz="0" w:space="0" w:color="auto"/>
        <w:right w:val="none" w:sz="0" w:space="0" w:color="auto"/>
      </w:divBdr>
    </w:div>
    <w:div w:id="1797599725">
      <w:bodyDiv w:val="1"/>
      <w:marLeft w:val="0"/>
      <w:marRight w:val="0"/>
      <w:marTop w:val="0"/>
      <w:marBottom w:val="0"/>
      <w:divBdr>
        <w:top w:val="none" w:sz="0" w:space="0" w:color="auto"/>
        <w:left w:val="none" w:sz="0" w:space="0" w:color="auto"/>
        <w:bottom w:val="none" w:sz="0" w:space="0" w:color="auto"/>
        <w:right w:val="none" w:sz="0" w:space="0" w:color="auto"/>
      </w:divBdr>
    </w:div>
    <w:div w:id="1815759452">
      <w:bodyDiv w:val="1"/>
      <w:marLeft w:val="0"/>
      <w:marRight w:val="0"/>
      <w:marTop w:val="0"/>
      <w:marBottom w:val="0"/>
      <w:divBdr>
        <w:top w:val="none" w:sz="0" w:space="0" w:color="auto"/>
        <w:left w:val="none" w:sz="0" w:space="0" w:color="auto"/>
        <w:bottom w:val="none" w:sz="0" w:space="0" w:color="auto"/>
        <w:right w:val="none" w:sz="0" w:space="0" w:color="auto"/>
      </w:divBdr>
    </w:div>
    <w:div w:id="1910768651">
      <w:bodyDiv w:val="1"/>
      <w:marLeft w:val="0"/>
      <w:marRight w:val="0"/>
      <w:marTop w:val="0"/>
      <w:marBottom w:val="0"/>
      <w:divBdr>
        <w:top w:val="none" w:sz="0" w:space="0" w:color="auto"/>
        <w:left w:val="none" w:sz="0" w:space="0" w:color="auto"/>
        <w:bottom w:val="none" w:sz="0" w:space="0" w:color="auto"/>
        <w:right w:val="none" w:sz="0" w:space="0" w:color="auto"/>
      </w:divBdr>
      <w:divsChild>
        <w:div w:id="974334525">
          <w:marLeft w:val="0"/>
          <w:marRight w:val="0"/>
          <w:marTop w:val="0"/>
          <w:marBottom w:val="0"/>
          <w:divBdr>
            <w:top w:val="none" w:sz="0" w:space="0" w:color="auto"/>
            <w:left w:val="none" w:sz="0" w:space="0" w:color="auto"/>
            <w:bottom w:val="none" w:sz="0" w:space="0" w:color="auto"/>
            <w:right w:val="none" w:sz="0" w:space="0" w:color="auto"/>
          </w:divBdr>
          <w:divsChild>
            <w:div w:id="24672252">
              <w:marLeft w:val="0"/>
              <w:marRight w:val="0"/>
              <w:marTop w:val="0"/>
              <w:marBottom w:val="0"/>
              <w:divBdr>
                <w:top w:val="none" w:sz="0" w:space="0" w:color="auto"/>
                <w:left w:val="none" w:sz="0" w:space="0" w:color="auto"/>
                <w:bottom w:val="none" w:sz="0" w:space="0" w:color="auto"/>
                <w:right w:val="none" w:sz="0" w:space="0" w:color="auto"/>
              </w:divBdr>
              <w:divsChild>
                <w:div w:id="469713301">
                  <w:marLeft w:val="0"/>
                  <w:marRight w:val="0"/>
                  <w:marTop w:val="0"/>
                  <w:marBottom w:val="0"/>
                  <w:divBdr>
                    <w:top w:val="none" w:sz="0" w:space="0" w:color="auto"/>
                    <w:left w:val="none" w:sz="0" w:space="0" w:color="auto"/>
                    <w:bottom w:val="none" w:sz="0" w:space="0" w:color="auto"/>
                    <w:right w:val="none" w:sz="0" w:space="0" w:color="auto"/>
                  </w:divBdr>
                  <w:divsChild>
                    <w:div w:id="1807696888">
                      <w:marLeft w:val="0"/>
                      <w:marRight w:val="0"/>
                      <w:marTop w:val="300"/>
                      <w:marBottom w:val="1200"/>
                      <w:divBdr>
                        <w:top w:val="none" w:sz="0" w:space="0" w:color="auto"/>
                        <w:left w:val="none" w:sz="0" w:space="0" w:color="auto"/>
                        <w:bottom w:val="none" w:sz="0" w:space="0" w:color="auto"/>
                        <w:right w:val="none" w:sz="0" w:space="0" w:color="auto"/>
                      </w:divBdr>
                      <w:divsChild>
                        <w:div w:id="1859998575">
                          <w:marLeft w:val="0"/>
                          <w:marRight w:val="0"/>
                          <w:marTop w:val="0"/>
                          <w:marBottom w:val="0"/>
                          <w:divBdr>
                            <w:top w:val="none" w:sz="0" w:space="0" w:color="auto"/>
                            <w:left w:val="none" w:sz="0" w:space="0" w:color="auto"/>
                            <w:bottom w:val="none" w:sz="0" w:space="0" w:color="auto"/>
                            <w:right w:val="none" w:sz="0" w:space="0" w:color="auto"/>
                          </w:divBdr>
                          <w:divsChild>
                            <w:div w:id="611211456">
                              <w:marLeft w:val="0"/>
                              <w:marRight w:val="0"/>
                              <w:marTop w:val="0"/>
                              <w:marBottom w:val="0"/>
                              <w:divBdr>
                                <w:top w:val="none" w:sz="0" w:space="0" w:color="auto"/>
                                <w:left w:val="none" w:sz="0" w:space="0" w:color="auto"/>
                                <w:bottom w:val="none" w:sz="0" w:space="0" w:color="auto"/>
                                <w:right w:val="none" w:sz="0" w:space="0" w:color="auto"/>
                              </w:divBdr>
                              <w:divsChild>
                                <w:div w:id="369232430">
                                  <w:marLeft w:val="0"/>
                                  <w:marRight w:val="0"/>
                                  <w:marTop w:val="0"/>
                                  <w:marBottom w:val="0"/>
                                  <w:divBdr>
                                    <w:top w:val="none" w:sz="0" w:space="0" w:color="auto"/>
                                    <w:left w:val="none" w:sz="0" w:space="0" w:color="auto"/>
                                    <w:bottom w:val="none" w:sz="0" w:space="0" w:color="auto"/>
                                    <w:right w:val="none" w:sz="0" w:space="0" w:color="auto"/>
                                  </w:divBdr>
                                  <w:divsChild>
                                    <w:div w:id="265624598">
                                      <w:marLeft w:val="0"/>
                                      <w:marRight w:val="0"/>
                                      <w:marTop w:val="0"/>
                                      <w:marBottom w:val="0"/>
                                      <w:divBdr>
                                        <w:top w:val="none" w:sz="0" w:space="0" w:color="auto"/>
                                        <w:left w:val="none" w:sz="0" w:space="0" w:color="auto"/>
                                        <w:bottom w:val="none" w:sz="0" w:space="0" w:color="auto"/>
                                        <w:right w:val="none" w:sz="0" w:space="0" w:color="auto"/>
                                      </w:divBdr>
                                    </w:div>
                                    <w:div w:id="593517993">
                                      <w:marLeft w:val="0"/>
                                      <w:marRight w:val="0"/>
                                      <w:marTop w:val="0"/>
                                      <w:marBottom w:val="0"/>
                                      <w:divBdr>
                                        <w:top w:val="none" w:sz="0" w:space="0" w:color="auto"/>
                                        <w:left w:val="none" w:sz="0" w:space="0" w:color="auto"/>
                                        <w:bottom w:val="none" w:sz="0" w:space="0" w:color="auto"/>
                                        <w:right w:val="none" w:sz="0" w:space="0" w:color="auto"/>
                                      </w:divBdr>
                                    </w:div>
                                    <w:div w:id="807749352">
                                      <w:marLeft w:val="0"/>
                                      <w:marRight w:val="0"/>
                                      <w:marTop w:val="0"/>
                                      <w:marBottom w:val="0"/>
                                      <w:divBdr>
                                        <w:top w:val="none" w:sz="0" w:space="0" w:color="auto"/>
                                        <w:left w:val="none" w:sz="0" w:space="0" w:color="auto"/>
                                        <w:bottom w:val="none" w:sz="0" w:space="0" w:color="auto"/>
                                        <w:right w:val="none" w:sz="0" w:space="0" w:color="auto"/>
                                      </w:divBdr>
                                    </w:div>
                                    <w:div w:id="1261916288">
                                      <w:marLeft w:val="0"/>
                                      <w:marRight w:val="0"/>
                                      <w:marTop w:val="0"/>
                                      <w:marBottom w:val="0"/>
                                      <w:divBdr>
                                        <w:top w:val="none" w:sz="0" w:space="0" w:color="auto"/>
                                        <w:left w:val="none" w:sz="0" w:space="0" w:color="auto"/>
                                        <w:bottom w:val="none" w:sz="0" w:space="0" w:color="auto"/>
                                        <w:right w:val="none" w:sz="0" w:space="0" w:color="auto"/>
                                      </w:divBdr>
                                    </w:div>
                                    <w:div w:id="1407067376">
                                      <w:marLeft w:val="0"/>
                                      <w:marRight w:val="0"/>
                                      <w:marTop w:val="0"/>
                                      <w:marBottom w:val="0"/>
                                      <w:divBdr>
                                        <w:top w:val="none" w:sz="0" w:space="0" w:color="auto"/>
                                        <w:left w:val="none" w:sz="0" w:space="0" w:color="auto"/>
                                        <w:bottom w:val="none" w:sz="0" w:space="0" w:color="auto"/>
                                        <w:right w:val="none" w:sz="0" w:space="0" w:color="auto"/>
                                      </w:divBdr>
                                    </w:div>
                                    <w:div w:id="1434546137">
                                      <w:marLeft w:val="0"/>
                                      <w:marRight w:val="0"/>
                                      <w:marTop w:val="0"/>
                                      <w:marBottom w:val="0"/>
                                      <w:divBdr>
                                        <w:top w:val="none" w:sz="0" w:space="0" w:color="auto"/>
                                        <w:left w:val="none" w:sz="0" w:space="0" w:color="auto"/>
                                        <w:bottom w:val="none" w:sz="0" w:space="0" w:color="auto"/>
                                        <w:right w:val="none" w:sz="0" w:space="0" w:color="auto"/>
                                      </w:divBdr>
                                    </w:div>
                                    <w:div w:id="1461652133">
                                      <w:marLeft w:val="0"/>
                                      <w:marRight w:val="0"/>
                                      <w:marTop w:val="0"/>
                                      <w:marBottom w:val="0"/>
                                      <w:divBdr>
                                        <w:top w:val="none" w:sz="0" w:space="0" w:color="auto"/>
                                        <w:left w:val="none" w:sz="0" w:space="0" w:color="auto"/>
                                        <w:bottom w:val="none" w:sz="0" w:space="0" w:color="auto"/>
                                        <w:right w:val="none" w:sz="0" w:space="0" w:color="auto"/>
                                      </w:divBdr>
                                    </w:div>
                                    <w:div w:id="14669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496320">
      <w:bodyDiv w:val="1"/>
      <w:marLeft w:val="0"/>
      <w:marRight w:val="0"/>
      <w:marTop w:val="0"/>
      <w:marBottom w:val="0"/>
      <w:divBdr>
        <w:top w:val="none" w:sz="0" w:space="0" w:color="auto"/>
        <w:left w:val="none" w:sz="0" w:space="0" w:color="auto"/>
        <w:bottom w:val="none" w:sz="0" w:space="0" w:color="auto"/>
        <w:right w:val="none" w:sz="0" w:space="0" w:color="auto"/>
      </w:divBdr>
      <w:divsChild>
        <w:div w:id="268246148">
          <w:marLeft w:val="0"/>
          <w:marRight w:val="0"/>
          <w:marTop w:val="0"/>
          <w:marBottom w:val="0"/>
          <w:divBdr>
            <w:top w:val="none" w:sz="0" w:space="0" w:color="auto"/>
            <w:left w:val="none" w:sz="0" w:space="0" w:color="auto"/>
            <w:bottom w:val="none" w:sz="0" w:space="0" w:color="auto"/>
            <w:right w:val="none" w:sz="0" w:space="0" w:color="auto"/>
          </w:divBdr>
          <w:divsChild>
            <w:div w:id="724446805">
              <w:marLeft w:val="0"/>
              <w:marRight w:val="0"/>
              <w:marTop w:val="0"/>
              <w:marBottom w:val="0"/>
              <w:divBdr>
                <w:top w:val="none" w:sz="0" w:space="0" w:color="auto"/>
                <w:left w:val="none" w:sz="0" w:space="0" w:color="auto"/>
                <w:bottom w:val="none" w:sz="0" w:space="0" w:color="auto"/>
                <w:right w:val="none" w:sz="0" w:space="0" w:color="auto"/>
              </w:divBdr>
              <w:divsChild>
                <w:div w:id="1352025271">
                  <w:marLeft w:val="0"/>
                  <w:marRight w:val="0"/>
                  <w:marTop w:val="0"/>
                  <w:marBottom w:val="0"/>
                  <w:divBdr>
                    <w:top w:val="none" w:sz="0" w:space="0" w:color="auto"/>
                    <w:left w:val="none" w:sz="0" w:space="0" w:color="auto"/>
                    <w:bottom w:val="none" w:sz="0" w:space="0" w:color="auto"/>
                    <w:right w:val="none" w:sz="0" w:space="0" w:color="auto"/>
                  </w:divBdr>
                  <w:divsChild>
                    <w:div w:id="1179925046">
                      <w:marLeft w:val="0"/>
                      <w:marRight w:val="0"/>
                      <w:marTop w:val="300"/>
                      <w:marBottom w:val="1200"/>
                      <w:divBdr>
                        <w:top w:val="none" w:sz="0" w:space="0" w:color="auto"/>
                        <w:left w:val="none" w:sz="0" w:space="0" w:color="auto"/>
                        <w:bottom w:val="none" w:sz="0" w:space="0" w:color="auto"/>
                        <w:right w:val="none" w:sz="0" w:space="0" w:color="auto"/>
                      </w:divBdr>
                      <w:divsChild>
                        <w:div w:id="1149058734">
                          <w:marLeft w:val="0"/>
                          <w:marRight w:val="0"/>
                          <w:marTop w:val="0"/>
                          <w:marBottom w:val="0"/>
                          <w:divBdr>
                            <w:top w:val="none" w:sz="0" w:space="0" w:color="auto"/>
                            <w:left w:val="none" w:sz="0" w:space="0" w:color="auto"/>
                            <w:bottom w:val="none" w:sz="0" w:space="0" w:color="auto"/>
                            <w:right w:val="none" w:sz="0" w:space="0" w:color="auto"/>
                          </w:divBdr>
                          <w:divsChild>
                            <w:div w:id="1221096708">
                              <w:marLeft w:val="0"/>
                              <w:marRight w:val="0"/>
                              <w:marTop w:val="0"/>
                              <w:marBottom w:val="0"/>
                              <w:divBdr>
                                <w:top w:val="none" w:sz="0" w:space="0" w:color="auto"/>
                                <w:left w:val="none" w:sz="0" w:space="0" w:color="auto"/>
                                <w:bottom w:val="none" w:sz="0" w:space="0" w:color="auto"/>
                                <w:right w:val="none" w:sz="0" w:space="0" w:color="auto"/>
                              </w:divBdr>
                              <w:divsChild>
                                <w:div w:id="1853521143">
                                  <w:marLeft w:val="0"/>
                                  <w:marRight w:val="0"/>
                                  <w:marTop w:val="0"/>
                                  <w:marBottom w:val="0"/>
                                  <w:divBdr>
                                    <w:top w:val="none" w:sz="0" w:space="0" w:color="auto"/>
                                    <w:left w:val="none" w:sz="0" w:space="0" w:color="auto"/>
                                    <w:bottom w:val="none" w:sz="0" w:space="0" w:color="auto"/>
                                    <w:right w:val="none" w:sz="0" w:space="0" w:color="auto"/>
                                  </w:divBdr>
                                  <w:divsChild>
                                    <w:div w:id="789588834">
                                      <w:marLeft w:val="0"/>
                                      <w:marRight w:val="0"/>
                                      <w:marTop w:val="0"/>
                                      <w:marBottom w:val="0"/>
                                      <w:divBdr>
                                        <w:top w:val="none" w:sz="0" w:space="0" w:color="auto"/>
                                        <w:left w:val="none" w:sz="0" w:space="0" w:color="auto"/>
                                        <w:bottom w:val="none" w:sz="0" w:space="0" w:color="auto"/>
                                        <w:right w:val="none" w:sz="0" w:space="0" w:color="auto"/>
                                      </w:divBdr>
                                    </w:div>
                                    <w:div w:id="16285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6282">
      <w:bodyDiv w:val="1"/>
      <w:marLeft w:val="0"/>
      <w:marRight w:val="0"/>
      <w:marTop w:val="0"/>
      <w:marBottom w:val="0"/>
      <w:divBdr>
        <w:top w:val="none" w:sz="0" w:space="0" w:color="auto"/>
        <w:left w:val="none" w:sz="0" w:space="0" w:color="auto"/>
        <w:bottom w:val="none" w:sz="0" w:space="0" w:color="auto"/>
        <w:right w:val="none" w:sz="0" w:space="0" w:color="auto"/>
      </w:divBdr>
    </w:div>
    <w:div w:id="1990787527">
      <w:bodyDiv w:val="1"/>
      <w:marLeft w:val="0"/>
      <w:marRight w:val="0"/>
      <w:marTop w:val="0"/>
      <w:marBottom w:val="0"/>
      <w:divBdr>
        <w:top w:val="none" w:sz="0" w:space="0" w:color="auto"/>
        <w:left w:val="none" w:sz="0" w:space="0" w:color="auto"/>
        <w:bottom w:val="none" w:sz="0" w:space="0" w:color="auto"/>
        <w:right w:val="none" w:sz="0" w:space="0" w:color="auto"/>
      </w:divBdr>
    </w:div>
    <w:div w:id="2042898145">
      <w:bodyDiv w:val="1"/>
      <w:marLeft w:val="0"/>
      <w:marRight w:val="0"/>
      <w:marTop w:val="0"/>
      <w:marBottom w:val="0"/>
      <w:divBdr>
        <w:top w:val="none" w:sz="0" w:space="0" w:color="auto"/>
        <w:left w:val="none" w:sz="0" w:space="0" w:color="auto"/>
        <w:bottom w:val="none" w:sz="0" w:space="0" w:color="auto"/>
        <w:right w:val="none" w:sz="0" w:space="0" w:color="auto"/>
      </w:divBdr>
    </w:div>
    <w:div w:id="2077849674">
      <w:bodyDiv w:val="1"/>
      <w:marLeft w:val="0"/>
      <w:marRight w:val="0"/>
      <w:marTop w:val="0"/>
      <w:marBottom w:val="0"/>
      <w:divBdr>
        <w:top w:val="none" w:sz="0" w:space="0" w:color="auto"/>
        <w:left w:val="none" w:sz="0" w:space="0" w:color="auto"/>
        <w:bottom w:val="none" w:sz="0" w:space="0" w:color="auto"/>
        <w:right w:val="none" w:sz="0" w:space="0" w:color="auto"/>
      </w:divBdr>
    </w:div>
    <w:div w:id="2107647766">
      <w:bodyDiv w:val="1"/>
      <w:marLeft w:val="0"/>
      <w:marRight w:val="0"/>
      <w:marTop w:val="0"/>
      <w:marBottom w:val="0"/>
      <w:divBdr>
        <w:top w:val="none" w:sz="0" w:space="0" w:color="auto"/>
        <w:left w:val="none" w:sz="0" w:space="0" w:color="auto"/>
        <w:bottom w:val="none" w:sz="0" w:space="0" w:color="auto"/>
        <w:right w:val="none" w:sz="0" w:space="0" w:color="auto"/>
      </w:divBdr>
    </w:div>
    <w:div w:id="2135899287">
      <w:bodyDiv w:val="1"/>
      <w:marLeft w:val="0"/>
      <w:marRight w:val="0"/>
      <w:marTop w:val="0"/>
      <w:marBottom w:val="0"/>
      <w:divBdr>
        <w:top w:val="none" w:sz="0" w:space="0" w:color="auto"/>
        <w:left w:val="none" w:sz="0" w:space="0" w:color="auto"/>
        <w:bottom w:val="none" w:sz="0" w:space="0" w:color="auto"/>
        <w:right w:val="none" w:sz="0" w:space="0" w:color="auto"/>
      </w:divBdr>
    </w:div>
    <w:div w:id="214056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6L0112:20100115:LV:HTML" TargetMode="External"/><Relationship Id="rId13" Type="http://schemas.openxmlformats.org/officeDocument/2006/relationships/hyperlink" Target="https://www.fm.gov.lv/lv/sabiedribas_lidzdaliba/tiesibu_aktu_projekti/nodoklu_politik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_impl/2011/282/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3451-pievienotas-vertibas-nodokla-likums" TargetMode="External"/><Relationship Id="rId5" Type="http://schemas.openxmlformats.org/officeDocument/2006/relationships/webSettings" Target="webSettings.xml"/><Relationship Id="rId15" Type="http://schemas.openxmlformats.org/officeDocument/2006/relationships/hyperlink" Target="mailto:%20jelena.kuhalska@fm.gov.lv" TargetMode="External"/><Relationship Id="rId10" Type="http://schemas.openxmlformats.org/officeDocument/2006/relationships/hyperlink" Target="http://eur-lex.europa.eu/eli/reg/2010/904/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3451-pievienotas-vertibas-nodokla-likums" TargetMode="External"/><Relationship Id="rId14" Type="http://schemas.openxmlformats.org/officeDocument/2006/relationships/hyperlink" Target="https://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E62F-3C9C-49A0-9375-F0262423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47200</Words>
  <Characters>26904</Characters>
  <Application>Microsoft Office Word</Application>
  <DocSecurity>0</DocSecurity>
  <Lines>224</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Likumporjekta "Grozījumi Pievienotās vērtības nodokļa likumā" sākotnējās ietekmes novērtējuma ziņojums (anotācija)</vt:lpstr>
      <vt:lpstr>Anotācija likumprojektam "Grozījumi likumā "Par pievienotās vērtības nodokli""</vt:lpstr>
    </vt:vector>
  </TitlesOfParts>
  <Company>Finanšu ministrija</Company>
  <LinksUpToDate>false</LinksUpToDate>
  <CharactersWithSpaces>73957</CharactersWithSpaces>
  <SharedDoc>false</SharedDoc>
  <HLinks>
    <vt:vector size="6" baseType="variant">
      <vt:variant>
        <vt:i4>7340153</vt:i4>
      </vt:variant>
      <vt:variant>
        <vt:i4>0</vt:i4>
      </vt:variant>
      <vt:variant>
        <vt:i4>0</vt:i4>
      </vt:variant>
      <vt:variant>
        <vt:i4>5</vt:i4>
      </vt:variant>
      <vt:variant>
        <vt:lpwstr>https://mk.gov.lv/content/ministru-kabineta-diskusiju-dokumenti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Likumporjekta "Grozījumi Pievienotās vērtības nodokļa likumā" sākotnējās ietekmes novērtējuma ziņojums (anotācija)</dc:title>
  <dc:subject>Anotācija</dc:subject>
  <dc:creator>Jeļena Kuhaļska</dc:creator>
  <cp:keywords/>
  <dc:description>67083849_x000d_
Jelena.Kuhalska@fm.gov.lv</dc:description>
  <cp:lastModifiedBy>Sandra Rocena</cp:lastModifiedBy>
  <cp:revision>6</cp:revision>
  <cp:lastPrinted>2017-11-14T14:43:00Z</cp:lastPrinted>
  <dcterms:created xsi:type="dcterms:W3CDTF">2020-05-28T11:03:00Z</dcterms:created>
  <dcterms:modified xsi:type="dcterms:W3CDTF">2020-06-11T08:02:00Z</dcterms:modified>
</cp:coreProperties>
</file>