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4C0DE2C8" w:rsidR="00681E25" w:rsidRDefault="00920A52" w:rsidP="00920A52">
      <w:pPr>
        <w:jc w:val="center"/>
        <w:rPr>
          <w:b/>
          <w:sz w:val="26"/>
          <w:szCs w:val="26"/>
        </w:rPr>
      </w:pPr>
      <w:bookmarkStart w:id="0" w:name="OLE_LINK3"/>
      <w:bookmarkStart w:id="1" w:name="OLE_LINK4"/>
      <w:bookmarkStart w:id="2" w:name="OLE_LINK1"/>
      <w:bookmarkStart w:id="3" w:name="_GoBack"/>
      <w:bookmarkEnd w:id="3"/>
      <w:r w:rsidRPr="00920A52">
        <w:rPr>
          <w:b/>
          <w:sz w:val="26"/>
          <w:szCs w:val="26"/>
        </w:rPr>
        <w:t>Minis</w:t>
      </w:r>
      <w:r w:rsidR="00113533">
        <w:rPr>
          <w:b/>
          <w:sz w:val="26"/>
          <w:szCs w:val="26"/>
        </w:rPr>
        <w:t>tru kabineta rīkojuma projekta „</w:t>
      </w:r>
      <w:r w:rsidR="00ED01CB" w:rsidRPr="00ED01CB">
        <w:rPr>
          <w:b/>
          <w:sz w:val="26"/>
          <w:szCs w:val="26"/>
        </w:rPr>
        <w:t>Par prioritārajam pasākumam „Papildu investīcijas valsts nozīmes sporta infrastruktūras attīstības projektu īstenošanai” paredzētā finansējuma sadalījumu 2020. gadā</w:t>
      </w:r>
      <w:r w:rsidRPr="00920A52">
        <w:rPr>
          <w:b/>
          <w:sz w:val="26"/>
          <w:szCs w:val="26"/>
        </w:rPr>
        <w:t>” sākotnējās ietekmes novērtējuma ziņojums (anotācija)</w:t>
      </w:r>
    </w:p>
    <w:p w14:paraId="4E59E4F2" w14:textId="77777777" w:rsidR="00761B03"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317B6A" w14:paraId="43EC8E26" w14:textId="77777777" w:rsidTr="00DB6D8A">
        <w:tc>
          <w:tcPr>
            <w:tcW w:w="10060" w:type="dxa"/>
            <w:gridSpan w:val="2"/>
            <w:vAlign w:val="center"/>
          </w:tcPr>
          <w:p w14:paraId="69B0EFCD" w14:textId="77777777" w:rsidR="00717D4B" w:rsidRPr="00317B6A" w:rsidRDefault="00717D4B" w:rsidP="001B2A96">
            <w:pPr>
              <w:pStyle w:val="naisnod"/>
              <w:spacing w:before="0" w:after="0"/>
            </w:pPr>
            <w:r w:rsidRPr="00717D4B">
              <w:t>Tiesību akta projekta anotācijas kopsavilkums</w:t>
            </w:r>
          </w:p>
        </w:tc>
      </w:tr>
      <w:tr w:rsidR="00667437" w:rsidRPr="00317B6A" w14:paraId="1F5874AC" w14:textId="77777777" w:rsidTr="00DB6D8A">
        <w:trPr>
          <w:trHeight w:val="476"/>
        </w:trPr>
        <w:tc>
          <w:tcPr>
            <w:tcW w:w="2547" w:type="dxa"/>
            <w:tcBorders>
              <w:bottom w:val="single" w:sz="4" w:space="0" w:color="auto"/>
            </w:tcBorders>
          </w:tcPr>
          <w:p w14:paraId="65161940" w14:textId="387F3FA4" w:rsidR="00667437" w:rsidRPr="00317B6A" w:rsidRDefault="00A67C41" w:rsidP="00667437">
            <w:pPr>
              <w:pStyle w:val="naiskr"/>
              <w:spacing w:before="0" w:after="0"/>
              <w:ind w:left="141"/>
            </w:pPr>
            <w:r w:rsidRPr="00A67C41">
              <w:t>Mērķis, risinājums un projekta spēkā stāšanās laiks (500 zīmes bez atstarpēm)</w:t>
            </w:r>
          </w:p>
        </w:tc>
        <w:tc>
          <w:tcPr>
            <w:tcW w:w="7513" w:type="dxa"/>
            <w:tcBorders>
              <w:bottom w:val="single" w:sz="4" w:space="0" w:color="auto"/>
            </w:tcBorders>
          </w:tcPr>
          <w:p w14:paraId="1BD3971A" w14:textId="67E9819C" w:rsidR="00032A0F" w:rsidRPr="00317B6A" w:rsidRDefault="00032A0F" w:rsidP="008860FC">
            <w:pPr>
              <w:ind w:left="82" w:right="141"/>
              <w:jc w:val="both"/>
            </w:pPr>
            <w:r>
              <w:t xml:space="preserve">Projekts paredz </w:t>
            </w:r>
            <w:r w:rsidR="001E0BD2">
              <w:t xml:space="preserve">apstiprināt </w:t>
            </w:r>
            <w:r w:rsidR="001E0BD2" w:rsidRPr="001E0BD2">
              <w:t>20</w:t>
            </w:r>
            <w:r w:rsidR="001A6D57">
              <w:t>20</w:t>
            </w:r>
            <w:r w:rsidR="001E0BD2" w:rsidRPr="001E0BD2">
              <w:t>.</w:t>
            </w:r>
            <w:r w:rsidR="001A6D57">
              <w:t> </w:t>
            </w:r>
            <w:r w:rsidR="001E0BD2" w:rsidRPr="001E0BD2">
              <w:t>gad</w:t>
            </w:r>
            <w:r w:rsidR="001E0BD2">
              <w:t xml:space="preserve">a </w:t>
            </w:r>
            <w:r w:rsidR="001E0BD2" w:rsidRPr="001E0BD2">
              <w:t>Izglītības un zinātnes ministrijas valsts budžeta programmas 09.00.00 „Sports” apakšprogrammā 09.04.00 „Sporta būves” prioritārajam pasākumam „Papildu investīcijas valsts nozīmes sporta infrastruktūras attīstības projektu īstenošanai” paredzēt</w:t>
            </w:r>
            <w:r w:rsidR="001E0BD2">
              <w:t xml:space="preserve">ā finansējuma sadalījumu. Finansējums </w:t>
            </w:r>
            <w:r w:rsidR="001A6D57">
              <w:t>2</w:t>
            </w:r>
            <w:r w:rsidR="00A67C41">
              <w:t> </w:t>
            </w:r>
            <w:r w:rsidR="001A6D57">
              <w:t>602</w:t>
            </w:r>
            <w:r w:rsidR="00A67C41">
              <w:t xml:space="preserve"> </w:t>
            </w:r>
            <w:r w:rsidR="00F106E0">
              <w:t xml:space="preserve">000 </w:t>
            </w:r>
            <w:r w:rsidR="00F106E0" w:rsidRPr="001E0BD2">
              <w:rPr>
                <w:i/>
              </w:rPr>
              <w:t>euro</w:t>
            </w:r>
            <w:r w:rsidR="00F106E0">
              <w:t xml:space="preserve"> apmērā </w:t>
            </w:r>
            <w:r w:rsidR="001E0BD2">
              <w:t xml:space="preserve">tiks novirzīts </w:t>
            </w:r>
            <w:r w:rsidR="008860FC">
              <w:t>piecu</w:t>
            </w:r>
            <w:r w:rsidR="001E0BD2">
              <w:t xml:space="preserve"> </w:t>
            </w:r>
            <w:r w:rsidR="00A67C41">
              <w:t>valsts pārvaldībā esošu sporta bāzu attīstībai.</w:t>
            </w:r>
          </w:p>
        </w:tc>
      </w:tr>
    </w:tbl>
    <w:p w14:paraId="1F80B51E" w14:textId="77777777" w:rsidR="00717D4B" w:rsidRPr="00920A52"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614"/>
      </w:tblGrid>
      <w:tr w:rsidR="00585B7B" w:rsidRPr="00317B6A" w14:paraId="49F7013D" w14:textId="77777777" w:rsidTr="00DB6D8A">
        <w:tc>
          <w:tcPr>
            <w:tcW w:w="10060" w:type="dxa"/>
            <w:gridSpan w:val="3"/>
            <w:vAlign w:val="center"/>
          </w:tcPr>
          <w:bookmarkEnd w:id="0"/>
          <w:bookmarkEnd w:id="1"/>
          <w:bookmarkEnd w:id="2"/>
          <w:p w14:paraId="27B0F014" w14:textId="77777777" w:rsidR="00585B7B" w:rsidRPr="00317B6A" w:rsidRDefault="00585B7B" w:rsidP="00194A0F">
            <w:pPr>
              <w:pStyle w:val="naisnod"/>
              <w:spacing w:before="0" w:after="0"/>
            </w:pPr>
            <w:r w:rsidRPr="00317B6A">
              <w:t>I. Tiesību akta projekta izstrādes nepieciešamība</w:t>
            </w:r>
          </w:p>
        </w:tc>
      </w:tr>
      <w:tr w:rsidR="00585B7B" w:rsidRPr="00B24229" w14:paraId="1B27C5D4" w14:textId="77777777" w:rsidTr="00DB6D8A">
        <w:trPr>
          <w:trHeight w:val="630"/>
        </w:trPr>
        <w:tc>
          <w:tcPr>
            <w:tcW w:w="562" w:type="dxa"/>
          </w:tcPr>
          <w:p w14:paraId="23F75010" w14:textId="77777777" w:rsidR="00585B7B" w:rsidRPr="00B24229" w:rsidRDefault="00585B7B" w:rsidP="00BD696A">
            <w:pPr>
              <w:pStyle w:val="naiskr"/>
              <w:spacing w:before="0" w:after="0"/>
              <w:jc w:val="center"/>
            </w:pPr>
            <w:r w:rsidRPr="00B24229">
              <w:t>1.</w:t>
            </w:r>
          </w:p>
        </w:tc>
        <w:tc>
          <w:tcPr>
            <w:tcW w:w="1884" w:type="dxa"/>
          </w:tcPr>
          <w:p w14:paraId="61C7338D" w14:textId="3B25BEC8" w:rsidR="00ED01CB" w:rsidRDefault="00585B7B" w:rsidP="00B33243">
            <w:pPr>
              <w:pStyle w:val="naiskr"/>
              <w:tabs>
                <w:tab w:val="right" w:pos="2537"/>
              </w:tabs>
              <w:spacing w:before="0" w:after="0"/>
              <w:ind w:left="141" w:hanging="10"/>
            </w:pPr>
            <w:r w:rsidRPr="00B24229">
              <w:t>Pamatojums</w:t>
            </w:r>
            <w:r w:rsidR="00B33243">
              <w:tab/>
            </w:r>
          </w:p>
          <w:p w14:paraId="34EB22D4" w14:textId="77777777" w:rsidR="00ED01CB" w:rsidRPr="00ED01CB" w:rsidRDefault="00ED01CB" w:rsidP="00ED01CB"/>
          <w:p w14:paraId="1CA5BA33" w14:textId="77777777" w:rsidR="00ED01CB" w:rsidRPr="00ED01CB" w:rsidRDefault="00ED01CB" w:rsidP="00ED01CB"/>
          <w:p w14:paraId="15AFB181" w14:textId="77777777" w:rsidR="00ED01CB" w:rsidRPr="00ED01CB" w:rsidRDefault="00ED01CB" w:rsidP="00ED01CB"/>
          <w:p w14:paraId="3214E29D" w14:textId="10395172" w:rsidR="00ED01CB" w:rsidRDefault="00ED01CB" w:rsidP="00ED01CB"/>
          <w:p w14:paraId="01F64302" w14:textId="77777777" w:rsidR="00585B7B" w:rsidRPr="00ED01CB" w:rsidRDefault="00585B7B" w:rsidP="00ED01CB">
            <w:pPr>
              <w:jc w:val="center"/>
            </w:pPr>
          </w:p>
        </w:tc>
        <w:tc>
          <w:tcPr>
            <w:tcW w:w="7614" w:type="dxa"/>
          </w:tcPr>
          <w:p w14:paraId="32119BD7" w14:textId="42C10D6F" w:rsidR="00D8583F" w:rsidRDefault="00D8583F" w:rsidP="00DB6D8A">
            <w:pPr>
              <w:pStyle w:val="ListParagraph"/>
              <w:numPr>
                <w:ilvl w:val="0"/>
                <w:numId w:val="26"/>
              </w:numPr>
              <w:ind w:left="461" w:right="142"/>
              <w:jc w:val="both"/>
            </w:pPr>
            <w:r w:rsidRPr="00D8583F">
              <w:t>Ministru kabineta 2017.</w:t>
            </w:r>
            <w:r w:rsidR="00F4110D">
              <w:t xml:space="preserve"> </w:t>
            </w:r>
            <w:r w:rsidRPr="00D8583F">
              <w:t>gada 14.</w:t>
            </w:r>
            <w:r w:rsidR="00F4110D">
              <w:t xml:space="preserve"> </w:t>
            </w:r>
            <w:r w:rsidRPr="00D8583F">
              <w:t>septembra sēdes protokollēmuma „Informatīvais ziņojums „Par fiskālās telpas pasākumiem un izdevumiem prioritārajiem pasākumiem valsts budžetam 2018.gadam un ietvaram 2018.–2020.</w:t>
            </w:r>
            <w:r w:rsidR="00B0087D">
              <w:t xml:space="preserve"> </w:t>
            </w:r>
            <w:r w:rsidRPr="00D8583F">
              <w:t>gadam”” (prot. Nr.46 3.§.) 4.</w:t>
            </w:r>
            <w:r w:rsidR="00F4110D">
              <w:t xml:space="preserve"> </w:t>
            </w:r>
            <w:r w:rsidRPr="00D8583F">
              <w:t>punkt</w:t>
            </w:r>
            <w:r>
              <w:t>s</w:t>
            </w:r>
            <w:r w:rsidR="00AA3148">
              <w:t>.</w:t>
            </w:r>
          </w:p>
          <w:p w14:paraId="2109AAE0" w14:textId="6DEFF1B0" w:rsidR="00AF54E9" w:rsidRDefault="00F4110D" w:rsidP="00DB6D8A">
            <w:pPr>
              <w:pStyle w:val="ListParagraph"/>
              <w:numPr>
                <w:ilvl w:val="0"/>
                <w:numId w:val="26"/>
              </w:numPr>
              <w:ind w:left="461" w:right="142"/>
              <w:jc w:val="both"/>
            </w:pPr>
            <w:r>
              <w:t>Izglītības un zinātnes ministrijas</w:t>
            </w:r>
            <w:r w:rsidR="000F1EEC">
              <w:t xml:space="preserve"> (turpmāk – IZM)</w:t>
            </w:r>
            <w:r>
              <w:t xml:space="preserve"> iniciatīva.</w:t>
            </w:r>
          </w:p>
          <w:p w14:paraId="5DC99FD5" w14:textId="1C22F8F3" w:rsidR="000579E3" w:rsidRDefault="000579E3" w:rsidP="000579E3">
            <w:pPr>
              <w:pStyle w:val="ListParagraph"/>
              <w:numPr>
                <w:ilvl w:val="0"/>
                <w:numId w:val="26"/>
              </w:numPr>
              <w:ind w:right="142"/>
              <w:jc w:val="both"/>
            </w:pPr>
            <w:r w:rsidRPr="000579E3">
              <w:t xml:space="preserve">Latvijas Nacionālās sporta padomes 2020. gada 17. jūnija sēdē (prot Nr.2 </w:t>
            </w:r>
            <w:r>
              <w:t>5</w:t>
            </w:r>
            <w:r w:rsidRPr="000579E3">
              <w:t xml:space="preserve">.§, </w:t>
            </w:r>
            <w:r>
              <w:t>5</w:t>
            </w:r>
            <w:r w:rsidRPr="000579E3">
              <w:t>.2. apakšpunkts) nolemtais.</w:t>
            </w:r>
          </w:p>
          <w:p w14:paraId="689444FE" w14:textId="699B97BA" w:rsidR="002C76A3" w:rsidRPr="00B24229" w:rsidRDefault="002C76A3" w:rsidP="00DB6D8A">
            <w:pPr>
              <w:pStyle w:val="ListParagraph"/>
              <w:numPr>
                <w:ilvl w:val="0"/>
                <w:numId w:val="26"/>
              </w:numPr>
              <w:ind w:left="461" w:right="142"/>
              <w:jc w:val="both"/>
            </w:pPr>
            <w:r>
              <w:t>Nepieciešamība nodrošināt  valsts pārvaldībā esošu sporta bāzu attīstību.</w:t>
            </w:r>
          </w:p>
        </w:tc>
      </w:tr>
      <w:tr w:rsidR="00585B7B" w:rsidRPr="00317B6A" w14:paraId="4917C93B" w14:textId="77777777" w:rsidTr="007E0148">
        <w:trPr>
          <w:trHeight w:val="562"/>
        </w:trPr>
        <w:tc>
          <w:tcPr>
            <w:tcW w:w="562" w:type="dxa"/>
          </w:tcPr>
          <w:p w14:paraId="5FDD0BAA" w14:textId="77777777" w:rsidR="00585B7B" w:rsidRPr="00317B6A" w:rsidRDefault="00585B7B" w:rsidP="00BD696A">
            <w:pPr>
              <w:pStyle w:val="naiskr"/>
              <w:spacing w:before="0" w:after="0"/>
              <w:jc w:val="center"/>
            </w:pPr>
            <w:r w:rsidRPr="00317B6A">
              <w:t>2.</w:t>
            </w:r>
          </w:p>
        </w:tc>
        <w:tc>
          <w:tcPr>
            <w:tcW w:w="1884" w:type="dxa"/>
          </w:tcPr>
          <w:p w14:paraId="3E1554B2" w14:textId="77777777"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14:paraId="535F05A2" w14:textId="77777777" w:rsidR="00955825" w:rsidRDefault="00955825" w:rsidP="00955825"/>
          <w:p w14:paraId="7F67F0F0" w14:textId="77777777" w:rsidR="00585B7B" w:rsidRPr="00955825" w:rsidRDefault="00585B7B" w:rsidP="00955825">
            <w:pPr>
              <w:ind w:firstLine="720"/>
            </w:pPr>
          </w:p>
        </w:tc>
        <w:tc>
          <w:tcPr>
            <w:tcW w:w="7614" w:type="dxa"/>
          </w:tcPr>
          <w:p w14:paraId="51932644" w14:textId="7A7637B2" w:rsidR="001B2A96" w:rsidRDefault="008134F6" w:rsidP="007E0148">
            <w:pPr>
              <w:ind w:left="141" w:right="142" w:firstLine="567"/>
              <w:jc w:val="both"/>
            </w:pPr>
            <w:r>
              <w:t xml:space="preserve">Viens no </w:t>
            </w:r>
            <w:r w:rsidRPr="00874652">
              <w:t xml:space="preserve"> Sporta</w:t>
            </w:r>
            <w:r w:rsidR="005C628A">
              <w:t xml:space="preserve"> politikas pamatnostādnēs 2014.</w:t>
            </w:r>
            <w:r w:rsidRPr="00874652">
              <w:t>–2020.gadam</w:t>
            </w:r>
            <w:r>
              <w:t xml:space="preserve"> (apstiprinātas ar Ministru kabineta 2013.</w:t>
            </w:r>
            <w:r w:rsidR="000F1EEC">
              <w:t xml:space="preserve"> </w:t>
            </w:r>
            <w:r>
              <w:t>gada 18.</w:t>
            </w:r>
            <w:r w:rsidR="000F1EEC">
              <w:t xml:space="preserve"> </w:t>
            </w:r>
            <w:r>
              <w:t>decembra rīkojumu Nr.666) definētajiem sporta politikas apakšmērķiem ir s</w:t>
            </w:r>
            <w:r w:rsidRPr="005B7F49">
              <w:t>ekmēt sporta infrastruktūras pieejamību un attīstību.</w:t>
            </w:r>
            <w:r>
              <w:t xml:space="preserve"> Piemērotas sporta infrastruktūra esamība ir viens no būtiskākajiem priekšnoteikumiem visu četru </w:t>
            </w:r>
            <w:r w:rsidRPr="00874652">
              <w:t>Sporta politikas pamatnostādnēs 2014.–2020.gadam</w:t>
            </w:r>
            <w:r>
              <w:t xml:space="preserve"> definēto sporta politikas virzienu – Bērnu un jauniešu sporta,  Sporta visiem (Tautas sporta),  Augstu sasniegumu sporta un Pielāgotā sporta – attīstībai. </w:t>
            </w:r>
            <w:r w:rsidR="00874652">
              <w:t>Pēdējos gados valsts mērķtiecīgi atbalsta valsts nozīmes sporta infrastruktūras projektu īstenošanu pašvaldīb</w:t>
            </w:r>
            <w:r>
              <w:t>ās</w:t>
            </w:r>
            <w:r w:rsidR="00B47AA8">
              <w:t>, kā arī atbalstot atsevišķu valsts sporta bāzu attīstību</w:t>
            </w:r>
            <w:r w:rsidR="006411CB">
              <w:t>, piešķirot līdzfinansējumu vairāku visai sporta nozarei būtisku sporta infrastruktūras projektu īstenošanai.</w:t>
            </w:r>
          </w:p>
          <w:p w14:paraId="67EF1A07" w14:textId="1E1254C1" w:rsidR="00B812B9" w:rsidRDefault="00504DBC" w:rsidP="007E0148">
            <w:pPr>
              <w:ind w:left="141" w:right="142" w:firstLine="567"/>
              <w:jc w:val="both"/>
            </w:pPr>
            <w:r w:rsidRPr="00504DBC">
              <w:t>2020.</w:t>
            </w:r>
            <w:r w:rsidR="000F1EEC">
              <w:t xml:space="preserve"> </w:t>
            </w:r>
            <w:r w:rsidRPr="00504DBC">
              <w:t>gada valsts budžetā iezīmētais mērķfinansējums investīcijām valsts nozīmes sporta infrastruktūras attīstības projektiem saskaņā ar Ministr</w:t>
            </w:r>
            <w:r>
              <w:t>u kabineta un Saeimas lēmumiem ir</w:t>
            </w:r>
            <w:r w:rsidR="00DB6D8A">
              <w:t xml:space="preserve"> </w:t>
            </w:r>
            <w:r>
              <w:t xml:space="preserve">5 100 000 </w:t>
            </w:r>
            <w:r w:rsidRPr="000F1EEC">
              <w:rPr>
                <w:i/>
              </w:rPr>
              <w:t>euro</w:t>
            </w:r>
            <w:r>
              <w:t xml:space="preserve">. </w:t>
            </w:r>
            <w:r w:rsidR="00A13132">
              <w:t>IZM</w:t>
            </w:r>
            <w:r w:rsidR="001B2A96">
              <w:t xml:space="preserve"> valsts budžeta programmas 09.00.00 „Sports” apakšprogrammā 09.04.00 „Sporta būves” </w:t>
            </w:r>
            <w:r w:rsidR="00EF4498">
              <w:t xml:space="preserve">saskaņā ar iepriekšējos gados pieņemtajiem Ministru kabineta un Saeimas lēmumiem </w:t>
            </w:r>
            <w:r w:rsidR="00B531BC">
              <w:t>Valmieras pilsētas pašvaldībai J.</w:t>
            </w:r>
            <w:r w:rsidR="00A13132">
              <w:t xml:space="preserve"> </w:t>
            </w:r>
            <w:r w:rsidR="00B531BC">
              <w:t>Daliņa stadiona rekonstrukcija</w:t>
            </w:r>
            <w:r w:rsidR="004C67F9">
              <w:t>i</w:t>
            </w:r>
            <w:r w:rsidR="00B531BC">
              <w:t xml:space="preserve"> un vieglatlētikas manēžas būvniecībai </w:t>
            </w:r>
            <w:r w:rsidR="00A13132">
              <w:t xml:space="preserve"> paredzēts mērķfinansējums </w:t>
            </w:r>
            <w:r w:rsidR="00B531BC">
              <w:t>1</w:t>
            </w:r>
            <w:r w:rsidR="00A13132">
              <w:t> </w:t>
            </w:r>
            <w:r w:rsidR="00B531BC">
              <w:t>500</w:t>
            </w:r>
            <w:r w:rsidR="00A13132">
              <w:t xml:space="preserve"> </w:t>
            </w:r>
            <w:r w:rsidR="00B531BC">
              <w:t xml:space="preserve">000 </w:t>
            </w:r>
            <w:r w:rsidR="00B531BC" w:rsidRPr="00A13132">
              <w:rPr>
                <w:i/>
              </w:rPr>
              <w:t>euro</w:t>
            </w:r>
            <w:r w:rsidR="00A13132">
              <w:t xml:space="preserve"> </w:t>
            </w:r>
            <w:r w:rsidR="00A13132" w:rsidRPr="00A13132">
              <w:t>apmērā</w:t>
            </w:r>
            <w:r w:rsidR="00A13132">
              <w:t xml:space="preserve">, savukārt </w:t>
            </w:r>
            <w:r w:rsidR="007175EB">
              <w:t xml:space="preserve">saskaņā </w:t>
            </w:r>
            <w:r w:rsidR="00A13132">
              <w:t xml:space="preserve">ar 2020. gada valsts budžeta projekta izskatīšanas laikā Saeimā pieņemto lēmumu </w:t>
            </w:r>
            <w:r w:rsidR="00B531BC" w:rsidRPr="00B531BC">
              <w:t>Rēzeknes pilsēta</w:t>
            </w:r>
            <w:r w:rsidR="00A13132">
              <w:t>s pašvaldībai Olimpiskā centra „</w:t>
            </w:r>
            <w:r w:rsidR="00B531BC" w:rsidRPr="00B531BC">
              <w:t xml:space="preserve">Rēzekne” būvniecībai </w:t>
            </w:r>
            <w:r w:rsidR="00A13132">
              <w:t xml:space="preserve">paredzēti </w:t>
            </w:r>
            <w:r w:rsidR="00B531BC">
              <w:t>998</w:t>
            </w:r>
            <w:r w:rsidR="00A13132">
              <w:t xml:space="preserve"> </w:t>
            </w:r>
            <w:r w:rsidR="00B531BC">
              <w:t>000</w:t>
            </w:r>
            <w:r w:rsidR="00B812B9">
              <w:t xml:space="preserve"> </w:t>
            </w:r>
            <w:r w:rsidR="00B812B9" w:rsidRPr="00EF4498">
              <w:rPr>
                <w:i/>
              </w:rPr>
              <w:t>euro</w:t>
            </w:r>
            <w:r w:rsidR="007175EB">
              <w:t xml:space="preserve">. </w:t>
            </w:r>
            <w:r w:rsidR="00B812B9">
              <w:t xml:space="preserve">Papildus minētam </w:t>
            </w:r>
            <w:r w:rsidR="00B812B9" w:rsidRPr="00B812B9">
              <w:t>likumprojekta „Par vidēja termiņa budžeta ietvaru 201</w:t>
            </w:r>
            <w:r w:rsidR="00B812B9">
              <w:t>8</w:t>
            </w:r>
            <w:r w:rsidR="00B812B9" w:rsidRPr="00B812B9">
              <w:t>., 201</w:t>
            </w:r>
            <w:r w:rsidR="00B812B9">
              <w:t>9</w:t>
            </w:r>
            <w:r w:rsidR="00B812B9" w:rsidRPr="00B812B9">
              <w:t>. un 20</w:t>
            </w:r>
            <w:r w:rsidR="00B812B9">
              <w:t>20</w:t>
            </w:r>
            <w:r w:rsidR="00B812B9" w:rsidRPr="00B812B9">
              <w:t xml:space="preserve">.gadam” </w:t>
            </w:r>
            <w:r w:rsidR="00B812B9">
              <w:t xml:space="preserve">sagatavošanas procesā tika atbalstīts IZM </w:t>
            </w:r>
            <w:r w:rsidR="00B812B9" w:rsidRPr="00112F2A">
              <w:t>prioritār</w:t>
            </w:r>
            <w:r w:rsidR="00B812B9">
              <w:t>ais</w:t>
            </w:r>
            <w:r w:rsidR="00B812B9" w:rsidRPr="00112F2A">
              <w:t xml:space="preserve"> pasākum</w:t>
            </w:r>
            <w:r w:rsidR="00B812B9">
              <w:t>s</w:t>
            </w:r>
            <w:r w:rsidR="00B812B9" w:rsidRPr="00112F2A">
              <w:t xml:space="preserve"> „Papildu investīcijas valsts nozīmes sporta infrastruktūras attīstības projektu īstenošanai” </w:t>
            </w:r>
            <w:r w:rsidR="00B812B9">
              <w:t>(turpmāk arī – Prioritārais pasākums), kam IZM v</w:t>
            </w:r>
            <w:r w:rsidR="00B812B9" w:rsidRPr="00112F2A">
              <w:t>alsts budžeta programmas 09</w:t>
            </w:r>
            <w:r w:rsidR="00B812B9" w:rsidRPr="007175EB">
              <w:t>.00.00 „Sports” apakšprogrammā 09.04.00 „Sporta būves” 20</w:t>
            </w:r>
            <w:r w:rsidR="00B531BC" w:rsidRPr="007175EB">
              <w:t>20.</w:t>
            </w:r>
            <w:r w:rsidR="004C67F9">
              <w:t xml:space="preserve"> </w:t>
            </w:r>
            <w:r w:rsidR="00B531BC" w:rsidRPr="007175EB">
              <w:t xml:space="preserve">gadā paredzēti </w:t>
            </w:r>
            <w:r w:rsidR="00B531BC" w:rsidRPr="007175EB">
              <w:lastRenderedPageBreak/>
              <w:t>2</w:t>
            </w:r>
            <w:r w:rsidR="007175EB" w:rsidRPr="007175EB">
              <w:t> </w:t>
            </w:r>
            <w:r w:rsidR="00B531BC" w:rsidRPr="007175EB">
              <w:t>602</w:t>
            </w:r>
            <w:r w:rsidR="007175EB" w:rsidRPr="007175EB">
              <w:t xml:space="preserve"> </w:t>
            </w:r>
            <w:r w:rsidR="00B812B9" w:rsidRPr="007175EB">
              <w:t xml:space="preserve">000 </w:t>
            </w:r>
            <w:r w:rsidR="00B812B9" w:rsidRPr="007175EB">
              <w:rPr>
                <w:i/>
              </w:rPr>
              <w:t>euro</w:t>
            </w:r>
            <w:r w:rsidR="004C67F9" w:rsidRPr="008860FC">
              <w:rPr>
                <w:rStyle w:val="FootnoteReference"/>
              </w:rPr>
              <w:footnoteReference w:id="1"/>
            </w:r>
            <w:r w:rsidR="00B531BC" w:rsidRPr="007175EB">
              <w:t>.</w:t>
            </w:r>
            <w:r w:rsidR="00B812B9" w:rsidRPr="007175EB">
              <w:t xml:space="preserve"> Ar Ministru kabineta 2017.</w:t>
            </w:r>
            <w:r w:rsidR="00554F7F">
              <w:t xml:space="preserve"> </w:t>
            </w:r>
            <w:r w:rsidR="00B812B9" w:rsidRPr="007175EB">
              <w:t>gada 14.</w:t>
            </w:r>
            <w:r w:rsidR="00554F7F">
              <w:t xml:space="preserve"> </w:t>
            </w:r>
            <w:r w:rsidR="00B812B9" w:rsidRPr="007175EB">
              <w:t>septembra sēdes protokollēmuma „Informatīvais ziņojums „Par fiskālās telpas pasākumiem un izdevumiem prioritārajiem pasākumiem valsts budžetam 2018.</w:t>
            </w:r>
            <w:r w:rsidR="00E02B9E">
              <w:t xml:space="preserve"> </w:t>
            </w:r>
            <w:r w:rsidR="00B812B9" w:rsidRPr="007175EB">
              <w:t>gadam un ietvaram 2018.–2020.gadam”” (prot. Nr.46 3.§.) 4.</w:t>
            </w:r>
            <w:r w:rsidR="00E02B9E">
              <w:t xml:space="preserve"> </w:t>
            </w:r>
            <w:r w:rsidR="00B812B9" w:rsidRPr="007175EB">
              <w:t>punktu noteikts, ka par Prioritārajam pasākumam paredzētā finansējuma izlietojumu tiek pieņemts atsevišķs Ministru kabineta lēmums.</w:t>
            </w:r>
          </w:p>
          <w:p w14:paraId="0C5D22AC" w14:textId="77777777" w:rsidR="00DB6D8A" w:rsidRDefault="00DB6D8A" w:rsidP="007E0148">
            <w:pPr>
              <w:ind w:left="141" w:right="142" w:firstLine="567"/>
              <w:jc w:val="both"/>
            </w:pPr>
          </w:p>
          <w:p w14:paraId="1752BE47" w14:textId="7B53EAC4" w:rsidR="00DB6D8A" w:rsidRPr="007E0148" w:rsidRDefault="00DB6D8A" w:rsidP="007E0148">
            <w:pPr>
              <w:ind w:left="141" w:right="142" w:firstLine="567"/>
              <w:jc w:val="center"/>
              <w:rPr>
                <w:b/>
              </w:rPr>
            </w:pPr>
            <w:r w:rsidRPr="007E0148">
              <w:rPr>
                <w:b/>
              </w:rPr>
              <w:t xml:space="preserve">Apkopojums par </w:t>
            </w:r>
            <w:r w:rsidR="0011724B">
              <w:rPr>
                <w:b/>
              </w:rPr>
              <w:t xml:space="preserve">IZM </w:t>
            </w:r>
            <w:r w:rsidRPr="007E0148">
              <w:rPr>
                <w:b/>
              </w:rPr>
              <w:t xml:space="preserve">saņemtajiem finanšu pieprasījumiem no </w:t>
            </w:r>
            <w:r w:rsidRPr="007E0148">
              <w:rPr>
                <w:b/>
                <w:u w:val="single"/>
              </w:rPr>
              <w:t>valsts pārvaldībā</w:t>
            </w:r>
            <w:r w:rsidRPr="007E0148">
              <w:rPr>
                <w:b/>
              </w:rPr>
              <w:t xml:space="preserve"> esošo sporta bāzu pārvaldniekiem valsts nozīmes sporta infrastruktūras attīstības projektu īstenošanai 2020. gadā</w:t>
            </w:r>
          </w:p>
          <w:p w14:paraId="0C05D6FC" w14:textId="77777777" w:rsidR="00DB6D8A" w:rsidRDefault="00DB6D8A" w:rsidP="007E0148">
            <w:pPr>
              <w:ind w:left="141" w:right="142" w:firstLine="567"/>
              <w:jc w:val="center"/>
            </w:pPr>
          </w:p>
          <w:tbl>
            <w:tblPr>
              <w:tblStyle w:val="TableGrid"/>
              <w:tblW w:w="0" w:type="auto"/>
              <w:tblInd w:w="141" w:type="dxa"/>
              <w:tblLayout w:type="fixed"/>
              <w:tblLook w:val="04A0" w:firstRow="1" w:lastRow="0" w:firstColumn="1" w:lastColumn="0" w:noHBand="0" w:noVBand="1"/>
            </w:tblPr>
            <w:tblGrid>
              <w:gridCol w:w="563"/>
              <w:gridCol w:w="2126"/>
              <w:gridCol w:w="3402"/>
              <w:gridCol w:w="1276"/>
            </w:tblGrid>
            <w:tr w:rsidR="00DB6D8A" w:rsidRPr="00C75E08" w14:paraId="78715D32" w14:textId="77777777" w:rsidTr="00C75E08">
              <w:tc>
                <w:tcPr>
                  <w:tcW w:w="563" w:type="dxa"/>
                  <w:vAlign w:val="center"/>
                </w:tcPr>
                <w:p w14:paraId="0B2AD56E" w14:textId="47582391" w:rsidR="00DB6D8A" w:rsidRPr="00C75E08" w:rsidRDefault="00DB6D8A" w:rsidP="000579E3">
                  <w:pPr>
                    <w:framePr w:hSpace="180" w:wrap="around" w:vAnchor="text" w:hAnchor="margin" w:xAlign="center" w:y="149"/>
                    <w:jc w:val="center"/>
                    <w:rPr>
                      <w:b/>
                      <w:sz w:val="22"/>
                      <w:szCs w:val="22"/>
                    </w:rPr>
                  </w:pPr>
                  <w:r w:rsidRPr="00C75E08">
                    <w:rPr>
                      <w:b/>
                      <w:sz w:val="22"/>
                      <w:szCs w:val="22"/>
                    </w:rPr>
                    <w:t>Nr.</w:t>
                  </w:r>
                </w:p>
              </w:tc>
              <w:tc>
                <w:tcPr>
                  <w:tcW w:w="2126" w:type="dxa"/>
                  <w:vAlign w:val="center"/>
                </w:tcPr>
                <w:p w14:paraId="054A9623" w14:textId="3DC626A5" w:rsidR="00DB6D8A" w:rsidRPr="00C75E08" w:rsidRDefault="00DB6D8A" w:rsidP="000579E3">
                  <w:pPr>
                    <w:framePr w:hSpace="180" w:wrap="around" w:vAnchor="text" w:hAnchor="margin" w:xAlign="center" w:y="149"/>
                    <w:ind w:right="142"/>
                    <w:jc w:val="center"/>
                    <w:rPr>
                      <w:sz w:val="22"/>
                      <w:szCs w:val="22"/>
                    </w:rPr>
                  </w:pPr>
                  <w:r w:rsidRPr="00C75E08">
                    <w:rPr>
                      <w:b/>
                      <w:sz w:val="22"/>
                      <w:szCs w:val="22"/>
                    </w:rPr>
                    <w:t>Iesniedzējs</w:t>
                  </w:r>
                </w:p>
              </w:tc>
              <w:tc>
                <w:tcPr>
                  <w:tcW w:w="3402" w:type="dxa"/>
                  <w:vAlign w:val="center"/>
                </w:tcPr>
                <w:p w14:paraId="196E6089" w14:textId="75C54D06" w:rsidR="00DB6D8A" w:rsidRPr="00C75E08" w:rsidRDefault="00DB6D8A" w:rsidP="000579E3">
                  <w:pPr>
                    <w:framePr w:hSpace="180" w:wrap="around" w:vAnchor="text" w:hAnchor="margin" w:xAlign="center" w:y="149"/>
                    <w:ind w:right="142"/>
                    <w:jc w:val="center"/>
                    <w:rPr>
                      <w:sz w:val="22"/>
                      <w:szCs w:val="22"/>
                    </w:rPr>
                  </w:pPr>
                  <w:r w:rsidRPr="00C75E08">
                    <w:rPr>
                      <w:b/>
                      <w:sz w:val="22"/>
                      <w:szCs w:val="22"/>
                    </w:rPr>
                    <w:t>Mērķis</w:t>
                  </w:r>
                </w:p>
              </w:tc>
              <w:tc>
                <w:tcPr>
                  <w:tcW w:w="1276" w:type="dxa"/>
                  <w:vAlign w:val="center"/>
                </w:tcPr>
                <w:p w14:paraId="3A7A1481" w14:textId="2D28CB27" w:rsidR="00DB6D8A" w:rsidRPr="00C75E08" w:rsidRDefault="00DB6D8A" w:rsidP="000579E3">
                  <w:pPr>
                    <w:framePr w:hSpace="180" w:wrap="around" w:vAnchor="text" w:hAnchor="margin" w:xAlign="center" w:y="149"/>
                    <w:ind w:right="142"/>
                    <w:jc w:val="center"/>
                    <w:rPr>
                      <w:sz w:val="22"/>
                      <w:szCs w:val="22"/>
                    </w:rPr>
                  </w:pPr>
                  <w:r w:rsidRPr="00C75E08">
                    <w:rPr>
                      <w:b/>
                      <w:sz w:val="22"/>
                      <w:szCs w:val="22"/>
                    </w:rPr>
                    <w:t>Summa</w:t>
                  </w:r>
                </w:p>
              </w:tc>
            </w:tr>
            <w:tr w:rsidR="00DB6D8A" w:rsidRPr="00C75E08" w14:paraId="319EA3B3" w14:textId="77777777" w:rsidTr="00C75E08">
              <w:tc>
                <w:tcPr>
                  <w:tcW w:w="563" w:type="dxa"/>
                  <w:vAlign w:val="center"/>
                </w:tcPr>
                <w:p w14:paraId="30113A2E" w14:textId="17E1EA70" w:rsidR="00DB6D8A" w:rsidRPr="00C75E08" w:rsidRDefault="00DB6D8A" w:rsidP="000579E3">
                  <w:pPr>
                    <w:framePr w:hSpace="180" w:wrap="around" w:vAnchor="text" w:hAnchor="margin" w:xAlign="center" w:y="149"/>
                    <w:jc w:val="center"/>
                    <w:rPr>
                      <w:sz w:val="22"/>
                      <w:szCs w:val="22"/>
                    </w:rPr>
                  </w:pPr>
                  <w:r w:rsidRPr="00C75E08">
                    <w:rPr>
                      <w:sz w:val="22"/>
                      <w:szCs w:val="22"/>
                    </w:rPr>
                    <w:t>1.</w:t>
                  </w:r>
                </w:p>
              </w:tc>
              <w:tc>
                <w:tcPr>
                  <w:tcW w:w="2126" w:type="dxa"/>
                  <w:vAlign w:val="center"/>
                </w:tcPr>
                <w:p w14:paraId="1FF1C9A9" w14:textId="50EB9BD6" w:rsidR="00DB6D8A" w:rsidRPr="00C75E08" w:rsidRDefault="00DB6D8A" w:rsidP="000579E3">
                  <w:pPr>
                    <w:framePr w:hSpace="180" w:wrap="around" w:vAnchor="text" w:hAnchor="margin" w:xAlign="center" w:y="149"/>
                    <w:ind w:right="142"/>
                    <w:jc w:val="center"/>
                    <w:rPr>
                      <w:sz w:val="22"/>
                      <w:szCs w:val="22"/>
                    </w:rPr>
                  </w:pPr>
                  <w:r w:rsidRPr="00C75E08">
                    <w:rPr>
                      <w:sz w:val="22"/>
                      <w:szCs w:val="22"/>
                    </w:rPr>
                    <w:t>VSIA „Kultūras un sporta centrs „Daugavas stadions””</w:t>
                  </w:r>
                </w:p>
              </w:tc>
              <w:tc>
                <w:tcPr>
                  <w:tcW w:w="3402" w:type="dxa"/>
                  <w:vAlign w:val="center"/>
                </w:tcPr>
                <w:p w14:paraId="19D20ECC" w14:textId="79C62FB7" w:rsidR="00DB6D8A" w:rsidRPr="00C75E08" w:rsidRDefault="00DB6D8A" w:rsidP="000579E3">
                  <w:pPr>
                    <w:framePr w:hSpace="180" w:wrap="around" w:vAnchor="text" w:hAnchor="margin" w:xAlign="center" w:y="149"/>
                    <w:ind w:right="142"/>
                    <w:jc w:val="center"/>
                    <w:rPr>
                      <w:sz w:val="22"/>
                      <w:szCs w:val="22"/>
                    </w:rPr>
                  </w:pPr>
                  <w:r w:rsidRPr="00C75E08">
                    <w:rPr>
                      <w:sz w:val="22"/>
                      <w:szCs w:val="22"/>
                    </w:rPr>
                    <w:t>Daugavas stadiona centrālā sporta laukuma (futbols un vieglatlētika) rekonstrukcija</w:t>
                  </w:r>
                </w:p>
              </w:tc>
              <w:tc>
                <w:tcPr>
                  <w:tcW w:w="1276" w:type="dxa"/>
                  <w:vAlign w:val="center"/>
                </w:tcPr>
                <w:p w14:paraId="2A8E56A4" w14:textId="43216A8E" w:rsidR="00DB6D8A" w:rsidRPr="00C75E08" w:rsidRDefault="00DB6D8A" w:rsidP="000579E3">
                  <w:pPr>
                    <w:framePr w:hSpace="180" w:wrap="around" w:vAnchor="text" w:hAnchor="margin" w:xAlign="center" w:y="149"/>
                    <w:ind w:right="34"/>
                    <w:jc w:val="center"/>
                    <w:rPr>
                      <w:sz w:val="22"/>
                      <w:szCs w:val="22"/>
                    </w:rPr>
                  </w:pPr>
                  <w:r w:rsidRPr="00C75E08">
                    <w:rPr>
                      <w:sz w:val="22"/>
                      <w:szCs w:val="22"/>
                    </w:rPr>
                    <w:t>1 080 688</w:t>
                  </w:r>
                </w:p>
              </w:tc>
            </w:tr>
            <w:tr w:rsidR="008860FC" w:rsidRPr="00C75E08" w14:paraId="6B5E8430" w14:textId="77777777" w:rsidTr="00C75E08">
              <w:tc>
                <w:tcPr>
                  <w:tcW w:w="563" w:type="dxa"/>
                  <w:vAlign w:val="center"/>
                </w:tcPr>
                <w:p w14:paraId="215C6D5F" w14:textId="55BC7893" w:rsidR="008860FC" w:rsidRPr="00C75E08" w:rsidRDefault="008860FC" w:rsidP="000579E3">
                  <w:pPr>
                    <w:framePr w:hSpace="180" w:wrap="around" w:vAnchor="text" w:hAnchor="margin" w:xAlign="center" w:y="149"/>
                    <w:jc w:val="center"/>
                    <w:rPr>
                      <w:sz w:val="22"/>
                      <w:szCs w:val="22"/>
                    </w:rPr>
                  </w:pPr>
                  <w:r>
                    <w:rPr>
                      <w:sz w:val="22"/>
                      <w:szCs w:val="22"/>
                    </w:rPr>
                    <w:t>2</w:t>
                  </w:r>
                  <w:r w:rsidRPr="00C75E08">
                    <w:rPr>
                      <w:sz w:val="22"/>
                      <w:szCs w:val="22"/>
                    </w:rPr>
                    <w:t>.</w:t>
                  </w:r>
                </w:p>
              </w:tc>
              <w:tc>
                <w:tcPr>
                  <w:tcW w:w="2126" w:type="dxa"/>
                  <w:vAlign w:val="center"/>
                </w:tcPr>
                <w:p w14:paraId="71DC9C2B" w14:textId="1CE36A24" w:rsidR="008860FC" w:rsidRPr="00C75E08" w:rsidRDefault="008860FC" w:rsidP="000579E3">
                  <w:pPr>
                    <w:framePr w:hSpace="180" w:wrap="around" w:vAnchor="text" w:hAnchor="margin" w:xAlign="center" w:y="149"/>
                    <w:ind w:right="142"/>
                    <w:jc w:val="center"/>
                    <w:rPr>
                      <w:sz w:val="22"/>
                      <w:szCs w:val="22"/>
                    </w:rPr>
                  </w:pPr>
                  <w:r w:rsidRPr="00C75E08">
                    <w:rPr>
                      <w:sz w:val="22"/>
                      <w:szCs w:val="22"/>
                    </w:rPr>
                    <w:t>Murjāņu sporta ģimnāzija</w:t>
                  </w:r>
                </w:p>
              </w:tc>
              <w:tc>
                <w:tcPr>
                  <w:tcW w:w="3402" w:type="dxa"/>
                  <w:vAlign w:val="center"/>
                </w:tcPr>
                <w:p w14:paraId="3760027A" w14:textId="5B6BBB25" w:rsidR="008860FC" w:rsidRPr="00C75E08" w:rsidRDefault="008860FC" w:rsidP="000579E3">
                  <w:pPr>
                    <w:framePr w:hSpace="180" w:wrap="around" w:vAnchor="text" w:hAnchor="margin" w:xAlign="center" w:y="149"/>
                    <w:ind w:right="142"/>
                    <w:jc w:val="center"/>
                    <w:rPr>
                      <w:sz w:val="22"/>
                      <w:szCs w:val="22"/>
                    </w:rPr>
                  </w:pPr>
                  <w:r w:rsidRPr="00C75E08">
                    <w:rPr>
                      <w:sz w:val="22"/>
                      <w:szCs w:val="22"/>
                    </w:rPr>
                    <w:t>Murjāņu sporta ģimnāzijas infrastruktūras pilnveide, lai nodrošinātu iestādes sagatavošanu akreditācijai</w:t>
                  </w:r>
                </w:p>
              </w:tc>
              <w:tc>
                <w:tcPr>
                  <w:tcW w:w="1276" w:type="dxa"/>
                  <w:vAlign w:val="center"/>
                </w:tcPr>
                <w:p w14:paraId="794BC8AD" w14:textId="4EF77300" w:rsidR="008860FC" w:rsidRPr="00C75E08" w:rsidRDefault="008860FC" w:rsidP="000579E3">
                  <w:pPr>
                    <w:framePr w:hSpace="180" w:wrap="around" w:vAnchor="text" w:hAnchor="margin" w:xAlign="center" w:y="149"/>
                    <w:ind w:right="34"/>
                    <w:jc w:val="center"/>
                    <w:rPr>
                      <w:sz w:val="22"/>
                      <w:szCs w:val="22"/>
                    </w:rPr>
                  </w:pPr>
                  <w:r w:rsidRPr="008860FC">
                    <w:rPr>
                      <w:sz w:val="22"/>
                      <w:szCs w:val="22"/>
                    </w:rPr>
                    <w:t>1 080 246</w:t>
                  </w:r>
                  <w:r w:rsidRPr="008860FC">
                    <w:rPr>
                      <w:sz w:val="22"/>
                      <w:szCs w:val="22"/>
                    </w:rPr>
                    <w:t>‬</w:t>
                  </w:r>
                </w:p>
              </w:tc>
            </w:tr>
            <w:tr w:rsidR="008860FC" w:rsidRPr="00C75E08" w14:paraId="5FB84FB3" w14:textId="77777777" w:rsidTr="00C75E08">
              <w:tc>
                <w:tcPr>
                  <w:tcW w:w="563" w:type="dxa"/>
                  <w:vAlign w:val="center"/>
                </w:tcPr>
                <w:p w14:paraId="2DFAE6DD" w14:textId="25C202C5" w:rsidR="008860FC" w:rsidRPr="00C75E08" w:rsidRDefault="008860FC" w:rsidP="000579E3">
                  <w:pPr>
                    <w:framePr w:hSpace="180" w:wrap="around" w:vAnchor="text" w:hAnchor="margin" w:xAlign="center" w:y="149"/>
                    <w:jc w:val="center"/>
                    <w:rPr>
                      <w:sz w:val="22"/>
                      <w:szCs w:val="22"/>
                    </w:rPr>
                  </w:pPr>
                  <w:r>
                    <w:rPr>
                      <w:sz w:val="22"/>
                      <w:szCs w:val="22"/>
                    </w:rPr>
                    <w:t>3</w:t>
                  </w:r>
                  <w:r w:rsidRPr="00C75E08">
                    <w:rPr>
                      <w:sz w:val="22"/>
                      <w:szCs w:val="22"/>
                    </w:rPr>
                    <w:t>.</w:t>
                  </w:r>
                </w:p>
              </w:tc>
              <w:tc>
                <w:tcPr>
                  <w:tcW w:w="2126" w:type="dxa"/>
                  <w:vAlign w:val="center"/>
                </w:tcPr>
                <w:p w14:paraId="0D778827" w14:textId="7B693AFA" w:rsidR="008860FC" w:rsidRPr="00C75E08" w:rsidRDefault="008860FC" w:rsidP="000579E3">
                  <w:pPr>
                    <w:framePr w:hSpace="180" w:wrap="around" w:vAnchor="text" w:hAnchor="margin" w:xAlign="center" w:y="149"/>
                    <w:ind w:right="142"/>
                    <w:jc w:val="center"/>
                    <w:rPr>
                      <w:sz w:val="22"/>
                      <w:szCs w:val="22"/>
                    </w:rPr>
                  </w:pPr>
                  <w:r w:rsidRPr="00C75E08">
                    <w:rPr>
                      <w:sz w:val="22"/>
                      <w:szCs w:val="22"/>
                    </w:rPr>
                    <w:t>SIA „Bobsleja un kamaniņu trase „Sigulda””</w:t>
                  </w:r>
                </w:p>
              </w:tc>
              <w:tc>
                <w:tcPr>
                  <w:tcW w:w="3402" w:type="dxa"/>
                  <w:vAlign w:val="center"/>
                </w:tcPr>
                <w:p w14:paraId="3DAEE7CE" w14:textId="0F0882BB" w:rsidR="008860FC" w:rsidRPr="00C75E08" w:rsidRDefault="008860FC" w:rsidP="000579E3">
                  <w:pPr>
                    <w:framePr w:hSpace="180" w:wrap="around" w:vAnchor="text" w:hAnchor="margin" w:xAlign="center" w:y="149"/>
                    <w:ind w:right="142"/>
                    <w:jc w:val="center"/>
                    <w:rPr>
                      <w:sz w:val="22"/>
                      <w:szCs w:val="22"/>
                    </w:rPr>
                  </w:pPr>
                  <w:r w:rsidRPr="00C75E08">
                    <w:rPr>
                      <w:sz w:val="22"/>
                      <w:szCs w:val="22"/>
                    </w:rPr>
                    <w:t>Bobsleja un kamaniņu trases „Sigulda” rekonstrukcijas uzsākšana</w:t>
                  </w:r>
                </w:p>
              </w:tc>
              <w:tc>
                <w:tcPr>
                  <w:tcW w:w="1276" w:type="dxa"/>
                  <w:vAlign w:val="center"/>
                </w:tcPr>
                <w:p w14:paraId="79FFA70B" w14:textId="548C07CA" w:rsidR="008860FC" w:rsidRPr="00C75E08" w:rsidRDefault="008860FC" w:rsidP="000579E3">
                  <w:pPr>
                    <w:framePr w:hSpace="180" w:wrap="around" w:vAnchor="text" w:hAnchor="margin" w:xAlign="center" w:y="149"/>
                    <w:ind w:right="34"/>
                    <w:jc w:val="center"/>
                    <w:rPr>
                      <w:sz w:val="22"/>
                      <w:szCs w:val="22"/>
                    </w:rPr>
                  </w:pPr>
                  <w:r w:rsidRPr="00C75E08">
                    <w:rPr>
                      <w:sz w:val="22"/>
                      <w:szCs w:val="22"/>
                    </w:rPr>
                    <w:t>950 210</w:t>
                  </w:r>
                </w:p>
              </w:tc>
            </w:tr>
            <w:tr w:rsidR="008860FC" w:rsidRPr="00C75E08" w14:paraId="58EE3275" w14:textId="77777777" w:rsidTr="00C75E08">
              <w:tc>
                <w:tcPr>
                  <w:tcW w:w="563" w:type="dxa"/>
                  <w:vAlign w:val="center"/>
                </w:tcPr>
                <w:p w14:paraId="3CD665DC" w14:textId="3CAFFE48" w:rsidR="008860FC" w:rsidRPr="00C75E08" w:rsidRDefault="008860FC" w:rsidP="000579E3">
                  <w:pPr>
                    <w:framePr w:hSpace="180" w:wrap="around" w:vAnchor="text" w:hAnchor="margin" w:xAlign="center" w:y="149"/>
                    <w:jc w:val="center"/>
                    <w:rPr>
                      <w:sz w:val="22"/>
                      <w:szCs w:val="22"/>
                    </w:rPr>
                  </w:pPr>
                  <w:r w:rsidRPr="00C75E08">
                    <w:rPr>
                      <w:sz w:val="22"/>
                      <w:szCs w:val="22"/>
                    </w:rPr>
                    <w:t>4.</w:t>
                  </w:r>
                </w:p>
              </w:tc>
              <w:tc>
                <w:tcPr>
                  <w:tcW w:w="2126" w:type="dxa"/>
                  <w:vAlign w:val="center"/>
                </w:tcPr>
                <w:p w14:paraId="080E8EFA" w14:textId="46BAE44D" w:rsidR="008860FC" w:rsidRPr="00C75E08" w:rsidRDefault="008860FC" w:rsidP="000579E3">
                  <w:pPr>
                    <w:framePr w:hSpace="180" w:wrap="around" w:vAnchor="text" w:hAnchor="margin" w:xAlign="center" w:y="149"/>
                    <w:ind w:right="142"/>
                    <w:jc w:val="center"/>
                    <w:rPr>
                      <w:sz w:val="22"/>
                      <w:szCs w:val="22"/>
                    </w:rPr>
                  </w:pPr>
                  <w:r w:rsidRPr="00C75E08">
                    <w:rPr>
                      <w:sz w:val="22"/>
                      <w:szCs w:val="22"/>
                    </w:rPr>
                    <w:t>SIA „Sporta centrs „Mežaparks””</w:t>
                  </w:r>
                </w:p>
              </w:tc>
              <w:tc>
                <w:tcPr>
                  <w:tcW w:w="3402" w:type="dxa"/>
                  <w:vAlign w:val="center"/>
                </w:tcPr>
                <w:p w14:paraId="318FCF6F" w14:textId="0AD53724" w:rsidR="008860FC" w:rsidRPr="00C75E08" w:rsidRDefault="008860FC" w:rsidP="000579E3">
                  <w:pPr>
                    <w:framePr w:hSpace="180" w:wrap="around" w:vAnchor="text" w:hAnchor="margin" w:xAlign="center" w:y="149"/>
                    <w:ind w:right="142"/>
                    <w:jc w:val="center"/>
                    <w:rPr>
                      <w:sz w:val="22"/>
                      <w:szCs w:val="22"/>
                    </w:rPr>
                  </w:pPr>
                  <w:r w:rsidRPr="00C75E08">
                    <w:rPr>
                      <w:sz w:val="22"/>
                      <w:szCs w:val="22"/>
                    </w:rPr>
                    <w:t>Sporta centra „Mežaparks”” infrastruktūras attīstībai</w:t>
                  </w:r>
                </w:p>
              </w:tc>
              <w:tc>
                <w:tcPr>
                  <w:tcW w:w="1276" w:type="dxa"/>
                  <w:vAlign w:val="center"/>
                </w:tcPr>
                <w:p w14:paraId="75159B28" w14:textId="30B11966" w:rsidR="008860FC" w:rsidRPr="00C75E08" w:rsidRDefault="008860FC" w:rsidP="000579E3">
                  <w:pPr>
                    <w:framePr w:hSpace="180" w:wrap="around" w:vAnchor="text" w:hAnchor="margin" w:xAlign="center" w:y="149"/>
                    <w:ind w:right="34"/>
                    <w:jc w:val="center"/>
                    <w:rPr>
                      <w:sz w:val="22"/>
                      <w:szCs w:val="22"/>
                    </w:rPr>
                  </w:pPr>
                  <w:r w:rsidRPr="00C75E08">
                    <w:rPr>
                      <w:sz w:val="22"/>
                      <w:szCs w:val="22"/>
                    </w:rPr>
                    <w:t>360 000</w:t>
                  </w:r>
                </w:p>
              </w:tc>
            </w:tr>
            <w:tr w:rsidR="008860FC" w:rsidRPr="00C75E08" w14:paraId="5A149158" w14:textId="77777777" w:rsidTr="00C75E08">
              <w:tc>
                <w:tcPr>
                  <w:tcW w:w="563" w:type="dxa"/>
                  <w:vAlign w:val="center"/>
                </w:tcPr>
                <w:p w14:paraId="4512A61E" w14:textId="4A9146D5" w:rsidR="008860FC" w:rsidRPr="00C75E08" w:rsidRDefault="008860FC" w:rsidP="000579E3">
                  <w:pPr>
                    <w:framePr w:hSpace="180" w:wrap="around" w:vAnchor="text" w:hAnchor="margin" w:xAlign="center" w:y="149"/>
                    <w:jc w:val="center"/>
                    <w:rPr>
                      <w:sz w:val="22"/>
                      <w:szCs w:val="22"/>
                    </w:rPr>
                  </w:pPr>
                  <w:r>
                    <w:rPr>
                      <w:sz w:val="22"/>
                      <w:szCs w:val="22"/>
                    </w:rPr>
                    <w:t>5</w:t>
                  </w:r>
                  <w:r w:rsidRPr="00C75E08">
                    <w:rPr>
                      <w:sz w:val="22"/>
                      <w:szCs w:val="22"/>
                    </w:rPr>
                    <w:t>.</w:t>
                  </w:r>
                </w:p>
              </w:tc>
              <w:tc>
                <w:tcPr>
                  <w:tcW w:w="2126" w:type="dxa"/>
                  <w:vAlign w:val="center"/>
                </w:tcPr>
                <w:p w14:paraId="777BB126" w14:textId="1214E5CA" w:rsidR="008860FC" w:rsidRPr="00C75E08" w:rsidRDefault="008860FC" w:rsidP="000579E3">
                  <w:pPr>
                    <w:framePr w:hSpace="180" w:wrap="around" w:vAnchor="text" w:hAnchor="margin" w:xAlign="center" w:y="149"/>
                    <w:ind w:right="142"/>
                    <w:jc w:val="center"/>
                    <w:rPr>
                      <w:sz w:val="22"/>
                      <w:szCs w:val="22"/>
                    </w:rPr>
                  </w:pPr>
                  <w:r w:rsidRPr="00C75E08">
                    <w:rPr>
                      <w:sz w:val="22"/>
                      <w:szCs w:val="22"/>
                    </w:rPr>
                    <w:t>Biedrība „Latvijas Jātnieku federācija”</w:t>
                  </w:r>
                </w:p>
              </w:tc>
              <w:tc>
                <w:tcPr>
                  <w:tcW w:w="3402" w:type="dxa"/>
                  <w:vAlign w:val="center"/>
                </w:tcPr>
                <w:p w14:paraId="5F48005B" w14:textId="46C02D88" w:rsidR="008860FC" w:rsidRPr="00C75E08" w:rsidRDefault="008860FC" w:rsidP="000579E3">
                  <w:pPr>
                    <w:framePr w:hSpace="180" w:wrap="around" w:vAnchor="text" w:hAnchor="margin" w:xAlign="center" w:y="149"/>
                    <w:ind w:right="142"/>
                    <w:jc w:val="center"/>
                    <w:rPr>
                      <w:sz w:val="22"/>
                      <w:szCs w:val="22"/>
                    </w:rPr>
                  </w:pPr>
                  <w:r w:rsidRPr="00C75E08">
                    <w:rPr>
                      <w:sz w:val="22"/>
                      <w:szCs w:val="22"/>
                    </w:rPr>
                    <w:t>Sporta centra „Kleisti” jumta remontam</w:t>
                  </w:r>
                </w:p>
              </w:tc>
              <w:tc>
                <w:tcPr>
                  <w:tcW w:w="1276" w:type="dxa"/>
                  <w:vAlign w:val="center"/>
                </w:tcPr>
                <w:p w14:paraId="68427F25" w14:textId="559F8841" w:rsidR="008860FC" w:rsidRPr="00C75E08" w:rsidRDefault="008860FC" w:rsidP="000579E3">
                  <w:pPr>
                    <w:framePr w:hSpace="180" w:wrap="around" w:vAnchor="text" w:hAnchor="margin" w:xAlign="center" w:y="149"/>
                    <w:ind w:right="34"/>
                    <w:jc w:val="center"/>
                    <w:rPr>
                      <w:sz w:val="22"/>
                      <w:szCs w:val="22"/>
                    </w:rPr>
                  </w:pPr>
                  <w:r w:rsidRPr="00C75E08">
                    <w:rPr>
                      <w:sz w:val="22"/>
                      <w:szCs w:val="22"/>
                    </w:rPr>
                    <w:t>180 000</w:t>
                  </w:r>
                </w:p>
              </w:tc>
            </w:tr>
            <w:tr w:rsidR="008860FC" w:rsidRPr="00C75E08" w14:paraId="77BB7F35" w14:textId="77777777" w:rsidTr="00C75E08">
              <w:tc>
                <w:tcPr>
                  <w:tcW w:w="563" w:type="dxa"/>
                  <w:vAlign w:val="center"/>
                </w:tcPr>
                <w:p w14:paraId="6218D42E" w14:textId="271B1418" w:rsidR="008860FC" w:rsidRPr="00C75E08" w:rsidRDefault="008860FC" w:rsidP="000579E3">
                  <w:pPr>
                    <w:framePr w:hSpace="180" w:wrap="around" w:vAnchor="text" w:hAnchor="margin" w:xAlign="center" w:y="149"/>
                    <w:jc w:val="center"/>
                    <w:rPr>
                      <w:sz w:val="22"/>
                      <w:szCs w:val="22"/>
                    </w:rPr>
                  </w:pPr>
                  <w:r>
                    <w:rPr>
                      <w:sz w:val="22"/>
                      <w:szCs w:val="22"/>
                    </w:rPr>
                    <w:t>6</w:t>
                  </w:r>
                  <w:r w:rsidRPr="00C75E08">
                    <w:rPr>
                      <w:sz w:val="22"/>
                      <w:szCs w:val="22"/>
                    </w:rPr>
                    <w:t>.</w:t>
                  </w:r>
                </w:p>
              </w:tc>
              <w:tc>
                <w:tcPr>
                  <w:tcW w:w="2126" w:type="dxa"/>
                  <w:vAlign w:val="center"/>
                </w:tcPr>
                <w:p w14:paraId="6D90C22C" w14:textId="2E8B5C84" w:rsidR="008860FC" w:rsidRPr="00C75E08" w:rsidRDefault="008860FC" w:rsidP="000579E3">
                  <w:pPr>
                    <w:framePr w:hSpace="180" w:wrap="around" w:vAnchor="text" w:hAnchor="margin" w:xAlign="center" w:y="149"/>
                    <w:ind w:right="142"/>
                    <w:jc w:val="center"/>
                    <w:rPr>
                      <w:sz w:val="22"/>
                      <w:szCs w:val="22"/>
                    </w:rPr>
                  </w:pPr>
                  <w:r w:rsidRPr="00C75E08">
                    <w:rPr>
                      <w:sz w:val="22"/>
                      <w:szCs w:val="22"/>
                    </w:rPr>
                    <w:t>Latvijas Sporta pedagoģijas akadēmija</w:t>
                  </w:r>
                </w:p>
              </w:tc>
              <w:tc>
                <w:tcPr>
                  <w:tcW w:w="3402" w:type="dxa"/>
                  <w:vAlign w:val="center"/>
                </w:tcPr>
                <w:p w14:paraId="65760D8A" w14:textId="33690002" w:rsidR="008860FC" w:rsidRPr="00C75E08" w:rsidRDefault="008860FC" w:rsidP="000579E3">
                  <w:pPr>
                    <w:framePr w:hSpace="180" w:wrap="around" w:vAnchor="text" w:hAnchor="margin" w:xAlign="center" w:y="149"/>
                    <w:ind w:right="142"/>
                    <w:jc w:val="center"/>
                    <w:rPr>
                      <w:sz w:val="22"/>
                      <w:szCs w:val="22"/>
                    </w:rPr>
                  </w:pPr>
                  <w:r w:rsidRPr="00C75E08">
                    <w:rPr>
                      <w:sz w:val="22"/>
                      <w:szCs w:val="22"/>
                    </w:rPr>
                    <w:t>Vieglatlētikas manēžas rekonstrukcija (projektēšanas darbu uzsākšanai)</w:t>
                  </w:r>
                </w:p>
              </w:tc>
              <w:tc>
                <w:tcPr>
                  <w:tcW w:w="1276" w:type="dxa"/>
                  <w:vAlign w:val="center"/>
                </w:tcPr>
                <w:p w14:paraId="7CF25533" w14:textId="5E322537" w:rsidR="008860FC" w:rsidRPr="00C75E08" w:rsidRDefault="008860FC" w:rsidP="000579E3">
                  <w:pPr>
                    <w:framePr w:hSpace="180" w:wrap="around" w:vAnchor="text" w:hAnchor="margin" w:xAlign="center" w:y="149"/>
                    <w:ind w:right="34"/>
                    <w:jc w:val="center"/>
                    <w:rPr>
                      <w:sz w:val="22"/>
                      <w:szCs w:val="22"/>
                    </w:rPr>
                  </w:pPr>
                  <w:r w:rsidRPr="00C75E08">
                    <w:rPr>
                      <w:sz w:val="22"/>
                      <w:szCs w:val="22"/>
                    </w:rPr>
                    <w:t>83 490</w:t>
                  </w:r>
                </w:p>
              </w:tc>
            </w:tr>
            <w:tr w:rsidR="008860FC" w:rsidRPr="00C75E08" w14:paraId="0BC5629E" w14:textId="77777777" w:rsidTr="00C75E08">
              <w:tc>
                <w:tcPr>
                  <w:tcW w:w="6091" w:type="dxa"/>
                  <w:gridSpan w:val="3"/>
                  <w:vAlign w:val="center"/>
                </w:tcPr>
                <w:p w14:paraId="12BB91C2" w14:textId="3AC675D5" w:rsidR="008860FC" w:rsidRPr="00C75E08" w:rsidRDefault="008860FC" w:rsidP="000579E3">
                  <w:pPr>
                    <w:framePr w:hSpace="180" w:wrap="around" w:vAnchor="text" w:hAnchor="margin" w:xAlign="center" w:y="149"/>
                    <w:ind w:right="142"/>
                    <w:jc w:val="right"/>
                    <w:rPr>
                      <w:sz w:val="22"/>
                      <w:szCs w:val="22"/>
                    </w:rPr>
                  </w:pPr>
                  <w:r w:rsidRPr="00C75E08">
                    <w:rPr>
                      <w:b/>
                      <w:sz w:val="22"/>
                      <w:szCs w:val="22"/>
                    </w:rPr>
                    <w:t xml:space="preserve">KOPĀ </w:t>
                  </w:r>
                  <w:r w:rsidRPr="00C75E08">
                    <w:rPr>
                      <w:b/>
                      <w:sz w:val="22"/>
                      <w:szCs w:val="22"/>
                      <w:u w:val="single"/>
                    </w:rPr>
                    <w:t>valsts</w:t>
                  </w:r>
                  <w:r w:rsidRPr="00C75E08">
                    <w:rPr>
                      <w:b/>
                      <w:sz w:val="22"/>
                      <w:szCs w:val="22"/>
                    </w:rPr>
                    <w:t xml:space="preserve"> pārvaldībā esošās bāzes:</w:t>
                  </w:r>
                </w:p>
              </w:tc>
              <w:tc>
                <w:tcPr>
                  <w:tcW w:w="1276" w:type="dxa"/>
                  <w:vAlign w:val="center"/>
                </w:tcPr>
                <w:p w14:paraId="40D37892" w14:textId="2474E118" w:rsidR="008860FC" w:rsidRPr="00C75E08" w:rsidRDefault="008860FC" w:rsidP="000579E3">
                  <w:pPr>
                    <w:framePr w:hSpace="180" w:wrap="around" w:vAnchor="text" w:hAnchor="margin" w:xAlign="center" w:y="149"/>
                    <w:ind w:right="34"/>
                    <w:jc w:val="center"/>
                    <w:rPr>
                      <w:sz w:val="22"/>
                      <w:szCs w:val="22"/>
                    </w:rPr>
                  </w:pPr>
                  <w:r w:rsidRPr="008860FC">
                    <w:rPr>
                      <w:b/>
                      <w:sz w:val="22"/>
                      <w:szCs w:val="22"/>
                    </w:rPr>
                    <w:t>3 734 634</w:t>
                  </w:r>
                </w:p>
              </w:tc>
            </w:tr>
          </w:tbl>
          <w:p w14:paraId="57153253" w14:textId="77777777" w:rsidR="00DB6D8A" w:rsidRDefault="00DB6D8A" w:rsidP="007E0148">
            <w:pPr>
              <w:ind w:left="141" w:right="142" w:firstLine="567"/>
              <w:jc w:val="both"/>
            </w:pPr>
          </w:p>
          <w:p w14:paraId="665543E1" w14:textId="1D7BFCF4" w:rsidR="002C5A1E" w:rsidRDefault="00CA06C1" w:rsidP="00CA06C1">
            <w:pPr>
              <w:ind w:left="141" w:right="142" w:firstLine="567"/>
              <w:jc w:val="both"/>
            </w:pPr>
            <w:r>
              <w:t xml:space="preserve">IZM ir saņēmusi arī citus finanšu pieprasījumus, kas nav saistīti ar valsts pārvaldībā esošo sporta bāzu attīstību un šo pieprasījumu kopsumma ir </w:t>
            </w:r>
            <w:r w:rsidRPr="00CA06C1">
              <w:t>4 372</w:t>
            </w:r>
            <w:r>
              <w:t> </w:t>
            </w:r>
            <w:r w:rsidRPr="00CA06C1">
              <w:t>500</w:t>
            </w:r>
            <w:r>
              <w:t xml:space="preserve"> </w:t>
            </w:r>
            <w:r w:rsidRPr="00CA06C1">
              <w:rPr>
                <w:i/>
              </w:rPr>
              <w:t>euro</w:t>
            </w:r>
            <w:r>
              <w:t>.</w:t>
            </w:r>
            <w:r w:rsidRPr="00CA06C1">
              <w:t>‬</w:t>
            </w:r>
            <w:r w:rsidR="002C5A1E">
              <w:t xml:space="preserve"> Detalizētu informāciju par saņemtajiem pieprasījumiem </w:t>
            </w:r>
            <w:r w:rsidR="002C5A1E" w:rsidRPr="002C5A1E">
              <w:t>valsts nozīmes sporta infrastruktūras attīstības projektu īstenošanai 2020. gadā</w:t>
            </w:r>
            <w:r w:rsidR="002C5A1E">
              <w:t xml:space="preserve"> skat</w:t>
            </w:r>
            <w:r w:rsidR="00263071">
              <w:t xml:space="preserve">īt </w:t>
            </w:r>
            <w:r w:rsidR="002C5A1E">
              <w:t>pievienotajos paskaidrojošajos materiālos.</w:t>
            </w:r>
          </w:p>
          <w:p w14:paraId="187959B9" w14:textId="77777777" w:rsidR="004F21AE" w:rsidRDefault="004F21AE" w:rsidP="00CA06C1">
            <w:pPr>
              <w:ind w:left="141" w:right="142" w:firstLine="567"/>
              <w:jc w:val="both"/>
            </w:pPr>
          </w:p>
          <w:p w14:paraId="2EEF8595" w14:textId="1821420D" w:rsidR="00CA06C1" w:rsidRPr="00556301" w:rsidRDefault="00CA06C1" w:rsidP="00CA06C1">
            <w:pPr>
              <w:ind w:left="141" w:right="142" w:firstLine="567"/>
              <w:jc w:val="both"/>
            </w:pPr>
            <w:r>
              <w:t xml:space="preserve">Ņemot vērā faktu, ka valsts pārvaldībā esošo bāzu finanšu pieprasījums pārsniedz sadalei pieejamos valsts budžeta līdzekļus, </w:t>
            </w:r>
            <w:r w:rsidR="00B35B39">
              <w:t>kā arī, ņemot vērā, ka pašvaldību objektu īstenošanai (Valmiera un Rēzekne) jau ir paredzēta gandrīz puse (</w:t>
            </w:r>
            <w:bdo w:val="ltr">
              <w:r w:rsidR="00B35B39" w:rsidRPr="00B35B39">
                <w:t>2 498</w:t>
              </w:r>
              <w:r w:rsidR="00B35B39">
                <w:t> </w:t>
              </w:r>
              <w:r w:rsidR="00B35B39" w:rsidRPr="00B35B39">
                <w:t>000</w:t>
              </w:r>
              <w:r w:rsidR="00B35B39">
                <w:t xml:space="preserve"> </w:t>
              </w:r>
              <w:r w:rsidR="00B35B39" w:rsidRPr="00B35B39">
                <w:rPr>
                  <w:i/>
                </w:rPr>
                <w:t>euro</w:t>
              </w:r>
              <w:r w:rsidR="00B35B39">
                <w:t xml:space="preserve">) no </w:t>
              </w:r>
              <w:r w:rsidR="00B35B39" w:rsidRPr="00B35B39">
                <w:t>‬</w:t>
              </w:r>
              <w:r w:rsidR="00407603" w:rsidRPr="00504DBC">
                <w:t>2020.</w:t>
              </w:r>
              <w:r w:rsidR="00407603">
                <w:t xml:space="preserve"> </w:t>
              </w:r>
              <w:r w:rsidR="00407603" w:rsidRPr="00504DBC">
                <w:t xml:space="preserve">gada valsts budžetā </w:t>
              </w:r>
              <w:r w:rsidR="00407603">
                <w:t xml:space="preserve">iezīmētā  mērķfinansējuma </w:t>
              </w:r>
              <w:r w:rsidR="002C5A1E">
                <w:t xml:space="preserve">(5 100 000 </w:t>
              </w:r>
              <w:r w:rsidR="002C5A1E" w:rsidRPr="002C5A1E">
                <w:rPr>
                  <w:i/>
                </w:rPr>
                <w:t>euro</w:t>
              </w:r>
              <w:r w:rsidR="002C5A1E">
                <w:t xml:space="preserve">) </w:t>
              </w:r>
              <w:r w:rsidR="00407603" w:rsidRPr="00504DBC">
                <w:t xml:space="preserve">investīcijām valsts nozīmes sporta infrastruktūras attīstības </w:t>
              </w:r>
              <w:r w:rsidR="00407603" w:rsidRPr="00556301">
                <w:t>projektiem</w:t>
              </w:r>
              <w:r w:rsidR="002C5A1E" w:rsidRPr="00556301">
                <w:t xml:space="preserve">, Prioritārajam pasākumam paredzēto finansējumu (2 602 000 </w:t>
              </w:r>
              <w:r w:rsidR="002C5A1E" w:rsidRPr="00556301">
                <w:rPr>
                  <w:i/>
                </w:rPr>
                <w:t>euro</w:t>
              </w:r>
              <w:r w:rsidR="002C5A1E" w:rsidRPr="00556301">
                <w:t xml:space="preserve">) </w:t>
              </w:r>
              <w:r w:rsidRPr="00556301">
                <w:t>IZM rosina</w:t>
              </w:r>
              <w:r w:rsidR="00B35B39" w:rsidRPr="00556301">
                <w:t xml:space="preserve"> </w:t>
              </w:r>
              <w:r w:rsidR="002C5A1E" w:rsidRPr="00556301">
                <w:t xml:space="preserve">novirzīt valsts nozīmes sporta infrastruktūras attīstības projektu īstenošanai </w:t>
              </w:r>
              <w:r w:rsidRPr="00556301">
                <w:t xml:space="preserve">tikai valsts pārvaldībā </w:t>
              </w:r>
              <w:r w:rsidR="002C5A1E" w:rsidRPr="00556301">
                <w:t>esošajās sporta bāzēs</w:t>
              </w:r>
              <w:r w:rsidR="004F21AE">
                <w:t>, turklāt ierobežoto līdzekļu dēļ arī tikai daļēji</w:t>
              </w:r>
              <w:r w:rsidR="004F21AE">
                <w:rPr>
                  <w:rStyle w:val="FootnoteReference"/>
                </w:rPr>
                <w:footnoteReference w:id="2"/>
              </w:r>
              <w:r w:rsidR="002C5A1E" w:rsidRPr="00556301">
                <w:t>.</w:t>
              </w:r>
              <w:r w:rsidR="00F61FEB">
                <w:t>‬</w:t>
              </w:r>
              <w:r w:rsidR="00992558">
                <w:t>‬</w:t>
              </w:r>
              <w:r w:rsidR="004F5588">
                <w:t>‬</w:t>
              </w:r>
              <w:r w:rsidR="008B391E">
                <w:t>‬</w:t>
              </w:r>
            </w:bdo>
          </w:p>
          <w:p w14:paraId="24AC3BC8" w14:textId="77777777" w:rsidR="002C5A1E" w:rsidRDefault="002C5A1E" w:rsidP="002C5A1E">
            <w:pPr>
              <w:ind w:left="141" w:right="142" w:firstLine="567"/>
              <w:jc w:val="both"/>
            </w:pPr>
          </w:p>
          <w:p w14:paraId="3AEC0372" w14:textId="31F08802" w:rsidR="005523A9" w:rsidRDefault="00AC2A7F" w:rsidP="007E0148">
            <w:pPr>
              <w:ind w:left="141" w:right="142"/>
              <w:jc w:val="both"/>
              <w:rPr>
                <w:b/>
                <w:u w:val="single"/>
              </w:rPr>
            </w:pPr>
            <w:r w:rsidRPr="00AC2A7F">
              <w:rPr>
                <w:b/>
                <w:u w:val="single"/>
              </w:rPr>
              <w:t>Daugavas stadiona centrālā sporta laukuma (futbols un vie</w:t>
            </w:r>
            <w:r>
              <w:rPr>
                <w:b/>
                <w:u w:val="single"/>
              </w:rPr>
              <w:t>glatlētika) rekonstrukcija</w:t>
            </w:r>
            <w:r w:rsidRPr="00AC2A7F">
              <w:rPr>
                <w:b/>
                <w:u w:val="single"/>
              </w:rPr>
              <w:t xml:space="preserve"> </w:t>
            </w:r>
          </w:p>
          <w:p w14:paraId="2185A9EB" w14:textId="77777777" w:rsidR="00AC2A7F" w:rsidRPr="00AC2A7F" w:rsidRDefault="00AC2A7F" w:rsidP="007E0148">
            <w:pPr>
              <w:ind w:left="141" w:right="142"/>
              <w:jc w:val="both"/>
            </w:pPr>
          </w:p>
          <w:p w14:paraId="4361B225" w14:textId="782A237C" w:rsidR="005523A9" w:rsidRDefault="005523A9" w:rsidP="005523A9">
            <w:pPr>
              <w:ind w:left="141" w:right="142" w:firstLine="567"/>
              <w:jc w:val="both"/>
            </w:pPr>
            <w:r>
              <w:t>2014.</w:t>
            </w:r>
            <w:r w:rsidR="00C21D70">
              <w:t>–</w:t>
            </w:r>
            <w:r>
              <w:t>2020.gada plānošanas perioda Eiropas Savienības struktūrfondu darbības programmas „Izaugsme un nodarbinātība” 5.6.1.specifiskā atbalsta mērķa „Veicināt Rīgas pilsētas revitalizāciju, nodrošinot teritorijas efektīvu sociālekonomisko izmantošanu” ietvaros tiek īstenota programma „Kultūras un sporta kvartāla izveide Grīziņkalna apkaimē” (projektu kopums), kura paredz Daugavas stadiona (Rīgā) teritorijā izveidot mūsdienīgu sabiedrībai pieejamu multifunkcionālu Kultūras un sporta kvartālu, tādejādi veicinot Rīgas pilsētas degradētās Grīziņkalna apkaimes revitalizāciju. Par atbildīgo institūciju šīs programmas īstenošanā ir noteikta Valsts sabiedrība ar ierobežotu atbildību „Kultūras un sporta centrs „Daugavas stadions””. Programmas ietvaros ir jāveic arī Daugavas stadiona centrālā sporta laukuma (futbols un vieglatlētika) rekonstrukcija. Minētie darbi nav attiecināmi no ERAF atbalsta 5.6.1.</w:t>
            </w:r>
            <w:r w:rsidR="00055224">
              <w:t xml:space="preserve"> </w:t>
            </w:r>
            <w:r>
              <w:t>SAM ietvaros, kā rezultātā šo darbu veikšanai ir nepieciešams papildu valsts budžeta finansējums. Darbu veikšana nepieciešama, lai nodrošinātu Daugavas stadiona centrālā laukuma atbilstību futbola un vieglatlētikas starptautisko sporta organizāciju (FIFA, UEFA</w:t>
            </w:r>
            <w:r w:rsidR="005C628A">
              <w:rPr>
                <w:rStyle w:val="FootnoteReference"/>
              </w:rPr>
              <w:footnoteReference w:id="3"/>
            </w:r>
            <w:r>
              <w:t>, IAAF) prasībām.</w:t>
            </w:r>
          </w:p>
          <w:p w14:paraId="7F4FA5E1" w14:textId="5AFC1450" w:rsidR="00ED196E" w:rsidRDefault="00ED196E" w:rsidP="00C75E08">
            <w:pPr>
              <w:ind w:left="141" w:right="142" w:firstLine="567"/>
              <w:jc w:val="both"/>
            </w:pPr>
            <w:r w:rsidRPr="00ED196E">
              <w:t>Finansējums paredzēts saskaņā ar Ministru kabineta 2015.</w:t>
            </w:r>
            <w:r w:rsidR="000A0C0F">
              <w:t xml:space="preserve"> </w:t>
            </w:r>
            <w:r w:rsidRPr="00ED196E">
              <w:t>gada 11.</w:t>
            </w:r>
            <w:r w:rsidR="000A0C0F">
              <w:t xml:space="preserve"> </w:t>
            </w:r>
            <w:r w:rsidRPr="00ED196E">
              <w:t>novembra rīkojuma Nr.714 „Par konceptuālo ziņojumu „Par Daugavas stadiona (Rīgā) teritorijas revitalizācijas programmas „Kultūras un sporta kvartāla izveide Grīziņkalna apkaimē” īstenošanu” 3.</w:t>
            </w:r>
            <w:r w:rsidR="000A0C0F">
              <w:t xml:space="preserve"> </w:t>
            </w:r>
            <w:r w:rsidRPr="00ED196E">
              <w:t>punktā noteikto, kā arī ņemot vērā notificētajā valsts atbalsta aprakstā noteikto, ievērojot Kultūras un sporta kvartāla Grīziņkalnā teritorijas attīstības stratēģiju (versija 1.2). Daugavas stadiona centrālā sporta laukuma (futbols un vieglatlētika) rekonstrukcijai nav izmantojami 5.6.1. SAM „Veicināt Rīgas pilsētas revitalizāciju, nodrošinot teritorijas efektīvu sociālekonomisko izmantošanu” līdzekļi.</w:t>
            </w:r>
            <w:r w:rsidR="004E3617">
              <w:t xml:space="preserve"> Ņemot iepriekš minēto, papildus informācija šajā sākotnējās ietekmes novērtējuma ziņojumā (anotācijā) netiks sniegta.</w:t>
            </w:r>
          </w:p>
          <w:p w14:paraId="2FB00B6F" w14:textId="77777777" w:rsidR="005523A9" w:rsidRDefault="005523A9" w:rsidP="007E0148">
            <w:pPr>
              <w:ind w:left="141" w:right="142" w:firstLine="567"/>
              <w:jc w:val="both"/>
            </w:pPr>
          </w:p>
          <w:p w14:paraId="7235D88D" w14:textId="77777777" w:rsidR="0053721C" w:rsidRDefault="001D0B33" w:rsidP="007E0148">
            <w:pPr>
              <w:ind w:left="141" w:right="142"/>
              <w:jc w:val="both"/>
              <w:rPr>
                <w:b/>
                <w:u w:val="single"/>
              </w:rPr>
            </w:pPr>
            <w:r w:rsidRPr="005523A9">
              <w:rPr>
                <w:b/>
                <w:u w:val="single"/>
              </w:rPr>
              <w:t>Murjāņu sporta ģimnāzijas infrastruktūras pilnveide</w:t>
            </w:r>
          </w:p>
          <w:p w14:paraId="4531CB38" w14:textId="77777777" w:rsidR="00C75E08" w:rsidRPr="005523A9" w:rsidRDefault="00C75E08" w:rsidP="007E0148">
            <w:pPr>
              <w:ind w:left="141" w:right="142"/>
              <w:jc w:val="both"/>
              <w:rPr>
                <w:b/>
                <w:u w:val="single"/>
              </w:rPr>
            </w:pPr>
          </w:p>
          <w:p w14:paraId="29EF62BA" w14:textId="7E6B2666" w:rsidR="00C75E08" w:rsidRDefault="00EE21E4" w:rsidP="007E0148">
            <w:pPr>
              <w:ind w:left="141" w:right="142" w:firstLine="567"/>
              <w:jc w:val="both"/>
            </w:pPr>
            <w:r w:rsidRPr="005523A9">
              <w:t xml:space="preserve">Murjāņu sporta ģimnāzija </w:t>
            </w:r>
            <w:r w:rsidR="00602697">
              <w:t xml:space="preserve">(turpmāk – MSĢ) </w:t>
            </w:r>
            <w:r w:rsidRPr="005523A9">
              <w:rPr>
                <w:shd w:val="clear" w:color="auto" w:fill="FFFFFF"/>
              </w:rPr>
              <w:t xml:space="preserve">ir valsts dibināta vispārējās izglītības un sporta izglītības iestāde, kas atrodas </w:t>
            </w:r>
            <w:r w:rsidR="00C75E08">
              <w:rPr>
                <w:shd w:val="clear" w:color="auto" w:fill="FFFFFF"/>
              </w:rPr>
              <w:t>IZM</w:t>
            </w:r>
            <w:r w:rsidRPr="005523A9">
              <w:rPr>
                <w:shd w:val="clear" w:color="auto" w:fill="FFFFFF"/>
              </w:rPr>
              <w:t xml:space="preserve"> pakļautībā.</w:t>
            </w:r>
            <w:r w:rsidR="00B52C37" w:rsidRPr="005523A9">
              <w:t xml:space="preserve"> </w:t>
            </w:r>
            <w:r w:rsidR="000B32F7" w:rsidRPr="005523A9">
              <w:t xml:space="preserve">2018. gadā </w:t>
            </w:r>
            <w:r w:rsidR="00602697">
              <w:t>MSĢ</w:t>
            </w:r>
            <w:r w:rsidR="00C75E08">
              <w:t xml:space="preserve"> </w:t>
            </w:r>
            <w:r w:rsidR="007E1E49" w:rsidRPr="005523A9">
              <w:t>tika piešķirt</w:t>
            </w:r>
            <w:r w:rsidR="00C75E08">
              <w:t xml:space="preserve">s mērķfinansējums (dotācija) </w:t>
            </w:r>
            <w:r w:rsidR="007E1E49" w:rsidRPr="005523A9">
              <w:t xml:space="preserve">75 000 </w:t>
            </w:r>
            <w:r w:rsidR="007E1E49" w:rsidRPr="005523A9">
              <w:rPr>
                <w:i/>
              </w:rPr>
              <w:t>euro</w:t>
            </w:r>
            <w:r w:rsidR="007E1E49" w:rsidRPr="005523A9">
              <w:t xml:space="preserve">, lai novērstu </w:t>
            </w:r>
            <w:r w:rsidR="007E1E49" w:rsidRPr="005523A9">
              <w:rPr>
                <w:rFonts w:eastAsiaTheme="minorHAnsi"/>
              </w:rPr>
              <w:t>Veselības inspekcijas atzinumos konstatētās nepilnīb</w:t>
            </w:r>
            <w:r w:rsidR="00C75E08">
              <w:rPr>
                <w:rFonts w:eastAsiaTheme="minorHAnsi"/>
              </w:rPr>
              <w:t xml:space="preserve">as. </w:t>
            </w:r>
            <w:r w:rsidR="007E1E49" w:rsidRPr="005523A9">
              <w:t xml:space="preserve">2019. gadā </w:t>
            </w:r>
            <w:r w:rsidR="00602697">
              <w:t>MSĢ</w:t>
            </w:r>
            <w:r w:rsidR="007E1E49" w:rsidRPr="005523A9">
              <w:t xml:space="preserve"> </w:t>
            </w:r>
            <w:r w:rsidR="00C75E08" w:rsidRPr="005523A9">
              <w:t xml:space="preserve"> tika piešķirt</w:t>
            </w:r>
            <w:r w:rsidR="00C75E08">
              <w:t>s mērķfinansējums (dotācija) 9</w:t>
            </w:r>
            <w:r w:rsidR="007E1E49" w:rsidRPr="005523A9">
              <w:t xml:space="preserve">9 400 </w:t>
            </w:r>
            <w:r w:rsidR="007E1E49" w:rsidRPr="005523A9">
              <w:rPr>
                <w:i/>
                <w:iCs/>
              </w:rPr>
              <w:t xml:space="preserve">euro </w:t>
            </w:r>
            <w:r w:rsidR="007E1E49" w:rsidRPr="005523A9">
              <w:rPr>
                <w:iCs/>
              </w:rPr>
              <w:t>apmērā, lai nodrošinātu plānotos pasākumus sekmīgas mācību iestādes akreditācijas procesam</w:t>
            </w:r>
            <w:r w:rsidR="00C75E08">
              <w:rPr>
                <w:iCs/>
              </w:rPr>
              <w:t xml:space="preserve">. </w:t>
            </w:r>
            <w:r w:rsidR="007E1E49" w:rsidRPr="005523A9">
              <w:t>2020. gadā</w:t>
            </w:r>
            <w:r w:rsidR="00C75E08">
              <w:t xml:space="preserve"> nepieciešams turpināt investīcijas iestādes infrastruktūras sakārtošanā, lai </w:t>
            </w:r>
            <w:r w:rsidR="00C75E08" w:rsidRPr="005523A9">
              <w:t xml:space="preserve">nodrošinātu </w:t>
            </w:r>
            <w:r w:rsidR="00C75E08">
              <w:t xml:space="preserve">tās </w:t>
            </w:r>
            <w:r w:rsidR="00C75E08" w:rsidRPr="005523A9">
              <w:t>sagatavošanu akreditācijai</w:t>
            </w:r>
            <w:r w:rsidR="00C75E08">
              <w:t xml:space="preserve"> (2021. gada 1. ceturksnī)</w:t>
            </w:r>
            <w:r w:rsidR="00C75E08" w:rsidRPr="005523A9">
              <w:t>, kā arī uzlabotu iestādes fizisko vidi un drošību.</w:t>
            </w:r>
          </w:p>
          <w:p w14:paraId="45679178" w14:textId="77777777" w:rsidR="00C75E08" w:rsidRDefault="00C75E08" w:rsidP="007E0148">
            <w:pPr>
              <w:ind w:left="141" w:right="142" w:firstLine="567"/>
              <w:jc w:val="both"/>
            </w:pPr>
          </w:p>
          <w:tbl>
            <w:tblPr>
              <w:tblW w:w="7508" w:type="dxa"/>
              <w:shd w:val="clear" w:color="auto" w:fill="FFFFFF" w:themeFill="background1"/>
              <w:tblLayout w:type="fixed"/>
              <w:tblLook w:val="04A0" w:firstRow="1" w:lastRow="0" w:firstColumn="1" w:lastColumn="0" w:noHBand="0" w:noVBand="1"/>
            </w:tblPr>
            <w:tblGrid>
              <w:gridCol w:w="557"/>
              <w:gridCol w:w="3833"/>
              <w:gridCol w:w="1842"/>
              <w:gridCol w:w="1276"/>
            </w:tblGrid>
            <w:tr w:rsidR="00C75E08" w:rsidRPr="00C75E08" w14:paraId="7A89AAF4" w14:textId="77777777" w:rsidTr="00C75E08">
              <w:trPr>
                <w:trHeight w:val="752"/>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760D77" w14:textId="59ACFAEE" w:rsidR="00C75E08" w:rsidRPr="00C75E08" w:rsidRDefault="00C75E08" w:rsidP="000579E3">
                  <w:pPr>
                    <w:framePr w:hSpace="180" w:wrap="around" w:vAnchor="text" w:hAnchor="margin" w:xAlign="center" w:y="149"/>
                    <w:jc w:val="center"/>
                    <w:rPr>
                      <w:rFonts w:eastAsia="Times New Roman"/>
                      <w:b/>
                      <w:bCs/>
                      <w:sz w:val="22"/>
                      <w:szCs w:val="22"/>
                    </w:rPr>
                  </w:pPr>
                  <w:r>
                    <w:rPr>
                      <w:rFonts w:eastAsia="Times New Roman"/>
                      <w:b/>
                      <w:bCs/>
                      <w:sz w:val="22"/>
                      <w:szCs w:val="22"/>
                    </w:rPr>
                    <w:t>Nr.</w:t>
                  </w:r>
                </w:p>
              </w:tc>
              <w:tc>
                <w:tcPr>
                  <w:tcW w:w="383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EF7687" w14:textId="3F25D86D" w:rsidR="00C75E08" w:rsidRPr="00C75E08" w:rsidRDefault="00DA3734" w:rsidP="000579E3">
                  <w:pPr>
                    <w:framePr w:hSpace="180" w:wrap="around" w:vAnchor="text" w:hAnchor="margin" w:xAlign="center" w:y="149"/>
                    <w:jc w:val="center"/>
                    <w:rPr>
                      <w:rFonts w:eastAsia="Times New Roman"/>
                      <w:b/>
                      <w:bCs/>
                      <w:sz w:val="22"/>
                      <w:szCs w:val="22"/>
                    </w:rPr>
                  </w:pPr>
                  <w:r>
                    <w:rPr>
                      <w:rFonts w:eastAsia="Times New Roman"/>
                      <w:b/>
                      <w:bCs/>
                      <w:sz w:val="22"/>
                      <w:szCs w:val="22"/>
                    </w:rPr>
                    <w:t>Plānotie v</w:t>
                  </w:r>
                  <w:r w:rsidR="00C75E08">
                    <w:rPr>
                      <w:rFonts w:eastAsia="Times New Roman"/>
                      <w:b/>
                      <w:bCs/>
                      <w:sz w:val="22"/>
                      <w:szCs w:val="22"/>
                    </w:rPr>
                    <w:t>eicamie d</w:t>
                  </w:r>
                  <w:r w:rsidR="00C75E08" w:rsidRPr="00C75E08">
                    <w:rPr>
                      <w:rFonts w:eastAsia="Times New Roman"/>
                      <w:b/>
                      <w:bCs/>
                      <w:sz w:val="22"/>
                      <w:szCs w:val="22"/>
                    </w:rPr>
                    <w:t>arbi</w:t>
                  </w:r>
                </w:p>
              </w:tc>
              <w:tc>
                <w:tcPr>
                  <w:tcW w:w="184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A31341" w14:textId="77777777" w:rsidR="00C75E08" w:rsidRPr="00C75E08" w:rsidRDefault="00C75E08" w:rsidP="000579E3">
                  <w:pPr>
                    <w:framePr w:hSpace="180" w:wrap="around" w:vAnchor="text" w:hAnchor="margin" w:xAlign="center" w:y="149"/>
                    <w:jc w:val="center"/>
                    <w:rPr>
                      <w:rFonts w:eastAsia="Times New Roman"/>
                      <w:b/>
                      <w:bCs/>
                      <w:sz w:val="22"/>
                      <w:szCs w:val="22"/>
                    </w:rPr>
                  </w:pPr>
                  <w:r w:rsidRPr="00C75E08">
                    <w:rPr>
                      <w:rFonts w:eastAsia="Times New Roman"/>
                      <w:b/>
                      <w:bCs/>
                      <w:sz w:val="22"/>
                      <w:szCs w:val="22"/>
                    </w:rPr>
                    <w:t>Struktūrvienība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2661FB" w14:textId="466AA585" w:rsidR="00C75E08" w:rsidRPr="00C75E08" w:rsidRDefault="00C75E08" w:rsidP="000579E3">
                  <w:pPr>
                    <w:framePr w:hSpace="180" w:wrap="around" w:vAnchor="text" w:hAnchor="margin" w:xAlign="center" w:y="149"/>
                    <w:jc w:val="center"/>
                    <w:rPr>
                      <w:rFonts w:eastAsia="Times New Roman"/>
                      <w:b/>
                      <w:bCs/>
                      <w:sz w:val="22"/>
                      <w:szCs w:val="22"/>
                    </w:rPr>
                  </w:pPr>
                  <w:r w:rsidRPr="00C75E08">
                    <w:rPr>
                      <w:rFonts w:eastAsia="Times New Roman"/>
                      <w:b/>
                      <w:bCs/>
                      <w:sz w:val="22"/>
                      <w:szCs w:val="22"/>
                    </w:rPr>
                    <w:t xml:space="preserve">Plānotās izmaksas, </w:t>
                  </w:r>
                  <w:r w:rsidRPr="00C75E08">
                    <w:rPr>
                      <w:rFonts w:eastAsia="Times New Roman"/>
                      <w:b/>
                      <w:bCs/>
                      <w:i/>
                      <w:sz w:val="22"/>
                      <w:szCs w:val="22"/>
                    </w:rPr>
                    <w:t>euro</w:t>
                  </w:r>
                  <w:r w:rsidRPr="00C75E08">
                    <w:rPr>
                      <w:rFonts w:eastAsia="Times New Roman"/>
                      <w:b/>
                      <w:bCs/>
                      <w:sz w:val="22"/>
                      <w:szCs w:val="22"/>
                    </w:rPr>
                    <w:t xml:space="preserve"> </w:t>
                  </w:r>
                  <w:r>
                    <w:rPr>
                      <w:rFonts w:eastAsia="Times New Roman"/>
                      <w:b/>
                      <w:bCs/>
                      <w:sz w:val="22"/>
                      <w:szCs w:val="22"/>
                    </w:rPr>
                    <w:br/>
                  </w:r>
                  <w:r w:rsidRPr="00C75E08">
                    <w:rPr>
                      <w:rFonts w:eastAsia="Times New Roman"/>
                      <w:b/>
                      <w:bCs/>
                      <w:sz w:val="22"/>
                      <w:szCs w:val="22"/>
                    </w:rPr>
                    <w:t>(ar PVN)</w:t>
                  </w:r>
                </w:p>
              </w:tc>
            </w:tr>
            <w:tr w:rsidR="00C75E08" w:rsidRPr="00C75E08" w14:paraId="1C16B716" w14:textId="77777777" w:rsidTr="00C75E08">
              <w:trPr>
                <w:trHeight w:val="286"/>
              </w:trPr>
              <w:tc>
                <w:tcPr>
                  <w:tcW w:w="55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E704B81"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1.</w:t>
                  </w:r>
                </w:p>
              </w:tc>
              <w:tc>
                <w:tcPr>
                  <w:tcW w:w="383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50D46E5" w14:textId="77777777" w:rsidR="00C75E08" w:rsidRPr="00C75E08" w:rsidRDefault="00C75E08" w:rsidP="000579E3">
                  <w:pPr>
                    <w:framePr w:hSpace="180" w:wrap="around" w:vAnchor="text" w:hAnchor="margin" w:xAlign="center" w:y="149"/>
                    <w:jc w:val="both"/>
                    <w:rPr>
                      <w:rFonts w:eastAsia="Times New Roman"/>
                      <w:sz w:val="22"/>
                      <w:szCs w:val="22"/>
                    </w:rPr>
                  </w:pPr>
                  <w:r w:rsidRPr="00C75E08">
                    <w:rPr>
                      <w:rFonts w:eastAsia="Times New Roman"/>
                      <w:sz w:val="22"/>
                      <w:szCs w:val="22"/>
                    </w:rPr>
                    <w:t xml:space="preserve">MSĢ ugunsdzēsības sistēmas remonts </w:t>
                  </w:r>
                </w:p>
              </w:tc>
              <w:tc>
                <w:tcPr>
                  <w:tcW w:w="184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965670D"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Murjāņi</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22F4FD6" w14:textId="77777777" w:rsidR="00C75E08" w:rsidRPr="00C75E08" w:rsidRDefault="00C75E08" w:rsidP="000579E3">
                  <w:pPr>
                    <w:framePr w:hSpace="180" w:wrap="around" w:vAnchor="text" w:hAnchor="margin" w:xAlign="center" w:y="149"/>
                    <w:ind w:right="75"/>
                    <w:jc w:val="right"/>
                    <w:rPr>
                      <w:rFonts w:eastAsia="Times New Roman"/>
                      <w:sz w:val="22"/>
                      <w:szCs w:val="22"/>
                    </w:rPr>
                  </w:pPr>
                  <w:r w:rsidRPr="00C75E08">
                    <w:rPr>
                      <w:rFonts w:eastAsia="Times New Roman"/>
                      <w:sz w:val="22"/>
                      <w:szCs w:val="22"/>
                    </w:rPr>
                    <w:t>54 766,89</w:t>
                  </w:r>
                </w:p>
              </w:tc>
            </w:tr>
            <w:tr w:rsidR="00C75E08" w:rsidRPr="00C75E08" w14:paraId="20E95618" w14:textId="77777777" w:rsidTr="00C75E08">
              <w:trPr>
                <w:trHeight w:val="286"/>
              </w:trPr>
              <w:tc>
                <w:tcPr>
                  <w:tcW w:w="5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7A81AA" w14:textId="77777777" w:rsidR="00C75E08" w:rsidRPr="00C75E08" w:rsidRDefault="00C75E08" w:rsidP="000579E3">
                  <w:pPr>
                    <w:framePr w:hSpace="180" w:wrap="around" w:vAnchor="text" w:hAnchor="margin" w:xAlign="center" w:y="149"/>
                    <w:jc w:val="center"/>
                    <w:rPr>
                      <w:rFonts w:eastAsia="Times New Roman"/>
                      <w:sz w:val="22"/>
                      <w:szCs w:val="22"/>
                    </w:rPr>
                  </w:pPr>
                </w:p>
              </w:tc>
              <w:tc>
                <w:tcPr>
                  <w:tcW w:w="383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CCD12DA" w14:textId="77777777" w:rsidR="00C75E08" w:rsidRPr="00C75E08" w:rsidRDefault="00C75E08" w:rsidP="000579E3">
                  <w:pPr>
                    <w:framePr w:hSpace="180" w:wrap="around" w:vAnchor="text" w:hAnchor="margin" w:xAlign="center" w:y="149"/>
                    <w:jc w:val="both"/>
                    <w:rPr>
                      <w:rFonts w:eastAsia="Times New Roman"/>
                      <w:sz w:val="22"/>
                      <w:szCs w:val="22"/>
                    </w:rPr>
                  </w:pPr>
                </w:p>
              </w:tc>
              <w:tc>
                <w:tcPr>
                  <w:tcW w:w="1842"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2590298" w14:textId="77777777" w:rsidR="00C75E08" w:rsidRPr="00C75E08" w:rsidRDefault="00C75E08" w:rsidP="000579E3">
                  <w:pPr>
                    <w:framePr w:hSpace="180" w:wrap="around" w:vAnchor="text" w:hAnchor="margin" w:xAlign="center" w:y="149"/>
                    <w:rPr>
                      <w:rFonts w:eastAsia="Times New Roman"/>
                      <w:sz w:val="22"/>
                      <w:szCs w:val="22"/>
                    </w:rPr>
                  </w:pP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C57369" w14:textId="77777777" w:rsidR="00C75E08" w:rsidRPr="00C75E08" w:rsidRDefault="00C75E08" w:rsidP="000579E3">
                  <w:pPr>
                    <w:framePr w:hSpace="180" w:wrap="around" w:vAnchor="text" w:hAnchor="margin" w:xAlign="center" w:y="149"/>
                    <w:ind w:right="75"/>
                    <w:rPr>
                      <w:rFonts w:eastAsia="Times New Roman"/>
                      <w:sz w:val="22"/>
                      <w:szCs w:val="22"/>
                    </w:rPr>
                  </w:pPr>
                </w:p>
              </w:tc>
            </w:tr>
            <w:tr w:rsidR="00C75E08" w:rsidRPr="00C75E08" w14:paraId="60380EE8" w14:textId="77777777" w:rsidTr="00C75E08">
              <w:trPr>
                <w:trHeight w:val="573"/>
              </w:trPr>
              <w:tc>
                <w:tcPr>
                  <w:tcW w:w="5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988D1E"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lastRenderedPageBreak/>
                    <w:t>2.</w:t>
                  </w:r>
                </w:p>
              </w:tc>
              <w:tc>
                <w:tcPr>
                  <w:tcW w:w="3833" w:type="dxa"/>
                  <w:tcBorders>
                    <w:top w:val="nil"/>
                    <w:left w:val="nil"/>
                    <w:bottom w:val="single" w:sz="4" w:space="0" w:color="auto"/>
                    <w:right w:val="single" w:sz="4" w:space="0" w:color="auto"/>
                  </w:tcBorders>
                  <w:shd w:val="clear" w:color="auto" w:fill="FFFFFF" w:themeFill="background1"/>
                  <w:vAlign w:val="center"/>
                  <w:hideMark/>
                </w:tcPr>
                <w:p w14:paraId="216A8CCB" w14:textId="77777777" w:rsidR="00C75E08" w:rsidRPr="00C75E08" w:rsidRDefault="00C75E08" w:rsidP="000579E3">
                  <w:pPr>
                    <w:framePr w:hSpace="180" w:wrap="around" w:vAnchor="text" w:hAnchor="margin" w:xAlign="center" w:y="149"/>
                    <w:jc w:val="both"/>
                    <w:rPr>
                      <w:rFonts w:eastAsia="Times New Roman"/>
                      <w:sz w:val="22"/>
                      <w:szCs w:val="22"/>
                    </w:rPr>
                  </w:pPr>
                  <w:r w:rsidRPr="00C75E08">
                    <w:rPr>
                      <w:rFonts w:eastAsia="Times New Roman"/>
                      <w:sz w:val="22"/>
                      <w:szCs w:val="22"/>
                    </w:rPr>
                    <w:t>Sadales elektroinstalācijas sistēmas nomaiņa</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0FA819DF"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Murjāņi</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EF5367C" w14:textId="77777777" w:rsidR="00C75E08" w:rsidRPr="00C75E08" w:rsidRDefault="00C75E08" w:rsidP="000579E3">
                  <w:pPr>
                    <w:framePr w:hSpace="180" w:wrap="around" w:vAnchor="text" w:hAnchor="margin" w:xAlign="center" w:y="149"/>
                    <w:ind w:right="75"/>
                    <w:jc w:val="right"/>
                    <w:rPr>
                      <w:rFonts w:eastAsia="Times New Roman"/>
                      <w:sz w:val="22"/>
                      <w:szCs w:val="22"/>
                    </w:rPr>
                  </w:pPr>
                  <w:r w:rsidRPr="00C75E08">
                    <w:rPr>
                      <w:rFonts w:eastAsia="Times New Roman"/>
                      <w:sz w:val="22"/>
                      <w:szCs w:val="22"/>
                    </w:rPr>
                    <w:t>59 795,52</w:t>
                  </w:r>
                </w:p>
              </w:tc>
            </w:tr>
            <w:tr w:rsidR="00C75E08" w:rsidRPr="00C75E08" w14:paraId="22CC8581" w14:textId="77777777" w:rsidTr="00C75E08">
              <w:trPr>
                <w:trHeight w:val="573"/>
              </w:trPr>
              <w:tc>
                <w:tcPr>
                  <w:tcW w:w="5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1A0CEA5"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3.</w:t>
                  </w:r>
                </w:p>
              </w:tc>
              <w:tc>
                <w:tcPr>
                  <w:tcW w:w="3833" w:type="dxa"/>
                  <w:tcBorders>
                    <w:top w:val="nil"/>
                    <w:left w:val="nil"/>
                    <w:bottom w:val="single" w:sz="4" w:space="0" w:color="auto"/>
                    <w:right w:val="single" w:sz="4" w:space="0" w:color="auto"/>
                  </w:tcBorders>
                  <w:shd w:val="clear" w:color="auto" w:fill="FFFFFF" w:themeFill="background1"/>
                  <w:vAlign w:val="center"/>
                  <w:hideMark/>
                </w:tcPr>
                <w:p w14:paraId="71246D26" w14:textId="77777777" w:rsidR="00C75E08" w:rsidRPr="00C75E08" w:rsidRDefault="00C75E08" w:rsidP="000579E3">
                  <w:pPr>
                    <w:framePr w:hSpace="180" w:wrap="around" w:vAnchor="text" w:hAnchor="margin" w:xAlign="center" w:y="149"/>
                    <w:jc w:val="both"/>
                    <w:rPr>
                      <w:rFonts w:eastAsia="Times New Roman"/>
                      <w:sz w:val="22"/>
                      <w:szCs w:val="22"/>
                    </w:rPr>
                  </w:pPr>
                  <w:r w:rsidRPr="00C75E08">
                    <w:rPr>
                      <w:rFonts w:eastAsia="Times New Roman"/>
                      <w:sz w:val="22"/>
                      <w:szCs w:val="22"/>
                    </w:rPr>
                    <w:t>MSĢ sanitāro mezglu un kanalizācijas sistēmas renovācija</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1D7C4983"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Murjāņi</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441CE00F" w14:textId="77777777" w:rsidR="00C75E08" w:rsidRPr="00C75E08" w:rsidRDefault="00C75E08" w:rsidP="000579E3">
                  <w:pPr>
                    <w:framePr w:hSpace="180" w:wrap="around" w:vAnchor="text" w:hAnchor="margin" w:xAlign="center" w:y="149"/>
                    <w:ind w:right="75"/>
                    <w:jc w:val="right"/>
                    <w:rPr>
                      <w:rFonts w:eastAsia="Times New Roman"/>
                      <w:sz w:val="22"/>
                      <w:szCs w:val="22"/>
                    </w:rPr>
                  </w:pPr>
                  <w:r w:rsidRPr="00C75E08">
                    <w:rPr>
                      <w:rFonts w:eastAsia="Times New Roman"/>
                      <w:sz w:val="22"/>
                      <w:szCs w:val="22"/>
                    </w:rPr>
                    <w:t>20 711,09</w:t>
                  </w:r>
                </w:p>
              </w:tc>
            </w:tr>
            <w:tr w:rsidR="00C75E08" w:rsidRPr="00C75E08" w14:paraId="11233044" w14:textId="77777777" w:rsidTr="00C75E08">
              <w:trPr>
                <w:trHeight w:val="286"/>
              </w:trPr>
              <w:tc>
                <w:tcPr>
                  <w:tcW w:w="55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2A687A"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4.</w:t>
                  </w:r>
                </w:p>
              </w:tc>
              <w:tc>
                <w:tcPr>
                  <w:tcW w:w="383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4F6D627" w14:textId="77777777" w:rsidR="00C75E08" w:rsidRPr="00C75E08" w:rsidRDefault="00C75E08" w:rsidP="000579E3">
                  <w:pPr>
                    <w:framePr w:hSpace="180" w:wrap="around" w:vAnchor="text" w:hAnchor="margin" w:xAlign="center" w:y="149"/>
                    <w:jc w:val="both"/>
                    <w:rPr>
                      <w:rFonts w:eastAsia="Times New Roman"/>
                      <w:sz w:val="22"/>
                      <w:szCs w:val="22"/>
                    </w:rPr>
                  </w:pPr>
                  <w:r w:rsidRPr="00C75E08">
                    <w:rPr>
                      <w:rFonts w:eastAsia="Times New Roman"/>
                      <w:sz w:val="22"/>
                      <w:szCs w:val="22"/>
                    </w:rPr>
                    <w:t>Mācību klašu telpu (46., 47., 48., 49., 51.un 53.) kosmētiskais remonts</w:t>
                  </w:r>
                </w:p>
              </w:tc>
              <w:tc>
                <w:tcPr>
                  <w:tcW w:w="184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827B19"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TSV Jūrmala</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4B93B42" w14:textId="77777777" w:rsidR="00C75E08" w:rsidRPr="00C75E08" w:rsidRDefault="00C75E08" w:rsidP="000579E3">
                  <w:pPr>
                    <w:framePr w:hSpace="180" w:wrap="around" w:vAnchor="text" w:hAnchor="margin" w:xAlign="center" w:y="149"/>
                    <w:ind w:right="75"/>
                    <w:jc w:val="right"/>
                    <w:rPr>
                      <w:rFonts w:eastAsia="Times New Roman"/>
                      <w:sz w:val="22"/>
                      <w:szCs w:val="22"/>
                    </w:rPr>
                  </w:pPr>
                  <w:r w:rsidRPr="00C75E08">
                    <w:rPr>
                      <w:rFonts w:eastAsia="Times New Roman"/>
                      <w:sz w:val="22"/>
                      <w:szCs w:val="22"/>
                    </w:rPr>
                    <w:t>11 780,91</w:t>
                  </w:r>
                </w:p>
              </w:tc>
            </w:tr>
            <w:tr w:rsidR="00C75E08" w:rsidRPr="00C75E08" w14:paraId="1943F444" w14:textId="77777777" w:rsidTr="00C75E08">
              <w:trPr>
                <w:trHeight w:val="286"/>
              </w:trPr>
              <w:tc>
                <w:tcPr>
                  <w:tcW w:w="5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FF59A7" w14:textId="77777777" w:rsidR="00C75E08" w:rsidRPr="00C75E08" w:rsidRDefault="00C75E08" w:rsidP="000579E3">
                  <w:pPr>
                    <w:framePr w:hSpace="180" w:wrap="around" w:vAnchor="text" w:hAnchor="margin" w:xAlign="center" w:y="149"/>
                    <w:jc w:val="center"/>
                    <w:rPr>
                      <w:rFonts w:eastAsia="Times New Roman"/>
                      <w:sz w:val="22"/>
                      <w:szCs w:val="22"/>
                    </w:rPr>
                  </w:pPr>
                </w:p>
              </w:tc>
              <w:tc>
                <w:tcPr>
                  <w:tcW w:w="383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81F10F2" w14:textId="77777777" w:rsidR="00C75E08" w:rsidRPr="00C75E08" w:rsidRDefault="00C75E08" w:rsidP="000579E3">
                  <w:pPr>
                    <w:framePr w:hSpace="180" w:wrap="around" w:vAnchor="text" w:hAnchor="margin" w:xAlign="center" w:y="149"/>
                    <w:jc w:val="both"/>
                    <w:rPr>
                      <w:rFonts w:eastAsia="Times New Roman"/>
                      <w:sz w:val="22"/>
                      <w:szCs w:val="22"/>
                    </w:rPr>
                  </w:pPr>
                </w:p>
              </w:tc>
              <w:tc>
                <w:tcPr>
                  <w:tcW w:w="1842"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D9CD02" w14:textId="77777777" w:rsidR="00C75E08" w:rsidRPr="00C75E08" w:rsidRDefault="00C75E08" w:rsidP="000579E3">
                  <w:pPr>
                    <w:framePr w:hSpace="180" w:wrap="around" w:vAnchor="text" w:hAnchor="margin" w:xAlign="center" w:y="149"/>
                    <w:rPr>
                      <w:rFonts w:eastAsia="Times New Roman"/>
                      <w:sz w:val="22"/>
                      <w:szCs w:val="22"/>
                    </w:rPr>
                  </w:pP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09AAF4E" w14:textId="77777777" w:rsidR="00C75E08" w:rsidRPr="00C75E08" w:rsidRDefault="00C75E08" w:rsidP="000579E3">
                  <w:pPr>
                    <w:framePr w:hSpace="180" w:wrap="around" w:vAnchor="text" w:hAnchor="margin" w:xAlign="center" w:y="149"/>
                    <w:ind w:right="75"/>
                    <w:rPr>
                      <w:rFonts w:eastAsia="Times New Roman"/>
                      <w:sz w:val="22"/>
                      <w:szCs w:val="22"/>
                    </w:rPr>
                  </w:pPr>
                </w:p>
              </w:tc>
            </w:tr>
            <w:tr w:rsidR="00C75E08" w:rsidRPr="00C75E08" w14:paraId="1E5350C0" w14:textId="77777777" w:rsidTr="00C75E08">
              <w:trPr>
                <w:trHeight w:val="286"/>
              </w:trPr>
              <w:tc>
                <w:tcPr>
                  <w:tcW w:w="55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FE9FA1"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5.</w:t>
                  </w:r>
                </w:p>
              </w:tc>
              <w:tc>
                <w:tcPr>
                  <w:tcW w:w="383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93ED5E7" w14:textId="77777777" w:rsidR="00C75E08" w:rsidRPr="00C75E08" w:rsidRDefault="00C75E08" w:rsidP="000579E3">
                  <w:pPr>
                    <w:framePr w:hSpace="180" w:wrap="around" w:vAnchor="text" w:hAnchor="margin" w:xAlign="center" w:y="149"/>
                    <w:jc w:val="both"/>
                    <w:rPr>
                      <w:rFonts w:eastAsia="Times New Roman"/>
                      <w:sz w:val="22"/>
                      <w:szCs w:val="22"/>
                    </w:rPr>
                  </w:pPr>
                  <w:r w:rsidRPr="00C75E08">
                    <w:rPr>
                      <w:rFonts w:eastAsia="Times New Roman"/>
                      <w:sz w:val="22"/>
                      <w:szCs w:val="22"/>
                    </w:rPr>
                    <w:t>Svaru, konceptu zāles un kāpņu telpas uz svaru zāli kosmētiskais remonts</w:t>
                  </w:r>
                </w:p>
              </w:tc>
              <w:tc>
                <w:tcPr>
                  <w:tcW w:w="184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A0E6C5"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TSV Jūrmala</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9C1E3F6" w14:textId="77777777" w:rsidR="00C75E08" w:rsidRPr="00C75E08" w:rsidRDefault="00C75E08" w:rsidP="000579E3">
                  <w:pPr>
                    <w:framePr w:hSpace="180" w:wrap="around" w:vAnchor="text" w:hAnchor="margin" w:xAlign="center" w:y="149"/>
                    <w:ind w:right="75"/>
                    <w:jc w:val="right"/>
                    <w:rPr>
                      <w:rFonts w:eastAsia="Times New Roman"/>
                      <w:sz w:val="22"/>
                      <w:szCs w:val="22"/>
                    </w:rPr>
                  </w:pPr>
                  <w:r w:rsidRPr="00C75E08">
                    <w:rPr>
                      <w:rFonts w:eastAsia="Times New Roman"/>
                      <w:sz w:val="22"/>
                      <w:szCs w:val="22"/>
                    </w:rPr>
                    <w:t>16 101,62</w:t>
                  </w:r>
                </w:p>
              </w:tc>
            </w:tr>
            <w:tr w:rsidR="00C75E08" w:rsidRPr="00C75E08" w14:paraId="2005F7E0" w14:textId="77777777" w:rsidTr="00C75E08">
              <w:trPr>
                <w:trHeight w:val="286"/>
              </w:trPr>
              <w:tc>
                <w:tcPr>
                  <w:tcW w:w="5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D4D9D4E" w14:textId="77777777" w:rsidR="00C75E08" w:rsidRPr="00C75E08" w:rsidRDefault="00C75E08" w:rsidP="000579E3">
                  <w:pPr>
                    <w:framePr w:hSpace="180" w:wrap="around" w:vAnchor="text" w:hAnchor="margin" w:xAlign="center" w:y="149"/>
                    <w:jc w:val="center"/>
                    <w:rPr>
                      <w:rFonts w:eastAsia="Times New Roman"/>
                      <w:sz w:val="22"/>
                      <w:szCs w:val="22"/>
                    </w:rPr>
                  </w:pPr>
                </w:p>
              </w:tc>
              <w:tc>
                <w:tcPr>
                  <w:tcW w:w="383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98A516" w14:textId="77777777" w:rsidR="00C75E08" w:rsidRPr="00C75E08" w:rsidRDefault="00C75E08" w:rsidP="000579E3">
                  <w:pPr>
                    <w:framePr w:hSpace="180" w:wrap="around" w:vAnchor="text" w:hAnchor="margin" w:xAlign="center" w:y="149"/>
                    <w:jc w:val="both"/>
                    <w:rPr>
                      <w:rFonts w:eastAsia="Times New Roman"/>
                      <w:sz w:val="22"/>
                      <w:szCs w:val="22"/>
                    </w:rPr>
                  </w:pPr>
                </w:p>
              </w:tc>
              <w:tc>
                <w:tcPr>
                  <w:tcW w:w="1842"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C01F842" w14:textId="77777777" w:rsidR="00C75E08" w:rsidRPr="00C75E08" w:rsidRDefault="00C75E08" w:rsidP="000579E3">
                  <w:pPr>
                    <w:framePr w:hSpace="180" w:wrap="around" w:vAnchor="text" w:hAnchor="margin" w:xAlign="center" w:y="149"/>
                    <w:rPr>
                      <w:rFonts w:eastAsia="Times New Roman"/>
                      <w:sz w:val="22"/>
                      <w:szCs w:val="22"/>
                    </w:rPr>
                  </w:pP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9DEFD1" w14:textId="77777777" w:rsidR="00C75E08" w:rsidRPr="00C75E08" w:rsidRDefault="00C75E08" w:rsidP="000579E3">
                  <w:pPr>
                    <w:framePr w:hSpace="180" w:wrap="around" w:vAnchor="text" w:hAnchor="margin" w:xAlign="center" w:y="149"/>
                    <w:ind w:right="75"/>
                    <w:rPr>
                      <w:rFonts w:eastAsia="Times New Roman"/>
                      <w:sz w:val="22"/>
                      <w:szCs w:val="22"/>
                    </w:rPr>
                  </w:pPr>
                </w:p>
              </w:tc>
            </w:tr>
            <w:tr w:rsidR="00C75E08" w:rsidRPr="00C75E08" w14:paraId="5278B510" w14:textId="77777777" w:rsidTr="00C75E08">
              <w:trPr>
                <w:trHeight w:val="573"/>
              </w:trPr>
              <w:tc>
                <w:tcPr>
                  <w:tcW w:w="5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0302C6"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6.</w:t>
                  </w:r>
                </w:p>
              </w:tc>
              <w:tc>
                <w:tcPr>
                  <w:tcW w:w="3833" w:type="dxa"/>
                  <w:tcBorders>
                    <w:top w:val="nil"/>
                    <w:left w:val="nil"/>
                    <w:bottom w:val="single" w:sz="4" w:space="0" w:color="auto"/>
                    <w:right w:val="single" w:sz="4" w:space="0" w:color="auto"/>
                  </w:tcBorders>
                  <w:shd w:val="clear" w:color="auto" w:fill="FFFFFF" w:themeFill="background1"/>
                  <w:vAlign w:val="center"/>
                  <w:hideMark/>
                </w:tcPr>
                <w:p w14:paraId="2E8E3AD3" w14:textId="77777777" w:rsidR="00C75E08" w:rsidRPr="00C75E08" w:rsidRDefault="00C75E08" w:rsidP="000579E3">
                  <w:pPr>
                    <w:framePr w:hSpace="180" w:wrap="around" w:vAnchor="text" w:hAnchor="margin" w:xAlign="center" w:y="149"/>
                    <w:jc w:val="both"/>
                    <w:rPr>
                      <w:rFonts w:eastAsia="Times New Roman"/>
                      <w:sz w:val="22"/>
                      <w:szCs w:val="22"/>
                    </w:rPr>
                  </w:pPr>
                  <w:r w:rsidRPr="00C75E08">
                    <w:rPr>
                      <w:rFonts w:eastAsia="Times New Roman"/>
                      <w:sz w:val="22"/>
                      <w:szCs w:val="22"/>
                    </w:rPr>
                    <w:t xml:space="preserve">Ventilācijas sistēmas remonts internātā un </w:t>
                  </w:r>
                  <w:proofErr w:type="spellStart"/>
                  <w:r w:rsidRPr="00C75E08">
                    <w:rPr>
                      <w:rFonts w:eastAsia="Times New Roman"/>
                      <w:sz w:val="22"/>
                      <w:szCs w:val="22"/>
                    </w:rPr>
                    <w:t>ventagregāta</w:t>
                  </w:r>
                  <w:proofErr w:type="spellEnd"/>
                  <w:r w:rsidRPr="00C75E08">
                    <w:rPr>
                      <w:rFonts w:eastAsia="Times New Roman"/>
                      <w:sz w:val="22"/>
                      <w:szCs w:val="22"/>
                    </w:rPr>
                    <w:t xml:space="preserve"> uzstādīšana 2.korpusā</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217382C7"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TSV Jūrmala</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676CC2C4" w14:textId="77777777" w:rsidR="00C75E08" w:rsidRPr="00C75E08" w:rsidRDefault="00C75E08" w:rsidP="000579E3">
                  <w:pPr>
                    <w:framePr w:hSpace="180" w:wrap="around" w:vAnchor="text" w:hAnchor="margin" w:xAlign="center" w:y="149"/>
                    <w:ind w:right="75"/>
                    <w:jc w:val="right"/>
                    <w:rPr>
                      <w:rFonts w:eastAsia="Times New Roman"/>
                      <w:sz w:val="22"/>
                      <w:szCs w:val="22"/>
                    </w:rPr>
                  </w:pPr>
                  <w:r w:rsidRPr="00C75E08">
                    <w:rPr>
                      <w:rFonts w:eastAsia="Times New Roman"/>
                      <w:sz w:val="22"/>
                      <w:szCs w:val="22"/>
                    </w:rPr>
                    <w:t>32 412,90</w:t>
                  </w:r>
                </w:p>
              </w:tc>
            </w:tr>
            <w:tr w:rsidR="00C75E08" w:rsidRPr="00C75E08" w14:paraId="79D8D8A9" w14:textId="77777777" w:rsidTr="00C75E08">
              <w:trPr>
                <w:trHeight w:val="369"/>
              </w:trPr>
              <w:tc>
                <w:tcPr>
                  <w:tcW w:w="5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C71B2C"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7.</w:t>
                  </w:r>
                </w:p>
              </w:tc>
              <w:tc>
                <w:tcPr>
                  <w:tcW w:w="3833" w:type="dxa"/>
                  <w:tcBorders>
                    <w:top w:val="nil"/>
                    <w:left w:val="nil"/>
                    <w:bottom w:val="single" w:sz="4" w:space="0" w:color="auto"/>
                    <w:right w:val="single" w:sz="4" w:space="0" w:color="auto"/>
                  </w:tcBorders>
                  <w:shd w:val="clear" w:color="auto" w:fill="FFFFFF" w:themeFill="background1"/>
                  <w:vAlign w:val="center"/>
                  <w:hideMark/>
                </w:tcPr>
                <w:p w14:paraId="206A6A90" w14:textId="77777777" w:rsidR="00C75E08" w:rsidRPr="00C75E08" w:rsidRDefault="00C75E08" w:rsidP="000579E3">
                  <w:pPr>
                    <w:framePr w:hSpace="180" w:wrap="around" w:vAnchor="text" w:hAnchor="margin" w:xAlign="center" w:y="149"/>
                    <w:jc w:val="both"/>
                    <w:rPr>
                      <w:rFonts w:eastAsia="Times New Roman"/>
                      <w:sz w:val="22"/>
                      <w:szCs w:val="22"/>
                    </w:rPr>
                  </w:pPr>
                  <w:r w:rsidRPr="00C75E08">
                    <w:rPr>
                      <w:rFonts w:eastAsia="Times New Roman"/>
                      <w:sz w:val="22"/>
                      <w:szCs w:val="22"/>
                    </w:rPr>
                    <w:t>Skolas ēdnīcas kosmētiskais remonts (atbilstoši PVD norādījumiem)</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2D86C84B"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TSV Jūrmala</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26BE9EA5" w14:textId="77777777" w:rsidR="00C75E08" w:rsidRPr="00C75E08" w:rsidRDefault="00C75E08" w:rsidP="000579E3">
                  <w:pPr>
                    <w:framePr w:hSpace="180" w:wrap="around" w:vAnchor="text" w:hAnchor="margin" w:xAlign="center" w:y="149"/>
                    <w:ind w:right="175"/>
                    <w:jc w:val="right"/>
                    <w:rPr>
                      <w:rFonts w:eastAsia="Times New Roman"/>
                      <w:sz w:val="22"/>
                      <w:szCs w:val="22"/>
                    </w:rPr>
                  </w:pPr>
                  <w:r w:rsidRPr="00C75E08">
                    <w:rPr>
                      <w:rFonts w:eastAsia="Times New Roman"/>
                      <w:sz w:val="22"/>
                      <w:szCs w:val="22"/>
                    </w:rPr>
                    <w:t>4731,95</w:t>
                  </w:r>
                </w:p>
              </w:tc>
            </w:tr>
            <w:tr w:rsidR="00C75E08" w:rsidRPr="00C75E08" w14:paraId="100A8E84" w14:textId="77777777" w:rsidTr="00C75E08">
              <w:trPr>
                <w:trHeight w:val="573"/>
              </w:trPr>
              <w:tc>
                <w:tcPr>
                  <w:tcW w:w="5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FCB87E"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8.</w:t>
                  </w:r>
                </w:p>
              </w:tc>
              <w:tc>
                <w:tcPr>
                  <w:tcW w:w="3833" w:type="dxa"/>
                  <w:tcBorders>
                    <w:top w:val="nil"/>
                    <w:left w:val="nil"/>
                    <w:bottom w:val="single" w:sz="4" w:space="0" w:color="auto"/>
                    <w:right w:val="single" w:sz="4" w:space="0" w:color="auto"/>
                  </w:tcBorders>
                  <w:shd w:val="clear" w:color="auto" w:fill="FFFFFF" w:themeFill="background1"/>
                  <w:vAlign w:val="center"/>
                  <w:hideMark/>
                </w:tcPr>
                <w:p w14:paraId="103E7F3C" w14:textId="77777777" w:rsidR="00C75E08" w:rsidRPr="00C75E08" w:rsidRDefault="00C75E08" w:rsidP="000579E3">
                  <w:pPr>
                    <w:framePr w:hSpace="180" w:wrap="around" w:vAnchor="text" w:hAnchor="margin" w:xAlign="center" w:y="149"/>
                    <w:jc w:val="both"/>
                    <w:rPr>
                      <w:rFonts w:eastAsia="Times New Roman"/>
                      <w:sz w:val="22"/>
                      <w:szCs w:val="22"/>
                    </w:rPr>
                  </w:pPr>
                  <w:r w:rsidRPr="00C75E08">
                    <w:rPr>
                      <w:rFonts w:eastAsia="Times New Roman"/>
                      <w:sz w:val="22"/>
                      <w:szCs w:val="22"/>
                    </w:rPr>
                    <w:t>Skolas ēkas jumta remonts (daļēja atjaunošana bojātajās vietās)</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48A3E2E2"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TSV Jūrmala</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5243D9E2" w14:textId="77777777" w:rsidR="00C75E08" w:rsidRPr="00C75E08" w:rsidRDefault="00C75E08" w:rsidP="000579E3">
                  <w:pPr>
                    <w:framePr w:hSpace="180" w:wrap="around" w:vAnchor="text" w:hAnchor="margin" w:xAlign="center" w:y="149"/>
                    <w:ind w:right="175"/>
                    <w:jc w:val="right"/>
                    <w:rPr>
                      <w:rFonts w:eastAsia="Times New Roman"/>
                      <w:sz w:val="22"/>
                      <w:szCs w:val="22"/>
                    </w:rPr>
                  </w:pPr>
                  <w:r w:rsidRPr="00C75E08">
                    <w:rPr>
                      <w:rFonts w:eastAsia="Times New Roman"/>
                      <w:sz w:val="22"/>
                      <w:szCs w:val="22"/>
                    </w:rPr>
                    <w:t>2349,65</w:t>
                  </w:r>
                </w:p>
              </w:tc>
            </w:tr>
            <w:tr w:rsidR="00C75E08" w:rsidRPr="00C75E08" w14:paraId="65DE119D" w14:textId="77777777" w:rsidTr="00C75E08">
              <w:trPr>
                <w:trHeight w:val="385"/>
              </w:trPr>
              <w:tc>
                <w:tcPr>
                  <w:tcW w:w="5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0A2883"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9.</w:t>
                  </w:r>
                </w:p>
              </w:tc>
              <w:tc>
                <w:tcPr>
                  <w:tcW w:w="3833" w:type="dxa"/>
                  <w:tcBorders>
                    <w:top w:val="nil"/>
                    <w:left w:val="nil"/>
                    <w:bottom w:val="single" w:sz="4" w:space="0" w:color="auto"/>
                    <w:right w:val="single" w:sz="4" w:space="0" w:color="auto"/>
                  </w:tcBorders>
                  <w:shd w:val="clear" w:color="auto" w:fill="FFFFFF" w:themeFill="background1"/>
                  <w:vAlign w:val="center"/>
                  <w:hideMark/>
                </w:tcPr>
                <w:p w14:paraId="20C0D2CD" w14:textId="77777777" w:rsidR="00C75E08" w:rsidRPr="00C75E08" w:rsidRDefault="00C75E08" w:rsidP="000579E3">
                  <w:pPr>
                    <w:framePr w:hSpace="180" w:wrap="around" w:vAnchor="text" w:hAnchor="margin" w:xAlign="center" w:y="149"/>
                    <w:jc w:val="both"/>
                    <w:rPr>
                      <w:rFonts w:eastAsia="Times New Roman"/>
                      <w:sz w:val="22"/>
                      <w:szCs w:val="22"/>
                    </w:rPr>
                  </w:pPr>
                  <w:r w:rsidRPr="00C75E08">
                    <w:rPr>
                      <w:rFonts w:eastAsia="Times New Roman"/>
                      <w:sz w:val="22"/>
                      <w:szCs w:val="22"/>
                    </w:rPr>
                    <w:t>Balkonu dēļu un flīžu remonts (drošības nodrošināšana)</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2063D892"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TSV Jūrmala</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1780ED7" w14:textId="77777777" w:rsidR="00C75E08" w:rsidRPr="00C75E08" w:rsidRDefault="00C75E08" w:rsidP="000579E3">
                  <w:pPr>
                    <w:framePr w:hSpace="180" w:wrap="around" w:vAnchor="text" w:hAnchor="margin" w:xAlign="center" w:y="149"/>
                    <w:ind w:right="175"/>
                    <w:jc w:val="right"/>
                    <w:rPr>
                      <w:rFonts w:eastAsia="Times New Roman"/>
                      <w:sz w:val="22"/>
                      <w:szCs w:val="22"/>
                    </w:rPr>
                  </w:pPr>
                  <w:r w:rsidRPr="00C75E08">
                    <w:rPr>
                      <w:rFonts w:eastAsia="Times New Roman"/>
                      <w:sz w:val="22"/>
                      <w:szCs w:val="22"/>
                    </w:rPr>
                    <w:t>5549,28</w:t>
                  </w:r>
                </w:p>
              </w:tc>
            </w:tr>
            <w:tr w:rsidR="00C75E08" w:rsidRPr="00C75E08" w14:paraId="22D485AB" w14:textId="77777777" w:rsidTr="00C75E08">
              <w:trPr>
                <w:trHeight w:val="447"/>
              </w:trPr>
              <w:tc>
                <w:tcPr>
                  <w:tcW w:w="5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56A721"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10.</w:t>
                  </w:r>
                </w:p>
              </w:tc>
              <w:tc>
                <w:tcPr>
                  <w:tcW w:w="3833" w:type="dxa"/>
                  <w:tcBorders>
                    <w:top w:val="nil"/>
                    <w:left w:val="nil"/>
                    <w:bottom w:val="single" w:sz="4" w:space="0" w:color="auto"/>
                    <w:right w:val="single" w:sz="4" w:space="0" w:color="auto"/>
                  </w:tcBorders>
                  <w:shd w:val="clear" w:color="auto" w:fill="FFFFFF" w:themeFill="background1"/>
                  <w:vAlign w:val="center"/>
                  <w:hideMark/>
                </w:tcPr>
                <w:p w14:paraId="7E565076" w14:textId="77777777" w:rsidR="00C75E08" w:rsidRPr="00C75E08" w:rsidRDefault="00C75E08" w:rsidP="000579E3">
                  <w:pPr>
                    <w:framePr w:hSpace="180" w:wrap="around" w:vAnchor="text" w:hAnchor="margin" w:xAlign="center" w:y="149"/>
                    <w:jc w:val="both"/>
                    <w:rPr>
                      <w:rFonts w:eastAsia="Times New Roman"/>
                      <w:sz w:val="22"/>
                      <w:szCs w:val="22"/>
                    </w:rPr>
                  </w:pPr>
                  <w:r w:rsidRPr="00C75E08">
                    <w:rPr>
                      <w:rFonts w:eastAsia="Times New Roman"/>
                      <w:sz w:val="22"/>
                      <w:szCs w:val="22"/>
                    </w:rPr>
                    <w:t>MSĢ Internāta un skolas kāpņu telpu un eksāmenu telpas un mājturības kabineta remonts</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5059B6E7"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Murjāņi</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1CCA9576" w14:textId="77777777" w:rsidR="00C75E08" w:rsidRPr="00C75E08" w:rsidRDefault="00C75E08" w:rsidP="000579E3">
                  <w:pPr>
                    <w:framePr w:hSpace="180" w:wrap="around" w:vAnchor="text" w:hAnchor="margin" w:xAlign="center" w:y="149"/>
                    <w:ind w:right="75"/>
                    <w:jc w:val="right"/>
                    <w:rPr>
                      <w:rFonts w:eastAsia="Times New Roman"/>
                      <w:bCs/>
                      <w:sz w:val="22"/>
                      <w:szCs w:val="22"/>
                    </w:rPr>
                  </w:pPr>
                  <w:r w:rsidRPr="00C75E08">
                    <w:rPr>
                      <w:rFonts w:eastAsia="Times New Roman"/>
                      <w:bCs/>
                      <w:sz w:val="22"/>
                      <w:szCs w:val="22"/>
                    </w:rPr>
                    <w:t>30 157,07</w:t>
                  </w:r>
                </w:p>
              </w:tc>
            </w:tr>
            <w:tr w:rsidR="00C75E08" w:rsidRPr="00C75E08" w14:paraId="0EC04794" w14:textId="77777777" w:rsidTr="00C75E08">
              <w:trPr>
                <w:trHeight w:val="573"/>
              </w:trPr>
              <w:tc>
                <w:tcPr>
                  <w:tcW w:w="5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18B4A2"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11.</w:t>
                  </w:r>
                </w:p>
              </w:tc>
              <w:tc>
                <w:tcPr>
                  <w:tcW w:w="3833" w:type="dxa"/>
                  <w:tcBorders>
                    <w:top w:val="nil"/>
                    <w:left w:val="nil"/>
                    <w:bottom w:val="single" w:sz="4" w:space="0" w:color="auto"/>
                    <w:right w:val="single" w:sz="4" w:space="0" w:color="auto"/>
                  </w:tcBorders>
                  <w:shd w:val="clear" w:color="auto" w:fill="FFFFFF" w:themeFill="background1"/>
                  <w:vAlign w:val="center"/>
                  <w:hideMark/>
                </w:tcPr>
                <w:p w14:paraId="24D67795" w14:textId="77777777" w:rsidR="00C75E08" w:rsidRPr="00C75E08" w:rsidRDefault="00C75E08" w:rsidP="000579E3">
                  <w:pPr>
                    <w:framePr w:hSpace="180" w:wrap="around" w:vAnchor="text" w:hAnchor="margin" w:xAlign="center" w:y="149"/>
                    <w:jc w:val="both"/>
                    <w:rPr>
                      <w:rFonts w:eastAsia="Times New Roman"/>
                      <w:sz w:val="22"/>
                      <w:szCs w:val="22"/>
                    </w:rPr>
                  </w:pPr>
                  <w:r w:rsidRPr="00C75E08">
                    <w:rPr>
                      <w:rFonts w:eastAsia="Times New Roman"/>
                      <w:sz w:val="22"/>
                      <w:szCs w:val="22"/>
                    </w:rPr>
                    <w:t>MSĢ internāta istabiņu 58 durvju demontāža un montāža ar pilnu apdari</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52B6429B"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Murjāņi</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52605FB" w14:textId="77777777" w:rsidR="00C75E08" w:rsidRPr="00C75E08" w:rsidRDefault="00C75E08" w:rsidP="000579E3">
                  <w:pPr>
                    <w:framePr w:hSpace="180" w:wrap="around" w:vAnchor="text" w:hAnchor="margin" w:xAlign="center" w:y="149"/>
                    <w:ind w:right="75"/>
                    <w:jc w:val="right"/>
                    <w:rPr>
                      <w:rFonts w:eastAsia="Times New Roman"/>
                      <w:bCs/>
                      <w:sz w:val="22"/>
                      <w:szCs w:val="22"/>
                    </w:rPr>
                  </w:pPr>
                  <w:r w:rsidRPr="00C75E08">
                    <w:rPr>
                      <w:rFonts w:eastAsia="Times New Roman"/>
                      <w:bCs/>
                      <w:sz w:val="22"/>
                      <w:szCs w:val="22"/>
                    </w:rPr>
                    <w:t>26 859,88</w:t>
                  </w:r>
                </w:p>
              </w:tc>
            </w:tr>
            <w:tr w:rsidR="00C75E08" w:rsidRPr="00C75E08" w14:paraId="03AAB550" w14:textId="77777777" w:rsidTr="00C75E08">
              <w:trPr>
                <w:trHeight w:val="818"/>
              </w:trPr>
              <w:tc>
                <w:tcPr>
                  <w:tcW w:w="5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86A0A2"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12.</w:t>
                  </w:r>
                </w:p>
              </w:tc>
              <w:tc>
                <w:tcPr>
                  <w:tcW w:w="3833" w:type="dxa"/>
                  <w:tcBorders>
                    <w:top w:val="nil"/>
                    <w:left w:val="nil"/>
                    <w:bottom w:val="single" w:sz="4" w:space="0" w:color="auto"/>
                    <w:right w:val="single" w:sz="4" w:space="0" w:color="auto"/>
                  </w:tcBorders>
                  <w:shd w:val="clear" w:color="auto" w:fill="FFFFFF" w:themeFill="background1"/>
                  <w:vAlign w:val="center"/>
                  <w:hideMark/>
                </w:tcPr>
                <w:p w14:paraId="24CD0C3E" w14:textId="77777777" w:rsidR="00C75E08" w:rsidRPr="00C75E08" w:rsidRDefault="00C75E08" w:rsidP="000579E3">
                  <w:pPr>
                    <w:framePr w:hSpace="180" w:wrap="around" w:vAnchor="text" w:hAnchor="margin" w:xAlign="center" w:y="149"/>
                    <w:jc w:val="both"/>
                    <w:rPr>
                      <w:rFonts w:eastAsia="Times New Roman"/>
                      <w:sz w:val="22"/>
                      <w:szCs w:val="22"/>
                    </w:rPr>
                  </w:pPr>
                  <w:r w:rsidRPr="00C75E08">
                    <w:rPr>
                      <w:rFonts w:eastAsia="Times New Roman"/>
                      <w:sz w:val="22"/>
                      <w:szCs w:val="22"/>
                    </w:rPr>
                    <w:t>MSĢ sporta bāzes – stadiona skrejceliņu seguma renovācija un sporta disciplīnu sektoru labiekārtošana</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695B7280"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Murjāņi</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44484E2" w14:textId="77777777" w:rsidR="00C75E08" w:rsidRPr="00C75E08" w:rsidRDefault="00C75E08" w:rsidP="000579E3">
                  <w:pPr>
                    <w:framePr w:hSpace="180" w:wrap="around" w:vAnchor="text" w:hAnchor="margin" w:xAlign="center" w:y="149"/>
                    <w:ind w:right="34"/>
                    <w:jc w:val="right"/>
                    <w:rPr>
                      <w:rFonts w:eastAsia="Times New Roman"/>
                      <w:bCs/>
                      <w:sz w:val="22"/>
                      <w:szCs w:val="22"/>
                    </w:rPr>
                  </w:pPr>
                  <w:r w:rsidRPr="00C75E08">
                    <w:rPr>
                      <w:rFonts w:eastAsia="Times New Roman"/>
                      <w:bCs/>
                      <w:sz w:val="22"/>
                      <w:szCs w:val="22"/>
                    </w:rPr>
                    <w:t>296 788,98</w:t>
                  </w:r>
                </w:p>
              </w:tc>
            </w:tr>
            <w:tr w:rsidR="00C75E08" w:rsidRPr="00C75E08" w14:paraId="015ECA6D" w14:textId="77777777" w:rsidTr="00C75E08">
              <w:trPr>
                <w:trHeight w:val="635"/>
              </w:trPr>
              <w:tc>
                <w:tcPr>
                  <w:tcW w:w="5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FA5E0F"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13.</w:t>
                  </w:r>
                </w:p>
              </w:tc>
              <w:tc>
                <w:tcPr>
                  <w:tcW w:w="3833" w:type="dxa"/>
                  <w:tcBorders>
                    <w:top w:val="nil"/>
                    <w:left w:val="nil"/>
                    <w:bottom w:val="single" w:sz="4" w:space="0" w:color="auto"/>
                    <w:right w:val="single" w:sz="4" w:space="0" w:color="auto"/>
                  </w:tcBorders>
                  <w:shd w:val="clear" w:color="auto" w:fill="FFFFFF" w:themeFill="background1"/>
                  <w:vAlign w:val="center"/>
                  <w:hideMark/>
                </w:tcPr>
                <w:p w14:paraId="0DF72E6F" w14:textId="77777777" w:rsidR="00C75E08" w:rsidRPr="00C75E08" w:rsidRDefault="00C75E08" w:rsidP="000579E3">
                  <w:pPr>
                    <w:framePr w:hSpace="180" w:wrap="around" w:vAnchor="text" w:hAnchor="margin" w:xAlign="center" w:y="149"/>
                    <w:jc w:val="both"/>
                    <w:rPr>
                      <w:rFonts w:eastAsia="Times New Roman"/>
                      <w:sz w:val="22"/>
                      <w:szCs w:val="22"/>
                    </w:rPr>
                  </w:pPr>
                  <w:r w:rsidRPr="00C75E08">
                    <w:rPr>
                      <w:rFonts w:eastAsia="Times New Roman"/>
                      <w:sz w:val="22"/>
                      <w:szCs w:val="22"/>
                    </w:rPr>
                    <w:t>Riteņbraukšanas nodaļas inventāra glabāšanas telpu izveidošana – esošās ēkas jumta un ārsienu atjaunošana</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5EBD08A7" w14:textId="77777777" w:rsidR="00C75E08" w:rsidRPr="00C75E08" w:rsidRDefault="00C75E08" w:rsidP="000579E3">
                  <w:pPr>
                    <w:framePr w:hSpace="180" w:wrap="around" w:vAnchor="text" w:hAnchor="margin" w:xAlign="center" w:y="149"/>
                    <w:jc w:val="center"/>
                    <w:rPr>
                      <w:rFonts w:eastAsia="Times New Roman"/>
                      <w:sz w:val="22"/>
                      <w:szCs w:val="22"/>
                    </w:rPr>
                  </w:pPr>
                  <w:r w:rsidRPr="00C75E08">
                    <w:rPr>
                      <w:rFonts w:eastAsia="Times New Roman"/>
                      <w:sz w:val="22"/>
                      <w:szCs w:val="22"/>
                    </w:rPr>
                    <w:t>Murjāņi</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1501CE94" w14:textId="77777777" w:rsidR="00C75E08" w:rsidRPr="00C75E08" w:rsidRDefault="00C75E08" w:rsidP="000579E3">
                  <w:pPr>
                    <w:framePr w:hSpace="180" w:wrap="around" w:vAnchor="text" w:hAnchor="margin" w:xAlign="center" w:y="149"/>
                    <w:ind w:right="75"/>
                    <w:jc w:val="center"/>
                    <w:rPr>
                      <w:rFonts w:eastAsia="Times New Roman"/>
                      <w:bCs/>
                      <w:sz w:val="22"/>
                      <w:szCs w:val="22"/>
                    </w:rPr>
                  </w:pPr>
                  <w:r w:rsidRPr="00C75E08">
                    <w:rPr>
                      <w:rFonts w:eastAsia="Times New Roman"/>
                      <w:bCs/>
                      <w:sz w:val="22"/>
                      <w:szCs w:val="22"/>
                    </w:rPr>
                    <w:t>18 588,96</w:t>
                  </w:r>
                </w:p>
              </w:tc>
            </w:tr>
            <w:tr w:rsidR="008860FC" w:rsidRPr="00C75E08" w14:paraId="09F03042" w14:textId="77777777" w:rsidTr="00C75E08">
              <w:trPr>
                <w:trHeight w:val="635"/>
              </w:trPr>
              <w:tc>
                <w:tcPr>
                  <w:tcW w:w="557" w:type="dxa"/>
                  <w:tcBorders>
                    <w:top w:val="nil"/>
                    <w:left w:val="single" w:sz="4" w:space="0" w:color="auto"/>
                    <w:bottom w:val="single" w:sz="4" w:space="0" w:color="auto"/>
                    <w:right w:val="single" w:sz="4" w:space="0" w:color="auto"/>
                  </w:tcBorders>
                  <w:shd w:val="clear" w:color="auto" w:fill="FFFFFF" w:themeFill="background1"/>
                  <w:vAlign w:val="center"/>
                </w:tcPr>
                <w:p w14:paraId="0BFB9E00" w14:textId="5E78110B" w:rsidR="008860FC" w:rsidRPr="00C75E08" w:rsidRDefault="008860FC" w:rsidP="000579E3">
                  <w:pPr>
                    <w:framePr w:hSpace="180" w:wrap="around" w:vAnchor="text" w:hAnchor="margin" w:xAlign="center" w:y="149"/>
                    <w:jc w:val="center"/>
                    <w:rPr>
                      <w:rFonts w:eastAsia="Times New Roman"/>
                      <w:sz w:val="22"/>
                      <w:szCs w:val="22"/>
                    </w:rPr>
                  </w:pPr>
                  <w:r>
                    <w:rPr>
                      <w:rFonts w:eastAsia="Times New Roman"/>
                      <w:sz w:val="22"/>
                      <w:szCs w:val="22"/>
                    </w:rPr>
                    <w:t>14.</w:t>
                  </w:r>
                </w:p>
              </w:tc>
              <w:tc>
                <w:tcPr>
                  <w:tcW w:w="3833" w:type="dxa"/>
                  <w:tcBorders>
                    <w:top w:val="nil"/>
                    <w:left w:val="nil"/>
                    <w:bottom w:val="single" w:sz="4" w:space="0" w:color="auto"/>
                    <w:right w:val="single" w:sz="4" w:space="0" w:color="auto"/>
                  </w:tcBorders>
                  <w:shd w:val="clear" w:color="auto" w:fill="FFFFFF" w:themeFill="background1"/>
                  <w:vAlign w:val="center"/>
                </w:tcPr>
                <w:p w14:paraId="4EE91B6C" w14:textId="1ADD4958" w:rsidR="008860FC" w:rsidRPr="00C75E08" w:rsidRDefault="000514AC" w:rsidP="000579E3">
                  <w:pPr>
                    <w:framePr w:hSpace="180" w:wrap="around" w:vAnchor="text" w:hAnchor="margin" w:xAlign="center" w:y="149"/>
                    <w:jc w:val="both"/>
                    <w:rPr>
                      <w:rFonts w:eastAsia="Times New Roman"/>
                      <w:sz w:val="22"/>
                      <w:szCs w:val="22"/>
                    </w:rPr>
                  </w:pPr>
                  <w:r>
                    <w:rPr>
                      <w:rFonts w:eastAsia="Times New Roman"/>
                      <w:sz w:val="22"/>
                      <w:szCs w:val="22"/>
                    </w:rPr>
                    <w:t xml:space="preserve">Laivu </w:t>
                  </w:r>
                  <w:proofErr w:type="spellStart"/>
                  <w:r>
                    <w:rPr>
                      <w:rFonts w:eastAsia="Times New Roman"/>
                      <w:sz w:val="22"/>
                      <w:szCs w:val="22"/>
                    </w:rPr>
                    <w:t>ēlinga</w:t>
                  </w:r>
                  <w:proofErr w:type="spellEnd"/>
                  <w:r>
                    <w:rPr>
                      <w:rFonts w:eastAsia="Times New Roman"/>
                      <w:sz w:val="22"/>
                      <w:szCs w:val="22"/>
                    </w:rPr>
                    <w:t xml:space="preserve"> rekonstrukcija</w:t>
                  </w:r>
                </w:p>
              </w:tc>
              <w:tc>
                <w:tcPr>
                  <w:tcW w:w="1842" w:type="dxa"/>
                  <w:tcBorders>
                    <w:top w:val="nil"/>
                    <w:left w:val="nil"/>
                    <w:bottom w:val="single" w:sz="4" w:space="0" w:color="auto"/>
                    <w:right w:val="single" w:sz="4" w:space="0" w:color="auto"/>
                  </w:tcBorders>
                  <w:shd w:val="clear" w:color="auto" w:fill="FFFFFF" w:themeFill="background1"/>
                  <w:vAlign w:val="center"/>
                </w:tcPr>
                <w:p w14:paraId="5FCDEBA1" w14:textId="6F983A7F" w:rsidR="008860FC" w:rsidRPr="00C75E08" w:rsidRDefault="008860FC" w:rsidP="000579E3">
                  <w:pPr>
                    <w:framePr w:hSpace="180" w:wrap="around" w:vAnchor="text" w:hAnchor="margin" w:xAlign="center" w:y="149"/>
                    <w:jc w:val="center"/>
                    <w:rPr>
                      <w:rFonts w:eastAsia="Times New Roman"/>
                      <w:sz w:val="22"/>
                      <w:szCs w:val="22"/>
                    </w:rPr>
                  </w:pPr>
                  <w:r w:rsidRPr="00C75E08">
                    <w:rPr>
                      <w:rFonts w:eastAsia="Times New Roman"/>
                      <w:sz w:val="22"/>
                      <w:szCs w:val="22"/>
                    </w:rPr>
                    <w:t>TSV</w:t>
                  </w:r>
                  <w:r>
                    <w:rPr>
                      <w:rFonts w:eastAsia="Times New Roman"/>
                      <w:sz w:val="22"/>
                      <w:szCs w:val="22"/>
                    </w:rPr>
                    <w:t xml:space="preserve"> Specializētā airēšanas sporta skola</w:t>
                  </w:r>
                </w:p>
              </w:tc>
              <w:tc>
                <w:tcPr>
                  <w:tcW w:w="1276" w:type="dxa"/>
                  <w:tcBorders>
                    <w:top w:val="nil"/>
                    <w:left w:val="nil"/>
                    <w:bottom w:val="single" w:sz="4" w:space="0" w:color="auto"/>
                    <w:right w:val="single" w:sz="4" w:space="0" w:color="auto"/>
                  </w:tcBorders>
                  <w:shd w:val="clear" w:color="auto" w:fill="FFFFFF" w:themeFill="background1"/>
                  <w:vAlign w:val="center"/>
                </w:tcPr>
                <w:p w14:paraId="79D560D1" w14:textId="3653806C" w:rsidR="008860FC" w:rsidRPr="00C75E08" w:rsidRDefault="000514AC" w:rsidP="000579E3">
                  <w:pPr>
                    <w:framePr w:hSpace="180" w:wrap="around" w:vAnchor="text" w:hAnchor="margin" w:xAlign="center" w:y="149"/>
                    <w:ind w:right="75"/>
                    <w:jc w:val="center"/>
                    <w:rPr>
                      <w:rFonts w:eastAsia="Times New Roman"/>
                      <w:bCs/>
                      <w:sz w:val="22"/>
                      <w:szCs w:val="22"/>
                    </w:rPr>
                  </w:pPr>
                  <w:r>
                    <w:rPr>
                      <w:rFonts w:eastAsia="Times New Roman"/>
                      <w:bCs/>
                      <w:sz w:val="22"/>
                      <w:szCs w:val="22"/>
                    </w:rPr>
                    <w:t>437 227</w:t>
                  </w:r>
                </w:p>
              </w:tc>
            </w:tr>
            <w:tr w:rsidR="00C75E08" w:rsidRPr="00C75E08" w14:paraId="18997F39" w14:textId="77777777" w:rsidTr="00C75E08">
              <w:trPr>
                <w:trHeight w:val="286"/>
              </w:trPr>
              <w:tc>
                <w:tcPr>
                  <w:tcW w:w="62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887617" w14:textId="77777777" w:rsidR="00C75E08" w:rsidRPr="00C75E08" w:rsidRDefault="00C75E08" w:rsidP="000579E3">
                  <w:pPr>
                    <w:framePr w:hSpace="180" w:wrap="around" w:vAnchor="text" w:hAnchor="margin" w:xAlign="center" w:y="149"/>
                    <w:jc w:val="right"/>
                    <w:rPr>
                      <w:rFonts w:eastAsia="Times New Roman"/>
                      <w:b/>
                      <w:bCs/>
                      <w:sz w:val="22"/>
                      <w:szCs w:val="22"/>
                    </w:rPr>
                  </w:pPr>
                  <w:r w:rsidRPr="00C75E08">
                    <w:rPr>
                      <w:rFonts w:eastAsia="Times New Roman"/>
                      <w:b/>
                      <w:bCs/>
                      <w:sz w:val="22"/>
                      <w:szCs w:val="22"/>
                    </w:rPr>
                    <w:t>KOPĀ:</w:t>
                  </w:r>
                </w:p>
              </w:tc>
              <w:tc>
                <w:tcPr>
                  <w:tcW w:w="1276" w:type="dxa"/>
                  <w:tcBorders>
                    <w:top w:val="nil"/>
                    <w:left w:val="nil"/>
                    <w:bottom w:val="single" w:sz="4" w:space="0" w:color="auto"/>
                    <w:right w:val="single" w:sz="4" w:space="0" w:color="auto"/>
                  </w:tcBorders>
                  <w:shd w:val="clear" w:color="auto" w:fill="FFFFFF" w:themeFill="background1"/>
                  <w:noWrap/>
                  <w:hideMark/>
                </w:tcPr>
                <w:p w14:paraId="0A271691" w14:textId="0A60E36E" w:rsidR="00C75E08" w:rsidRPr="00C75E08" w:rsidRDefault="000514AC" w:rsidP="000579E3">
                  <w:pPr>
                    <w:framePr w:hSpace="180" w:wrap="around" w:vAnchor="text" w:hAnchor="margin" w:xAlign="center" w:y="149"/>
                    <w:ind w:left="-108"/>
                    <w:jc w:val="center"/>
                    <w:rPr>
                      <w:rFonts w:eastAsia="Times New Roman"/>
                      <w:b/>
                      <w:bCs/>
                      <w:sz w:val="22"/>
                      <w:szCs w:val="22"/>
                    </w:rPr>
                  </w:pPr>
                  <w:r>
                    <w:rPr>
                      <w:rFonts w:eastAsia="Times New Roman"/>
                      <w:b/>
                      <w:bCs/>
                      <w:sz w:val="22"/>
                      <w:szCs w:val="22"/>
                    </w:rPr>
                    <w:t>1 017</w:t>
                  </w:r>
                  <w:r w:rsidR="00C75E08" w:rsidRPr="00C75E08">
                    <w:rPr>
                      <w:rFonts w:eastAsia="Times New Roman"/>
                      <w:b/>
                      <w:bCs/>
                      <w:sz w:val="22"/>
                      <w:szCs w:val="22"/>
                    </w:rPr>
                    <w:t xml:space="preserve"> </w:t>
                  </w:r>
                  <w:r>
                    <w:rPr>
                      <w:rFonts w:eastAsia="Times New Roman"/>
                      <w:b/>
                      <w:bCs/>
                      <w:sz w:val="22"/>
                      <w:szCs w:val="22"/>
                    </w:rPr>
                    <w:t>821</w:t>
                  </w:r>
                  <w:r w:rsidR="00C75E08" w:rsidRPr="00C75E08">
                    <w:rPr>
                      <w:rFonts w:eastAsia="Times New Roman"/>
                      <w:b/>
                      <w:bCs/>
                      <w:sz w:val="22"/>
                      <w:szCs w:val="22"/>
                    </w:rPr>
                    <w:t>,70</w:t>
                  </w:r>
                </w:p>
              </w:tc>
            </w:tr>
          </w:tbl>
          <w:p w14:paraId="2E59C20C" w14:textId="77777777" w:rsidR="00C75E08" w:rsidRDefault="00C75E08" w:rsidP="007E0148">
            <w:pPr>
              <w:ind w:left="141" w:right="142" w:firstLine="567"/>
              <w:jc w:val="both"/>
            </w:pPr>
          </w:p>
          <w:p w14:paraId="121B55B7" w14:textId="26796483" w:rsidR="00666B4E" w:rsidRDefault="00602697" w:rsidP="007E0148">
            <w:pPr>
              <w:ind w:left="141" w:right="142" w:firstLine="567"/>
              <w:jc w:val="both"/>
            </w:pPr>
            <w:r>
              <w:t>MSĢ</w:t>
            </w:r>
            <w:r w:rsidR="00BD04C0">
              <w:t xml:space="preserve"> attīstību paredz arī </w:t>
            </w:r>
            <w:r w:rsidR="00BD04C0" w:rsidRPr="00304D05">
              <w:t>Valdības rīcības plāna Deklarācijas par Artura Krišjāņa Kariņa vadītā Ministru kabineta iecerēto darbību īstenošanai (apstiprināts ar Ministru kabineta 2019.</w:t>
            </w:r>
            <w:r w:rsidR="00BD04C0">
              <w:t xml:space="preserve"> </w:t>
            </w:r>
            <w:r w:rsidR="00BD04C0" w:rsidRPr="00304D05">
              <w:t>gada 7.</w:t>
            </w:r>
            <w:r w:rsidR="00BD04C0">
              <w:t xml:space="preserve"> </w:t>
            </w:r>
            <w:r w:rsidR="00BD04C0" w:rsidRPr="00304D05">
              <w:t>maija rīkojumu Nr.</w:t>
            </w:r>
            <w:r w:rsidR="00BD04C0">
              <w:t xml:space="preserve"> </w:t>
            </w:r>
            <w:r w:rsidR="00BD04C0" w:rsidRPr="00304D05">
              <w:t>210) 172.</w:t>
            </w:r>
            <w:r w:rsidR="00BD04C0">
              <w:t>1</w:t>
            </w:r>
            <w:r w:rsidR="00BD04C0" w:rsidRPr="00304D05">
              <w:t>. pasākums.</w:t>
            </w:r>
            <w:r w:rsidR="00265F33">
              <w:t xml:space="preserve"> </w:t>
            </w:r>
            <w:r w:rsidR="00666B4E">
              <w:t>Saistībā ar TSV Specializētās airēšanas sporta skolas</w:t>
            </w:r>
            <w:r w:rsidR="003127FA">
              <w:t xml:space="preserve"> </w:t>
            </w:r>
            <w:r w:rsidR="00666B4E">
              <w:t xml:space="preserve">laivu </w:t>
            </w:r>
            <w:proofErr w:type="spellStart"/>
            <w:r w:rsidR="00666B4E">
              <w:t>ēlinga</w:t>
            </w:r>
            <w:proofErr w:type="spellEnd"/>
            <w:r w:rsidR="00666B4E">
              <w:t xml:space="preserve"> rekonstrukcij</w:t>
            </w:r>
            <w:r w:rsidR="003127FA">
              <w:t>u</w:t>
            </w:r>
            <w:r w:rsidR="00666B4E">
              <w:t xml:space="preserve"> jānorāda, ka </w:t>
            </w:r>
            <w:r w:rsidR="003127FA">
              <w:t xml:space="preserve">minētā investīcija ir veicama neatkarīgi no iespējamajiem lēmumiem par </w:t>
            </w:r>
            <w:r w:rsidR="00435C24">
              <w:t>minētās struktūrvienības</w:t>
            </w:r>
            <w:r w:rsidR="003127FA">
              <w:t xml:space="preserve"> turpmāko statusu, jo </w:t>
            </w:r>
            <w:r w:rsidR="00435C24">
              <w:t xml:space="preserve">segtā </w:t>
            </w:r>
            <w:r w:rsidR="003127FA">
              <w:t xml:space="preserve">laivu novietne </w:t>
            </w:r>
            <w:r w:rsidR="00435C24">
              <w:t>(</w:t>
            </w:r>
            <w:proofErr w:type="spellStart"/>
            <w:r w:rsidR="00435C24">
              <w:t>ēlings</w:t>
            </w:r>
            <w:proofErr w:type="spellEnd"/>
            <w:r w:rsidR="00435C24">
              <w:t xml:space="preserve">) </w:t>
            </w:r>
            <w:r w:rsidR="003127FA">
              <w:t xml:space="preserve">sporta izglītības programmu īstenošanai </w:t>
            </w:r>
            <w:r w:rsidR="00435C24" w:rsidRPr="00435C24">
              <w:t>airēšanā un smaiļošanā un kanoe airēšanā</w:t>
            </w:r>
            <w:r w:rsidR="00435C24">
              <w:t xml:space="preserve"> tiešā ūdens tuvumā būs nepieciešama jebkurā gadījumā. </w:t>
            </w:r>
            <w:r w:rsidR="00C81EC7">
              <w:t>MSĢ</w:t>
            </w:r>
            <w:r w:rsidR="00666B4E">
              <w:t xml:space="preserve"> ir apliecinājusi, ka</w:t>
            </w:r>
            <w:r w:rsidR="00435C24">
              <w:t xml:space="preserve"> visus paredzētos </w:t>
            </w:r>
            <w:r w:rsidR="00666B4E">
              <w:t>darbus ir iespējams paveikt līdz 2020. gada 31. decembrim.</w:t>
            </w:r>
          </w:p>
          <w:p w14:paraId="21B17DE6" w14:textId="77777777" w:rsidR="003127FA" w:rsidRPr="000D3619" w:rsidRDefault="003127FA" w:rsidP="003127FA">
            <w:pPr>
              <w:ind w:left="141" w:right="142" w:firstLine="567"/>
              <w:jc w:val="both"/>
            </w:pPr>
          </w:p>
          <w:p w14:paraId="72D3A606" w14:textId="7017E46B" w:rsidR="00F805D4" w:rsidRPr="005523A9" w:rsidRDefault="00BC3039" w:rsidP="007E0148">
            <w:pPr>
              <w:ind w:left="141" w:right="142" w:firstLine="57"/>
              <w:jc w:val="both"/>
              <w:rPr>
                <w:b/>
                <w:u w:val="single"/>
              </w:rPr>
            </w:pPr>
            <w:r>
              <w:rPr>
                <w:b/>
                <w:u w:val="single"/>
              </w:rPr>
              <w:t>Sporta centra „</w:t>
            </w:r>
            <w:r w:rsidR="00A73C69" w:rsidRPr="005523A9">
              <w:rPr>
                <w:b/>
                <w:u w:val="single"/>
              </w:rPr>
              <w:t>Mežaparks” energoefektivitātes paaugstināšana</w:t>
            </w:r>
          </w:p>
          <w:p w14:paraId="42746CB0" w14:textId="77777777" w:rsidR="00BC3039" w:rsidRDefault="00BC3039" w:rsidP="007E0148">
            <w:pPr>
              <w:ind w:left="141" w:right="142" w:firstLine="567"/>
              <w:jc w:val="both"/>
            </w:pPr>
          </w:p>
          <w:p w14:paraId="435501EE" w14:textId="748B5FE7" w:rsidR="00A73C69" w:rsidRDefault="0061546C" w:rsidP="002223B6">
            <w:pPr>
              <w:ind w:left="141" w:right="142" w:firstLine="567"/>
              <w:jc w:val="both"/>
            </w:pPr>
            <w:r w:rsidRPr="005523A9">
              <w:t>4.2.1.2. SAM „Veicināt energoefektivitātes paaugstināšanu valsts ēkās” otrajā projektu iesniegum</w:t>
            </w:r>
            <w:r>
              <w:t>u atlases kārtas ietvaros SIA „Sporta centrs „Mežaparks””, kuras 100% kapitāla daļu turētāja ir valsts IZM personā, īsteno projektu</w:t>
            </w:r>
            <w:r w:rsidRPr="005523A9">
              <w:t xml:space="preserve"> „Sporta centrs „Mežaparks” energoefektivitātes paaugstināšana”</w:t>
            </w:r>
            <w:r>
              <w:t>, tomēr tā ietvaros e</w:t>
            </w:r>
            <w:r w:rsidR="00727B7C" w:rsidRPr="005523A9">
              <w:t>nergoefektivitātes pasākumi</w:t>
            </w:r>
            <w:r w:rsidR="00945C6F" w:rsidRPr="005523A9">
              <w:t xml:space="preserve"> </w:t>
            </w:r>
            <w:r>
              <w:t xml:space="preserve">tiek veikti tikai 2/3 no ēkas, bet </w:t>
            </w:r>
            <w:r w:rsidRPr="005523A9">
              <w:t>4.2.1.2. SAM „Veicināt energoefektivitātes paaugstināšanu valsts ēkās” otrajā projektu iesniegum</w:t>
            </w:r>
            <w:r>
              <w:t xml:space="preserve">u atlases kārtas nosacījumu dēļ darbi netiek veikti tajā </w:t>
            </w:r>
            <w:r w:rsidR="00727B7C" w:rsidRPr="005523A9">
              <w:t xml:space="preserve">ēkas daļā, kurā izvietota sportistu viesnīca, telpas sporta organizācijām, ēdināšanas telpas, kā arī konferenču </w:t>
            </w:r>
            <w:r w:rsidR="00727B7C" w:rsidRPr="005523A9">
              <w:lastRenderedPageBreak/>
              <w:t xml:space="preserve">zāle. </w:t>
            </w:r>
            <w:r w:rsidR="00C303A5">
              <w:t xml:space="preserve">IZM ieskatā </w:t>
            </w:r>
            <w:r w:rsidR="004A6755">
              <w:t xml:space="preserve">energoefektivitātes pasākumus nepieciešams veikt visā sporta centra ēkā un attiecīgi arī nepieciešams </w:t>
            </w:r>
            <w:r w:rsidR="00C303A5">
              <w:t>atjaunot</w:t>
            </w:r>
            <w:r w:rsidR="00727B7C" w:rsidRPr="005523A9">
              <w:t xml:space="preserve"> visas sporta centra ēkas </w:t>
            </w:r>
            <w:r w:rsidR="004A6755">
              <w:t>vizuālo</w:t>
            </w:r>
            <w:r w:rsidR="00727B7C" w:rsidRPr="005523A9">
              <w:t xml:space="preserve"> tēl</w:t>
            </w:r>
            <w:r w:rsidR="004A6755">
              <w:t>u</w:t>
            </w:r>
            <w:r w:rsidR="00727B7C" w:rsidRPr="005523A9">
              <w:t xml:space="preserve"> kā vien</w:t>
            </w:r>
            <w:r w:rsidR="004A6755">
              <w:t>u veselu</w:t>
            </w:r>
            <w:r w:rsidR="00727B7C" w:rsidRPr="005523A9">
              <w:t xml:space="preserve"> (neīstenojot atlikušo projekta daļu, 1/3 ēka paliks nenosiltināta). Saņemts Saeimas Izglītības, kultūras un zinātnes komisijas Sporta apakškomisijas konceptuāls atbalsts. Atbalstot finansējuma piešķiršanu, </w:t>
            </w:r>
            <w:r>
              <w:t xml:space="preserve">prognozējams, ka </w:t>
            </w:r>
            <w:r w:rsidR="00727B7C" w:rsidRPr="005523A9">
              <w:t xml:space="preserve">turpmākos gadus vairs nebūs jāpiešķir dotācija SIA „Sporta centrs „Mežaparks”” saimnieciskās darbības nodrošināšanai </w:t>
            </w:r>
            <w:bdo w:val="ltr">
              <w:r w:rsidR="00727B7C" w:rsidRPr="005523A9">
                <w:t xml:space="preserve">(33 769 </w:t>
              </w:r>
              <w:r w:rsidR="00727B7C" w:rsidRPr="005523A9">
                <w:rPr>
                  <w:i/>
                </w:rPr>
                <w:t>euro</w:t>
              </w:r>
              <w:r w:rsidR="00727B7C" w:rsidRPr="005523A9">
                <w:t xml:space="preserve"> gadā).</w:t>
              </w:r>
              <w:r w:rsidR="00D6051A" w:rsidRPr="005523A9">
                <w:t>‬</w:t>
              </w:r>
              <w:r w:rsidR="00397A13">
                <w:t xml:space="preserve"> </w:t>
              </w:r>
              <w:r w:rsidR="00BD04C0">
                <w:t xml:space="preserve">Sporta centra „Mežaparks” attīstību paredz arī </w:t>
              </w:r>
              <w:r w:rsidR="00BD04C0" w:rsidRPr="00304D05">
                <w:t>Valdības rīcības plāna Deklarācijas par Artura Krišjāņa Kariņa vadītā Ministru kabineta iecerēto darbību īstenošanai (apstiprināts ar Ministru kabineta 2019.</w:t>
              </w:r>
              <w:r w:rsidR="00BD04C0">
                <w:t xml:space="preserve"> </w:t>
              </w:r>
              <w:r w:rsidR="00BD04C0" w:rsidRPr="00304D05">
                <w:t>gada 7.</w:t>
              </w:r>
              <w:r w:rsidR="00BD04C0">
                <w:t xml:space="preserve"> </w:t>
              </w:r>
              <w:r w:rsidR="00BD04C0" w:rsidRPr="00304D05">
                <w:t>maija rīkojumu Nr.</w:t>
              </w:r>
              <w:r w:rsidR="00BD04C0">
                <w:t xml:space="preserve"> </w:t>
              </w:r>
              <w:r w:rsidR="00BD04C0" w:rsidRPr="00304D05">
                <w:t xml:space="preserve">210) 172.3. pasākums. </w:t>
              </w:r>
              <w:r w:rsidR="00397A13">
                <w:t>Papildus informāciju skat</w:t>
              </w:r>
              <w:r w:rsidR="00263071">
                <w:t xml:space="preserve">īt </w:t>
              </w:r>
              <w:r w:rsidR="00397A13">
                <w:t>pievienotajos paskaidrojošajos materiālos.</w:t>
              </w:r>
              <w:r w:rsidR="003A72D9">
                <w:t>‬</w:t>
              </w:r>
              <w:r w:rsidR="00933A79">
                <w:t>‬</w:t>
              </w:r>
              <w:r w:rsidR="00486C27">
                <w:t>‬</w:t>
              </w:r>
              <w:r w:rsidR="00752F55">
                <w:t>‬</w:t>
              </w:r>
              <w:r w:rsidR="00282171">
                <w:t>‬</w:t>
              </w:r>
              <w:r w:rsidR="00F61FEB">
                <w:t>‬</w:t>
              </w:r>
              <w:r w:rsidR="00992558">
                <w:t>‬</w:t>
              </w:r>
              <w:r w:rsidR="004F5588">
                <w:t>‬</w:t>
              </w:r>
              <w:r w:rsidR="008B391E">
                <w:t>‬</w:t>
              </w:r>
            </w:bdo>
          </w:p>
          <w:p w14:paraId="034B04A6" w14:textId="77777777" w:rsidR="00397A13" w:rsidRPr="005523A9" w:rsidRDefault="00397A13" w:rsidP="007E0148">
            <w:pPr>
              <w:ind w:left="141" w:right="142" w:firstLine="567"/>
              <w:jc w:val="both"/>
            </w:pPr>
          </w:p>
          <w:p w14:paraId="2F37F29C" w14:textId="5BBEDF18" w:rsidR="00F805D4" w:rsidRPr="005523A9" w:rsidRDefault="00BD04C0" w:rsidP="007E0148">
            <w:pPr>
              <w:ind w:left="141" w:right="142" w:firstLine="57"/>
              <w:jc w:val="both"/>
              <w:rPr>
                <w:b/>
                <w:u w:val="single"/>
              </w:rPr>
            </w:pPr>
            <w:r>
              <w:rPr>
                <w:b/>
                <w:u w:val="single"/>
              </w:rPr>
              <w:t>Sporta centra „</w:t>
            </w:r>
            <w:r w:rsidR="00A73C69" w:rsidRPr="005523A9">
              <w:rPr>
                <w:b/>
                <w:u w:val="single"/>
              </w:rPr>
              <w:t>Kleisti” jumta remonts</w:t>
            </w:r>
          </w:p>
          <w:p w14:paraId="5DC03B04" w14:textId="77777777" w:rsidR="0061546C" w:rsidRDefault="0061546C" w:rsidP="007E0148">
            <w:pPr>
              <w:ind w:left="141" w:right="142" w:firstLine="567"/>
              <w:jc w:val="both"/>
            </w:pPr>
          </w:p>
          <w:p w14:paraId="7E27634C" w14:textId="2BFB0273" w:rsidR="00397A13" w:rsidRPr="005523A9" w:rsidRDefault="0061546C" w:rsidP="00F61A34">
            <w:pPr>
              <w:ind w:left="141" w:right="142" w:firstLine="567"/>
              <w:jc w:val="both"/>
            </w:pPr>
            <w:r>
              <w:t xml:space="preserve">Nekustamais īpašums (nekustamā īpašuma kadastra Nr.0100 104 0011) </w:t>
            </w:r>
            <w:proofErr w:type="spellStart"/>
            <w:r>
              <w:t>Rātsupītes</w:t>
            </w:r>
            <w:proofErr w:type="spellEnd"/>
            <w:r>
              <w:t xml:space="preserve"> ielā 4, Rīgā; </w:t>
            </w:r>
            <w:proofErr w:type="spellStart"/>
            <w:r>
              <w:t>Rātsupītes</w:t>
            </w:r>
            <w:proofErr w:type="spellEnd"/>
            <w:r>
              <w:t xml:space="preserve"> ielā 4 k-2, Rīgā, </w:t>
            </w:r>
            <w:proofErr w:type="spellStart"/>
            <w:r>
              <w:t>Rātsupītes</w:t>
            </w:r>
            <w:proofErr w:type="spellEnd"/>
            <w:r>
              <w:t xml:space="preserve"> ielā 4 k-4, Rīgā; </w:t>
            </w:r>
            <w:proofErr w:type="spellStart"/>
            <w:r>
              <w:t>Rātsupītes</w:t>
            </w:r>
            <w:proofErr w:type="spellEnd"/>
            <w:r>
              <w:t xml:space="preserve"> ielā 4 k-1, Rīgā; </w:t>
            </w:r>
            <w:proofErr w:type="spellStart"/>
            <w:r>
              <w:t>Rātsupītes</w:t>
            </w:r>
            <w:proofErr w:type="spellEnd"/>
            <w:r>
              <w:t xml:space="preserve"> ielā 4 k-5, Rīgā; </w:t>
            </w:r>
            <w:proofErr w:type="spellStart"/>
            <w:r>
              <w:t>Rātsupītes</w:t>
            </w:r>
            <w:proofErr w:type="spellEnd"/>
            <w:r>
              <w:t xml:space="preserve"> ielā 4 k-3, Rīgā, sastāv no divām zemes vienībām – zemes vienības 5,9547 ha platībā (zemes vienības kadastra apzīmējums 0100 104 0011) un zemes vienības 7,4546 ha platībā (zemes vienības kadastra apzīmējums 0100 104 0065) un 14 būvēm – sporta manēžas (būves kadastra apzīmējums 0100 104 0011 001), sporta kompleksa – staļļa (būves kadastra apzīmējums 0100 104 0011 002), staļļa (būves kadastra apzīmējums 0100 104 0011 003), divām nojumēm (būvju kadastra apzīmējumi 0100 104 0011 004 un 0100 104 0011 005), sardzes ēkas (būves kadastra apzīmējums 0100 104 0011 006), zirgu staļļa (būves kadastra apzīmējums 0100 104 0011 009), kafejnīcas (būves kadastra apzīmējums 0100 104 0065 001), viesnīcas (būves kadastra apzīmējums 0100 104 0065 002, medpunkta (būves kadastra apzīmējums 0100 104 0065 003), sporta zāles (būves kadastra apzīmējums 0100 104 0065 004), staļļa (būves kadastra apzīmējums 0100 104 0065 005), tribīnēm (būves kadastra apzīmējums 0100 104 0065 006) un šķūņa (būves kadastra apzīmējums 0100 104 0065 007)  (turpmāk – nekustamais īpašums).</w:t>
            </w:r>
            <w:r w:rsidR="00397A13">
              <w:t xml:space="preserve"> </w:t>
            </w:r>
            <w:r>
              <w:t>Īpašuma tiesības uz nekustamo īpašumu (izņemot būvi ar kadastra apzīmējumu 0100 104 0065 007) atbilstoši Rīgas pilsētas Vidzemes priekšpilsētas tiesas Rīgas pilsētas zemesgrāmatas nodalījuma Nr.100000475008 II daļas 1.</w:t>
            </w:r>
            <w:r w:rsidR="00397A13">
              <w:t xml:space="preserve"> </w:t>
            </w:r>
            <w:r>
              <w:t>iedaļas ierakstam Nr.</w:t>
            </w:r>
            <w:r w:rsidR="00233D27">
              <w:t xml:space="preserve"> </w:t>
            </w:r>
            <w:r>
              <w:t xml:space="preserve">1.1. ir nostiprinātas Latvijas valstij </w:t>
            </w:r>
            <w:r w:rsidR="00233D27">
              <w:t>IZM</w:t>
            </w:r>
            <w:r>
              <w:t xml:space="preserve"> personā.</w:t>
            </w:r>
            <w:r w:rsidR="00397A13">
              <w:t xml:space="preserve"> </w:t>
            </w:r>
            <w:r w:rsidR="00727B7C" w:rsidRPr="005523A9">
              <w:t xml:space="preserve">Nekustamais īpašums nodots </w:t>
            </w:r>
            <w:r w:rsidR="00397A13">
              <w:t>biedrībai „</w:t>
            </w:r>
            <w:r w:rsidR="00945C6F" w:rsidRPr="005523A9">
              <w:t xml:space="preserve">Latvijas Jātnieku federācija” (turpmāk – </w:t>
            </w:r>
            <w:r w:rsidR="00397A13">
              <w:t>LJF</w:t>
            </w:r>
            <w:r w:rsidR="00945C6F" w:rsidRPr="005523A9">
              <w:t>)</w:t>
            </w:r>
            <w:r w:rsidR="00727B7C" w:rsidRPr="005523A9">
              <w:t xml:space="preserve"> bezatlīdzības lietošanā (līdz 2020.</w:t>
            </w:r>
            <w:r w:rsidR="00397A13">
              <w:t xml:space="preserve"> </w:t>
            </w:r>
            <w:r w:rsidR="00727B7C" w:rsidRPr="005523A9">
              <w:t>gada 30.</w:t>
            </w:r>
            <w:r w:rsidR="00397A13">
              <w:t xml:space="preserve"> </w:t>
            </w:r>
            <w:r w:rsidR="00727B7C" w:rsidRPr="005523A9">
              <w:t xml:space="preserve">septembrim, bet </w:t>
            </w:r>
            <w:r w:rsidR="00397A13">
              <w:t>LJF</w:t>
            </w:r>
            <w:r w:rsidR="00727B7C" w:rsidRPr="005523A9">
              <w:t xml:space="preserve"> ir lūgusi pagarināt termiņu uz nākamajiem 10 gadiem</w:t>
            </w:r>
            <w:r w:rsidR="00233D27">
              <w:t>, ko IZM konceptuāli atbalsta</w:t>
            </w:r>
            <w:r w:rsidR="00727B7C" w:rsidRPr="005523A9">
              <w:t xml:space="preserve">). </w:t>
            </w:r>
            <w:r w:rsidR="00397A13">
              <w:t xml:space="preserve">LJF nekustamā īpašuma </w:t>
            </w:r>
            <w:r w:rsidR="00397A13" w:rsidRPr="005523A9">
              <w:t xml:space="preserve">sakārtošanā līdz šim ieguldījusi ~ 300 000 </w:t>
            </w:r>
            <w:r w:rsidR="00397A13" w:rsidRPr="005523A9">
              <w:rPr>
                <w:i/>
              </w:rPr>
              <w:t>euro</w:t>
            </w:r>
            <w:r w:rsidR="00397A13" w:rsidRPr="005523A9">
              <w:t>.</w:t>
            </w:r>
            <w:r w:rsidR="00397A13">
              <w:t xml:space="preserve"> </w:t>
            </w:r>
            <w:r w:rsidR="00F61A34">
              <w:t>Nākamā nozīmīgākā veicamā investīcija ir sporta centra jumta remonts. Saskaņā ar veikto apsekojumu k</w:t>
            </w:r>
            <w:r w:rsidR="00727B7C" w:rsidRPr="005523A9">
              <w:t xml:space="preserve">opējās jumta remonta izmaksas 198 471,82 </w:t>
            </w:r>
            <w:r w:rsidR="00727B7C" w:rsidRPr="005523A9">
              <w:rPr>
                <w:i/>
              </w:rPr>
              <w:t>euro</w:t>
            </w:r>
            <w:r w:rsidR="00727B7C" w:rsidRPr="005523A9">
              <w:t xml:space="preserve">, </w:t>
            </w:r>
            <w:r w:rsidR="00397A13">
              <w:t xml:space="preserve">plānotais </w:t>
            </w:r>
            <w:r w:rsidR="00727B7C" w:rsidRPr="005523A9">
              <w:t xml:space="preserve">LJF līdzfinansējums 18 471,82 </w:t>
            </w:r>
            <w:r w:rsidR="00727B7C" w:rsidRPr="005523A9">
              <w:rPr>
                <w:i/>
              </w:rPr>
              <w:t>euro</w:t>
            </w:r>
            <w:r w:rsidR="00727B7C" w:rsidRPr="005523A9">
              <w:t xml:space="preserve">. Atbalstot finansējuma piešķiršanu, </w:t>
            </w:r>
            <w:r w:rsidR="00397A13">
              <w:t xml:space="preserve">prognozējams, ka </w:t>
            </w:r>
            <w:r w:rsidR="00727B7C" w:rsidRPr="005523A9">
              <w:t xml:space="preserve">turpmākos gadus vairs nebūs jāpiešķir dotācija </w:t>
            </w:r>
            <w:r w:rsidR="00945C6F" w:rsidRPr="005523A9">
              <w:t>biedrībai</w:t>
            </w:r>
            <w:r w:rsidR="00727B7C" w:rsidRPr="005523A9">
              <w:t xml:space="preserve"> Sporta centra „Kleisti” saimnieciskās darbības nodrošināšanai (9 000 </w:t>
            </w:r>
            <w:r w:rsidR="00727B7C" w:rsidRPr="005523A9">
              <w:rPr>
                <w:i/>
              </w:rPr>
              <w:t>euro</w:t>
            </w:r>
            <w:r w:rsidR="00727B7C" w:rsidRPr="005523A9">
              <w:t xml:space="preserve"> gadā).</w:t>
            </w:r>
            <w:r w:rsidR="00F61A34">
              <w:t xml:space="preserve"> </w:t>
            </w:r>
            <w:r w:rsidR="00397A13">
              <w:t>Papildus informāciju skatīt pievienotajos paskaidrojošajos materiālos.</w:t>
            </w:r>
          </w:p>
          <w:p w14:paraId="4506D813" w14:textId="77777777" w:rsidR="00727B7C" w:rsidRPr="005523A9" w:rsidRDefault="00727B7C" w:rsidP="007E0148">
            <w:pPr>
              <w:ind w:left="141" w:right="142" w:firstLine="567"/>
              <w:jc w:val="both"/>
            </w:pPr>
          </w:p>
          <w:p w14:paraId="329C28F2" w14:textId="77777777" w:rsidR="0053721C" w:rsidRPr="005523A9" w:rsidRDefault="00A73C69" w:rsidP="007E0148">
            <w:pPr>
              <w:ind w:left="141" w:right="142"/>
              <w:jc w:val="both"/>
              <w:rPr>
                <w:b/>
                <w:u w:val="single"/>
              </w:rPr>
            </w:pPr>
            <w:r w:rsidRPr="005523A9">
              <w:rPr>
                <w:b/>
                <w:u w:val="single"/>
              </w:rPr>
              <w:t>Latvijas Sporta pedagoģijas akadēmijas vieglatlētikas manēžas rekonstrukcijas projekta izstrāde</w:t>
            </w:r>
          </w:p>
          <w:p w14:paraId="06770212" w14:textId="77777777" w:rsidR="002F6BEC" w:rsidRDefault="002F6BEC" w:rsidP="00397A13">
            <w:pPr>
              <w:ind w:left="141" w:right="142" w:firstLine="567"/>
              <w:jc w:val="both"/>
            </w:pPr>
          </w:p>
          <w:p w14:paraId="2A5E2BBF" w14:textId="77777777" w:rsidR="000579E3" w:rsidRDefault="00A73C69" w:rsidP="000579E3">
            <w:pPr>
              <w:ind w:left="141" w:right="142" w:firstLine="567"/>
              <w:jc w:val="both"/>
            </w:pPr>
            <w:r w:rsidRPr="005523A9">
              <w:lastRenderedPageBreak/>
              <w:t>Latvijas Sporta pedagoģijas akadēmija</w:t>
            </w:r>
            <w:r w:rsidR="002F6BEC">
              <w:t xml:space="preserve"> (turpmāk – LSPA) ir valsts dibināta augstskola. LSPA Vieg</w:t>
            </w:r>
            <w:r w:rsidR="00727B7C" w:rsidRPr="005523A9">
              <w:t>latlētikas manēža nodota ekspluatācijā 1987.</w:t>
            </w:r>
            <w:r w:rsidR="00E26BAB">
              <w:t xml:space="preserve"> </w:t>
            </w:r>
            <w:r w:rsidR="00727B7C" w:rsidRPr="005523A9">
              <w:t xml:space="preserve">gadā un to izmanto gan LSPA studenti studiju procesa nodrošināšanai, gan citi sportisti mācību-treniņu vajadzībām. </w:t>
            </w:r>
            <w:r w:rsidR="00E26BAB">
              <w:t>LSPA Vieglatlētikas manēžas patreizējais stāvoklis nav atbilstošs pilnvērtīga LSPA studiju procesa nodrošināšanai. Saskaņā ar provizoriskiem aprēķiniem k</w:t>
            </w:r>
            <w:r w:rsidR="00727B7C" w:rsidRPr="005523A9">
              <w:t xml:space="preserve">opējās </w:t>
            </w:r>
            <w:r w:rsidR="00E26BAB">
              <w:t xml:space="preserve"> LSPA Vieglatlētikas manēžas rekonstrukcijas </w:t>
            </w:r>
            <w:r w:rsidR="00727B7C" w:rsidRPr="005523A9">
              <w:t>izmaksas</w:t>
            </w:r>
            <w:r w:rsidR="00E26BAB">
              <w:t xml:space="preserve"> ir</w:t>
            </w:r>
            <w:r w:rsidR="00727B7C" w:rsidRPr="005523A9">
              <w:t xml:space="preserve"> 2 855 349 </w:t>
            </w:r>
            <w:r w:rsidR="00727B7C" w:rsidRPr="005523A9">
              <w:rPr>
                <w:i/>
              </w:rPr>
              <w:t>euro</w:t>
            </w:r>
            <w:r w:rsidR="00727B7C" w:rsidRPr="005523A9">
              <w:t xml:space="preserve"> (ar PVN) un </w:t>
            </w:r>
            <w:r w:rsidR="00E26BAB">
              <w:t>rekonstrukcijas</w:t>
            </w:r>
            <w:r w:rsidR="00727B7C" w:rsidRPr="005523A9">
              <w:t xml:space="preserve"> projekts sadalīts trīs kārtās. 2020. gadam </w:t>
            </w:r>
            <w:r w:rsidR="00E26BAB">
              <w:t xml:space="preserve">lūgts valsts līdzfinansējums </w:t>
            </w:r>
            <w:r w:rsidR="00727B7C" w:rsidRPr="005523A9">
              <w:t xml:space="preserve">69 000 </w:t>
            </w:r>
            <w:r w:rsidR="00727B7C" w:rsidRPr="005523A9">
              <w:rPr>
                <w:i/>
              </w:rPr>
              <w:t>euro</w:t>
            </w:r>
            <w:r w:rsidR="00727B7C" w:rsidRPr="005523A9">
              <w:t xml:space="preserve"> bez PVN jeb 83 490 </w:t>
            </w:r>
            <w:r w:rsidR="00727B7C" w:rsidRPr="005523A9">
              <w:rPr>
                <w:i/>
              </w:rPr>
              <w:t>euro</w:t>
            </w:r>
            <w:r w:rsidR="00727B7C" w:rsidRPr="005523A9">
              <w:t xml:space="preserve"> ar PVN projektēšanas darbu u</w:t>
            </w:r>
            <w:r w:rsidR="00E26BAB">
              <w:t>zsākšanai</w:t>
            </w:r>
            <w:r w:rsidR="00727B7C" w:rsidRPr="005523A9">
              <w:t xml:space="preserve">. </w:t>
            </w:r>
            <w:r w:rsidR="00BD04C0">
              <w:t xml:space="preserve">LSPA attīstību paredz arī </w:t>
            </w:r>
            <w:r w:rsidR="00BD04C0" w:rsidRPr="00304D05">
              <w:t>Valdības rīcības plāna Deklarācijas par Artura Krišjāņa Kariņa vadītā Ministru kabineta iecerēto darbību īstenošanai (apstiprināts ar Ministru kabineta 2019.</w:t>
            </w:r>
            <w:r w:rsidR="00BD04C0">
              <w:t xml:space="preserve"> </w:t>
            </w:r>
            <w:r w:rsidR="00BD04C0" w:rsidRPr="00304D05">
              <w:t>gada 7.</w:t>
            </w:r>
            <w:r w:rsidR="00BD04C0">
              <w:t xml:space="preserve"> </w:t>
            </w:r>
            <w:r w:rsidR="00BD04C0" w:rsidRPr="00304D05">
              <w:t>maija rīkojumu Nr.</w:t>
            </w:r>
            <w:r w:rsidR="00BD04C0">
              <w:t xml:space="preserve"> </w:t>
            </w:r>
            <w:r w:rsidR="00BD04C0" w:rsidRPr="00304D05">
              <w:t>210) 172.</w:t>
            </w:r>
            <w:r w:rsidR="00BD04C0">
              <w:t>1</w:t>
            </w:r>
            <w:r w:rsidR="00BD04C0" w:rsidRPr="00304D05">
              <w:t>. pasākums.</w:t>
            </w:r>
            <w:r w:rsidR="00BD04C0">
              <w:t xml:space="preserve"> </w:t>
            </w:r>
            <w:r w:rsidR="00397A13">
              <w:t>Papildus informāciju skatīt pielikumā pievienotajos paskaidrojošajos materiālos.</w:t>
            </w:r>
          </w:p>
          <w:p w14:paraId="7FDF6556" w14:textId="77777777" w:rsidR="000579E3" w:rsidRDefault="000579E3" w:rsidP="000579E3">
            <w:pPr>
              <w:ind w:left="141" w:right="142" w:firstLine="567"/>
              <w:jc w:val="both"/>
            </w:pPr>
          </w:p>
          <w:p w14:paraId="0DDCF2E5" w14:textId="518EE665" w:rsidR="000579E3" w:rsidRDefault="000579E3" w:rsidP="000579E3">
            <w:pPr>
              <w:ind w:left="141" w:right="142" w:firstLine="567"/>
              <w:jc w:val="both"/>
            </w:pPr>
            <w:r>
              <w:t xml:space="preserve">Jautājums par </w:t>
            </w:r>
            <w:r w:rsidRPr="000579E3">
              <w:t xml:space="preserve">Prioritārajam pasākumam </w:t>
            </w:r>
            <w:r>
              <w:t xml:space="preserve">2020. gadā </w:t>
            </w:r>
            <w:r w:rsidRPr="000579E3">
              <w:t>paredzēt</w:t>
            </w:r>
            <w:r>
              <w:t xml:space="preserve">ā finansējuma sadalījumu tika izskatīts </w:t>
            </w:r>
            <w:r w:rsidRPr="000579E3">
              <w:t xml:space="preserve"> </w:t>
            </w:r>
            <w:r w:rsidRPr="000579E3">
              <w:t>Latvijas Nacionālās sporta padomes 2020. gada 17. jūnija sēdē</w:t>
            </w:r>
            <w:r>
              <w:t xml:space="preserve">, kurā tika atbalstīts </w:t>
            </w:r>
            <w:r w:rsidRPr="000579E3">
              <w:t xml:space="preserve">(prot Nr.2 </w:t>
            </w:r>
            <w:r>
              <w:t>5</w:t>
            </w:r>
            <w:r w:rsidRPr="000579E3">
              <w:t xml:space="preserve">.§, </w:t>
            </w:r>
            <w:r>
              <w:t>5.2. apakšpunkts)</w:t>
            </w:r>
            <w:r>
              <w:t xml:space="preserve"> IZM sagatavotais priekšlikums, kas paredz finansējumu 2 602 000 </w:t>
            </w:r>
            <w:r w:rsidRPr="000579E3">
              <w:rPr>
                <w:i/>
              </w:rPr>
              <w:t>euro</w:t>
            </w:r>
            <w:r>
              <w:t xml:space="preserve"> apmērā novirzīt šādu valsts nozīmes sporta infrastruktūras attīstības projektu īstenošanai:</w:t>
            </w:r>
          </w:p>
          <w:p w14:paraId="41AB32F0" w14:textId="77777777" w:rsidR="000579E3" w:rsidRDefault="000579E3" w:rsidP="000579E3">
            <w:pPr>
              <w:pStyle w:val="ListParagraph"/>
              <w:numPr>
                <w:ilvl w:val="0"/>
                <w:numId w:val="42"/>
              </w:numPr>
              <w:ind w:left="668" w:right="142"/>
              <w:jc w:val="both"/>
            </w:pPr>
            <w:r>
              <w:t xml:space="preserve">Daugavas stadiona centrālā sporta laukuma (futbols un vieglatlētika) rekonstrukcijai (ieguldījums VSIA „Kultūras un sporta centrs „Daugavas stadions”” pamatkapitālā ) – 1 080 688 </w:t>
            </w:r>
            <w:r w:rsidRPr="000A1E9A">
              <w:rPr>
                <w:i/>
              </w:rPr>
              <w:t>euro</w:t>
            </w:r>
            <w:r>
              <w:t>;</w:t>
            </w:r>
          </w:p>
          <w:p w14:paraId="5FCDECF0" w14:textId="77777777" w:rsidR="000579E3" w:rsidRDefault="000579E3" w:rsidP="000579E3">
            <w:pPr>
              <w:pStyle w:val="ListParagraph"/>
              <w:numPr>
                <w:ilvl w:val="0"/>
                <w:numId w:val="42"/>
              </w:numPr>
              <w:ind w:left="668" w:right="142"/>
              <w:jc w:val="both"/>
            </w:pPr>
            <w:r>
              <w:t xml:space="preserve">Murjāņu sporta ģimnāzijas infrastruktūras pilnveide, lai nodrošinātu iestādes sagatavošanu akreditācijai (Murjāņu sporta ģimnāzijai) – </w:t>
            </w:r>
            <w:r>
              <w:br/>
              <w:t xml:space="preserve">1 017 822 </w:t>
            </w:r>
            <w:r w:rsidRPr="000A1E9A">
              <w:rPr>
                <w:i/>
              </w:rPr>
              <w:t>euro</w:t>
            </w:r>
            <w:r>
              <w:t>;</w:t>
            </w:r>
          </w:p>
          <w:p w14:paraId="7A07A586" w14:textId="77777777" w:rsidR="000579E3" w:rsidRDefault="000579E3" w:rsidP="000579E3">
            <w:pPr>
              <w:pStyle w:val="ListParagraph"/>
              <w:numPr>
                <w:ilvl w:val="0"/>
                <w:numId w:val="42"/>
              </w:numPr>
              <w:ind w:left="668" w:right="142"/>
              <w:jc w:val="both"/>
            </w:pPr>
            <w:r>
              <w:t xml:space="preserve">Sporta centra „Mežaparks” energoefektivitātes paaugstināšanai (ieguldījums SIA „Sporta centrs „Mežaparks”” pamatkapitālā) – </w:t>
            </w:r>
            <w:r>
              <w:br/>
              <w:t xml:space="preserve">300 000 </w:t>
            </w:r>
            <w:r w:rsidRPr="000A1E9A">
              <w:rPr>
                <w:i/>
              </w:rPr>
              <w:t>euro</w:t>
            </w:r>
            <w:r>
              <w:t>;</w:t>
            </w:r>
          </w:p>
          <w:p w14:paraId="4439A23F" w14:textId="77777777" w:rsidR="000579E3" w:rsidRDefault="000579E3" w:rsidP="000579E3">
            <w:pPr>
              <w:pStyle w:val="ListParagraph"/>
              <w:numPr>
                <w:ilvl w:val="0"/>
                <w:numId w:val="42"/>
              </w:numPr>
              <w:ind w:left="668" w:right="142"/>
              <w:jc w:val="both"/>
            </w:pPr>
            <w:r>
              <w:t xml:space="preserve">Sporta centra „Kleisti” jumta remontam (biedrībai „Latvijas Jātnieku federācija”) – 120 000 </w:t>
            </w:r>
            <w:r w:rsidRPr="000A1E9A">
              <w:rPr>
                <w:i/>
              </w:rPr>
              <w:t>euro</w:t>
            </w:r>
            <w:r>
              <w:t>;</w:t>
            </w:r>
          </w:p>
          <w:p w14:paraId="72299E4F" w14:textId="72121643" w:rsidR="000579E3" w:rsidRDefault="000579E3" w:rsidP="000579E3">
            <w:pPr>
              <w:pStyle w:val="ListParagraph"/>
              <w:numPr>
                <w:ilvl w:val="0"/>
                <w:numId w:val="42"/>
              </w:numPr>
              <w:ind w:left="668" w:right="142"/>
              <w:jc w:val="both"/>
            </w:pPr>
            <w:r>
              <w:t xml:space="preserve">Latvijas Sporta pedagoģijas akadēmijas vieglatlētikas manēžas rekonstrukcijas projekta izstrādei (Latvijas Sporta pedagoģijas akadēmijai) – 83 490 </w:t>
            </w:r>
            <w:r w:rsidRPr="000579E3">
              <w:rPr>
                <w:i/>
              </w:rPr>
              <w:t>euro</w:t>
            </w:r>
            <w:r>
              <w:t>.</w:t>
            </w:r>
          </w:p>
          <w:p w14:paraId="6E3B0AB7" w14:textId="4A6E8B25" w:rsidR="000579E3" w:rsidRDefault="000579E3" w:rsidP="00BD04C0">
            <w:pPr>
              <w:ind w:left="141" w:right="142" w:firstLine="567"/>
              <w:jc w:val="both"/>
            </w:pPr>
          </w:p>
          <w:p w14:paraId="2AD5D9B3" w14:textId="239C1F96" w:rsidR="000A0C0F" w:rsidRDefault="00803528" w:rsidP="00BD04C0">
            <w:pPr>
              <w:ind w:left="141" w:right="142" w:firstLine="567"/>
              <w:jc w:val="both"/>
            </w:pPr>
            <w:r>
              <w:t xml:space="preserve">Plānotais atbalsts </w:t>
            </w:r>
            <w:r w:rsidR="001E2A2D">
              <w:t xml:space="preserve">VSIA „Kultūras un sporta centrs „Daugavas stadions” </w:t>
            </w:r>
            <w:r>
              <w:t xml:space="preserve">Daugavas stadiona </w:t>
            </w:r>
            <w:r w:rsidRPr="00803528">
              <w:t>centrālā sporta laukuma (futbols u</w:t>
            </w:r>
            <w:r>
              <w:t xml:space="preserve">n vieglatlētika) rekonstrukcijai </w:t>
            </w:r>
            <w:r w:rsidR="000A0C0F">
              <w:t xml:space="preserve">atbilst Eiropas Komisijā notificētajā valsts atbalstā noteiktam (Eiropas Komisijas 2016. gada 4. augusta </w:t>
            </w:r>
            <w:r w:rsidRPr="00803528">
              <w:t>lēmum</w:t>
            </w:r>
            <w:r w:rsidR="000A0C0F">
              <w:t>s</w:t>
            </w:r>
            <w:r w:rsidRPr="00803528">
              <w:t xml:space="preserve"> </w:t>
            </w:r>
            <w:r w:rsidRPr="000A0C0F">
              <w:rPr>
                <w:i/>
              </w:rPr>
              <w:t xml:space="preserve">C(2016) 4970 </w:t>
            </w:r>
            <w:proofErr w:type="spellStart"/>
            <w:r w:rsidRPr="000A0C0F">
              <w:rPr>
                <w:i/>
              </w:rPr>
              <w:t>final</w:t>
            </w:r>
            <w:proofErr w:type="spellEnd"/>
            <w:r w:rsidRPr="00803528">
              <w:t xml:space="preserve"> valsts atbalsta lietā SA.43575 (2015/N) – </w:t>
            </w:r>
            <w:r w:rsidRPr="000A0C0F">
              <w:rPr>
                <w:i/>
              </w:rPr>
              <w:t xml:space="preserve">Aid </w:t>
            </w:r>
            <w:proofErr w:type="spellStart"/>
            <w:r w:rsidRPr="000A0C0F">
              <w:rPr>
                <w:i/>
              </w:rPr>
              <w:t>for</w:t>
            </w:r>
            <w:proofErr w:type="spellEnd"/>
            <w:r w:rsidRPr="000A0C0F">
              <w:rPr>
                <w:i/>
              </w:rPr>
              <w:t xml:space="preserve"> </w:t>
            </w:r>
            <w:proofErr w:type="spellStart"/>
            <w:r w:rsidRPr="000A0C0F">
              <w:rPr>
                <w:i/>
              </w:rPr>
              <w:t>the</w:t>
            </w:r>
            <w:proofErr w:type="spellEnd"/>
            <w:r w:rsidRPr="000A0C0F">
              <w:rPr>
                <w:i/>
              </w:rPr>
              <w:t xml:space="preserve"> </w:t>
            </w:r>
            <w:proofErr w:type="spellStart"/>
            <w:r w:rsidRPr="000A0C0F">
              <w:rPr>
                <w:i/>
              </w:rPr>
              <w:t>constructio</w:t>
            </w:r>
            <w:r w:rsidR="000A0C0F">
              <w:rPr>
                <w:i/>
              </w:rPr>
              <w:t>n</w:t>
            </w:r>
            <w:proofErr w:type="spellEnd"/>
            <w:r w:rsidR="000A0C0F">
              <w:rPr>
                <w:i/>
              </w:rPr>
              <w:t xml:space="preserve"> </w:t>
            </w:r>
            <w:proofErr w:type="spellStart"/>
            <w:r w:rsidR="000A0C0F">
              <w:rPr>
                <w:i/>
              </w:rPr>
              <w:t>of</w:t>
            </w:r>
            <w:proofErr w:type="spellEnd"/>
            <w:r w:rsidR="000A0C0F">
              <w:rPr>
                <w:i/>
              </w:rPr>
              <w:t xml:space="preserve"> </w:t>
            </w:r>
            <w:proofErr w:type="spellStart"/>
            <w:r w:rsidR="000A0C0F">
              <w:rPr>
                <w:i/>
              </w:rPr>
              <w:t>cultural</w:t>
            </w:r>
            <w:proofErr w:type="spellEnd"/>
            <w:r w:rsidR="000A0C0F">
              <w:rPr>
                <w:i/>
              </w:rPr>
              <w:t xml:space="preserve"> </w:t>
            </w:r>
            <w:proofErr w:type="spellStart"/>
            <w:r w:rsidR="000A0C0F">
              <w:rPr>
                <w:i/>
              </w:rPr>
              <w:t>and</w:t>
            </w:r>
            <w:proofErr w:type="spellEnd"/>
            <w:r w:rsidR="000A0C0F">
              <w:rPr>
                <w:i/>
              </w:rPr>
              <w:t xml:space="preserve"> sport </w:t>
            </w:r>
            <w:proofErr w:type="spellStart"/>
            <w:r w:rsidR="000A0C0F">
              <w:rPr>
                <w:i/>
              </w:rPr>
              <w:t>centre</w:t>
            </w:r>
            <w:proofErr w:type="spellEnd"/>
            <w:r w:rsidR="000A0C0F">
              <w:rPr>
                <w:i/>
              </w:rPr>
              <w:t xml:space="preserve"> „</w:t>
            </w:r>
            <w:r w:rsidRPr="000A0C0F">
              <w:rPr>
                <w:i/>
              </w:rPr>
              <w:t>Daugavas Stadions”</w:t>
            </w:r>
            <w:r w:rsidR="000A0C0F">
              <w:t>).</w:t>
            </w:r>
          </w:p>
          <w:p w14:paraId="451F11A4" w14:textId="77777777" w:rsidR="00666B4E" w:rsidRDefault="00666B4E" w:rsidP="00666B4E">
            <w:pPr>
              <w:ind w:left="120" w:right="118"/>
              <w:jc w:val="both"/>
            </w:pPr>
            <w:r>
              <w:tab/>
            </w:r>
          </w:p>
          <w:p w14:paraId="12B9B856" w14:textId="6A4D871C" w:rsidR="00666B4E" w:rsidRDefault="00666B4E" w:rsidP="00666B4E">
            <w:pPr>
              <w:ind w:left="120" w:right="118"/>
              <w:jc w:val="both"/>
            </w:pPr>
            <w:r>
              <w:tab/>
            </w:r>
            <w:r w:rsidR="00803528" w:rsidRPr="00F1697B">
              <w:t>IZM ir veikusi sākotnējo izvērtējumu par finansējuma piešķiršanas  Sporta centra „Mežapar</w:t>
            </w:r>
            <w:r w:rsidR="001E2A2D">
              <w:t xml:space="preserve">ks” infrastruktūras attīstībai </w:t>
            </w:r>
            <w:r w:rsidR="00803528" w:rsidRPr="00F1697B">
              <w:t>atbilstību komercdarbības atbalsta kontroles regulējumam</w:t>
            </w:r>
            <w:r>
              <w:t>.</w:t>
            </w:r>
          </w:p>
          <w:p w14:paraId="7F33457A" w14:textId="77777777" w:rsidR="00666B4E" w:rsidRDefault="00666B4E" w:rsidP="00666B4E">
            <w:pPr>
              <w:autoSpaceDE w:val="0"/>
              <w:autoSpaceDN w:val="0"/>
              <w:adjustRightInd w:val="0"/>
              <w:ind w:left="102" w:right="171"/>
              <w:jc w:val="both"/>
              <w:rPr>
                <w:rFonts w:eastAsia="Times New Roman"/>
              </w:rPr>
            </w:pPr>
            <w:r>
              <w:tab/>
            </w:r>
            <w:r w:rsidRPr="00F1697B">
              <w:t>Lai kādu pasākumu varētu klasificēt kā komercdarbības atbalstu, tam vienlaikus jāatbilst visām četrām kumulatīvām pazīmēm</w:t>
            </w:r>
            <w:r w:rsidRPr="00F1697B">
              <w:rPr>
                <w:rStyle w:val="FootnoteReference"/>
              </w:rPr>
              <w:footnoteReference w:id="4"/>
            </w:r>
            <w:r w:rsidRPr="00F1697B">
              <w:t xml:space="preserve">: </w:t>
            </w:r>
          </w:p>
          <w:p w14:paraId="531AE314" w14:textId="4F09D3DF" w:rsidR="00666B4E" w:rsidRPr="00666B4E" w:rsidRDefault="00666B4E" w:rsidP="00666B4E">
            <w:pPr>
              <w:autoSpaceDE w:val="0"/>
              <w:autoSpaceDN w:val="0"/>
              <w:adjustRightInd w:val="0"/>
              <w:ind w:left="102" w:right="171"/>
              <w:jc w:val="both"/>
              <w:rPr>
                <w:rFonts w:eastAsia="Times New Roman"/>
              </w:rPr>
            </w:pPr>
            <w:r>
              <w:rPr>
                <w:rFonts w:eastAsia="Times New Roman"/>
              </w:rPr>
              <w:tab/>
            </w:r>
            <w:r w:rsidRPr="00F1697B">
              <w:rPr>
                <w:i/>
                <w:u w:val="single"/>
              </w:rPr>
              <w:t>1. pazīme</w:t>
            </w:r>
            <w:r w:rsidRPr="00F1697B">
              <w:t>: Atbalsts tiek sniegts no publiskiem resursiem;</w:t>
            </w:r>
          </w:p>
          <w:p w14:paraId="36F05B4E" w14:textId="77777777" w:rsidR="00666B4E" w:rsidRDefault="00666B4E" w:rsidP="00666B4E">
            <w:pPr>
              <w:ind w:left="101" w:right="142"/>
              <w:jc w:val="both"/>
            </w:pPr>
            <w:r>
              <w:tab/>
            </w:r>
            <w:r w:rsidRPr="00F1697B">
              <w:rPr>
                <w:i/>
                <w:u w:val="single"/>
              </w:rPr>
              <w:t>2. pazīme</w:t>
            </w:r>
            <w:r w:rsidRPr="00F1697B">
              <w:t>: Atbalsta saņēmējs veic saimniecisku darbību un attiecībā uz to gūst ekonomiskas priekšrocības, kādas tas nevarētu gūt normālos komercdarbības veikšanas apstākļos;</w:t>
            </w:r>
          </w:p>
          <w:p w14:paraId="2B392D93" w14:textId="77777777" w:rsidR="00666B4E" w:rsidRDefault="00666B4E" w:rsidP="00666B4E">
            <w:pPr>
              <w:jc w:val="both"/>
            </w:pPr>
            <w:r>
              <w:lastRenderedPageBreak/>
              <w:tab/>
            </w:r>
            <w:r w:rsidRPr="00F1697B">
              <w:rPr>
                <w:i/>
                <w:u w:val="single"/>
              </w:rPr>
              <w:t>3. pazīme</w:t>
            </w:r>
            <w:r w:rsidRPr="00F1697B">
              <w:t>: Pasākums ir selektīvs pēc sava rakstura;</w:t>
            </w:r>
          </w:p>
          <w:p w14:paraId="3ED5A7FB" w14:textId="5848E79D" w:rsidR="00666B4E" w:rsidRPr="00F1697B" w:rsidRDefault="00666B4E" w:rsidP="00666B4E">
            <w:pPr>
              <w:ind w:left="101" w:right="142"/>
              <w:jc w:val="both"/>
            </w:pPr>
            <w:r>
              <w:tab/>
            </w:r>
            <w:r w:rsidRPr="00F1697B">
              <w:rPr>
                <w:i/>
                <w:u w:val="single"/>
              </w:rPr>
              <w:t>4. pazīme</w:t>
            </w:r>
            <w:r w:rsidRPr="00F1697B">
              <w:t>: Atbalsts ietekmē konkurenci un tirdzniecību Eiropas Savienības iekšējā tirgū.</w:t>
            </w:r>
          </w:p>
          <w:p w14:paraId="280D7FEA" w14:textId="3D857D27" w:rsidR="00803528" w:rsidRPr="00F1697B" w:rsidRDefault="00666B4E" w:rsidP="00803528">
            <w:pPr>
              <w:ind w:left="120" w:right="118" w:firstLine="709"/>
              <w:jc w:val="both"/>
            </w:pPr>
            <w:r>
              <w:t xml:space="preserve">IZM vērtējumā </w:t>
            </w:r>
            <w:r w:rsidRPr="00F1697B">
              <w:t>minētā atbalsta sniegšana nerada konkurences kropļojumu Eiropas Savienības līmenī</w:t>
            </w:r>
            <w:r w:rsidR="00803528" w:rsidRPr="00F1697B">
              <w:t>, ņemot vērā sporta centra darbības izteikti lokālo raksturu, t.i., darbība nav vērsta uz ārvalstu apmeklētāju piesaistīšanu.  Tāpat uzsverams, ka Sporta centra „Mežaparks” īpašniece ir SIA „Sporta centrs „Mežaparks””, kuras 100% kapitāla daļu turētāja ir valsts (IZM), kā rezultātā nodrošināt sporta bāzes infrastruktūras atbilstību normatīvo aktu prasībām, kā arī nodrošināt sporta bāzes kā nekustamā īpašuma uzturēšanu un attīstību ir valsts (IZM) pienākums. Sporta centrs „Mežaparks” kā sporta bāze pamatā tiek izmantota mācību-treniņu procesam un vietēju (nacionāla līmeņa) sporta sacensību organizēšanai, kā arī dažādu ar sportu saistītu atbalsta procesu nodrošināšanai (tai skaitā sporta medicīnas rehabilitācijas vajadzībām). Šajā sporta bāzē var norisināties arī starptautiska līmeņa sacensības, bet pēdējos gados to skaits ir bijis salīdzinoši neliels. Minētās sporta bāzes darbība un attīstība ir saistīta ar valsts funkciju izpildi sporta nozarē, t.i. valsts nozīmes sporta infrastruktūras uzturēšanu Latvijas iedzīvotāju (it īpaši bērnu un jauniešu) fizisko aktivitāšu līmeņa paaugstināšanai, tostarp arī izglītības iestāžu un sporta klubu audzēkņu, fizisko aktivitāšu nodrošināšanai, kā arī Latvijas sportistu (tai skaitā Latvijas izlases sportistu) treniņu procesa nodrošināšanai. Jāņem vērā arī fakts, ka sporta bāzes plānotā tvēruma zona ir lokāla, tā atrodas tālu no tuvākās robežas, netiek plānots popularizēt bāzes mērķauditorijām ārvalstīs, kā arī nav plānots būtisks tvēruma zonas paplašinājums. Papildus uzsverams, ka SIA „Sporta centrs „Mežaparks””, veicot saimniecisko darbību (nodrošinot sporta centra darbību), visus ieņēmumus iegulda sporta centra uzturēšanai (peļņu negūst). Iepriekšminētā rezultātā secināms, ka papildus finansējuma  piešķiršana  Sporta centra „Mežaparks” infrastruktūras attīstībai</w:t>
            </w:r>
            <w:r w:rsidR="001E2A2D">
              <w:t xml:space="preserve"> </w:t>
            </w:r>
            <w:r w:rsidR="00803528" w:rsidRPr="00F1697B">
              <w:t>vienlaikus neatbilst visām Komercdarbības atbalsta kontroles likuma 5.pantā noteiktajām pazīmēm un attiecīgi minētais atbalsts nav uzskatā</w:t>
            </w:r>
            <w:r w:rsidR="00803528">
              <w:t>ms par komercdarbības atbalstu.</w:t>
            </w:r>
          </w:p>
          <w:p w14:paraId="3B76E953" w14:textId="280227D6" w:rsidR="001E2A2D" w:rsidRPr="00F1697B" w:rsidRDefault="001E2A2D" w:rsidP="001E2A2D">
            <w:pPr>
              <w:ind w:left="120" w:right="118" w:firstLine="709"/>
              <w:jc w:val="both"/>
            </w:pPr>
            <w:r w:rsidRPr="00F1697B">
              <w:t>IZM ir veikusi sākotnējo izvērtējumu par finansējuma piešķiršanas  Sporta centra „</w:t>
            </w:r>
            <w:r>
              <w:t xml:space="preserve">Kleisti” jumta remontam </w:t>
            </w:r>
            <w:r w:rsidRPr="00F1697B">
              <w:t>atbilstību komercdarbības atbalsta kontroles regulējumam un konstatējusi, ka minētā atbalsta sniegšana nerada konkurences kropļojumu Eiropas Savienības līmenī, ņemot vērā sporta centra darbības izteikti lokālo raksturu, t.i., darbība nav vērsta uz ārvalstu apmeklētāju piesaistīšanu. Tāpat uzsverams, ka Sporta centra „</w:t>
            </w:r>
            <w:r>
              <w:t>Kleisti</w:t>
            </w:r>
            <w:r w:rsidRPr="00F1697B">
              <w:t>” īpašniece ir valsts (IZM), kā rezultātā</w:t>
            </w:r>
            <w:r>
              <w:t xml:space="preserve"> pienākums </w:t>
            </w:r>
            <w:r w:rsidRPr="00F1697B">
              <w:t xml:space="preserve">nodrošināt sporta bāzes infrastruktūras atbilstību normatīvo aktu prasībām, kā arī nodrošināt sporta bāzes kā nekustamā īpašuma uzturēšanu un attīstību ir valsts </w:t>
            </w:r>
            <w:r>
              <w:t>(šajā gadījumā pamatā gan LJF kā organizācijas, kurai uzticēta centra pārvaldīšana)</w:t>
            </w:r>
            <w:r w:rsidRPr="00F1697B">
              <w:t xml:space="preserve"> pienākums. Sporta centrs „</w:t>
            </w:r>
            <w:r>
              <w:t>Kleisti</w:t>
            </w:r>
            <w:r w:rsidRPr="00F1697B">
              <w:t>” kā sporta bāze pamatā tiek izmantota mācību-treniņu procesam un vietēju (nacionāla līmeņa) sporta sacensību organizēšanai</w:t>
            </w:r>
            <w:r>
              <w:t xml:space="preserve"> jātnieku sportā un daļā modernās pieccīņas disciplīnu</w:t>
            </w:r>
            <w:r w:rsidRPr="00F1697B">
              <w:t xml:space="preserve">. Šajā sporta bāzē var norisināties arī starptautiska līmeņa sacensības, bet pēdējos gados to skaits ir bijis salīdzinoši neliels. Minētās sporta bāzes darbība un attīstība ir saistīta ar valsts funkciju izpildi sporta nozarē, t.i. valsts nozīmes sporta infrastruktūras uzturēšanu Latvijas iedzīvotāju (it īpaši bērnu un jauniešu) fizisko aktivitāšu līmeņa paaugstināšanai, tostarp arī izglītības iestāžu un sporta klubu audzēkņu, fizisko aktivitāšu nodrošināšanai, kā arī Latvijas sportistu (tai skaitā Latvijas izlases sportistu) treniņu procesa nodrošināšanai. Jāņem vērā arī fakts, ka sporta bāzes plānotā tvēruma zona ir lokāla, tā atrodas tālu no tuvākās robežas, netiek plānots popularizēt bāzes </w:t>
            </w:r>
            <w:r w:rsidRPr="00F1697B">
              <w:lastRenderedPageBreak/>
              <w:t xml:space="preserve">mērķauditorijām ārvalstīs, kā arī nav plānots būtisks tvēruma zonas paplašinājums. Papildus uzsverams, ka </w:t>
            </w:r>
            <w:r>
              <w:t>LJF</w:t>
            </w:r>
            <w:r w:rsidRPr="00F1697B">
              <w:t>, veicot saimniecisko darbību (nodrošinot sporta centra darbību), visus ieņēmumus iegulda sporta centra uzturēšanai (peļņu negūst). Iepriekšminētā rezultātā secināms, ka papildus finansējuma  piešķiršana  Sporta centra „</w:t>
            </w:r>
            <w:r>
              <w:t>Kleisti</w:t>
            </w:r>
            <w:r w:rsidRPr="00F1697B">
              <w:t xml:space="preserve">” </w:t>
            </w:r>
            <w:r>
              <w:t xml:space="preserve">jumta remontam </w:t>
            </w:r>
            <w:r w:rsidRPr="00F1697B">
              <w:t>vienlaikus neatbilst visām Komercdarbības atbalsta kontroles likuma 5.pantā noteiktajām pazīmēm un attiecīgi minētais atbalsts nav uzskatā</w:t>
            </w:r>
            <w:r>
              <w:t>ms par komercdarbības atbalstu.</w:t>
            </w:r>
          </w:p>
          <w:p w14:paraId="0C511C83" w14:textId="66D90578" w:rsidR="003A72D9" w:rsidRPr="00F1697B" w:rsidRDefault="003A72D9" w:rsidP="003A72D9">
            <w:pPr>
              <w:ind w:left="120" w:right="118" w:firstLine="709"/>
              <w:jc w:val="both"/>
            </w:pPr>
            <w:r w:rsidRPr="00F1697B">
              <w:t xml:space="preserve">IZM ir veikusi sākotnējo izvērtējumu par finansējuma piešķiršanas  </w:t>
            </w:r>
            <w:r w:rsidR="00602697">
              <w:t>MSĢ</w:t>
            </w:r>
            <w:r w:rsidRPr="003A72D9">
              <w:t xml:space="preserve"> infrastruktūras pilnveide</w:t>
            </w:r>
            <w:r>
              <w:t xml:space="preserve">i un </w:t>
            </w:r>
            <w:r w:rsidR="00602697">
              <w:t>LSPA</w:t>
            </w:r>
            <w:r w:rsidRPr="003A72D9">
              <w:t xml:space="preserve"> vieglatlētikas manēžas rekonstrukcijas projekta izstrādei</w:t>
            </w:r>
            <w:r>
              <w:t xml:space="preserve"> </w:t>
            </w:r>
            <w:r w:rsidRPr="00F1697B">
              <w:t xml:space="preserve">atbilstību komercdarbības atbalsta kontroles regulējumam un konstatējusi, ka minētā atbalsta sniegšana nerada konkurences kropļojumu Eiropas Savienības līmenī, ņemot vērā sporta centra darbības izteikti lokālo raksturu, t.i., darbība nav vērsta uz ārvalstu apmeklētāju piesaistīšanu. Tāpat uzsverams, ka </w:t>
            </w:r>
            <w:r>
              <w:t xml:space="preserve">gan </w:t>
            </w:r>
            <w:r w:rsidR="00602697">
              <w:t>MSĢ</w:t>
            </w:r>
            <w:r>
              <w:t>, gan LSPA ir valsts dibinātas izglītības iestādes</w:t>
            </w:r>
            <w:r w:rsidRPr="00F1697B">
              <w:t>, kā rezultātā</w:t>
            </w:r>
            <w:r>
              <w:t xml:space="preserve"> pienākums </w:t>
            </w:r>
            <w:r w:rsidRPr="00F1697B">
              <w:t xml:space="preserve">nodrošināt </w:t>
            </w:r>
            <w:r w:rsidR="00356383">
              <w:t>attiecīgas</w:t>
            </w:r>
            <w:r w:rsidRPr="00F1697B">
              <w:t xml:space="preserve"> infrastruktūras atbilstību normatīvo aktu prasībām, kā arī nodrošināt </w:t>
            </w:r>
            <w:r w:rsidR="00356383">
              <w:t xml:space="preserve">izglītības un sporta </w:t>
            </w:r>
            <w:r w:rsidRPr="00F1697B">
              <w:t xml:space="preserve">bāzes kā </w:t>
            </w:r>
            <w:r w:rsidR="00356383">
              <w:t>nekustamo īpašumu u</w:t>
            </w:r>
            <w:r w:rsidRPr="00F1697B">
              <w:t xml:space="preserve">zturēšanu un attīstību ir valsts </w:t>
            </w:r>
            <w:r>
              <w:t xml:space="preserve"> </w:t>
            </w:r>
            <w:r w:rsidR="00356383">
              <w:t>LSPA gadījumā arī pašas augstskolas kā atvasinātas publiskās personas</w:t>
            </w:r>
            <w:r>
              <w:t xml:space="preserve">, kurai uzticēta </w:t>
            </w:r>
            <w:r w:rsidR="00356383">
              <w:t xml:space="preserve">attiecīgā nekustamā īpašuma </w:t>
            </w:r>
            <w:r>
              <w:t>pārvaldīšana)</w:t>
            </w:r>
            <w:r w:rsidRPr="00F1697B">
              <w:t xml:space="preserve"> pienākums. </w:t>
            </w:r>
            <w:r w:rsidR="00356383">
              <w:t xml:space="preserve">Gan </w:t>
            </w:r>
            <w:r w:rsidR="00602697">
              <w:t>MSĢ</w:t>
            </w:r>
            <w:r w:rsidR="00356383">
              <w:t xml:space="preserve">, gan LSPA </w:t>
            </w:r>
            <w:r w:rsidRPr="00F1697B">
              <w:t>tiek</w:t>
            </w:r>
            <w:r w:rsidR="00356383">
              <w:t xml:space="preserve"> </w:t>
            </w:r>
            <w:r w:rsidRPr="00F1697B">
              <w:t>izmantota mācību-treniņu procesam un vietēju (nacionāla līmeņa) sporta sacensību organizēšanai. Šajā</w:t>
            </w:r>
            <w:r w:rsidR="00356383">
              <w:t>s</w:t>
            </w:r>
            <w:r w:rsidRPr="00F1697B">
              <w:t xml:space="preserve"> sporta bāzē</w:t>
            </w:r>
            <w:r w:rsidR="00356383">
              <w:t>s</w:t>
            </w:r>
            <w:r w:rsidRPr="00F1697B">
              <w:t xml:space="preserve"> </w:t>
            </w:r>
            <w:r w:rsidR="00356383">
              <w:t xml:space="preserve">starptautiskas sporta sacensības nenorisinās. Abu minēto izglītības un sporta infrastruktūras vienību </w:t>
            </w:r>
            <w:r w:rsidRPr="00F1697B">
              <w:t xml:space="preserve">darbība un attīstība ir saistīta ar valsts funkciju izpildi </w:t>
            </w:r>
            <w:r w:rsidR="00602697">
              <w:t xml:space="preserve">izglītības un </w:t>
            </w:r>
            <w:r w:rsidRPr="00F1697B">
              <w:t>sporta nozarē</w:t>
            </w:r>
            <w:r w:rsidR="00602697">
              <w:t>s</w:t>
            </w:r>
            <w:r w:rsidRPr="00F1697B">
              <w:t>, t.i.</w:t>
            </w:r>
            <w:r w:rsidR="00602697">
              <w:t xml:space="preserve"> valsts dibinātu izglītības iestāžu darbības nodrošināšana un </w:t>
            </w:r>
            <w:r w:rsidRPr="00F1697B">
              <w:t>sporta infrastruktūras uzturēšan</w:t>
            </w:r>
            <w:r w:rsidR="00602697">
              <w:t>a</w:t>
            </w:r>
            <w:r w:rsidRPr="00F1697B">
              <w:t xml:space="preserve"> Latvijas iedzīvotāju (it īpaši bērnu un jauniešu) fizisko aktivitāšu līmeņa paaugstināšanai, tostarp </w:t>
            </w:r>
            <w:r w:rsidR="00602697">
              <w:t xml:space="preserve">pamatā tieši pašu izglītības iestāžu </w:t>
            </w:r>
            <w:r w:rsidRPr="00F1697B">
              <w:t>audzēkņu, fi</w:t>
            </w:r>
            <w:r w:rsidR="00602697">
              <w:t>zisko aktivitāšu nodrošināšanai</w:t>
            </w:r>
            <w:r w:rsidRPr="00F1697B">
              <w:t xml:space="preserve">. Jāņem vērā arī fakts, ka </w:t>
            </w:r>
            <w:r w:rsidR="00602697">
              <w:t>šo izglītības un sporta bāzu</w:t>
            </w:r>
            <w:r w:rsidRPr="00F1697B">
              <w:t xml:space="preserve"> plānotā tvēruma zona ir lokāla, tā atrodas tālu no tuvākās robežas, netiek plānots popularizēt bāzes mērķauditorijām ārvalstīs, kā arī nav plānots būtisks tvēruma zonas paplašinājums. Papildus uzsverams, ka </w:t>
            </w:r>
            <w:r w:rsidR="00602697">
              <w:t>MSĢ un LSPA</w:t>
            </w:r>
            <w:r w:rsidRPr="00F1697B">
              <w:t xml:space="preserve">, veicot saimniecisko darbību (nodrošinot </w:t>
            </w:r>
            <w:r w:rsidR="00602697">
              <w:t>izglītības un sporta objektu</w:t>
            </w:r>
            <w:r w:rsidRPr="00F1697B">
              <w:t xml:space="preserve"> darbību), visus ieņēmumus iegulda </w:t>
            </w:r>
            <w:r w:rsidR="00602697">
              <w:t>šo objektu</w:t>
            </w:r>
            <w:r w:rsidRPr="00F1697B">
              <w:t xml:space="preserve"> uzturēšanai (peļņu negūst). Iepriekšminētā rezultātā secināms, ka papildus finansējuma piešķiršana </w:t>
            </w:r>
            <w:r w:rsidR="00602697">
              <w:t>MSĢ</w:t>
            </w:r>
            <w:r w:rsidR="00602697" w:rsidRPr="003A72D9">
              <w:t xml:space="preserve"> infrastruktūras pilnveide</w:t>
            </w:r>
            <w:r w:rsidR="00602697">
              <w:t>i un LSPA</w:t>
            </w:r>
            <w:r w:rsidR="00602697" w:rsidRPr="003A72D9">
              <w:t xml:space="preserve"> vieglatlētikas manēžas rekonstrukcijas projekta izstrādei</w:t>
            </w:r>
            <w:r w:rsidR="00602697">
              <w:t xml:space="preserve"> </w:t>
            </w:r>
            <w:r w:rsidRPr="00F1697B">
              <w:t>vienlaikus neatbilst visām Komercdarbības atbalsta kontroles likuma 5.pantā noteiktajām pazīmēm un attiecīgi minētais atbalsts nav uzskatā</w:t>
            </w:r>
            <w:r>
              <w:t>ms par komercdarbības atbalstu.</w:t>
            </w:r>
          </w:p>
          <w:p w14:paraId="48508EA5" w14:textId="77777777" w:rsidR="001E2A2D" w:rsidRDefault="001E2A2D" w:rsidP="007E0148">
            <w:pPr>
              <w:ind w:left="141" w:right="142" w:firstLine="567"/>
              <w:jc w:val="both"/>
            </w:pPr>
          </w:p>
          <w:p w14:paraId="1BF6D19B" w14:textId="11D1BD4D" w:rsidR="000A1E9A" w:rsidRDefault="0065105A" w:rsidP="000A1E9A">
            <w:pPr>
              <w:ind w:left="141" w:right="142" w:firstLine="567"/>
              <w:jc w:val="both"/>
            </w:pPr>
            <w:r>
              <w:t>Ievērojot minēto</w:t>
            </w:r>
            <w:r w:rsidR="003B38AA">
              <w:t xml:space="preserve">, </w:t>
            </w:r>
            <w:r w:rsidR="00B33243" w:rsidRPr="00115792">
              <w:t>IZM ir izstrādājusi Ministru kabineta rīkojuma projektu</w:t>
            </w:r>
            <w:r w:rsidR="00B33243">
              <w:t xml:space="preserve"> </w:t>
            </w:r>
            <w:r w:rsidR="00113533">
              <w:t>„</w:t>
            </w:r>
            <w:r w:rsidR="00260175" w:rsidRPr="00260175">
              <w:t>Par prioritārajam pasākumam „</w:t>
            </w:r>
            <w:r w:rsidR="000A1E9A" w:rsidRPr="000A1E9A">
              <w:t>Par prioritārajam pasākumam „Papildu investīcijas valsts nozīmes sporta infrastruktūras attīstības projektu īstenošanai” paredzētā finansējuma sadalījumu 2020. gadā</w:t>
            </w:r>
            <w:r w:rsidR="00260175">
              <w:t>”</w:t>
            </w:r>
            <w:r w:rsidR="000A1E9A">
              <w:t xml:space="preserve"> (turpmāk – Rīkojuma projekts)</w:t>
            </w:r>
            <w:r w:rsidR="00260175">
              <w:t>, kurš paredz</w:t>
            </w:r>
            <w:r w:rsidR="000A1E9A">
              <w:t xml:space="preserve"> noteikt, ka prioritārajam pasākumam „Papildu investīcijas valsts nozīmes sporta infrastruktūras attīstības projektu īstenošanai” IZM valsts budžeta programmas 09.00.00 „Sports” apakšprogrammā 09.04.00 „Sporta būves” 2020. gadā paredzētais finansējums (2 602 000 </w:t>
            </w:r>
            <w:r w:rsidR="000A1E9A" w:rsidRPr="000A1E9A">
              <w:rPr>
                <w:i/>
              </w:rPr>
              <w:t>euro</w:t>
            </w:r>
            <w:r w:rsidR="000A1E9A">
              <w:t>) novirzāms šādu valsts nozīmes sporta infrastruktūras attīstības projektu īstenošanai:</w:t>
            </w:r>
          </w:p>
          <w:p w14:paraId="6BDB7BE4" w14:textId="0721C31C" w:rsidR="000A1E9A" w:rsidRDefault="000A1E9A" w:rsidP="00A0606B">
            <w:pPr>
              <w:pStyle w:val="ListParagraph"/>
              <w:numPr>
                <w:ilvl w:val="0"/>
                <w:numId w:val="42"/>
              </w:numPr>
              <w:ind w:left="668" w:right="142"/>
              <w:jc w:val="both"/>
            </w:pPr>
            <w:r>
              <w:t>Daugavas stadiona centrālā sporta laukuma (futbols un vieglatlētika) rekonstrukcijai (</w:t>
            </w:r>
            <w:r w:rsidR="003127FA">
              <w:t xml:space="preserve">ieguldījums VSIA „Kultūras un sporta centrs „Daugavas stadions”” pamatkapitālā </w:t>
            </w:r>
            <w:r>
              <w:t xml:space="preserve">) – 1 080 688 </w:t>
            </w:r>
            <w:r w:rsidRPr="000A1E9A">
              <w:rPr>
                <w:i/>
              </w:rPr>
              <w:t>euro</w:t>
            </w:r>
            <w:r>
              <w:t>;</w:t>
            </w:r>
          </w:p>
          <w:p w14:paraId="115B8752" w14:textId="40DC9876" w:rsidR="000A1E9A" w:rsidRDefault="000A1E9A" w:rsidP="00A0606B">
            <w:pPr>
              <w:pStyle w:val="ListParagraph"/>
              <w:numPr>
                <w:ilvl w:val="0"/>
                <w:numId w:val="42"/>
              </w:numPr>
              <w:ind w:left="668" w:right="142"/>
              <w:jc w:val="both"/>
            </w:pPr>
            <w:r>
              <w:lastRenderedPageBreak/>
              <w:t xml:space="preserve">Murjāņu sporta ģimnāzijas infrastruktūras pilnveide, lai nodrošinātu iestādes sagatavošanu akreditācijai (Murjāņu sporta ģimnāzijai) – </w:t>
            </w:r>
            <w:r w:rsidR="00A0606B">
              <w:br/>
            </w:r>
            <w:r w:rsidR="003127FA">
              <w:t xml:space="preserve">1 017 822 </w:t>
            </w:r>
            <w:r w:rsidRPr="000A1E9A">
              <w:rPr>
                <w:i/>
              </w:rPr>
              <w:t>euro</w:t>
            </w:r>
            <w:r>
              <w:t>;</w:t>
            </w:r>
          </w:p>
          <w:p w14:paraId="57C74F7D" w14:textId="69D1B59D" w:rsidR="000A1E9A" w:rsidRDefault="000A1E9A" w:rsidP="00A0606B">
            <w:pPr>
              <w:pStyle w:val="ListParagraph"/>
              <w:numPr>
                <w:ilvl w:val="0"/>
                <w:numId w:val="42"/>
              </w:numPr>
              <w:ind w:left="668" w:right="142"/>
              <w:jc w:val="both"/>
            </w:pPr>
            <w:r>
              <w:t xml:space="preserve">Sporta centra „Mežaparks” energoefektivitātes paaugstināšanai (ieguldījums SIA „Sporta centrs „Mežaparks”” pamatkapitālā) – </w:t>
            </w:r>
            <w:r w:rsidR="00A0606B">
              <w:br/>
            </w:r>
            <w:r>
              <w:t xml:space="preserve">300 000 </w:t>
            </w:r>
            <w:r w:rsidRPr="000A1E9A">
              <w:rPr>
                <w:i/>
              </w:rPr>
              <w:t>euro</w:t>
            </w:r>
            <w:r>
              <w:t>;</w:t>
            </w:r>
          </w:p>
          <w:p w14:paraId="65E14D15" w14:textId="76B2DB21" w:rsidR="000A1E9A" w:rsidRDefault="000A1E9A" w:rsidP="00A0606B">
            <w:pPr>
              <w:pStyle w:val="ListParagraph"/>
              <w:numPr>
                <w:ilvl w:val="0"/>
                <w:numId w:val="42"/>
              </w:numPr>
              <w:ind w:left="668" w:right="142"/>
              <w:jc w:val="both"/>
            </w:pPr>
            <w:r>
              <w:t>Sporta centra „Kleisti” jumta remontam (biedrība</w:t>
            </w:r>
            <w:r w:rsidR="00265934">
              <w:t>i</w:t>
            </w:r>
            <w:r>
              <w:t xml:space="preserve"> „Latvijas Jātnieku federācija”) – 120 000 </w:t>
            </w:r>
            <w:r w:rsidRPr="000A1E9A">
              <w:rPr>
                <w:i/>
              </w:rPr>
              <w:t>euro</w:t>
            </w:r>
            <w:r>
              <w:t>;</w:t>
            </w:r>
          </w:p>
          <w:p w14:paraId="4A2A053D" w14:textId="7A20A937" w:rsidR="003127FA" w:rsidRPr="00945164" w:rsidRDefault="000A1E9A" w:rsidP="00A0606B">
            <w:pPr>
              <w:pStyle w:val="ListParagraph"/>
              <w:numPr>
                <w:ilvl w:val="0"/>
                <w:numId w:val="42"/>
              </w:numPr>
              <w:ind w:left="668" w:right="142"/>
              <w:jc w:val="both"/>
            </w:pPr>
            <w:r>
              <w:t xml:space="preserve">Latvijas Sporta pedagoģijas akadēmijas vieglatlētikas manēžas rekonstrukcijas projekta izstrādei (Latvijas Sporta pedagoģijas akadēmijai) – 83 490 </w:t>
            </w:r>
            <w:r w:rsidRPr="000A1E9A">
              <w:rPr>
                <w:i/>
              </w:rPr>
              <w:t>euro</w:t>
            </w:r>
            <w:r>
              <w:t>.</w:t>
            </w:r>
          </w:p>
        </w:tc>
      </w:tr>
      <w:tr w:rsidR="00585B7B" w:rsidRPr="00317B6A" w14:paraId="42AC8649" w14:textId="77777777" w:rsidTr="00DB6D8A">
        <w:trPr>
          <w:trHeight w:val="476"/>
        </w:trPr>
        <w:tc>
          <w:tcPr>
            <w:tcW w:w="562" w:type="dxa"/>
            <w:tcBorders>
              <w:bottom w:val="single" w:sz="4" w:space="0" w:color="auto"/>
            </w:tcBorders>
          </w:tcPr>
          <w:p w14:paraId="308FAEA2" w14:textId="6A1712E0" w:rsidR="00585B7B" w:rsidRPr="00317B6A" w:rsidRDefault="00005A9D" w:rsidP="00BD696A">
            <w:pPr>
              <w:pStyle w:val="naiskr"/>
              <w:spacing w:before="0" w:after="0"/>
              <w:jc w:val="center"/>
            </w:pPr>
            <w:r w:rsidRPr="00317B6A">
              <w:lastRenderedPageBreak/>
              <w:t>3.</w:t>
            </w:r>
          </w:p>
        </w:tc>
        <w:tc>
          <w:tcPr>
            <w:tcW w:w="1884" w:type="dxa"/>
            <w:tcBorders>
              <w:bottom w:val="single" w:sz="4" w:space="0" w:color="auto"/>
            </w:tcBorders>
          </w:tcPr>
          <w:p w14:paraId="132B3A4C" w14:textId="77777777"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7614" w:type="dxa"/>
            <w:tcBorders>
              <w:bottom w:val="single" w:sz="4" w:space="0" w:color="auto"/>
            </w:tcBorders>
          </w:tcPr>
          <w:p w14:paraId="7C6826FC" w14:textId="083347CD" w:rsidR="00643E6C" w:rsidRPr="00317B6A" w:rsidRDefault="00BB3C51" w:rsidP="000579E3">
            <w:pPr>
              <w:ind w:left="101" w:right="142"/>
              <w:jc w:val="both"/>
            </w:pPr>
            <w:r>
              <w:t xml:space="preserve">Rīkojuma </w:t>
            </w:r>
            <w:r w:rsidR="00B73BB9">
              <w:t xml:space="preserve">projektu </w:t>
            </w:r>
            <w:r w:rsidR="00DC332F" w:rsidRPr="00317B6A">
              <w:t>izstrādāja IZM.</w:t>
            </w:r>
            <w:r w:rsidR="00790CFC">
              <w:t xml:space="preserve"> </w:t>
            </w:r>
            <w:r>
              <w:t xml:space="preserve">Rīkojuma </w:t>
            </w:r>
            <w:r w:rsidR="00790CFC">
              <w:t>projekta izstrādes procesā notikušas konsu</w:t>
            </w:r>
            <w:r w:rsidR="0065105A">
              <w:t xml:space="preserve">ltācijas ar </w:t>
            </w:r>
            <w:r w:rsidR="004B2478">
              <w:t>Rīkojuma projektā minēto projektu īstenotājiem</w:t>
            </w:r>
            <w:r w:rsidR="000579E3">
              <w:t xml:space="preserve">, kā arī jautājums ir izskatīts </w:t>
            </w:r>
            <w:r w:rsidR="000579E3" w:rsidRPr="000579E3">
              <w:t xml:space="preserve"> </w:t>
            </w:r>
            <w:r w:rsidR="000579E3" w:rsidRPr="000579E3">
              <w:t>Latvijas Nacionālās sporta padomes 2020. gada 17. jūnija sēdē</w:t>
            </w:r>
            <w:r w:rsidR="000579E3">
              <w:t xml:space="preserve"> </w:t>
            </w:r>
            <w:r w:rsidR="000579E3" w:rsidRPr="000579E3">
              <w:t xml:space="preserve">(prot Nr.2 </w:t>
            </w:r>
            <w:r w:rsidR="000579E3">
              <w:t>5</w:t>
            </w:r>
            <w:r w:rsidR="000579E3" w:rsidRPr="000579E3">
              <w:t>.§</w:t>
            </w:r>
            <w:r w:rsidR="000579E3">
              <w:t>)</w:t>
            </w:r>
            <w:r w:rsidR="003B38AA">
              <w:t>.</w:t>
            </w:r>
            <w:r w:rsidR="00EB5702">
              <w:t xml:space="preserve"> </w:t>
            </w:r>
            <w:r w:rsidR="00EB5702" w:rsidRPr="00945C6F">
              <w:rPr>
                <w:color w:val="00B050"/>
              </w:rPr>
              <w:t xml:space="preserve"> </w:t>
            </w:r>
          </w:p>
        </w:tc>
      </w:tr>
      <w:tr w:rsidR="00585B7B" w:rsidRPr="00317B6A" w14:paraId="26593524" w14:textId="77777777" w:rsidTr="00DB6D8A">
        <w:tc>
          <w:tcPr>
            <w:tcW w:w="562" w:type="dxa"/>
            <w:tcBorders>
              <w:top w:val="single" w:sz="4" w:space="0" w:color="auto"/>
              <w:left w:val="single" w:sz="4" w:space="0" w:color="auto"/>
              <w:bottom w:val="single" w:sz="4" w:space="0" w:color="auto"/>
              <w:right w:val="single" w:sz="4" w:space="0" w:color="auto"/>
            </w:tcBorders>
          </w:tcPr>
          <w:p w14:paraId="6FA8785B" w14:textId="77777777" w:rsidR="00585B7B" w:rsidRPr="00317B6A" w:rsidRDefault="00005A9D" w:rsidP="00BD696A">
            <w:pPr>
              <w:pStyle w:val="naiskr"/>
              <w:spacing w:before="0" w:after="0"/>
              <w:jc w:val="center"/>
            </w:pPr>
            <w:r w:rsidRPr="00317B6A">
              <w:t>4</w:t>
            </w:r>
            <w:r w:rsidR="00585B7B" w:rsidRPr="00317B6A">
              <w:t>.</w:t>
            </w:r>
          </w:p>
        </w:tc>
        <w:tc>
          <w:tcPr>
            <w:tcW w:w="1884" w:type="dxa"/>
            <w:tcBorders>
              <w:top w:val="single" w:sz="4" w:space="0" w:color="auto"/>
              <w:left w:val="single" w:sz="4" w:space="0" w:color="auto"/>
              <w:bottom w:val="single" w:sz="4" w:space="0" w:color="auto"/>
              <w:right w:val="single" w:sz="4" w:space="0" w:color="auto"/>
            </w:tcBorders>
          </w:tcPr>
          <w:p w14:paraId="2D1E3318" w14:textId="77777777" w:rsidR="00585B7B" w:rsidRPr="00317B6A" w:rsidRDefault="00585B7B" w:rsidP="00916055">
            <w:pPr>
              <w:pStyle w:val="naiskr"/>
              <w:spacing w:before="0" w:after="0"/>
              <w:ind w:left="141"/>
            </w:pPr>
            <w:r w:rsidRPr="00317B6A">
              <w:t>Cita informācija</w:t>
            </w:r>
          </w:p>
        </w:tc>
        <w:tc>
          <w:tcPr>
            <w:tcW w:w="7614" w:type="dxa"/>
            <w:tcBorders>
              <w:top w:val="single" w:sz="4" w:space="0" w:color="auto"/>
              <w:left w:val="single" w:sz="4" w:space="0" w:color="auto"/>
              <w:bottom w:val="single" w:sz="4" w:space="0" w:color="auto"/>
              <w:right w:val="single" w:sz="4" w:space="0" w:color="auto"/>
            </w:tcBorders>
          </w:tcPr>
          <w:p w14:paraId="7A9AF941" w14:textId="77777777" w:rsidR="002D5B95" w:rsidRPr="00317B6A" w:rsidRDefault="00BB3C51" w:rsidP="004B2478">
            <w:pPr>
              <w:ind w:left="114" w:right="127"/>
              <w:jc w:val="both"/>
            </w:pPr>
            <w:r>
              <w:t xml:space="preserve">Rīkojuma </w:t>
            </w:r>
            <w:r w:rsidR="0052685D" w:rsidRPr="0052685D">
              <w:t>projekts attiecas uz</w:t>
            </w:r>
            <w:r w:rsidR="00EC5826">
              <w:t xml:space="preserve"> </w:t>
            </w:r>
            <w:r w:rsidR="004B2478" w:rsidRPr="0052685D">
              <w:t>tūrisma, sporta un brīvā laika politiku (sporta politiku).</w:t>
            </w:r>
          </w:p>
        </w:tc>
      </w:tr>
    </w:tbl>
    <w:p w14:paraId="2175A7A8" w14:textId="77777777" w:rsidR="003127FA" w:rsidRDefault="003127FA">
      <w:pPr>
        <w:rPr>
          <w:b/>
          <w:bCs/>
        </w:rPr>
      </w:pPr>
    </w:p>
    <w:p w14:paraId="37D053CB" w14:textId="77777777" w:rsidR="000579E3" w:rsidRDefault="000579E3">
      <w:r>
        <w:rPr>
          <w:b/>
          <w:bCs/>
        </w:rPr>
        <w:br w:type="page"/>
      </w:r>
    </w:p>
    <w:p w14:paraId="721FB19A" w14:textId="77777777" w:rsidR="000579E3" w:rsidRDefault="000579E3">
      <w:r>
        <w:rPr>
          <w:b/>
          <w:bCs/>
        </w:rPr>
        <w:lastRenderedPageBreak/>
        <w:br w:type="page"/>
      </w:r>
    </w:p>
    <w:p w14:paraId="20E78169" w14:textId="77777777" w:rsidR="000579E3" w:rsidRDefault="000579E3"/>
    <w:p w14:paraId="6290AE27" w14:textId="6375F68B" w:rsidR="000579E3" w:rsidRDefault="000579E3">
      <w:pPr>
        <w:rPr>
          <w:b/>
          <w:bCs/>
        </w:rPr>
      </w:pPr>
    </w:p>
    <w:p w14:paraId="3F800D4F" w14:textId="77777777" w:rsidR="000579E3" w:rsidRDefault="000579E3"/>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317B6A" w14:paraId="014B972D" w14:textId="77777777" w:rsidTr="0053721C">
        <w:tc>
          <w:tcPr>
            <w:tcW w:w="10060" w:type="dxa"/>
            <w:vAlign w:val="center"/>
          </w:tcPr>
          <w:p w14:paraId="25DD5253" w14:textId="68676B6A" w:rsidR="00C66A35" w:rsidRDefault="00C66A35" w:rsidP="001B2A96">
            <w:pPr>
              <w:pStyle w:val="naisnod"/>
              <w:spacing w:before="0" w:after="0"/>
            </w:pPr>
            <w:r w:rsidRPr="00C3572A">
              <w:t xml:space="preserve">II. Tiesību akta projekta ietekme uz sabiedrību, tautsaimniecības attīstību un </w:t>
            </w:r>
          </w:p>
          <w:p w14:paraId="36AC0BC0" w14:textId="77777777" w:rsidR="00C66A35" w:rsidRPr="00317B6A" w:rsidRDefault="00C66A35" w:rsidP="001B2A96">
            <w:pPr>
              <w:pStyle w:val="naisnod"/>
              <w:spacing w:before="0" w:after="0"/>
            </w:pPr>
            <w:r w:rsidRPr="00C3572A">
              <w:t>administratīvo slogu</w:t>
            </w:r>
          </w:p>
        </w:tc>
      </w:tr>
      <w:tr w:rsidR="00C66A35" w:rsidRPr="00B24229" w14:paraId="4EB79942" w14:textId="77777777" w:rsidTr="0053721C">
        <w:trPr>
          <w:trHeight w:val="273"/>
        </w:trPr>
        <w:tc>
          <w:tcPr>
            <w:tcW w:w="10060" w:type="dxa"/>
          </w:tcPr>
          <w:p w14:paraId="4BF34555" w14:textId="77777777" w:rsidR="00C66A35" w:rsidRPr="00B24229" w:rsidRDefault="00C66A35" w:rsidP="001B2A96">
            <w:pPr>
              <w:ind w:right="127"/>
              <w:jc w:val="center"/>
            </w:pPr>
            <w:r w:rsidRPr="00C3572A">
              <w:t>Projekts šo jomu neskar</w:t>
            </w:r>
          </w:p>
        </w:tc>
      </w:tr>
    </w:tbl>
    <w:p w14:paraId="747F53F0" w14:textId="77777777" w:rsidR="00C66A35" w:rsidRDefault="00C66A35"/>
    <w:p w14:paraId="427602C1" w14:textId="77777777" w:rsidR="006C697C" w:rsidRDefault="006C697C"/>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32"/>
        <w:gridCol w:w="1248"/>
        <w:gridCol w:w="1130"/>
        <w:gridCol w:w="1216"/>
        <w:gridCol w:w="1130"/>
        <w:gridCol w:w="1197"/>
        <w:gridCol w:w="1197"/>
      </w:tblGrid>
      <w:tr w:rsidR="00DA708F" w:rsidRPr="0033617F" w14:paraId="23001469" w14:textId="77777777" w:rsidTr="001B2A96">
        <w:trPr>
          <w:trHeight w:val="361"/>
          <w:jc w:val="center"/>
        </w:trPr>
        <w:tc>
          <w:tcPr>
            <w:tcW w:w="10485" w:type="dxa"/>
            <w:gridSpan w:val="8"/>
            <w:vAlign w:val="center"/>
          </w:tcPr>
          <w:p w14:paraId="53C40BA8" w14:textId="77777777" w:rsidR="00DA708F" w:rsidRPr="0033617F" w:rsidRDefault="00DA708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DA708F" w:rsidRPr="0033617F" w14:paraId="4EF90857" w14:textId="77777777" w:rsidTr="004F21AE">
        <w:trPr>
          <w:jc w:val="center"/>
        </w:trPr>
        <w:tc>
          <w:tcPr>
            <w:tcW w:w="2235" w:type="dxa"/>
            <w:vMerge w:val="restart"/>
            <w:vAlign w:val="center"/>
          </w:tcPr>
          <w:p w14:paraId="551BB498" w14:textId="77777777" w:rsidR="00DA708F" w:rsidRPr="0033617F" w:rsidRDefault="00DA708F" w:rsidP="001B2A96">
            <w:pPr>
              <w:jc w:val="center"/>
              <w:rPr>
                <w:b/>
              </w:rPr>
            </w:pPr>
            <w:r w:rsidRPr="0033617F">
              <w:rPr>
                <w:b/>
              </w:rPr>
              <w:t>Rādītāji</w:t>
            </w:r>
          </w:p>
        </w:tc>
        <w:tc>
          <w:tcPr>
            <w:tcW w:w="2380" w:type="dxa"/>
            <w:gridSpan w:val="2"/>
            <w:vMerge w:val="restart"/>
            <w:vAlign w:val="center"/>
          </w:tcPr>
          <w:p w14:paraId="22EC0AC1" w14:textId="77777777" w:rsidR="00DA708F" w:rsidRPr="0033617F" w:rsidRDefault="008C2D86" w:rsidP="001B2A96">
            <w:pPr>
              <w:jc w:val="center"/>
              <w:rPr>
                <w:b/>
              </w:rPr>
            </w:pPr>
            <w:r>
              <w:rPr>
                <w:b/>
              </w:rPr>
              <w:t>2020</w:t>
            </w:r>
          </w:p>
        </w:tc>
        <w:tc>
          <w:tcPr>
            <w:tcW w:w="5870" w:type="dxa"/>
            <w:gridSpan w:val="5"/>
            <w:vAlign w:val="center"/>
          </w:tcPr>
          <w:p w14:paraId="5465584B" w14:textId="77777777" w:rsidR="00DA708F" w:rsidRPr="0033617F" w:rsidRDefault="00DA708F" w:rsidP="001B2A96">
            <w:pPr>
              <w:jc w:val="center"/>
            </w:pPr>
            <w:r w:rsidRPr="0033617F">
              <w:t>Turpmākie trīs gadi (</w:t>
            </w:r>
            <w:r w:rsidRPr="0033617F">
              <w:rPr>
                <w:i/>
              </w:rPr>
              <w:t>euro</w:t>
            </w:r>
            <w:r w:rsidRPr="0033617F">
              <w:t>)</w:t>
            </w:r>
          </w:p>
        </w:tc>
      </w:tr>
      <w:tr w:rsidR="00DA708F" w:rsidRPr="0033617F" w14:paraId="5789D37E" w14:textId="77777777" w:rsidTr="004F21AE">
        <w:trPr>
          <w:jc w:val="center"/>
        </w:trPr>
        <w:tc>
          <w:tcPr>
            <w:tcW w:w="2235" w:type="dxa"/>
            <w:vMerge/>
            <w:vAlign w:val="center"/>
          </w:tcPr>
          <w:p w14:paraId="42C1DC4E" w14:textId="77777777" w:rsidR="00DA708F" w:rsidRPr="0033617F" w:rsidRDefault="00DA708F" w:rsidP="001B2A96">
            <w:pPr>
              <w:jc w:val="center"/>
              <w:rPr>
                <w:b/>
                <w:i/>
              </w:rPr>
            </w:pPr>
          </w:p>
        </w:tc>
        <w:tc>
          <w:tcPr>
            <w:tcW w:w="2380" w:type="dxa"/>
            <w:gridSpan w:val="2"/>
            <w:vMerge/>
            <w:vAlign w:val="center"/>
          </w:tcPr>
          <w:p w14:paraId="222D68FD" w14:textId="77777777" w:rsidR="00DA708F" w:rsidRPr="0033617F" w:rsidRDefault="00DA708F" w:rsidP="001B2A96">
            <w:pPr>
              <w:jc w:val="center"/>
              <w:rPr>
                <w:b/>
                <w:i/>
              </w:rPr>
            </w:pPr>
          </w:p>
        </w:tc>
        <w:tc>
          <w:tcPr>
            <w:tcW w:w="2346" w:type="dxa"/>
            <w:gridSpan w:val="2"/>
            <w:vAlign w:val="center"/>
          </w:tcPr>
          <w:p w14:paraId="432184C8" w14:textId="77777777" w:rsidR="00DA708F" w:rsidRPr="0033617F" w:rsidRDefault="008C2D86" w:rsidP="001B2A96">
            <w:pPr>
              <w:jc w:val="center"/>
              <w:rPr>
                <w:b/>
                <w:i/>
              </w:rPr>
            </w:pPr>
            <w:r>
              <w:rPr>
                <w:b/>
                <w:bCs/>
              </w:rPr>
              <w:t>2021</w:t>
            </w:r>
          </w:p>
        </w:tc>
        <w:tc>
          <w:tcPr>
            <w:tcW w:w="2327" w:type="dxa"/>
            <w:gridSpan w:val="2"/>
            <w:vAlign w:val="center"/>
          </w:tcPr>
          <w:p w14:paraId="77EFC272" w14:textId="77777777" w:rsidR="00DA708F" w:rsidRDefault="008C2D86" w:rsidP="001B2A96">
            <w:pPr>
              <w:jc w:val="center"/>
              <w:rPr>
                <w:b/>
                <w:bCs/>
              </w:rPr>
            </w:pPr>
            <w:r>
              <w:rPr>
                <w:b/>
                <w:bCs/>
              </w:rPr>
              <w:t>2022</w:t>
            </w:r>
          </w:p>
        </w:tc>
        <w:tc>
          <w:tcPr>
            <w:tcW w:w="1197" w:type="dxa"/>
            <w:vAlign w:val="center"/>
          </w:tcPr>
          <w:p w14:paraId="44038ECB" w14:textId="77777777" w:rsidR="00DA708F" w:rsidRDefault="008C2D86" w:rsidP="001B2A96">
            <w:pPr>
              <w:jc w:val="center"/>
              <w:rPr>
                <w:b/>
                <w:bCs/>
              </w:rPr>
            </w:pPr>
            <w:r>
              <w:rPr>
                <w:b/>
                <w:bCs/>
              </w:rPr>
              <w:t>2023</w:t>
            </w:r>
          </w:p>
        </w:tc>
      </w:tr>
      <w:tr w:rsidR="00265934" w:rsidRPr="0033617F" w14:paraId="0B1D67EC" w14:textId="77777777" w:rsidTr="004F21AE">
        <w:trPr>
          <w:jc w:val="center"/>
        </w:trPr>
        <w:tc>
          <w:tcPr>
            <w:tcW w:w="2235" w:type="dxa"/>
            <w:vMerge/>
            <w:vAlign w:val="center"/>
          </w:tcPr>
          <w:p w14:paraId="5D836921" w14:textId="77777777" w:rsidR="00265934" w:rsidRPr="0033617F" w:rsidRDefault="00265934" w:rsidP="00265934">
            <w:pPr>
              <w:jc w:val="center"/>
              <w:rPr>
                <w:b/>
                <w:i/>
              </w:rPr>
            </w:pPr>
          </w:p>
        </w:tc>
        <w:tc>
          <w:tcPr>
            <w:tcW w:w="1132" w:type="dxa"/>
            <w:vAlign w:val="center"/>
          </w:tcPr>
          <w:p w14:paraId="15650775" w14:textId="001F54E2" w:rsidR="00265934" w:rsidRPr="0033617F" w:rsidRDefault="00265934" w:rsidP="00265934">
            <w:pPr>
              <w:jc w:val="center"/>
              <w:rPr>
                <w:b/>
                <w:i/>
              </w:rPr>
            </w:pPr>
            <w:r w:rsidRPr="003350F2">
              <w:t>saskaņā ar valsts budžetu kārtējam gadam</w:t>
            </w:r>
          </w:p>
        </w:tc>
        <w:tc>
          <w:tcPr>
            <w:tcW w:w="1248" w:type="dxa"/>
            <w:vAlign w:val="center"/>
          </w:tcPr>
          <w:p w14:paraId="5FDBDFA1" w14:textId="4989E7F1" w:rsidR="00265934" w:rsidRPr="0033617F" w:rsidRDefault="00265934" w:rsidP="00265934">
            <w:pPr>
              <w:jc w:val="center"/>
              <w:rPr>
                <w:b/>
                <w:i/>
              </w:rPr>
            </w:pPr>
            <w:r w:rsidRPr="003350F2">
              <w:t>izmaiņas kārtējā gadā, salīdzinot ar budžetu kārtējam gadam</w:t>
            </w:r>
          </w:p>
        </w:tc>
        <w:tc>
          <w:tcPr>
            <w:tcW w:w="1130" w:type="dxa"/>
            <w:vAlign w:val="center"/>
          </w:tcPr>
          <w:p w14:paraId="111F124F" w14:textId="240B02E7" w:rsidR="00265934" w:rsidRPr="00183338" w:rsidRDefault="00265934" w:rsidP="00265934">
            <w:pPr>
              <w:jc w:val="center"/>
            </w:pPr>
            <w:r w:rsidRPr="003350F2">
              <w:t>saskaņā ar vidēja termiņa budžeta ietvaru</w:t>
            </w:r>
          </w:p>
        </w:tc>
        <w:tc>
          <w:tcPr>
            <w:tcW w:w="1216" w:type="dxa"/>
            <w:vAlign w:val="center"/>
          </w:tcPr>
          <w:p w14:paraId="6E599D60" w14:textId="77777777" w:rsidR="00265934" w:rsidRPr="003350F2" w:rsidRDefault="00265934" w:rsidP="00265934">
            <w:pPr>
              <w:jc w:val="center"/>
            </w:pPr>
            <w:r w:rsidRPr="003350F2">
              <w:t>izmaiņas, salīdzinot ar vidēja termiņa budžeta ietvaru 202</w:t>
            </w:r>
            <w:r>
              <w:t>1</w:t>
            </w:r>
            <w:r w:rsidRPr="003350F2">
              <w:t>.</w:t>
            </w:r>
          </w:p>
          <w:p w14:paraId="6AE04936" w14:textId="7EF76195" w:rsidR="00265934" w:rsidRPr="00183338" w:rsidRDefault="00265934" w:rsidP="00265934">
            <w:pPr>
              <w:jc w:val="center"/>
            </w:pPr>
            <w:r w:rsidRPr="003350F2">
              <w:t>gadam</w:t>
            </w:r>
          </w:p>
        </w:tc>
        <w:tc>
          <w:tcPr>
            <w:tcW w:w="1130" w:type="dxa"/>
            <w:vAlign w:val="center"/>
          </w:tcPr>
          <w:p w14:paraId="39658717" w14:textId="695023D4" w:rsidR="00265934" w:rsidRPr="00183338" w:rsidRDefault="00265934" w:rsidP="00265934">
            <w:pPr>
              <w:jc w:val="center"/>
            </w:pPr>
            <w:r w:rsidRPr="003350F2">
              <w:t>saskaņā ar vidēja termiņa budžeta ietvaru</w:t>
            </w:r>
          </w:p>
        </w:tc>
        <w:tc>
          <w:tcPr>
            <w:tcW w:w="1197" w:type="dxa"/>
            <w:vAlign w:val="center"/>
          </w:tcPr>
          <w:p w14:paraId="12EF6955" w14:textId="77777777" w:rsidR="00265934" w:rsidRPr="003350F2" w:rsidRDefault="00265934" w:rsidP="00265934">
            <w:pPr>
              <w:jc w:val="center"/>
            </w:pPr>
            <w:r w:rsidRPr="003350F2">
              <w:t xml:space="preserve">izmaiņas, salīdzinot ar vidēja termiņa budžeta ietvaru </w:t>
            </w:r>
            <w:r>
              <w:t>2022</w:t>
            </w:r>
            <w:r w:rsidRPr="003350F2">
              <w:t>.</w:t>
            </w:r>
          </w:p>
          <w:p w14:paraId="1A50A356" w14:textId="05A8AE16" w:rsidR="00265934" w:rsidRPr="00183338" w:rsidRDefault="00265934" w:rsidP="00265934">
            <w:pPr>
              <w:jc w:val="center"/>
            </w:pPr>
            <w:r w:rsidRPr="003350F2">
              <w:t>gadam</w:t>
            </w:r>
          </w:p>
        </w:tc>
        <w:tc>
          <w:tcPr>
            <w:tcW w:w="1197" w:type="dxa"/>
            <w:vAlign w:val="center"/>
          </w:tcPr>
          <w:p w14:paraId="1A1F803F" w14:textId="77777777" w:rsidR="00265934" w:rsidRPr="003350F2" w:rsidRDefault="00265934" w:rsidP="00265934">
            <w:pPr>
              <w:jc w:val="center"/>
            </w:pPr>
            <w:r w:rsidRPr="003350F2">
              <w:t xml:space="preserve">izmaiņas, salīdzinot ar vidēja termiņa budžeta ietvaru </w:t>
            </w:r>
            <w:r>
              <w:t>2022</w:t>
            </w:r>
            <w:r w:rsidRPr="003350F2">
              <w:t>.</w:t>
            </w:r>
          </w:p>
          <w:p w14:paraId="12BA2B57" w14:textId="4587A14A" w:rsidR="00265934" w:rsidRPr="00183338" w:rsidRDefault="00265934" w:rsidP="00265934">
            <w:pPr>
              <w:jc w:val="center"/>
            </w:pPr>
            <w:r w:rsidRPr="003350F2">
              <w:t>gadam</w:t>
            </w:r>
          </w:p>
        </w:tc>
      </w:tr>
      <w:tr w:rsidR="00DA708F" w:rsidRPr="0033617F" w14:paraId="30123253" w14:textId="77777777" w:rsidTr="004F21AE">
        <w:trPr>
          <w:jc w:val="center"/>
        </w:trPr>
        <w:tc>
          <w:tcPr>
            <w:tcW w:w="2235" w:type="dxa"/>
            <w:vAlign w:val="center"/>
          </w:tcPr>
          <w:p w14:paraId="02288EDF" w14:textId="77777777" w:rsidR="00DA708F" w:rsidRPr="0033617F" w:rsidRDefault="00DA708F" w:rsidP="001B2A96">
            <w:pPr>
              <w:jc w:val="center"/>
              <w:rPr>
                <w:bCs/>
              </w:rPr>
            </w:pPr>
            <w:r w:rsidRPr="0033617F">
              <w:rPr>
                <w:bCs/>
              </w:rPr>
              <w:t>1</w:t>
            </w:r>
          </w:p>
        </w:tc>
        <w:tc>
          <w:tcPr>
            <w:tcW w:w="1132" w:type="dxa"/>
            <w:vAlign w:val="center"/>
          </w:tcPr>
          <w:p w14:paraId="68FDB516" w14:textId="77777777" w:rsidR="00DA708F" w:rsidRPr="0033617F" w:rsidRDefault="00DA708F" w:rsidP="001B2A96">
            <w:pPr>
              <w:jc w:val="center"/>
              <w:rPr>
                <w:bCs/>
              </w:rPr>
            </w:pPr>
            <w:r w:rsidRPr="0033617F">
              <w:rPr>
                <w:bCs/>
              </w:rPr>
              <w:t>2</w:t>
            </w:r>
          </w:p>
        </w:tc>
        <w:tc>
          <w:tcPr>
            <w:tcW w:w="1248" w:type="dxa"/>
            <w:vAlign w:val="center"/>
          </w:tcPr>
          <w:p w14:paraId="6818F00C" w14:textId="77777777" w:rsidR="00DA708F" w:rsidRPr="0033617F" w:rsidRDefault="00DA708F" w:rsidP="001B2A96">
            <w:pPr>
              <w:jc w:val="center"/>
              <w:rPr>
                <w:bCs/>
              </w:rPr>
            </w:pPr>
            <w:r w:rsidRPr="0033617F">
              <w:rPr>
                <w:bCs/>
              </w:rPr>
              <w:t>3</w:t>
            </w:r>
          </w:p>
        </w:tc>
        <w:tc>
          <w:tcPr>
            <w:tcW w:w="1130" w:type="dxa"/>
            <w:vAlign w:val="center"/>
          </w:tcPr>
          <w:p w14:paraId="1FBDF226" w14:textId="77777777" w:rsidR="00DA708F" w:rsidRPr="0033617F" w:rsidRDefault="00DA708F" w:rsidP="001B2A96">
            <w:pPr>
              <w:jc w:val="center"/>
              <w:rPr>
                <w:bCs/>
              </w:rPr>
            </w:pPr>
            <w:r w:rsidRPr="0033617F">
              <w:rPr>
                <w:bCs/>
              </w:rPr>
              <w:t>4</w:t>
            </w:r>
          </w:p>
        </w:tc>
        <w:tc>
          <w:tcPr>
            <w:tcW w:w="1216" w:type="dxa"/>
            <w:vAlign w:val="center"/>
          </w:tcPr>
          <w:p w14:paraId="54FF63F6" w14:textId="77777777" w:rsidR="00DA708F" w:rsidRPr="0033617F" w:rsidRDefault="00DA708F" w:rsidP="001B2A96">
            <w:pPr>
              <w:jc w:val="center"/>
              <w:rPr>
                <w:bCs/>
              </w:rPr>
            </w:pPr>
            <w:r w:rsidRPr="0033617F">
              <w:rPr>
                <w:bCs/>
              </w:rPr>
              <w:t>5</w:t>
            </w:r>
          </w:p>
        </w:tc>
        <w:tc>
          <w:tcPr>
            <w:tcW w:w="1130" w:type="dxa"/>
            <w:vAlign w:val="center"/>
          </w:tcPr>
          <w:p w14:paraId="64AAAB22" w14:textId="77777777" w:rsidR="00DA708F" w:rsidRPr="0033617F" w:rsidRDefault="00DA708F" w:rsidP="001B2A96">
            <w:pPr>
              <w:jc w:val="center"/>
              <w:rPr>
                <w:bCs/>
              </w:rPr>
            </w:pPr>
            <w:r w:rsidRPr="0033617F">
              <w:rPr>
                <w:bCs/>
              </w:rPr>
              <w:t>6</w:t>
            </w:r>
          </w:p>
        </w:tc>
        <w:tc>
          <w:tcPr>
            <w:tcW w:w="1197" w:type="dxa"/>
          </w:tcPr>
          <w:p w14:paraId="02741E3B" w14:textId="77777777" w:rsidR="00DA708F" w:rsidRPr="0033617F" w:rsidRDefault="00DA708F" w:rsidP="001B2A96">
            <w:pPr>
              <w:jc w:val="center"/>
              <w:rPr>
                <w:bCs/>
              </w:rPr>
            </w:pPr>
            <w:r>
              <w:rPr>
                <w:bCs/>
              </w:rPr>
              <w:t>7</w:t>
            </w:r>
          </w:p>
        </w:tc>
        <w:tc>
          <w:tcPr>
            <w:tcW w:w="1197" w:type="dxa"/>
          </w:tcPr>
          <w:p w14:paraId="3BB87FF8" w14:textId="77777777" w:rsidR="00DA708F" w:rsidRPr="0033617F" w:rsidRDefault="00DA708F" w:rsidP="001B2A96">
            <w:pPr>
              <w:jc w:val="center"/>
              <w:rPr>
                <w:bCs/>
              </w:rPr>
            </w:pPr>
            <w:r>
              <w:rPr>
                <w:bCs/>
              </w:rPr>
              <w:t>8</w:t>
            </w:r>
          </w:p>
        </w:tc>
      </w:tr>
      <w:tr w:rsidR="00DA708F" w:rsidRPr="0033617F" w14:paraId="13C8EA50" w14:textId="77777777" w:rsidTr="004F21AE">
        <w:trPr>
          <w:jc w:val="center"/>
        </w:trPr>
        <w:tc>
          <w:tcPr>
            <w:tcW w:w="2235" w:type="dxa"/>
          </w:tcPr>
          <w:p w14:paraId="452173D7" w14:textId="77777777" w:rsidR="00DA708F" w:rsidRPr="0033617F" w:rsidRDefault="00DA708F" w:rsidP="001B2A96">
            <w:pPr>
              <w:rPr>
                <w:i/>
              </w:rPr>
            </w:pPr>
            <w:r w:rsidRPr="0033617F">
              <w:t>1. Budžeta ieņēmumi:</w:t>
            </w:r>
          </w:p>
        </w:tc>
        <w:tc>
          <w:tcPr>
            <w:tcW w:w="1132" w:type="dxa"/>
          </w:tcPr>
          <w:p w14:paraId="2F65E935" w14:textId="77777777" w:rsidR="00DA708F" w:rsidRPr="0033617F" w:rsidRDefault="00DA708F" w:rsidP="001B2A96">
            <w:pPr>
              <w:jc w:val="center"/>
              <w:rPr>
                <w:b/>
              </w:rPr>
            </w:pPr>
            <w:r w:rsidRPr="0033617F">
              <w:rPr>
                <w:b/>
              </w:rPr>
              <w:t>0</w:t>
            </w:r>
          </w:p>
        </w:tc>
        <w:tc>
          <w:tcPr>
            <w:tcW w:w="1248" w:type="dxa"/>
          </w:tcPr>
          <w:p w14:paraId="73B05185" w14:textId="77777777" w:rsidR="00DA708F" w:rsidRPr="0033617F" w:rsidRDefault="00DA708F" w:rsidP="001B2A96">
            <w:pPr>
              <w:jc w:val="center"/>
              <w:rPr>
                <w:b/>
              </w:rPr>
            </w:pPr>
            <w:r w:rsidRPr="0033617F">
              <w:rPr>
                <w:b/>
              </w:rPr>
              <w:t>0</w:t>
            </w:r>
          </w:p>
        </w:tc>
        <w:tc>
          <w:tcPr>
            <w:tcW w:w="1130" w:type="dxa"/>
          </w:tcPr>
          <w:p w14:paraId="4E344F28" w14:textId="77777777" w:rsidR="00DA708F" w:rsidRPr="0033617F" w:rsidRDefault="00DA708F" w:rsidP="001B2A96">
            <w:pPr>
              <w:jc w:val="center"/>
              <w:rPr>
                <w:b/>
              </w:rPr>
            </w:pPr>
            <w:r w:rsidRPr="0033617F">
              <w:rPr>
                <w:b/>
              </w:rPr>
              <w:t>0</w:t>
            </w:r>
          </w:p>
        </w:tc>
        <w:tc>
          <w:tcPr>
            <w:tcW w:w="1216" w:type="dxa"/>
          </w:tcPr>
          <w:p w14:paraId="47CD847A" w14:textId="77777777" w:rsidR="00DA708F" w:rsidRPr="0033617F" w:rsidRDefault="00DA708F" w:rsidP="001B2A96">
            <w:pPr>
              <w:jc w:val="center"/>
              <w:rPr>
                <w:b/>
              </w:rPr>
            </w:pPr>
            <w:r w:rsidRPr="0033617F">
              <w:rPr>
                <w:b/>
              </w:rPr>
              <w:t>0</w:t>
            </w:r>
          </w:p>
        </w:tc>
        <w:tc>
          <w:tcPr>
            <w:tcW w:w="1130" w:type="dxa"/>
          </w:tcPr>
          <w:p w14:paraId="32601915" w14:textId="77777777" w:rsidR="00DA708F" w:rsidRPr="0033617F" w:rsidRDefault="00DA708F" w:rsidP="001B2A96">
            <w:pPr>
              <w:jc w:val="center"/>
              <w:rPr>
                <w:b/>
              </w:rPr>
            </w:pPr>
            <w:r w:rsidRPr="0033617F">
              <w:rPr>
                <w:b/>
              </w:rPr>
              <w:t>0</w:t>
            </w:r>
          </w:p>
        </w:tc>
        <w:tc>
          <w:tcPr>
            <w:tcW w:w="1197" w:type="dxa"/>
          </w:tcPr>
          <w:p w14:paraId="2BAF0F86" w14:textId="77777777" w:rsidR="00DA708F" w:rsidRPr="0033617F" w:rsidRDefault="00DA708F" w:rsidP="001B2A96">
            <w:pPr>
              <w:jc w:val="center"/>
              <w:rPr>
                <w:b/>
              </w:rPr>
            </w:pPr>
            <w:r>
              <w:rPr>
                <w:b/>
              </w:rPr>
              <w:t>0</w:t>
            </w:r>
          </w:p>
        </w:tc>
        <w:tc>
          <w:tcPr>
            <w:tcW w:w="1197" w:type="dxa"/>
          </w:tcPr>
          <w:p w14:paraId="75F359CC" w14:textId="77777777" w:rsidR="00DA708F" w:rsidRPr="0033617F" w:rsidRDefault="00DA708F" w:rsidP="001B2A96">
            <w:pPr>
              <w:jc w:val="center"/>
              <w:rPr>
                <w:b/>
              </w:rPr>
            </w:pPr>
            <w:r>
              <w:rPr>
                <w:b/>
              </w:rPr>
              <w:t>0</w:t>
            </w:r>
          </w:p>
        </w:tc>
      </w:tr>
      <w:tr w:rsidR="00DA708F" w:rsidRPr="0033617F" w14:paraId="0FB39F8E" w14:textId="77777777" w:rsidTr="004F21AE">
        <w:trPr>
          <w:jc w:val="center"/>
        </w:trPr>
        <w:tc>
          <w:tcPr>
            <w:tcW w:w="2235" w:type="dxa"/>
          </w:tcPr>
          <w:p w14:paraId="1DD1B4A3" w14:textId="77777777" w:rsidR="00DA708F" w:rsidRPr="0033617F" w:rsidRDefault="00DA708F" w:rsidP="001B2A96">
            <w:pPr>
              <w:rPr>
                <w:i/>
              </w:rPr>
            </w:pPr>
            <w:r w:rsidRPr="0033617F">
              <w:t>1.1. valsts pamatbudžets, tai skaitā ieņēmumi no maksas pakalpojumiem un citi pašu ieņēmumi</w:t>
            </w:r>
          </w:p>
        </w:tc>
        <w:tc>
          <w:tcPr>
            <w:tcW w:w="1132" w:type="dxa"/>
          </w:tcPr>
          <w:p w14:paraId="110BA630" w14:textId="77777777" w:rsidR="00DA708F" w:rsidRPr="0033617F" w:rsidRDefault="00DA708F" w:rsidP="001B2A96">
            <w:pPr>
              <w:jc w:val="center"/>
              <w:rPr>
                <w:i/>
              </w:rPr>
            </w:pPr>
          </w:p>
        </w:tc>
        <w:tc>
          <w:tcPr>
            <w:tcW w:w="1248" w:type="dxa"/>
          </w:tcPr>
          <w:p w14:paraId="06F3322B" w14:textId="77777777" w:rsidR="00DA708F" w:rsidRPr="0033617F" w:rsidRDefault="00DA708F" w:rsidP="001B2A96">
            <w:pPr>
              <w:jc w:val="center"/>
              <w:rPr>
                <w:i/>
              </w:rPr>
            </w:pPr>
          </w:p>
        </w:tc>
        <w:tc>
          <w:tcPr>
            <w:tcW w:w="1130" w:type="dxa"/>
          </w:tcPr>
          <w:p w14:paraId="3AD84DF9" w14:textId="77777777" w:rsidR="00DA708F" w:rsidRPr="0033617F" w:rsidRDefault="00DA708F" w:rsidP="001B2A96">
            <w:pPr>
              <w:jc w:val="center"/>
              <w:rPr>
                <w:i/>
              </w:rPr>
            </w:pPr>
          </w:p>
        </w:tc>
        <w:tc>
          <w:tcPr>
            <w:tcW w:w="1216" w:type="dxa"/>
          </w:tcPr>
          <w:p w14:paraId="173425B2" w14:textId="77777777" w:rsidR="00DA708F" w:rsidRPr="0033617F" w:rsidRDefault="00DA708F" w:rsidP="001B2A96">
            <w:pPr>
              <w:jc w:val="center"/>
              <w:rPr>
                <w:i/>
              </w:rPr>
            </w:pPr>
          </w:p>
        </w:tc>
        <w:tc>
          <w:tcPr>
            <w:tcW w:w="1130" w:type="dxa"/>
          </w:tcPr>
          <w:p w14:paraId="4696E825" w14:textId="77777777" w:rsidR="00DA708F" w:rsidRPr="0033617F" w:rsidRDefault="00DA708F" w:rsidP="001B2A96">
            <w:pPr>
              <w:jc w:val="center"/>
              <w:rPr>
                <w:i/>
              </w:rPr>
            </w:pPr>
          </w:p>
        </w:tc>
        <w:tc>
          <w:tcPr>
            <w:tcW w:w="1197" w:type="dxa"/>
          </w:tcPr>
          <w:p w14:paraId="26549C0C" w14:textId="77777777" w:rsidR="00DA708F" w:rsidRPr="0033617F" w:rsidRDefault="00DA708F" w:rsidP="001B2A96">
            <w:pPr>
              <w:jc w:val="center"/>
              <w:rPr>
                <w:i/>
              </w:rPr>
            </w:pPr>
          </w:p>
        </w:tc>
        <w:tc>
          <w:tcPr>
            <w:tcW w:w="1197" w:type="dxa"/>
          </w:tcPr>
          <w:p w14:paraId="16F35293" w14:textId="77777777" w:rsidR="00DA708F" w:rsidRPr="0033617F" w:rsidRDefault="00DA708F" w:rsidP="001B2A96">
            <w:pPr>
              <w:jc w:val="center"/>
              <w:rPr>
                <w:i/>
              </w:rPr>
            </w:pPr>
          </w:p>
        </w:tc>
      </w:tr>
      <w:tr w:rsidR="00DA708F" w:rsidRPr="0033617F" w14:paraId="3FD3E7F1" w14:textId="77777777" w:rsidTr="004F21AE">
        <w:trPr>
          <w:jc w:val="center"/>
        </w:trPr>
        <w:tc>
          <w:tcPr>
            <w:tcW w:w="2235" w:type="dxa"/>
          </w:tcPr>
          <w:p w14:paraId="78FCCF5E" w14:textId="77777777" w:rsidR="00DA708F" w:rsidRPr="0033617F" w:rsidRDefault="00DA708F" w:rsidP="001B2A96">
            <w:pPr>
              <w:rPr>
                <w:i/>
              </w:rPr>
            </w:pPr>
            <w:r w:rsidRPr="0033617F">
              <w:t>1.2. valsts speciālais budžets</w:t>
            </w:r>
          </w:p>
        </w:tc>
        <w:tc>
          <w:tcPr>
            <w:tcW w:w="1132" w:type="dxa"/>
          </w:tcPr>
          <w:p w14:paraId="15AC3F9D" w14:textId="77777777" w:rsidR="00DA708F" w:rsidRPr="0033617F" w:rsidRDefault="00DA708F" w:rsidP="001B2A96">
            <w:pPr>
              <w:jc w:val="center"/>
            </w:pPr>
          </w:p>
        </w:tc>
        <w:tc>
          <w:tcPr>
            <w:tcW w:w="1248" w:type="dxa"/>
          </w:tcPr>
          <w:p w14:paraId="0C112442" w14:textId="77777777" w:rsidR="00DA708F" w:rsidRPr="0033617F" w:rsidRDefault="00DA708F" w:rsidP="001B2A96">
            <w:pPr>
              <w:jc w:val="center"/>
            </w:pPr>
          </w:p>
        </w:tc>
        <w:tc>
          <w:tcPr>
            <w:tcW w:w="1130" w:type="dxa"/>
          </w:tcPr>
          <w:p w14:paraId="08A8B0A0" w14:textId="77777777" w:rsidR="00DA708F" w:rsidRPr="0033617F" w:rsidRDefault="00DA708F" w:rsidP="001B2A96">
            <w:pPr>
              <w:jc w:val="center"/>
            </w:pPr>
          </w:p>
        </w:tc>
        <w:tc>
          <w:tcPr>
            <w:tcW w:w="1216" w:type="dxa"/>
          </w:tcPr>
          <w:p w14:paraId="4A8CA9E3" w14:textId="77777777" w:rsidR="00DA708F" w:rsidRPr="0033617F" w:rsidRDefault="00DA708F" w:rsidP="001B2A96">
            <w:pPr>
              <w:jc w:val="center"/>
            </w:pPr>
          </w:p>
        </w:tc>
        <w:tc>
          <w:tcPr>
            <w:tcW w:w="1130" w:type="dxa"/>
          </w:tcPr>
          <w:p w14:paraId="115E5969" w14:textId="77777777" w:rsidR="00DA708F" w:rsidRPr="0033617F" w:rsidRDefault="00DA708F" w:rsidP="001B2A96">
            <w:pPr>
              <w:jc w:val="center"/>
            </w:pPr>
          </w:p>
        </w:tc>
        <w:tc>
          <w:tcPr>
            <w:tcW w:w="1197" w:type="dxa"/>
          </w:tcPr>
          <w:p w14:paraId="6B98D2DB" w14:textId="77777777" w:rsidR="00DA708F" w:rsidRPr="0033617F" w:rsidRDefault="00DA708F" w:rsidP="001B2A96">
            <w:pPr>
              <w:jc w:val="center"/>
            </w:pPr>
          </w:p>
        </w:tc>
        <w:tc>
          <w:tcPr>
            <w:tcW w:w="1197" w:type="dxa"/>
          </w:tcPr>
          <w:p w14:paraId="60DE00DC" w14:textId="77777777" w:rsidR="00DA708F" w:rsidRPr="0033617F" w:rsidRDefault="00DA708F" w:rsidP="001B2A96">
            <w:pPr>
              <w:jc w:val="center"/>
            </w:pPr>
          </w:p>
        </w:tc>
      </w:tr>
      <w:tr w:rsidR="00DA708F" w:rsidRPr="0033617F" w14:paraId="3BF23EE2" w14:textId="77777777" w:rsidTr="004F21AE">
        <w:trPr>
          <w:jc w:val="center"/>
        </w:trPr>
        <w:tc>
          <w:tcPr>
            <w:tcW w:w="2235" w:type="dxa"/>
          </w:tcPr>
          <w:p w14:paraId="3F75D13B" w14:textId="77777777" w:rsidR="00DA708F" w:rsidRPr="0033617F" w:rsidRDefault="00DA708F" w:rsidP="001B2A96">
            <w:pPr>
              <w:rPr>
                <w:i/>
              </w:rPr>
            </w:pPr>
            <w:r w:rsidRPr="0033617F">
              <w:t>1.3. pašvaldību budžets</w:t>
            </w:r>
          </w:p>
        </w:tc>
        <w:tc>
          <w:tcPr>
            <w:tcW w:w="1132" w:type="dxa"/>
          </w:tcPr>
          <w:p w14:paraId="25E8A59E" w14:textId="77777777" w:rsidR="00DA708F" w:rsidRPr="0033617F" w:rsidRDefault="00DA708F" w:rsidP="001B2A96">
            <w:pPr>
              <w:jc w:val="center"/>
            </w:pPr>
          </w:p>
        </w:tc>
        <w:tc>
          <w:tcPr>
            <w:tcW w:w="1248" w:type="dxa"/>
          </w:tcPr>
          <w:p w14:paraId="6926686D" w14:textId="77777777" w:rsidR="00DA708F" w:rsidRPr="0033617F" w:rsidRDefault="00DA708F" w:rsidP="001B2A96">
            <w:pPr>
              <w:jc w:val="center"/>
            </w:pPr>
          </w:p>
        </w:tc>
        <w:tc>
          <w:tcPr>
            <w:tcW w:w="1130" w:type="dxa"/>
          </w:tcPr>
          <w:p w14:paraId="01810920" w14:textId="77777777" w:rsidR="00DA708F" w:rsidRPr="0033617F" w:rsidRDefault="00DA708F" w:rsidP="001B2A96">
            <w:pPr>
              <w:jc w:val="center"/>
            </w:pPr>
          </w:p>
        </w:tc>
        <w:tc>
          <w:tcPr>
            <w:tcW w:w="1216" w:type="dxa"/>
          </w:tcPr>
          <w:p w14:paraId="4E47B6D6" w14:textId="77777777" w:rsidR="00DA708F" w:rsidRPr="0033617F" w:rsidRDefault="00DA708F" w:rsidP="001B2A96">
            <w:pPr>
              <w:jc w:val="center"/>
            </w:pPr>
          </w:p>
        </w:tc>
        <w:tc>
          <w:tcPr>
            <w:tcW w:w="1130" w:type="dxa"/>
          </w:tcPr>
          <w:p w14:paraId="303E2203" w14:textId="77777777" w:rsidR="00DA708F" w:rsidRPr="0033617F" w:rsidRDefault="00DA708F" w:rsidP="001B2A96">
            <w:pPr>
              <w:jc w:val="center"/>
            </w:pPr>
          </w:p>
        </w:tc>
        <w:tc>
          <w:tcPr>
            <w:tcW w:w="1197" w:type="dxa"/>
          </w:tcPr>
          <w:p w14:paraId="5AAB8C1A" w14:textId="77777777" w:rsidR="00DA708F" w:rsidRPr="0033617F" w:rsidRDefault="00DA708F" w:rsidP="001B2A96">
            <w:pPr>
              <w:jc w:val="center"/>
            </w:pPr>
          </w:p>
        </w:tc>
        <w:tc>
          <w:tcPr>
            <w:tcW w:w="1197" w:type="dxa"/>
          </w:tcPr>
          <w:p w14:paraId="022AB86F" w14:textId="77777777" w:rsidR="00DA708F" w:rsidRPr="0033617F" w:rsidRDefault="00DA708F" w:rsidP="001B2A96">
            <w:pPr>
              <w:jc w:val="center"/>
            </w:pPr>
          </w:p>
        </w:tc>
      </w:tr>
      <w:tr w:rsidR="00DA708F" w:rsidRPr="0033617F" w14:paraId="2BFA35C4" w14:textId="77777777" w:rsidTr="004F21AE">
        <w:trPr>
          <w:jc w:val="center"/>
        </w:trPr>
        <w:tc>
          <w:tcPr>
            <w:tcW w:w="2235" w:type="dxa"/>
          </w:tcPr>
          <w:p w14:paraId="576345A9" w14:textId="77777777" w:rsidR="00DA708F" w:rsidRPr="0033617F" w:rsidRDefault="00DA708F" w:rsidP="001B2A96">
            <w:r w:rsidRPr="0033617F">
              <w:t>2. Budžeta izdevumi:</w:t>
            </w:r>
          </w:p>
        </w:tc>
        <w:tc>
          <w:tcPr>
            <w:tcW w:w="1132" w:type="dxa"/>
          </w:tcPr>
          <w:p w14:paraId="167441E8" w14:textId="77777777" w:rsidR="00DA708F" w:rsidRPr="004B2478" w:rsidRDefault="00DA708F" w:rsidP="001B2A96">
            <w:pPr>
              <w:jc w:val="center"/>
              <w:rPr>
                <w:b/>
              </w:rPr>
            </w:pPr>
            <w:r w:rsidRPr="004B2478">
              <w:rPr>
                <w:b/>
              </w:rPr>
              <w:t>0</w:t>
            </w:r>
          </w:p>
        </w:tc>
        <w:tc>
          <w:tcPr>
            <w:tcW w:w="1248" w:type="dxa"/>
          </w:tcPr>
          <w:p w14:paraId="05112F23" w14:textId="77777777" w:rsidR="00DA708F" w:rsidRPr="004B2478" w:rsidRDefault="004B2478" w:rsidP="001B2A96">
            <w:pPr>
              <w:jc w:val="center"/>
              <w:rPr>
                <w:b/>
              </w:rPr>
            </w:pPr>
            <w:r w:rsidRPr="004B2478">
              <w:rPr>
                <w:b/>
              </w:rPr>
              <w:t>0</w:t>
            </w:r>
          </w:p>
        </w:tc>
        <w:tc>
          <w:tcPr>
            <w:tcW w:w="1130" w:type="dxa"/>
          </w:tcPr>
          <w:p w14:paraId="7F49FA9F" w14:textId="77777777" w:rsidR="00DA708F" w:rsidRPr="00317B6A" w:rsidRDefault="00DA708F" w:rsidP="001B2A96">
            <w:pPr>
              <w:jc w:val="center"/>
              <w:rPr>
                <w:b/>
              </w:rPr>
            </w:pPr>
            <w:r w:rsidRPr="00317B6A">
              <w:rPr>
                <w:b/>
              </w:rPr>
              <w:t>0</w:t>
            </w:r>
          </w:p>
        </w:tc>
        <w:tc>
          <w:tcPr>
            <w:tcW w:w="1216" w:type="dxa"/>
          </w:tcPr>
          <w:p w14:paraId="5420ACB5" w14:textId="77777777" w:rsidR="00DA708F" w:rsidRPr="00317B6A" w:rsidRDefault="00DA708F" w:rsidP="001B2A96">
            <w:pPr>
              <w:jc w:val="center"/>
              <w:rPr>
                <w:b/>
              </w:rPr>
            </w:pPr>
            <w:r w:rsidRPr="00317B6A">
              <w:rPr>
                <w:b/>
              </w:rPr>
              <w:t>0</w:t>
            </w:r>
          </w:p>
        </w:tc>
        <w:tc>
          <w:tcPr>
            <w:tcW w:w="1130" w:type="dxa"/>
          </w:tcPr>
          <w:p w14:paraId="048E7AD8" w14:textId="77777777" w:rsidR="00DA708F" w:rsidRPr="00317B6A" w:rsidRDefault="00DA708F" w:rsidP="001B2A96">
            <w:pPr>
              <w:jc w:val="center"/>
              <w:rPr>
                <w:b/>
              </w:rPr>
            </w:pPr>
            <w:r w:rsidRPr="00317B6A">
              <w:rPr>
                <w:b/>
              </w:rPr>
              <w:t>0</w:t>
            </w:r>
          </w:p>
        </w:tc>
        <w:tc>
          <w:tcPr>
            <w:tcW w:w="1197" w:type="dxa"/>
          </w:tcPr>
          <w:p w14:paraId="690B50D6" w14:textId="77777777" w:rsidR="00DA708F" w:rsidRPr="00317B6A" w:rsidRDefault="00DA708F" w:rsidP="001B2A96">
            <w:pPr>
              <w:jc w:val="center"/>
              <w:rPr>
                <w:b/>
              </w:rPr>
            </w:pPr>
            <w:r>
              <w:rPr>
                <w:b/>
              </w:rPr>
              <w:t>0</w:t>
            </w:r>
          </w:p>
        </w:tc>
        <w:tc>
          <w:tcPr>
            <w:tcW w:w="1197" w:type="dxa"/>
          </w:tcPr>
          <w:p w14:paraId="72290D90" w14:textId="77777777" w:rsidR="00DA708F" w:rsidRPr="00317B6A" w:rsidRDefault="00DA708F" w:rsidP="001B2A96">
            <w:pPr>
              <w:jc w:val="center"/>
              <w:rPr>
                <w:b/>
              </w:rPr>
            </w:pPr>
            <w:r>
              <w:rPr>
                <w:b/>
              </w:rPr>
              <w:t>0</w:t>
            </w:r>
          </w:p>
        </w:tc>
      </w:tr>
      <w:tr w:rsidR="00DA708F" w:rsidRPr="0033617F" w14:paraId="4725DAAC" w14:textId="77777777" w:rsidTr="004F21AE">
        <w:trPr>
          <w:jc w:val="center"/>
        </w:trPr>
        <w:tc>
          <w:tcPr>
            <w:tcW w:w="2235" w:type="dxa"/>
          </w:tcPr>
          <w:p w14:paraId="38ED5BC6" w14:textId="77777777" w:rsidR="00DA708F" w:rsidRPr="0033617F" w:rsidRDefault="00DA708F" w:rsidP="001B2A96">
            <w:r w:rsidRPr="0033617F">
              <w:lastRenderedPageBreak/>
              <w:t>2.1. valsts pamatbudžets</w:t>
            </w:r>
          </w:p>
        </w:tc>
        <w:tc>
          <w:tcPr>
            <w:tcW w:w="1132" w:type="dxa"/>
          </w:tcPr>
          <w:p w14:paraId="04E67DEB" w14:textId="77777777" w:rsidR="00DA708F" w:rsidRPr="004B2478" w:rsidRDefault="00DA708F" w:rsidP="001B2A96">
            <w:pPr>
              <w:jc w:val="center"/>
              <w:rPr>
                <w:i/>
              </w:rPr>
            </w:pPr>
            <w:r w:rsidRPr="004B2478">
              <w:rPr>
                <w:i/>
              </w:rPr>
              <w:t>0</w:t>
            </w:r>
          </w:p>
        </w:tc>
        <w:tc>
          <w:tcPr>
            <w:tcW w:w="1248" w:type="dxa"/>
          </w:tcPr>
          <w:p w14:paraId="197962AF" w14:textId="77777777" w:rsidR="00DA708F" w:rsidRPr="004B2478" w:rsidRDefault="004B2478" w:rsidP="001B2A96">
            <w:pPr>
              <w:jc w:val="center"/>
              <w:rPr>
                <w:i/>
              </w:rPr>
            </w:pPr>
            <w:r w:rsidRPr="004B2478">
              <w:rPr>
                <w:i/>
              </w:rPr>
              <w:t>0</w:t>
            </w:r>
          </w:p>
        </w:tc>
        <w:tc>
          <w:tcPr>
            <w:tcW w:w="1130" w:type="dxa"/>
          </w:tcPr>
          <w:p w14:paraId="60CBA3E5" w14:textId="77777777" w:rsidR="00DA708F" w:rsidRPr="00317B6A" w:rsidRDefault="00DA708F" w:rsidP="001B2A96">
            <w:pPr>
              <w:jc w:val="center"/>
              <w:rPr>
                <w:i/>
              </w:rPr>
            </w:pPr>
            <w:r w:rsidRPr="00317B6A">
              <w:rPr>
                <w:i/>
              </w:rPr>
              <w:t>0</w:t>
            </w:r>
          </w:p>
        </w:tc>
        <w:tc>
          <w:tcPr>
            <w:tcW w:w="1216" w:type="dxa"/>
          </w:tcPr>
          <w:p w14:paraId="7F5B7D9A" w14:textId="77777777" w:rsidR="00DA708F" w:rsidRPr="00317B6A" w:rsidRDefault="00DA708F" w:rsidP="001B2A96">
            <w:pPr>
              <w:jc w:val="center"/>
              <w:rPr>
                <w:i/>
              </w:rPr>
            </w:pPr>
            <w:r w:rsidRPr="00317B6A">
              <w:rPr>
                <w:i/>
              </w:rPr>
              <w:t>0</w:t>
            </w:r>
          </w:p>
        </w:tc>
        <w:tc>
          <w:tcPr>
            <w:tcW w:w="1130" w:type="dxa"/>
          </w:tcPr>
          <w:p w14:paraId="73EE6EFC" w14:textId="77777777" w:rsidR="00DA708F" w:rsidRPr="00317B6A" w:rsidRDefault="00DA708F" w:rsidP="001B2A96">
            <w:pPr>
              <w:jc w:val="center"/>
              <w:rPr>
                <w:i/>
              </w:rPr>
            </w:pPr>
            <w:r w:rsidRPr="00317B6A">
              <w:rPr>
                <w:i/>
              </w:rPr>
              <w:t>0</w:t>
            </w:r>
          </w:p>
        </w:tc>
        <w:tc>
          <w:tcPr>
            <w:tcW w:w="1197" w:type="dxa"/>
          </w:tcPr>
          <w:p w14:paraId="1D24A512" w14:textId="77777777" w:rsidR="00DA708F" w:rsidRPr="00317B6A" w:rsidRDefault="00DA708F" w:rsidP="001B2A96">
            <w:pPr>
              <w:jc w:val="center"/>
              <w:rPr>
                <w:i/>
              </w:rPr>
            </w:pPr>
            <w:r>
              <w:rPr>
                <w:i/>
              </w:rPr>
              <w:t>0</w:t>
            </w:r>
          </w:p>
        </w:tc>
        <w:tc>
          <w:tcPr>
            <w:tcW w:w="1197" w:type="dxa"/>
          </w:tcPr>
          <w:p w14:paraId="21DD7031" w14:textId="77777777" w:rsidR="00DA708F" w:rsidRPr="00317B6A" w:rsidRDefault="00DA708F" w:rsidP="001B2A96">
            <w:pPr>
              <w:jc w:val="center"/>
              <w:rPr>
                <w:i/>
              </w:rPr>
            </w:pPr>
            <w:r>
              <w:rPr>
                <w:i/>
              </w:rPr>
              <w:t>0</w:t>
            </w:r>
          </w:p>
        </w:tc>
      </w:tr>
      <w:tr w:rsidR="00DA708F" w:rsidRPr="0033617F" w14:paraId="5715E9BE" w14:textId="77777777" w:rsidTr="004F21AE">
        <w:trPr>
          <w:jc w:val="center"/>
        </w:trPr>
        <w:tc>
          <w:tcPr>
            <w:tcW w:w="2235" w:type="dxa"/>
          </w:tcPr>
          <w:p w14:paraId="1242CE48" w14:textId="77777777" w:rsidR="00DA708F" w:rsidRPr="0033617F" w:rsidRDefault="00DA708F" w:rsidP="001B2A96">
            <w:r w:rsidRPr="0033617F">
              <w:t>2.2. valsts speciālais budžets</w:t>
            </w:r>
          </w:p>
        </w:tc>
        <w:tc>
          <w:tcPr>
            <w:tcW w:w="1132" w:type="dxa"/>
          </w:tcPr>
          <w:p w14:paraId="27F052CF" w14:textId="77777777" w:rsidR="00DA708F" w:rsidRPr="004B2478" w:rsidRDefault="00DA708F" w:rsidP="001B2A96">
            <w:pPr>
              <w:jc w:val="center"/>
            </w:pPr>
          </w:p>
        </w:tc>
        <w:tc>
          <w:tcPr>
            <w:tcW w:w="1248" w:type="dxa"/>
          </w:tcPr>
          <w:p w14:paraId="49A5A0F2" w14:textId="77777777" w:rsidR="00DA708F" w:rsidRPr="004B2478" w:rsidRDefault="00DA708F" w:rsidP="001B2A96">
            <w:pPr>
              <w:jc w:val="center"/>
            </w:pPr>
          </w:p>
        </w:tc>
        <w:tc>
          <w:tcPr>
            <w:tcW w:w="1130" w:type="dxa"/>
          </w:tcPr>
          <w:p w14:paraId="721C4445" w14:textId="77777777" w:rsidR="00DA708F" w:rsidRPr="00317B6A" w:rsidRDefault="00DA708F" w:rsidP="001B2A96">
            <w:pPr>
              <w:jc w:val="center"/>
            </w:pPr>
          </w:p>
        </w:tc>
        <w:tc>
          <w:tcPr>
            <w:tcW w:w="1216" w:type="dxa"/>
          </w:tcPr>
          <w:p w14:paraId="4173FB89" w14:textId="77777777" w:rsidR="00DA708F" w:rsidRPr="00317B6A" w:rsidRDefault="00DA708F" w:rsidP="001B2A96">
            <w:pPr>
              <w:jc w:val="center"/>
            </w:pPr>
          </w:p>
        </w:tc>
        <w:tc>
          <w:tcPr>
            <w:tcW w:w="1130" w:type="dxa"/>
          </w:tcPr>
          <w:p w14:paraId="198582F9" w14:textId="77777777" w:rsidR="00DA708F" w:rsidRPr="00317B6A" w:rsidRDefault="00DA708F" w:rsidP="001B2A96">
            <w:pPr>
              <w:jc w:val="center"/>
            </w:pPr>
          </w:p>
        </w:tc>
        <w:tc>
          <w:tcPr>
            <w:tcW w:w="1197" w:type="dxa"/>
          </w:tcPr>
          <w:p w14:paraId="31FE59E2" w14:textId="77777777" w:rsidR="00DA708F" w:rsidRPr="00317B6A" w:rsidRDefault="00DA708F" w:rsidP="001B2A96">
            <w:pPr>
              <w:jc w:val="center"/>
            </w:pPr>
          </w:p>
        </w:tc>
        <w:tc>
          <w:tcPr>
            <w:tcW w:w="1197" w:type="dxa"/>
          </w:tcPr>
          <w:p w14:paraId="05CAFB43" w14:textId="77777777" w:rsidR="00DA708F" w:rsidRPr="00317B6A" w:rsidRDefault="00DA708F" w:rsidP="001B2A96">
            <w:pPr>
              <w:jc w:val="center"/>
            </w:pPr>
          </w:p>
        </w:tc>
      </w:tr>
      <w:tr w:rsidR="00DA708F" w:rsidRPr="0033617F" w14:paraId="4668E250" w14:textId="77777777" w:rsidTr="004F21AE">
        <w:trPr>
          <w:jc w:val="center"/>
        </w:trPr>
        <w:tc>
          <w:tcPr>
            <w:tcW w:w="2235" w:type="dxa"/>
          </w:tcPr>
          <w:p w14:paraId="7EB504E5" w14:textId="77777777" w:rsidR="00DA708F" w:rsidRPr="0033617F" w:rsidRDefault="00DA708F" w:rsidP="001B2A96">
            <w:r w:rsidRPr="0033617F">
              <w:t xml:space="preserve">2.3. pašvaldību budžets </w:t>
            </w:r>
          </w:p>
        </w:tc>
        <w:tc>
          <w:tcPr>
            <w:tcW w:w="1132" w:type="dxa"/>
          </w:tcPr>
          <w:p w14:paraId="0189D475" w14:textId="77777777" w:rsidR="00DA708F" w:rsidRPr="004B2478" w:rsidRDefault="00DA708F" w:rsidP="001B2A96">
            <w:pPr>
              <w:jc w:val="center"/>
            </w:pPr>
          </w:p>
        </w:tc>
        <w:tc>
          <w:tcPr>
            <w:tcW w:w="1248" w:type="dxa"/>
          </w:tcPr>
          <w:p w14:paraId="1FA84B5F" w14:textId="77777777" w:rsidR="00DA708F" w:rsidRPr="004B2478" w:rsidRDefault="00DA708F" w:rsidP="001B2A96">
            <w:pPr>
              <w:jc w:val="center"/>
            </w:pPr>
          </w:p>
        </w:tc>
        <w:tc>
          <w:tcPr>
            <w:tcW w:w="1130" w:type="dxa"/>
          </w:tcPr>
          <w:p w14:paraId="16603E34" w14:textId="77777777" w:rsidR="00DA708F" w:rsidRPr="00317B6A" w:rsidRDefault="00DA708F" w:rsidP="001B2A96">
            <w:pPr>
              <w:jc w:val="center"/>
            </w:pPr>
          </w:p>
        </w:tc>
        <w:tc>
          <w:tcPr>
            <w:tcW w:w="1216" w:type="dxa"/>
          </w:tcPr>
          <w:p w14:paraId="053F02D6" w14:textId="77777777" w:rsidR="00DA708F" w:rsidRPr="00317B6A" w:rsidRDefault="00DA708F" w:rsidP="001B2A96">
            <w:pPr>
              <w:jc w:val="center"/>
            </w:pPr>
          </w:p>
        </w:tc>
        <w:tc>
          <w:tcPr>
            <w:tcW w:w="1130" w:type="dxa"/>
          </w:tcPr>
          <w:p w14:paraId="5D5C6E78" w14:textId="77777777" w:rsidR="00DA708F" w:rsidRPr="00317B6A" w:rsidRDefault="00DA708F" w:rsidP="001B2A96">
            <w:pPr>
              <w:jc w:val="center"/>
            </w:pPr>
          </w:p>
        </w:tc>
        <w:tc>
          <w:tcPr>
            <w:tcW w:w="1197" w:type="dxa"/>
          </w:tcPr>
          <w:p w14:paraId="3E06E5EC" w14:textId="77777777" w:rsidR="00DA708F" w:rsidRPr="00317B6A" w:rsidRDefault="00DA708F" w:rsidP="001B2A96">
            <w:pPr>
              <w:jc w:val="center"/>
            </w:pPr>
          </w:p>
        </w:tc>
        <w:tc>
          <w:tcPr>
            <w:tcW w:w="1197" w:type="dxa"/>
          </w:tcPr>
          <w:p w14:paraId="29AF5552" w14:textId="77777777" w:rsidR="00DA708F" w:rsidRPr="00317B6A" w:rsidRDefault="00DA708F" w:rsidP="001B2A96">
            <w:pPr>
              <w:jc w:val="center"/>
            </w:pPr>
          </w:p>
        </w:tc>
      </w:tr>
      <w:tr w:rsidR="00DA708F" w:rsidRPr="0033617F" w14:paraId="5EF983C5" w14:textId="77777777" w:rsidTr="004F21AE">
        <w:trPr>
          <w:jc w:val="center"/>
        </w:trPr>
        <w:tc>
          <w:tcPr>
            <w:tcW w:w="2235" w:type="dxa"/>
          </w:tcPr>
          <w:p w14:paraId="40BEE164" w14:textId="77777777" w:rsidR="00DA708F" w:rsidRPr="0033617F" w:rsidRDefault="00DA708F" w:rsidP="001B2A96">
            <w:r w:rsidRPr="0033617F">
              <w:t>3. Finansiālā ietekme:</w:t>
            </w:r>
          </w:p>
        </w:tc>
        <w:tc>
          <w:tcPr>
            <w:tcW w:w="1132" w:type="dxa"/>
            <w:shd w:val="clear" w:color="auto" w:fill="auto"/>
          </w:tcPr>
          <w:p w14:paraId="75D99A5B" w14:textId="77777777" w:rsidR="00DA708F" w:rsidRPr="004B2478" w:rsidRDefault="00DA708F" w:rsidP="001B2A96">
            <w:pPr>
              <w:jc w:val="center"/>
              <w:rPr>
                <w:b/>
              </w:rPr>
            </w:pPr>
            <w:r w:rsidRPr="004B2478">
              <w:rPr>
                <w:b/>
              </w:rPr>
              <w:t>0</w:t>
            </w:r>
          </w:p>
        </w:tc>
        <w:tc>
          <w:tcPr>
            <w:tcW w:w="1248" w:type="dxa"/>
          </w:tcPr>
          <w:p w14:paraId="38039DE1" w14:textId="77777777" w:rsidR="00DA708F" w:rsidRPr="004B2478" w:rsidRDefault="004B2478" w:rsidP="001B2A96">
            <w:pPr>
              <w:jc w:val="center"/>
              <w:rPr>
                <w:b/>
              </w:rPr>
            </w:pPr>
            <w:r w:rsidRPr="004B2478">
              <w:rPr>
                <w:b/>
              </w:rPr>
              <w:t>0</w:t>
            </w:r>
          </w:p>
        </w:tc>
        <w:tc>
          <w:tcPr>
            <w:tcW w:w="1130" w:type="dxa"/>
          </w:tcPr>
          <w:p w14:paraId="7DCC8E49" w14:textId="77777777" w:rsidR="00DA708F" w:rsidRPr="00317B6A" w:rsidRDefault="00DA708F" w:rsidP="001B2A96">
            <w:pPr>
              <w:jc w:val="center"/>
              <w:rPr>
                <w:b/>
              </w:rPr>
            </w:pPr>
            <w:r w:rsidRPr="00317B6A">
              <w:rPr>
                <w:b/>
              </w:rPr>
              <w:t>0</w:t>
            </w:r>
          </w:p>
        </w:tc>
        <w:tc>
          <w:tcPr>
            <w:tcW w:w="1216" w:type="dxa"/>
          </w:tcPr>
          <w:p w14:paraId="2B7B86A6" w14:textId="77777777" w:rsidR="00DA708F" w:rsidRPr="00317B6A" w:rsidRDefault="00DA708F" w:rsidP="001B2A96">
            <w:pPr>
              <w:jc w:val="center"/>
              <w:rPr>
                <w:b/>
              </w:rPr>
            </w:pPr>
            <w:r w:rsidRPr="00317B6A">
              <w:rPr>
                <w:b/>
              </w:rPr>
              <w:t>0</w:t>
            </w:r>
          </w:p>
        </w:tc>
        <w:tc>
          <w:tcPr>
            <w:tcW w:w="1130" w:type="dxa"/>
          </w:tcPr>
          <w:p w14:paraId="3CE95929" w14:textId="77777777" w:rsidR="00DA708F" w:rsidRPr="00317B6A" w:rsidRDefault="00DA708F" w:rsidP="001B2A96">
            <w:pPr>
              <w:jc w:val="center"/>
              <w:rPr>
                <w:b/>
              </w:rPr>
            </w:pPr>
            <w:r w:rsidRPr="00317B6A">
              <w:rPr>
                <w:b/>
              </w:rPr>
              <w:t>0</w:t>
            </w:r>
          </w:p>
        </w:tc>
        <w:tc>
          <w:tcPr>
            <w:tcW w:w="1197" w:type="dxa"/>
          </w:tcPr>
          <w:p w14:paraId="5F0E3EFA" w14:textId="77777777" w:rsidR="00DA708F" w:rsidRPr="00317B6A" w:rsidRDefault="00DA708F" w:rsidP="001B2A96">
            <w:pPr>
              <w:jc w:val="center"/>
              <w:rPr>
                <w:b/>
              </w:rPr>
            </w:pPr>
            <w:r>
              <w:rPr>
                <w:b/>
              </w:rPr>
              <w:t>0</w:t>
            </w:r>
          </w:p>
        </w:tc>
        <w:tc>
          <w:tcPr>
            <w:tcW w:w="1197" w:type="dxa"/>
          </w:tcPr>
          <w:p w14:paraId="4092E8CB" w14:textId="77777777" w:rsidR="00DA708F" w:rsidRPr="00317B6A" w:rsidRDefault="00DA708F" w:rsidP="001B2A96">
            <w:pPr>
              <w:jc w:val="center"/>
              <w:rPr>
                <w:b/>
              </w:rPr>
            </w:pPr>
            <w:r>
              <w:rPr>
                <w:b/>
              </w:rPr>
              <w:t>0</w:t>
            </w:r>
          </w:p>
        </w:tc>
      </w:tr>
      <w:tr w:rsidR="00DA708F" w:rsidRPr="0033617F" w14:paraId="0C81E4A5" w14:textId="77777777" w:rsidTr="004F21AE">
        <w:trPr>
          <w:jc w:val="center"/>
        </w:trPr>
        <w:tc>
          <w:tcPr>
            <w:tcW w:w="2235" w:type="dxa"/>
          </w:tcPr>
          <w:p w14:paraId="2540F61C" w14:textId="77777777" w:rsidR="00DA708F" w:rsidRPr="0033617F" w:rsidRDefault="00DA708F" w:rsidP="001B2A96">
            <w:r w:rsidRPr="0033617F">
              <w:t>3.1. valsts pamatbudžets</w:t>
            </w:r>
          </w:p>
        </w:tc>
        <w:tc>
          <w:tcPr>
            <w:tcW w:w="1132" w:type="dxa"/>
            <w:shd w:val="clear" w:color="auto" w:fill="auto"/>
          </w:tcPr>
          <w:p w14:paraId="482E45F8" w14:textId="77777777" w:rsidR="00DA708F" w:rsidRPr="004B2478" w:rsidRDefault="00DA708F" w:rsidP="001B2A96">
            <w:pPr>
              <w:jc w:val="center"/>
              <w:rPr>
                <w:i/>
              </w:rPr>
            </w:pPr>
            <w:r w:rsidRPr="004B2478">
              <w:rPr>
                <w:i/>
              </w:rPr>
              <w:t>0</w:t>
            </w:r>
          </w:p>
        </w:tc>
        <w:tc>
          <w:tcPr>
            <w:tcW w:w="1248" w:type="dxa"/>
          </w:tcPr>
          <w:p w14:paraId="323F24F8" w14:textId="77777777" w:rsidR="00DA708F" w:rsidRPr="004B2478" w:rsidRDefault="004B2478" w:rsidP="001B2A96">
            <w:pPr>
              <w:jc w:val="center"/>
              <w:rPr>
                <w:i/>
              </w:rPr>
            </w:pPr>
            <w:r w:rsidRPr="004B2478">
              <w:rPr>
                <w:i/>
              </w:rPr>
              <w:t>0</w:t>
            </w:r>
          </w:p>
        </w:tc>
        <w:tc>
          <w:tcPr>
            <w:tcW w:w="1130" w:type="dxa"/>
          </w:tcPr>
          <w:p w14:paraId="3B7A0AD2" w14:textId="77777777" w:rsidR="00DA708F" w:rsidRPr="00317B6A" w:rsidRDefault="00DA708F" w:rsidP="001B2A96">
            <w:pPr>
              <w:jc w:val="center"/>
              <w:rPr>
                <w:i/>
              </w:rPr>
            </w:pPr>
            <w:r w:rsidRPr="00317B6A">
              <w:rPr>
                <w:i/>
              </w:rPr>
              <w:t>0</w:t>
            </w:r>
          </w:p>
        </w:tc>
        <w:tc>
          <w:tcPr>
            <w:tcW w:w="1216" w:type="dxa"/>
          </w:tcPr>
          <w:p w14:paraId="53FDF421" w14:textId="77777777" w:rsidR="00DA708F" w:rsidRPr="00317B6A" w:rsidRDefault="00DA708F" w:rsidP="001B2A96">
            <w:pPr>
              <w:jc w:val="center"/>
              <w:rPr>
                <w:i/>
              </w:rPr>
            </w:pPr>
            <w:r w:rsidRPr="00317B6A">
              <w:rPr>
                <w:i/>
              </w:rPr>
              <w:t>0</w:t>
            </w:r>
          </w:p>
        </w:tc>
        <w:tc>
          <w:tcPr>
            <w:tcW w:w="1130" w:type="dxa"/>
          </w:tcPr>
          <w:p w14:paraId="508B67A9" w14:textId="77777777" w:rsidR="00DA708F" w:rsidRPr="00317B6A" w:rsidRDefault="00DA708F" w:rsidP="001B2A96">
            <w:pPr>
              <w:jc w:val="center"/>
              <w:rPr>
                <w:i/>
              </w:rPr>
            </w:pPr>
            <w:r w:rsidRPr="00317B6A">
              <w:rPr>
                <w:i/>
              </w:rPr>
              <w:t>0</w:t>
            </w:r>
          </w:p>
        </w:tc>
        <w:tc>
          <w:tcPr>
            <w:tcW w:w="1197" w:type="dxa"/>
          </w:tcPr>
          <w:p w14:paraId="0F1497CA" w14:textId="77777777" w:rsidR="00DA708F" w:rsidRPr="00317B6A" w:rsidRDefault="00DA708F" w:rsidP="001B2A96">
            <w:pPr>
              <w:jc w:val="center"/>
              <w:rPr>
                <w:i/>
              </w:rPr>
            </w:pPr>
            <w:r>
              <w:rPr>
                <w:i/>
              </w:rPr>
              <w:t>0</w:t>
            </w:r>
          </w:p>
        </w:tc>
        <w:tc>
          <w:tcPr>
            <w:tcW w:w="1197" w:type="dxa"/>
          </w:tcPr>
          <w:p w14:paraId="240FC83F" w14:textId="77777777" w:rsidR="00DA708F" w:rsidRPr="00317B6A" w:rsidRDefault="00DA708F" w:rsidP="001B2A96">
            <w:pPr>
              <w:jc w:val="center"/>
              <w:rPr>
                <w:i/>
              </w:rPr>
            </w:pPr>
            <w:r>
              <w:rPr>
                <w:i/>
              </w:rPr>
              <w:t>0</w:t>
            </w:r>
          </w:p>
        </w:tc>
      </w:tr>
      <w:tr w:rsidR="00DA708F" w:rsidRPr="0033617F" w14:paraId="7ADBC024" w14:textId="77777777" w:rsidTr="004F21AE">
        <w:trPr>
          <w:jc w:val="center"/>
        </w:trPr>
        <w:tc>
          <w:tcPr>
            <w:tcW w:w="2235" w:type="dxa"/>
          </w:tcPr>
          <w:p w14:paraId="6E2D338E" w14:textId="77777777" w:rsidR="00DA708F" w:rsidRPr="0033617F" w:rsidRDefault="00DA708F" w:rsidP="001B2A96">
            <w:r w:rsidRPr="0033617F">
              <w:t>3.2. speciālais budžets</w:t>
            </w:r>
          </w:p>
        </w:tc>
        <w:tc>
          <w:tcPr>
            <w:tcW w:w="1132" w:type="dxa"/>
            <w:shd w:val="clear" w:color="auto" w:fill="auto"/>
          </w:tcPr>
          <w:p w14:paraId="571FAF78" w14:textId="77777777" w:rsidR="00DA708F" w:rsidRPr="004B2478" w:rsidRDefault="00DA708F" w:rsidP="001B2A96">
            <w:pPr>
              <w:jc w:val="center"/>
            </w:pPr>
          </w:p>
        </w:tc>
        <w:tc>
          <w:tcPr>
            <w:tcW w:w="1248" w:type="dxa"/>
          </w:tcPr>
          <w:p w14:paraId="759B632F" w14:textId="77777777" w:rsidR="00DA708F" w:rsidRPr="004B2478" w:rsidRDefault="00DA708F" w:rsidP="001B2A96">
            <w:pPr>
              <w:jc w:val="center"/>
            </w:pPr>
          </w:p>
        </w:tc>
        <w:tc>
          <w:tcPr>
            <w:tcW w:w="1130" w:type="dxa"/>
          </w:tcPr>
          <w:p w14:paraId="6539050C" w14:textId="77777777" w:rsidR="00DA708F" w:rsidRPr="00317B6A" w:rsidRDefault="00DA708F" w:rsidP="001B2A96">
            <w:pPr>
              <w:jc w:val="center"/>
            </w:pPr>
          </w:p>
        </w:tc>
        <w:tc>
          <w:tcPr>
            <w:tcW w:w="1216" w:type="dxa"/>
          </w:tcPr>
          <w:p w14:paraId="57838AAE" w14:textId="77777777" w:rsidR="00DA708F" w:rsidRPr="00317B6A" w:rsidRDefault="00DA708F" w:rsidP="001B2A96">
            <w:pPr>
              <w:jc w:val="center"/>
            </w:pPr>
          </w:p>
        </w:tc>
        <w:tc>
          <w:tcPr>
            <w:tcW w:w="1130" w:type="dxa"/>
          </w:tcPr>
          <w:p w14:paraId="6C6C0F92" w14:textId="77777777" w:rsidR="00DA708F" w:rsidRPr="00317B6A" w:rsidRDefault="00DA708F" w:rsidP="001B2A96">
            <w:pPr>
              <w:jc w:val="center"/>
            </w:pPr>
          </w:p>
        </w:tc>
        <w:tc>
          <w:tcPr>
            <w:tcW w:w="1197" w:type="dxa"/>
          </w:tcPr>
          <w:p w14:paraId="089E567E" w14:textId="77777777" w:rsidR="00DA708F" w:rsidRPr="00317B6A" w:rsidRDefault="00DA708F" w:rsidP="001B2A96">
            <w:pPr>
              <w:jc w:val="center"/>
            </w:pPr>
          </w:p>
        </w:tc>
        <w:tc>
          <w:tcPr>
            <w:tcW w:w="1197" w:type="dxa"/>
          </w:tcPr>
          <w:p w14:paraId="3D68DC64" w14:textId="77777777" w:rsidR="00DA708F" w:rsidRPr="00317B6A" w:rsidRDefault="00DA708F" w:rsidP="001B2A96">
            <w:pPr>
              <w:jc w:val="center"/>
            </w:pPr>
          </w:p>
        </w:tc>
      </w:tr>
      <w:tr w:rsidR="00DA708F" w:rsidRPr="0033617F" w14:paraId="34AFC7C3" w14:textId="77777777" w:rsidTr="004F21AE">
        <w:trPr>
          <w:jc w:val="center"/>
        </w:trPr>
        <w:tc>
          <w:tcPr>
            <w:tcW w:w="2235" w:type="dxa"/>
          </w:tcPr>
          <w:p w14:paraId="5B6720C9" w14:textId="77777777" w:rsidR="00DA708F" w:rsidRPr="0033617F" w:rsidRDefault="00DA708F" w:rsidP="001B2A96">
            <w:r w:rsidRPr="0033617F">
              <w:t xml:space="preserve">3.3. pašvaldību budžets </w:t>
            </w:r>
          </w:p>
        </w:tc>
        <w:tc>
          <w:tcPr>
            <w:tcW w:w="1132" w:type="dxa"/>
            <w:shd w:val="clear" w:color="auto" w:fill="auto"/>
          </w:tcPr>
          <w:p w14:paraId="1E6194AA" w14:textId="77777777" w:rsidR="00DA708F" w:rsidRPr="004B2478" w:rsidRDefault="00DA708F" w:rsidP="001B2A96">
            <w:pPr>
              <w:jc w:val="center"/>
            </w:pPr>
          </w:p>
        </w:tc>
        <w:tc>
          <w:tcPr>
            <w:tcW w:w="1248" w:type="dxa"/>
          </w:tcPr>
          <w:p w14:paraId="209108D7" w14:textId="77777777" w:rsidR="00DA708F" w:rsidRPr="004B2478" w:rsidRDefault="00DA708F" w:rsidP="001B2A96">
            <w:pPr>
              <w:jc w:val="center"/>
            </w:pPr>
          </w:p>
        </w:tc>
        <w:tc>
          <w:tcPr>
            <w:tcW w:w="1130" w:type="dxa"/>
          </w:tcPr>
          <w:p w14:paraId="770CD3BA" w14:textId="77777777" w:rsidR="00DA708F" w:rsidRPr="00317B6A" w:rsidRDefault="00DA708F" w:rsidP="001B2A96">
            <w:pPr>
              <w:jc w:val="center"/>
            </w:pPr>
          </w:p>
        </w:tc>
        <w:tc>
          <w:tcPr>
            <w:tcW w:w="1216" w:type="dxa"/>
          </w:tcPr>
          <w:p w14:paraId="42238C8B" w14:textId="77777777" w:rsidR="00DA708F" w:rsidRPr="00317B6A" w:rsidRDefault="00DA708F" w:rsidP="001B2A96">
            <w:pPr>
              <w:jc w:val="center"/>
            </w:pPr>
          </w:p>
        </w:tc>
        <w:tc>
          <w:tcPr>
            <w:tcW w:w="1130" w:type="dxa"/>
          </w:tcPr>
          <w:p w14:paraId="68D381A4" w14:textId="77777777" w:rsidR="00DA708F" w:rsidRPr="00317B6A" w:rsidRDefault="00DA708F" w:rsidP="001B2A96">
            <w:pPr>
              <w:jc w:val="center"/>
            </w:pPr>
          </w:p>
        </w:tc>
        <w:tc>
          <w:tcPr>
            <w:tcW w:w="1197" w:type="dxa"/>
          </w:tcPr>
          <w:p w14:paraId="152165EB" w14:textId="77777777" w:rsidR="00DA708F" w:rsidRPr="00317B6A" w:rsidRDefault="00DA708F" w:rsidP="001B2A96">
            <w:pPr>
              <w:jc w:val="center"/>
            </w:pPr>
          </w:p>
        </w:tc>
        <w:tc>
          <w:tcPr>
            <w:tcW w:w="1197" w:type="dxa"/>
          </w:tcPr>
          <w:p w14:paraId="3D4FAD15" w14:textId="77777777" w:rsidR="00DA708F" w:rsidRPr="00317B6A" w:rsidRDefault="00DA708F" w:rsidP="001B2A96">
            <w:pPr>
              <w:jc w:val="center"/>
            </w:pPr>
          </w:p>
        </w:tc>
      </w:tr>
      <w:tr w:rsidR="00DA708F" w:rsidRPr="0033617F" w14:paraId="73332940" w14:textId="77777777" w:rsidTr="004F21AE">
        <w:trPr>
          <w:jc w:val="center"/>
        </w:trPr>
        <w:tc>
          <w:tcPr>
            <w:tcW w:w="2235" w:type="dxa"/>
            <w:vMerge w:val="restart"/>
          </w:tcPr>
          <w:p w14:paraId="568F421B" w14:textId="77777777" w:rsidR="00DA708F" w:rsidRPr="0033617F" w:rsidRDefault="00DA708F" w:rsidP="001B2A96">
            <w:r w:rsidRPr="0033617F">
              <w:t xml:space="preserve">4. Finanšu līdzekļi papildu izdevumu finansēšanai (kompensējošu izdevumu samazinājumu norāda ar </w:t>
            </w:r>
            <w:r>
              <w:t>„</w:t>
            </w:r>
            <w:r w:rsidRPr="0033617F">
              <w:t>+” zīmi)</w:t>
            </w:r>
          </w:p>
        </w:tc>
        <w:tc>
          <w:tcPr>
            <w:tcW w:w="1132" w:type="dxa"/>
            <w:vMerge w:val="restart"/>
          </w:tcPr>
          <w:p w14:paraId="50E7DD79" w14:textId="77777777" w:rsidR="00DA708F" w:rsidRPr="004B2478" w:rsidRDefault="00DA708F" w:rsidP="001B2A96">
            <w:pPr>
              <w:jc w:val="center"/>
              <w:rPr>
                <w:i/>
              </w:rPr>
            </w:pPr>
            <w:r w:rsidRPr="004B2478">
              <w:t>X</w:t>
            </w:r>
          </w:p>
        </w:tc>
        <w:tc>
          <w:tcPr>
            <w:tcW w:w="1248" w:type="dxa"/>
          </w:tcPr>
          <w:p w14:paraId="6A2858BA" w14:textId="77777777" w:rsidR="00DA708F" w:rsidRPr="004B2478" w:rsidRDefault="004B2478" w:rsidP="001B2A96">
            <w:pPr>
              <w:jc w:val="center"/>
            </w:pPr>
            <w:r w:rsidRPr="004B2478">
              <w:t>0</w:t>
            </w:r>
          </w:p>
        </w:tc>
        <w:tc>
          <w:tcPr>
            <w:tcW w:w="1130" w:type="dxa"/>
          </w:tcPr>
          <w:p w14:paraId="28E0B562" w14:textId="77777777" w:rsidR="00DA708F" w:rsidRPr="00317B6A" w:rsidRDefault="00DA708F" w:rsidP="001B2A96">
            <w:pPr>
              <w:jc w:val="center"/>
            </w:pPr>
            <w:r w:rsidRPr="00317B6A">
              <w:t>0</w:t>
            </w:r>
          </w:p>
        </w:tc>
        <w:tc>
          <w:tcPr>
            <w:tcW w:w="1216" w:type="dxa"/>
          </w:tcPr>
          <w:p w14:paraId="4F9B33F6" w14:textId="77777777" w:rsidR="00DA708F" w:rsidRPr="00317B6A" w:rsidRDefault="00DA708F" w:rsidP="001B2A96">
            <w:pPr>
              <w:jc w:val="center"/>
            </w:pPr>
            <w:r w:rsidRPr="00317B6A">
              <w:t>0</w:t>
            </w:r>
          </w:p>
        </w:tc>
        <w:tc>
          <w:tcPr>
            <w:tcW w:w="1130" w:type="dxa"/>
          </w:tcPr>
          <w:p w14:paraId="10254986" w14:textId="77777777" w:rsidR="00DA708F" w:rsidRPr="00317B6A" w:rsidRDefault="00DA708F" w:rsidP="001B2A96">
            <w:pPr>
              <w:jc w:val="center"/>
            </w:pPr>
            <w:r w:rsidRPr="00317B6A">
              <w:t>0</w:t>
            </w:r>
          </w:p>
        </w:tc>
        <w:tc>
          <w:tcPr>
            <w:tcW w:w="1197" w:type="dxa"/>
          </w:tcPr>
          <w:p w14:paraId="01825567" w14:textId="77777777" w:rsidR="00DA708F" w:rsidRPr="00317B6A" w:rsidRDefault="00DA708F" w:rsidP="001B2A96">
            <w:pPr>
              <w:jc w:val="center"/>
            </w:pPr>
            <w:r>
              <w:t>0</w:t>
            </w:r>
          </w:p>
        </w:tc>
        <w:tc>
          <w:tcPr>
            <w:tcW w:w="1197" w:type="dxa"/>
          </w:tcPr>
          <w:p w14:paraId="0012FAFB" w14:textId="77777777" w:rsidR="00DA708F" w:rsidRPr="00317B6A" w:rsidRDefault="00DA708F" w:rsidP="001B2A96">
            <w:pPr>
              <w:jc w:val="center"/>
            </w:pPr>
            <w:r>
              <w:t>0</w:t>
            </w:r>
          </w:p>
        </w:tc>
      </w:tr>
      <w:tr w:rsidR="00DA708F" w:rsidRPr="0033617F" w14:paraId="3971BAD6" w14:textId="77777777" w:rsidTr="004F21AE">
        <w:trPr>
          <w:jc w:val="center"/>
        </w:trPr>
        <w:tc>
          <w:tcPr>
            <w:tcW w:w="2235" w:type="dxa"/>
            <w:vMerge/>
          </w:tcPr>
          <w:p w14:paraId="0CC27F30" w14:textId="77777777" w:rsidR="00DA708F" w:rsidRPr="0033617F" w:rsidRDefault="00DA708F" w:rsidP="001B2A96"/>
        </w:tc>
        <w:tc>
          <w:tcPr>
            <w:tcW w:w="1132" w:type="dxa"/>
            <w:vMerge/>
          </w:tcPr>
          <w:p w14:paraId="1C96164D" w14:textId="77777777" w:rsidR="00DA708F" w:rsidRPr="004B2478" w:rsidRDefault="00DA708F" w:rsidP="001B2A96">
            <w:pPr>
              <w:jc w:val="center"/>
              <w:rPr>
                <w:i/>
              </w:rPr>
            </w:pPr>
          </w:p>
        </w:tc>
        <w:tc>
          <w:tcPr>
            <w:tcW w:w="1248" w:type="dxa"/>
          </w:tcPr>
          <w:p w14:paraId="44E254D9" w14:textId="77777777" w:rsidR="00DA708F" w:rsidRPr="004B2478" w:rsidRDefault="00DA708F" w:rsidP="001B2A96">
            <w:pPr>
              <w:jc w:val="center"/>
            </w:pPr>
          </w:p>
        </w:tc>
        <w:tc>
          <w:tcPr>
            <w:tcW w:w="1130" w:type="dxa"/>
          </w:tcPr>
          <w:p w14:paraId="39DDF09C" w14:textId="77777777" w:rsidR="00DA708F" w:rsidRPr="0033617F" w:rsidRDefault="00DA708F" w:rsidP="001B2A96">
            <w:pPr>
              <w:jc w:val="center"/>
            </w:pPr>
          </w:p>
        </w:tc>
        <w:tc>
          <w:tcPr>
            <w:tcW w:w="1216" w:type="dxa"/>
          </w:tcPr>
          <w:p w14:paraId="12645A1B" w14:textId="77777777" w:rsidR="00DA708F" w:rsidRPr="0033617F" w:rsidRDefault="00DA708F" w:rsidP="001B2A96">
            <w:pPr>
              <w:jc w:val="center"/>
            </w:pPr>
          </w:p>
        </w:tc>
        <w:tc>
          <w:tcPr>
            <w:tcW w:w="1130" w:type="dxa"/>
          </w:tcPr>
          <w:p w14:paraId="2EE17196" w14:textId="77777777" w:rsidR="00DA708F" w:rsidRPr="0033617F" w:rsidRDefault="00DA708F" w:rsidP="001B2A96">
            <w:pPr>
              <w:jc w:val="center"/>
            </w:pPr>
          </w:p>
        </w:tc>
        <w:tc>
          <w:tcPr>
            <w:tcW w:w="1197" w:type="dxa"/>
          </w:tcPr>
          <w:p w14:paraId="19CF4EAD" w14:textId="77777777" w:rsidR="00DA708F" w:rsidRPr="0033617F" w:rsidRDefault="00DA708F" w:rsidP="001B2A96">
            <w:pPr>
              <w:jc w:val="center"/>
            </w:pPr>
          </w:p>
        </w:tc>
        <w:tc>
          <w:tcPr>
            <w:tcW w:w="1197" w:type="dxa"/>
          </w:tcPr>
          <w:p w14:paraId="410A0BC1" w14:textId="77777777" w:rsidR="00DA708F" w:rsidRPr="0033617F" w:rsidRDefault="00DA708F" w:rsidP="001B2A96">
            <w:pPr>
              <w:jc w:val="center"/>
            </w:pPr>
          </w:p>
        </w:tc>
      </w:tr>
      <w:tr w:rsidR="00DA708F" w:rsidRPr="0033617F" w14:paraId="17DABB5B" w14:textId="77777777" w:rsidTr="004F21AE">
        <w:trPr>
          <w:jc w:val="center"/>
        </w:trPr>
        <w:tc>
          <w:tcPr>
            <w:tcW w:w="2235" w:type="dxa"/>
            <w:vMerge/>
          </w:tcPr>
          <w:p w14:paraId="5B1987C5" w14:textId="77777777" w:rsidR="00DA708F" w:rsidRPr="0033617F" w:rsidRDefault="00DA708F" w:rsidP="001B2A96"/>
        </w:tc>
        <w:tc>
          <w:tcPr>
            <w:tcW w:w="1132" w:type="dxa"/>
            <w:vMerge/>
          </w:tcPr>
          <w:p w14:paraId="7D7A7D36" w14:textId="77777777" w:rsidR="00DA708F" w:rsidRPr="0033617F" w:rsidRDefault="00DA708F" w:rsidP="001B2A96">
            <w:pPr>
              <w:jc w:val="center"/>
              <w:rPr>
                <w:i/>
              </w:rPr>
            </w:pPr>
          </w:p>
        </w:tc>
        <w:tc>
          <w:tcPr>
            <w:tcW w:w="1248" w:type="dxa"/>
          </w:tcPr>
          <w:p w14:paraId="5F2268FE" w14:textId="77777777" w:rsidR="00DA708F" w:rsidRDefault="00DA708F" w:rsidP="001B2A96">
            <w:pPr>
              <w:jc w:val="center"/>
            </w:pPr>
          </w:p>
          <w:p w14:paraId="4622B329" w14:textId="77777777" w:rsidR="00DA708F" w:rsidRPr="002643AF" w:rsidRDefault="00DA708F" w:rsidP="001B2A96">
            <w:pPr>
              <w:jc w:val="center"/>
            </w:pPr>
          </w:p>
        </w:tc>
        <w:tc>
          <w:tcPr>
            <w:tcW w:w="1130" w:type="dxa"/>
          </w:tcPr>
          <w:p w14:paraId="3C401266" w14:textId="77777777" w:rsidR="00DA708F" w:rsidRPr="0033617F" w:rsidRDefault="00DA708F" w:rsidP="001B2A96">
            <w:pPr>
              <w:jc w:val="center"/>
            </w:pPr>
          </w:p>
        </w:tc>
        <w:tc>
          <w:tcPr>
            <w:tcW w:w="1216" w:type="dxa"/>
          </w:tcPr>
          <w:p w14:paraId="010E991E" w14:textId="77777777" w:rsidR="00DA708F" w:rsidRPr="0033617F" w:rsidRDefault="00DA708F" w:rsidP="001B2A96">
            <w:pPr>
              <w:jc w:val="center"/>
            </w:pPr>
          </w:p>
        </w:tc>
        <w:tc>
          <w:tcPr>
            <w:tcW w:w="1130" w:type="dxa"/>
          </w:tcPr>
          <w:p w14:paraId="2814C102" w14:textId="77777777" w:rsidR="00DA708F" w:rsidRPr="0033617F" w:rsidRDefault="00DA708F" w:rsidP="001B2A96">
            <w:pPr>
              <w:jc w:val="center"/>
            </w:pPr>
          </w:p>
        </w:tc>
        <w:tc>
          <w:tcPr>
            <w:tcW w:w="1197" w:type="dxa"/>
          </w:tcPr>
          <w:p w14:paraId="3F3D2A8B" w14:textId="77777777" w:rsidR="00DA708F" w:rsidRPr="0033617F" w:rsidRDefault="00DA708F" w:rsidP="001B2A96">
            <w:pPr>
              <w:jc w:val="center"/>
            </w:pPr>
          </w:p>
        </w:tc>
        <w:tc>
          <w:tcPr>
            <w:tcW w:w="1197" w:type="dxa"/>
          </w:tcPr>
          <w:p w14:paraId="2895DA0C" w14:textId="77777777" w:rsidR="00DA708F" w:rsidRPr="0033617F" w:rsidRDefault="00DA708F" w:rsidP="001B2A96">
            <w:pPr>
              <w:jc w:val="center"/>
            </w:pPr>
          </w:p>
        </w:tc>
      </w:tr>
      <w:tr w:rsidR="00DA708F" w:rsidRPr="0033617F" w14:paraId="3FAD8564" w14:textId="77777777" w:rsidTr="004F21AE">
        <w:trPr>
          <w:jc w:val="center"/>
        </w:trPr>
        <w:tc>
          <w:tcPr>
            <w:tcW w:w="2235" w:type="dxa"/>
          </w:tcPr>
          <w:p w14:paraId="3D523FFD" w14:textId="77777777" w:rsidR="00DA708F" w:rsidRPr="0033617F" w:rsidRDefault="00DA708F" w:rsidP="001B2A96">
            <w:r w:rsidRPr="0033617F">
              <w:t>5. Precizēta finansiālā ietekme:</w:t>
            </w:r>
          </w:p>
        </w:tc>
        <w:tc>
          <w:tcPr>
            <w:tcW w:w="1132" w:type="dxa"/>
            <w:vMerge w:val="restart"/>
          </w:tcPr>
          <w:p w14:paraId="176DB404" w14:textId="77777777" w:rsidR="00DA708F" w:rsidRPr="00317B6A" w:rsidRDefault="00DA708F" w:rsidP="001B2A96">
            <w:pPr>
              <w:jc w:val="center"/>
              <w:rPr>
                <w:i/>
              </w:rPr>
            </w:pPr>
            <w:r w:rsidRPr="00317B6A">
              <w:t>X</w:t>
            </w:r>
          </w:p>
          <w:p w14:paraId="669FAE87" w14:textId="77777777" w:rsidR="00DA708F" w:rsidRPr="00317B6A" w:rsidRDefault="00DA708F" w:rsidP="001B2A96">
            <w:pPr>
              <w:jc w:val="center"/>
              <w:rPr>
                <w:i/>
              </w:rPr>
            </w:pPr>
            <w:r w:rsidRPr="00317B6A">
              <w:rPr>
                <w:b/>
              </w:rPr>
              <w:t>0</w:t>
            </w:r>
          </w:p>
        </w:tc>
        <w:tc>
          <w:tcPr>
            <w:tcW w:w="1248" w:type="dxa"/>
          </w:tcPr>
          <w:p w14:paraId="16F77046" w14:textId="77777777" w:rsidR="00DA708F" w:rsidRPr="00317B6A" w:rsidRDefault="00DA708F" w:rsidP="001B2A96">
            <w:pPr>
              <w:jc w:val="center"/>
            </w:pPr>
            <w:r w:rsidRPr="00317B6A">
              <w:t>0</w:t>
            </w:r>
          </w:p>
        </w:tc>
        <w:tc>
          <w:tcPr>
            <w:tcW w:w="1130" w:type="dxa"/>
          </w:tcPr>
          <w:p w14:paraId="2D9AF13E" w14:textId="77777777" w:rsidR="00DA708F" w:rsidRPr="00317B6A" w:rsidRDefault="00DA708F" w:rsidP="001B2A96">
            <w:pPr>
              <w:jc w:val="center"/>
            </w:pPr>
            <w:r w:rsidRPr="00317B6A">
              <w:t>0</w:t>
            </w:r>
          </w:p>
        </w:tc>
        <w:tc>
          <w:tcPr>
            <w:tcW w:w="1216" w:type="dxa"/>
          </w:tcPr>
          <w:p w14:paraId="2C2599C3" w14:textId="77777777" w:rsidR="00DA708F" w:rsidRPr="00317B6A" w:rsidRDefault="00DA708F" w:rsidP="001B2A96">
            <w:pPr>
              <w:jc w:val="center"/>
            </w:pPr>
            <w:r w:rsidRPr="00317B6A">
              <w:t>0</w:t>
            </w:r>
          </w:p>
        </w:tc>
        <w:tc>
          <w:tcPr>
            <w:tcW w:w="1130" w:type="dxa"/>
          </w:tcPr>
          <w:p w14:paraId="39889732" w14:textId="77777777" w:rsidR="00DA708F" w:rsidRPr="00317B6A" w:rsidRDefault="00DA708F" w:rsidP="001B2A96">
            <w:pPr>
              <w:jc w:val="center"/>
            </w:pPr>
            <w:r w:rsidRPr="00317B6A">
              <w:t>0</w:t>
            </w:r>
          </w:p>
        </w:tc>
        <w:tc>
          <w:tcPr>
            <w:tcW w:w="1197" w:type="dxa"/>
          </w:tcPr>
          <w:p w14:paraId="481D2C56" w14:textId="77777777" w:rsidR="00DA708F" w:rsidRPr="00317B6A" w:rsidRDefault="00DA708F" w:rsidP="001B2A96">
            <w:pPr>
              <w:jc w:val="center"/>
            </w:pPr>
            <w:r>
              <w:t>0</w:t>
            </w:r>
          </w:p>
        </w:tc>
        <w:tc>
          <w:tcPr>
            <w:tcW w:w="1197" w:type="dxa"/>
          </w:tcPr>
          <w:p w14:paraId="223AAA8C" w14:textId="77777777" w:rsidR="00DA708F" w:rsidRPr="00317B6A" w:rsidRDefault="00DA708F" w:rsidP="001B2A96">
            <w:pPr>
              <w:jc w:val="center"/>
            </w:pPr>
            <w:r>
              <w:t>0</w:t>
            </w:r>
          </w:p>
        </w:tc>
      </w:tr>
      <w:tr w:rsidR="00DA708F" w:rsidRPr="0033617F" w14:paraId="506C80D8" w14:textId="77777777" w:rsidTr="004F21AE">
        <w:trPr>
          <w:jc w:val="center"/>
        </w:trPr>
        <w:tc>
          <w:tcPr>
            <w:tcW w:w="2235" w:type="dxa"/>
          </w:tcPr>
          <w:p w14:paraId="7EE32092" w14:textId="77777777" w:rsidR="00DA708F" w:rsidRPr="0033617F" w:rsidRDefault="00DA708F" w:rsidP="001B2A96">
            <w:r w:rsidRPr="0033617F">
              <w:t>5.1. valsts pamatbudžets</w:t>
            </w:r>
          </w:p>
        </w:tc>
        <w:tc>
          <w:tcPr>
            <w:tcW w:w="1132" w:type="dxa"/>
            <w:vMerge/>
            <w:vAlign w:val="center"/>
          </w:tcPr>
          <w:p w14:paraId="6A6579AC" w14:textId="77777777" w:rsidR="00DA708F" w:rsidRPr="0033617F" w:rsidRDefault="00DA708F" w:rsidP="001B2A96">
            <w:pPr>
              <w:jc w:val="center"/>
              <w:rPr>
                <w:i/>
              </w:rPr>
            </w:pPr>
          </w:p>
        </w:tc>
        <w:tc>
          <w:tcPr>
            <w:tcW w:w="1248" w:type="dxa"/>
          </w:tcPr>
          <w:p w14:paraId="51F9A668" w14:textId="77777777" w:rsidR="00DA708F" w:rsidRPr="0033617F" w:rsidRDefault="00DA708F" w:rsidP="001B2A96">
            <w:pPr>
              <w:jc w:val="center"/>
            </w:pPr>
            <w:r w:rsidRPr="00317B6A">
              <w:t>0</w:t>
            </w:r>
          </w:p>
        </w:tc>
        <w:tc>
          <w:tcPr>
            <w:tcW w:w="1130" w:type="dxa"/>
          </w:tcPr>
          <w:p w14:paraId="7171C556" w14:textId="77777777" w:rsidR="00DA708F" w:rsidRPr="0033617F" w:rsidRDefault="00DA708F" w:rsidP="001B2A96">
            <w:pPr>
              <w:jc w:val="center"/>
            </w:pPr>
            <w:r w:rsidRPr="00317B6A">
              <w:t>0</w:t>
            </w:r>
          </w:p>
        </w:tc>
        <w:tc>
          <w:tcPr>
            <w:tcW w:w="1216" w:type="dxa"/>
          </w:tcPr>
          <w:p w14:paraId="34AC611D" w14:textId="77777777" w:rsidR="00DA708F" w:rsidRPr="0033617F" w:rsidRDefault="00DA708F" w:rsidP="001B2A96">
            <w:pPr>
              <w:jc w:val="center"/>
            </w:pPr>
            <w:r w:rsidRPr="00317B6A">
              <w:t>0</w:t>
            </w:r>
          </w:p>
        </w:tc>
        <w:tc>
          <w:tcPr>
            <w:tcW w:w="1130" w:type="dxa"/>
          </w:tcPr>
          <w:p w14:paraId="54166C87" w14:textId="77777777" w:rsidR="00DA708F" w:rsidRPr="0033617F" w:rsidRDefault="00DA708F" w:rsidP="001B2A96">
            <w:pPr>
              <w:jc w:val="center"/>
            </w:pPr>
            <w:r w:rsidRPr="00317B6A">
              <w:t>0</w:t>
            </w:r>
          </w:p>
        </w:tc>
        <w:tc>
          <w:tcPr>
            <w:tcW w:w="1197" w:type="dxa"/>
          </w:tcPr>
          <w:p w14:paraId="7B4E4C75" w14:textId="77777777" w:rsidR="00DA708F" w:rsidRPr="00317B6A" w:rsidRDefault="00DA708F" w:rsidP="001B2A96">
            <w:pPr>
              <w:jc w:val="center"/>
            </w:pPr>
          </w:p>
        </w:tc>
        <w:tc>
          <w:tcPr>
            <w:tcW w:w="1197" w:type="dxa"/>
          </w:tcPr>
          <w:p w14:paraId="05D82768" w14:textId="77777777" w:rsidR="00DA708F" w:rsidRPr="00317B6A" w:rsidRDefault="00DA708F" w:rsidP="001B2A96">
            <w:pPr>
              <w:jc w:val="center"/>
            </w:pPr>
          </w:p>
        </w:tc>
      </w:tr>
      <w:tr w:rsidR="00DA708F" w:rsidRPr="0033617F" w14:paraId="06297BD6" w14:textId="77777777" w:rsidTr="004F21AE">
        <w:trPr>
          <w:jc w:val="center"/>
        </w:trPr>
        <w:tc>
          <w:tcPr>
            <w:tcW w:w="2235" w:type="dxa"/>
          </w:tcPr>
          <w:p w14:paraId="6D97C3EB" w14:textId="77777777" w:rsidR="00DA708F" w:rsidRPr="0033617F" w:rsidRDefault="00DA708F" w:rsidP="001B2A96">
            <w:r w:rsidRPr="0033617F">
              <w:t>5.2. speciālais budžets</w:t>
            </w:r>
          </w:p>
        </w:tc>
        <w:tc>
          <w:tcPr>
            <w:tcW w:w="1132" w:type="dxa"/>
            <w:vMerge/>
            <w:vAlign w:val="center"/>
          </w:tcPr>
          <w:p w14:paraId="72440C53" w14:textId="77777777" w:rsidR="00DA708F" w:rsidRPr="0033617F" w:rsidRDefault="00DA708F" w:rsidP="001B2A96">
            <w:pPr>
              <w:jc w:val="center"/>
              <w:rPr>
                <w:i/>
              </w:rPr>
            </w:pPr>
          </w:p>
        </w:tc>
        <w:tc>
          <w:tcPr>
            <w:tcW w:w="1248" w:type="dxa"/>
          </w:tcPr>
          <w:p w14:paraId="3799B308" w14:textId="77777777" w:rsidR="00DA708F" w:rsidRPr="0033617F" w:rsidRDefault="00DA708F" w:rsidP="001B2A96">
            <w:pPr>
              <w:jc w:val="center"/>
            </w:pPr>
          </w:p>
        </w:tc>
        <w:tc>
          <w:tcPr>
            <w:tcW w:w="1130" w:type="dxa"/>
          </w:tcPr>
          <w:p w14:paraId="1E75FC85" w14:textId="77777777" w:rsidR="00DA708F" w:rsidRPr="0033617F" w:rsidRDefault="00DA708F" w:rsidP="001B2A96">
            <w:pPr>
              <w:jc w:val="center"/>
            </w:pPr>
          </w:p>
        </w:tc>
        <w:tc>
          <w:tcPr>
            <w:tcW w:w="1216" w:type="dxa"/>
          </w:tcPr>
          <w:p w14:paraId="2F654027" w14:textId="77777777" w:rsidR="00DA708F" w:rsidRPr="0033617F" w:rsidRDefault="00DA708F" w:rsidP="001B2A96">
            <w:pPr>
              <w:jc w:val="center"/>
            </w:pPr>
          </w:p>
        </w:tc>
        <w:tc>
          <w:tcPr>
            <w:tcW w:w="1130" w:type="dxa"/>
          </w:tcPr>
          <w:p w14:paraId="5A5AD6BB" w14:textId="77777777" w:rsidR="00DA708F" w:rsidRPr="0033617F" w:rsidRDefault="00DA708F" w:rsidP="001B2A96">
            <w:pPr>
              <w:jc w:val="center"/>
            </w:pPr>
          </w:p>
        </w:tc>
        <w:tc>
          <w:tcPr>
            <w:tcW w:w="1197" w:type="dxa"/>
          </w:tcPr>
          <w:p w14:paraId="69ECB779" w14:textId="77777777" w:rsidR="00DA708F" w:rsidRPr="0033617F" w:rsidRDefault="00DA708F" w:rsidP="001B2A96">
            <w:pPr>
              <w:jc w:val="center"/>
            </w:pPr>
          </w:p>
        </w:tc>
        <w:tc>
          <w:tcPr>
            <w:tcW w:w="1197" w:type="dxa"/>
          </w:tcPr>
          <w:p w14:paraId="39477A3E" w14:textId="77777777" w:rsidR="00DA708F" w:rsidRPr="0033617F" w:rsidRDefault="00DA708F" w:rsidP="001B2A96">
            <w:pPr>
              <w:jc w:val="center"/>
            </w:pPr>
          </w:p>
        </w:tc>
      </w:tr>
      <w:tr w:rsidR="00DA708F" w:rsidRPr="0033617F" w14:paraId="5E2EA37A" w14:textId="77777777" w:rsidTr="004F21AE">
        <w:trPr>
          <w:jc w:val="center"/>
        </w:trPr>
        <w:tc>
          <w:tcPr>
            <w:tcW w:w="2235" w:type="dxa"/>
          </w:tcPr>
          <w:p w14:paraId="00807605" w14:textId="77777777" w:rsidR="00DA708F" w:rsidRPr="0033617F" w:rsidRDefault="00DA708F" w:rsidP="001B2A96">
            <w:r w:rsidRPr="0033617F">
              <w:t xml:space="preserve">5.3. pašvaldību budžets </w:t>
            </w:r>
          </w:p>
        </w:tc>
        <w:tc>
          <w:tcPr>
            <w:tcW w:w="1132" w:type="dxa"/>
            <w:vMerge/>
          </w:tcPr>
          <w:p w14:paraId="5B3C56E9" w14:textId="77777777" w:rsidR="00DA708F" w:rsidRPr="0033617F" w:rsidRDefault="00DA708F" w:rsidP="001B2A96">
            <w:pPr>
              <w:jc w:val="center"/>
              <w:rPr>
                <w:i/>
              </w:rPr>
            </w:pPr>
          </w:p>
        </w:tc>
        <w:tc>
          <w:tcPr>
            <w:tcW w:w="1248" w:type="dxa"/>
          </w:tcPr>
          <w:p w14:paraId="34DF1238" w14:textId="77777777" w:rsidR="00DA708F" w:rsidRPr="0033617F" w:rsidRDefault="00DA708F" w:rsidP="001B2A96">
            <w:pPr>
              <w:jc w:val="center"/>
            </w:pPr>
          </w:p>
        </w:tc>
        <w:tc>
          <w:tcPr>
            <w:tcW w:w="1130" w:type="dxa"/>
          </w:tcPr>
          <w:p w14:paraId="6CCAD106" w14:textId="77777777" w:rsidR="00DA708F" w:rsidRPr="0033617F" w:rsidRDefault="00DA708F" w:rsidP="001B2A96">
            <w:pPr>
              <w:jc w:val="center"/>
            </w:pPr>
          </w:p>
        </w:tc>
        <w:tc>
          <w:tcPr>
            <w:tcW w:w="1216" w:type="dxa"/>
          </w:tcPr>
          <w:p w14:paraId="3BC1B57C" w14:textId="77777777" w:rsidR="00DA708F" w:rsidRPr="0033617F" w:rsidRDefault="00DA708F" w:rsidP="001B2A96">
            <w:pPr>
              <w:jc w:val="center"/>
            </w:pPr>
          </w:p>
        </w:tc>
        <w:tc>
          <w:tcPr>
            <w:tcW w:w="1130" w:type="dxa"/>
          </w:tcPr>
          <w:p w14:paraId="115C3BE1" w14:textId="77777777" w:rsidR="00DA708F" w:rsidRPr="0033617F" w:rsidRDefault="00DA708F" w:rsidP="001B2A96">
            <w:pPr>
              <w:jc w:val="center"/>
            </w:pPr>
          </w:p>
        </w:tc>
        <w:tc>
          <w:tcPr>
            <w:tcW w:w="1197" w:type="dxa"/>
          </w:tcPr>
          <w:p w14:paraId="1A71D472" w14:textId="77777777" w:rsidR="00DA708F" w:rsidRPr="0033617F" w:rsidRDefault="00DA708F" w:rsidP="001B2A96">
            <w:pPr>
              <w:jc w:val="center"/>
            </w:pPr>
          </w:p>
        </w:tc>
        <w:tc>
          <w:tcPr>
            <w:tcW w:w="1197" w:type="dxa"/>
          </w:tcPr>
          <w:p w14:paraId="1BEFEB9D" w14:textId="77777777" w:rsidR="00DA708F" w:rsidRPr="0033617F" w:rsidRDefault="00DA708F" w:rsidP="001B2A96">
            <w:pPr>
              <w:jc w:val="center"/>
            </w:pPr>
          </w:p>
        </w:tc>
      </w:tr>
      <w:tr w:rsidR="00DA708F" w:rsidRPr="0033617F" w14:paraId="214D50F7" w14:textId="77777777" w:rsidTr="004F21AE">
        <w:trPr>
          <w:jc w:val="center"/>
        </w:trPr>
        <w:tc>
          <w:tcPr>
            <w:tcW w:w="2235" w:type="dxa"/>
          </w:tcPr>
          <w:p w14:paraId="3E425710" w14:textId="77777777" w:rsidR="00DA708F" w:rsidRPr="0033617F" w:rsidRDefault="00DA708F" w:rsidP="001B2A96">
            <w:r w:rsidRPr="0033617F">
              <w:t>6. Detalizēts ieņēmumu un izdevumu aprēķins (ja nepie</w:t>
            </w:r>
            <w:r w:rsidRPr="0033617F">
              <w:softHyphen/>
              <w:t>ciešams, detalizētu ieņēmumu un izdevumu aprēķinu var pievienot anotācijas pielikumā):</w:t>
            </w:r>
          </w:p>
        </w:tc>
        <w:tc>
          <w:tcPr>
            <w:tcW w:w="8250" w:type="dxa"/>
            <w:gridSpan w:val="7"/>
            <w:vMerge w:val="restart"/>
            <w:shd w:val="clear" w:color="auto" w:fill="auto"/>
          </w:tcPr>
          <w:p w14:paraId="1212CF31" w14:textId="4E57637E" w:rsidR="004B2478" w:rsidRDefault="004B2478" w:rsidP="004B2478">
            <w:pPr>
              <w:ind w:right="34"/>
              <w:jc w:val="both"/>
            </w:pPr>
            <w:r>
              <w:t>Rīkojuma projektā minēto valsts nozīmes sporta infrastruktūras attīstības projektu līdzfinansēšanai no IZM 20</w:t>
            </w:r>
            <w:r w:rsidR="008C2D86">
              <w:t>20</w:t>
            </w:r>
            <w:r>
              <w:t xml:space="preserve">.gada valsts budžeta programmas 09.00.00 „Sports” apakšprogrammas 09.04.00 „Sporta būves” kopā tiks novirzīti </w:t>
            </w:r>
            <w:r w:rsidR="008C2D86">
              <w:t>2</w:t>
            </w:r>
            <w:r w:rsidR="000A1E9A">
              <w:t> </w:t>
            </w:r>
            <w:r w:rsidR="008C2D86">
              <w:t>602</w:t>
            </w:r>
            <w:r w:rsidR="000A1E9A">
              <w:t xml:space="preserve"> </w:t>
            </w:r>
            <w:r>
              <w:t xml:space="preserve">000 </w:t>
            </w:r>
            <w:r w:rsidRPr="004B2478">
              <w:rPr>
                <w:i/>
              </w:rPr>
              <w:t>euro</w:t>
            </w:r>
            <w:r>
              <w:t>, kā rezultātā tiks sadalīts viss P</w:t>
            </w:r>
            <w:r w:rsidRPr="004B2478">
              <w:t xml:space="preserve">rioritārajam pasākumam </w:t>
            </w:r>
            <w:r>
              <w:t>20</w:t>
            </w:r>
            <w:r w:rsidR="00727B7C">
              <w:t>20</w:t>
            </w:r>
            <w:r>
              <w:t>.</w:t>
            </w:r>
            <w:r w:rsidR="000A1E9A">
              <w:t xml:space="preserve"> </w:t>
            </w:r>
            <w:r>
              <w:t xml:space="preserve">gadā paredzētais finansējums. </w:t>
            </w:r>
          </w:p>
          <w:p w14:paraId="76A33E20" w14:textId="77777777" w:rsidR="004B2478" w:rsidRDefault="004B2478" w:rsidP="004B2478">
            <w:pPr>
              <w:ind w:right="34"/>
              <w:jc w:val="both"/>
            </w:pPr>
          </w:p>
          <w:p w14:paraId="6F933BB9" w14:textId="77777777" w:rsidR="004B2478" w:rsidRDefault="004B2478" w:rsidP="004B2478">
            <w:pPr>
              <w:ind w:right="34"/>
              <w:jc w:val="both"/>
            </w:pPr>
            <w:r>
              <w:t>Atbalstītie valsts nozīmes sporta infrastruktūras attīstības projekti:</w:t>
            </w:r>
          </w:p>
          <w:p w14:paraId="6F82FB89" w14:textId="77777777" w:rsidR="000A1E9A" w:rsidRDefault="000A1E9A" w:rsidP="004B2478">
            <w:pPr>
              <w:ind w:right="34"/>
              <w:jc w:val="both"/>
            </w:pPr>
          </w:p>
          <w:tbl>
            <w:tblPr>
              <w:tblW w:w="7816"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681"/>
              <w:gridCol w:w="1498"/>
            </w:tblGrid>
            <w:tr w:rsidR="000A1E9A" w:rsidRPr="006C697C" w14:paraId="4EAA06F7" w14:textId="77777777" w:rsidTr="006C697C">
              <w:tc>
                <w:tcPr>
                  <w:tcW w:w="637" w:type="dxa"/>
                  <w:shd w:val="clear" w:color="auto" w:fill="FFFFFF"/>
                  <w:vAlign w:val="center"/>
                </w:tcPr>
                <w:p w14:paraId="51F14AA8" w14:textId="0990BD1B" w:rsidR="008C2D86" w:rsidRPr="006C697C" w:rsidRDefault="008C2D86" w:rsidP="000A1E9A">
                  <w:pPr>
                    <w:jc w:val="center"/>
                    <w:rPr>
                      <w:b/>
                      <w:sz w:val="22"/>
                      <w:szCs w:val="22"/>
                    </w:rPr>
                  </w:pPr>
                  <w:r w:rsidRPr="006C697C">
                    <w:rPr>
                      <w:b/>
                      <w:sz w:val="22"/>
                      <w:szCs w:val="22"/>
                    </w:rPr>
                    <w:t>Nr.</w:t>
                  </w:r>
                </w:p>
              </w:tc>
              <w:tc>
                <w:tcPr>
                  <w:tcW w:w="5681" w:type="dxa"/>
                  <w:tcBorders>
                    <w:bottom w:val="single" w:sz="4" w:space="0" w:color="000000"/>
                  </w:tcBorders>
                  <w:shd w:val="clear" w:color="auto" w:fill="FFFFFF"/>
                  <w:vAlign w:val="center"/>
                </w:tcPr>
                <w:p w14:paraId="30C9E8DF" w14:textId="77777777" w:rsidR="008C2D86" w:rsidRPr="006C697C" w:rsidRDefault="008C2D86" w:rsidP="008C2D86">
                  <w:pPr>
                    <w:jc w:val="center"/>
                    <w:rPr>
                      <w:b/>
                      <w:sz w:val="22"/>
                      <w:szCs w:val="22"/>
                    </w:rPr>
                  </w:pPr>
                  <w:r w:rsidRPr="006C697C">
                    <w:rPr>
                      <w:b/>
                      <w:sz w:val="22"/>
                      <w:szCs w:val="22"/>
                    </w:rPr>
                    <w:t>Dotācijas mērķis (saņēmējs)</w:t>
                  </w:r>
                </w:p>
              </w:tc>
              <w:tc>
                <w:tcPr>
                  <w:tcW w:w="1498" w:type="dxa"/>
                  <w:shd w:val="clear" w:color="auto" w:fill="FFFFFF"/>
                  <w:vAlign w:val="center"/>
                </w:tcPr>
                <w:p w14:paraId="4CF784AF" w14:textId="77777777" w:rsidR="008C2D86" w:rsidRPr="006C697C" w:rsidRDefault="008C2D86" w:rsidP="008C2D86">
                  <w:pPr>
                    <w:jc w:val="center"/>
                    <w:rPr>
                      <w:b/>
                      <w:sz w:val="22"/>
                      <w:szCs w:val="22"/>
                    </w:rPr>
                  </w:pPr>
                  <w:r w:rsidRPr="006C697C">
                    <w:rPr>
                      <w:b/>
                      <w:sz w:val="22"/>
                      <w:szCs w:val="22"/>
                    </w:rPr>
                    <w:t xml:space="preserve">Dotācijas apmērs </w:t>
                  </w:r>
                  <w:r w:rsidRPr="006C697C">
                    <w:rPr>
                      <w:b/>
                      <w:i/>
                      <w:sz w:val="22"/>
                      <w:szCs w:val="22"/>
                    </w:rPr>
                    <w:t>euro</w:t>
                  </w:r>
                </w:p>
              </w:tc>
            </w:tr>
            <w:tr w:rsidR="000A1E9A" w:rsidRPr="006C697C" w14:paraId="2C9DD5E5" w14:textId="77777777" w:rsidTr="006C697C">
              <w:tc>
                <w:tcPr>
                  <w:tcW w:w="637" w:type="dxa"/>
                </w:tcPr>
                <w:p w14:paraId="6BD9FFF4" w14:textId="77777777" w:rsidR="008C2D86" w:rsidRPr="006C697C" w:rsidRDefault="008C2D86" w:rsidP="008C2D86">
                  <w:pPr>
                    <w:jc w:val="center"/>
                    <w:rPr>
                      <w:sz w:val="22"/>
                      <w:szCs w:val="22"/>
                    </w:rPr>
                  </w:pPr>
                  <w:r w:rsidRPr="006C697C">
                    <w:rPr>
                      <w:sz w:val="22"/>
                      <w:szCs w:val="22"/>
                    </w:rPr>
                    <w:t>1.</w:t>
                  </w:r>
                </w:p>
              </w:tc>
              <w:tc>
                <w:tcPr>
                  <w:tcW w:w="5681" w:type="dxa"/>
                  <w:vAlign w:val="center"/>
                </w:tcPr>
                <w:p w14:paraId="253D25C2" w14:textId="58728FEB" w:rsidR="008C2D86" w:rsidRPr="006C697C" w:rsidRDefault="000A1E9A" w:rsidP="008C2D86">
                  <w:pPr>
                    <w:jc w:val="both"/>
                    <w:rPr>
                      <w:sz w:val="22"/>
                      <w:szCs w:val="22"/>
                    </w:rPr>
                  </w:pPr>
                  <w:r w:rsidRPr="006C697C">
                    <w:rPr>
                      <w:sz w:val="22"/>
                      <w:szCs w:val="22"/>
                    </w:rPr>
                    <w:t>Daugavas stadiona centrālā sporta laukuma (futbols un vieglatlētika) rekonstrukcijai (</w:t>
                  </w:r>
                  <w:r w:rsidR="00265F33" w:rsidRPr="006C697C">
                    <w:rPr>
                      <w:sz w:val="22"/>
                      <w:szCs w:val="22"/>
                    </w:rPr>
                    <w:t xml:space="preserve">ieguldījums </w:t>
                  </w:r>
                  <w:r w:rsidRPr="006C697C">
                    <w:rPr>
                      <w:sz w:val="22"/>
                      <w:szCs w:val="22"/>
                    </w:rPr>
                    <w:t>VSIA „Kultūras un sporta centrs „Daugavas stadions””</w:t>
                  </w:r>
                  <w:r w:rsidR="00265F33">
                    <w:rPr>
                      <w:sz w:val="22"/>
                      <w:szCs w:val="22"/>
                    </w:rPr>
                    <w:t xml:space="preserve"> </w:t>
                  </w:r>
                  <w:r w:rsidR="00265F33" w:rsidRPr="006C697C">
                    <w:rPr>
                      <w:sz w:val="22"/>
                      <w:szCs w:val="22"/>
                    </w:rPr>
                    <w:t>pamatkapitālā</w:t>
                  </w:r>
                  <w:r w:rsidRPr="006C697C">
                    <w:rPr>
                      <w:sz w:val="22"/>
                      <w:szCs w:val="22"/>
                    </w:rPr>
                    <w:t>)</w:t>
                  </w:r>
                </w:p>
              </w:tc>
              <w:tc>
                <w:tcPr>
                  <w:tcW w:w="1498" w:type="dxa"/>
                </w:tcPr>
                <w:p w14:paraId="35DE4F88" w14:textId="3EC74A07" w:rsidR="008C2D86" w:rsidRPr="006C697C" w:rsidRDefault="000A1E9A" w:rsidP="008C2D86">
                  <w:pPr>
                    <w:jc w:val="center"/>
                    <w:rPr>
                      <w:bCs/>
                      <w:sz w:val="22"/>
                      <w:szCs w:val="22"/>
                    </w:rPr>
                  </w:pPr>
                  <w:r w:rsidRPr="006C697C">
                    <w:rPr>
                      <w:sz w:val="22"/>
                      <w:szCs w:val="22"/>
                    </w:rPr>
                    <w:t>1 080 688</w:t>
                  </w:r>
                </w:p>
              </w:tc>
            </w:tr>
            <w:tr w:rsidR="000A1E9A" w:rsidRPr="006C697C" w14:paraId="7D4DBE48" w14:textId="77777777" w:rsidTr="006C697C">
              <w:tc>
                <w:tcPr>
                  <w:tcW w:w="637" w:type="dxa"/>
                </w:tcPr>
                <w:p w14:paraId="3E238297" w14:textId="77777777" w:rsidR="008C2D86" w:rsidRPr="006C697C" w:rsidRDefault="008C2D86" w:rsidP="008C2D86">
                  <w:pPr>
                    <w:jc w:val="center"/>
                    <w:rPr>
                      <w:sz w:val="22"/>
                      <w:szCs w:val="22"/>
                    </w:rPr>
                  </w:pPr>
                  <w:r w:rsidRPr="006C697C">
                    <w:rPr>
                      <w:sz w:val="22"/>
                      <w:szCs w:val="22"/>
                    </w:rPr>
                    <w:t>2.</w:t>
                  </w:r>
                </w:p>
              </w:tc>
              <w:tc>
                <w:tcPr>
                  <w:tcW w:w="5681" w:type="dxa"/>
                  <w:vAlign w:val="center"/>
                </w:tcPr>
                <w:p w14:paraId="7355B0DF" w14:textId="762B05EF" w:rsidR="008C2D86" w:rsidRPr="006C697C" w:rsidRDefault="000A1E9A" w:rsidP="008C2D86">
                  <w:pPr>
                    <w:jc w:val="both"/>
                    <w:rPr>
                      <w:sz w:val="22"/>
                      <w:szCs w:val="22"/>
                    </w:rPr>
                  </w:pPr>
                  <w:r w:rsidRPr="006C697C">
                    <w:rPr>
                      <w:sz w:val="22"/>
                      <w:szCs w:val="22"/>
                    </w:rPr>
                    <w:t>Murjāņu sporta ģimnāzijas infrastruktūras pilnveide, lai nodrošinātu iestādes sagatavošanu akreditācijai (Murjāņu sporta ģimnāzija)</w:t>
                  </w:r>
                </w:p>
              </w:tc>
              <w:tc>
                <w:tcPr>
                  <w:tcW w:w="1498" w:type="dxa"/>
                </w:tcPr>
                <w:p w14:paraId="396F48EF" w14:textId="7AB4025B" w:rsidR="008C2D86" w:rsidRPr="006C697C" w:rsidRDefault="003127FA" w:rsidP="008C2D86">
                  <w:pPr>
                    <w:jc w:val="center"/>
                    <w:rPr>
                      <w:bCs/>
                      <w:sz w:val="22"/>
                      <w:szCs w:val="22"/>
                    </w:rPr>
                  </w:pPr>
                  <w:r w:rsidRPr="003127FA">
                    <w:rPr>
                      <w:sz w:val="22"/>
                      <w:szCs w:val="22"/>
                    </w:rPr>
                    <w:t>1 017 822</w:t>
                  </w:r>
                </w:p>
              </w:tc>
            </w:tr>
            <w:tr w:rsidR="003127FA" w:rsidRPr="006C697C" w14:paraId="2887B0E8" w14:textId="77777777" w:rsidTr="006C697C">
              <w:tc>
                <w:tcPr>
                  <w:tcW w:w="637" w:type="dxa"/>
                </w:tcPr>
                <w:p w14:paraId="2A89B89C" w14:textId="5CC07E27" w:rsidR="003127FA" w:rsidRPr="006C697C" w:rsidRDefault="003127FA" w:rsidP="003127FA">
                  <w:pPr>
                    <w:jc w:val="center"/>
                    <w:rPr>
                      <w:sz w:val="22"/>
                      <w:szCs w:val="22"/>
                    </w:rPr>
                  </w:pPr>
                  <w:r>
                    <w:rPr>
                      <w:sz w:val="22"/>
                      <w:szCs w:val="22"/>
                    </w:rPr>
                    <w:t>3.</w:t>
                  </w:r>
                </w:p>
              </w:tc>
              <w:tc>
                <w:tcPr>
                  <w:tcW w:w="5681" w:type="dxa"/>
                  <w:vAlign w:val="center"/>
                </w:tcPr>
                <w:p w14:paraId="007BF43E" w14:textId="2D03C7C6" w:rsidR="003127FA" w:rsidRPr="006C697C" w:rsidRDefault="003127FA" w:rsidP="003127FA">
                  <w:pPr>
                    <w:jc w:val="both"/>
                    <w:rPr>
                      <w:sz w:val="22"/>
                      <w:szCs w:val="22"/>
                    </w:rPr>
                  </w:pPr>
                  <w:r w:rsidRPr="006C697C">
                    <w:rPr>
                      <w:sz w:val="22"/>
                      <w:szCs w:val="22"/>
                    </w:rPr>
                    <w:t>Sporta centra „Mežaparks” energoefektivitātes paaugstināšanai (ieguldījums SIA „Sporta centrs „Mežaparks”” pamatkapitālā)</w:t>
                  </w:r>
                </w:p>
              </w:tc>
              <w:tc>
                <w:tcPr>
                  <w:tcW w:w="1498" w:type="dxa"/>
                </w:tcPr>
                <w:p w14:paraId="2E55B183" w14:textId="0513B19A" w:rsidR="003127FA" w:rsidRPr="006C697C" w:rsidRDefault="003127FA" w:rsidP="003127FA">
                  <w:pPr>
                    <w:jc w:val="center"/>
                    <w:rPr>
                      <w:bCs/>
                      <w:sz w:val="22"/>
                      <w:szCs w:val="22"/>
                    </w:rPr>
                  </w:pPr>
                  <w:r w:rsidRPr="006C697C">
                    <w:rPr>
                      <w:sz w:val="22"/>
                      <w:szCs w:val="22"/>
                    </w:rPr>
                    <w:t xml:space="preserve">300 000 </w:t>
                  </w:r>
                </w:p>
              </w:tc>
            </w:tr>
            <w:tr w:rsidR="003127FA" w:rsidRPr="006C697C" w14:paraId="06916F93" w14:textId="77777777" w:rsidTr="006C697C">
              <w:tc>
                <w:tcPr>
                  <w:tcW w:w="637" w:type="dxa"/>
                </w:tcPr>
                <w:p w14:paraId="789A69BD" w14:textId="77777777" w:rsidR="003127FA" w:rsidRPr="006C697C" w:rsidRDefault="003127FA" w:rsidP="003127FA">
                  <w:pPr>
                    <w:jc w:val="center"/>
                    <w:rPr>
                      <w:sz w:val="22"/>
                      <w:szCs w:val="22"/>
                    </w:rPr>
                  </w:pPr>
                  <w:r w:rsidRPr="006C697C">
                    <w:rPr>
                      <w:sz w:val="22"/>
                      <w:szCs w:val="22"/>
                    </w:rPr>
                    <w:t>4.</w:t>
                  </w:r>
                </w:p>
              </w:tc>
              <w:tc>
                <w:tcPr>
                  <w:tcW w:w="5681" w:type="dxa"/>
                  <w:vAlign w:val="center"/>
                </w:tcPr>
                <w:p w14:paraId="56D77BB8" w14:textId="1C439418" w:rsidR="003127FA" w:rsidRPr="006C697C" w:rsidRDefault="003127FA" w:rsidP="003127FA">
                  <w:pPr>
                    <w:jc w:val="both"/>
                    <w:rPr>
                      <w:sz w:val="22"/>
                      <w:szCs w:val="22"/>
                    </w:rPr>
                  </w:pPr>
                  <w:r w:rsidRPr="006C697C">
                    <w:rPr>
                      <w:sz w:val="22"/>
                      <w:szCs w:val="22"/>
                    </w:rPr>
                    <w:t>Sporta centra „Kleisti” jumta remontam (biedrība „Latvijas Jātnieku federācija”)</w:t>
                  </w:r>
                </w:p>
              </w:tc>
              <w:tc>
                <w:tcPr>
                  <w:tcW w:w="1498" w:type="dxa"/>
                </w:tcPr>
                <w:p w14:paraId="23B23469" w14:textId="6795112B" w:rsidR="003127FA" w:rsidRPr="006C697C" w:rsidRDefault="003127FA" w:rsidP="003127FA">
                  <w:pPr>
                    <w:jc w:val="center"/>
                    <w:rPr>
                      <w:bCs/>
                      <w:sz w:val="22"/>
                      <w:szCs w:val="22"/>
                    </w:rPr>
                  </w:pPr>
                  <w:r w:rsidRPr="006C697C">
                    <w:rPr>
                      <w:sz w:val="22"/>
                      <w:szCs w:val="22"/>
                    </w:rPr>
                    <w:t>120 000</w:t>
                  </w:r>
                </w:p>
              </w:tc>
            </w:tr>
            <w:tr w:rsidR="003127FA" w:rsidRPr="006C697C" w14:paraId="49585937" w14:textId="77777777" w:rsidTr="006C697C">
              <w:tc>
                <w:tcPr>
                  <w:tcW w:w="637" w:type="dxa"/>
                </w:tcPr>
                <w:p w14:paraId="1471FC33" w14:textId="77777777" w:rsidR="003127FA" w:rsidRPr="006C697C" w:rsidRDefault="003127FA" w:rsidP="003127FA">
                  <w:pPr>
                    <w:jc w:val="center"/>
                    <w:rPr>
                      <w:sz w:val="22"/>
                      <w:szCs w:val="22"/>
                    </w:rPr>
                  </w:pPr>
                  <w:r w:rsidRPr="006C697C">
                    <w:rPr>
                      <w:sz w:val="22"/>
                      <w:szCs w:val="22"/>
                    </w:rPr>
                    <w:t xml:space="preserve">5. </w:t>
                  </w:r>
                </w:p>
              </w:tc>
              <w:tc>
                <w:tcPr>
                  <w:tcW w:w="5681" w:type="dxa"/>
                  <w:vAlign w:val="center"/>
                </w:tcPr>
                <w:p w14:paraId="73E4E0EE" w14:textId="199B30C6" w:rsidR="003127FA" w:rsidRPr="006C697C" w:rsidRDefault="003127FA" w:rsidP="003127FA">
                  <w:pPr>
                    <w:jc w:val="both"/>
                    <w:rPr>
                      <w:sz w:val="22"/>
                      <w:szCs w:val="22"/>
                    </w:rPr>
                  </w:pPr>
                  <w:r w:rsidRPr="006C697C">
                    <w:rPr>
                      <w:sz w:val="22"/>
                      <w:szCs w:val="22"/>
                    </w:rPr>
                    <w:t>Latvijas Sporta pedagoģijas akadēmijas vieglatlētikas manēžas rekonstrukcijas projekta izstrādei (Latvijas Sporta pedagoģijas akadēmija)</w:t>
                  </w:r>
                </w:p>
              </w:tc>
              <w:tc>
                <w:tcPr>
                  <w:tcW w:w="1498" w:type="dxa"/>
                </w:tcPr>
                <w:p w14:paraId="2E95F157" w14:textId="2E44005E" w:rsidR="003127FA" w:rsidRPr="006C697C" w:rsidRDefault="003127FA" w:rsidP="003127FA">
                  <w:pPr>
                    <w:jc w:val="center"/>
                    <w:rPr>
                      <w:bCs/>
                      <w:sz w:val="22"/>
                      <w:szCs w:val="22"/>
                    </w:rPr>
                  </w:pPr>
                  <w:r w:rsidRPr="006C697C">
                    <w:rPr>
                      <w:sz w:val="22"/>
                      <w:szCs w:val="22"/>
                    </w:rPr>
                    <w:t>83 490</w:t>
                  </w:r>
                </w:p>
              </w:tc>
            </w:tr>
            <w:tr w:rsidR="003127FA" w:rsidRPr="006C697C" w14:paraId="3EE92E99" w14:textId="77777777" w:rsidTr="006C697C">
              <w:tc>
                <w:tcPr>
                  <w:tcW w:w="6318" w:type="dxa"/>
                  <w:gridSpan w:val="2"/>
                  <w:tcBorders>
                    <w:bottom w:val="single" w:sz="4" w:space="0" w:color="auto"/>
                  </w:tcBorders>
                </w:tcPr>
                <w:p w14:paraId="6A76C18B" w14:textId="77777777" w:rsidR="003127FA" w:rsidRPr="006C697C" w:rsidRDefault="003127FA" w:rsidP="003127FA">
                  <w:pPr>
                    <w:jc w:val="right"/>
                    <w:rPr>
                      <w:b/>
                      <w:sz w:val="22"/>
                      <w:szCs w:val="22"/>
                    </w:rPr>
                  </w:pPr>
                  <w:r w:rsidRPr="006C697C">
                    <w:rPr>
                      <w:b/>
                      <w:sz w:val="22"/>
                      <w:szCs w:val="22"/>
                    </w:rPr>
                    <w:t>KOPĀ:</w:t>
                  </w:r>
                </w:p>
              </w:tc>
              <w:tc>
                <w:tcPr>
                  <w:tcW w:w="1498" w:type="dxa"/>
                  <w:tcBorders>
                    <w:top w:val="nil"/>
                    <w:bottom w:val="single" w:sz="4" w:space="0" w:color="auto"/>
                  </w:tcBorders>
                </w:tcPr>
                <w:p w14:paraId="68EBF37F" w14:textId="77777777" w:rsidR="003127FA" w:rsidRPr="006C697C" w:rsidRDefault="003127FA" w:rsidP="003127FA">
                  <w:pPr>
                    <w:jc w:val="center"/>
                    <w:rPr>
                      <w:b/>
                      <w:bCs/>
                      <w:sz w:val="22"/>
                      <w:szCs w:val="22"/>
                    </w:rPr>
                  </w:pPr>
                  <w:r w:rsidRPr="006C697C">
                    <w:rPr>
                      <w:b/>
                      <w:bCs/>
                      <w:sz w:val="22"/>
                      <w:szCs w:val="22"/>
                    </w:rPr>
                    <w:t>2 602 000</w:t>
                  </w:r>
                </w:p>
              </w:tc>
            </w:tr>
          </w:tbl>
          <w:p w14:paraId="12AD66CC" w14:textId="77777777" w:rsidR="004B2478" w:rsidRPr="004B2478" w:rsidRDefault="004B2478" w:rsidP="008C2D86">
            <w:pPr>
              <w:ind w:right="34"/>
              <w:jc w:val="both"/>
            </w:pPr>
          </w:p>
        </w:tc>
      </w:tr>
      <w:tr w:rsidR="00DA708F" w:rsidRPr="0033617F" w14:paraId="5F30166E" w14:textId="77777777" w:rsidTr="004F21AE">
        <w:trPr>
          <w:jc w:val="center"/>
        </w:trPr>
        <w:tc>
          <w:tcPr>
            <w:tcW w:w="2235" w:type="dxa"/>
          </w:tcPr>
          <w:p w14:paraId="2E27D7B1" w14:textId="77777777" w:rsidR="00DA708F" w:rsidRPr="0033617F" w:rsidRDefault="00DA708F" w:rsidP="001B2A96">
            <w:r w:rsidRPr="0033617F">
              <w:t>6.1. detalizēts ieņēmumu aprēķins</w:t>
            </w:r>
          </w:p>
        </w:tc>
        <w:tc>
          <w:tcPr>
            <w:tcW w:w="8250" w:type="dxa"/>
            <w:gridSpan w:val="7"/>
            <w:vMerge/>
            <w:shd w:val="clear" w:color="auto" w:fill="auto"/>
          </w:tcPr>
          <w:p w14:paraId="498A7179" w14:textId="77777777" w:rsidR="00DA708F" w:rsidRPr="0033617F" w:rsidRDefault="00DA708F" w:rsidP="001B2A96">
            <w:pPr>
              <w:rPr>
                <w:b/>
                <w:i/>
              </w:rPr>
            </w:pPr>
          </w:p>
        </w:tc>
      </w:tr>
      <w:tr w:rsidR="00DA708F" w:rsidRPr="0033617F" w14:paraId="6161CC7C" w14:textId="77777777" w:rsidTr="004F21AE">
        <w:trPr>
          <w:jc w:val="center"/>
        </w:trPr>
        <w:tc>
          <w:tcPr>
            <w:tcW w:w="2235" w:type="dxa"/>
          </w:tcPr>
          <w:p w14:paraId="52D9743E" w14:textId="77777777" w:rsidR="00DA708F" w:rsidRPr="0033617F" w:rsidRDefault="00DA708F" w:rsidP="001B2A96">
            <w:r w:rsidRPr="0033617F">
              <w:t>6.2. detalizēts izdevumu aprēķins</w:t>
            </w:r>
          </w:p>
        </w:tc>
        <w:tc>
          <w:tcPr>
            <w:tcW w:w="8250" w:type="dxa"/>
            <w:gridSpan w:val="7"/>
            <w:vMerge/>
            <w:shd w:val="clear" w:color="auto" w:fill="auto"/>
          </w:tcPr>
          <w:p w14:paraId="7B4D5925" w14:textId="77777777" w:rsidR="00DA708F" w:rsidRPr="0033617F" w:rsidRDefault="00DA708F" w:rsidP="001B2A96">
            <w:pPr>
              <w:rPr>
                <w:b/>
                <w:i/>
              </w:rPr>
            </w:pPr>
          </w:p>
        </w:tc>
      </w:tr>
      <w:tr w:rsidR="00DA708F" w:rsidRPr="0033617F" w14:paraId="7DF31435" w14:textId="77777777" w:rsidTr="004F21AE">
        <w:trPr>
          <w:trHeight w:val="399"/>
          <w:jc w:val="center"/>
        </w:trPr>
        <w:tc>
          <w:tcPr>
            <w:tcW w:w="2235" w:type="dxa"/>
          </w:tcPr>
          <w:p w14:paraId="7FEEAE8C" w14:textId="77777777" w:rsidR="00DA708F" w:rsidRPr="0033617F" w:rsidRDefault="00DA708F" w:rsidP="001B2A96">
            <w:r>
              <w:lastRenderedPageBreak/>
              <w:t>7. Amata vietu skaita izmaiņas</w:t>
            </w:r>
          </w:p>
        </w:tc>
        <w:tc>
          <w:tcPr>
            <w:tcW w:w="8250" w:type="dxa"/>
            <w:gridSpan w:val="7"/>
            <w:shd w:val="clear" w:color="auto" w:fill="auto"/>
          </w:tcPr>
          <w:p w14:paraId="02AB3A95" w14:textId="3BD74C74" w:rsidR="00DA708F" w:rsidRDefault="00C870F2" w:rsidP="001B2A96">
            <w:pPr>
              <w:ind w:right="34"/>
              <w:jc w:val="both"/>
            </w:pPr>
            <w:r>
              <w:t>Rīkojuma projektam</w:t>
            </w:r>
            <w:r w:rsidR="00DA708F">
              <w:t xml:space="preserve"> nav ietekme uz amata vietu skaita izmaiņām.</w:t>
            </w:r>
          </w:p>
        </w:tc>
      </w:tr>
      <w:tr w:rsidR="00DA708F" w:rsidRPr="0033617F" w14:paraId="2CAD9D46" w14:textId="77777777" w:rsidTr="004F21AE">
        <w:trPr>
          <w:trHeight w:val="399"/>
          <w:jc w:val="center"/>
        </w:trPr>
        <w:tc>
          <w:tcPr>
            <w:tcW w:w="2235" w:type="dxa"/>
          </w:tcPr>
          <w:p w14:paraId="715B2A4B" w14:textId="77777777" w:rsidR="00DA708F" w:rsidRPr="0033617F" w:rsidRDefault="00DA708F" w:rsidP="001B2A96">
            <w:r>
              <w:t>8</w:t>
            </w:r>
            <w:r w:rsidRPr="0033617F">
              <w:t>. Cita informācija</w:t>
            </w:r>
          </w:p>
        </w:tc>
        <w:tc>
          <w:tcPr>
            <w:tcW w:w="8250" w:type="dxa"/>
            <w:gridSpan w:val="7"/>
            <w:shd w:val="clear" w:color="auto" w:fill="auto"/>
          </w:tcPr>
          <w:p w14:paraId="74DEE79F" w14:textId="77777777" w:rsidR="00DA708F" w:rsidRDefault="00C870F2" w:rsidP="003127FA">
            <w:pPr>
              <w:ind w:right="34"/>
              <w:jc w:val="both"/>
            </w:pPr>
            <w:r>
              <w:t xml:space="preserve">Pēc Ministru kabineta rīkojuma spēkā stāšanās IZM veiks darbības pamatkapitāla palielināšanai </w:t>
            </w:r>
            <w:r w:rsidR="003127FA">
              <w:t>VSIA „Kultūras un sporta centrs „Daugavas stadions””</w:t>
            </w:r>
            <w:r>
              <w:t xml:space="preserve"> un </w:t>
            </w:r>
            <w:r w:rsidRPr="00C870F2">
              <w:t>SIA „Sporta centrs „Mežaparks””</w:t>
            </w:r>
            <w:r>
              <w:t>.</w:t>
            </w:r>
          </w:p>
          <w:p w14:paraId="2668C1D0" w14:textId="77777777" w:rsidR="00A11DBA" w:rsidRDefault="00A11DBA" w:rsidP="003127FA">
            <w:pPr>
              <w:ind w:right="34"/>
              <w:jc w:val="both"/>
            </w:pPr>
          </w:p>
          <w:p w14:paraId="51726586" w14:textId="27570D32" w:rsidR="00A11DBA" w:rsidRDefault="00A11DBA" w:rsidP="00A11DBA">
            <w:pPr>
              <w:ind w:right="34"/>
              <w:jc w:val="both"/>
            </w:pPr>
            <w:r>
              <w:t>P</w:t>
            </w:r>
            <w:r w:rsidRPr="00A11DBA">
              <w:t xml:space="preserve">iešķirot finansējumu visiem </w:t>
            </w:r>
            <w:r>
              <w:t xml:space="preserve">Ministru kabineta rīkojuma </w:t>
            </w:r>
            <w:r w:rsidRPr="00A11DBA">
              <w:t>projektā iekļautajiem valsts nozīmes sporta infrastruktūras attīstības projektiem, līdzekļ</w:t>
            </w:r>
            <w:r>
              <w:t>us plānots izlietot</w:t>
            </w:r>
            <w:r w:rsidRPr="00A11DBA">
              <w:t xml:space="preserve"> 2020.</w:t>
            </w:r>
            <w:r>
              <w:t xml:space="preserve"> </w:t>
            </w:r>
            <w:r w:rsidRPr="00A11DBA">
              <w:t>gadā</w:t>
            </w:r>
            <w:r>
              <w:t xml:space="preserve"> (kapitālsabiedrību gadījumā – ieguldīt</w:t>
            </w:r>
            <w:r w:rsidR="00BC7D4F">
              <w:t>i</w:t>
            </w:r>
            <w:r>
              <w:t xml:space="preserve"> to pamatkapitālā)</w:t>
            </w:r>
            <w:r w:rsidRPr="00A11DBA">
              <w:t>, tiks sasniegts plānotais mērķis, kā arī netiks radītas saistības papildu valsts budžeta izdevumiem turpmākajiem gadiem</w:t>
            </w:r>
            <w:r>
              <w:t>.</w:t>
            </w:r>
          </w:p>
        </w:tc>
      </w:tr>
    </w:tbl>
    <w:p w14:paraId="1B7746DF" w14:textId="77777777"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2DDEDB1E" w14:textId="77777777" w:rsidTr="00D228F9">
        <w:tc>
          <w:tcPr>
            <w:tcW w:w="10060" w:type="dxa"/>
            <w:tcBorders>
              <w:bottom w:val="single" w:sz="4" w:space="0" w:color="auto"/>
            </w:tcBorders>
            <w:vAlign w:val="center"/>
          </w:tcPr>
          <w:p w14:paraId="49E69494" w14:textId="77777777" w:rsidR="00C3572A" w:rsidRPr="00317B6A" w:rsidRDefault="00C3572A" w:rsidP="001B2A96">
            <w:pPr>
              <w:pStyle w:val="naisnod"/>
              <w:spacing w:before="0" w:after="0"/>
            </w:pPr>
            <w:r w:rsidRPr="00C3572A">
              <w:t>IV. Tiesību akta projekta ietekme uz spēkā esošo tiesību normu sistēmu</w:t>
            </w:r>
          </w:p>
        </w:tc>
      </w:tr>
      <w:tr w:rsidR="00C3572A" w:rsidRPr="00B24229"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77777777" w:rsidR="00C3572A" w:rsidRPr="00B24229" w:rsidRDefault="00C3572A" w:rsidP="001B2A96">
            <w:pPr>
              <w:ind w:right="127"/>
              <w:jc w:val="center"/>
            </w:pPr>
            <w:r w:rsidRPr="00C3572A">
              <w:t>Projekts šo jomu neskar</w:t>
            </w:r>
          </w:p>
        </w:tc>
      </w:tr>
    </w:tbl>
    <w:p w14:paraId="0A0E279B" w14:textId="77777777"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3B314101" w14:textId="77777777" w:rsidTr="001B2A96">
        <w:tc>
          <w:tcPr>
            <w:tcW w:w="10060" w:type="dxa"/>
            <w:vAlign w:val="center"/>
          </w:tcPr>
          <w:p w14:paraId="5C120AB2" w14:textId="77777777"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14:paraId="3384D968" w14:textId="77777777" w:rsidTr="001B2A96">
        <w:trPr>
          <w:trHeight w:val="273"/>
        </w:trPr>
        <w:tc>
          <w:tcPr>
            <w:tcW w:w="10060" w:type="dxa"/>
          </w:tcPr>
          <w:p w14:paraId="6B97A43E" w14:textId="77777777" w:rsidR="00C3572A" w:rsidRPr="00B24229" w:rsidRDefault="00C3572A" w:rsidP="001B2A96">
            <w:pPr>
              <w:ind w:right="127"/>
              <w:jc w:val="center"/>
            </w:pPr>
            <w:r w:rsidRPr="00C3572A">
              <w:t>Projekts šo jomu neskar</w:t>
            </w:r>
          </w:p>
        </w:tc>
      </w:tr>
    </w:tbl>
    <w:p w14:paraId="0A95406E" w14:textId="77777777" w:rsidR="00554CAC"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06EAA6D7" w14:textId="77777777" w:rsidTr="000566D5">
        <w:tc>
          <w:tcPr>
            <w:tcW w:w="10060" w:type="dxa"/>
            <w:gridSpan w:val="3"/>
            <w:vAlign w:val="center"/>
          </w:tcPr>
          <w:p w14:paraId="1AD560AE" w14:textId="77777777" w:rsidR="00C22F23" w:rsidRPr="00317B6A" w:rsidRDefault="00C22F23" w:rsidP="000566D5">
            <w:pPr>
              <w:pStyle w:val="naisnod"/>
              <w:spacing w:before="0" w:after="0"/>
            </w:pPr>
            <w:r w:rsidRPr="00C3572A">
              <w:t>VI. Sabiedrības līdzdalība un komunikācijas aktivitātes</w:t>
            </w:r>
          </w:p>
        </w:tc>
      </w:tr>
      <w:tr w:rsidR="00C22F23" w:rsidRPr="00B24229" w14:paraId="6A3BC2FE" w14:textId="77777777" w:rsidTr="000566D5">
        <w:trPr>
          <w:trHeight w:val="265"/>
        </w:trPr>
        <w:tc>
          <w:tcPr>
            <w:tcW w:w="684" w:type="dxa"/>
          </w:tcPr>
          <w:p w14:paraId="730F3F59" w14:textId="77777777" w:rsidR="00C22F23" w:rsidRPr="00B24229" w:rsidRDefault="00C22F23" w:rsidP="00C22F23">
            <w:pPr>
              <w:pStyle w:val="naiskr"/>
              <w:spacing w:before="0" w:after="0"/>
              <w:jc w:val="center"/>
            </w:pPr>
            <w:r w:rsidRPr="00B24229">
              <w:t>1.</w:t>
            </w:r>
          </w:p>
        </w:tc>
        <w:tc>
          <w:tcPr>
            <w:tcW w:w="2515" w:type="dxa"/>
          </w:tcPr>
          <w:p w14:paraId="2AFE30D8" w14:textId="77777777" w:rsidR="00C22F23" w:rsidRPr="00C22F23" w:rsidRDefault="00C22F23" w:rsidP="00B806E1">
            <w:pPr>
              <w:ind w:left="95"/>
            </w:pPr>
            <w:r w:rsidRPr="00C22F23">
              <w:t>Plānotās sabiedrības līdzdalības un komunikācijas aktivitātes saistībā ar projektu</w:t>
            </w:r>
          </w:p>
        </w:tc>
        <w:tc>
          <w:tcPr>
            <w:tcW w:w="6861" w:type="dxa"/>
          </w:tcPr>
          <w:p w14:paraId="44701B02" w14:textId="77777777" w:rsidR="00C22F23" w:rsidRDefault="00B806E1" w:rsidP="000F0FBE">
            <w:pPr>
              <w:ind w:left="86" w:right="142"/>
              <w:jc w:val="both"/>
            </w:pPr>
            <w:r w:rsidRPr="000F0FBE">
              <w:t xml:space="preserve">Sporta nozares pārstāvji par Rīkojuma projekta virzības uzsākšanu tika informēti </w:t>
            </w:r>
            <w:r w:rsidR="000F0FBE" w:rsidRPr="000F0FBE">
              <w:t>ar IZM 2019. gada 5. jūlija rīkojumu Nr.  1-2e/19/184 izveidotās Sporta nozares attīstības darba grupas 2020. gada 6. marta sēdē, kurā tika sniegta informācija par IZM saņemtajiem  finanšu pieprasījumiem valsts nozīmes sporta infrastruktūras attīstības projektu īstenošanai 2020. gadā.</w:t>
            </w:r>
          </w:p>
          <w:p w14:paraId="29B3DF09" w14:textId="77777777" w:rsidR="000579E3" w:rsidRDefault="000579E3" w:rsidP="000F0FBE">
            <w:pPr>
              <w:ind w:left="86" w:right="142"/>
              <w:jc w:val="both"/>
            </w:pPr>
          </w:p>
          <w:p w14:paraId="74A49D84" w14:textId="46595CF4" w:rsidR="000579E3" w:rsidRPr="000F0FBE" w:rsidRDefault="000579E3" w:rsidP="000579E3">
            <w:pPr>
              <w:ind w:left="86" w:right="142"/>
              <w:jc w:val="both"/>
            </w:pPr>
            <w:r>
              <w:t xml:space="preserve">Tāpat Rīkojuma projekts tika izskatīts un atbalstīts </w:t>
            </w:r>
            <w:r w:rsidRPr="000579E3">
              <w:t>Latvijas Nacionālās sporta padomes 2020. gada 17. jūnija sēdē</w:t>
            </w:r>
            <w:r>
              <w:t xml:space="preserve"> </w:t>
            </w:r>
            <w:r w:rsidRPr="000579E3">
              <w:t xml:space="preserve">(prot Nr.2 </w:t>
            </w:r>
            <w:r>
              <w:t>5</w:t>
            </w:r>
            <w:r w:rsidRPr="000579E3">
              <w:t>.§</w:t>
            </w:r>
            <w:r>
              <w:t xml:space="preserve">). </w:t>
            </w:r>
            <w:r w:rsidRPr="00945C6F">
              <w:rPr>
                <w:color w:val="00B050"/>
              </w:rPr>
              <w:t xml:space="preserve"> </w:t>
            </w:r>
          </w:p>
        </w:tc>
      </w:tr>
      <w:tr w:rsidR="00C22F23" w:rsidRPr="00B24229" w14:paraId="072AC806" w14:textId="77777777" w:rsidTr="000566D5">
        <w:trPr>
          <w:trHeight w:val="265"/>
        </w:trPr>
        <w:tc>
          <w:tcPr>
            <w:tcW w:w="684" w:type="dxa"/>
          </w:tcPr>
          <w:p w14:paraId="11B475CC" w14:textId="77777777" w:rsidR="00C22F23" w:rsidRPr="00B24229" w:rsidRDefault="00C22F23" w:rsidP="00C22F23">
            <w:pPr>
              <w:pStyle w:val="naiskr"/>
              <w:spacing w:before="0" w:after="0"/>
              <w:jc w:val="center"/>
            </w:pPr>
            <w:r>
              <w:t>2.</w:t>
            </w:r>
          </w:p>
        </w:tc>
        <w:tc>
          <w:tcPr>
            <w:tcW w:w="2515" w:type="dxa"/>
          </w:tcPr>
          <w:p w14:paraId="5317DFAF" w14:textId="77777777" w:rsidR="00C22F23" w:rsidRPr="00C22F23" w:rsidRDefault="00C22F23" w:rsidP="00B806E1">
            <w:pPr>
              <w:ind w:left="95"/>
            </w:pPr>
            <w:r w:rsidRPr="00C22F23">
              <w:t>Sabiedrības līdzdalība projekta izstrādē</w:t>
            </w:r>
          </w:p>
        </w:tc>
        <w:tc>
          <w:tcPr>
            <w:tcW w:w="6861" w:type="dxa"/>
          </w:tcPr>
          <w:p w14:paraId="0E85D1A7" w14:textId="0F8203EE" w:rsidR="00C22F23" w:rsidRPr="000F0FBE" w:rsidRDefault="000F0FBE" w:rsidP="000F0FBE">
            <w:pPr>
              <w:ind w:left="86" w:right="142"/>
              <w:jc w:val="both"/>
            </w:pPr>
            <w:r>
              <w:t xml:space="preserve">Ņemot vērā faktu, ka </w:t>
            </w:r>
            <w:r w:rsidRPr="000F0FBE">
              <w:t xml:space="preserve">IZM rosina </w:t>
            </w:r>
            <w:r>
              <w:t xml:space="preserve">visus sadalei pieejamos valsts budžeta līdzekļus </w:t>
            </w:r>
            <w:r w:rsidRPr="000F0FBE">
              <w:t>novirzīt valsts nozīmes sporta infrastruktūras attīstības projektu īstenošanai tikai valsts pā</w:t>
            </w:r>
            <w:r>
              <w:t xml:space="preserve">rvaldībā esošajās sporta bāzēs, </w:t>
            </w:r>
            <w:r w:rsidR="000579E3">
              <w:t xml:space="preserve">kā arī jautājums tika izskatīts </w:t>
            </w:r>
            <w:r w:rsidR="000579E3" w:rsidRPr="000579E3">
              <w:t xml:space="preserve"> </w:t>
            </w:r>
            <w:r w:rsidR="000579E3" w:rsidRPr="000579E3">
              <w:t>Latvijas Nacionālās sporta padomes 2020. gada 17. jūnija sēdē</w:t>
            </w:r>
            <w:r w:rsidR="000579E3">
              <w:t xml:space="preserve"> </w:t>
            </w:r>
            <w:r w:rsidR="000579E3" w:rsidRPr="000579E3">
              <w:t xml:space="preserve">(prot Nr.2 </w:t>
            </w:r>
            <w:r w:rsidR="000579E3">
              <w:t>5</w:t>
            </w:r>
            <w:r w:rsidR="000579E3" w:rsidRPr="000579E3">
              <w:t>.§</w:t>
            </w:r>
            <w:r w:rsidR="000579E3">
              <w:t>)</w:t>
            </w:r>
            <w:r w:rsidR="000579E3">
              <w:t xml:space="preserve">, </w:t>
            </w:r>
            <w:r>
              <w:t>papildus sabiedrības līdzdalība nebija nepieciešama.</w:t>
            </w:r>
          </w:p>
        </w:tc>
      </w:tr>
      <w:tr w:rsidR="00C22F23" w:rsidRPr="00B24229" w14:paraId="5E94C0A3" w14:textId="77777777" w:rsidTr="000566D5">
        <w:trPr>
          <w:trHeight w:val="265"/>
        </w:trPr>
        <w:tc>
          <w:tcPr>
            <w:tcW w:w="684" w:type="dxa"/>
          </w:tcPr>
          <w:p w14:paraId="0F484076" w14:textId="77777777" w:rsidR="00C22F23" w:rsidRPr="00B24229" w:rsidRDefault="00C22F23" w:rsidP="00C22F23">
            <w:pPr>
              <w:pStyle w:val="naiskr"/>
              <w:spacing w:before="0" w:after="0"/>
              <w:jc w:val="center"/>
            </w:pPr>
            <w:r>
              <w:t>3.</w:t>
            </w:r>
          </w:p>
        </w:tc>
        <w:tc>
          <w:tcPr>
            <w:tcW w:w="2515" w:type="dxa"/>
          </w:tcPr>
          <w:p w14:paraId="61DD9DC5" w14:textId="77777777" w:rsidR="00C22F23" w:rsidRPr="00C22F23" w:rsidRDefault="00C22F23" w:rsidP="00B806E1">
            <w:pPr>
              <w:ind w:left="95"/>
            </w:pPr>
            <w:r w:rsidRPr="00C22F23">
              <w:t>Sabiedrības līdzdalības rezultāti</w:t>
            </w:r>
          </w:p>
        </w:tc>
        <w:tc>
          <w:tcPr>
            <w:tcW w:w="6861" w:type="dxa"/>
          </w:tcPr>
          <w:p w14:paraId="0DFA8388" w14:textId="083A7C4D" w:rsidR="00C22F23" w:rsidRPr="000F0FBE" w:rsidRDefault="000F0FBE" w:rsidP="001A599A">
            <w:pPr>
              <w:ind w:left="86" w:right="142"/>
              <w:jc w:val="both"/>
            </w:pPr>
            <w:r>
              <w:t>Nav attiecināms</w:t>
            </w:r>
          </w:p>
        </w:tc>
      </w:tr>
      <w:tr w:rsidR="00C22F23" w:rsidRPr="00B24229" w14:paraId="7225996A" w14:textId="77777777" w:rsidTr="000566D5">
        <w:trPr>
          <w:trHeight w:val="265"/>
        </w:trPr>
        <w:tc>
          <w:tcPr>
            <w:tcW w:w="684" w:type="dxa"/>
          </w:tcPr>
          <w:p w14:paraId="0BAF0AF4" w14:textId="77777777" w:rsidR="00C22F23" w:rsidRPr="00B24229" w:rsidRDefault="00C22F23" w:rsidP="00C22F23">
            <w:pPr>
              <w:pStyle w:val="naiskr"/>
              <w:spacing w:before="0" w:after="0"/>
              <w:jc w:val="center"/>
            </w:pPr>
            <w:r>
              <w:t>4.</w:t>
            </w:r>
          </w:p>
        </w:tc>
        <w:tc>
          <w:tcPr>
            <w:tcW w:w="2515" w:type="dxa"/>
          </w:tcPr>
          <w:p w14:paraId="5543EF08" w14:textId="77777777" w:rsidR="00C22F23" w:rsidRPr="00C22F23" w:rsidRDefault="00C22F23" w:rsidP="00B806E1">
            <w:pPr>
              <w:ind w:left="95"/>
            </w:pPr>
            <w:r w:rsidRPr="00C22F23">
              <w:t>Cita informācija</w:t>
            </w:r>
          </w:p>
        </w:tc>
        <w:tc>
          <w:tcPr>
            <w:tcW w:w="6861" w:type="dxa"/>
          </w:tcPr>
          <w:p w14:paraId="2A35EF2F" w14:textId="77777777" w:rsidR="00C22F23" w:rsidRDefault="00E4473B" w:rsidP="00F54E81">
            <w:pPr>
              <w:ind w:left="86" w:right="142"/>
              <w:jc w:val="both"/>
            </w:pPr>
            <w:r>
              <w:t>Nav</w:t>
            </w:r>
          </w:p>
        </w:tc>
      </w:tr>
    </w:tbl>
    <w:p w14:paraId="1B666679" w14:textId="77777777" w:rsidR="006C697C" w:rsidRDefault="006C697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58260084" w14:textId="77777777" w:rsidTr="000566D5">
        <w:tc>
          <w:tcPr>
            <w:tcW w:w="10060" w:type="dxa"/>
            <w:gridSpan w:val="3"/>
            <w:vAlign w:val="center"/>
          </w:tcPr>
          <w:p w14:paraId="45DD5C2D" w14:textId="77777777" w:rsidR="00C22F23" w:rsidRPr="00317B6A" w:rsidRDefault="00C22F23" w:rsidP="000566D5">
            <w:pPr>
              <w:pStyle w:val="naisnod"/>
              <w:spacing w:before="0" w:after="0"/>
            </w:pPr>
            <w:r w:rsidRPr="00C3572A">
              <w:t>VII. Tiesību akta projekta izpildes nodrošināšana un tās ietekme uz institūcijām</w:t>
            </w:r>
          </w:p>
        </w:tc>
      </w:tr>
      <w:tr w:rsidR="00C22F23" w:rsidRPr="00B24229" w14:paraId="3C43D0CE" w14:textId="77777777" w:rsidTr="00C22F23">
        <w:trPr>
          <w:trHeight w:val="265"/>
        </w:trPr>
        <w:tc>
          <w:tcPr>
            <w:tcW w:w="684" w:type="dxa"/>
          </w:tcPr>
          <w:p w14:paraId="44EE9D72" w14:textId="77777777" w:rsidR="00C22F23" w:rsidRPr="00B24229" w:rsidRDefault="00C22F23" w:rsidP="00C22F23">
            <w:pPr>
              <w:pStyle w:val="naiskr"/>
              <w:spacing w:before="0" w:after="0"/>
              <w:jc w:val="center"/>
            </w:pPr>
            <w:r w:rsidRPr="00B24229">
              <w:t>1.</w:t>
            </w:r>
          </w:p>
        </w:tc>
        <w:tc>
          <w:tcPr>
            <w:tcW w:w="2515" w:type="dxa"/>
          </w:tcPr>
          <w:p w14:paraId="111B01EC" w14:textId="77777777" w:rsidR="00C22F23" w:rsidRPr="00C22F23" w:rsidRDefault="00C22F23" w:rsidP="00B806E1">
            <w:pPr>
              <w:ind w:left="109"/>
            </w:pPr>
            <w:r w:rsidRPr="00C22F23">
              <w:t>Projekta izpildē iesaistītās institūcijas</w:t>
            </w:r>
          </w:p>
        </w:tc>
        <w:tc>
          <w:tcPr>
            <w:tcW w:w="6861" w:type="dxa"/>
          </w:tcPr>
          <w:p w14:paraId="5425769A" w14:textId="36151A01" w:rsidR="00C22F23" w:rsidRPr="00B24229" w:rsidRDefault="00E82C1D" w:rsidP="003127FA">
            <w:pPr>
              <w:ind w:left="128" w:right="142"/>
              <w:jc w:val="both"/>
            </w:pPr>
            <w:r>
              <w:t xml:space="preserve">Rīkojuma projekta izpildi nodrošinās </w:t>
            </w:r>
            <w:r w:rsidR="00E4473B">
              <w:t xml:space="preserve">IZM. Par finansējuma piešķiršanu tiks slēgts līgums ar Rīkojuma projektā norādītajiem finansējuma saņēmējiem. </w:t>
            </w:r>
            <w:r w:rsidR="000F0FBE">
              <w:t xml:space="preserve">Tāpat IZM veiks darbības pamatkapitāla palielināšanai </w:t>
            </w:r>
            <w:r w:rsidR="003127FA">
              <w:t xml:space="preserve">VSIA „Kultūras un sporta centrs „Daugavas stadions”” un </w:t>
            </w:r>
            <w:r w:rsidR="003127FA" w:rsidRPr="00C870F2">
              <w:t>SIA „Sporta centrs „Mežaparks””</w:t>
            </w:r>
            <w:r w:rsidR="000F0FBE">
              <w:t>.</w:t>
            </w:r>
          </w:p>
        </w:tc>
      </w:tr>
      <w:tr w:rsidR="00C22F23" w:rsidRPr="00B24229" w14:paraId="0C63EA86" w14:textId="77777777" w:rsidTr="00C22F23">
        <w:trPr>
          <w:trHeight w:val="265"/>
        </w:trPr>
        <w:tc>
          <w:tcPr>
            <w:tcW w:w="684" w:type="dxa"/>
          </w:tcPr>
          <w:p w14:paraId="10AE4708" w14:textId="77777777" w:rsidR="00C22F23" w:rsidRPr="00B24229" w:rsidRDefault="00C22F23" w:rsidP="00C22F23">
            <w:pPr>
              <w:pStyle w:val="naiskr"/>
              <w:spacing w:before="0" w:after="0"/>
              <w:jc w:val="center"/>
            </w:pPr>
            <w:r>
              <w:t>2.</w:t>
            </w:r>
          </w:p>
        </w:tc>
        <w:tc>
          <w:tcPr>
            <w:tcW w:w="2515" w:type="dxa"/>
          </w:tcPr>
          <w:p w14:paraId="08E7A95E" w14:textId="77777777" w:rsidR="00C22F23" w:rsidRPr="00C22F23" w:rsidRDefault="00C22F23" w:rsidP="00B806E1">
            <w:pPr>
              <w:ind w:left="109"/>
            </w:pPr>
            <w:r w:rsidRPr="00C22F23">
              <w:t>Projekta izpildes ietekme uz pārvaldes funkcijām un institucionālo struktūru.</w:t>
            </w:r>
            <w:r w:rsidRPr="00C22F23">
              <w:br/>
              <w:t xml:space="preserve">Jaunu institūciju izveide, esošu institūciju likvidācija vai </w:t>
            </w:r>
            <w:r w:rsidRPr="00C22F23">
              <w:lastRenderedPageBreak/>
              <w:t>reorganizācija, to ietekme uz institūcijas cilvēkresursiem</w:t>
            </w:r>
          </w:p>
        </w:tc>
        <w:tc>
          <w:tcPr>
            <w:tcW w:w="6861" w:type="dxa"/>
          </w:tcPr>
          <w:p w14:paraId="3A593C1D" w14:textId="16FF923C" w:rsidR="00C22F23" w:rsidRDefault="00D47F6F" w:rsidP="00D47F6F">
            <w:pPr>
              <w:ind w:left="128" w:right="142"/>
              <w:jc w:val="both"/>
            </w:pPr>
            <w:r>
              <w:lastRenderedPageBreak/>
              <w:t xml:space="preserve">Rīkojuma projekts </w:t>
            </w:r>
            <w:r w:rsidR="00E4473B" w:rsidRPr="00E4473B">
              <w:t>šo jomu neskar</w:t>
            </w:r>
          </w:p>
        </w:tc>
      </w:tr>
      <w:tr w:rsidR="00C22F23" w:rsidRPr="00B24229" w14:paraId="18D0AA4B" w14:textId="77777777" w:rsidTr="00C22F23">
        <w:trPr>
          <w:trHeight w:val="265"/>
        </w:trPr>
        <w:tc>
          <w:tcPr>
            <w:tcW w:w="684" w:type="dxa"/>
          </w:tcPr>
          <w:p w14:paraId="7028BCD1" w14:textId="77777777" w:rsidR="00C22F23" w:rsidRPr="00B24229" w:rsidRDefault="00C22F23" w:rsidP="00C22F23">
            <w:pPr>
              <w:pStyle w:val="naiskr"/>
              <w:spacing w:before="0" w:after="0"/>
              <w:jc w:val="center"/>
            </w:pPr>
            <w:r>
              <w:lastRenderedPageBreak/>
              <w:t>3.</w:t>
            </w:r>
          </w:p>
        </w:tc>
        <w:tc>
          <w:tcPr>
            <w:tcW w:w="2515" w:type="dxa"/>
          </w:tcPr>
          <w:p w14:paraId="65E08939" w14:textId="77777777" w:rsidR="00C22F23" w:rsidRPr="00C22F23" w:rsidRDefault="00C22F23" w:rsidP="00B806E1">
            <w:pPr>
              <w:ind w:left="109"/>
            </w:pPr>
            <w:r w:rsidRPr="00C22F23">
              <w:t>Cita informācija</w:t>
            </w:r>
          </w:p>
        </w:tc>
        <w:tc>
          <w:tcPr>
            <w:tcW w:w="6861" w:type="dxa"/>
          </w:tcPr>
          <w:p w14:paraId="71FD2DBD" w14:textId="77777777" w:rsidR="00C22F23" w:rsidRDefault="00E4473B" w:rsidP="00B806E1">
            <w:pPr>
              <w:ind w:left="128" w:right="142"/>
              <w:jc w:val="both"/>
            </w:pPr>
            <w:r>
              <w:t>Nav</w:t>
            </w:r>
          </w:p>
        </w:tc>
      </w:tr>
    </w:tbl>
    <w:p w14:paraId="5FAFB66E" w14:textId="77777777" w:rsidR="00C22F23" w:rsidRDefault="00C22F23" w:rsidP="00C7220E">
      <w:pPr>
        <w:pStyle w:val="BodyText2"/>
        <w:spacing w:after="0" w:line="240" w:lineRule="auto"/>
        <w:ind w:firstLine="720"/>
        <w:jc w:val="both"/>
      </w:pPr>
    </w:p>
    <w:p w14:paraId="72F67E70" w14:textId="77777777" w:rsidR="00E4473B" w:rsidRPr="005705F9" w:rsidRDefault="00E4473B"/>
    <w:p w14:paraId="755D7EC7" w14:textId="5FD88931" w:rsidR="00617D7A" w:rsidRPr="005705F9" w:rsidRDefault="00481F9B" w:rsidP="00C7220E">
      <w:pPr>
        <w:pStyle w:val="BodyText2"/>
        <w:spacing w:after="0" w:line="240" w:lineRule="auto"/>
        <w:ind w:firstLine="720"/>
        <w:jc w:val="both"/>
      </w:pPr>
      <w:r w:rsidRPr="005705F9">
        <w:t>I</w:t>
      </w:r>
      <w:r w:rsidR="008F245F" w:rsidRPr="005705F9">
        <w:t xml:space="preserve">zglītības un zinātnes </w:t>
      </w:r>
      <w:r w:rsidR="009A6BFC">
        <w:t>ministre</w:t>
      </w:r>
      <w:r w:rsidRPr="005705F9">
        <w:tab/>
      </w:r>
      <w:r w:rsidRPr="005705F9">
        <w:tab/>
      </w:r>
      <w:r w:rsidRPr="005705F9">
        <w:tab/>
      </w:r>
      <w:r w:rsidRPr="005705F9">
        <w:tab/>
      </w:r>
      <w:r w:rsidR="008C2D86">
        <w:t>Ilga Šuplinska</w:t>
      </w:r>
    </w:p>
    <w:p w14:paraId="1ED58E4F" w14:textId="77777777" w:rsidR="00585B7B" w:rsidRPr="005705F9" w:rsidRDefault="00585B7B" w:rsidP="00D96FCD"/>
    <w:p w14:paraId="01C1237A" w14:textId="77777777" w:rsidR="00FC0AAD" w:rsidRDefault="00FC0AAD" w:rsidP="00E244D0">
      <w:pPr>
        <w:ind w:left="720"/>
        <w:rPr>
          <w:sz w:val="22"/>
          <w:szCs w:val="22"/>
        </w:rPr>
      </w:pPr>
    </w:p>
    <w:p w14:paraId="37747071" w14:textId="77777777" w:rsidR="003168C2" w:rsidRDefault="003168C2" w:rsidP="00E244D0">
      <w:pPr>
        <w:ind w:left="720"/>
        <w:rPr>
          <w:sz w:val="22"/>
          <w:szCs w:val="22"/>
        </w:rPr>
      </w:pPr>
    </w:p>
    <w:p w14:paraId="090A7B5E" w14:textId="77777777" w:rsidR="003168C2" w:rsidRDefault="003168C2" w:rsidP="00E244D0">
      <w:pPr>
        <w:ind w:left="720"/>
        <w:rPr>
          <w:sz w:val="22"/>
          <w:szCs w:val="22"/>
        </w:rPr>
      </w:pPr>
    </w:p>
    <w:p w14:paraId="722B703B" w14:textId="77777777" w:rsidR="003168C2" w:rsidRDefault="003168C2" w:rsidP="00E244D0">
      <w:pPr>
        <w:ind w:left="720"/>
        <w:rPr>
          <w:sz w:val="22"/>
          <w:szCs w:val="22"/>
        </w:rPr>
      </w:pPr>
    </w:p>
    <w:p w14:paraId="077D7249" w14:textId="77777777" w:rsidR="003168C2" w:rsidRDefault="003168C2" w:rsidP="00E244D0">
      <w:pPr>
        <w:ind w:left="720"/>
        <w:rPr>
          <w:sz w:val="22"/>
          <w:szCs w:val="22"/>
        </w:rPr>
      </w:pPr>
    </w:p>
    <w:p w14:paraId="72960EE4" w14:textId="77777777" w:rsidR="003168C2" w:rsidRDefault="003168C2" w:rsidP="00E244D0">
      <w:pPr>
        <w:ind w:left="720"/>
        <w:rPr>
          <w:sz w:val="22"/>
          <w:szCs w:val="22"/>
        </w:rPr>
      </w:pPr>
    </w:p>
    <w:p w14:paraId="01C63FC3" w14:textId="77777777" w:rsidR="003168C2" w:rsidRDefault="003168C2" w:rsidP="00E244D0">
      <w:pPr>
        <w:ind w:left="720"/>
        <w:rPr>
          <w:sz w:val="22"/>
          <w:szCs w:val="22"/>
        </w:rPr>
      </w:pPr>
    </w:p>
    <w:p w14:paraId="633A026E" w14:textId="77777777" w:rsidR="006C697C" w:rsidRDefault="006C697C" w:rsidP="00E244D0">
      <w:pPr>
        <w:ind w:left="720"/>
        <w:rPr>
          <w:sz w:val="22"/>
          <w:szCs w:val="22"/>
        </w:rPr>
      </w:pPr>
    </w:p>
    <w:p w14:paraId="437C10D9" w14:textId="77777777" w:rsidR="006C697C" w:rsidRDefault="006C697C" w:rsidP="00E244D0">
      <w:pPr>
        <w:ind w:left="720"/>
        <w:rPr>
          <w:sz w:val="22"/>
          <w:szCs w:val="22"/>
        </w:rPr>
      </w:pPr>
    </w:p>
    <w:p w14:paraId="099F3B56" w14:textId="77777777" w:rsidR="006C697C" w:rsidRDefault="006C697C" w:rsidP="00E244D0">
      <w:pPr>
        <w:ind w:left="720"/>
        <w:rPr>
          <w:sz w:val="22"/>
          <w:szCs w:val="22"/>
        </w:rPr>
      </w:pPr>
    </w:p>
    <w:p w14:paraId="3CB4184D" w14:textId="77777777" w:rsidR="006C697C" w:rsidRDefault="006C697C" w:rsidP="00E244D0">
      <w:pPr>
        <w:ind w:left="720"/>
        <w:rPr>
          <w:sz w:val="22"/>
          <w:szCs w:val="22"/>
        </w:rPr>
      </w:pPr>
    </w:p>
    <w:p w14:paraId="2D88C3EE" w14:textId="77777777" w:rsidR="003168C2" w:rsidRDefault="003168C2" w:rsidP="00E244D0">
      <w:pPr>
        <w:ind w:left="720"/>
        <w:rPr>
          <w:sz w:val="22"/>
          <w:szCs w:val="22"/>
        </w:rPr>
      </w:pPr>
    </w:p>
    <w:p w14:paraId="5FEE5818" w14:textId="77777777" w:rsidR="003168C2" w:rsidRDefault="003168C2" w:rsidP="00E244D0">
      <w:pPr>
        <w:ind w:left="720"/>
        <w:rPr>
          <w:sz w:val="22"/>
          <w:szCs w:val="22"/>
        </w:rPr>
      </w:pPr>
    </w:p>
    <w:p w14:paraId="0273DE89" w14:textId="77777777" w:rsidR="004F21AE" w:rsidRDefault="004F21AE" w:rsidP="00E244D0">
      <w:pPr>
        <w:ind w:left="720"/>
        <w:rPr>
          <w:sz w:val="22"/>
          <w:szCs w:val="22"/>
        </w:rPr>
      </w:pPr>
    </w:p>
    <w:p w14:paraId="322CD675" w14:textId="77777777" w:rsidR="004F21AE" w:rsidRDefault="004F21AE" w:rsidP="00E244D0">
      <w:pPr>
        <w:ind w:left="720"/>
        <w:rPr>
          <w:sz w:val="22"/>
          <w:szCs w:val="22"/>
        </w:rPr>
      </w:pPr>
    </w:p>
    <w:p w14:paraId="7D2C122E" w14:textId="77777777" w:rsidR="004F21AE" w:rsidRDefault="004F21AE" w:rsidP="00E244D0">
      <w:pPr>
        <w:ind w:left="720"/>
        <w:rPr>
          <w:sz w:val="22"/>
          <w:szCs w:val="22"/>
        </w:rPr>
      </w:pPr>
    </w:p>
    <w:p w14:paraId="72D13BC1" w14:textId="77777777" w:rsidR="003168C2" w:rsidRDefault="003168C2" w:rsidP="00E244D0">
      <w:pPr>
        <w:ind w:left="720"/>
        <w:rPr>
          <w:sz w:val="22"/>
          <w:szCs w:val="22"/>
        </w:rPr>
      </w:pPr>
    </w:p>
    <w:p w14:paraId="24A98FAB" w14:textId="77777777" w:rsidR="009A6BFC" w:rsidRPr="000579E3" w:rsidRDefault="009A6BFC" w:rsidP="009A6BFC">
      <w:pPr>
        <w:tabs>
          <w:tab w:val="left" w:pos="2450"/>
        </w:tabs>
        <w:ind w:left="720"/>
        <w:rPr>
          <w:sz w:val="20"/>
          <w:szCs w:val="20"/>
        </w:rPr>
      </w:pPr>
      <w:r w:rsidRPr="000579E3">
        <w:rPr>
          <w:sz w:val="20"/>
          <w:szCs w:val="20"/>
        </w:rPr>
        <w:t>Severs 67047935</w:t>
      </w:r>
    </w:p>
    <w:p w14:paraId="17F96BFD" w14:textId="77777777" w:rsidR="009A6BFC" w:rsidRPr="000579E3" w:rsidRDefault="009A6BFC" w:rsidP="009A6BFC">
      <w:pPr>
        <w:tabs>
          <w:tab w:val="left" w:pos="2450"/>
        </w:tabs>
        <w:ind w:left="720"/>
        <w:rPr>
          <w:sz w:val="20"/>
          <w:szCs w:val="20"/>
        </w:rPr>
      </w:pPr>
      <w:r w:rsidRPr="000579E3">
        <w:rPr>
          <w:sz w:val="20"/>
          <w:szCs w:val="20"/>
        </w:rPr>
        <w:t>edgars.severs@izm.gov.lv</w:t>
      </w:r>
    </w:p>
    <w:p w14:paraId="56B08CB8" w14:textId="77777777" w:rsidR="009A6BFC" w:rsidRPr="000579E3" w:rsidRDefault="009A6BFC" w:rsidP="009A6BFC">
      <w:pPr>
        <w:tabs>
          <w:tab w:val="left" w:pos="2450"/>
        </w:tabs>
        <w:ind w:left="720"/>
        <w:rPr>
          <w:sz w:val="20"/>
          <w:szCs w:val="20"/>
        </w:rPr>
      </w:pPr>
      <w:r w:rsidRPr="000579E3">
        <w:rPr>
          <w:sz w:val="20"/>
          <w:szCs w:val="20"/>
        </w:rPr>
        <w:t>Mičule 67047928</w:t>
      </w:r>
    </w:p>
    <w:p w14:paraId="4E135771" w14:textId="77777777" w:rsidR="009A6BFC" w:rsidRPr="000579E3" w:rsidRDefault="009A6BFC" w:rsidP="009A6BFC">
      <w:pPr>
        <w:ind w:left="720"/>
        <w:rPr>
          <w:sz w:val="20"/>
          <w:szCs w:val="20"/>
        </w:rPr>
      </w:pPr>
      <w:r w:rsidRPr="000579E3">
        <w:rPr>
          <w:sz w:val="20"/>
          <w:szCs w:val="20"/>
        </w:rPr>
        <w:t>anda.micule@izm.gov.lv</w:t>
      </w:r>
    </w:p>
    <w:p w14:paraId="570E79C5" w14:textId="77777777" w:rsidR="009A6BFC" w:rsidRPr="000579E3" w:rsidRDefault="009A6BFC" w:rsidP="009A6BFC">
      <w:pPr>
        <w:ind w:left="720"/>
        <w:rPr>
          <w:sz w:val="20"/>
          <w:szCs w:val="20"/>
        </w:rPr>
      </w:pPr>
      <w:r w:rsidRPr="000579E3">
        <w:rPr>
          <w:sz w:val="20"/>
          <w:szCs w:val="20"/>
        </w:rPr>
        <w:t>Roze 67047933</w:t>
      </w:r>
    </w:p>
    <w:p w14:paraId="61624DBC" w14:textId="77777777" w:rsidR="009A6BFC" w:rsidRPr="000579E3" w:rsidRDefault="009A6BFC" w:rsidP="009A6BFC">
      <w:pPr>
        <w:ind w:left="720"/>
        <w:rPr>
          <w:sz w:val="20"/>
          <w:szCs w:val="20"/>
        </w:rPr>
      </w:pPr>
      <w:r w:rsidRPr="000579E3">
        <w:rPr>
          <w:sz w:val="20"/>
          <w:szCs w:val="20"/>
        </w:rPr>
        <w:t>santa.roze@izm.gov.lv</w:t>
      </w:r>
    </w:p>
    <w:sectPr w:rsidR="009A6BFC" w:rsidRPr="000579E3" w:rsidSect="00C21D70">
      <w:headerReference w:type="default" r:id="rId8"/>
      <w:footerReference w:type="default" r:id="rId9"/>
      <w:footerReference w:type="first" r:id="rId10"/>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F01F6" w14:textId="77777777" w:rsidR="008B391E" w:rsidRDefault="008B391E" w:rsidP="00123E9B">
      <w:r>
        <w:separator/>
      </w:r>
    </w:p>
  </w:endnote>
  <w:endnote w:type="continuationSeparator" w:id="0">
    <w:p w14:paraId="039A56C4" w14:textId="77777777" w:rsidR="008B391E" w:rsidRDefault="008B391E"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29F66AD5" w:rsidR="003A72D9" w:rsidRPr="00692F8F" w:rsidRDefault="003A72D9" w:rsidP="00692F8F">
    <w:pPr>
      <w:ind w:left="-567" w:right="-568"/>
      <w:jc w:val="both"/>
      <w:rPr>
        <w:sz w:val="22"/>
        <w:szCs w:val="22"/>
      </w:rPr>
    </w:pPr>
    <w:r>
      <w:rPr>
        <w:sz w:val="22"/>
        <w:szCs w:val="22"/>
      </w:rPr>
      <w:t>IZMAnot_</w:t>
    </w:r>
    <w:r w:rsidR="00F15CBA">
      <w:rPr>
        <w:sz w:val="22"/>
        <w:szCs w:val="22"/>
      </w:rPr>
      <w:t>0806</w:t>
    </w:r>
    <w:r w:rsidR="003168C2">
      <w:rPr>
        <w:sz w:val="22"/>
        <w:szCs w:val="22"/>
      </w:rPr>
      <w:t>20</w:t>
    </w:r>
    <w:r>
      <w:rPr>
        <w:sz w:val="22"/>
        <w:szCs w:val="22"/>
      </w:rPr>
      <w:t>_sports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2ACB04D2" w:rsidR="003A72D9" w:rsidRPr="00692F8F" w:rsidRDefault="003A72D9" w:rsidP="00692F8F">
    <w:pPr>
      <w:ind w:left="-567" w:right="-568"/>
      <w:jc w:val="both"/>
      <w:rPr>
        <w:sz w:val="22"/>
        <w:szCs w:val="22"/>
      </w:rPr>
    </w:pPr>
    <w:r>
      <w:rPr>
        <w:sz w:val="22"/>
        <w:szCs w:val="22"/>
      </w:rPr>
      <w:t>IZMAnot_</w:t>
    </w:r>
    <w:r w:rsidR="00F15CBA">
      <w:rPr>
        <w:sz w:val="22"/>
        <w:szCs w:val="22"/>
      </w:rPr>
      <w:t>0806</w:t>
    </w:r>
    <w:r>
      <w:rPr>
        <w:sz w:val="22"/>
        <w:szCs w:val="22"/>
      </w:rPr>
      <w:t>20_sports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A84FB" w14:textId="77777777" w:rsidR="008B391E" w:rsidRDefault="008B391E" w:rsidP="00123E9B">
      <w:r>
        <w:separator/>
      </w:r>
    </w:p>
  </w:footnote>
  <w:footnote w:type="continuationSeparator" w:id="0">
    <w:p w14:paraId="5D1058B8" w14:textId="77777777" w:rsidR="008B391E" w:rsidRDefault="008B391E" w:rsidP="00123E9B">
      <w:r>
        <w:continuationSeparator/>
      </w:r>
    </w:p>
  </w:footnote>
  <w:footnote w:id="1">
    <w:p w14:paraId="79EECD45" w14:textId="0A83908E" w:rsidR="004C67F9" w:rsidRDefault="004C67F9" w:rsidP="008860FC">
      <w:pPr>
        <w:pStyle w:val="FootnoteText"/>
        <w:ind w:left="-426" w:right="-427"/>
        <w:jc w:val="both"/>
      </w:pPr>
      <w:r>
        <w:rPr>
          <w:rStyle w:val="FootnoteReference"/>
        </w:rPr>
        <w:footnoteRef/>
      </w:r>
      <w:r>
        <w:t xml:space="preserve"> Sākotnēji Prioritāra</w:t>
      </w:r>
      <w:r w:rsidR="0009012B">
        <w:t>ja</w:t>
      </w:r>
      <w:r>
        <w:t xml:space="preserve">m pasākumam 2020. gadā bija paredzēti 3 600 000 </w:t>
      </w:r>
      <w:r w:rsidRPr="004C67F9">
        <w:rPr>
          <w:i/>
        </w:rPr>
        <w:t>euro</w:t>
      </w:r>
      <w:r>
        <w:t xml:space="preserve">, tomēr pēc daļējas līdzekļu (998 000 </w:t>
      </w:r>
      <w:r w:rsidRPr="004C67F9">
        <w:rPr>
          <w:i/>
        </w:rPr>
        <w:t>euro</w:t>
      </w:r>
      <w:r>
        <w:t xml:space="preserve"> apmērā) pārdales </w:t>
      </w:r>
      <w:r w:rsidR="0009012B">
        <w:t xml:space="preserve">Saeimā </w:t>
      </w:r>
      <w:r w:rsidR="0009012B" w:rsidRPr="0009012B">
        <w:t>Olimpiskā centra „Rēzekne” būv</w:t>
      </w:r>
      <w:r w:rsidR="0009012B">
        <w:t xml:space="preserve">niecībai, faktiskais Prioritārajam pasākumam sadalei pieejamais finansējums ir 2 602 000 </w:t>
      </w:r>
      <w:r w:rsidR="0009012B" w:rsidRPr="0009012B">
        <w:rPr>
          <w:i/>
        </w:rPr>
        <w:t>euro</w:t>
      </w:r>
      <w:r w:rsidR="0009012B">
        <w:t>.</w:t>
      </w:r>
    </w:p>
  </w:footnote>
  <w:footnote w:id="2">
    <w:p w14:paraId="4EEFB853" w14:textId="6E13325F" w:rsidR="004F21AE" w:rsidRDefault="004F21AE" w:rsidP="004F21AE">
      <w:pPr>
        <w:pStyle w:val="FootnoteText"/>
        <w:jc w:val="both"/>
      </w:pPr>
      <w:r>
        <w:rPr>
          <w:rStyle w:val="FootnoteReference"/>
        </w:rPr>
        <w:footnoteRef/>
      </w:r>
      <w:r>
        <w:t xml:space="preserve"> </w:t>
      </w:r>
      <w:r w:rsidRPr="004F21AE">
        <w:t xml:space="preserve">Bobsleja un kamaniņu trases „Sigulda” rekonstrukcijas </w:t>
      </w:r>
      <w:r>
        <w:t xml:space="preserve">projekta uzsākšana skatāma kontekstā ar </w:t>
      </w:r>
      <w:r w:rsidRPr="004F21AE">
        <w:t>Latv</w:t>
      </w:r>
      <w:r>
        <w:t>ijas Nacionālās attīstības plānā</w:t>
      </w:r>
      <w:r w:rsidRPr="004F21AE">
        <w:t xml:space="preserve"> 2021.–2027.gadam paredz</w:t>
      </w:r>
      <w:r>
        <w:t>ēto</w:t>
      </w:r>
      <w:r w:rsidRPr="004F21AE">
        <w:t xml:space="preserve"> atbalstu  Bobsleja un kamaniņu trases „Sigulda” attīstībai 30 000 000 </w:t>
      </w:r>
      <w:r w:rsidRPr="004F21AE">
        <w:rPr>
          <w:i/>
        </w:rPr>
        <w:t>euro</w:t>
      </w:r>
      <w:r w:rsidRPr="004F21AE">
        <w:t xml:space="preserve"> apmērā.</w:t>
      </w:r>
      <w:r>
        <w:t xml:space="preserve"> </w:t>
      </w:r>
      <w:r w:rsidRPr="004F21AE">
        <w:t xml:space="preserve">Nākamais veicamais posms </w:t>
      </w:r>
      <w:r>
        <w:t xml:space="preserve">trases attīstībā </w:t>
      </w:r>
      <w:r w:rsidRPr="004F21AE">
        <w:t>ir projekta izstrāde trases viduslīnijas modifikācijai bobsleja četriniekiem, jo no tās ir atkarīgi arī citi veicamie darbi, tai skaitā pārbūvējamo virāžu un bremzēšanas ceļa pamatu balstu un auk</w:t>
      </w:r>
      <w:r>
        <w:t>stuma apgādes projekta izstrāde, tomēr ierobežoto līdzekļu dēļ 2020. gadā šim mērķim līdzekļus nav iespējams piešķirt (jautājums tiks vērtēts 2021. gada valsts budžeta projekta sagatavošanas procesā).</w:t>
      </w:r>
    </w:p>
  </w:footnote>
  <w:footnote w:id="3">
    <w:p w14:paraId="7BED13DB" w14:textId="1C19BD2C" w:rsidR="005C628A" w:rsidRDefault="005C628A" w:rsidP="008860FC">
      <w:pPr>
        <w:pStyle w:val="FootnoteText"/>
        <w:ind w:left="-426" w:right="-427"/>
      </w:pPr>
      <w:r>
        <w:rPr>
          <w:rStyle w:val="FootnoteReference"/>
        </w:rPr>
        <w:footnoteRef/>
      </w:r>
      <w:r>
        <w:t xml:space="preserve"> Atzīmējams, ka līdzekļu trūkuma dēļ futbola laukums nebūs apsildāms (t.i., laukumā netiks iebūvēta apsildes sistēma).</w:t>
      </w:r>
    </w:p>
  </w:footnote>
  <w:footnote w:id="4">
    <w:p w14:paraId="259A1AE8" w14:textId="77777777" w:rsidR="00666B4E" w:rsidRDefault="00666B4E" w:rsidP="00666B4E">
      <w:pPr>
        <w:pStyle w:val="FootnoteText"/>
        <w:ind w:left="-426" w:right="-427"/>
      </w:pPr>
      <w:r>
        <w:rPr>
          <w:rStyle w:val="FootnoteReference"/>
        </w:rPr>
        <w:footnoteRef/>
      </w:r>
      <w:r>
        <w:t xml:space="preserve"> Skatīt </w:t>
      </w:r>
      <w:r w:rsidRPr="009007D9">
        <w:t xml:space="preserve">Līguma par </w:t>
      </w:r>
      <w:r>
        <w:t>Eiropas Savienības darbību 107.</w:t>
      </w:r>
      <w:r w:rsidRPr="009007D9">
        <w:t>pant</w:t>
      </w:r>
      <w:r>
        <w:t>u</w:t>
      </w:r>
      <w:r w:rsidRPr="009007D9">
        <w:t xml:space="preserve"> un Komercdarbīb</w:t>
      </w:r>
      <w:r>
        <w:t>as atbalsta kontroles likuma 5.</w:t>
      </w:r>
      <w:r w:rsidRPr="009007D9">
        <w:t>pant</w:t>
      </w:r>
      <w:r>
        <w: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77777777" w:rsidR="003A72D9" w:rsidRDefault="003A72D9">
    <w:pPr>
      <w:pStyle w:val="Header"/>
      <w:jc w:val="center"/>
    </w:pPr>
    <w:r>
      <w:fldChar w:fldCharType="begin"/>
    </w:r>
    <w:r>
      <w:instrText xml:space="preserve"> PAGE   \* MERGEFORMAT </w:instrText>
    </w:r>
    <w:r>
      <w:fldChar w:fldCharType="separate"/>
    </w:r>
    <w:r w:rsidR="000579E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6">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1F35791F"/>
    <w:multiLevelType w:val="hybridMultilevel"/>
    <w:tmpl w:val="45621EBA"/>
    <w:lvl w:ilvl="0" w:tplc="F7DAF35A">
      <w:start w:val="1"/>
      <w:numFmt w:val="decimal"/>
      <w:lvlText w:val="(%1)"/>
      <w:lvlJc w:val="left"/>
      <w:pPr>
        <w:ind w:left="1203" w:hanging="49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8">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2">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nsid w:val="2F0876BC"/>
    <w:multiLevelType w:val="multilevel"/>
    <w:tmpl w:val="AACCD900"/>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8">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9">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1">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2">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3">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4">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6">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7">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9">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4">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7">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nsid w:val="75DA7C1A"/>
    <w:multiLevelType w:val="multilevel"/>
    <w:tmpl w:val="6EF05BD6"/>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1">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7"/>
  </w:num>
  <w:num w:numId="2">
    <w:abstractNumId w:val="30"/>
  </w:num>
  <w:num w:numId="3">
    <w:abstractNumId w:val="29"/>
  </w:num>
  <w:num w:numId="4">
    <w:abstractNumId w:val="35"/>
  </w:num>
  <w:num w:numId="5">
    <w:abstractNumId w:val="26"/>
  </w:num>
  <w:num w:numId="6">
    <w:abstractNumId w:val="28"/>
  </w:num>
  <w:num w:numId="7">
    <w:abstractNumId w:val="5"/>
  </w:num>
  <w:num w:numId="8">
    <w:abstractNumId w:val="2"/>
  </w:num>
  <w:num w:numId="9">
    <w:abstractNumId w:val="16"/>
  </w:num>
  <w:num w:numId="10">
    <w:abstractNumId w:val="40"/>
  </w:num>
  <w:num w:numId="11">
    <w:abstractNumId w:val="33"/>
  </w:num>
  <w:num w:numId="12">
    <w:abstractNumId w:val="10"/>
  </w:num>
  <w:num w:numId="13">
    <w:abstractNumId w:val="3"/>
  </w:num>
  <w:num w:numId="14">
    <w:abstractNumId w:val="4"/>
  </w:num>
  <w:num w:numId="15">
    <w:abstractNumId w:val="32"/>
  </w:num>
  <w:num w:numId="16">
    <w:abstractNumId w:val="41"/>
  </w:num>
  <w:num w:numId="17">
    <w:abstractNumId w:val="19"/>
  </w:num>
  <w:num w:numId="18">
    <w:abstractNumId w:val="20"/>
  </w:num>
  <w:num w:numId="19">
    <w:abstractNumId w:val="18"/>
  </w:num>
  <w:num w:numId="20">
    <w:abstractNumId w:val="11"/>
  </w:num>
  <w:num w:numId="21">
    <w:abstractNumId w:val="23"/>
  </w:num>
  <w:num w:numId="22">
    <w:abstractNumId w:val="36"/>
  </w:num>
  <w:num w:numId="23">
    <w:abstractNumId w:val="22"/>
  </w:num>
  <w:num w:numId="24">
    <w:abstractNumId w:val="0"/>
  </w:num>
  <w:num w:numId="25">
    <w:abstractNumId w:val="25"/>
  </w:num>
  <w:num w:numId="26">
    <w:abstractNumId w:val="15"/>
  </w:num>
  <w:num w:numId="27">
    <w:abstractNumId w:val="31"/>
  </w:num>
  <w:num w:numId="28">
    <w:abstractNumId w:val="21"/>
  </w:num>
  <w:num w:numId="29">
    <w:abstractNumId w:val="9"/>
  </w:num>
  <w:num w:numId="30">
    <w:abstractNumId w:val="34"/>
  </w:num>
  <w:num w:numId="31">
    <w:abstractNumId w:val="8"/>
  </w:num>
  <w:num w:numId="32">
    <w:abstractNumId w:val="13"/>
  </w:num>
  <w:num w:numId="33">
    <w:abstractNumId w:val="27"/>
  </w:num>
  <w:num w:numId="34">
    <w:abstractNumId w:val="6"/>
  </w:num>
  <w:num w:numId="35">
    <w:abstractNumId w:val="37"/>
  </w:num>
  <w:num w:numId="36">
    <w:abstractNumId w:val="12"/>
  </w:num>
  <w:num w:numId="37">
    <w:abstractNumId w:val="39"/>
  </w:num>
  <w:num w:numId="38">
    <w:abstractNumId w:val="24"/>
  </w:num>
  <w:num w:numId="39">
    <w:abstractNumId w:val="1"/>
  </w:num>
  <w:num w:numId="40">
    <w:abstractNumId w:val="38"/>
  </w:num>
  <w:num w:numId="41">
    <w:abstractNumId w:val="1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BD0"/>
    <w:rsid w:val="00020664"/>
    <w:rsid w:val="000216EC"/>
    <w:rsid w:val="0002179F"/>
    <w:rsid w:val="000219F0"/>
    <w:rsid w:val="00024A0F"/>
    <w:rsid w:val="00027332"/>
    <w:rsid w:val="00027346"/>
    <w:rsid w:val="0003044F"/>
    <w:rsid w:val="00032A0F"/>
    <w:rsid w:val="00033013"/>
    <w:rsid w:val="0003466E"/>
    <w:rsid w:val="000347B3"/>
    <w:rsid w:val="00034AA4"/>
    <w:rsid w:val="000355FE"/>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14AC"/>
    <w:rsid w:val="0005209B"/>
    <w:rsid w:val="000541F8"/>
    <w:rsid w:val="00054553"/>
    <w:rsid w:val="00054B65"/>
    <w:rsid w:val="00054FEE"/>
    <w:rsid w:val="00055224"/>
    <w:rsid w:val="00055608"/>
    <w:rsid w:val="00055F70"/>
    <w:rsid w:val="000566D5"/>
    <w:rsid w:val="00056E02"/>
    <w:rsid w:val="000577FD"/>
    <w:rsid w:val="000579E3"/>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77"/>
    <w:rsid w:val="00081CEB"/>
    <w:rsid w:val="00082C6B"/>
    <w:rsid w:val="00082FC2"/>
    <w:rsid w:val="00083F19"/>
    <w:rsid w:val="000849C2"/>
    <w:rsid w:val="00084C38"/>
    <w:rsid w:val="0008599C"/>
    <w:rsid w:val="00085B5E"/>
    <w:rsid w:val="0008616C"/>
    <w:rsid w:val="0009012B"/>
    <w:rsid w:val="00090BFF"/>
    <w:rsid w:val="000912B2"/>
    <w:rsid w:val="0009162F"/>
    <w:rsid w:val="00091E26"/>
    <w:rsid w:val="000934D5"/>
    <w:rsid w:val="00093AA7"/>
    <w:rsid w:val="00094F13"/>
    <w:rsid w:val="00095EBB"/>
    <w:rsid w:val="000962FC"/>
    <w:rsid w:val="00097B46"/>
    <w:rsid w:val="000A0C0F"/>
    <w:rsid w:val="000A152C"/>
    <w:rsid w:val="000A1E9A"/>
    <w:rsid w:val="000A208E"/>
    <w:rsid w:val="000A2237"/>
    <w:rsid w:val="000A4403"/>
    <w:rsid w:val="000A671B"/>
    <w:rsid w:val="000B0834"/>
    <w:rsid w:val="000B0DC4"/>
    <w:rsid w:val="000B1367"/>
    <w:rsid w:val="000B3147"/>
    <w:rsid w:val="000B32F7"/>
    <w:rsid w:val="000B3B3C"/>
    <w:rsid w:val="000B3EC8"/>
    <w:rsid w:val="000B3FF6"/>
    <w:rsid w:val="000B51C9"/>
    <w:rsid w:val="000B62CA"/>
    <w:rsid w:val="000B7C76"/>
    <w:rsid w:val="000C0ABC"/>
    <w:rsid w:val="000C0BAF"/>
    <w:rsid w:val="000C136C"/>
    <w:rsid w:val="000C147C"/>
    <w:rsid w:val="000C1819"/>
    <w:rsid w:val="000C1B3D"/>
    <w:rsid w:val="000C1D23"/>
    <w:rsid w:val="000C36BE"/>
    <w:rsid w:val="000C612B"/>
    <w:rsid w:val="000C63F4"/>
    <w:rsid w:val="000D003C"/>
    <w:rsid w:val="000D00F8"/>
    <w:rsid w:val="000D3619"/>
    <w:rsid w:val="000D6486"/>
    <w:rsid w:val="000D6878"/>
    <w:rsid w:val="000D7431"/>
    <w:rsid w:val="000D76D6"/>
    <w:rsid w:val="000E058D"/>
    <w:rsid w:val="000E0815"/>
    <w:rsid w:val="000E2489"/>
    <w:rsid w:val="000E3B94"/>
    <w:rsid w:val="000E4A2A"/>
    <w:rsid w:val="000E4A57"/>
    <w:rsid w:val="000E5FDF"/>
    <w:rsid w:val="000E6027"/>
    <w:rsid w:val="000E6F6D"/>
    <w:rsid w:val="000F0FBE"/>
    <w:rsid w:val="000F1AC0"/>
    <w:rsid w:val="000F1EEC"/>
    <w:rsid w:val="000F3777"/>
    <w:rsid w:val="000F3868"/>
    <w:rsid w:val="000F3894"/>
    <w:rsid w:val="0010198A"/>
    <w:rsid w:val="00101C45"/>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4C20"/>
    <w:rsid w:val="00115633"/>
    <w:rsid w:val="00115792"/>
    <w:rsid w:val="00115EB8"/>
    <w:rsid w:val="00116669"/>
    <w:rsid w:val="0011724B"/>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4E6C"/>
    <w:rsid w:val="00156760"/>
    <w:rsid w:val="00156E36"/>
    <w:rsid w:val="00157F12"/>
    <w:rsid w:val="0016104B"/>
    <w:rsid w:val="00161261"/>
    <w:rsid w:val="0016142A"/>
    <w:rsid w:val="00162670"/>
    <w:rsid w:val="00162EB5"/>
    <w:rsid w:val="0016692F"/>
    <w:rsid w:val="00166975"/>
    <w:rsid w:val="00166CBA"/>
    <w:rsid w:val="001673FC"/>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29D"/>
    <w:rsid w:val="001838EC"/>
    <w:rsid w:val="00183B44"/>
    <w:rsid w:val="00184814"/>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548E"/>
    <w:rsid w:val="001B5E6D"/>
    <w:rsid w:val="001B6323"/>
    <w:rsid w:val="001B657F"/>
    <w:rsid w:val="001C00EB"/>
    <w:rsid w:val="001C070F"/>
    <w:rsid w:val="001C0C19"/>
    <w:rsid w:val="001C15CD"/>
    <w:rsid w:val="001C20B9"/>
    <w:rsid w:val="001C2FDE"/>
    <w:rsid w:val="001C403D"/>
    <w:rsid w:val="001C49BD"/>
    <w:rsid w:val="001C4BA3"/>
    <w:rsid w:val="001C5FC4"/>
    <w:rsid w:val="001C606E"/>
    <w:rsid w:val="001C60B1"/>
    <w:rsid w:val="001C62B1"/>
    <w:rsid w:val="001C74A8"/>
    <w:rsid w:val="001C77E5"/>
    <w:rsid w:val="001D03EA"/>
    <w:rsid w:val="001D057C"/>
    <w:rsid w:val="001D0913"/>
    <w:rsid w:val="001D0B33"/>
    <w:rsid w:val="001D0F7F"/>
    <w:rsid w:val="001D17EA"/>
    <w:rsid w:val="001D1F6A"/>
    <w:rsid w:val="001D2466"/>
    <w:rsid w:val="001D2E9F"/>
    <w:rsid w:val="001D3147"/>
    <w:rsid w:val="001D4A15"/>
    <w:rsid w:val="001D789D"/>
    <w:rsid w:val="001D7C74"/>
    <w:rsid w:val="001E0BD2"/>
    <w:rsid w:val="001E2A2D"/>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23B6"/>
    <w:rsid w:val="00222917"/>
    <w:rsid w:val="002239AB"/>
    <w:rsid w:val="00224E27"/>
    <w:rsid w:val="00224F0F"/>
    <w:rsid w:val="00225615"/>
    <w:rsid w:val="00225D5E"/>
    <w:rsid w:val="0022719E"/>
    <w:rsid w:val="00227D34"/>
    <w:rsid w:val="00227FE8"/>
    <w:rsid w:val="00231984"/>
    <w:rsid w:val="0023199C"/>
    <w:rsid w:val="00232B87"/>
    <w:rsid w:val="002339F0"/>
    <w:rsid w:val="00233D27"/>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64F"/>
    <w:rsid w:val="00257B3B"/>
    <w:rsid w:val="00260175"/>
    <w:rsid w:val="00263071"/>
    <w:rsid w:val="002637C0"/>
    <w:rsid w:val="002643AF"/>
    <w:rsid w:val="00265934"/>
    <w:rsid w:val="00265F33"/>
    <w:rsid w:val="00266356"/>
    <w:rsid w:val="00267302"/>
    <w:rsid w:val="00270408"/>
    <w:rsid w:val="00270E39"/>
    <w:rsid w:val="00272248"/>
    <w:rsid w:val="00272F12"/>
    <w:rsid w:val="00273D63"/>
    <w:rsid w:val="002744DD"/>
    <w:rsid w:val="00274B5E"/>
    <w:rsid w:val="00274E8A"/>
    <w:rsid w:val="002761F4"/>
    <w:rsid w:val="002819CC"/>
    <w:rsid w:val="00282171"/>
    <w:rsid w:val="00283DB6"/>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5A1E"/>
    <w:rsid w:val="002C602F"/>
    <w:rsid w:val="002C76A3"/>
    <w:rsid w:val="002C7BBA"/>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BEC"/>
    <w:rsid w:val="002F6EEF"/>
    <w:rsid w:val="002F72C0"/>
    <w:rsid w:val="003014C2"/>
    <w:rsid w:val="003027D0"/>
    <w:rsid w:val="003028DB"/>
    <w:rsid w:val="00304D05"/>
    <w:rsid w:val="00304D49"/>
    <w:rsid w:val="00304F79"/>
    <w:rsid w:val="00306E09"/>
    <w:rsid w:val="00307A0E"/>
    <w:rsid w:val="00312022"/>
    <w:rsid w:val="003127FA"/>
    <w:rsid w:val="0031385F"/>
    <w:rsid w:val="0031483B"/>
    <w:rsid w:val="00314876"/>
    <w:rsid w:val="003168C2"/>
    <w:rsid w:val="00317B29"/>
    <w:rsid w:val="00317B6A"/>
    <w:rsid w:val="003202C1"/>
    <w:rsid w:val="00320A59"/>
    <w:rsid w:val="00325826"/>
    <w:rsid w:val="00326649"/>
    <w:rsid w:val="003268E2"/>
    <w:rsid w:val="00326D04"/>
    <w:rsid w:val="00326FFD"/>
    <w:rsid w:val="0032713F"/>
    <w:rsid w:val="00331B78"/>
    <w:rsid w:val="00332AD8"/>
    <w:rsid w:val="00334502"/>
    <w:rsid w:val="00335F59"/>
    <w:rsid w:val="00337C76"/>
    <w:rsid w:val="00341757"/>
    <w:rsid w:val="003418C3"/>
    <w:rsid w:val="003435FA"/>
    <w:rsid w:val="003445A2"/>
    <w:rsid w:val="003445AC"/>
    <w:rsid w:val="00346BE0"/>
    <w:rsid w:val="003478B4"/>
    <w:rsid w:val="00350454"/>
    <w:rsid w:val="00350D8D"/>
    <w:rsid w:val="00351AA0"/>
    <w:rsid w:val="00352F47"/>
    <w:rsid w:val="00353516"/>
    <w:rsid w:val="0035445A"/>
    <w:rsid w:val="0035463A"/>
    <w:rsid w:val="00356383"/>
    <w:rsid w:val="00357A2C"/>
    <w:rsid w:val="003608F0"/>
    <w:rsid w:val="00360B68"/>
    <w:rsid w:val="003620CD"/>
    <w:rsid w:val="00363F09"/>
    <w:rsid w:val="00364714"/>
    <w:rsid w:val="00364A83"/>
    <w:rsid w:val="00367957"/>
    <w:rsid w:val="00367D44"/>
    <w:rsid w:val="003705EF"/>
    <w:rsid w:val="003710C1"/>
    <w:rsid w:val="003719EC"/>
    <w:rsid w:val="00376CEF"/>
    <w:rsid w:val="003770AC"/>
    <w:rsid w:val="003770FA"/>
    <w:rsid w:val="003773F8"/>
    <w:rsid w:val="00377A66"/>
    <w:rsid w:val="00377A82"/>
    <w:rsid w:val="00381A75"/>
    <w:rsid w:val="00383F46"/>
    <w:rsid w:val="00385BC8"/>
    <w:rsid w:val="00386F10"/>
    <w:rsid w:val="00387612"/>
    <w:rsid w:val="003900A2"/>
    <w:rsid w:val="003905CA"/>
    <w:rsid w:val="003906FF"/>
    <w:rsid w:val="00393529"/>
    <w:rsid w:val="003950EC"/>
    <w:rsid w:val="0039519F"/>
    <w:rsid w:val="003972C7"/>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4908"/>
    <w:rsid w:val="003D5DA9"/>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3794"/>
    <w:rsid w:val="0040398B"/>
    <w:rsid w:val="0040414A"/>
    <w:rsid w:val="00404CB9"/>
    <w:rsid w:val="00404DD8"/>
    <w:rsid w:val="00405E52"/>
    <w:rsid w:val="00406BFE"/>
    <w:rsid w:val="00407603"/>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309AD"/>
    <w:rsid w:val="004310C7"/>
    <w:rsid w:val="004331E9"/>
    <w:rsid w:val="004342B7"/>
    <w:rsid w:val="00435C24"/>
    <w:rsid w:val="004418F9"/>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0E"/>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D29"/>
    <w:rsid w:val="004925F7"/>
    <w:rsid w:val="004940B7"/>
    <w:rsid w:val="0049673D"/>
    <w:rsid w:val="00496E04"/>
    <w:rsid w:val="004A0D2E"/>
    <w:rsid w:val="004A1976"/>
    <w:rsid w:val="004A1DA4"/>
    <w:rsid w:val="004A1F56"/>
    <w:rsid w:val="004A2074"/>
    <w:rsid w:val="004A2665"/>
    <w:rsid w:val="004A56AF"/>
    <w:rsid w:val="004A5933"/>
    <w:rsid w:val="004A6755"/>
    <w:rsid w:val="004A69F3"/>
    <w:rsid w:val="004A6A93"/>
    <w:rsid w:val="004A6E2E"/>
    <w:rsid w:val="004B0198"/>
    <w:rsid w:val="004B0B66"/>
    <w:rsid w:val="004B0E92"/>
    <w:rsid w:val="004B2478"/>
    <w:rsid w:val="004B2DAB"/>
    <w:rsid w:val="004B3DE6"/>
    <w:rsid w:val="004B550F"/>
    <w:rsid w:val="004B617C"/>
    <w:rsid w:val="004B7C13"/>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F2E"/>
    <w:rsid w:val="004E4B60"/>
    <w:rsid w:val="004E607D"/>
    <w:rsid w:val="004E7195"/>
    <w:rsid w:val="004F04A1"/>
    <w:rsid w:val="004F1194"/>
    <w:rsid w:val="004F14C5"/>
    <w:rsid w:val="004F2099"/>
    <w:rsid w:val="004F21AE"/>
    <w:rsid w:val="004F2C8A"/>
    <w:rsid w:val="004F3806"/>
    <w:rsid w:val="004F3D0D"/>
    <w:rsid w:val="004F5588"/>
    <w:rsid w:val="004F5EB9"/>
    <w:rsid w:val="004F788C"/>
    <w:rsid w:val="00500FE2"/>
    <w:rsid w:val="005018A2"/>
    <w:rsid w:val="00503618"/>
    <w:rsid w:val="00503DC4"/>
    <w:rsid w:val="0050407E"/>
    <w:rsid w:val="00504531"/>
    <w:rsid w:val="00504DBC"/>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B15"/>
    <w:rsid w:val="005362A9"/>
    <w:rsid w:val="0053721C"/>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23A9"/>
    <w:rsid w:val="00554CAC"/>
    <w:rsid w:val="00554CE1"/>
    <w:rsid w:val="00554F7F"/>
    <w:rsid w:val="00555D35"/>
    <w:rsid w:val="005562DC"/>
    <w:rsid w:val="00556301"/>
    <w:rsid w:val="005575EF"/>
    <w:rsid w:val="005575F5"/>
    <w:rsid w:val="00557E2F"/>
    <w:rsid w:val="00560101"/>
    <w:rsid w:val="0056276D"/>
    <w:rsid w:val="005637B7"/>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8CD"/>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2FED"/>
    <w:rsid w:val="005A518B"/>
    <w:rsid w:val="005A627E"/>
    <w:rsid w:val="005A6DC2"/>
    <w:rsid w:val="005A7083"/>
    <w:rsid w:val="005A7608"/>
    <w:rsid w:val="005A7644"/>
    <w:rsid w:val="005A7707"/>
    <w:rsid w:val="005B1318"/>
    <w:rsid w:val="005B1E9C"/>
    <w:rsid w:val="005B2307"/>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4B0"/>
    <w:rsid w:val="005D66E2"/>
    <w:rsid w:val="005D6B61"/>
    <w:rsid w:val="005D6B8A"/>
    <w:rsid w:val="005E05BC"/>
    <w:rsid w:val="005E145B"/>
    <w:rsid w:val="005E389B"/>
    <w:rsid w:val="005E3ACC"/>
    <w:rsid w:val="005E40D9"/>
    <w:rsid w:val="005E4159"/>
    <w:rsid w:val="005E4DF4"/>
    <w:rsid w:val="005F22A7"/>
    <w:rsid w:val="005F2BCF"/>
    <w:rsid w:val="005F3204"/>
    <w:rsid w:val="005F3AA1"/>
    <w:rsid w:val="005F58A9"/>
    <w:rsid w:val="005F6A42"/>
    <w:rsid w:val="00600DCE"/>
    <w:rsid w:val="00600E72"/>
    <w:rsid w:val="0060231D"/>
    <w:rsid w:val="00602697"/>
    <w:rsid w:val="00603AB8"/>
    <w:rsid w:val="00604944"/>
    <w:rsid w:val="00605A33"/>
    <w:rsid w:val="00606918"/>
    <w:rsid w:val="006107D6"/>
    <w:rsid w:val="0061090E"/>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40C60"/>
    <w:rsid w:val="006411CB"/>
    <w:rsid w:val="0064216E"/>
    <w:rsid w:val="00642ABF"/>
    <w:rsid w:val="00643E05"/>
    <w:rsid w:val="00643E6C"/>
    <w:rsid w:val="0064591A"/>
    <w:rsid w:val="00646682"/>
    <w:rsid w:val="0065105A"/>
    <w:rsid w:val="00653952"/>
    <w:rsid w:val="00653B95"/>
    <w:rsid w:val="00654274"/>
    <w:rsid w:val="006555D2"/>
    <w:rsid w:val="00655D23"/>
    <w:rsid w:val="0065692E"/>
    <w:rsid w:val="006606C8"/>
    <w:rsid w:val="006617A4"/>
    <w:rsid w:val="00662C4D"/>
    <w:rsid w:val="00662F76"/>
    <w:rsid w:val="0066443C"/>
    <w:rsid w:val="00664540"/>
    <w:rsid w:val="0066504D"/>
    <w:rsid w:val="00666844"/>
    <w:rsid w:val="00666B4E"/>
    <w:rsid w:val="00666BEA"/>
    <w:rsid w:val="00667079"/>
    <w:rsid w:val="00667437"/>
    <w:rsid w:val="00670B6E"/>
    <w:rsid w:val="00671666"/>
    <w:rsid w:val="006720CC"/>
    <w:rsid w:val="0067238F"/>
    <w:rsid w:val="00672827"/>
    <w:rsid w:val="00672CAB"/>
    <w:rsid w:val="006738C7"/>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4CE"/>
    <w:rsid w:val="006A0732"/>
    <w:rsid w:val="006A0AF7"/>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5D57"/>
    <w:rsid w:val="006C697C"/>
    <w:rsid w:val="006D03B1"/>
    <w:rsid w:val="006D0962"/>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5EB"/>
    <w:rsid w:val="00717621"/>
    <w:rsid w:val="00717D4B"/>
    <w:rsid w:val="007207FC"/>
    <w:rsid w:val="007213F1"/>
    <w:rsid w:val="00721827"/>
    <w:rsid w:val="00722668"/>
    <w:rsid w:val="00723E8D"/>
    <w:rsid w:val="007247C1"/>
    <w:rsid w:val="00724AF2"/>
    <w:rsid w:val="00724F55"/>
    <w:rsid w:val="007263F1"/>
    <w:rsid w:val="00726C59"/>
    <w:rsid w:val="007275E1"/>
    <w:rsid w:val="00727B7C"/>
    <w:rsid w:val="0073052C"/>
    <w:rsid w:val="0073235F"/>
    <w:rsid w:val="00732686"/>
    <w:rsid w:val="007327D1"/>
    <w:rsid w:val="00732A32"/>
    <w:rsid w:val="00733818"/>
    <w:rsid w:val="00733E34"/>
    <w:rsid w:val="00734D65"/>
    <w:rsid w:val="007351BE"/>
    <w:rsid w:val="00737AC1"/>
    <w:rsid w:val="0074024D"/>
    <w:rsid w:val="00741B85"/>
    <w:rsid w:val="007442E2"/>
    <w:rsid w:val="00746067"/>
    <w:rsid w:val="0075045D"/>
    <w:rsid w:val="00752F55"/>
    <w:rsid w:val="00754101"/>
    <w:rsid w:val="0075490B"/>
    <w:rsid w:val="007558B7"/>
    <w:rsid w:val="00757A53"/>
    <w:rsid w:val="00760A85"/>
    <w:rsid w:val="00760EF9"/>
    <w:rsid w:val="00761B03"/>
    <w:rsid w:val="00761F25"/>
    <w:rsid w:val="00762F8F"/>
    <w:rsid w:val="00763103"/>
    <w:rsid w:val="00763461"/>
    <w:rsid w:val="0076557F"/>
    <w:rsid w:val="00765AA8"/>
    <w:rsid w:val="007667AC"/>
    <w:rsid w:val="00767815"/>
    <w:rsid w:val="00770316"/>
    <w:rsid w:val="0077133D"/>
    <w:rsid w:val="00773B13"/>
    <w:rsid w:val="00773C28"/>
    <w:rsid w:val="00774453"/>
    <w:rsid w:val="00775647"/>
    <w:rsid w:val="00776830"/>
    <w:rsid w:val="00776B8D"/>
    <w:rsid w:val="00776EE1"/>
    <w:rsid w:val="007777AA"/>
    <w:rsid w:val="007809F2"/>
    <w:rsid w:val="00780BAD"/>
    <w:rsid w:val="007814E7"/>
    <w:rsid w:val="00781BCE"/>
    <w:rsid w:val="00783B51"/>
    <w:rsid w:val="00783BFA"/>
    <w:rsid w:val="00783C80"/>
    <w:rsid w:val="00785F44"/>
    <w:rsid w:val="00787371"/>
    <w:rsid w:val="00790CFC"/>
    <w:rsid w:val="00791E64"/>
    <w:rsid w:val="0079257F"/>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0148"/>
    <w:rsid w:val="007E0D5F"/>
    <w:rsid w:val="007E1E49"/>
    <w:rsid w:val="007E2464"/>
    <w:rsid w:val="007E36FC"/>
    <w:rsid w:val="007E5095"/>
    <w:rsid w:val="007E529F"/>
    <w:rsid w:val="007E6314"/>
    <w:rsid w:val="007E71C1"/>
    <w:rsid w:val="007E7F9D"/>
    <w:rsid w:val="007F0A35"/>
    <w:rsid w:val="007F12ED"/>
    <w:rsid w:val="007F1F1C"/>
    <w:rsid w:val="007F323B"/>
    <w:rsid w:val="007F3911"/>
    <w:rsid w:val="007F3F77"/>
    <w:rsid w:val="007F4741"/>
    <w:rsid w:val="007F55D7"/>
    <w:rsid w:val="007F671D"/>
    <w:rsid w:val="007F6D6B"/>
    <w:rsid w:val="0080017B"/>
    <w:rsid w:val="00801B0F"/>
    <w:rsid w:val="00802031"/>
    <w:rsid w:val="00802B1E"/>
    <w:rsid w:val="00803311"/>
    <w:rsid w:val="00803457"/>
    <w:rsid w:val="008034B4"/>
    <w:rsid w:val="00803528"/>
    <w:rsid w:val="00803645"/>
    <w:rsid w:val="00804094"/>
    <w:rsid w:val="00804959"/>
    <w:rsid w:val="00804B8C"/>
    <w:rsid w:val="00805BB2"/>
    <w:rsid w:val="008070CF"/>
    <w:rsid w:val="0080783F"/>
    <w:rsid w:val="008134F6"/>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9C"/>
    <w:rsid w:val="00853B4B"/>
    <w:rsid w:val="00854DCF"/>
    <w:rsid w:val="0086173C"/>
    <w:rsid w:val="008629E0"/>
    <w:rsid w:val="008634F5"/>
    <w:rsid w:val="00863C67"/>
    <w:rsid w:val="0086571F"/>
    <w:rsid w:val="00865F4A"/>
    <w:rsid w:val="0086671A"/>
    <w:rsid w:val="00870F25"/>
    <w:rsid w:val="00870F9F"/>
    <w:rsid w:val="0087128F"/>
    <w:rsid w:val="00871CB3"/>
    <w:rsid w:val="008723BF"/>
    <w:rsid w:val="008736C0"/>
    <w:rsid w:val="00873AFB"/>
    <w:rsid w:val="00873DC6"/>
    <w:rsid w:val="00873ED2"/>
    <w:rsid w:val="00874652"/>
    <w:rsid w:val="00874CD6"/>
    <w:rsid w:val="00877B2E"/>
    <w:rsid w:val="00877FBC"/>
    <w:rsid w:val="00880012"/>
    <w:rsid w:val="00882419"/>
    <w:rsid w:val="0088273C"/>
    <w:rsid w:val="00884A65"/>
    <w:rsid w:val="008860F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D51"/>
    <w:rsid w:val="008B1D70"/>
    <w:rsid w:val="008B2279"/>
    <w:rsid w:val="008B27BF"/>
    <w:rsid w:val="008B391E"/>
    <w:rsid w:val="008B3C16"/>
    <w:rsid w:val="008B50AE"/>
    <w:rsid w:val="008B53EA"/>
    <w:rsid w:val="008B55F4"/>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3A79"/>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3F4"/>
    <w:rsid w:val="009736EB"/>
    <w:rsid w:val="009754A7"/>
    <w:rsid w:val="0097689E"/>
    <w:rsid w:val="00976CDB"/>
    <w:rsid w:val="00977F8A"/>
    <w:rsid w:val="00980006"/>
    <w:rsid w:val="009848C9"/>
    <w:rsid w:val="009849CF"/>
    <w:rsid w:val="009879C2"/>
    <w:rsid w:val="00987CF4"/>
    <w:rsid w:val="00990076"/>
    <w:rsid w:val="00991790"/>
    <w:rsid w:val="00991845"/>
    <w:rsid w:val="00992558"/>
    <w:rsid w:val="0099370A"/>
    <w:rsid w:val="009950B3"/>
    <w:rsid w:val="00995D97"/>
    <w:rsid w:val="00996AEB"/>
    <w:rsid w:val="009A41A2"/>
    <w:rsid w:val="009A6BFC"/>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606B"/>
    <w:rsid w:val="00A07D34"/>
    <w:rsid w:val="00A10BB0"/>
    <w:rsid w:val="00A11DBA"/>
    <w:rsid w:val="00A1231E"/>
    <w:rsid w:val="00A13034"/>
    <w:rsid w:val="00A13132"/>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6C40"/>
    <w:rsid w:val="00A47C5F"/>
    <w:rsid w:val="00A51E4D"/>
    <w:rsid w:val="00A51F07"/>
    <w:rsid w:val="00A524B8"/>
    <w:rsid w:val="00A5402D"/>
    <w:rsid w:val="00A562C5"/>
    <w:rsid w:val="00A5709C"/>
    <w:rsid w:val="00A57753"/>
    <w:rsid w:val="00A62569"/>
    <w:rsid w:val="00A62C57"/>
    <w:rsid w:val="00A631A3"/>
    <w:rsid w:val="00A64217"/>
    <w:rsid w:val="00A65993"/>
    <w:rsid w:val="00A660A8"/>
    <w:rsid w:val="00A6630D"/>
    <w:rsid w:val="00A67C41"/>
    <w:rsid w:val="00A7205F"/>
    <w:rsid w:val="00A720FA"/>
    <w:rsid w:val="00A721D8"/>
    <w:rsid w:val="00A7341A"/>
    <w:rsid w:val="00A739AB"/>
    <w:rsid w:val="00A73A9C"/>
    <w:rsid w:val="00A73C69"/>
    <w:rsid w:val="00A75CB7"/>
    <w:rsid w:val="00A75FB6"/>
    <w:rsid w:val="00A81A75"/>
    <w:rsid w:val="00A820BD"/>
    <w:rsid w:val="00A826C2"/>
    <w:rsid w:val="00A83695"/>
    <w:rsid w:val="00A84E50"/>
    <w:rsid w:val="00A8540A"/>
    <w:rsid w:val="00A856C2"/>
    <w:rsid w:val="00A861B7"/>
    <w:rsid w:val="00A8706A"/>
    <w:rsid w:val="00A87442"/>
    <w:rsid w:val="00A877FE"/>
    <w:rsid w:val="00A9391C"/>
    <w:rsid w:val="00A94CC5"/>
    <w:rsid w:val="00A95345"/>
    <w:rsid w:val="00A9542E"/>
    <w:rsid w:val="00A960A0"/>
    <w:rsid w:val="00AA0527"/>
    <w:rsid w:val="00AA170E"/>
    <w:rsid w:val="00AA1754"/>
    <w:rsid w:val="00AA2CC8"/>
    <w:rsid w:val="00AA314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2A7F"/>
    <w:rsid w:val="00AC4230"/>
    <w:rsid w:val="00AC557B"/>
    <w:rsid w:val="00AC5F81"/>
    <w:rsid w:val="00AC60AC"/>
    <w:rsid w:val="00AC624B"/>
    <w:rsid w:val="00AC7A31"/>
    <w:rsid w:val="00AD02C1"/>
    <w:rsid w:val="00AD1E01"/>
    <w:rsid w:val="00AD32CE"/>
    <w:rsid w:val="00AD4674"/>
    <w:rsid w:val="00AD4F07"/>
    <w:rsid w:val="00AD584F"/>
    <w:rsid w:val="00AD5BEC"/>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087D"/>
    <w:rsid w:val="00B010A9"/>
    <w:rsid w:val="00B039A9"/>
    <w:rsid w:val="00B0417C"/>
    <w:rsid w:val="00B0437E"/>
    <w:rsid w:val="00B0535C"/>
    <w:rsid w:val="00B06326"/>
    <w:rsid w:val="00B072F4"/>
    <w:rsid w:val="00B106F1"/>
    <w:rsid w:val="00B109B1"/>
    <w:rsid w:val="00B10B0B"/>
    <w:rsid w:val="00B1173B"/>
    <w:rsid w:val="00B12FF4"/>
    <w:rsid w:val="00B13442"/>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35B39"/>
    <w:rsid w:val="00B40C78"/>
    <w:rsid w:val="00B411E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EA7"/>
    <w:rsid w:val="00B57455"/>
    <w:rsid w:val="00B614A5"/>
    <w:rsid w:val="00B61944"/>
    <w:rsid w:val="00B61F69"/>
    <w:rsid w:val="00B6216C"/>
    <w:rsid w:val="00B65B75"/>
    <w:rsid w:val="00B6639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92E1A"/>
    <w:rsid w:val="00B93654"/>
    <w:rsid w:val="00B93D23"/>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6FC"/>
    <w:rsid w:val="00BA7940"/>
    <w:rsid w:val="00BB302C"/>
    <w:rsid w:val="00BB3C51"/>
    <w:rsid w:val="00BC0B52"/>
    <w:rsid w:val="00BC0D9F"/>
    <w:rsid w:val="00BC10F5"/>
    <w:rsid w:val="00BC3039"/>
    <w:rsid w:val="00BC45A7"/>
    <w:rsid w:val="00BC4D7B"/>
    <w:rsid w:val="00BC605E"/>
    <w:rsid w:val="00BC6786"/>
    <w:rsid w:val="00BC6C44"/>
    <w:rsid w:val="00BC7009"/>
    <w:rsid w:val="00BC7743"/>
    <w:rsid w:val="00BC7D4F"/>
    <w:rsid w:val="00BD04C0"/>
    <w:rsid w:val="00BD0B17"/>
    <w:rsid w:val="00BD1AD6"/>
    <w:rsid w:val="00BD1DB2"/>
    <w:rsid w:val="00BD3E66"/>
    <w:rsid w:val="00BD41A8"/>
    <w:rsid w:val="00BD696A"/>
    <w:rsid w:val="00BD6CDF"/>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A25"/>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291F"/>
    <w:rsid w:val="00C13B05"/>
    <w:rsid w:val="00C1447B"/>
    <w:rsid w:val="00C17CB6"/>
    <w:rsid w:val="00C217A1"/>
    <w:rsid w:val="00C21D70"/>
    <w:rsid w:val="00C221FB"/>
    <w:rsid w:val="00C22F23"/>
    <w:rsid w:val="00C23CCC"/>
    <w:rsid w:val="00C24859"/>
    <w:rsid w:val="00C25CDA"/>
    <w:rsid w:val="00C27E98"/>
    <w:rsid w:val="00C301CF"/>
    <w:rsid w:val="00C303A5"/>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DF4"/>
    <w:rsid w:val="00C81EC7"/>
    <w:rsid w:val="00C82AF3"/>
    <w:rsid w:val="00C8314D"/>
    <w:rsid w:val="00C84C2B"/>
    <w:rsid w:val="00C85CD7"/>
    <w:rsid w:val="00C85EE2"/>
    <w:rsid w:val="00C86150"/>
    <w:rsid w:val="00C870F2"/>
    <w:rsid w:val="00C879A4"/>
    <w:rsid w:val="00C87AEC"/>
    <w:rsid w:val="00C92FD7"/>
    <w:rsid w:val="00C93F04"/>
    <w:rsid w:val="00C94CAC"/>
    <w:rsid w:val="00C9721C"/>
    <w:rsid w:val="00C979E0"/>
    <w:rsid w:val="00CA06C1"/>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F57"/>
    <w:rsid w:val="00CB6605"/>
    <w:rsid w:val="00CB7A72"/>
    <w:rsid w:val="00CB7DFB"/>
    <w:rsid w:val="00CC06AB"/>
    <w:rsid w:val="00CC0D14"/>
    <w:rsid w:val="00CC1D18"/>
    <w:rsid w:val="00CC3E80"/>
    <w:rsid w:val="00CC49D6"/>
    <w:rsid w:val="00CC5FD9"/>
    <w:rsid w:val="00CC7F63"/>
    <w:rsid w:val="00CD224A"/>
    <w:rsid w:val="00CD2D84"/>
    <w:rsid w:val="00CD39F8"/>
    <w:rsid w:val="00CD5672"/>
    <w:rsid w:val="00CD6134"/>
    <w:rsid w:val="00CD6622"/>
    <w:rsid w:val="00CD6B68"/>
    <w:rsid w:val="00CD7C93"/>
    <w:rsid w:val="00CE01D7"/>
    <w:rsid w:val="00CE0B01"/>
    <w:rsid w:val="00CE0CD5"/>
    <w:rsid w:val="00CE133F"/>
    <w:rsid w:val="00CE2B81"/>
    <w:rsid w:val="00CE4DD4"/>
    <w:rsid w:val="00CE5941"/>
    <w:rsid w:val="00CE7BB7"/>
    <w:rsid w:val="00CF04D1"/>
    <w:rsid w:val="00CF16AE"/>
    <w:rsid w:val="00CF1A1B"/>
    <w:rsid w:val="00CF3ED9"/>
    <w:rsid w:val="00CF4589"/>
    <w:rsid w:val="00CF465D"/>
    <w:rsid w:val="00CF60BA"/>
    <w:rsid w:val="00CF694A"/>
    <w:rsid w:val="00CF6E4E"/>
    <w:rsid w:val="00CF7601"/>
    <w:rsid w:val="00CF7C34"/>
    <w:rsid w:val="00D013B9"/>
    <w:rsid w:val="00D01A8E"/>
    <w:rsid w:val="00D01D22"/>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47F6F"/>
    <w:rsid w:val="00D506B1"/>
    <w:rsid w:val="00D50C0B"/>
    <w:rsid w:val="00D51380"/>
    <w:rsid w:val="00D51DE2"/>
    <w:rsid w:val="00D52919"/>
    <w:rsid w:val="00D547BA"/>
    <w:rsid w:val="00D551F2"/>
    <w:rsid w:val="00D6051A"/>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804C5"/>
    <w:rsid w:val="00D81681"/>
    <w:rsid w:val="00D820D1"/>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832"/>
    <w:rsid w:val="00DA20D6"/>
    <w:rsid w:val="00DA2A6C"/>
    <w:rsid w:val="00DA2B2B"/>
    <w:rsid w:val="00DA30DA"/>
    <w:rsid w:val="00DA3734"/>
    <w:rsid w:val="00DA3AED"/>
    <w:rsid w:val="00DA4123"/>
    <w:rsid w:val="00DA708F"/>
    <w:rsid w:val="00DA77B4"/>
    <w:rsid w:val="00DA7BE4"/>
    <w:rsid w:val="00DB003F"/>
    <w:rsid w:val="00DB16B2"/>
    <w:rsid w:val="00DB1F95"/>
    <w:rsid w:val="00DB21C4"/>
    <w:rsid w:val="00DB2BB1"/>
    <w:rsid w:val="00DB6BB3"/>
    <w:rsid w:val="00DB6D8A"/>
    <w:rsid w:val="00DB7AA7"/>
    <w:rsid w:val="00DC03E0"/>
    <w:rsid w:val="00DC11F3"/>
    <w:rsid w:val="00DC1C3E"/>
    <w:rsid w:val="00DC332F"/>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E000FD"/>
    <w:rsid w:val="00E02B9E"/>
    <w:rsid w:val="00E03E05"/>
    <w:rsid w:val="00E0777F"/>
    <w:rsid w:val="00E10EA9"/>
    <w:rsid w:val="00E110EE"/>
    <w:rsid w:val="00E1136E"/>
    <w:rsid w:val="00E1182B"/>
    <w:rsid w:val="00E14286"/>
    <w:rsid w:val="00E167E0"/>
    <w:rsid w:val="00E16A35"/>
    <w:rsid w:val="00E16D38"/>
    <w:rsid w:val="00E20CCE"/>
    <w:rsid w:val="00E216EA"/>
    <w:rsid w:val="00E21B4B"/>
    <w:rsid w:val="00E229E6"/>
    <w:rsid w:val="00E244D0"/>
    <w:rsid w:val="00E25793"/>
    <w:rsid w:val="00E26BAB"/>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3D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667A"/>
    <w:rsid w:val="00E56B89"/>
    <w:rsid w:val="00E56F6B"/>
    <w:rsid w:val="00E573D7"/>
    <w:rsid w:val="00E578D1"/>
    <w:rsid w:val="00E60466"/>
    <w:rsid w:val="00E608C5"/>
    <w:rsid w:val="00E60FC3"/>
    <w:rsid w:val="00E625CE"/>
    <w:rsid w:val="00E63ADF"/>
    <w:rsid w:val="00E64579"/>
    <w:rsid w:val="00E64BB6"/>
    <w:rsid w:val="00E65245"/>
    <w:rsid w:val="00E65992"/>
    <w:rsid w:val="00E66017"/>
    <w:rsid w:val="00E71979"/>
    <w:rsid w:val="00E72113"/>
    <w:rsid w:val="00E724B9"/>
    <w:rsid w:val="00E73AE3"/>
    <w:rsid w:val="00E754E7"/>
    <w:rsid w:val="00E75C2F"/>
    <w:rsid w:val="00E80F7A"/>
    <w:rsid w:val="00E81CA7"/>
    <w:rsid w:val="00E82C1D"/>
    <w:rsid w:val="00E82EFE"/>
    <w:rsid w:val="00E83297"/>
    <w:rsid w:val="00E83DCC"/>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709C"/>
    <w:rsid w:val="00EA71F5"/>
    <w:rsid w:val="00EB0611"/>
    <w:rsid w:val="00EB0F52"/>
    <w:rsid w:val="00EB16CB"/>
    <w:rsid w:val="00EB1899"/>
    <w:rsid w:val="00EB1EA1"/>
    <w:rsid w:val="00EB2135"/>
    <w:rsid w:val="00EB3208"/>
    <w:rsid w:val="00EB5702"/>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01CB"/>
    <w:rsid w:val="00ED1710"/>
    <w:rsid w:val="00ED196E"/>
    <w:rsid w:val="00ED29EB"/>
    <w:rsid w:val="00ED6681"/>
    <w:rsid w:val="00ED6E3A"/>
    <w:rsid w:val="00EE0F72"/>
    <w:rsid w:val="00EE21E4"/>
    <w:rsid w:val="00EE3881"/>
    <w:rsid w:val="00EE3C77"/>
    <w:rsid w:val="00EE4748"/>
    <w:rsid w:val="00EE47BE"/>
    <w:rsid w:val="00EE4FC1"/>
    <w:rsid w:val="00EE550E"/>
    <w:rsid w:val="00EE676B"/>
    <w:rsid w:val="00EE681B"/>
    <w:rsid w:val="00EE7D3E"/>
    <w:rsid w:val="00EF4498"/>
    <w:rsid w:val="00EF48F6"/>
    <w:rsid w:val="00EF5381"/>
    <w:rsid w:val="00EF58DD"/>
    <w:rsid w:val="00F00F9F"/>
    <w:rsid w:val="00F01660"/>
    <w:rsid w:val="00F03A50"/>
    <w:rsid w:val="00F04465"/>
    <w:rsid w:val="00F05C65"/>
    <w:rsid w:val="00F06077"/>
    <w:rsid w:val="00F06483"/>
    <w:rsid w:val="00F06528"/>
    <w:rsid w:val="00F0730F"/>
    <w:rsid w:val="00F106E0"/>
    <w:rsid w:val="00F1205C"/>
    <w:rsid w:val="00F13091"/>
    <w:rsid w:val="00F13592"/>
    <w:rsid w:val="00F157DF"/>
    <w:rsid w:val="00F15CBA"/>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027B"/>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C42"/>
    <w:rsid w:val="00F63024"/>
    <w:rsid w:val="00F63529"/>
    <w:rsid w:val="00F65399"/>
    <w:rsid w:val="00F66937"/>
    <w:rsid w:val="00F70A6B"/>
    <w:rsid w:val="00F71637"/>
    <w:rsid w:val="00F71E34"/>
    <w:rsid w:val="00F72CE7"/>
    <w:rsid w:val="00F73E58"/>
    <w:rsid w:val="00F755C7"/>
    <w:rsid w:val="00F805D4"/>
    <w:rsid w:val="00F80CBA"/>
    <w:rsid w:val="00F81A9F"/>
    <w:rsid w:val="00F82221"/>
    <w:rsid w:val="00F83581"/>
    <w:rsid w:val="00F8549E"/>
    <w:rsid w:val="00F85AF0"/>
    <w:rsid w:val="00F85BE4"/>
    <w:rsid w:val="00F862B1"/>
    <w:rsid w:val="00F8643F"/>
    <w:rsid w:val="00F86C99"/>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6855"/>
    <w:rsid w:val="00FC6911"/>
    <w:rsid w:val="00FC6950"/>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semiHidden/>
    <w:unhideWhenUsed/>
    <w:rsid w:val="00154E6C"/>
    <w:rPr>
      <w:sz w:val="20"/>
      <w:szCs w:val="20"/>
    </w:rPr>
  </w:style>
  <w:style w:type="character" w:customStyle="1" w:styleId="CommentTextChar">
    <w:name w:val="Comment Text Char"/>
    <w:basedOn w:val="DefaultParagraphFont"/>
    <w:link w:val="CommentText"/>
    <w:semiHidden/>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76F5-770A-4583-AC76-DD83A235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20368</Words>
  <Characters>11610</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Ministru kabineta rīkojuma projekts "Par prioritārajam pasākumam „Papildu investīcijas valsts nozīmes sporta infrastruktūras attīstības projektu īstenošanai” paredzētā finansējuma sadalījumu 2020. gadā"</vt:lpstr>
    </vt:vector>
  </TitlesOfParts>
  <Company>Izglītības un zinātnes ministrija, Sporta departaments</Company>
  <LinksUpToDate>false</LinksUpToDate>
  <CharactersWithSpaces>31915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prioritārajam pasākumam „Papildu investīcijas valsts nozīmes sporta infrastruktūras attīstības projektu īstenošanai” paredzētā finansējuma sadalījumu 2020. gadā"</dc:title>
  <dc:subject>Sākotnējās ietekmes novērtējuma ziņojums (anotācija)</dc:subject>
  <dc:creator>Edgars Severs</dc:creator>
  <cp:keywords/>
  <dc:description/>
  <cp:lastModifiedBy>Edgars Severs</cp:lastModifiedBy>
  <cp:revision>14</cp:revision>
  <cp:lastPrinted>2020-06-17T13:56:00Z</cp:lastPrinted>
  <dcterms:created xsi:type="dcterms:W3CDTF">2020-06-08T10:56:00Z</dcterms:created>
  <dcterms:modified xsi:type="dcterms:W3CDTF">2020-06-17T13:56:00Z</dcterms:modified>
</cp:coreProperties>
</file>