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FE1AC" w14:textId="77777777" w:rsidR="004D021B" w:rsidRPr="001F2D84" w:rsidRDefault="005233FC">
      <w:pPr>
        <w:pBdr>
          <w:top w:val="nil"/>
          <w:left w:val="nil"/>
          <w:bottom w:val="nil"/>
          <w:right w:val="nil"/>
          <w:between w:val="nil"/>
        </w:pBdr>
        <w:ind w:firstLine="720"/>
        <w:jc w:val="center"/>
        <w:rPr>
          <w:b/>
        </w:rPr>
      </w:pPr>
      <w:bookmarkStart w:id="0" w:name="_gjdgxs" w:colFirst="0" w:colLast="0"/>
      <w:bookmarkEnd w:id="0"/>
      <w:r w:rsidRPr="001F2D84">
        <w:rPr>
          <w:b/>
        </w:rPr>
        <w:t>Izziņa par atzinumos sniegtajiem iebildumiem</w:t>
      </w:r>
      <w:r w:rsidR="00F92DDA" w:rsidRPr="001F2D84">
        <w:rPr>
          <w:b/>
        </w:rPr>
        <w:t xml:space="preserve"> </w:t>
      </w:r>
    </w:p>
    <w:tbl>
      <w:tblPr>
        <w:tblStyle w:val="a"/>
        <w:tblW w:w="10188" w:type="dxa"/>
        <w:jc w:val="center"/>
        <w:tblLayout w:type="fixed"/>
        <w:tblLook w:val="0000" w:firstRow="0" w:lastRow="0" w:firstColumn="0" w:lastColumn="0" w:noHBand="0" w:noVBand="0"/>
      </w:tblPr>
      <w:tblGrid>
        <w:gridCol w:w="10188"/>
      </w:tblGrid>
      <w:tr w:rsidR="001F2D84" w:rsidRPr="001F2D84" w14:paraId="6838B087" w14:textId="77777777">
        <w:trPr>
          <w:jc w:val="center"/>
        </w:trPr>
        <w:tc>
          <w:tcPr>
            <w:tcW w:w="10188" w:type="dxa"/>
            <w:tcBorders>
              <w:bottom w:val="single" w:sz="6" w:space="0" w:color="000000"/>
            </w:tcBorders>
          </w:tcPr>
          <w:p w14:paraId="6C6134EF" w14:textId="77777777" w:rsidR="004D021B" w:rsidRPr="001F2D84" w:rsidRDefault="005233FC">
            <w:pPr>
              <w:jc w:val="center"/>
              <w:rPr>
                <w:b/>
              </w:rPr>
            </w:pPr>
            <w:r w:rsidRPr="001F2D84">
              <w:rPr>
                <w:b/>
              </w:rPr>
              <w:t>Ministru kabineta noteikumu projektam „</w:t>
            </w:r>
            <w:r w:rsidR="00ED1145" w:rsidRPr="00ED1145">
              <w:rPr>
                <w:b/>
              </w:rPr>
              <w:t>Grozījumi Ministru kabineta 2018. gada 27. novembra noteikumos Nr. 747 “Noteikumi par valsts pamatizglītības standartu un pamatizglītības programmu paraugiem”</w:t>
            </w:r>
            <w:r w:rsidRPr="001F2D84">
              <w:rPr>
                <w:b/>
              </w:rPr>
              <w:t>”</w:t>
            </w:r>
          </w:p>
        </w:tc>
      </w:tr>
    </w:tbl>
    <w:p w14:paraId="61D9270C" w14:textId="77777777" w:rsidR="004D021B" w:rsidRPr="001F2D84" w:rsidRDefault="005233FC">
      <w:pPr>
        <w:pBdr>
          <w:top w:val="nil"/>
          <w:left w:val="nil"/>
          <w:bottom w:val="nil"/>
          <w:right w:val="nil"/>
          <w:between w:val="nil"/>
        </w:pBdr>
        <w:ind w:firstLine="1080"/>
        <w:jc w:val="center"/>
      </w:pPr>
      <w:r w:rsidRPr="001F2D84">
        <w:t>(dokumenta veids un nosaukums)</w:t>
      </w:r>
    </w:p>
    <w:p w14:paraId="62BBE8CD" w14:textId="77777777" w:rsidR="004D021B" w:rsidRPr="001F2D84" w:rsidRDefault="004D021B">
      <w:pPr>
        <w:pBdr>
          <w:top w:val="nil"/>
          <w:left w:val="nil"/>
          <w:bottom w:val="nil"/>
          <w:right w:val="nil"/>
          <w:between w:val="nil"/>
        </w:pBdr>
        <w:ind w:firstLine="720"/>
        <w:jc w:val="both"/>
      </w:pPr>
    </w:p>
    <w:p w14:paraId="5DDEDA76" w14:textId="77777777" w:rsidR="004D021B" w:rsidRPr="001F2D84" w:rsidRDefault="005233FC">
      <w:pPr>
        <w:pBdr>
          <w:top w:val="nil"/>
          <w:left w:val="nil"/>
          <w:bottom w:val="nil"/>
          <w:right w:val="nil"/>
          <w:between w:val="nil"/>
        </w:pBdr>
        <w:jc w:val="center"/>
        <w:rPr>
          <w:b/>
        </w:rPr>
      </w:pPr>
      <w:r w:rsidRPr="001F2D84">
        <w:rPr>
          <w:b/>
        </w:rPr>
        <w:t>I. Jautājumi, par kuriem saskaņošanā vienošanās nav panākta</w:t>
      </w:r>
    </w:p>
    <w:p w14:paraId="496FC07A" w14:textId="77777777" w:rsidR="004D021B" w:rsidRPr="001F2D84" w:rsidRDefault="004D021B">
      <w:pPr>
        <w:pBdr>
          <w:top w:val="nil"/>
          <w:left w:val="nil"/>
          <w:bottom w:val="nil"/>
          <w:right w:val="nil"/>
          <w:between w:val="nil"/>
        </w:pBdr>
        <w:ind w:firstLine="720"/>
        <w:jc w:val="both"/>
      </w:pPr>
    </w:p>
    <w:tbl>
      <w:tblPr>
        <w:tblStyle w:val="a0"/>
        <w:tblW w:w="142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75"/>
        <w:gridCol w:w="2984"/>
        <w:gridCol w:w="3253"/>
        <w:gridCol w:w="2842"/>
        <w:gridCol w:w="2552"/>
        <w:gridCol w:w="1920"/>
      </w:tblGrid>
      <w:tr w:rsidR="001F2D84" w:rsidRPr="001F2D84" w14:paraId="3782166D" w14:textId="77777777" w:rsidTr="00462608">
        <w:trPr>
          <w:trHeight w:val="1720"/>
        </w:trPr>
        <w:tc>
          <w:tcPr>
            <w:tcW w:w="675" w:type="dxa"/>
            <w:tcBorders>
              <w:top w:val="single" w:sz="6" w:space="0" w:color="000000"/>
              <w:left w:val="single" w:sz="6" w:space="0" w:color="000000"/>
              <w:bottom w:val="single" w:sz="6" w:space="0" w:color="000000"/>
              <w:right w:val="single" w:sz="6" w:space="0" w:color="000000"/>
            </w:tcBorders>
            <w:vAlign w:val="center"/>
          </w:tcPr>
          <w:p w14:paraId="5F37D977" w14:textId="77777777" w:rsidR="004D021B" w:rsidRPr="001F2D84" w:rsidRDefault="005233FC">
            <w:pPr>
              <w:pBdr>
                <w:top w:val="nil"/>
                <w:left w:val="nil"/>
                <w:bottom w:val="nil"/>
                <w:right w:val="nil"/>
                <w:between w:val="nil"/>
              </w:pBdr>
              <w:jc w:val="center"/>
            </w:pPr>
            <w:r w:rsidRPr="001F2D84">
              <w:t>Nr. p.k.</w:t>
            </w:r>
          </w:p>
        </w:tc>
        <w:tc>
          <w:tcPr>
            <w:tcW w:w="2984" w:type="dxa"/>
            <w:tcBorders>
              <w:top w:val="single" w:sz="6" w:space="0" w:color="000000"/>
              <w:left w:val="single" w:sz="6" w:space="0" w:color="000000"/>
              <w:bottom w:val="single" w:sz="6" w:space="0" w:color="000000"/>
              <w:right w:val="single" w:sz="6" w:space="0" w:color="000000"/>
            </w:tcBorders>
            <w:vAlign w:val="center"/>
          </w:tcPr>
          <w:p w14:paraId="7C9E9F91" w14:textId="77777777" w:rsidR="004D021B" w:rsidRPr="001F2D84" w:rsidRDefault="005233FC">
            <w:pPr>
              <w:pBdr>
                <w:top w:val="nil"/>
                <w:left w:val="nil"/>
                <w:bottom w:val="nil"/>
                <w:right w:val="nil"/>
                <w:between w:val="nil"/>
              </w:pBdr>
              <w:ind w:firstLine="12"/>
              <w:jc w:val="center"/>
            </w:pPr>
            <w:r w:rsidRPr="001F2D84">
              <w:t>Saskaņošanai nosūtītā projekta redakcija (konkrēta punkta (panta) redakcija)</w:t>
            </w:r>
          </w:p>
        </w:tc>
        <w:tc>
          <w:tcPr>
            <w:tcW w:w="3253" w:type="dxa"/>
            <w:tcBorders>
              <w:top w:val="single" w:sz="6" w:space="0" w:color="000000"/>
              <w:left w:val="single" w:sz="6" w:space="0" w:color="000000"/>
              <w:bottom w:val="single" w:sz="6" w:space="0" w:color="000000"/>
              <w:right w:val="single" w:sz="6" w:space="0" w:color="000000"/>
            </w:tcBorders>
            <w:vAlign w:val="center"/>
          </w:tcPr>
          <w:p w14:paraId="6C5C68BF" w14:textId="77777777" w:rsidR="004D021B" w:rsidRPr="001F2D84" w:rsidRDefault="005233FC">
            <w:pPr>
              <w:pBdr>
                <w:top w:val="nil"/>
                <w:left w:val="nil"/>
                <w:bottom w:val="nil"/>
                <w:right w:val="nil"/>
                <w:between w:val="nil"/>
              </w:pBdr>
              <w:ind w:right="3"/>
              <w:jc w:val="center"/>
            </w:pPr>
            <w:r w:rsidRPr="001F2D84">
              <w:t>Atzinumā norādītais ministrijas (citas institūcijas) iebildums, kā arī saskaņošanā papildus izteiktais iebildums par projekta konkrēto punktu (pantu)</w:t>
            </w:r>
          </w:p>
        </w:tc>
        <w:tc>
          <w:tcPr>
            <w:tcW w:w="2842" w:type="dxa"/>
            <w:tcBorders>
              <w:top w:val="single" w:sz="6" w:space="0" w:color="000000"/>
              <w:left w:val="single" w:sz="6" w:space="0" w:color="000000"/>
              <w:bottom w:val="single" w:sz="6" w:space="0" w:color="000000"/>
              <w:right w:val="single" w:sz="6" w:space="0" w:color="000000"/>
            </w:tcBorders>
            <w:vAlign w:val="center"/>
          </w:tcPr>
          <w:p w14:paraId="302B56F5" w14:textId="77777777" w:rsidR="004D021B" w:rsidRPr="001F2D84" w:rsidRDefault="005233FC">
            <w:pPr>
              <w:pBdr>
                <w:top w:val="nil"/>
                <w:left w:val="nil"/>
                <w:bottom w:val="nil"/>
                <w:right w:val="nil"/>
                <w:between w:val="nil"/>
              </w:pBdr>
              <w:ind w:firstLine="21"/>
              <w:jc w:val="center"/>
            </w:pPr>
            <w:r w:rsidRPr="001F2D84">
              <w:t>Atbildīgās ministrijas pamatojums iebilduma noraidījumam</w:t>
            </w:r>
          </w:p>
        </w:tc>
        <w:tc>
          <w:tcPr>
            <w:tcW w:w="2552" w:type="dxa"/>
            <w:tcBorders>
              <w:top w:val="single" w:sz="4" w:space="0" w:color="000000"/>
              <w:left w:val="single" w:sz="4" w:space="0" w:color="000000"/>
              <w:bottom w:val="single" w:sz="4" w:space="0" w:color="000000"/>
              <w:right w:val="single" w:sz="4" w:space="0" w:color="000000"/>
            </w:tcBorders>
            <w:vAlign w:val="center"/>
          </w:tcPr>
          <w:p w14:paraId="09B3BA51" w14:textId="77777777" w:rsidR="004D021B" w:rsidRPr="001F2D84" w:rsidRDefault="005233FC">
            <w:pPr>
              <w:jc w:val="center"/>
            </w:pPr>
            <w:r w:rsidRPr="001F2D84">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tcBorders>
            <w:vAlign w:val="center"/>
          </w:tcPr>
          <w:p w14:paraId="4EFF6993" w14:textId="77777777" w:rsidR="004D021B" w:rsidRPr="001F2D84" w:rsidRDefault="005233FC">
            <w:pPr>
              <w:jc w:val="center"/>
            </w:pPr>
            <w:r w:rsidRPr="001F2D84">
              <w:t>Projekta attiecīgā punkta (panta) galīgā redakcija</w:t>
            </w:r>
          </w:p>
        </w:tc>
      </w:tr>
      <w:tr w:rsidR="001F2D84" w:rsidRPr="001F2D84" w14:paraId="69C1B9E1" w14:textId="77777777" w:rsidTr="009C4619">
        <w:trPr>
          <w:trHeight w:val="413"/>
        </w:trPr>
        <w:tc>
          <w:tcPr>
            <w:tcW w:w="675" w:type="dxa"/>
            <w:tcBorders>
              <w:top w:val="single" w:sz="6" w:space="0" w:color="000000"/>
              <w:left w:val="single" w:sz="6" w:space="0" w:color="000000"/>
              <w:bottom w:val="single" w:sz="6" w:space="0" w:color="000000"/>
              <w:right w:val="single" w:sz="6" w:space="0" w:color="000000"/>
            </w:tcBorders>
          </w:tcPr>
          <w:p w14:paraId="14A32E44" w14:textId="77777777" w:rsidR="004D021B" w:rsidRPr="001F2D84" w:rsidRDefault="005233FC">
            <w:pPr>
              <w:pBdr>
                <w:top w:val="nil"/>
                <w:left w:val="nil"/>
                <w:bottom w:val="nil"/>
                <w:right w:val="nil"/>
                <w:between w:val="nil"/>
              </w:pBdr>
              <w:jc w:val="center"/>
            </w:pPr>
            <w:r w:rsidRPr="001F2D84">
              <w:t>1</w:t>
            </w:r>
          </w:p>
        </w:tc>
        <w:tc>
          <w:tcPr>
            <w:tcW w:w="2984" w:type="dxa"/>
            <w:tcBorders>
              <w:top w:val="single" w:sz="6" w:space="0" w:color="000000"/>
              <w:left w:val="single" w:sz="6" w:space="0" w:color="000000"/>
              <w:bottom w:val="single" w:sz="6" w:space="0" w:color="000000"/>
              <w:right w:val="single" w:sz="6" w:space="0" w:color="000000"/>
            </w:tcBorders>
          </w:tcPr>
          <w:p w14:paraId="533291F0" w14:textId="77777777" w:rsidR="004D021B" w:rsidRPr="001F2D84" w:rsidRDefault="005233FC" w:rsidP="009C4619">
            <w:pPr>
              <w:pBdr>
                <w:top w:val="nil"/>
                <w:left w:val="nil"/>
                <w:bottom w:val="nil"/>
                <w:right w:val="nil"/>
                <w:between w:val="nil"/>
              </w:pBdr>
              <w:ind w:firstLine="720"/>
              <w:jc w:val="center"/>
            </w:pPr>
            <w:r w:rsidRPr="001F2D84">
              <w:t>2</w:t>
            </w:r>
          </w:p>
        </w:tc>
        <w:tc>
          <w:tcPr>
            <w:tcW w:w="3253" w:type="dxa"/>
            <w:tcBorders>
              <w:top w:val="single" w:sz="6" w:space="0" w:color="000000"/>
              <w:left w:val="single" w:sz="6" w:space="0" w:color="000000"/>
              <w:bottom w:val="single" w:sz="6" w:space="0" w:color="000000"/>
              <w:right w:val="single" w:sz="6" w:space="0" w:color="000000"/>
            </w:tcBorders>
          </w:tcPr>
          <w:p w14:paraId="5615769C" w14:textId="77777777" w:rsidR="004D021B" w:rsidRPr="001F2D84" w:rsidRDefault="005233FC" w:rsidP="009C4619">
            <w:pPr>
              <w:pBdr>
                <w:top w:val="nil"/>
                <w:left w:val="nil"/>
                <w:bottom w:val="nil"/>
                <w:right w:val="nil"/>
                <w:between w:val="nil"/>
              </w:pBdr>
              <w:ind w:firstLine="720"/>
              <w:jc w:val="center"/>
            </w:pPr>
            <w:r w:rsidRPr="001F2D84">
              <w:t>3</w:t>
            </w:r>
          </w:p>
        </w:tc>
        <w:tc>
          <w:tcPr>
            <w:tcW w:w="2842" w:type="dxa"/>
            <w:tcBorders>
              <w:top w:val="single" w:sz="6" w:space="0" w:color="000000"/>
              <w:left w:val="single" w:sz="6" w:space="0" w:color="000000"/>
              <w:bottom w:val="single" w:sz="6" w:space="0" w:color="000000"/>
              <w:right w:val="single" w:sz="4" w:space="0" w:color="000000"/>
            </w:tcBorders>
          </w:tcPr>
          <w:p w14:paraId="10741105" w14:textId="77777777" w:rsidR="004D021B" w:rsidRPr="001F2D84" w:rsidRDefault="005233FC" w:rsidP="009C4619">
            <w:pPr>
              <w:pBdr>
                <w:top w:val="nil"/>
                <w:left w:val="nil"/>
                <w:bottom w:val="nil"/>
                <w:right w:val="nil"/>
                <w:between w:val="nil"/>
              </w:pBdr>
              <w:ind w:firstLine="720"/>
              <w:jc w:val="center"/>
            </w:pPr>
            <w:r w:rsidRPr="001F2D84">
              <w:t>4</w:t>
            </w:r>
          </w:p>
        </w:tc>
        <w:tc>
          <w:tcPr>
            <w:tcW w:w="2552" w:type="dxa"/>
            <w:tcBorders>
              <w:top w:val="single" w:sz="4" w:space="0" w:color="000000"/>
              <w:left w:val="single" w:sz="4" w:space="0" w:color="000000"/>
              <w:bottom w:val="single" w:sz="4" w:space="0" w:color="000000"/>
              <w:right w:val="single" w:sz="4" w:space="0" w:color="000000"/>
            </w:tcBorders>
          </w:tcPr>
          <w:p w14:paraId="4FBDB832" w14:textId="77777777" w:rsidR="004D021B" w:rsidRPr="001F2D84" w:rsidRDefault="005233FC" w:rsidP="009C4619">
            <w:pPr>
              <w:jc w:val="center"/>
            </w:pPr>
            <w:r w:rsidRPr="001F2D84">
              <w:t>5</w:t>
            </w:r>
          </w:p>
        </w:tc>
        <w:tc>
          <w:tcPr>
            <w:tcW w:w="1920" w:type="dxa"/>
            <w:tcBorders>
              <w:top w:val="single" w:sz="4" w:space="0" w:color="000000"/>
              <w:left w:val="single" w:sz="4" w:space="0" w:color="000000"/>
              <w:bottom w:val="single" w:sz="4" w:space="0" w:color="000000"/>
            </w:tcBorders>
          </w:tcPr>
          <w:p w14:paraId="3C5025AA" w14:textId="77777777" w:rsidR="004D021B" w:rsidRPr="001F2D84" w:rsidRDefault="005233FC" w:rsidP="009C4619">
            <w:pPr>
              <w:jc w:val="center"/>
            </w:pPr>
            <w:r w:rsidRPr="001F2D84">
              <w:t>6</w:t>
            </w:r>
          </w:p>
        </w:tc>
      </w:tr>
      <w:tr w:rsidR="004B081C" w:rsidRPr="001F2D84" w14:paraId="358B3D28" w14:textId="77777777" w:rsidTr="009C4619">
        <w:trPr>
          <w:trHeight w:val="413"/>
        </w:trPr>
        <w:tc>
          <w:tcPr>
            <w:tcW w:w="675" w:type="dxa"/>
            <w:tcBorders>
              <w:top w:val="single" w:sz="6" w:space="0" w:color="000000"/>
              <w:left w:val="single" w:sz="6" w:space="0" w:color="000000"/>
              <w:bottom w:val="single" w:sz="6" w:space="0" w:color="000000"/>
              <w:right w:val="single" w:sz="6" w:space="0" w:color="000000"/>
            </w:tcBorders>
          </w:tcPr>
          <w:p w14:paraId="4804E5BF" w14:textId="77777777" w:rsidR="004B081C" w:rsidRPr="001F2D84" w:rsidRDefault="004B081C">
            <w:pPr>
              <w:pBdr>
                <w:top w:val="nil"/>
                <w:left w:val="nil"/>
                <w:bottom w:val="nil"/>
                <w:right w:val="nil"/>
                <w:between w:val="nil"/>
              </w:pBdr>
              <w:jc w:val="center"/>
            </w:pPr>
          </w:p>
        </w:tc>
        <w:tc>
          <w:tcPr>
            <w:tcW w:w="2984" w:type="dxa"/>
            <w:tcBorders>
              <w:top w:val="single" w:sz="6" w:space="0" w:color="000000"/>
              <w:left w:val="single" w:sz="6" w:space="0" w:color="000000"/>
              <w:bottom w:val="single" w:sz="6" w:space="0" w:color="000000"/>
              <w:right w:val="single" w:sz="6" w:space="0" w:color="000000"/>
            </w:tcBorders>
          </w:tcPr>
          <w:p w14:paraId="7EEEB7A2" w14:textId="77777777" w:rsidR="004B081C" w:rsidRPr="001F2D84" w:rsidRDefault="004B081C" w:rsidP="009C4619">
            <w:pPr>
              <w:pBdr>
                <w:top w:val="nil"/>
                <w:left w:val="nil"/>
                <w:bottom w:val="nil"/>
                <w:right w:val="nil"/>
                <w:between w:val="nil"/>
              </w:pBdr>
              <w:ind w:firstLine="720"/>
              <w:jc w:val="center"/>
            </w:pPr>
          </w:p>
        </w:tc>
        <w:tc>
          <w:tcPr>
            <w:tcW w:w="3253" w:type="dxa"/>
            <w:tcBorders>
              <w:top w:val="single" w:sz="6" w:space="0" w:color="000000"/>
              <w:left w:val="single" w:sz="6" w:space="0" w:color="000000"/>
              <w:bottom w:val="single" w:sz="6" w:space="0" w:color="000000"/>
              <w:right w:val="single" w:sz="6" w:space="0" w:color="000000"/>
            </w:tcBorders>
          </w:tcPr>
          <w:p w14:paraId="2707CD98" w14:textId="77777777" w:rsidR="004B081C" w:rsidRPr="001F2D84" w:rsidRDefault="004B081C" w:rsidP="009C4619">
            <w:pPr>
              <w:pBdr>
                <w:top w:val="nil"/>
                <w:left w:val="nil"/>
                <w:bottom w:val="nil"/>
                <w:right w:val="nil"/>
                <w:between w:val="nil"/>
              </w:pBdr>
              <w:ind w:firstLine="720"/>
              <w:jc w:val="center"/>
            </w:pPr>
          </w:p>
        </w:tc>
        <w:tc>
          <w:tcPr>
            <w:tcW w:w="2842" w:type="dxa"/>
            <w:tcBorders>
              <w:top w:val="single" w:sz="6" w:space="0" w:color="000000"/>
              <w:left w:val="single" w:sz="6" w:space="0" w:color="000000"/>
              <w:bottom w:val="single" w:sz="6" w:space="0" w:color="000000"/>
              <w:right w:val="single" w:sz="4" w:space="0" w:color="000000"/>
            </w:tcBorders>
          </w:tcPr>
          <w:p w14:paraId="716710EA" w14:textId="77777777" w:rsidR="004B081C" w:rsidRPr="001F2D84" w:rsidRDefault="004B081C" w:rsidP="009C4619">
            <w:pPr>
              <w:pBdr>
                <w:top w:val="nil"/>
                <w:left w:val="nil"/>
                <w:bottom w:val="nil"/>
                <w:right w:val="nil"/>
                <w:between w:val="nil"/>
              </w:pBdr>
              <w:ind w:firstLine="720"/>
              <w:jc w:val="center"/>
            </w:pPr>
          </w:p>
        </w:tc>
        <w:tc>
          <w:tcPr>
            <w:tcW w:w="2552" w:type="dxa"/>
            <w:tcBorders>
              <w:top w:val="single" w:sz="4" w:space="0" w:color="000000"/>
              <w:left w:val="single" w:sz="4" w:space="0" w:color="000000"/>
              <w:bottom w:val="single" w:sz="4" w:space="0" w:color="000000"/>
              <w:right w:val="single" w:sz="4" w:space="0" w:color="000000"/>
            </w:tcBorders>
          </w:tcPr>
          <w:p w14:paraId="1A00D2E7" w14:textId="77777777" w:rsidR="004B081C" w:rsidRPr="001F2D84" w:rsidRDefault="004B081C" w:rsidP="009C4619">
            <w:pPr>
              <w:jc w:val="center"/>
            </w:pPr>
          </w:p>
        </w:tc>
        <w:tc>
          <w:tcPr>
            <w:tcW w:w="1920" w:type="dxa"/>
            <w:tcBorders>
              <w:top w:val="single" w:sz="4" w:space="0" w:color="000000"/>
              <w:left w:val="single" w:sz="4" w:space="0" w:color="000000"/>
              <w:bottom w:val="single" w:sz="4" w:space="0" w:color="000000"/>
            </w:tcBorders>
          </w:tcPr>
          <w:p w14:paraId="2CA79EFE" w14:textId="77777777" w:rsidR="004B081C" w:rsidRPr="001F2D84" w:rsidRDefault="004B081C" w:rsidP="009C4619">
            <w:pPr>
              <w:jc w:val="center"/>
            </w:pPr>
          </w:p>
        </w:tc>
      </w:tr>
    </w:tbl>
    <w:p w14:paraId="39B5FAED" w14:textId="77777777" w:rsidR="00110259" w:rsidRPr="001F2D84" w:rsidRDefault="00110259">
      <w:pPr>
        <w:pBdr>
          <w:top w:val="nil"/>
          <w:left w:val="nil"/>
          <w:bottom w:val="nil"/>
          <w:right w:val="nil"/>
          <w:between w:val="nil"/>
        </w:pBdr>
        <w:jc w:val="both"/>
      </w:pPr>
    </w:p>
    <w:p w14:paraId="1568364F" w14:textId="77777777" w:rsidR="004D021B" w:rsidRPr="001F2D84" w:rsidRDefault="004D021B">
      <w:pPr>
        <w:pBdr>
          <w:top w:val="nil"/>
          <w:left w:val="nil"/>
          <w:bottom w:val="nil"/>
          <w:right w:val="nil"/>
          <w:between w:val="nil"/>
        </w:pBdr>
        <w:jc w:val="both"/>
      </w:pPr>
    </w:p>
    <w:p w14:paraId="59F830DE" w14:textId="77777777" w:rsidR="004D021B" w:rsidRPr="001F2D84" w:rsidRDefault="005233FC">
      <w:pPr>
        <w:pBdr>
          <w:top w:val="nil"/>
          <w:left w:val="nil"/>
          <w:bottom w:val="nil"/>
          <w:right w:val="nil"/>
          <w:between w:val="nil"/>
        </w:pBdr>
        <w:jc w:val="both"/>
        <w:rPr>
          <w:b/>
        </w:rPr>
      </w:pPr>
      <w:r w:rsidRPr="001F2D84">
        <w:rPr>
          <w:b/>
        </w:rPr>
        <w:t xml:space="preserve">Informācija par </w:t>
      </w:r>
      <w:proofErr w:type="spellStart"/>
      <w:r w:rsidRPr="001F2D84">
        <w:rPr>
          <w:b/>
        </w:rPr>
        <w:t>starpministriju</w:t>
      </w:r>
      <w:proofErr w:type="spellEnd"/>
      <w:r w:rsidRPr="001F2D84">
        <w:rPr>
          <w:b/>
        </w:rPr>
        <w:t xml:space="preserve"> (starpinstitūciju) sanāksmi vai elektronisko saskaņošanu</w:t>
      </w:r>
    </w:p>
    <w:p w14:paraId="21778905" w14:textId="77777777" w:rsidR="004D021B" w:rsidRPr="001F2D84" w:rsidRDefault="004D021B">
      <w:pPr>
        <w:pBdr>
          <w:top w:val="nil"/>
          <w:left w:val="nil"/>
          <w:bottom w:val="nil"/>
          <w:right w:val="nil"/>
          <w:between w:val="nil"/>
        </w:pBdr>
        <w:jc w:val="both"/>
        <w:rPr>
          <w:b/>
        </w:rPr>
      </w:pPr>
    </w:p>
    <w:tbl>
      <w:tblPr>
        <w:tblStyle w:val="a1"/>
        <w:tblW w:w="12724" w:type="dxa"/>
        <w:tblLayout w:type="fixed"/>
        <w:tblLook w:val="0000" w:firstRow="0" w:lastRow="0" w:firstColumn="0" w:lastColumn="0" w:noHBand="0" w:noVBand="0"/>
      </w:tblPr>
      <w:tblGrid>
        <w:gridCol w:w="6338"/>
        <w:gridCol w:w="250"/>
        <w:gridCol w:w="5994"/>
        <w:gridCol w:w="142"/>
      </w:tblGrid>
      <w:tr w:rsidR="001F2D84" w:rsidRPr="001F2D84" w14:paraId="4118CD3E" w14:textId="77777777">
        <w:tc>
          <w:tcPr>
            <w:tcW w:w="6345" w:type="dxa"/>
          </w:tcPr>
          <w:p w14:paraId="01D04C87" w14:textId="77777777" w:rsidR="004D021B" w:rsidRPr="001F2D84" w:rsidRDefault="005233FC">
            <w:pPr>
              <w:pBdr>
                <w:top w:val="nil"/>
                <w:left w:val="nil"/>
                <w:bottom w:val="nil"/>
                <w:right w:val="nil"/>
                <w:between w:val="nil"/>
              </w:pBdr>
              <w:jc w:val="both"/>
            </w:pPr>
            <w:r w:rsidRPr="001F2D84">
              <w:t>Datums</w:t>
            </w:r>
          </w:p>
        </w:tc>
        <w:tc>
          <w:tcPr>
            <w:tcW w:w="6379" w:type="dxa"/>
            <w:gridSpan w:val="3"/>
            <w:tcBorders>
              <w:bottom w:val="single" w:sz="4" w:space="0" w:color="000000"/>
            </w:tcBorders>
          </w:tcPr>
          <w:p w14:paraId="2F148400" w14:textId="16F0457F" w:rsidR="004D021B" w:rsidRPr="001F2D84" w:rsidRDefault="000B7FDA">
            <w:pPr>
              <w:pBdr>
                <w:top w:val="nil"/>
                <w:left w:val="nil"/>
                <w:bottom w:val="nil"/>
                <w:right w:val="nil"/>
                <w:between w:val="nil"/>
              </w:pBdr>
            </w:pPr>
            <w:r>
              <w:t>Elektroniskā saskaņošana 2020.gada 13.-19.jūnijs</w:t>
            </w:r>
          </w:p>
        </w:tc>
      </w:tr>
      <w:tr w:rsidR="001F2D84" w:rsidRPr="001F2D84" w14:paraId="5CBCB39C" w14:textId="77777777">
        <w:trPr>
          <w:trHeight w:val="400"/>
        </w:trPr>
        <w:tc>
          <w:tcPr>
            <w:tcW w:w="6345" w:type="dxa"/>
          </w:tcPr>
          <w:p w14:paraId="6F869AD0" w14:textId="77777777" w:rsidR="004D021B" w:rsidRPr="001F2D84" w:rsidRDefault="004D021B">
            <w:pPr>
              <w:pBdr>
                <w:top w:val="nil"/>
                <w:left w:val="nil"/>
                <w:bottom w:val="nil"/>
                <w:right w:val="nil"/>
                <w:between w:val="nil"/>
              </w:pBdr>
              <w:jc w:val="both"/>
            </w:pPr>
          </w:p>
        </w:tc>
        <w:tc>
          <w:tcPr>
            <w:tcW w:w="6379" w:type="dxa"/>
            <w:gridSpan w:val="3"/>
            <w:tcBorders>
              <w:top w:val="single" w:sz="4" w:space="0" w:color="000000"/>
            </w:tcBorders>
          </w:tcPr>
          <w:p w14:paraId="19EE0EDB" w14:textId="77777777" w:rsidR="004D021B" w:rsidRPr="001F2D84" w:rsidRDefault="004D021B">
            <w:pPr>
              <w:pBdr>
                <w:top w:val="nil"/>
                <w:left w:val="nil"/>
                <w:bottom w:val="nil"/>
                <w:right w:val="nil"/>
                <w:between w:val="nil"/>
              </w:pBdr>
              <w:spacing w:before="100" w:after="100"/>
              <w:jc w:val="both"/>
            </w:pPr>
          </w:p>
        </w:tc>
      </w:tr>
      <w:tr w:rsidR="001F2D84" w:rsidRPr="001F2D84" w14:paraId="6D2D0D48" w14:textId="77777777">
        <w:tc>
          <w:tcPr>
            <w:tcW w:w="6345" w:type="dxa"/>
          </w:tcPr>
          <w:p w14:paraId="4E434F86" w14:textId="77777777" w:rsidR="004D021B" w:rsidRPr="001F2D84" w:rsidRDefault="005233FC">
            <w:pPr>
              <w:pBdr>
                <w:top w:val="nil"/>
                <w:left w:val="nil"/>
                <w:bottom w:val="nil"/>
                <w:right w:val="nil"/>
                <w:between w:val="nil"/>
              </w:pBdr>
            </w:pPr>
            <w:r w:rsidRPr="001F2D84">
              <w:t>Saskaņošanas dalībnieki</w:t>
            </w:r>
          </w:p>
        </w:tc>
        <w:tc>
          <w:tcPr>
            <w:tcW w:w="6379" w:type="dxa"/>
            <w:gridSpan w:val="3"/>
          </w:tcPr>
          <w:p w14:paraId="074E9815" w14:textId="0E579B8D" w:rsidR="004D021B" w:rsidRPr="001F2D84" w:rsidRDefault="00ED1145" w:rsidP="00185178">
            <w:pPr>
              <w:jc w:val="both"/>
            </w:pPr>
            <w:r w:rsidRPr="00ED1145">
              <w:t>Tieslietu ministrij</w:t>
            </w:r>
            <w:r>
              <w:t>a</w:t>
            </w:r>
            <w:r w:rsidRPr="00ED1145">
              <w:t>, Finanšu ministrij</w:t>
            </w:r>
            <w:r>
              <w:t>a</w:t>
            </w:r>
            <w:r w:rsidRPr="00ED1145">
              <w:t>, Kultūras ministrij</w:t>
            </w:r>
            <w:r>
              <w:t>a</w:t>
            </w:r>
            <w:r w:rsidRPr="00ED1145">
              <w:t>, Veselības ministrij</w:t>
            </w:r>
            <w:r>
              <w:t>a</w:t>
            </w:r>
            <w:r w:rsidRPr="00ED1145">
              <w:t>, Latvijas Pašvaldību savienīb</w:t>
            </w:r>
            <w:r>
              <w:t>a</w:t>
            </w:r>
            <w:r w:rsidRPr="00ED1145">
              <w:t xml:space="preserve"> un Latvijas Brīvo arodbiedrību savienīb</w:t>
            </w:r>
            <w:r>
              <w:t>a</w:t>
            </w:r>
          </w:p>
        </w:tc>
      </w:tr>
      <w:tr w:rsidR="001F2D84" w:rsidRPr="001F2D84" w14:paraId="627B8EBB" w14:textId="77777777">
        <w:tc>
          <w:tcPr>
            <w:tcW w:w="6345" w:type="dxa"/>
          </w:tcPr>
          <w:p w14:paraId="74637113" w14:textId="77777777" w:rsidR="004D021B" w:rsidRPr="001F2D84" w:rsidRDefault="005233FC">
            <w:pPr>
              <w:pBdr>
                <w:top w:val="nil"/>
                <w:left w:val="nil"/>
                <w:bottom w:val="nil"/>
                <w:right w:val="nil"/>
                <w:between w:val="nil"/>
              </w:pBdr>
              <w:ind w:firstLine="720"/>
            </w:pPr>
            <w:r w:rsidRPr="001F2D84">
              <w:t>  </w:t>
            </w:r>
          </w:p>
        </w:tc>
        <w:tc>
          <w:tcPr>
            <w:tcW w:w="6379" w:type="dxa"/>
            <w:gridSpan w:val="3"/>
            <w:tcBorders>
              <w:top w:val="single" w:sz="6" w:space="0" w:color="000000"/>
              <w:bottom w:val="single" w:sz="6" w:space="0" w:color="000000"/>
            </w:tcBorders>
          </w:tcPr>
          <w:p w14:paraId="25F5D1BA" w14:textId="77777777" w:rsidR="004D021B" w:rsidRPr="001F2D84" w:rsidRDefault="004D021B">
            <w:pPr>
              <w:pBdr>
                <w:top w:val="nil"/>
                <w:left w:val="nil"/>
                <w:bottom w:val="nil"/>
                <w:right w:val="nil"/>
                <w:between w:val="nil"/>
              </w:pBdr>
              <w:rPr>
                <w:strike/>
              </w:rPr>
            </w:pPr>
          </w:p>
        </w:tc>
      </w:tr>
      <w:tr w:rsidR="001F2D84" w:rsidRPr="001F2D84" w14:paraId="5EF18393" w14:textId="77777777">
        <w:trPr>
          <w:gridAfter w:val="2"/>
          <w:wAfter w:w="6143" w:type="dxa"/>
          <w:trHeight w:val="280"/>
        </w:trPr>
        <w:tc>
          <w:tcPr>
            <w:tcW w:w="6345" w:type="dxa"/>
          </w:tcPr>
          <w:p w14:paraId="391F84AF" w14:textId="77777777" w:rsidR="004D021B" w:rsidRPr="001F2D84" w:rsidRDefault="004D021B">
            <w:pPr>
              <w:pBdr>
                <w:top w:val="nil"/>
                <w:left w:val="nil"/>
                <w:bottom w:val="nil"/>
                <w:right w:val="nil"/>
                <w:between w:val="nil"/>
              </w:pBdr>
            </w:pPr>
          </w:p>
        </w:tc>
        <w:tc>
          <w:tcPr>
            <w:tcW w:w="236" w:type="dxa"/>
          </w:tcPr>
          <w:p w14:paraId="093204DF" w14:textId="77777777" w:rsidR="004D021B" w:rsidRPr="001F2D84" w:rsidRDefault="004D021B">
            <w:pPr>
              <w:pBdr>
                <w:top w:val="nil"/>
                <w:left w:val="nil"/>
                <w:bottom w:val="nil"/>
                <w:right w:val="nil"/>
                <w:between w:val="nil"/>
              </w:pBdr>
              <w:ind w:firstLine="720"/>
              <w:rPr>
                <w:strike/>
              </w:rPr>
            </w:pPr>
          </w:p>
        </w:tc>
      </w:tr>
      <w:tr w:rsidR="001F2D84" w:rsidRPr="001F2D84" w14:paraId="749B870F" w14:textId="77777777">
        <w:trPr>
          <w:gridAfter w:val="1"/>
          <w:wAfter w:w="142" w:type="dxa"/>
          <w:trHeight w:val="280"/>
        </w:trPr>
        <w:tc>
          <w:tcPr>
            <w:tcW w:w="6345" w:type="dxa"/>
          </w:tcPr>
          <w:p w14:paraId="725190D1" w14:textId="77777777" w:rsidR="004D021B" w:rsidRPr="001F2D84" w:rsidRDefault="005233FC">
            <w:pPr>
              <w:pBdr>
                <w:top w:val="nil"/>
                <w:left w:val="nil"/>
                <w:bottom w:val="nil"/>
                <w:right w:val="nil"/>
                <w:between w:val="nil"/>
              </w:pBdr>
            </w:pPr>
            <w:r w:rsidRPr="001F2D84">
              <w:t>Saskaņošanas dalībnieki izskatīja šādu ministriju (citu institūciju) iebildumus</w:t>
            </w:r>
          </w:p>
        </w:tc>
        <w:tc>
          <w:tcPr>
            <w:tcW w:w="236" w:type="dxa"/>
          </w:tcPr>
          <w:p w14:paraId="3E2D89C7" w14:textId="77777777" w:rsidR="004D021B" w:rsidRPr="001F2D84" w:rsidRDefault="004D021B">
            <w:pPr>
              <w:pBdr>
                <w:top w:val="nil"/>
                <w:left w:val="nil"/>
                <w:bottom w:val="nil"/>
                <w:right w:val="nil"/>
                <w:between w:val="nil"/>
              </w:pBdr>
              <w:ind w:firstLine="720"/>
            </w:pPr>
          </w:p>
        </w:tc>
        <w:tc>
          <w:tcPr>
            <w:tcW w:w="6001" w:type="dxa"/>
          </w:tcPr>
          <w:p w14:paraId="740B67D7" w14:textId="51F71BFB" w:rsidR="004D021B" w:rsidRPr="001F2D84" w:rsidRDefault="00E92E5D" w:rsidP="00570BA0">
            <w:pPr>
              <w:pBdr>
                <w:top w:val="nil"/>
                <w:left w:val="nil"/>
                <w:bottom w:val="nil"/>
                <w:right w:val="nil"/>
                <w:between w:val="nil"/>
              </w:pBdr>
              <w:jc w:val="both"/>
            </w:pPr>
            <w:r w:rsidRPr="00ED1145">
              <w:t>Tieslietu ministrij</w:t>
            </w:r>
            <w:r>
              <w:t>as</w:t>
            </w:r>
          </w:p>
        </w:tc>
      </w:tr>
      <w:tr w:rsidR="001F2D84" w:rsidRPr="001F2D84" w14:paraId="0417BB5B" w14:textId="77777777">
        <w:trPr>
          <w:gridAfter w:val="1"/>
          <w:wAfter w:w="142" w:type="dxa"/>
          <w:trHeight w:val="460"/>
        </w:trPr>
        <w:tc>
          <w:tcPr>
            <w:tcW w:w="6345" w:type="dxa"/>
          </w:tcPr>
          <w:p w14:paraId="0D993048" w14:textId="77777777" w:rsidR="004D021B" w:rsidRPr="001F2D84" w:rsidRDefault="005233FC">
            <w:pPr>
              <w:pBdr>
                <w:top w:val="nil"/>
                <w:left w:val="nil"/>
                <w:bottom w:val="nil"/>
                <w:right w:val="nil"/>
                <w:between w:val="nil"/>
              </w:pBdr>
            </w:pPr>
            <w:r w:rsidRPr="001F2D84">
              <w:lastRenderedPageBreak/>
              <w:t>Ministrijas (citas institūcijas), kuras nav ieradušās uz sanāksmi vai kuras nav atbildējušas uz uzaicinājumu piedalīties elektroniskajā saskaņošanā </w:t>
            </w:r>
          </w:p>
        </w:tc>
        <w:tc>
          <w:tcPr>
            <w:tcW w:w="6237" w:type="dxa"/>
            <w:gridSpan w:val="2"/>
            <w:tcBorders>
              <w:top w:val="single" w:sz="6" w:space="0" w:color="000000"/>
              <w:bottom w:val="single" w:sz="6" w:space="0" w:color="000000"/>
            </w:tcBorders>
          </w:tcPr>
          <w:p w14:paraId="48DDE7F0" w14:textId="17C52855" w:rsidR="004D021B" w:rsidRPr="001F2D84" w:rsidRDefault="0044638F" w:rsidP="00126388">
            <w:pPr>
              <w:pBdr>
                <w:top w:val="nil"/>
                <w:left w:val="nil"/>
                <w:bottom w:val="nil"/>
                <w:right w:val="nil"/>
                <w:between w:val="nil"/>
              </w:pBdr>
              <w:ind w:left="183"/>
              <w:jc w:val="both"/>
            </w:pPr>
            <w:r w:rsidRPr="00ED1145">
              <w:t>Tieslietu ministrij</w:t>
            </w:r>
            <w:r>
              <w:t xml:space="preserve">a un </w:t>
            </w:r>
            <w:r w:rsidRPr="00ED1145">
              <w:t>Finanšu ministrij</w:t>
            </w:r>
            <w:r>
              <w:t>a</w:t>
            </w:r>
          </w:p>
        </w:tc>
      </w:tr>
      <w:tr w:rsidR="001F2D84" w:rsidRPr="001F2D84" w14:paraId="259F8DEA" w14:textId="77777777">
        <w:trPr>
          <w:gridAfter w:val="1"/>
          <w:wAfter w:w="142" w:type="dxa"/>
        </w:trPr>
        <w:tc>
          <w:tcPr>
            <w:tcW w:w="6345" w:type="dxa"/>
          </w:tcPr>
          <w:p w14:paraId="1D7B4B62" w14:textId="77777777" w:rsidR="004D021B" w:rsidRPr="001F2D84" w:rsidRDefault="004D021B">
            <w:pPr>
              <w:pBdr>
                <w:top w:val="nil"/>
                <w:left w:val="nil"/>
                <w:bottom w:val="nil"/>
                <w:right w:val="nil"/>
                <w:between w:val="nil"/>
              </w:pBdr>
            </w:pPr>
          </w:p>
        </w:tc>
        <w:tc>
          <w:tcPr>
            <w:tcW w:w="6237" w:type="dxa"/>
            <w:gridSpan w:val="2"/>
          </w:tcPr>
          <w:p w14:paraId="1E07A05B" w14:textId="77777777" w:rsidR="004D021B" w:rsidRPr="001F2D84" w:rsidRDefault="004D021B">
            <w:pPr>
              <w:pBdr>
                <w:top w:val="nil"/>
                <w:left w:val="nil"/>
                <w:bottom w:val="nil"/>
                <w:right w:val="nil"/>
                <w:between w:val="nil"/>
              </w:pBdr>
            </w:pPr>
          </w:p>
        </w:tc>
      </w:tr>
    </w:tbl>
    <w:p w14:paraId="75140F17" w14:textId="77777777" w:rsidR="004D021B" w:rsidRPr="001F2D84" w:rsidRDefault="005233FC">
      <w:pPr>
        <w:pBdr>
          <w:top w:val="nil"/>
          <w:left w:val="nil"/>
          <w:bottom w:val="nil"/>
          <w:right w:val="nil"/>
          <w:between w:val="nil"/>
        </w:pBdr>
        <w:jc w:val="center"/>
        <w:rPr>
          <w:b/>
        </w:rPr>
      </w:pPr>
      <w:r w:rsidRPr="001F2D84">
        <w:rPr>
          <w:b/>
        </w:rPr>
        <w:t>II. Jautājumi, par kuriem saskaņošanā vienošanās ir panākta</w:t>
      </w:r>
    </w:p>
    <w:p w14:paraId="1D93D154" w14:textId="77777777" w:rsidR="004D021B" w:rsidRPr="001F2D84" w:rsidRDefault="004D021B">
      <w:pPr>
        <w:pBdr>
          <w:top w:val="nil"/>
          <w:left w:val="nil"/>
          <w:bottom w:val="nil"/>
          <w:right w:val="nil"/>
          <w:between w:val="nil"/>
        </w:pBdr>
        <w:ind w:firstLine="720"/>
        <w:jc w:val="both"/>
      </w:pPr>
    </w:p>
    <w:tbl>
      <w:tblPr>
        <w:tblStyle w:val="a2"/>
        <w:tblW w:w="15026" w:type="dxa"/>
        <w:tblInd w:w="-60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3209"/>
        <w:gridCol w:w="4106"/>
        <w:gridCol w:w="2971"/>
        <w:gridCol w:w="4173"/>
      </w:tblGrid>
      <w:tr w:rsidR="001F2D84" w:rsidRPr="001F2D84" w14:paraId="6D09B4B5" w14:textId="77777777" w:rsidTr="00C860FE">
        <w:tc>
          <w:tcPr>
            <w:tcW w:w="567" w:type="dxa"/>
            <w:tcBorders>
              <w:top w:val="single" w:sz="6" w:space="0" w:color="000000"/>
              <w:left w:val="single" w:sz="6" w:space="0" w:color="000000"/>
              <w:bottom w:val="single" w:sz="6" w:space="0" w:color="000000"/>
              <w:right w:val="single" w:sz="6" w:space="0" w:color="000000"/>
            </w:tcBorders>
            <w:vAlign w:val="center"/>
          </w:tcPr>
          <w:p w14:paraId="4AD2539D" w14:textId="77777777" w:rsidR="004D021B" w:rsidRPr="001F2D84" w:rsidRDefault="005233FC">
            <w:pPr>
              <w:pBdr>
                <w:top w:val="nil"/>
                <w:left w:val="nil"/>
                <w:bottom w:val="nil"/>
                <w:right w:val="nil"/>
                <w:between w:val="nil"/>
              </w:pBdr>
              <w:jc w:val="center"/>
            </w:pPr>
            <w:r w:rsidRPr="001F2D84">
              <w:t xml:space="preserve">Nr. </w:t>
            </w:r>
            <w:proofErr w:type="spellStart"/>
            <w:r w:rsidRPr="001F2D84">
              <w:t>p.k</w:t>
            </w:r>
            <w:proofErr w:type="spellEnd"/>
          </w:p>
        </w:tc>
        <w:tc>
          <w:tcPr>
            <w:tcW w:w="3209" w:type="dxa"/>
            <w:tcBorders>
              <w:top w:val="single" w:sz="6" w:space="0" w:color="000000"/>
              <w:left w:val="single" w:sz="6" w:space="0" w:color="000000"/>
              <w:bottom w:val="single" w:sz="6" w:space="0" w:color="000000"/>
              <w:right w:val="single" w:sz="6" w:space="0" w:color="000000"/>
            </w:tcBorders>
            <w:vAlign w:val="center"/>
          </w:tcPr>
          <w:p w14:paraId="01DE8E8C" w14:textId="77777777" w:rsidR="004D021B" w:rsidRPr="004E3633" w:rsidRDefault="005233FC">
            <w:pPr>
              <w:pBdr>
                <w:top w:val="nil"/>
                <w:left w:val="nil"/>
                <w:bottom w:val="nil"/>
                <w:right w:val="nil"/>
                <w:between w:val="nil"/>
              </w:pBdr>
              <w:ind w:firstLine="12"/>
              <w:jc w:val="both"/>
              <w:rPr>
                <w:sz w:val="22"/>
                <w:szCs w:val="22"/>
              </w:rPr>
            </w:pPr>
            <w:r w:rsidRPr="004E3633">
              <w:rPr>
                <w:sz w:val="22"/>
                <w:szCs w:val="22"/>
              </w:rPr>
              <w:t>Saskaņošanai nosūtītā projekta redakcija (konkrēta punkta (panta) redakcija)</w:t>
            </w:r>
          </w:p>
        </w:tc>
        <w:tc>
          <w:tcPr>
            <w:tcW w:w="4106" w:type="dxa"/>
            <w:tcBorders>
              <w:top w:val="single" w:sz="6" w:space="0" w:color="000000"/>
              <w:left w:val="single" w:sz="6" w:space="0" w:color="000000"/>
              <w:bottom w:val="single" w:sz="6" w:space="0" w:color="000000"/>
              <w:right w:val="single" w:sz="6" w:space="0" w:color="000000"/>
            </w:tcBorders>
            <w:vAlign w:val="center"/>
          </w:tcPr>
          <w:p w14:paraId="520F4289" w14:textId="77777777" w:rsidR="004D021B" w:rsidRPr="004E3633" w:rsidRDefault="005233FC">
            <w:pPr>
              <w:pBdr>
                <w:top w:val="nil"/>
                <w:left w:val="nil"/>
                <w:bottom w:val="nil"/>
                <w:right w:val="nil"/>
                <w:between w:val="nil"/>
              </w:pBdr>
              <w:ind w:right="3"/>
              <w:jc w:val="both"/>
              <w:rPr>
                <w:sz w:val="22"/>
                <w:szCs w:val="22"/>
              </w:rPr>
            </w:pPr>
            <w:r w:rsidRPr="004E3633">
              <w:rPr>
                <w:sz w:val="22"/>
                <w:szCs w:val="22"/>
              </w:rPr>
              <w:t>Atzinumā norādītais ministrijas (citas institūcijas) iebildums, kā arī saskaņošanā papildus izteiktais iebildums par projekta konkrēto punktu (pantu)</w:t>
            </w:r>
          </w:p>
        </w:tc>
        <w:tc>
          <w:tcPr>
            <w:tcW w:w="2971" w:type="dxa"/>
            <w:tcBorders>
              <w:top w:val="single" w:sz="6" w:space="0" w:color="000000"/>
              <w:left w:val="single" w:sz="6" w:space="0" w:color="000000"/>
              <w:bottom w:val="single" w:sz="6" w:space="0" w:color="000000"/>
              <w:right w:val="single" w:sz="6" w:space="0" w:color="000000"/>
            </w:tcBorders>
            <w:vAlign w:val="center"/>
          </w:tcPr>
          <w:p w14:paraId="2E786C06" w14:textId="77777777" w:rsidR="004D021B" w:rsidRPr="004E3633" w:rsidRDefault="005233FC">
            <w:pPr>
              <w:pBdr>
                <w:top w:val="nil"/>
                <w:left w:val="nil"/>
                <w:bottom w:val="nil"/>
                <w:right w:val="nil"/>
                <w:between w:val="nil"/>
              </w:pBdr>
              <w:ind w:firstLine="21"/>
              <w:jc w:val="both"/>
              <w:rPr>
                <w:sz w:val="22"/>
                <w:szCs w:val="22"/>
              </w:rPr>
            </w:pPr>
            <w:r w:rsidRPr="004E3633">
              <w:rPr>
                <w:sz w:val="22"/>
                <w:szCs w:val="22"/>
              </w:rPr>
              <w:t>Atbildīgās ministrijas norāde par to, ka iebildums ir ņemts vērā, vai informācija par saskaņošanā panākto alternatīvo risinājumu</w:t>
            </w:r>
          </w:p>
        </w:tc>
        <w:tc>
          <w:tcPr>
            <w:tcW w:w="4173" w:type="dxa"/>
            <w:tcBorders>
              <w:top w:val="single" w:sz="4" w:space="0" w:color="000000"/>
              <w:left w:val="single" w:sz="4" w:space="0" w:color="000000"/>
              <w:bottom w:val="single" w:sz="4" w:space="0" w:color="000000"/>
            </w:tcBorders>
            <w:vAlign w:val="center"/>
          </w:tcPr>
          <w:p w14:paraId="5CD4DC06" w14:textId="77777777" w:rsidR="004D021B" w:rsidRPr="004E3633" w:rsidRDefault="005233FC">
            <w:pPr>
              <w:jc w:val="both"/>
              <w:rPr>
                <w:sz w:val="22"/>
                <w:szCs w:val="22"/>
              </w:rPr>
            </w:pPr>
            <w:r w:rsidRPr="004E3633">
              <w:rPr>
                <w:sz w:val="22"/>
                <w:szCs w:val="22"/>
              </w:rPr>
              <w:t>Projekta attiecīgā punkta (panta) galīgā redakcija</w:t>
            </w:r>
          </w:p>
        </w:tc>
      </w:tr>
      <w:tr w:rsidR="001F2D84" w:rsidRPr="001F2D84" w14:paraId="3757792C"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28667E7D" w14:textId="77777777" w:rsidR="004D021B" w:rsidRPr="001F2D84" w:rsidRDefault="005233FC">
            <w:pPr>
              <w:pBdr>
                <w:top w:val="nil"/>
                <w:left w:val="nil"/>
                <w:bottom w:val="nil"/>
                <w:right w:val="nil"/>
                <w:between w:val="nil"/>
              </w:pBdr>
              <w:jc w:val="center"/>
            </w:pPr>
            <w:r w:rsidRPr="001F2D84">
              <w:t>1</w:t>
            </w:r>
          </w:p>
        </w:tc>
        <w:tc>
          <w:tcPr>
            <w:tcW w:w="3209" w:type="dxa"/>
            <w:tcBorders>
              <w:top w:val="single" w:sz="6" w:space="0" w:color="000000"/>
              <w:left w:val="single" w:sz="6" w:space="0" w:color="000000"/>
              <w:bottom w:val="single" w:sz="6" w:space="0" w:color="000000"/>
              <w:right w:val="single" w:sz="6" w:space="0" w:color="000000"/>
            </w:tcBorders>
          </w:tcPr>
          <w:p w14:paraId="7F0F4943" w14:textId="77777777" w:rsidR="004D021B" w:rsidRPr="004E3633" w:rsidRDefault="005233FC">
            <w:pPr>
              <w:pBdr>
                <w:top w:val="nil"/>
                <w:left w:val="nil"/>
                <w:bottom w:val="nil"/>
                <w:right w:val="nil"/>
                <w:between w:val="nil"/>
              </w:pBdr>
              <w:ind w:firstLine="720"/>
              <w:jc w:val="center"/>
              <w:rPr>
                <w:sz w:val="22"/>
                <w:szCs w:val="22"/>
              </w:rPr>
            </w:pPr>
            <w:r w:rsidRPr="004E3633">
              <w:rPr>
                <w:sz w:val="22"/>
                <w:szCs w:val="22"/>
              </w:rPr>
              <w:t>2</w:t>
            </w:r>
          </w:p>
        </w:tc>
        <w:tc>
          <w:tcPr>
            <w:tcW w:w="4106" w:type="dxa"/>
            <w:tcBorders>
              <w:top w:val="single" w:sz="6" w:space="0" w:color="000000"/>
              <w:left w:val="single" w:sz="6" w:space="0" w:color="000000"/>
              <w:bottom w:val="single" w:sz="6" w:space="0" w:color="000000"/>
              <w:right w:val="single" w:sz="6" w:space="0" w:color="000000"/>
            </w:tcBorders>
          </w:tcPr>
          <w:p w14:paraId="087A96F7" w14:textId="77777777" w:rsidR="004D021B" w:rsidRPr="004E3633" w:rsidRDefault="005233FC">
            <w:pPr>
              <w:pBdr>
                <w:top w:val="nil"/>
                <w:left w:val="nil"/>
                <w:bottom w:val="nil"/>
                <w:right w:val="nil"/>
                <w:between w:val="nil"/>
              </w:pBdr>
              <w:ind w:firstLine="720"/>
              <w:jc w:val="center"/>
              <w:rPr>
                <w:sz w:val="22"/>
                <w:szCs w:val="22"/>
              </w:rPr>
            </w:pPr>
            <w:r w:rsidRPr="004E3633">
              <w:rPr>
                <w:sz w:val="22"/>
                <w:szCs w:val="22"/>
              </w:rPr>
              <w:t>3</w:t>
            </w:r>
          </w:p>
        </w:tc>
        <w:tc>
          <w:tcPr>
            <w:tcW w:w="2971" w:type="dxa"/>
            <w:tcBorders>
              <w:top w:val="single" w:sz="6" w:space="0" w:color="000000"/>
              <w:left w:val="single" w:sz="6" w:space="0" w:color="000000"/>
              <w:bottom w:val="single" w:sz="6" w:space="0" w:color="000000"/>
              <w:right w:val="single" w:sz="6" w:space="0" w:color="000000"/>
            </w:tcBorders>
          </w:tcPr>
          <w:p w14:paraId="61FE2C83" w14:textId="77777777" w:rsidR="004D021B" w:rsidRPr="004E3633" w:rsidRDefault="005233FC">
            <w:pPr>
              <w:pBdr>
                <w:top w:val="nil"/>
                <w:left w:val="nil"/>
                <w:bottom w:val="nil"/>
                <w:right w:val="nil"/>
                <w:between w:val="nil"/>
              </w:pBdr>
              <w:ind w:firstLine="720"/>
              <w:jc w:val="center"/>
              <w:rPr>
                <w:sz w:val="22"/>
                <w:szCs w:val="22"/>
              </w:rPr>
            </w:pPr>
            <w:r w:rsidRPr="004E3633">
              <w:rPr>
                <w:sz w:val="22"/>
                <w:szCs w:val="22"/>
              </w:rPr>
              <w:t>4</w:t>
            </w:r>
          </w:p>
        </w:tc>
        <w:tc>
          <w:tcPr>
            <w:tcW w:w="4173" w:type="dxa"/>
            <w:tcBorders>
              <w:top w:val="single" w:sz="4" w:space="0" w:color="000000"/>
              <w:left w:val="single" w:sz="4" w:space="0" w:color="000000"/>
              <w:bottom w:val="single" w:sz="4" w:space="0" w:color="000000"/>
            </w:tcBorders>
          </w:tcPr>
          <w:p w14:paraId="6EFE92ED" w14:textId="77777777" w:rsidR="004D021B" w:rsidRPr="004E3633" w:rsidRDefault="005233FC">
            <w:pPr>
              <w:jc w:val="center"/>
              <w:rPr>
                <w:sz w:val="22"/>
                <w:szCs w:val="22"/>
              </w:rPr>
            </w:pPr>
            <w:r w:rsidRPr="004E3633">
              <w:rPr>
                <w:sz w:val="22"/>
                <w:szCs w:val="22"/>
              </w:rPr>
              <w:t>5</w:t>
            </w:r>
          </w:p>
        </w:tc>
      </w:tr>
      <w:tr w:rsidR="00ED1145" w:rsidRPr="000F409E" w14:paraId="13470A5D"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72A53F0B" w14:textId="77777777" w:rsidR="00ED1145" w:rsidRPr="000F409E" w:rsidRDefault="00E92E5D" w:rsidP="000F409E">
            <w:pPr>
              <w:pBdr>
                <w:top w:val="nil"/>
                <w:left w:val="nil"/>
                <w:bottom w:val="nil"/>
                <w:right w:val="nil"/>
                <w:between w:val="nil"/>
              </w:pBdr>
              <w:jc w:val="both"/>
            </w:pPr>
            <w:r w:rsidRPr="000F409E">
              <w:t>1.</w:t>
            </w:r>
          </w:p>
        </w:tc>
        <w:tc>
          <w:tcPr>
            <w:tcW w:w="3209" w:type="dxa"/>
            <w:tcBorders>
              <w:top w:val="single" w:sz="6" w:space="0" w:color="000000"/>
              <w:left w:val="single" w:sz="6" w:space="0" w:color="000000"/>
              <w:bottom w:val="single" w:sz="6" w:space="0" w:color="000000"/>
              <w:right w:val="single" w:sz="6" w:space="0" w:color="000000"/>
            </w:tcBorders>
          </w:tcPr>
          <w:p w14:paraId="487081A1" w14:textId="77777777" w:rsidR="00ED1145" w:rsidRPr="004E3633" w:rsidRDefault="00E92E5D" w:rsidP="000F409E">
            <w:pPr>
              <w:pBdr>
                <w:top w:val="nil"/>
                <w:left w:val="nil"/>
                <w:bottom w:val="nil"/>
                <w:right w:val="nil"/>
                <w:between w:val="nil"/>
              </w:pBdr>
              <w:jc w:val="both"/>
              <w:rPr>
                <w:sz w:val="22"/>
                <w:szCs w:val="22"/>
              </w:rPr>
            </w:pPr>
            <w:r w:rsidRPr="004E3633">
              <w:rPr>
                <w:iCs/>
                <w:sz w:val="22"/>
                <w:szCs w:val="22"/>
              </w:rPr>
              <w:t>Projekta anotācijas II sadaļas 1.</w:t>
            </w:r>
            <w:r w:rsidR="007E3924" w:rsidRPr="004E3633">
              <w:rPr>
                <w:iCs/>
                <w:sz w:val="22"/>
                <w:szCs w:val="22"/>
              </w:rPr>
              <w:t xml:space="preserve"> un 2.</w:t>
            </w:r>
            <w:r w:rsidRPr="004E3633">
              <w:rPr>
                <w:iCs/>
                <w:sz w:val="22"/>
                <w:szCs w:val="22"/>
              </w:rPr>
              <w:t> punkt</w:t>
            </w:r>
            <w:r w:rsidR="007E3924" w:rsidRPr="004E3633">
              <w:rPr>
                <w:iCs/>
                <w:sz w:val="22"/>
                <w:szCs w:val="22"/>
              </w:rPr>
              <w:t>s</w:t>
            </w:r>
          </w:p>
        </w:tc>
        <w:tc>
          <w:tcPr>
            <w:tcW w:w="4106" w:type="dxa"/>
            <w:tcBorders>
              <w:top w:val="single" w:sz="6" w:space="0" w:color="000000"/>
              <w:left w:val="single" w:sz="6" w:space="0" w:color="000000"/>
              <w:bottom w:val="single" w:sz="6" w:space="0" w:color="000000"/>
              <w:right w:val="single" w:sz="6" w:space="0" w:color="000000"/>
            </w:tcBorders>
          </w:tcPr>
          <w:p w14:paraId="1F29E86A" w14:textId="77777777" w:rsidR="00E92E5D" w:rsidRPr="004E3633" w:rsidRDefault="00E92E5D" w:rsidP="000F409E">
            <w:pPr>
              <w:suppressAutoHyphens/>
              <w:ind w:firstLine="720"/>
              <w:contextualSpacing/>
              <w:jc w:val="both"/>
              <w:outlineLvl w:val="0"/>
              <w:rPr>
                <w:iCs/>
                <w:sz w:val="22"/>
                <w:szCs w:val="22"/>
              </w:rPr>
            </w:pPr>
            <w:r w:rsidRPr="004E3633">
              <w:rPr>
                <w:b/>
                <w:bCs/>
                <w:sz w:val="22"/>
                <w:szCs w:val="22"/>
                <w:lang w:eastAsia="zh-CN"/>
              </w:rPr>
              <w:t>Tieslietu ministrija</w:t>
            </w:r>
            <w:r w:rsidRPr="004E3633">
              <w:rPr>
                <w:sz w:val="22"/>
                <w:szCs w:val="22"/>
                <w:lang w:eastAsia="zh-CN"/>
              </w:rPr>
              <w:t xml:space="preserve"> </w:t>
            </w:r>
          </w:p>
          <w:p w14:paraId="25C5E5B4" w14:textId="77777777" w:rsidR="00E92E5D" w:rsidRPr="004E3633" w:rsidRDefault="00E92E5D" w:rsidP="000F409E">
            <w:pPr>
              <w:suppressAutoHyphens/>
              <w:ind w:firstLine="720"/>
              <w:contextualSpacing/>
              <w:jc w:val="both"/>
              <w:outlineLvl w:val="0"/>
              <w:rPr>
                <w:iCs/>
                <w:sz w:val="22"/>
                <w:szCs w:val="22"/>
              </w:rPr>
            </w:pPr>
            <w:r w:rsidRPr="004E3633">
              <w:rPr>
                <w:b/>
                <w:bCs/>
                <w:iCs/>
                <w:sz w:val="22"/>
                <w:szCs w:val="22"/>
              </w:rPr>
              <w:t>1.</w:t>
            </w:r>
            <w:r w:rsidRPr="004E3633">
              <w:rPr>
                <w:iCs/>
                <w:sz w:val="22"/>
                <w:szCs w:val="22"/>
              </w:rPr>
              <w:t xml:space="preserve"> Lūdzam precizēt projekta anotācijas II sadaļas 1. punktu atbilstoši </w:t>
            </w:r>
            <w:r w:rsidRPr="004E3633">
              <w:rPr>
                <w:sz w:val="22"/>
                <w:szCs w:val="22"/>
              </w:rPr>
              <w:t xml:space="preserve">Ministru kabineta 2009. gada 15. decembra instrukcijas Nr. 19 "Tiesību akta projekta sākotnējās ietekmes izvērtēšanas kārtība" (turpmāk – MK instrukcija Nr. 19) </w:t>
            </w:r>
            <w:r w:rsidRPr="004E3633">
              <w:rPr>
                <w:iCs/>
                <w:sz w:val="22"/>
                <w:szCs w:val="22"/>
              </w:rPr>
              <w:t xml:space="preserve">20. punkta prasībām, norādot visas sabiedrības </w:t>
            </w:r>
            <w:proofErr w:type="spellStart"/>
            <w:r w:rsidRPr="004E3633">
              <w:rPr>
                <w:iCs/>
                <w:sz w:val="22"/>
                <w:szCs w:val="22"/>
              </w:rPr>
              <w:t>mērķgrupas</w:t>
            </w:r>
            <w:proofErr w:type="spellEnd"/>
            <w:r w:rsidRPr="004E3633">
              <w:rPr>
                <w:iCs/>
                <w:sz w:val="22"/>
                <w:szCs w:val="22"/>
              </w:rPr>
              <w:t xml:space="preserve">, uz kurām attiecināms projekta tiesiskais regulējums tiešā un netiešā veidā, t.i., kuru tiesības, pienākumus, finanses vai iespējas projekts ietekmē vai varētu ietekmēt. Ar sabiedrības </w:t>
            </w:r>
            <w:proofErr w:type="spellStart"/>
            <w:r w:rsidRPr="004E3633">
              <w:rPr>
                <w:iCs/>
                <w:sz w:val="22"/>
                <w:szCs w:val="22"/>
              </w:rPr>
              <w:t>mērķgrupu</w:t>
            </w:r>
            <w:proofErr w:type="spellEnd"/>
            <w:r w:rsidRPr="004E3633">
              <w:rPr>
                <w:iCs/>
                <w:sz w:val="22"/>
                <w:szCs w:val="22"/>
              </w:rPr>
              <w:t xml:space="preserve"> saprot jebkuru fizisku vai juridisku personu grupu (tai skaitā valsts un pašvaldību iestādēs nodarbinātos), kuru skar projektā paredzētais regulējums. Saskatām, ka projekts esošajā redakcijā skar arī pašvaldību darbiniekus, izglītības iestādes, Valsts izglītības satura centra darbiniekus.</w:t>
            </w:r>
          </w:p>
          <w:p w14:paraId="3409F0E6"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xml:space="preserve">Tāpat nepieciešams veikt ietekmes </w:t>
            </w:r>
            <w:proofErr w:type="spellStart"/>
            <w:r w:rsidRPr="004E3633">
              <w:rPr>
                <w:iCs/>
                <w:sz w:val="22"/>
                <w:szCs w:val="22"/>
              </w:rPr>
              <w:t>izvērtējumu</w:t>
            </w:r>
            <w:proofErr w:type="spellEnd"/>
            <w:r w:rsidRPr="004E3633">
              <w:rPr>
                <w:iCs/>
                <w:sz w:val="22"/>
                <w:szCs w:val="22"/>
              </w:rPr>
              <w:t xml:space="preserve"> anotācijas II sadaļā atbilstoši MK instrukcijai Nr. 19 uz katru sabiedrības </w:t>
            </w:r>
            <w:proofErr w:type="spellStart"/>
            <w:r w:rsidRPr="004E3633">
              <w:rPr>
                <w:iCs/>
                <w:sz w:val="22"/>
                <w:szCs w:val="22"/>
              </w:rPr>
              <w:t>mērķgrupu</w:t>
            </w:r>
            <w:proofErr w:type="spellEnd"/>
            <w:r w:rsidRPr="004E3633">
              <w:rPr>
                <w:iCs/>
                <w:sz w:val="22"/>
                <w:szCs w:val="22"/>
              </w:rPr>
              <w:t xml:space="preserve">. Vēršam uzmanību, ka </w:t>
            </w:r>
            <w:r w:rsidRPr="004E3633">
              <w:rPr>
                <w:iCs/>
                <w:sz w:val="22"/>
                <w:szCs w:val="22"/>
              </w:rPr>
              <w:lastRenderedPageBreak/>
              <w:t xml:space="preserve">administratīvais slogs var radīt administratīvās un atbilstības izmaksas. Atbilstības izmaksas var radīt obligāts pienākums veikt noteiktu darbību. </w:t>
            </w:r>
          </w:p>
          <w:p w14:paraId="7C6B7E78" w14:textId="77777777" w:rsidR="00E92E5D" w:rsidRPr="004E3633" w:rsidRDefault="00E92E5D" w:rsidP="000F409E">
            <w:pPr>
              <w:suppressAutoHyphens/>
              <w:ind w:firstLine="720"/>
              <w:contextualSpacing/>
              <w:jc w:val="both"/>
              <w:outlineLvl w:val="0"/>
              <w:rPr>
                <w:iCs/>
                <w:sz w:val="22"/>
                <w:szCs w:val="22"/>
              </w:rPr>
            </w:pPr>
            <w:r w:rsidRPr="00C860FE">
              <w:rPr>
                <w:iCs/>
                <w:sz w:val="22"/>
                <w:szCs w:val="22"/>
              </w:rPr>
              <w:t>Vienlaikus saistībā ar anotācijas II sadaļas 2. punktā norādīto, lūdzam skaidrot, vai izglītības programmas nebūs jāprecizē, lai nodrošinātu to atbilstību projekta regulējumam un vai pedagogiem slodzes nemainīsies (</w:t>
            </w:r>
            <w:proofErr w:type="spellStart"/>
            <w:r w:rsidRPr="00C860FE">
              <w:rPr>
                <w:iCs/>
                <w:sz w:val="22"/>
                <w:szCs w:val="22"/>
              </w:rPr>
              <w:t>pirmšķietami</w:t>
            </w:r>
            <w:proofErr w:type="spellEnd"/>
            <w:r w:rsidRPr="00C860FE">
              <w:rPr>
                <w:iCs/>
                <w:sz w:val="22"/>
                <w:szCs w:val="22"/>
              </w:rPr>
              <w:t>, mūzikā un teātra mākslā palielināsies).</w:t>
            </w:r>
          </w:p>
          <w:p w14:paraId="42DFB668" w14:textId="77777777" w:rsidR="00ED1145" w:rsidRPr="004E3633" w:rsidRDefault="00ED1145" w:rsidP="000F409E">
            <w:pPr>
              <w:suppressAutoHyphens/>
              <w:ind w:firstLine="720"/>
              <w:contextualSpacing/>
              <w:jc w:val="both"/>
              <w:outlineLvl w:val="0"/>
              <w:rPr>
                <w:sz w:val="22"/>
                <w:szCs w:val="22"/>
              </w:rPr>
            </w:pPr>
          </w:p>
        </w:tc>
        <w:tc>
          <w:tcPr>
            <w:tcW w:w="2971" w:type="dxa"/>
            <w:tcBorders>
              <w:top w:val="single" w:sz="6" w:space="0" w:color="000000"/>
              <w:left w:val="single" w:sz="6" w:space="0" w:color="000000"/>
              <w:bottom w:val="single" w:sz="6" w:space="0" w:color="000000"/>
              <w:right w:val="single" w:sz="6" w:space="0" w:color="000000"/>
            </w:tcBorders>
          </w:tcPr>
          <w:p w14:paraId="1FCF9179" w14:textId="77777777" w:rsidR="0044638F" w:rsidRDefault="0044638F" w:rsidP="0044638F">
            <w:pPr>
              <w:pBdr>
                <w:top w:val="nil"/>
                <w:left w:val="nil"/>
                <w:bottom w:val="nil"/>
                <w:right w:val="nil"/>
                <w:between w:val="nil"/>
              </w:pBdr>
              <w:jc w:val="center"/>
              <w:rPr>
                <w:b/>
                <w:bCs/>
                <w:sz w:val="22"/>
                <w:szCs w:val="22"/>
              </w:rPr>
            </w:pPr>
            <w:r w:rsidRPr="0044638F">
              <w:rPr>
                <w:b/>
                <w:bCs/>
                <w:sz w:val="22"/>
                <w:szCs w:val="22"/>
              </w:rPr>
              <w:lastRenderedPageBreak/>
              <w:t>Saskaņā ar Ministru kabineta 2009.gada 7.aprīļa noteikumu Nr.300 “Ministru kabineta kārtības rullis”103.punktu uzskatāms par atsauktu.</w:t>
            </w:r>
          </w:p>
          <w:p w14:paraId="22FF528A" w14:textId="26262113" w:rsidR="007E3924" w:rsidRPr="004E3633" w:rsidRDefault="007E3924" w:rsidP="000F409E">
            <w:pPr>
              <w:pBdr>
                <w:top w:val="nil"/>
                <w:left w:val="nil"/>
                <w:bottom w:val="nil"/>
                <w:right w:val="nil"/>
                <w:between w:val="nil"/>
              </w:pBdr>
              <w:ind w:firstLine="720"/>
              <w:jc w:val="both"/>
              <w:rPr>
                <w:b/>
                <w:bCs/>
                <w:sz w:val="22"/>
                <w:szCs w:val="22"/>
              </w:rPr>
            </w:pPr>
            <w:r w:rsidRPr="004E3633">
              <w:rPr>
                <w:sz w:val="22"/>
                <w:szCs w:val="22"/>
              </w:rPr>
              <w:t xml:space="preserve">Izglītības iestādes jau šobrīd organizē un izglītojamie piedalās koncertos, konkursos, atklātās mācību priekšmetu olimpiādēs, erudīcijas spēlēs vai citos ar attiecīgo mācību jomu saistītos pasākumus, tādejādi noteikumu projekta tiesiskais regulējums sabiedrības </w:t>
            </w:r>
            <w:proofErr w:type="spellStart"/>
            <w:r w:rsidRPr="004E3633">
              <w:rPr>
                <w:sz w:val="22"/>
                <w:szCs w:val="22"/>
              </w:rPr>
              <w:t>mērķgrupām</w:t>
            </w:r>
            <w:proofErr w:type="spellEnd"/>
            <w:r w:rsidRPr="004E3633">
              <w:rPr>
                <w:sz w:val="22"/>
                <w:szCs w:val="22"/>
              </w:rPr>
              <w:t xml:space="preserve"> nemaina tiesības un pienākumus, kā arī veicamās darbības. </w:t>
            </w:r>
            <w:bookmarkStart w:id="1" w:name="_Hlk42937774"/>
            <w:r w:rsidRPr="004E3633">
              <w:rPr>
                <w:sz w:val="22"/>
                <w:szCs w:val="22"/>
              </w:rPr>
              <w:t xml:space="preserve">Ņemot vērā, ka izglītības iestādes jau šobrīd veic noteikumu projektā paredzētās darbības un izglītojamie var brīvprātīgi izlemt vai un kādos koncertos, </w:t>
            </w:r>
            <w:r w:rsidRPr="004E3633">
              <w:rPr>
                <w:sz w:val="22"/>
                <w:szCs w:val="22"/>
              </w:rPr>
              <w:lastRenderedPageBreak/>
              <w:t>konkursos, atklātās mācību priekšmetu olimpiādēs, erudīcijas spēlēs vai citos ar attiecīgo mācību jomu saistītos pasākumos piedalīties, šobrīd nevar precīzi noteikt vai un kā tas ietekmēs sabiedrības grup</w:t>
            </w:r>
            <w:bookmarkEnd w:id="1"/>
            <w:r w:rsidR="00F42AB8" w:rsidRPr="004E3633">
              <w:rPr>
                <w:sz w:val="22"/>
                <w:szCs w:val="22"/>
              </w:rPr>
              <w:t>as.</w:t>
            </w:r>
          </w:p>
        </w:tc>
        <w:tc>
          <w:tcPr>
            <w:tcW w:w="4173" w:type="dxa"/>
            <w:tcBorders>
              <w:top w:val="single" w:sz="4" w:space="0" w:color="000000"/>
              <w:left w:val="single" w:sz="4" w:space="0" w:color="000000"/>
              <w:bottom w:val="single" w:sz="4" w:space="0" w:color="000000"/>
            </w:tcBorders>
          </w:tcPr>
          <w:p w14:paraId="380E2FA8" w14:textId="77777777" w:rsidR="00ED1145" w:rsidRPr="004E3633" w:rsidRDefault="004522C1" w:rsidP="000F409E">
            <w:pPr>
              <w:jc w:val="both"/>
              <w:rPr>
                <w:sz w:val="22"/>
                <w:szCs w:val="22"/>
              </w:rPr>
            </w:pPr>
            <w:r w:rsidRPr="004E3633">
              <w:rPr>
                <w:iCs/>
                <w:sz w:val="22"/>
                <w:szCs w:val="22"/>
              </w:rPr>
              <w:lastRenderedPageBreak/>
              <w:t>Precizēts projekta anotācijas II sadaļas 1.</w:t>
            </w:r>
            <w:r w:rsidR="007E3924" w:rsidRPr="004E3633">
              <w:rPr>
                <w:iCs/>
                <w:sz w:val="22"/>
                <w:szCs w:val="22"/>
              </w:rPr>
              <w:t>un2.</w:t>
            </w:r>
            <w:r w:rsidRPr="004E3633">
              <w:rPr>
                <w:iCs/>
                <w:sz w:val="22"/>
                <w:szCs w:val="22"/>
              </w:rPr>
              <w:t> punkt</w:t>
            </w:r>
            <w:r w:rsidR="007E3924" w:rsidRPr="004E3633">
              <w:rPr>
                <w:iCs/>
                <w:sz w:val="22"/>
                <w:szCs w:val="22"/>
              </w:rPr>
              <w:t>s</w:t>
            </w:r>
          </w:p>
        </w:tc>
      </w:tr>
      <w:tr w:rsidR="00E92E5D" w:rsidRPr="000F409E" w14:paraId="1F1F0F79" w14:textId="77777777" w:rsidTr="00C860FE">
        <w:trPr>
          <w:trHeight w:val="332"/>
        </w:trPr>
        <w:tc>
          <w:tcPr>
            <w:tcW w:w="567" w:type="dxa"/>
            <w:tcBorders>
              <w:top w:val="single" w:sz="6" w:space="0" w:color="000000"/>
              <w:left w:val="single" w:sz="6" w:space="0" w:color="000000"/>
              <w:bottom w:val="single" w:sz="6" w:space="0" w:color="000000"/>
              <w:right w:val="single" w:sz="6" w:space="0" w:color="000000"/>
            </w:tcBorders>
          </w:tcPr>
          <w:p w14:paraId="27654C75" w14:textId="77777777" w:rsidR="00E92E5D" w:rsidRPr="000F409E" w:rsidRDefault="00E92E5D" w:rsidP="000F409E">
            <w:pPr>
              <w:pBdr>
                <w:top w:val="nil"/>
                <w:left w:val="nil"/>
                <w:bottom w:val="nil"/>
                <w:right w:val="nil"/>
                <w:between w:val="nil"/>
              </w:pBdr>
              <w:jc w:val="both"/>
            </w:pPr>
          </w:p>
        </w:tc>
        <w:tc>
          <w:tcPr>
            <w:tcW w:w="3209" w:type="dxa"/>
            <w:tcBorders>
              <w:top w:val="single" w:sz="6" w:space="0" w:color="000000"/>
              <w:left w:val="single" w:sz="6" w:space="0" w:color="000000"/>
              <w:bottom w:val="single" w:sz="6" w:space="0" w:color="000000"/>
              <w:right w:val="single" w:sz="6" w:space="0" w:color="000000"/>
            </w:tcBorders>
          </w:tcPr>
          <w:p w14:paraId="7432E098" w14:textId="77777777" w:rsidR="00E92E5D" w:rsidRPr="004E3633" w:rsidRDefault="00E92E5D" w:rsidP="000F409E">
            <w:pPr>
              <w:pBdr>
                <w:top w:val="nil"/>
                <w:left w:val="nil"/>
                <w:bottom w:val="nil"/>
                <w:right w:val="nil"/>
                <w:between w:val="nil"/>
              </w:pBdr>
              <w:jc w:val="both"/>
              <w:rPr>
                <w:iCs/>
                <w:sz w:val="22"/>
                <w:szCs w:val="22"/>
              </w:rPr>
            </w:pPr>
            <w:r w:rsidRPr="004E3633">
              <w:rPr>
                <w:iCs/>
                <w:sz w:val="22"/>
                <w:szCs w:val="22"/>
              </w:rPr>
              <w:t>Projekta anotācijas VI sadaļa</w:t>
            </w:r>
          </w:p>
        </w:tc>
        <w:tc>
          <w:tcPr>
            <w:tcW w:w="4106" w:type="dxa"/>
            <w:tcBorders>
              <w:top w:val="single" w:sz="6" w:space="0" w:color="000000"/>
              <w:left w:val="single" w:sz="6" w:space="0" w:color="000000"/>
              <w:bottom w:val="single" w:sz="6" w:space="0" w:color="000000"/>
              <w:right w:val="single" w:sz="6" w:space="0" w:color="000000"/>
            </w:tcBorders>
          </w:tcPr>
          <w:p w14:paraId="5EDF1AFB" w14:textId="77777777" w:rsidR="00E92E5D" w:rsidRPr="004E3633" w:rsidRDefault="00E92E5D" w:rsidP="000F409E">
            <w:pPr>
              <w:suppressAutoHyphens/>
              <w:ind w:firstLine="720"/>
              <w:contextualSpacing/>
              <w:jc w:val="both"/>
              <w:outlineLvl w:val="0"/>
              <w:rPr>
                <w:iCs/>
                <w:sz w:val="22"/>
                <w:szCs w:val="22"/>
              </w:rPr>
            </w:pPr>
            <w:r w:rsidRPr="004E3633">
              <w:rPr>
                <w:b/>
                <w:bCs/>
                <w:sz w:val="22"/>
                <w:szCs w:val="22"/>
                <w:lang w:eastAsia="zh-CN"/>
              </w:rPr>
              <w:t>Tieslietu ministrija</w:t>
            </w:r>
          </w:p>
          <w:p w14:paraId="301B0173" w14:textId="77777777" w:rsidR="00E92E5D" w:rsidRPr="004E3633" w:rsidRDefault="00E92E5D" w:rsidP="000F409E">
            <w:pPr>
              <w:suppressAutoHyphens/>
              <w:ind w:firstLine="720"/>
              <w:contextualSpacing/>
              <w:jc w:val="both"/>
              <w:outlineLvl w:val="0"/>
              <w:rPr>
                <w:iCs/>
                <w:sz w:val="22"/>
                <w:szCs w:val="22"/>
              </w:rPr>
            </w:pPr>
            <w:r w:rsidRPr="004E3633">
              <w:rPr>
                <w:b/>
                <w:bCs/>
                <w:iCs/>
                <w:sz w:val="22"/>
                <w:szCs w:val="22"/>
              </w:rPr>
              <w:t>2.</w:t>
            </w:r>
            <w:r w:rsidRPr="004E3633">
              <w:rPr>
                <w:iCs/>
                <w:sz w:val="22"/>
                <w:szCs w:val="22"/>
              </w:rPr>
              <w:t> Atbilstoši Valsts pārvaldes iekārtas likuma 10. panta septītajai daļai valsts pārvaldes pienākums ir informēt sabiedrību par savu darbību; tas attiecas it īpaši uz to sabiedrības daļu, kuru tiesības vai tiesiskās intereses īstenotā vai plānotā darbība skar vai var skart. Plānojot sabiedrības līdzdalību, jāizvēlas piemērotākie sabiedrības līdzdalības veidi, veicinot efektīvu, atklātu, ietverošu, savlaicīgu un atbildīgu sabiedrības iesaistīšanos.</w:t>
            </w:r>
          </w:p>
          <w:p w14:paraId="171372B2"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MK instrukcijas Nr. 19 3. punkts noteic, ka anotācijā ietver informāciju par sabiedrības līdzdalību projekta izstrādē un šīs līdzdalības rezultātiem. Projekta izstrādātājs, organizējot sabiedrības līdzdalību projekta izstrādē, ievēro normatīvos aktus par sabiedrības līdzdalību attīstības plānošanas procesā.</w:t>
            </w:r>
          </w:p>
          <w:p w14:paraId="6023C8F0"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xml:space="preserve">Atbilstoši Ministru kabineta 2009. gada 25. augusta noteikumu Nr. 970 "Sabiedrības līdzdalības kārtība attīstības plānošanas procesā" 13. punktam atbildīgā </w:t>
            </w:r>
            <w:r w:rsidRPr="004E3633">
              <w:rPr>
                <w:iCs/>
                <w:sz w:val="22"/>
                <w:szCs w:val="22"/>
              </w:rPr>
              <w:lastRenderedPageBreak/>
              <w:t xml:space="preserve">amatpersona sagatavo un nodrošina paziņojuma par līdzdalības procesu publicēšanu institūcijas tīmekļvietnē sadaļā "Sabiedrības līdzdalība". Minēto noteikumu 14. punkts vienlaikus paredz, ka tiešās valsts pārvaldes institūcijas elektroniski sagatavotus paziņojumus par līdzdalības procesu iesniedz arī Valsts kancelejā publicēšanai tās mājaslapā. </w:t>
            </w:r>
          </w:p>
          <w:p w14:paraId="57E09AD1"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Ievērojot minēto, MK instrukcijas Nr. 19 61. un 62. punkts paredz, ka anotācijas VI sadaļas 2. punktā ("Sabiedrības līdzdalība projekta izstrādē") norāda:</w:t>
            </w:r>
          </w:p>
          <w:p w14:paraId="5EA038E3"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visus projekta izstrādes procesā izmantotos sabiedrības līdzdalības veidus;</w:t>
            </w:r>
          </w:p>
          <w:p w14:paraId="43B34B0F"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sabiedrības pārstāvjus, ar kuriem notikušas konsultācijas projekta izstrādes procesā;</w:t>
            </w:r>
          </w:p>
          <w:p w14:paraId="50535C2F"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projekta publicēšanas datumu institūcijas tīmekļvietnē, kā arī tīmekļvietnes adresi (proti, saiti uz paziņojumu).</w:t>
            </w:r>
          </w:p>
          <w:p w14:paraId="290459D5"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Savukārt anotācijas VI sadaļas 3. punktā ("Sabiedrības līdzdalības rezultāti") norāda:</w:t>
            </w:r>
          </w:p>
          <w:p w14:paraId="26F7034B"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sabiedrības pārstāvju atbalsta pakāpi projektam (piemēram, atbalsta, neatbalsta vai daļēji atbalsta);</w:t>
            </w:r>
          </w:p>
          <w:p w14:paraId="6D460F96"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sabiedrības pārstāvju izteiktos būtiskākos priekšlikumus projekta izstrādes procesā;</w:t>
            </w:r>
          </w:p>
          <w:p w14:paraId="33D0E84D"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 vai un kādā veidā sabiedrības pārstāvju priekšlikumi ir ņemti vērā projekta izstrādes procesā. Ja sabiedrības pārstāvju priekšlikumi nav tikuši ņemti vērā, norāda, kādēļ.</w:t>
            </w:r>
          </w:p>
          <w:p w14:paraId="706CA0B8"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lastRenderedPageBreak/>
              <w:t>Projekta anotācijas VI sadaļas 2. punktā norādīts, ka 2019. gada 4. aprīlī notika Izglītības un zinātnes ministrijas un Valsts izglītības satura centra pārstāvju tikšanās ar to Rīgas skolu, kas īsteno pamatizglītības programmas ar kādas svešvalodas padziļinātu apguvi, direktoriem. Rīgas Valsts vācu ģimnāzija, Rīgas Angļu ģimnāzija, Rīgas Centra humanitārā vidusskola, Ziemeļvalstu ģimnāzija, Āgenskalna sākumskola, Rīgas 34. vidusskola un J.G. </w:t>
            </w:r>
            <w:proofErr w:type="spellStart"/>
            <w:r w:rsidRPr="004E3633">
              <w:rPr>
                <w:iCs/>
                <w:sz w:val="22"/>
                <w:szCs w:val="22"/>
              </w:rPr>
              <w:t>Herdera</w:t>
            </w:r>
            <w:proofErr w:type="spellEnd"/>
            <w:r w:rsidRPr="004E3633">
              <w:rPr>
                <w:iCs/>
                <w:sz w:val="22"/>
                <w:szCs w:val="22"/>
              </w:rPr>
              <w:t xml:space="preserve"> Rīgas Grīziņkalna vidusskola </w:t>
            </w:r>
            <w:r w:rsidRPr="004E3633">
              <w:rPr>
                <w:iCs/>
                <w:sz w:val="22"/>
                <w:szCs w:val="22"/>
                <w:u w:val="single"/>
              </w:rPr>
              <w:t>iepazīstināja ar savu skolu vēsturisko specializāciju svešvalodās un līdzšinējo pieeju kvalitatīvas svešvalodas apguves nodrošināšanai, kā arī tika pārrunāts skatījums par valodu jomas nozīmi nākotnē vispārējās vidējās izglītības kontekstā</w:t>
            </w:r>
            <w:r w:rsidRPr="004E3633">
              <w:rPr>
                <w:iCs/>
                <w:sz w:val="22"/>
                <w:szCs w:val="22"/>
              </w:rPr>
              <w:t xml:space="preserve">. 2019. gada 5. maijā notika ieinteresēto skolu pārstāvju, kā arī ministrijas pārstāvju </w:t>
            </w:r>
            <w:r w:rsidRPr="004E3633">
              <w:rPr>
                <w:iCs/>
                <w:sz w:val="22"/>
                <w:szCs w:val="22"/>
                <w:u w:val="single"/>
              </w:rPr>
              <w:t>tikšanās, darba grupu izveide un darbs klātienē, lai sagatavotu prasības programmu izstrādei ar augstākiem plānotajiem rezultātiem</w:t>
            </w:r>
            <w:r w:rsidRPr="004E3633">
              <w:rPr>
                <w:iCs/>
                <w:sz w:val="22"/>
                <w:szCs w:val="22"/>
              </w:rPr>
              <w:t>.</w:t>
            </w:r>
          </w:p>
          <w:p w14:paraId="125EAF61" w14:textId="77777777" w:rsidR="00E92E5D" w:rsidRPr="004E3633" w:rsidRDefault="00E92E5D" w:rsidP="000F409E">
            <w:pPr>
              <w:suppressAutoHyphens/>
              <w:ind w:firstLine="720"/>
              <w:contextualSpacing/>
              <w:jc w:val="both"/>
              <w:outlineLvl w:val="0"/>
              <w:rPr>
                <w:b/>
                <w:bCs/>
                <w:iCs/>
                <w:sz w:val="22"/>
                <w:szCs w:val="22"/>
              </w:rPr>
            </w:pPr>
            <w:r w:rsidRPr="004E3633">
              <w:rPr>
                <w:iCs/>
                <w:sz w:val="22"/>
                <w:szCs w:val="22"/>
              </w:rPr>
              <w:t xml:space="preserve">Norādīts, ka 2019. gada 16. septembrī notika skolu pārstāvju, kā arī Izglītības un zinātnes ministrijas un Valsts izglītības satura centra pārstāvju tikšanās, lai apkopotu un precizētu darba grupu izveidotos kritērijus. Iesaistītās izglītības iestādes </w:t>
            </w:r>
            <w:r w:rsidRPr="004E3633">
              <w:rPr>
                <w:iCs/>
                <w:sz w:val="22"/>
                <w:szCs w:val="22"/>
                <w:u w:val="single"/>
              </w:rPr>
              <w:t>kopumā atbalstīja</w:t>
            </w:r>
            <w:r w:rsidRPr="004E3633">
              <w:rPr>
                <w:iCs/>
                <w:sz w:val="22"/>
                <w:szCs w:val="22"/>
              </w:rPr>
              <w:t xml:space="preserve"> projekta tālāko virzību. Taču vienlaikus sadaļas 3. punktā norādīts, ka </w:t>
            </w:r>
            <w:r w:rsidRPr="004E3633">
              <w:rPr>
                <w:b/>
                <w:bCs/>
                <w:iCs/>
                <w:sz w:val="22"/>
                <w:szCs w:val="22"/>
                <w:u w:val="single"/>
              </w:rPr>
              <w:t>no sabiedrības pārstāvjiem saņemtie iebildumi un priekšlikumi par projektu tiks vērtēti pēc projekta ievietošanas ministrijas tīmekļvietnē</w:t>
            </w:r>
            <w:r w:rsidRPr="004E3633">
              <w:rPr>
                <w:b/>
                <w:bCs/>
                <w:iCs/>
                <w:sz w:val="22"/>
                <w:szCs w:val="22"/>
              </w:rPr>
              <w:t>.</w:t>
            </w:r>
          </w:p>
          <w:p w14:paraId="557ACB84"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lastRenderedPageBreak/>
              <w:t xml:space="preserve">Tā kā anotācijas II sadaļa ir aizpildīta nepilnīgi, var secināt, ka atsevišķas būtiskas sabiedrības </w:t>
            </w:r>
            <w:proofErr w:type="spellStart"/>
            <w:r w:rsidRPr="004E3633">
              <w:rPr>
                <w:iCs/>
                <w:sz w:val="22"/>
                <w:szCs w:val="22"/>
              </w:rPr>
              <w:t>mērķgrupas</w:t>
            </w:r>
            <w:proofErr w:type="spellEnd"/>
            <w:r w:rsidRPr="004E3633">
              <w:rPr>
                <w:iCs/>
                <w:sz w:val="22"/>
                <w:szCs w:val="22"/>
              </w:rPr>
              <w:t xml:space="preserve"> mērķtiecīgi uzrunātas netika. Nav arī norādes, ka informācija par projektu ir bijusi ievietota Valsts kancelejas tīmekļvietnē. Nav korekti atspoguļots sabiedrības līdzdalības rezultāts.</w:t>
            </w:r>
          </w:p>
          <w:p w14:paraId="62DE7865" w14:textId="77777777" w:rsidR="00E92E5D" w:rsidRPr="004E3633" w:rsidRDefault="00E92E5D" w:rsidP="000F409E">
            <w:pPr>
              <w:suppressAutoHyphens/>
              <w:ind w:firstLine="720"/>
              <w:contextualSpacing/>
              <w:jc w:val="both"/>
              <w:outlineLvl w:val="0"/>
              <w:rPr>
                <w:iCs/>
                <w:sz w:val="22"/>
                <w:szCs w:val="22"/>
              </w:rPr>
            </w:pPr>
            <w:r w:rsidRPr="004E3633">
              <w:rPr>
                <w:iCs/>
                <w:sz w:val="22"/>
                <w:szCs w:val="22"/>
              </w:rPr>
              <w:t>Ņemot vērā norādīto, lūdzam precizēt projekta anotācijas VI sadaļu atbilstoši MK instrukcijas Nr. 19 61. un 62. punktam.</w:t>
            </w:r>
          </w:p>
        </w:tc>
        <w:tc>
          <w:tcPr>
            <w:tcW w:w="2971" w:type="dxa"/>
            <w:tcBorders>
              <w:top w:val="single" w:sz="6" w:space="0" w:color="000000"/>
              <w:left w:val="single" w:sz="6" w:space="0" w:color="000000"/>
              <w:bottom w:val="single" w:sz="6" w:space="0" w:color="000000"/>
              <w:right w:val="single" w:sz="6" w:space="0" w:color="000000"/>
            </w:tcBorders>
          </w:tcPr>
          <w:p w14:paraId="7D1F6403" w14:textId="77777777" w:rsidR="0044638F" w:rsidRDefault="0044638F" w:rsidP="0044638F">
            <w:pPr>
              <w:pStyle w:val="Bezatstarpm"/>
              <w:jc w:val="center"/>
              <w:rPr>
                <w:b/>
                <w:bCs/>
                <w:sz w:val="22"/>
                <w:szCs w:val="22"/>
              </w:rPr>
            </w:pPr>
            <w:r w:rsidRPr="0044638F">
              <w:rPr>
                <w:b/>
                <w:bCs/>
                <w:sz w:val="22"/>
                <w:szCs w:val="22"/>
              </w:rPr>
              <w:lastRenderedPageBreak/>
              <w:t>Saskaņā ar Ministru kabineta 2009.gada 7.aprīļa noteikumu Nr.300 “Ministru kabineta kārtības rullis”103.punktu uzskatāms par atsauktu.</w:t>
            </w:r>
          </w:p>
          <w:p w14:paraId="02FDB6D3" w14:textId="5D2C0742" w:rsidR="007E3924" w:rsidRPr="004E3633" w:rsidRDefault="00FF7883" w:rsidP="00A87C85">
            <w:pPr>
              <w:pStyle w:val="Bezatstarpm"/>
              <w:jc w:val="both"/>
              <w:rPr>
                <w:sz w:val="22"/>
                <w:szCs w:val="22"/>
                <w:lang w:eastAsia="en-GB"/>
              </w:rPr>
            </w:pPr>
            <w:r w:rsidRPr="004E3633">
              <w:rPr>
                <w:sz w:val="22"/>
                <w:szCs w:val="22"/>
                <w:lang w:eastAsia="en-GB"/>
              </w:rPr>
              <w:t>Noteikumu projekts t</w:t>
            </w:r>
            <w:r w:rsidR="002A2E2D" w:rsidRPr="004E3633">
              <w:rPr>
                <w:sz w:val="22"/>
                <w:szCs w:val="22"/>
                <w:lang w:eastAsia="en-GB"/>
              </w:rPr>
              <w:t>i</w:t>
            </w:r>
            <w:r w:rsidRPr="004E3633">
              <w:rPr>
                <w:sz w:val="22"/>
                <w:szCs w:val="22"/>
                <w:lang w:eastAsia="en-GB"/>
              </w:rPr>
              <w:t xml:space="preserve">ka </w:t>
            </w:r>
            <w:proofErr w:type="spellStart"/>
            <w:r w:rsidRPr="004E3633">
              <w:rPr>
                <w:sz w:val="22"/>
                <w:szCs w:val="22"/>
                <w:lang w:eastAsia="en-GB"/>
              </w:rPr>
              <w:t>apsriests</w:t>
            </w:r>
            <w:proofErr w:type="spellEnd"/>
            <w:r w:rsidRPr="004E3633">
              <w:rPr>
                <w:sz w:val="22"/>
                <w:szCs w:val="22"/>
                <w:lang w:eastAsia="en-GB"/>
              </w:rPr>
              <w:t xml:space="preserve"> un prasības izstrādātas ar anotācijā minēto izglītības iestāžu pārstāvjiem.</w:t>
            </w:r>
          </w:p>
          <w:p w14:paraId="5A5B676F" w14:textId="77777777" w:rsidR="00CF083B" w:rsidRPr="004E3633" w:rsidRDefault="007E3924" w:rsidP="00A87C85">
            <w:pPr>
              <w:pStyle w:val="Bezatstarpm"/>
              <w:jc w:val="both"/>
              <w:rPr>
                <w:b/>
                <w:bCs/>
                <w:sz w:val="22"/>
                <w:szCs w:val="22"/>
              </w:rPr>
            </w:pPr>
            <w:r w:rsidRPr="004E3633">
              <w:rPr>
                <w:sz w:val="22"/>
                <w:szCs w:val="22"/>
                <w:lang w:eastAsia="en-GB"/>
              </w:rPr>
              <w:t>Papildus iepriekš minētajai</w:t>
            </w:r>
            <w:r w:rsidRPr="004E3633">
              <w:rPr>
                <w:sz w:val="22"/>
                <w:szCs w:val="22"/>
              </w:rPr>
              <w:t xml:space="preserve"> s</w:t>
            </w:r>
            <w:r w:rsidRPr="004E3633">
              <w:rPr>
                <w:sz w:val="22"/>
                <w:szCs w:val="22"/>
                <w:lang w:eastAsia="en-GB"/>
              </w:rPr>
              <w:t xml:space="preserve">abiedrības līdzdalībai, jebkurš sabiedrības pārstāvis varēja izteikt savu viedokli par noteikumu projektu pēc noteikumu projekta ievietošanas ministrijas un </w:t>
            </w:r>
            <w:r w:rsidRPr="004E3633">
              <w:rPr>
                <w:sz w:val="22"/>
                <w:szCs w:val="22"/>
              </w:rPr>
              <w:t>Ministru kabineta</w:t>
            </w:r>
            <w:r w:rsidRPr="004E3633">
              <w:rPr>
                <w:sz w:val="22"/>
                <w:szCs w:val="22"/>
                <w:lang w:eastAsia="en-GB"/>
              </w:rPr>
              <w:t xml:space="preserve"> tīmekļvietnē</w:t>
            </w:r>
          </w:p>
        </w:tc>
        <w:tc>
          <w:tcPr>
            <w:tcW w:w="4173" w:type="dxa"/>
            <w:tcBorders>
              <w:top w:val="single" w:sz="4" w:space="0" w:color="000000"/>
              <w:left w:val="single" w:sz="4" w:space="0" w:color="000000"/>
              <w:bottom w:val="single" w:sz="4" w:space="0" w:color="000000"/>
            </w:tcBorders>
          </w:tcPr>
          <w:p w14:paraId="7F9C02A9" w14:textId="04676B6A" w:rsidR="00E92E5D" w:rsidRPr="004E3633" w:rsidRDefault="00A87C85" w:rsidP="000F409E">
            <w:pPr>
              <w:jc w:val="both"/>
              <w:rPr>
                <w:sz w:val="22"/>
                <w:szCs w:val="22"/>
              </w:rPr>
            </w:pPr>
            <w:r w:rsidRPr="004E3633">
              <w:rPr>
                <w:sz w:val="22"/>
                <w:szCs w:val="22"/>
              </w:rPr>
              <w:t xml:space="preserve">Precizēta </w:t>
            </w:r>
            <w:r w:rsidR="007E7844">
              <w:rPr>
                <w:iCs/>
                <w:sz w:val="22"/>
                <w:szCs w:val="22"/>
              </w:rPr>
              <w:t>p</w:t>
            </w:r>
            <w:r w:rsidRPr="004E3633">
              <w:rPr>
                <w:iCs/>
                <w:sz w:val="22"/>
                <w:szCs w:val="22"/>
              </w:rPr>
              <w:t>rojekta anotācijas VI sadaļa</w:t>
            </w:r>
          </w:p>
        </w:tc>
      </w:tr>
      <w:tr w:rsidR="004E3633" w:rsidRPr="004E3633" w14:paraId="67F6DCA8" w14:textId="77777777" w:rsidTr="00C860FE">
        <w:trPr>
          <w:gridAfter w:val="1"/>
          <w:wAfter w:w="4173" w:type="dxa"/>
        </w:trPr>
        <w:tc>
          <w:tcPr>
            <w:tcW w:w="3776" w:type="dxa"/>
            <w:gridSpan w:val="2"/>
            <w:tcBorders>
              <w:top w:val="nil"/>
              <w:left w:val="nil"/>
              <w:bottom w:val="nil"/>
              <w:right w:val="nil"/>
            </w:tcBorders>
          </w:tcPr>
          <w:p w14:paraId="05A15506" w14:textId="77777777" w:rsidR="004D021B" w:rsidRPr="004E3633" w:rsidRDefault="004D021B">
            <w:pPr>
              <w:pBdr>
                <w:top w:val="nil"/>
                <w:left w:val="nil"/>
                <w:bottom w:val="nil"/>
                <w:right w:val="nil"/>
                <w:between w:val="nil"/>
              </w:pBdr>
              <w:jc w:val="both"/>
              <w:rPr>
                <w:sz w:val="22"/>
                <w:szCs w:val="22"/>
              </w:rPr>
            </w:pPr>
          </w:p>
        </w:tc>
        <w:tc>
          <w:tcPr>
            <w:tcW w:w="7077" w:type="dxa"/>
            <w:gridSpan w:val="2"/>
            <w:tcBorders>
              <w:top w:val="nil"/>
              <w:left w:val="nil"/>
              <w:bottom w:val="nil"/>
              <w:right w:val="nil"/>
            </w:tcBorders>
          </w:tcPr>
          <w:p w14:paraId="19478646" w14:textId="77777777" w:rsidR="004D021B" w:rsidRPr="004E3633" w:rsidRDefault="005233FC">
            <w:pPr>
              <w:pBdr>
                <w:top w:val="nil"/>
                <w:left w:val="nil"/>
                <w:bottom w:val="nil"/>
                <w:right w:val="nil"/>
                <w:between w:val="nil"/>
              </w:pBdr>
              <w:jc w:val="both"/>
              <w:rPr>
                <w:sz w:val="22"/>
                <w:szCs w:val="22"/>
              </w:rPr>
            </w:pPr>
            <w:r w:rsidRPr="004E3633">
              <w:rPr>
                <w:sz w:val="22"/>
                <w:szCs w:val="22"/>
              </w:rPr>
              <w:t>  </w:t>
            </w:r>
          </w:p>
        </w:tc>
      </w:tr>
      <w:tr w:rsidR="004E3633" w:rsidRPr="004E3633" w14:paraId="726B700C" w14:textId="77777777" w:rsidTr="00C860FE">
        <w:trPr>
          <w:gridAfter w:val="1"/>
          <w:wAfter w:w="4173" w:type="dxa"/>
        </w:trPr>
        <w:tc>
          <w:tcPr>
            <w:tcW w:w="3776" w:type="dxa"/>
            <w:gridSpan w:val="2"/>
            <w:tcBorders>
              <w:top w:val="nil"/>
              <w:left w:val="nil"/>
              <w:bottom w:val="nil"/>
              <w:right w:val="nil"/>
            </w:tcBorders>
          </w:tcPr>
          <w:p w14:paraId="047BFFD6" w14:textId="77777777" w:rsidR="004D021B" w:rsidRPr="004E3633" w:rsidRDefault="004D021B">
            <w:pPr>
              <w:pBdr>
                <w:top w:val="nil"/>
                <w:left w:val="nil"/>
                <w:bottom w:val="nil"/>
                <w:right w:val="nil"/>
                <w:between w:val="nil"/>
              </w:pBdr>
              <w:ind w:firstLine="720"/>
              <w:jc w:val="both"/>
              <w:rPr>
                <w:sz w:val="22"/>
                <w:szCs w:val="22"/>
              </w:rPr>
            </w:pPr>
          </w:p>
        </w:tc>
        <w:tc>
          <w:tcPr>
            <w:tcW w:w="7077" w:type="dxa"/>
            <w:gridSpan w:val="2"/>
            <w:tcBorders>
              <w:top w:val="single" w:sz="6" w:space="0" w:color="000000"/>
              <w:left w:val="nil"/>
              <w:bottom w:val="nil"/>
              <w:right w:val="nil"/>
            </w:tcBorders>
          </w:tcPr>
          <w:p w14:paraId="24127050" w14:textId="77777777" w:rsidR="004D021B" w:rsidRPr="004E3633" w:rsidRDefault="005233FC">
            <w:pPr>
              <w:pBdr>
                <w:top w:val="nil"/>
                <w:left w:val="nil"/>
                <w:bottom w:val="nil"/>
                <w:right w:val="nil"/>
                <w:between w:val="nil"/>
              </w:pBdr>
              <w:ind w:firstLine="720"/>
              <w:jc w:val="both"/>
              <w:rPr>
                <w:sz w:val="22"/>
                <w:szCs w:val="22"/>
              </w:rPr>
            </w:pPr>
            <w:r w:rsidRPr="004E3633">
              <w:rPr>
                <w:sz w:val="22"/>
                <w:szCs w:val="22"/>
              </w:rPr>
              <w:t>(paraksts)*</w:t>
            </w:r>
          </w:p>
        </w:tc>
      </w:tr>
    </w:tbl>
    <w:p w14:paraId="1EB66509" w14:textId="77777777" w:rsidR="004D021B" w:rsidRPr="001F2D84" w:rsidRDefault="004D021B">
      <w:pPr>
        <w:pBdr>
          <w:top w:val="nil"/>
          <w:left w:val="nil"/>
          <w:bottom w:val="nil"/>
          <w:right w:val="nil"/>
          <w:between w:val="nil"/>
        </w:pBdr>
        <w:ind w:firstLine="720"/>
        <w:jc w:val="both"/>
      </w:pPr>
    </w:p>
    <w:p w14:paraId="564EDAAB" w14:textId="77777777" w:rsidR="004D021B" w:rsidRPr="001F2D84" w:rsidRDefault="005233FC">
      <w:pPr>
        <w:pBdr>
          <w:top w:val="nil"/>
          <w:left w:val="nil"/>
          <w:bottom w:val="nil"/>
          <w:right w:val="nil"/>
          <w:between w:val="nil"/>
        </w:pBdr>
        <w:ind w:firstLine="720"/>
        <w:jc w:val="both"/>
      </w:pPr>
      <w:r w:rsidRPr="001F2D84">
        <w:t>Piezīme. * Dokumenta rekvizītu "paraksts" neaizpilda, ja elektroniskais dokuments ir sagatavots atbilstoši normatīvajiem aktiem par elektronisko dokumentu noformēšanu.</w:t>
      </w:r>
    </w:p>
    <w:p w14:paraId="2A27A824" w14:textId="77777777" w:rsidR="004D021B" w:rsidRPr="001F2D84" w:rsidRDefault="005233FC">
      <w:pPr>
        <w:pBdr>
          <w:top w:val="nil"/>
          <w:left w:val="nil"/>
          <w:bottom w:val="nil"/>
          <w:right w:val="nil"/>
          <w:between w:val="nil"/>
        </w:pBdr>
        <w:ind w:firstLine="720"/>
      </w:pPr>
      <w:r w:rsidRPr="001F2D84">
        <w:t>Liene Zeile</w:t>
      </w:r>
    </w:p>
    <w:tbl>
      <w:tblPr>
        <w:tblStyle w:val="a4"/>
        <w:tblW w:w="8268" w:type="dxa"/>
        <w:tblLayout w:type="fixed"/>
        <w:tblLook w:val="0000" w:firstRow="0" w:lastRow="0" w:firstColumn="0" w:lastColumn="0" w:noHBand="0" w:noVBand="0"/>
      </w:tblPr>
      <w:tblGrid>
        <w:gridCol w:w="8268"/>
      </w:tblGrid>
      <w:tr w:rsidR="001F2D84" w:rsidRPr="001F2D84" w14:paraId="5B721699" w14:textId="77777777">
        <w:tc>
          <w:tcPr>
            <w:tcW w:w="8268" w:type="dxa"/>
            <w:tcBorders>
              <w:top w:val="single" w:sz="4" w:space="0" w:color="000000"/>
            </w:tcBorders>
          </w:tcPr>
          <w:p w14:paraId="4E6A34A2" w14:textId="77777777" w:rsidR="004D021B" w:rsidRPr="001F2D84" w:rsidRDefault="005233FC">
            <w:pPr>
              <w:jc w:val="center"/>
            </w:pPr>
            <w:r w:rsidRPr="001F2D84">
              <w:t>(par projektu atbildīgās amatpersonas vārds un uzvārds)</w:t>
            </w:r>
          </w:p>
        </w:tc>
      </w:tr>
      <w:tr w:rsidR="001F2D84" w:rsidRPr="001F2D84" w14:paraId="389CC4B7" w14:textId="77777777">
        <w:tc>
          <w:tcPr>
            <w:tcW w:w="8268" w:type="dxa"/>
            <w:tcBorders>
              <w:bottom w:val="single" w:sz="4" w:space="0" w:color="000000"/>
            </w:tcBorders>
          </w:tcPr>
          <w:p w14:paraId="42D9CD10" w14:textId="6E07BC6E" w:rsidR="004D021B" w:rsidRPr="001F2D84" w:rsidRDefault="005233FC">
            <w:pPr>
              <w:pBdr>
                <w:top w:val="nil"/>
                <w:left w:val="nil"/>
                <w:bottom w:val="nil"/>
                <w:right w:val="nil"/>
                <w:between w:val="nil"/>
              </w:pBdr>
            </w:pPr>
            <w:r w:rsidRPr="001F2D84">
              <w:t>Valsts izglītības satura centra Vispārējās izglītības departamenta Vispārējās izglītības satura nodrošinājuma nodaļas vadītāja</w:t>
            </w:r>
            <w:r w:rsidR="00145BFF">
              <w:t xml:space="preserve"> vietniece</w:t>
            </w:r>
            <w:r w:rsidRPr="001F2D84">
              <w:t xml:space="preserve"> </w:t>
            </w:r>
          </w:p>
        </w:tc>
      </w:tr>
      <w:tr w:rsidR="001F2D84" w:rsidRPr="001F2D84" w14:paraId="5F166B64" w14:textId="77777777">
        <w:tc>
          <w:tcPr>
            <w:tcW w:w="8268" w:type="dxa"/>
            <w:tcBorders>
              <w:top w:val="single" w:sz="4" w:space="0" w:color="000000"/>
            </w:tcBorders>
          </w:tcPr>
          <w:p w14:paraId="71337B84" w14:textId="77777777" w:rsidR="004D021B" w:rsidRPr="001F2D84" w:rsidRDefault="005233FC">
            <w:pPr>
              <w:jc w:val="center"/>
            </w:pPr>
            <w:r w:rsidRPr="001F2D84">
              <w:t>(amats)</w:t>
            </w:r>
          </w:p>
        </w:tc>
      </w:tr>
      <w:tr w:rsidR="001F2D84" w:rsidRPr="001F2D84" w14:paraId="221F7231" w14:textId="77777777">
        <w:tc>
          <w:tcPr>
            <w:tcW w:w="8268" w:type="dxa"/>
            <w:tcBorders>
              <w:bottom w:val="single" w:sz="4" w:space="0" w:color="000000"/>
            </w:tcBorders>
          </w:tcPr>
          <w:p w14:paraId="7A22BFA7" w14:textId="77777777" w:rsidR="004D021B" w:rsidRPr="001F2D84" w:rsidRDefault="005233FC">
            <w:r w:rsidRPr="001F2D84">
              <w:t>Tālrunis 67814439, fakss 7223801</w:t>
            </w:r>
          </w:p>
        </w:tc>
      </w:tr>
      <w:tr w:rsidR="001F2D84" w:rsidRPr="001F2D84" w14:paraId="7A96F991" w14:textId="77777777">
        <w:tc>
          <w:tcPr>
            <w:tcW w:w="8268" w:type="dxa"/>
            <w:tcBorders>
              <w:top w:val="single" w:sz="4" w:space="0" w:color="000000"/>
            </w:tcBorders>
          </w:tcPr>
          <w:p w14:paraId="2B6C737B" w14:textId="77777777" w:rsidR="004D021B" w:rsidRPr="001F2D84" w:rsidRDefault="005233FC">
            <w:pPr>
              <w:jc w:val="center"/>
            </w:pPr>
            <w:r w:rsidRPr="001F2D84">
              <w:t>(tālruņa un faksa numurs)</w:t>
            </w:r>
          </w:p>
        </w:tc>
      </w:tr>
      <w:tr w:rsidR="001F2D84" w:rsidRPr="001F2D84" w14:paraId="19487933" w14:textId="77777777">
        <w:tc>
          <w:tcPr>
            <w:tcW w:w="8268" w:type="dxa"/>
            <w:tcBorders>
              <w:bottom w:val="single" w:sz="4" w:space="0" w:color="000000"/>
            </w:tcBorders>
          </w:tcPr>
          <w:p w14:paraId="0CF11F3F" w14:textId="77777777" w:rsidR="004D021B" w:rsidRPr="001F2D84" w:rsidRDefault="005233FC">
            <w:r w:rsidRPr="001F2D84">
              <w:t>liene.zeile@visc.gov.lv</w:t>
            </w:r>
          </w:p>
        </w:tc>
      </w:tr>
      <w:tr w:rsidR="004D021B" w:rsidRPr="001F2D84" w14:paraId="18D6CFE0" w14:textId="77777777">
        <w:tc>
          <w:tcPr>
            <w:tcW w:w="8268" w:type="dxa"/>
            <w:tcBorders>
              <w:top w:val="single" w:sz="4" w:space="0" w:color="000000"/>
            </w:tcBorders>
          </w:tcPr>
          <w:p w14:paraId="0C5E4DAE" w14:textId="77777777" w:rsidR="004D021B" w:rsidRPr="001F2D84" w:rsidRDefault="005233FC">
            <w:pPr>
              <w:jc w:val="center"/>
            </w:pPr>
            <w:r w:rsidRPr="001F2D84">
              <w:t>(e-pasta adrese)</w:t>
            </w:r>
          </w:p>
        </w:tc>
      </w:tr>
    </w:tbl>
    <w:p w14:paraId="03F178AE" w14:textId="7E6D32B2" w:rsidR="004D021B" w:rsidRDefault="004D021B">
      <w:pPr>
        <w:pBdr>
          <w:top w:val="nil"/>
          <w:left w:val="nil"/>
          <w:bottom w:val="nil"/>
          <w:right w:val="nil"/>
          <w:between w:val="nil"/>
        </w:pBdr>
      </w:pPr>
    </w:p>
    <w:p w14:paraId="3E3ED9A4" w14:textId="77777777" w:rsidR="004E3633" w:rsidRPr="001F2D84" w:rsidRDefault="004E3633">
      <w:pPr>
        <w:pBdr>
          <w:top w:val="nil"/>
          <w:left w:val="nil"/>
          <w:bottom w:val="nil"/>
          <w:right w:val="nil"/>
          <w:between w:val="nil"/>
        </w:pBdr>
      </w:pPr>
    </w:p>
    <w:sectPr w:rsidR="004E3633" w:rsidRPr="001F2D84" w:rsidSect="00474909">
      <w:headerReference w:type="even" r:id="rId8"/>
      <w:headerReference w:type="default" r:id="rId9"/>
      <w:footerReference w:type="default" r:id="rId10"/>
      <w:footerReference w:type="first" r:id="rId11"/>
      <w:pgSz w:w="16838" w:h="11906" w:orient="landscape"/>
      <w:pgMar w:top="1418" w:right="1134" w:bottom="993" w:left="1701"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2B825" w14:textId="77777777" w:rsidR="00F44D4B" w:rsidRDefault="00F44D4B">
      <w:r>
        <w:separator/>
      </w:r>
    </w:p>
  </w:endnote>
  <w:endnote w:type="continuationSeparator" w:id="0">
    <w:p w14:paraId="0A1650BB" w14:textId="77777777" w:rsidR="00F44D4B" w:rsidRDefault="00F4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B4B4" w14:textId="7C6E1E92" w:rsidR="008E7503" w:rsidRPr="00242A1B" w:rsidRDefault="00242A1B" w:rsidP="00242A1B">
    <w:pPr>
      <w:pStyle w:val="Kjene"/>
    </w:pPr>
    <w:r w:rsidRPr="00242A1B">
      <w:rPr>
        <w:color w:val="000000"/>
        <w:sz w:val="22"/>
        <w:szCs w:val="22"/>
      </w:rPr>
      <w:t>IZMI</w:t>
    </w:r>
    <w:r w:rsidR="007E7844">
      <w:rPr>
        <w:color w:val="000000"/>
        <w:sz w:val="22"/>
        <w:szCs w:val="22"/>
      </w:rPr>
      <w:t>zz</w:t>
    </w:r>
    <w:r w:rsidRPr="00242A1B">
      <w:rPr>
        <w:color w:val="000000"/>
        <w:sz w:val="22"/>
        <w:szCs w:val="22"/>
      </w:rPr>
      <w:t>_1</w:t>
    </w:r>
    <w:r w:rsidR="000B7FDA">
      <w:rPr>
        <w:color w:val="000000"/>
        <w:sz w:val="22"/>
        <w:szCs w:val="22"/>
      </w:rPr>
      <w:t>9</w:t>
    </w:r>
    <w:r w:rsidRPr="00242A1B">
      <w:rPr>
        <w:color w:val="000000"/>
        <w:sz w:val="22"/>
        <w:szCs w:val="22"/>
      </w:rPr>
      <w:t>0620_standart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E5CE" w14:textId="07A3A5FB" w:rsidR="008E7503" w:rsidRPr="00242A1B" w:rsidRDefault="00242A1B" w:rsidP="00242A1B">
    <w:pPr>
      <w:pStyle w:val="Kjene"/>
    </w:pPr>
    <w:r w:rsidRPr="00242A1B">
      <w:rPr>
        <w:color w:val="000000"/>
        <w:sz w:val="22"/>
        <w:szCs w:val="22"/>
      </w:rPr>
      <w:t>IZMI</w:t>
    </w:r>
    <w:r w:rsidR="007E7844">
      <w:rPr>
        <w:color w:val="000000"/>
        <w:sz w:val="22"/>
        <w:szCs w:val="22"/>
      </w:rPr>
      <w:t>zz</w:t>
    </w:r>
    <w:r w:rsidRPr="00242A1B">
      <w:rPr>
        <w:color w:val="000000"/>
        <w:sz w:val="22"/>
        <w:szCs w:val="22"/>
      </w:rPr>
      <w:t>_1</w:t>
    </w:r>
    <w:r w:rsidR="000B7FDA">
      <w:rPr>
        <w:color w:val="000000"/>
        <w:sz w:val="22"/>
        <w:szCs w:val="22"/>
      </w:rPr>
      <w:t>9</w:t>
    </w:r>
    <w:r w:rsidRPr="00242A1B">
      <w:rPr>
        <w:color w:val="000000"/>
        <w:sz w:val="22"/>
        <w:szCs w:val="22"/>
      </w:rPr>
      <w:t>0620_standart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DCAB" w14:textId="77777777" w:rsidR="00F44D4B" w:rsidRDefault="00F44D4B">
      <w:r>
        <w:separator/>
      </w:r>
    </w:p>
  </w:footnote>
  <w:footnote w:type="continuationSeparator" w:id="0">
    <w:p w14:paraId="1D97DFB6" w14:textId="77777777" w:rsidR="00F44D4B" w:rsidRDefault="00F4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3376" w14:textId="77777777" w:rsidR="008E7503" w:rsidRDefault="008E750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24EEE23" w14:textId="77777777" w:rsidR="008E7503" w:rsidRDefault="008E750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33F9" w14:textId="77777777" w:rsidR="008E7503" w:rsidRDefault="008E750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423A6">
      <w:rPr>
        <w:noProof/>
        <w:color w:val="000000"/>
      </w:rPr>
      <w:t>11</w:t>
    </w:r>
    <w:r>
      <w:rPr>
        <w:color w:val="000000"/>
      </w:rPr>
      <w:fldChar w:fldCharType="end"/>
    </w:r>
  </w:p>
  <w:p w14:paraId="2EA0974C" w14:textId="77777777" w:rsidR="008E7503" w:rsidRDefault="008E750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2D4"/>
    <w:multiLevelType w:val="multilevel"/>
    <w:tmpl w:val="14D8E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34232"/>
    <w:multiLevelType w:val="multilevel"/>
    <w:tmpl w:val="90101A68"/>
    <w:lvl w:ilvl="0">
      <w:start w:val="1"/>
      <w:numFmt w:val="decimal"/>
      <w:lvlText w:val="%1."/>
      <w:lvlJc w:val="left"/>
      <w:pPr>
        <w:ind w:left="786" w:hanging="360"/>
      </w:pPr>
      <w:rPr>
        <w:rFonts w:ascii="Times New Roman" w:eastAsia="Times New Roman" w:hAnsi="Times New Roman" w:cs="Times New Roman"/>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84CC0"/>
    <w:multiLevelType w:val="multilevel"/>
    <w:tmpl w:val="4C607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02088"/>
    <w:multiLevelType w:val="multilevel"/>
    <w:tmpl w:val="6B3C5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9B18FA"/>
    <w:multiLevelType w:val="multilevel"/>
    <w:tmpl w:val="DEACF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C550363"/>
    <w:multiLevelType w:val="multilevel"/>
    <w:tmpl w:val="3798438E"/>
    <w:lvl w:ilvl="0">
      <w:start w:val="1"/>
      <w:numFmt w:val="decimal"/>
      <w:lvlText w:val="%1."/>
      <w:lvlJc w:val="left"/>
      <w:pPr>
        <w:ind w:left="360" w:hanging="360"/>
      </w:pPr>
      <w:rPr>
        <w:rFonts w:ascii="Times" w:eastAsia="Times" w:hAnsi="Times" w:cs="Time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50175D"/>
    <w:multiLevelType w:val="multilevel"/>
    <w:tmpl w:val="F3E06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88139B"/>
    <w:multiLevelType w:val="multilevel"/>
    <w:tmpl w:val="86F25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1B"/>
    <w:rsid w:val="0001704A"/>
    <w:rsid w:val="000505D5"/>
    <w:rsid w:val="00057426"/>
    <w:rsid w:val="00065A41"/>
    <w:rsid w:val="00073374"/>
    <w:rsid w:val="00073F2D"/>
    <w:rsid w:val="00090730"/>
    <w:rsid w:val="000B7FDA"/>
    <w:rsid w:val="000C04F8"/>
    <w:rsid w:val="000D1C77"/>
    <w:rsid w:val="000F409E"/>
    <w:rsid w:val="00101E5A"/>
    <w:rsid w:val="00106059"/>
    <w:rsid w:val="00110259"/>
    <w:rsid w:val="001162DE"/>
    <w:rsid w:val="0012337E"/>
    <w:rsid w:val="001244D5"/>
    <w:rsid w:val="00126388"/>
    <w:rsid w:val="0013201D"/>
    <w:rsid w:val="001373C6"/>
    <w:rsid w:val="00145BFF"/>
    <w:rsid w:val="00146DC5"/>
    <w:rsid w:val="00176E78"/>
    <w:rsid w:val="00185178"/>
    <w:rsid w:val="00187674"/>
    <w:rsid w:val="001A5305"/>
    <w:rsid w:val="001B1F14"/>
    <w:rsid w:val="001F2D84"/>
    <w:rsid w:val="001F5304"/>
    <w:rsid w:val="001F7A30"/>
    <w:rsid w:val="00225EB2"/>
    <w:rsid w:val="00237DEF"/>
    <w:rsid w:val="002423A6"/>
    <w:rsid w:val="00242A1B"/>
    <w:rsid w:val="00245D98"/>
    <w:rsid w:val="0028124F"/>
    <w:rsid w:val="002856E6"/>
    <w:rsid w:val="00287409"/>
    <w:rsid w:val="002920DD"/>
    <w:rsid w:val="00297C9F"/>
    <w:rsid w:val="002A2E2D"/>
    <w:rsid w:val="002A76D5"/>
    <w:rsid w:val="002B59F2"/>
    <w:rsid w:val="002C0BDA"/>
    <w:rsid w:val="002C1CD5"/>
    <w:rsid w:val="002D2D3C"/>
    <w:rsid w:val="002D4DBB"/>
    <w:rsid w:val="002F1611"/>
    <w:rsid w:val="00305524"/>
    <w:rsid w:val="00313227"/>
    <w:rsid w:val="003361DE"/>
    <w:rsid w:val="00346643"/>
    <w:rsid w:val="00392A17"/>
    <w:rsid w:val="003C396E"/>
    <w:rsid w:val="003D2644"/>
    <w:rsid w:val="003D40F7"/>
    <w:rsid w:val="003D56A9"/>
    <w:rsid w:val="003D753D"/>
    <w:rsid w:val="00415FA3"/>
    <w:rsid w:val="00423169"/>
    <w:rsid w:val="00423BAB"/>
    <w:rsid w:val="00426A01"/>
    <w:rsid w:val="00435F93"/>
    <w:rsid w:val="0044425A"/>
    <w:rsid w:val="0044638F"/>
    <w:rsid w:val="004522C1"/>
    <w:rsid w:val="00462608"/>
    <w:rsid w:val="00470B4F"/>
    <w:rsid w:val="004718DF"/>
    <w:rsid w:val="00474909"/>
    <w:rsid w:val="004816DB"/>
    <w:rsid w:val="00482D74"/>
    <w:rsid w:val="0048310E"/>
    <w:rsid w:val="00485858"/>
    <w:rsid w:val="00487402"/>
    <w:rsid w:val="00493AD1"/>
    <w:rsid w:val="004B081C"/>
    <w:rsid w:val="004D021B"/>
    <w:rsid w:val="004E3633"/>
    <w:rsid w:val="004E79EB"/>
    <w:rsid w:val="004F7CAC"/>
    <w:rsid w:val="005057CC"/>
    <w:rsid w:val="005114CA"/>
    <w:rsid w:val="005233FC"/>
    <w:rsid w:val="005407ED"/>
    <w:rsid w:val="00541BCE"/>
    <w:rsid w:val="00550925"/>
    <w:rsid w:val="00560B32"/>
    <w:rsid w:val="0056680C"/>
    <w:rsid w:val="00567E71"/>
    <w:rsid w:val="005705A4"/>
    <w:rsid w:val="00570BA0"/>
    <w:rsid w:val="00570D1F"/>
    <w:rsid w:val="00570E06"/>
    <w:rsid w:val="00575E74"/>
    <w:rsid w:val="00576D91"/>
    <w:rsid w:val="00582B62"/>
    <w:rsid w:val="005B11FF"/>
    <w:rsid w:val="005C339E"/>
    <w:rsid w:val="005D158E"/>
    <w:rsid w:val="005D7D3D"/>
    <w:rsid w:val="005E31CE"/>
    <w:rsid w:val="005E754B"/>
    <w:rsid w:val="00612E26"/>
    <w:rsid w:val="0062761E"/>
    <w:rsid w:val="006440D0"/>
    <w:rsid w:val="00652724"/>
    <w:rsid w:val="00660A15"/>
    <w:rsid w:val="00671719"/>
    <w:rsid w:val="00672268"/>
    <w:rsid w:val="006765E6"/>
    <w:rsid w:val="006838F3"/>
    <w:rsid w:val="00687697"/>
    <w:rsid w:val="00691DBE"/>
    <w:rsid w:val="006B7389"/>
    <w:rsid w:val="006C54EC"/>
    <w:rsid w:val="006D3F98"/>
    <w:rsid w:val="006D6FB3"/>
    <w:rsid w:val="006D768F"/>
    <w:rsid w:val="006E4824"/>
    <w:rsid w:val="00703FC6"/>
    <w:rsid w:val="00721FFD"/>
    <w:rsid w:val="00735A09"/>
    <w:rsid w:val="00736370"/>
    <w:rsid w:val="00743CDE"/>
    <w:rsid w:val="00744EFE"/>
    <w:rsid w:val="007636E3"/>
    <w:rsid w:val="0078182F"/>
    <w:rsid w:val="0078764B"/>
    <w:rsid w:val="00791974"/>
    <w:rsid w:val="007A3E77"/>
    <w:rsid w:val="007A44AE"/>
    <w:rsid w:val="007A5153"/>
    <w:rsid w:val="007B0539"/>
    <w:rsid w:val="007C7B97"/>
    <w:rsid w:val="007E2CC5"/>
    <w:rsid w:val="007E30B7"/>
    <w:rsid w:val="007E3924"/>
    <w:rsid w:val="007E6C1D"/>
    <w:rsid w:val="007E7450"/>
    <w:rsid w:val="007E7844"/>
    <w:rsid w:val="007F3288"/>
    <w:rsid w:val="007F4B12"/>
    <w:rsid w:val="00800E8D"/>
    <w:rsid w:val="0081383E"/>
    <w:rsid w:val="00823F6A"/>
    <w:rsid w:val="0085390D"/>
    <w:rsid w:val="00853B04"/>
    <w:rsid w:val="00890522"/>
    <w:rsid w:val="00893098"/>
    <w:rsid w:val="008934E1"/>
    <w:rsid w:val="00896E61"/>
    <w:rsid w:val="008A3FF3"/>
    <w:rsid w:val="008A6AD8"/>
    <w:rsid w:val="008B4088"/>
    <w:rsid w:val="008C4439"/>
    <w:rsid w:val="008C6B15"/>
    <w:rsid w:val="008D7DED"/>
    <w:rsid w:val="008E1019"/>
    <w:rsid w:val="008E43E4"/>
    <w:rsid w:val="008E7503"/>
    <w:rsid w:val="009020DC"/>
    <w:rsid w:val="00924A9C"/>
    <w:rsid w:val="009474C7"/>
    <w:rsid w:val="00961797"/>
    <w:rsid w:val="009754CE"/>
    <w:rsid w:val="00975C40"/>
    <w:rsid w:val="00976035"/>
    <w:rsid w:val="0097649B"/>
    <w:rsid w:val="009B53D7"/>
    <w:rsid w:val="009C4619"/>
    <w:rsid w:val="009E6230"/>
    <w:rsid w:val="009F51B8"/>
    <w:rsid w:val="00A06B54"/>
    <w:rsid w:val="00A41FA2"/>
    <w:rsid w:val="00A60BDF"/>
    <w:rsid w:val="00A67E96"/>
    <w:rsid w:val="00A80628"/>
    <w:rsid w:val="00A87C85"/>
    <w:rsid w:val="00A977D3"/>
    <w:rsid w:val="00AA126A"/>
    <w:rsid w:val="00AA2DD5"/>
    <w:rsid w:val="00AA362D"/>
    <w:rsid w:val="00AB2729"/>
    <w:rsid w:val="00AB722E"/>
    <w:rsid w:val="00AC7AF8"/>
    <w:rsid w:val="00AD3124"/>
    <w:rsid w:val="00AF60DA"/>
    <w:rsid w:val="00B04E9C"/>
    <w:rsid w:val="00B1161F"/>
    <w:rsid w:val="00B13BC9"/>
    <w:rsid w:val="00B22C00"/>
    <w:rsid w:val="00B22E14"/>
    <w:rsid w:val="00B371DA"/>
    <w:rsid w:val="00B40E51"/>
    <w:rsid w:val="00B44B95"/>
    <w:rsid w:val="00B47379"/>
    <w:rsid w:val="00B9231E"/>
    <w:rsid w:val="00BA5BA1"/>
    <w:rsid w:val="00BC52F4"/>
    <w:rsid w:val="00BD5553"/>
    <w:rsid w:val="00BE0065"/>
    <w:rsid w:val="00BE3FBA"/>
    <w:rsid w:val="00BE7D2C"/>
    <w:rsid w:val="00BF5920"/>
    <w:rsid w:val="00BF5EC4"/>
    <w:rsid w:val="00BF718E"/>
    <w:rsid w:val="00BF795B"/>
    <w:rsid w:val="00BF7A9C"/>
    <w:rsid w:val="00C06381"/>
    <w:rsid w:val="00C22323"/>
    <w:rsid w:val="00C40DC7"/>
    <w:rsid w:val="00C64DCC"/>
    <w:rsid w:val="00C860FE"/>
    <w:rsid w:val="00CB0E7D"/>
    <w:rsid w:val="00CC4990"/>
    <w:rsid w:val="00CD4C09"/>
    <w:rsid w:val="00CF083B"/>
    <w:rsid w:val="00CF2FB4"/>
    <w:rsid w:val="00D06396"/>
    <w:rsid w:val="00D06A16"/>
    <w:rsid w:val="00D07604"/>
    <w:rsid w:val="00D07E17"/>
    <w:rsid w:val="00D200C4"/>
    <w:rsid w:val="00D2085C"/>
    <w:rsid w:val="00D211FE"/>
    <w:rsid w:val="00D27660"/>
    <w:rsid w:val="00D535EA"/>
    <w:rsid w:val="00D61721"/>
    <w:rsid w:val="00D766D6"/>
    <w:rsid w:val="00D80DC1"/>
    <w:rsid w:val="00DA4F89"/>
    <w:rsid w:val="00DA6019"/>
    <w:rsid w:val="00DB52FC"/>
    <w:rsid w:val="00DB66F4"/>
    <w:rsid w:val="00DB67AE"/>
    <w:rsid w:val="00DC3EB5"/>
    <w:rsid w:val="00DC63E0"/>
    <w:rsid w:val="00DE6208"/>
    <w:rsid w:val="00DE787E"/>
    <w:rsid w:val="00E133FC"/>
    <w:rsid w:val="00E160D0"/>
    <w:rsid w:val="00E1776C"/>
    <w:rsid w:val="00E20124"/>
    <w:rsid w:val="00E22623"/>
    <w:rsid w:val="00E537D9"/>
    <w:rsid w:val="00E56D7A"/>
    <w:rsid w:val="00E74093"/>
    <w:rsid w:val="00E845DF"/>
    <w:rsid w:val="00E92E5D"/>
    <w:rsid w:val="00EC21F0"/>
    <w:rsid w:val="00EC2580"/>
    <w:rsid w:val="00EC43DC"/>
    <w:rsid w:val="00ED1145"/>
    <w:rsid w:val="00ED1D15"/>
    <w:rsid w:val="00ED2565"/>
    <w:rsid w:val="00ED3E02"/>
    <w:rsid w:val="00ED67DE"/>
    <w:rsid w:val="00ED7B89"/>
    <w:rsid w:val="00EE1E56"/>
    <w:rsid w:val="00EE52CB"/>
    <w:rsid w:val="00F04C52"/>
    <w:rsid w:val="00F30532"/>
    <w:rsid w:val="00F34466"/>
    <w:rsid w:val="00F365E6"/>
    <w:rsid w:val="00F42AB8"/>
    <w:rsid w:val="00F44D4B"/>
    <w:rsid w:val="00F66CB6"/>
    <w:rsid w:val="00F777A7"/>
    <w:rsid w:val="00F81410"/>
    <w:rsid w:val="00F85665"/>
    <w:rsid w:val="00F86F29"/>
    <w:rsid w:val="00F90C61"/>
    <w:rsid w:val="00F91FEA"/>
    <w:rsid w:val="00F92DDA"/>
    <w:rsid w:val="00F94556"/>
    <w:rsid w:val="00FA105C"/>
    <w:rsid w:val="00FA2D92"/>
    <w:rsid w:val="00FA6E45"/>
    <w:rsid w:val="00FC5B7A"/>
    <w:rsid w:val="00FD598B"/>
    <w:rsid w:val="00FD7F26"/>
    <w:rsid w:val="00FE4532"/>
    <w:rsid w:val="00FF487D"/>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AC10D"/>
  <w15:docId w15:val="{F833F753-3502-4F99-8BCD-6929B5F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6440D0"/>
  </w:style>
  <w:style w:type="paragraph" w:styleId="Virsraksts1">
    <w:name w:val="heading 1"/>
    <w:basedOn w:val="Parasts"/>
    <w:next w:val="Parasts"/>
    <w:pPr>
      <w:spacing w:before="100" w:after="100"/>
      <w:outlineLvl w:val="0"/>
    </w:pPr>
    <w:rPr>
      <w:rFonts w:ascii="Cambria" w:eastAsia="Cambria" w:hAnsi="Cambria" w:cs="Cambria"/>
      <w:b/>
      <w:color w:val="365F91"/>
      <w:sz w:val="28"/>
      <w:szCs w:val="2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00"/>
      <w:outlineLvl w:val="2"/>
    </w:pPr>
    <w:rPr>
      <w:rFonts w:ascii="Cambria" w:eastAsia="Cambria" w:hAnsi="Cambria" w:cs="Cambria"/>
      <w:b/>
      <w:color w:val="4F81BD"/>
    </w:rPr>
  </w:style>
  <w:style w:type="paragraph" w:styleId="Virsraksts4">
    <w:name w:val="heading 4"/>
    <w:basedOn w:val="Parasts"/>
    <w:next w:val="Parasts"/>
    <w:pPr>
      <w:keepNext/>
      <w:keepLines/>
      <w:spacing w:before="200"/>
      <w:outlineLvl w:val="3"/>
    </w:pPr>
    <w:rPr>
      <w:rFonts w:ascii="Cambria" w:eastAsia="Cambria" w:hAnsi="Cambria" w:cs="Cambria"/>
      <w:b/>
      <w:i/>
      <w:color w:val="4F81BD"/>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0" w:type="dxa"/>
        <w:right w:w="0" w:type="dxa"/>
      </w:tblCellMar>
    </w:tblPr>
  </w:style>
  <w:style w:type="table" w:customStyle="1" w:styleId="a4">
    <w:basedOn w:val="Parastatabula"/>
    <w:tblPr>
      <w:tblStyleRowBandSize w:val="1"/>
      <w:tblStyleColBandSize w:val="1"/>
      <w:tblCellMar>
        <w:left w:w="115" w:type="dxa"/>
        <w:right w:w="115" w:type="dxa"/>
      </w:tblCellMar>
    </w:tblPr>
  </w:style>
  <w:style w:type="paragraph" w:styleId="Kjene">
    <w:name w:val="footer"/>
    <w:basedOn w:val="Parasts"/>
    <w:link w:val="KjeneRakstz"/>
    <w:uiPriority w:val="99"/>
    <w:unhideWhenUsed/>
    <w:rsid w:val="005D7D3D"/>
    <w:pPr>
      <w:tabs>
        <w:tab w:val="center" w:pos="4153"/>
        <w:tab w:val="right" w:pos="8306"/>
      </w:tabs>
    </w:pPr>
  </w:style>
  <w:style w:type="character" w:customStyle="1" w:styleId="KjeneRakstz">
    <w:name w:val="Kājene Rakstz."/>
    <w:basedOn w:val="Noklusjumarindkopasfonts"/>
    <w:link w:val="Kjene"/>
    <w:uiPriority w:val="99"/>
    <w:rsid w:val="005D7D3D"/>
  </w:style>
  <w:style w:type="paragraph" w:styleId="Galvene">
    <w:name w:val="header"/>
    <w:basedOn w:val="Parasts"/>
    <w:link w:val="GalveneRakstz"/>
    <w:uiPriority w:val="99"/>
    <w:unhideWhenUsed/>
    <w:rsid w:val="005D7D3D"/>
    <w:pPr>
      <w:tabs>
        <w:tab w:val="center" w:pos="4153"/>
        <w:tab w:val="right" w:pos="8306"/>
      </w:tabs>
    </w:pPr>
  </w:style>
  <w:style w:type="character" w:customStyle="1" w:styleId="GalveneRakstz">
    <w:name w:val="Galvene Rakstz."/>
    <w:basedOn w:val="Noklusjumarindkopasfonts"/>
    <w:link w:val="Galvene"/>
    <w:uiPriority w:val="99"/>
    <w:rsid w:val="005D7D3D"/>
  </w:style>
  <w:style w:type="character" w:styleId="Komentraatsauce">
    <w:name w:val="annotation reference"/>
    <w:basedOn w:val="Noklusjumarindkopasfonts"/>
    <w:uiPriority w:val="99"/>
    <w:semiHidden/>
    <w:unhideWhenUsed/>
    <w:rsid w:val="00176E78"/>
    <w:rPr>
      <w:sz w:val="16"/>
      <w:szCs w:val="16"/>
    </w:rPr>
  </w:style>
  <w:style w:type="paragraph" w:styleId="Komentrateksts">
    <w:name w:val="annotation text"/>
    <w:basedOn w:val="Parasts"/>
    <w:link w:val="KomentratekstsRakstz"/>
    <w:unhideWhenUsed/>
    <w:rsid w:val="00176E78"/>
    <w:rPr>
      <w:sz w:val="20"/>
      <w:szCs w:val="20"/>
    </w:rPr>
  </w:style>
  <w:style w:type="character" w:customStyle="1" w:styleId="KomentratekstsRakstz">
    <w:name w:val="Komentāra teksts Rakstz."/>
    <w:basedOn w:val="Noklusjumarindkopasfonts"/>
    <w:link w:val="Komentrateksts"/>
    <w:rsid w:val="00176E78"/>
    <w:rPr>
      <w:sz w:val="20"/>
      <w:szCs w:val="20"/>
    </w:rPr>
  </w:style>
  <w:style w:type="paragraph" w:styleId="Komentratma">
    <w:name w:val="annotation subject"/>
    <w:basedOn w:val="Komentrateksts"/>
    <w:next w:val="Komentrateksts"/>
    <w:link w:val="KomentratmaRakstz"/>
    <w:uiPriority w:val="99"/>
    <w:semiHidden/>
    <w:unhideWhenUsed/>
    <w:rsid w:val="00176E78"/>
    <w:rPr>
      <w:b/>
      <w:bCs/>
    </w:rPr>
  </w:style>
  <w:style w:type="character" w:customStyle="1" w:styleId="KomentratmaRakstz">
    <w:name w:val="Komentāra tēma Rakstz."/>
    <w:basedOn w:val="KomentratekstsRakstz"/>
    <w:link w:val="Komentratma"/>
    <w:uiPriority w:val="99"/>
    <w:semiHidden/>
    <w:rsid w:val="00176E78"/>
    <w:rPr>
      <w:b/>
      <w:bCs/>
      <w:sz w:val="20"/>
      <w:szCs w:val="20"/>
    </w:rPr>
  </w:style>
  <w:style w:type="paragraph" w:styleId="Balonteksts">
    <w:name w:val="Balloon Text"/>
    <w:basedOn w:val="Parasts"/>
    <w:link w:val="BalontekstsRakstz"/>
    <w:uiPriority w:val="99"/>
    <w:semiHidden/>
    <w:unhideWhenUsed/>
    <w:rsid w:val="00176E7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6E78"/>
    <w:rPr>
      <w:rFonts w:ascii="Tahoma" w:hAnsi="Tahoma" w:cs="Tahoma"/>
      <w:sz w:val="16"/>
      <w:szCs w:val="16"/>
    </w:rPr>
  </w:style>
  <w:style w:type="paragraph" w:customStyle="1" w:styleId="tv213">
    <w:name w:val="tv213"/>
    <w:basedOn w:val="Parasts"/>
    <w:rsid w:val="00B22C00"/>
    <w:pPr>
      <w:spacing w:before="100" w:beforeAutospacing="1" w:after="100" w:afterAutospacing="1"/>
    </w:pPr>
  </w:style>
  <w:style w:type="paragraph" w:styleId="Bezatstarpm">
    <w:name w:val="No Spacing"/>
    <w:uiPriority w:val="1"/>
    <w:qFormat/>
    <w:rsid w:val="00A80628"/>
  </w:style>
  <w:style w:type="character" w:styleId="Hipersaite">
    <w:name w:val="Hyperlink"/>
    <w:uiPriority w:val="99"/>
    <w:unhideWhenUsed/>
    <w:rsid w:val="00CF083B"/>
    <w:rPr>
      <w:color w:val="0563C1"/>
      <w:u w:val="single"/>
    </w:rPr>
  </w:style>
  <w:style w:type="table" w:styleId="Reatabula">
    <w:name w:val="Table Grid"/>
    <w:basedOn w:val="Parastatabula"/>
    <w:uiPriority w:val="59"/>
    <w:rsid w:val="004E3633"/>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69845">
      <w:bodyDiv w:val="1"/>
      <w:marLeft w:val="0"/>
      <w:marRight w:val="0"/>
      <w:marTop w:val="0"/>
      <w:marBottom w:val="0"/>
      <w:divBdr>
        <w:top w:val="none" w:sz="0" w:space="0" w:color="auto"/>
        <w:left w:val="none" w:sz="0" w:space="0" w:color="auto"/>
        <w:bottom w:val="none" w:sz="0" w:space="0" w:color="auto"/>
        <w:right w:val="none" w:sz="0" w:space="0" w:color="auto"/>
      </w:divBdr>
    </w:div>
    <w:div w:id="436295083">
      <w:bodyDiv w:val="1"/>
      <w:marLeft w:val="0"/>
      <w:marRight w:val="0"/>
      <w:marTop w:val="0"/>
      <w:marBottom w:val="0"/>
      <w:divBdr>
        <w:top w:val="none" w:sz="0" w:space="0" w:color="auto"/>
        <w:left w:val="none" w:sz="0" w:space="0" w:color="auto"/>
        <w:bottom w:val="none" w:sz="0" w:space="0" w:color="auto"/>
        <w:right w:val="none" w:sz="0" w:space="0" w:color="auto"/>
      </w:divBdr>
    </w:div>
    <w:div w:id="779645194">
      <w:bodyDiv w:val="1"/>
      <w:marLeft w:val="0"/>
      <w:marRight w:val="0"/>
      <w:marTop w:val="0"/>
      <w:marBottom w:val="0"/>
      <w:divBdr>
        <w:top w:val="none" w:sz="0" w:space="0" w:color="auto"/>
        <w:left w:val="none" w:sz="0" w:space="0" w:color="auto"/>
        <w:bottom w:val="none" w:sz="0" w:space="0" w:color="auto"/>
        <w:right w:val="none" w:sz="0" w:space="0" w:color="auto"/>
      </w:divBdr>
    </w:div>
    <w:div w:id="867110128">
      <w:bodyDiv w:val="1"/>
      <w:marLeft w:val="0"/>
      <w:marRight w:val="0"/>
      <w:marTop w:val="0"/>
      <w:marBottom w:val="0"/>
      <w:divBdr>
        <w:top w:val="none" w:sz="0" w:space="0" w:color="auto"/>
        <w:left w:val="none" w:sz="0" w:space="0" w:color="auto"/>
        <w:bottom w:val="none" w:sz="0" w:space="0" w:color="auto"/>
        <w:right w:val="none" w:sz="0" w:space="0" w:color="auto"/>
      </w:divBdr>
    </w:div>
    <w:div w:id="1281574010">
      <w:bodyDiv w:val="1"/>
      <w:marLeft w:val="0"/>
      <w:marRight w:val="0"/>
      <w:marTop w:val="0"/>
      <w:marBottom w:val="0"/>
      <w:divBdr>
        <w:top w:val="none" w:sz="0" w:space="0" w:color="auto"/>
        <w:left w:val="none" w:sz="0" w:space="0" w:color="auto"/>
        <w:bottom w:val="none" w:sz="0" w:space="0" w:color="auto"/>
        <w:right w:val="none" w:sz="0" w:space="0" w:color="auto"/>
      </w:divBdr>
    </w:div>
    <w:div w:id="132226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906A-0291-465D-BEDE-7D9E4D85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1387</Words>
  <Characters>7907</Characters>
  <Application>Microsoft Office Word</Application>
  <DocSecurity>0</DocSecurity>
  <Lines>65</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projektam „Noteikumi par valsts pamatizglītības standartu un pamatizglītības programmu paraugiem”</vt:lpstr>
      <vt:lpstr>Izziņa par atzinumos sniegtajiem iebildumiem Ministru kabineta noteikumu projektam „Noteikumi par valsts pamatizglītības standartu un pamatizglītības programmu paraugiem”</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„Noteikumi par valsts pamatizglītības standartu un pamatizglītības programmu paraugiem”</dc:title>
  <dc:creator>Liene Zeile</dc:creator>
  <dc:description>T.67814439</dc:description>
  <cp:lastModifiedBy>Ivars Zemlanskis</cp:lastModifiedBy>
  <cp:revision>6</cp:revision>
  <dcterms:created xsi:type="dcterms:W3CDTF">2020-06-13T11:59:00Z</dcterms:created>
  <dcterms:modified xsi:type="dcterms:W3CDTF">2020-06-19T11:11:00Z</dcterms:modified>
</cp:coreProperties>
</file>