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C8" w:rsidRPr="0049434B" w:rsidRDefault="00102EC8" w:rsidP="009A3961">
      <w:pPr>
        <w:spacing w:line="240" w:lineRule="auto"/>
        <w:contextualSpacing/>
        <w:jc w:val="center"/>
        <w:rPr>
          <w:rFonts w:ascii="Times New Roman" w:hAnsi="Times New Roman" w:cs="Times New Roman"/>
          <w:b/>
          <w:color w:val="000000"/>
          <w:sz w:val="28"/>
          <w:szCs w:val="28"/>
        </w:rPr>
      </w:pPr>
      <w:r>
        <w:rPr>
          <w:rFonts w:ascii="Times New Roman" w:hAnsi="Times New Roman" w:cs="Times New Roman"/>
          <w:b/>
          <w:sz w:val="28"/>
          <w:szCs w:val="28"/>
        </w:rPr>
        <w:t>Ministru kabineta noteikumu projekta</w:t>
      </w:r>
      <w:r w:rsidRPr="00740AF7">
        <w:rPr>
          <w:rFonts w:ascii="Times New Roman" w:hAnsi="Times New Roman" w:cs="Times New Roman"/>
          <w:b/>
          <w:sz w:val="28"/>
          <w:szCs w:val="28"/>
        </w:rPr>
        <w:t xml:space="preserve"> „</w:t>
      </w:r>
      <w:r>
        <w:rPr>
          <w:rFonts w:ascii="Times New Roman" w:hAnsi="Times New Roman" w:cs="Times New Roman"/>
          <w:b/>
          <w:sz w:val="28"/>
          <w:szCs w:val="28"/>
        </w:rPr>
        <w:t>Iekšlietu ministrijas nolikums</w:t>
      </w:r>
      <w:r w:rsidRPr="00740AF7">
        <w:rPr>
          <w:rFonts w:ascii="Times New Roman" w:hAnsi="Times New Roman" w:cs="Times New Roman"/>
          <w:b/>
          <w:sz w:val="28"/>
          <w:szCs w:val="28"/>
        </w:rPr>
        <w:t>” sākotnējās ietekmes novērtējuma ziņojums (anotācija)</w:t>
      </w:r>
    </w:p>
    <w:tbl>
      <w:tblPr>
        <w:tblpPr w:leftFromText="180" w:rightFromText="180" w:vertAnchor="text" w:horzAnchor="margin" w:tblpX="65"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5977"/>
      </w:tblGrid>
      <w:tr w:rsidR="00102EC8" w:rsidRPr="00157298" w:rsidTr="00FE53A6">
        <w:trPr>
          <w:trHeight w:val="225"/>
        </w:trPr>
        <w:tc>
          <w:tcPr>
            <w:tcW w:w="9067" w:type="dxa"/>
            <w:gridSpan w:val="2"/>
          </w:tcPr>
          <w:p w:rsidR="00102EC8" w:rsidRPr="00157298" w:rsidRDefault="00102EC8" w:rsidP="00FE53A6">
            <w:pPr>
              <w:pStyle w:val="naisf"/>
              <w:tabs>
                <w:tab w:val="left" w:pos="495"/>
              </w:tabs>
              <w:spacing w:before="0" w:after="0"/>
              <w:ind w:left="5"/>
              <w:jc w:val="center"/>
              <w:rPr>
                <w:b/>
                <w:color w:val="000000"/>
              </w:rPr>
            </w:pPr>
            <w:r w:rsidRPr="00157298">
              <w:rPr>
                <w:b/>
                <w:color w:val="000000"/>
              </w:rPr>
              <w:t>Tiesību akta projekta anotācijas kopsavilkums</w:t>
            </w:r>
          </w:p>
        </w:tc>
      </w:tr>
      <w:tr w:rsidR="00102EC8" w:rsidRPr="00157298" w:rsidTr="00FE53A6">
        <w:trPr>
          <w:trHeight w:val="225"/>
        </w:trPr>
        <w:tc>
          <w:tcPr>
            <w:tcW w:w="3090" w:type="dxa"/>
            <w:tcBorders>
              <w:top w:val="outset" w:sz="6" w:space="0" w:color="auto"/>
              <w:left w:val="outset" w:sz="6" w:space="0" w:color="auto"/>
              <w:bottom w:val="outset" w:sz="6" w:space="0" w:color="auto"/>
              <w:right w:val="outset" w:sz="6" w:space="0" w:color="auto"/>
            </w:tcBorders>
          </w:tcPr>
          <w:p w:rsidR="00102EC8" w:rsidRPr="00157298" w:rsidRDefault="00102EC8" w:rsidP="00FE53A6">
            <w:pPr>
              <w:spacing w:after="0" w:line="240" w:lineRule="auto"/>
              <w:jc w:val="both"/>
              <w:rPr>
                <w:rFonts w:ascii="Times New Roman" w:hAnsi="Times New Roman"/>
                <w:color w:val="000000"/>
                <w:sz w:val="24"/>
                <w:szCs w:val="24"/>
              </w:rPr>
            </w:pPr>
            <w:r w:rsidRPr="00157298">
              <w:rPr>
                <w:rFonts w:ascii="Times New Roman" w:hAnsi="Times New Roman"/>
                <w:color w:val="000000"/>
                <w:sz w:val="24"/>
                <w:szCs w:val="24"/>
              </w:rPr>
              <w:t>Mērķis, risinājums un projekta spēkā stāšanās laiks</w:t>
            </w:r>
          </w:p>
        </w:tc>
        <w:tc>
          <w:tcPr>
            <w:tcW w:w="5977" w:type="dxa"/>
            <w:tcBorders>
              <w:top w:val="outset" w:sz="6" w:space="0" w:color="auto"/>
              <w:left w:val="outset" w:sz="6" w:space="0" w:color="auto"/>
              <w:bottom w:val="outset" w:sz="6" w:space="0" w:color="auto"/>
              <w:right w:val="outset" w:sz="6" w:space="0" w:color="auto"/>
            </w:tcBorders>
          </w:tcPr>
          <w:p w:rsidR="00102EC8" w:rsidRPr="0049434B" w:rsidRDefault="00102EC8" w:rsidP="00A46C55">
            <w:pPr>
              <w:pStyle w:val="tv213"/>
              <w:ind w:firstLine="720"/>
              <w:jc w:val="both"/>
              <w:rPr>
                <w:iCs/>
                <w:color w:val="000000"/>
              </w:rPr>
            </w:pPr>
            <w:r w:rsidRPr="00102EC8">
              <w:rPr>
                <w:iCs/>
                <w:color w:val="000000"/>
              </w:rPr>
              <w:t xml:space="preserve">Ministru kabineta noteikumu projekts “Iekšlietu ministrijas nolikums” nosaka, ka Iekšlietu ministrijas funkcijas, uzdevumus un tiesības kā </w:t>
            </w:r>
            <w:r w:rsidRPr="00102EC8">
              <w:t>vadošajai valsts pārvaldes iestādei sabiedriskās kārtības un drošības aizsardzības, valsts robežas drošības, noziedzības apkarošanas, ugunsdrošības, ugunsdzēsības, glābšanas, civilās aizsardzības, pilsonības, iedzīvotāju uzskaites un dokumentēšanas, kā arī migrācijas politikas jomā.</w:t>
            </w:r>
          </w:p>
        </w:tc>
      </w:tr>
    </w:tbl>
    <w:p w:rsidR="00102EC8" w:rsidRPr="00740AF7" w:rsidRDefault="00102EC8" w:rsidP="00102EC8">
      <w:pPr>
        <w:pStyle w:val="BodyText"/>
        <w:rPr>
          <w:szCs w:val="28"/>
        </w:rPr>
      </w:pPr>
    </w:p>
    <w:tbl>
      <w:tblPr>
        <w:tblStyle w:val="TableGrid"/>
        <w:tblW w:w="9133" w:type="dxa"/>
        <w:tblLayout w:type="fixed"/>
        <w:tblLook w:val="04A0" w:firstRow="1" w:lastRow="0" w:firstColumn="1" w:lastColumn="0" w:noHBand="0" w:noVBand="1"/>
      </w:tblPr>
      <w:tblGrid>
        <w:gridCol w:w="675"/>
        <w:gridCol w:w="2694"/>
        <w:gridCol w:w="5764"/>
      </w:tblGrid>
      <w:tr w:rsidR="00102EC8" w:rsidRPr="008977ED" w:rsidTr="00FE53A6">
        <w:tc>
          <w:tcPr>
            <w:tcW w:w="9133" w:type="dxa"/>
            <w:gridSpan w:val="3"/>
          </w:tcPr>
          <w:p w:rsidR="00102EC8" w:rsidRPr="008977ED" w:rsidRDefault="00102EC8" w:rsidP="00FE53A6">
            <w:pPr>
              <w:pStyle w:val="BodyText"/>
              <w:spacing w:before="60" w:after="60"/>
              <w:rPr>
                <w:sz w:val="24"/>
              </w:rPr>
            </w:pPr>
            <w:r w:rsidRPr="008977ED">
              <w:rPr>
                <w:sz w:val="24"/>
              </w:rPr>
              <w:t>I. Tiesību akta projekta izstrādes nepieciešamība</w:t>
            </w:r>
          </w:p>
        </w:tc>
      </w:tr>
      <w:tr w:rsidR="00102EC8" w:rsidRPr="00254F4C" w:rsidTr="00FE53A6">
        <w:tc>
          <w:tcPr>
            <w:tcW w:w="675" w:type="dxa"/>
          </w:tcPr>
          <w:p w:rsidR="00102EC8" w:rsidRPr="00254F4C" w:rsidRDefault="00102EC8" w:rsidP="00FE53A6">
            <w:pPr>
              <w:spacing w:before="60"/>
              <w:rPr>
                <w:rFonts w:ascii="Times New Roman" w:hAnsi="Times New Roman" w:cs="Times New Roman"/>
                <w:sz w:val="24"/>
                <w:szCs w:val="24"/>
              </w:rPr>
            </w:pPr>
            <w:r w:rsidRPr="00254F4C">
              <w:rPr>
                <w:rFonts w:ascii="Times New Roman" w:hAnsi="Times New Roman" w:cs="Times New Roman"/>
                <w:sz w:val="24"/>
                <w:szCs w:val="24"/>
              </w:rPr>
              <w:t>1.</w:t>
            </w:r>
          </w:p>
        </w:tc>
        <w:tc>
          <w:tcPr>
            <w:tcW w:w="2694" w:type="dxa"/>
          </w:tcPr>
          <w:p w:rsidR="00102EC8" w:rsidRPr="00254F4C" w:rsidRDefault="00102EC8" w:rsidP="00FE53A6">
            <w:pPr>
              <w:spacing w:before="60"/>
              <w:rPr>
                <w:rFonts w:ascii="Times New Roman" w:hAnsi="Times New Roman" w:cs="Times New Roman"/>
                <w:sz w:val="24"/>
                <w:szCs w:val="24"/>
              </w:rPr>
            </w:pPr>
            <w:r w:rsidRPr="00254F4C">
              <w:rPr>
                <w:rFonts w:ascii="Times New Roman" w:hAnsi="Times New Roman" w:cs="Times New Roman"/>
                <w:sz w:val="24"/>
                <w:szCs w:val="24"/>
              </w:rPr>
              <w:t>Pamatojums</w:t>
            </w:r>
          </w:p>
        </w:tc>
        <w:tc>
          <w:tcPr>
            <w:tcW w:w="5764" w:type="dxa"/>
          </w:tcPr>
          <w:p w:rsidR="00102EC8" w:rsidRPr="00254F4C" w:rsidRDefault="00102EC8" w:rsidP="00FE53A6">
            <w:pPr>
              <w:spacing w:before="60"/>
              <w:ind w:firstLine="771"/>
              <w:jc w:val="both"/>
              <w:rPr>
                <w:rFonts w:ascii="Times New Roman" w:hAnsi="Times New Roman" w:cs="Times New Roman"/>
                <w:sz w:val="24"/>
                <w:szCs w:val="24"/>
              </w:rPr>
            </w:pPr>
            <w:r w:rsidRPr="00254F4C">
              <w:rPr>
                <w:rFonts w:ascii="Times New Roman" w:hAnsi="Times New Roman" w:cs="Times New Roman"/>
                <w:sz w:val="24"/>
                <w:szCs w:val="24"/>
              </w:rPr>
              <w:t>Iekšlietu ministrijas iniciatīva.</w:t>
            </w:r>
          </w:p>
        </w:tc>
      </w:tr>
      <w:tr w:rsidR="00102EC8" w:rsidRPr="00254F4C" w:rsidTr="00FE53A6">
        <w:tc>
          <w:tcPr>
            <w:tcW w:w="675" w:type="dxa"/>
          </w:tcPr>
          <w:p w:rsidR="00102EC8" w:rsidRPr="00254F4C" w:rsidRDefault="00102EC8" w:rsidP="00FE53A6">
            <w:pPr>
              <w:spacing w:before="60" w:line="720" w:lineRule="auto"/>
              <w:rPr>
                <w:rFonts w:ascii="Times New Roman" w:hAnsi="Times New Roman" w:cs="Times New Roman"/>
                <w:sz w:val="24"/>
                <w:szCs w:val="24"/>
              </w:rPr>
            </w:pPr>
            <w:r w:rsidRPr="00254F4C">
              <w:rPr>
                <w:rFonts w:ascii="Times New Roman" w:hAnsi="Times New Roman" w:cs="Times New Roman"/>
                <w:sz w:val="24"/>
                <w:szCs w:val="24"/>
              </w:rPr>
              <w:t>2.</w:t>
            </w:r>
          </w:p>
        </w:tc>
        <w:tc>
          <w:tcPr>
            <w:tcW w:w="2694" w:type="dxa"/>
          </w:tcPr>
          <w:p w:rsidR="00102EC8" w:rsidRPr="00254F4C" w:rsidRDefault="00102EC8" w:rsidP="00FE53A6">
            <w:pPr>
              <w:spacing w:before="60"/>
              <w:rPr>
                <w:rFonts w:ascii="Times New Roman" w:hAnsi="Times New Roman" w:cs="Times New Roman"/>
                <w:sz w:val="24"/>
                <w:szCs w:val="24"/>
              </w:rPr>
            </w:pPr>
            <w:r w:rsidRPr="00254F4C">
              <w:rPr>
                <w:rFonts w:ascii="Times New Roman" w:hAnsi="Times New Roman" w:cs="Times New Roman"/>
                <w:sz w:val="24"/>
                <w:szCs w:val="24"/>
              </w:rPr>
              <w:t>Pašreizējā situācija un problēmas, kuru risināšanai tiesību akta projekts izstrādāts, tiesiskā regulējuma mērķis un būtība</w:t>
            </w:r>
          </w:p>
        </w:tc>
        <w:tc>
          <w:tcPr>
            <w:tcW w:w="5764" w:type="dxa"/>
          </w:tcPr>
          <w:p w:rsidR="00102EC8" w:rsidRDefault="007B0C66" w:rsidP="00FE53A6">
            <w:pPr>
              <w:ind w:firstLine="709"/>
              <w:jc w:val="both"/>
              <w:rPr>
                <w:rFonts w:ascii="Times New Roman" w:hAnsi="Times New Roman" w:cs="Times New Roman"/>
                <w:sz w:val="24"/>
                <w:szCs w:val="24"/>
              </w:rPr>
            </w:pPr>
            <w:r>
              <w:rPr>
                <w:rFonts w:ascii="Times New Roman" w:hAnsi="Times New Roman" w:cs="Times New Roman"/>
                <w:sz w:val="24"/>
                <w:szCs w:val="24"/>
              </w:rPr>
              <w:t>2019.gada 1.janvārī stājās spēkā Valsts materiālo rezervju likums, līdz ar to ir pārskatāma noteiktā Iekšlietu ministrijas kompetence Ministru kabineta 2003.gada 29.aprīļa noteikumos Nr.240 “Iekšlietu ministrijas nolikums” (turpmāk – nolikums).</w:t>
            </w:r>
          </w:p>
          <w:p w:rsidR="00903C5C" w:rsidRDefault="00903C5C" w:rsidP="00FE53A6">
            <w:pPr>
              <w:ind w:firstLine="709"/>
              <w:jc w:val="both"/>
              <w:rPr>
                <w:rFonts w:ascii="Times New Roman" w:hAnsi="Times New Roman" w:cs="Times New Roman"/>
                <w:sz w:val="24"/>
                <w:szCs w:val="24"/>
              </w:rPr>
            </w:pPr>
            <w:r>
              <w:rPr>
                <w:rFonts w:ascii="Times New Roman" w:hAnsi="Times New Roman" w:cs="Times New Roman"/>
                <w:sz w:val="24"/>
                <w:szCs w:val="24"/>
              </w:rPr>
              <w:t>Saskaņā ar grozījumiem Valsts drošības iestāžu likumā, kas stājās spēkā 2019.gada 1.janvārī, tika mainīts Iekšlietu ministrijas padotības iestādes nosaukums, proti, no Drošības policijas uz Valsts drošības dienestu. Līdz ar to attiecīgi ir precizējams nolikums.</w:t>
            </w:r>
          </w:p>
          <w:p w:rsidR="00EA4EBB" w:rsidRDefault="00903C5C" w:rsidP="00EA4EBB">
            <w:pPr>
              <w:ind w:firstLine="709"/>
              <w:jc w:val="both"/>
              <w:rPr>
                <w:rFonts w:ascii="Times New Roman" w:hAnsi="Times New Roman" w:cs="Times New Roman"/>
                <w:sz w:val="24"/>
                <w:szCs w:val="24"/>
              </w:rPr>
            </w:pPr>
            <w:r>
              <w:rPr>
                <w:rFonts w:ascii="Times New Roman" w:hAnsi="Times New Roman" w:cs="Times New Roman"/>
                <w:sz w:val="24"/>
                <w:szCs w:val="24"/>
              </w:rPr>
              <w:t>Vienlaikus ir nepieciešams aktualizēt nolikumu atbilstoši ārējiem normatīvajiem aktiem.</w:t>
            </w:r>
          </w:p>
          <w:p w:rsidR="00EA4EBB" w:rsidRPr="00EA4EBB" w:rsidRDefault="00012C39" w:rsidP="00EA4EBB">
            <w:pPr>
              <w:ind w:firstLine="709"/>
              <w:jc w:val="both"/>
              <w:rPr>
                <w:rFonts w:ascii="Times New Roman" w:hAnsi="Times New Roman" w:cs="Times New Roman"/>
                <w:sz w:val="24"/>
                <w:szCs w:val="24"/>
              </w:rPr>
            </w:pPr>
            <w:r w:rsidRPr="00EA4EBB">
              <w:rPr>
                <w:rFonts w:ascii="Times New Roman" w:hAnsi="Times New Roman" w:cs="Times New Roman"/>
                <w:sz w:val="24"/>
                <w:szCs w:val="24"/>
              </w:rPr>
              <w:t xml:space="preserve">Projekta 1.punkts paredz, </w:t>
            </w:r>
            <w:r w:rsidR="00EA4EBB" w:rsidRPr="00EA4EBB">
              <w:rPr>
                <w:rFonts w:ascii="Times New Roman" w:hAnsi="Times New Roman" w:cs="Times New Roman"/>
                <w:sz w:val="24"/>
                <w:szCs w:val="24"/>
              </w:rPr>
              <w:t>Iekšlietu ministrija (turpmāk — ministrija) ir vadošā valsts pārvaldes iestāde iekšlietu nozarē sabiedriskās kārtības un drošības, valsts robežas drošības, noziedzības novēršanas un apkarošanas, ugunsdrošības, ugunsdzēsības, glābšanas, civilās aizsardzības, pilsonības, iedzīvotāju uzskaites un dokumentēšanas, kā arī migrācijas politikas jomā.</w:t>
            </w:r>
          </w:p>
          <w:p w:rsidR="00012C39" w:rsidRDefault="00903D11" w:rsidP="00012C39">
            <w:pPr>
              <w:ind w:firstLine="709"/>
              <w:jc w:val="both"/>
              <w:rPr>
                <w:rFonts w:ascii="Times New Roman" w:hAnsi="Times New Roman" w:cs="Times New Roman"/>
                <w:sz w:val="24"/>
                <w:szCs w:val="24"/>
              </w:rPr>
            </w:pPr>
            <w:r>
              <w:rPr>
                <w:rFonts w:ascii="Times New Roman" w:hAnsi="Times New Roman" w:cs="Times New Roman"/>
                <w:sz w:val="24"/>
                <w:szCs w:val="24"/>
              </w:rPr>
              <w:t>Tādējādi, salīdzinot ar nolikuma 1.punktu, ir svītroti vārdi “personu tiesību un likumīgo interešu aizsardzība”, jo norādītās jomas jau aptver minēto.</w:t>
            </w:r>
          </w:p>
          <w:p w:rsidR="00903D11" w:rsidRDefault="00903D11" w:rsidP="00012C39">
            <w:pPr>
              <w:ind w:firstLine="709"/>
              <w:jc w:val="both"/>
              <w:rPr>
                <w:rFonts w:ascii="Times New Roman" w:hAnsi="Times New Roman" w:cs="Times New Roman"/>
                <w:sz w:val="24"/>
                <w:szCs w:val="24"/>
              </w:rPr>
            </w:pPr>
            <w:r>
              <w:rPr>
                <w:rFonts w:ascii="Times New Roman" w:hAnsi="Times New Roman" w:cs="Times New Roman"/>
                <w:sz w:val="24"/>
                <w:szCs w:val="24"/>
              </w:rPr>
              <w:t>Turklāt ir precizēts nolikuma 5.punkts (projekta 4.punkts). Proti, ir svītrots nolikuma 5.1.3. un 5.1.7.apakšpunkts. Minētais pamatojams ar to, ka nolikuma 5.1.3.apakšpunktā norādītais attiecībā uz izlūkošanu un pretizlūkošanu organizētās un ekonomiskās noziedzības apkarošanā, nav uzskatāms par Iekšlietu ministrijas funkciju, bet gan attiecīgie līdzekļi noziedzības apkarošan</w:t>
            </w:r>
            <w:r w:rsidR="00D32AFC">
              <w:rPr>
                <w:rFonts w:ascii="Times New Roman" w:hAnsi="Times New Roman" w:cs="Times New Roman"/>
                <w:sz w:val="24"/>
                <w:szCs w:val="24"/>
              </w:rPr>
              <w:t>ai</w:t>
            </w:r>
            <w:r>
              <w:rPr>
                <w:rFonts w:ascii="Times New Roman" w:hAnsi="Times New Roman" w:cs="Times New Roman"/>
                <w:sz w:val="24"/>
                <w:szCs w:val="24"/>
              </w:rPr>
              <w:t xml:space="preserve">. Tāpat </w:t>
            </w:r>
            <w:r w:rsidR="00EA4EBB">
              <w:rPr>
                <w:rFonts w:ascii="Times New Roman" w:hAnsi="Times New Roman" w:cs="Times New Roman"/>
                <w:sz w:val="24"/>
                <w:szCs w:val="24"/>
              </w:rPr>
              <w:t>projekta 4.1.3.</w:t>
            </w:r>
            <w:r>
              <w:rPr>
                <w:rFonts w:ascii="Times New Roman" w:hAnsi="Times New Roman" w:cs="Times New Roman"/>
                <w:sz w:val="24"/>
                <w:szCs w:val="24"/>
              </w:rPr>
              <w:t>apakšpunktā jau ir noteikts, ka Iekšlietu ministrijas fun</w:t>
            </w:r>
            <w:r w:rsidR="00A46C55">
              <w:rPr>
                <w:rFonts w:ascii="Times New Roman" w:hAnsi="Times New Roman" w:cs="Times New Roman"/>
                <w:sz w:val="24"/>
                <w:szCs w:val="24"/>
              </w:rPr>
              <w:t xml:space="preserve">kcija ir noziedzības </w:t>
            </w:r>
            <w:r w:rsidR="00EA4EBB">
              <w:rPr>
                <w:rFonts w:ascii="Times New Roman" w:hAnsi="Times New Roman" w:cs="Times New Roman"/>
                <w:sz w:val="24"/>
                <w:szCs w:val="24"/>
              </w:rPr>
              <w:t xml:space="preserve">novēršana un </w:t>
            </w:r>
            <w:r w:rsidR="00A46C55">
              <w:rPr>
                <w:rFonts w:ascii="Times New Roman" w:hAnsi="Times New Roman" w:cs="Times New Roman"/>
                <w:sz w:val="24"/>
                <w:szCs w:val="24"/>
              </w:rPr>
              <w:t>apkarošana, līdz ar to ir novēršama šāda tiesību normu dublēšanās.</w:t>
            </w:r>
          </w:p>
          <w:p w:rsidR="00D32AFC" w:rsidRDefault="00903D11" w:rsidP="00D32AFC">
            <w:pPr>
              <w:ind w:firstLine="709"/>
              <w:jc w:val="both"/>
              <w:rPr>
                <w:rFonts w:ascii="Times New Roman" w:hAnsi="Times New Roman" w:cs="Times New Roman"/>
                <w:sz w:val="24"/>
                <w:szCs w:val="24"/>
              </w:rPr>
            </w:pPr>
            <w:r>
              <w:rPr>
                <w:rFonts w:ascii="Times New Roman" w:hAnsi="Times New Roman" w:cs="Times New Roman"/>
                <w:sz w:val="24"/>
                <w:szCs w:val="24"/>
              </w:rPr>
              <w:t>Savukārt attiecībā par nolikuma 5.1.7.apakšpunkta svītrošanu ir norād</w:t>
            </w:r>
            <w:r w:rsidR="00D32AFC">
              <w:rPr>
                <w:rFonts w:ascii="Times New Roman" w:hAnsi="Times New Roman" w:cs="Times New Roman"/>
                <w:sz w:val="24"/>
                <w:szCs w:val="24"/>
              </w:rPr>
              <w:t xml:space="preserve">āms, ka jautājumi, kas skar materiālās </w:t>
            </w:r>
            <w:r w:rsidR="00EA4EBB">
              <w:rPr>
                <w:rFonts w:ascii="Times New Roman" w:hAnsi="Times New Roman" w:cs="Times New Roman"/>
                <w:sz w:val="24"/>
                <w:szCs w:val="24"/>
              </w:rPr>
              <w:lastRenderedPageBreak/>
              <w:t>rezerves, ietveras jau projekta 4.1.4.</w:t>
            </w:r>
            <w:r w:rsidR="00D32AFC">
              <w:rPr>
                <w:rFonts w:ascii="Times New Roman" w:hAnsi="Times New Roman" w:cs="Times New Roman"/>
                <w:sz w:val="24"/>
                <w:szCs w:val="24"/>
              </w:rPr>
              <w:t xml:space="preserve">.apakšpunktā </w:t>
            </w:r>
            <w:r w:rsidR="00EA4EBB">
              <w:rPr>
                <w:rFonts w:ascii="Times New Roman" w:hAnsi="Times New Roman" w:cs="Times New Roman"/>
                <w:sz w:val="24"/>
                <w:szCs w:val="24"/>
              </w:rPr>
              <w:t>norādītajā</w:t>
            </w:r>
            <w:r w:rsidR="00D32AFC">
              <w:rPr>
                <w:rFonts w:ascii="Times New Roman" w:hAnsi="Times New Roman" w:cs="Times New Roman"/>
                <w:sz w:val="24"/>
                <w:szCs w:val="24"/>
              </w:rPr>
              <w:t xml:space="preserve"> funkcij</w:t>
            </w:r>
            <w:r w:rsidR="00A46C55">
              <w:rPr>
                <w:rFonts w:ascii="Times New Roman" w:hAnsi="Times New Roman" w:cs="Times New Roman"/>
                <w:sz w:val="24"/>
                <w:szCs w:val="24"/>
              </w:rPr>
              <w:t>ā</w:t>
            </w:r>
            <w:r w:rsidR="00D32AFC">
              <w:rPr>
                <w:rFonts w:ascii="Times New Roman" w:hAnsi="Times New Roman" w:cs="Times New Roman"/>
                <w:sz w:val="24"/>
                <w:szCs w:val="24"/>
              </w:rPr>
              <w:t xml:space="preserve"> “civilā aizsardzība”.</w:t>
            </w:r>
          </w:p>
          <w:p w:rsidR="00D32AFC" w:rsidRDefault="00D32AFC" w:rsidP="00D32AFC">
            <w:pPr>
              <w:ind w:firstLine="709"/>
              <w:jc w:val="both"/>
              <w:rPr>
                <w:rFonts w:ascii="Times New Roman" w:hAnsi="Times New Roman" w:cs="Times New Roman"/>
                <w:spacing w:val="-2"/>
                <w:sz w:val="24"/>
                <w:szCs w:val="24"/>
              </w:rPr>
            </w:pPr>
            <w:r w:rsidRPr="00D32AFC">
              <w:rPr>
                <w:rFonts w:ascii="Times New Roman" w:hAnsi="Times New Roman" w:cs="Times New Roman"/>
                <w:sz w:val="24"/>
                <w:szCs w:val="24"/>
              </w:rPr>
              <w:t>Vienlaikus norādām, ka saskaņā ar likumprojekta “Grozījumi Noziedzīgi iegūtu līdzekļu legalizācijas un terorisma finansēšanas novēršanas likumā”</w:t>
            </w:r>
            <w:r w:rsidR="00A46C55">
              <w:rPr>
                <w:rFonts w:ascii="Times New Roman" w:hAnsi="Times New Roman" w:cs="Times New Roman"/>
                <w:sz w:val="24"/>
                <w:szCs w:val="24"/>
              </w:rPr>
              <w:t xml:space="preserve"> sākotnējās ietekmes novērtējuma ziņojumā (anotācijā) minēto,</w:t>
            </w:r>
            <w:r w:rsidRPr="00D32AFC">
              <w:rPr>
                <w:rFonts w:ascii="Times New Roman" w:hAnsi="Times New Roman" w:cs="Times New Roman"/>
                <w:sz w:val="24"/>
                <w:szCs w:val="24"/>
              </w:rPr>
              <w:t xml:space="preserve"> kas stājās spēkā 2019.gada 1.janvārī, </w:t>
            </w:r>
            <w:r w:rsidRPr="00D32AFC">
              <w:rPr>
                <w:rFonts w:ascii="Times New Roman" w:hAnsi="Times New Roman" w:cs="Times New Roman"/>
                <w:spacing w:val="-2"/>
                <w:sz w:val="24"/>
                <w:szCs w:val="24"/>
              </w:rPr>
              <w:t xml:space="preserve">Iekšlietu ministrija veido politiku, kas attiecas uz </w:t>
            </w:r>
            <w:r>
              <w:rPr>
                <w:rFonts w:ascii="Times New Roman" w:hAnsi="Times New Roman" w:cs="Times New Roman"/>
                <w:spacing w:val="-2"/>
                <w:sz w:val="24"/>
                <w:szCs w:val="24"/>
              </w:rPr>
              <w:t>Finanšu izlūkošanas dienestu</w:t>
            </w:r>
            <w:r w:rsidRPr="00D32AFC">
              <w:rPr>
                <w:rFonts w:ascii="Times New Roman" w:hAnsi="Times New Roman" w:cs="Times New Roman"/>
                <w:spacing w:val="-2"/>
                <w:sz w:val="24"/>
                <w:szCs w:val="24"/>
              </w:rPr>
              <w:t>, tā sadarbību ar tiesībaizsardzības iestādēm, kā arī veic pasākumus, kas saistīti ar pasākumu plāna noziedzīgi iegūtu līdzekļu legalizācijas un terorisma finansēšanas novēršanai izstrādi un tālākās uzraudzības nodrošināšanu.</w:t>
            </w:r>
            <w:r>
              <w:rPr>
                <w:rFonts w:ascii="Times New Roman" w:hAnsi="Times New Roman" w:cs="Times New Roman"/>
                <w:spacing w:val="-2"/>
                <w:sz w:val="24"/>
                <w:szCs w:val="24"/>
              </w:rPr>
              <w:t xml:space="preserve"> Izvērtējot minēto, tika secināts, ka atsevišķa funkcija nav projektā paredzama, jo minētais </w:t>
            </w:r>
            <w:r w:rsidR="00F9763B">
              <w:rPr>
                <w:rFonts w:ascii="Times New Roman" w:hAnsi="Times New Roman" w:cs="Times New Roman"/>
                <w:spacing w:val="-2"/>
                <w:sz w:val="24"/>
                <w:szCs w:val="24"/>
              </w:rPr>
              <w:t>ietveras</w:t>
            </w:r>
            <w:r>
              <w:rPr>
                <w:rFonts w:ascii="Times New Roman" w:hAnsi="Times New Roman" w:cs="Times New Roman"/>
                <w:spacing w:val="-2"/>
                <w:sz w:val="24"/>
                <w:szCs w:val="24"/>
              </w:rPr>
              <w:t xml:space="preserve"> funkcijā “noziedzības apkarošana”.</w:t>
            </w:r>
          </w:p>
          <w:p w:rsidR="002E49FA" w:rsidRPr="002E49FA" w:rsidRDefault="002E49FA" w:rsidP="00D32AFC">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Tāpat arī projekts paredz svītrot nolikuma 5.3.apakšpunktu, proti, </w:t>
            </w:r>
            <w:r w:rsidRPr="002E49FA">
              <w:rPr>
                <w:rFonts w:ascii="Times New Roman" w:hAnsi="Times New Roman" w:cs="Times New Roman"/>
                <w:spacing w:val="-2"/>
                <w:sz w:val="24"/>
                <w:szCs w:val="24"/>
              </w:rPr>
              <w:t xml:space="preserve">ka Iekšlietu ministrija </w:t>
            </w:r>
            <w:r w:rsidRPr="002E49FA">
              <w:rPr>
                <w:rFonts w:ascii="Times New Roman" w:hAnsi="Times New Roman" w:cs="Times New Roman"/>
                <w:sz w:val="24"/>
                <w:szCs w:val="24"/>
              </w:rPr>
              <w:t>attīsta ministrijas funkciju izpildei nepieciešamās informācijas un sakaru sistēmas</w:t>
            </w:r>
            <w:r>
              <w:rPr>
                <w:rFonts w:ascii="Times New Roman" w:hAnsi="Times New Roman" w:cs="Times New Roman"/>
                <w:sz w:val="24"/>
                <w:szCs w:val="24"/>
              </w:rPr>
              <w:t>. Minētais ir pamatojams ar to, ka informācijas tehnolo</w:t>
            </w:r>
            <w:r w:rsidR="005C3855">
              <w:rPr>
                <w:rFonts w:ascii="Times New Roman" w:hAnsi="Times New Roman" w:cs="Times New Roman"/>
                <w:sz w:val="24"/>
                <w:szCs w:val="24"/>
              </w:rPr>
              <w:t xml:space="preserve">ģijas </w:t>
            </w:r>
            <w:r>
              <w:rPr>
                <w:rFonts w:ascii="Times New Roman" w:hAnsi="Times New Roman" w:cs="Times New Roman"/>
                <w:sz w:val="24"/>
                <w:szCs w:val="24"/>
              </w:rPr>
              <w:t>ir līdzeklis (rīks). Līdz ar to</w:t>
            </w:r>
            <w:r w:rsidR="005C3855">
              <w:rPr>
                <w:rFonts w:ascii="Times New Roman" w:hAnsi="Times New Roman" w:cs="Times New Roman"/>
                <w:sz w:val="24"/>
                <w:szCs w:val="24"/>
              </w:rPr>
              <w:t>,</w:t>
            </w:r>
            <w:r>
              <w:rPr>
                <w:rFonts w:ascii="Times New Roman" w:hAnsi="Times New Roman" w:cs="Times New Roman"/>
                <w:sz w:val="24"/>
                <w:szCs w:val="24"/>
              </w:rPr>
              <w:t xml:space="preserve"> izstrādājot attiecīgo politiku</w:t>
            </w:r>
            <w:r w:rsidR="005C3855">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tiek vērtēta līdzekļa (rīka) izmantošanas nepieciešamība, ievērojot iespējamības un lietderības aspektus.</w:t>
            </w:r>
          </w:p>
          <w:p w:rsidR="008143F6" w:rsidRDefault="008143F6" w:rsidP="00D32AFC">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Atbilstoši projekta 4.punktā noteiktajai Iekšlietu ministrijas kompetencei, </w:t>
            </w:r>
            <w:r w:rsidR="00A46C55">
              <w:rPr>
                <w:rFonts w:ascii="Times New Roman" w:hAnsi="Times New Roman" w:cs="Times New Roman"/>
                <w:spacing w:val="-2"/>
                <w:sz w:val="24"/>
                <w:szCs w:val="24"/>
              </w:rPr>
              <w:t xml:space="preserve">ir pārskatīti un attiecīgi arī papildināti </w:t>
            </w:r>
            <w:r>
              <w:rPr>
                <w:rFonts w:ascii="Times New Roman" w:hAnsi="Times New Roman" w:cs="Times New Roman"/>
                <w:spacing w:val="-2"/>
                <w:sz w:val="24"/>
                <w:szCs w:val="24"/>
              </w:rPr>
              <w:t>Iekšlietu ministrijas uzdevumi.</w:t>
            </w:r>
          </w:p>
          <w:p w:rsidR="00B92E4A" w:rsidRDefault="00231C97" w:rsidP="00D32AFC">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Projekts arī paredz precizēt nolikuma 7.punktu, kas nosaka Iekšlietu ministrijas tiesības. Proti, nolikuma 7.1.apakšpunkts paredz, ka Iekšlietu ministrijai ir tiesības ārējos normatīvajos aktos noteiktajos gadījumos pieprasīt un bez maksas saņemt no fiziskajām un privāto tiesību juridiskajām personām ministrijas uzdevumu izpildei nepieciešamo informāciju un dokumentus. Ņemot vērā, ka šādai tiesību normai nav juridiskās slodzes, jo tajā ir ietverta nenoteikta atsauce uz citiem normatīvajiem aktiem, līdz ar to 7.1.apakšpunkts ir svītrojams.</w:t>
            </w:r>
          </w:p>
          <w:p w:rsidR="00231C97" w:rsidRDefault="00231C97" w:rsidP="00D32AFC">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Nolikuma 7.2.apakšpunkts paredz, ka Iekšlietu ministrijai ir tiesības iesaistīties nozares politikas jautājumu risināšanā ministriju, citu valsts pārvaldes iestāžu, pašvaldību un citu institūciju pārstāvjus. Norādām, ka Valsts pārvaldes iekārtas likuma VII nodaļa “Sadarbība valsts pārvaldē” jau paredz sadarbības būtiskākos nosacījumus, līdz ar to nolikuma 7.2.apakšpunkts ir svītrojams.</w:t>
            </w:r>
          </w:p>
          <w:p w:rsidR="00231C97" w:rsidRDefault="00A711CA" w:rsidP="00D32AFC">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Projekta 5.9.apakšpunktā ir noteikts, ka Iekšlietu ministrijas uzdevums ir pārbaudīt funkciju izpildi Iekšlietu ministrijas padotības iestādēs, līdz ar to nolikuma 7.4.apakšpunkts ir svītrojams.</w:t>
            </w:r>
          </w:p>
          <w:p w:rsidR="00A711CA" w:rsidRDefault="00A711CA" w:rsidP="00A711CA">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Vienlaikus projekts paredz jaunu Iekšlietu ministrijas tiesību, proti, sniegt maksas pakalpojumus. Minētais pamatojams ar Ministru kabineta 2013.gada 6.augusta </w:t>
            </w:r>
            <w:r w:rsidR="00EA4EBB">
              <w:rPr>
                <w:rFonts w:ascii="Times New Roman" w:hAnsi="Times New Roman" w:cs="Times New Roman"/>
                <w:spacing w:val="-2"/>
                <w:sz w:val="24"/>
                <w:szCs w:val="24"/>
              </w:rPr>
              <w:t xml:space="preserve">noteikumos </w:t>
            </w:r>
            <w:r>
              <w:rPr>
                <w:rFonts w:ascii="Times New Roman" w:hAnsi="Times New Roman" w:cs="Times New Roman"/>
                <w:spacing w:val="-2"/>
                <w:sz w:val="24"/>
                <w:szCs w:val="24"/>
              </w:rPr>
              <w:t>Nr.486 “Iekšlietu ministrijas maksas pakalpojumu cenrādis” noteikto.</w:t>
            </w:r>
          </w:p>
          <w:p w:rsidR="00396E01" w:rsidRDefault="00C35D2C" w:rsidP="00A711CA">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Atbilstoši Latvijas Republikas Satversmes 57.pantam ministriju skaitu un to darbības apjomu, kā arī valsts iestāžu </w:t>
            </w:r>
            <w:proofErr w:type="spellStart"/>
            <w:r>
              <w:rPr>
                <w:rFonts w:ascii="Times New Roman" w:hAnsi="Times New Roman" w:cs="Times New Roman"/>
                <w:spacing w:val="-2"/>
                <w:sz w:val="24"/>
                <w:szCs w:val="24"/>
              </w:rPr>
              <w:t>savstarpīgās</w:t>
            </w:r>
            <w:proofErr w:type="spellEnd"/>
            <w:r>
              <w:rPr>
                <w:rFonts w:ascii="Times New Roman" w:hAnsi="Times New Roman" w:cs="Times New Roman"/>
                <w:spacing w:val="-2"/>
                <w:sz w:val="24"/>
                <w:szCs w:val="24"/>
              </w:rPr>
              <w:t xml:space="preserve"> attiecības nosaka likums.</w:t>
            </w:r>
            <w:r w:rsidR="00A44EB0">
              <w:rPr>
                <w:rFonts w:ascii="Times New Roman" w:hAnsi="Times New Roman" w:cs="Times New Roman"/>
                <w:spacing w:val="-2"/>
                <w:sz w:val="24"/>
                <w:szCs w:val="24"/>
              </w:rPr>
              <w:t xml:space="preserve"> Valsts pārvaldes iekārtas likuma 16.pants paredz, ka nolikumā norāda tikai iestādes funkcijas, uzdevumus un kompetenci, nevis amatpersonu kompetenci. Ministra, parlamentārā sekretāra</w:t>
            </w:r>
            <w:r w:rsidR="00396E01">
              <w:rPr>
                <w:rFonts w:ascii="Times New Roman" w:hAnsi="Times New Roman" w:cs="Times New Roman"/>
                <w:spacing w:val="-2"/>
                <w:sz w:val="24"/>
                <w:szCs w:val="24"/>
              </w:rPr>
              <w:t xml:space="preserve"> un valsts sekretāra kompetence ir noteikta, piemēram, Valsts pārvaldes iekārtas likumā, Ministru kabineta iekārtas likumā, Publiskas personas kapitāla daļu un kapitālsabiedrību pārvaldības likumā, Attīstības plānošanas sistēmas likumā, Iekšējā audita likumā, Likumā par budžetu un finanšu vadību.</w:t>
            </w:r>
          </w:p>
          <w:p w:rsidR="00396E01" w:rsidRDefault="00396E01" w:rsidP="00396E01">
            <w:pPr>
              <w:ind w:firstLine="709"/>
              <w:jc w:val="both"/>
              <w:rPr>
                <w:rFonts w:ascii="Times New Roman" w:hAnsi="Times New Roman" w:cs="Times New Roman"/>
                <w:sz w:val="24"/>
                <w:szCs w:val="24"/>
              </w:rPr>
            </w:pPr>
            <w:r w:rsidRPr="00396E01">
              <w:rPr>
                <w:rFonts w:ascii="Times New Roman" w:hAnsi="Times New Roman" w:cs="Times New Roman"/>
                <w:spacing w:val="-2"/>
                <w:sz w:val="24"/>
                <w:szCs w:val="24"/>
              </w:rPr>
              <w:t>Ņemot vērā Ministru kabineta 2009.gada 3.februāra noteikum</w:t>
            </w:r>
            <w:r w:rsidR="00EA4EBB">
              <w:rPr>
                <w:rFonts w:ascii="Times New Roman" w:hAnsi="Times New Roman" w:cs="Times New Roman"/>
                <w:spacing w:val="-2"/>
                <w:sz w:val="24"/>
                <w:szCs w:val="24"/>
              </w:rPr>
              <w:t>os</w:t>
            </w:r>
            <w:r w:rsidRPr="00396E01">
              <w:rPr>
                <w:rFonts w:ascii="Times New Roman" w:hAnsi="Times New Roman" w:cs="Times New Roman"/>
                <w:spacing w:val="-2"/>
                <w:sz w:val="24"/>
                <w:szCs w:val="24"/>
              </w:rPr>
              <w:t xml:space="preserve"> Nr.108 “</w:t>
            </w:r>
            <w:r w:rsidRPr="00396E01">
              <w:rPr>
                <w:rFonts w:ascii="Times New Roman" w:eastAsia="Times New Roman" w:hAnsi="Times New Roman" w:cs="Times New Roman"/>
                <w:sz w:val="24"/>
                <w:szCs w:val="24"/>
                <w:lang w:eastAsia="lv-LV"/>
              </w:rPr>
              <w:t>Normatīvo aktu projektu sagatavošanas noteikumi” 3.2.apakšpunktā noteikto, ka n</w:t>
            </w:r>
            <w:r w:rsidRPr="00396E01">
              <w:rPr>
                <w:rFonts w:ascii="Times New Roman" w:hAnsi="Times New Roman" w:cs="Times New Roman"/>
                <w:sz w:val="24"/>
                <w:szCs w:val="24"/>
              </w:rPr>
              <w:t>ormatīvā akta projektā neietver normas, kas dublē augstāka vai tāda paša spēka normatīvā akta tiesību normās ietverto normatīvo regulējumu, no nolikuma ir nepieciešams svītrot tiesisko regulējumu, kas nosaka iekšlietu ministra, parlamentārā sekretāra un valsts sekretāra kompetenci.</w:t>
            </w:r>
          </w:p>
          <w:p w:rsidR="002E34C4" w:rsidRDefault="002E34C4" w:rsidP="00396E01">
            <w:pPr>
              <w:ind w:firstLine="709"/>
              <w:jc w:val="both"/>
              <w:rPr>
                <w:rFonts w:ascii="Times New Roman" w:hAnsi="Times New Roman" w:cs="Times New Roman"/>
                <w:sz w:val="24"/>
                <w:szCs w:val="24"/>
              </w:rPr>
            </w:pPr>
            <w:r>
              <w:rPr>
                <w:rFonts w:ascii="Times New Roman" w:hAnsi="Times New Roman" w:cs="Times New Roman"/>
                <w:sz w:val="24"/>
                <w:szCs w:val="24"/>
              </w:rPr>
              <w:t>Savukārt jautājumus, kas saistīti ar Iekšlietu ministrijas struktūru un struktūrvienību un amatpersonu pakļautību, nav nepieciešams regulēt ārējā normatīvajā aktā, bet gan tos ietvert Iekšlietu ministrijas reglamentā. Turklāt jau Valsts pārvaldes iekārtas likuma 75.panta otrā daļa nosaka struktūrvienību reglamentu saskaņošanas kārtību, līdz ar to nav nepieciešams dublēt arī nolikumā. Līdz ar to nolikuma 12., 13., 14., 15. un 16.punkts ir svītrojams.</w:t>
            </w:r>
          </w:p>
          <w:p w:rsidR="002E34C4" w:rsidRPr="00396E01" w:rsidRDefault="002E34C4" w:rsidP="00396E01">
            <w:pPr>
              <w:ind w:firstLine="709"/>
              <w:jc w:val="both"/>
              <w:rPr>
                <w:rFonts w:ascii="Times New Roman" w:hAnsi="Times New Roman" w:cs="Times New Roman"/>
                <w:spacing w:val="-2"/>
                <w:sz w:val="24"/>
                <w:szCs w:val="24"/>
              </w:rPr>
            </w:pPr>
            <w:r>
              <w:rPr>
                <w:rFonts w:ascii="Times New Roman" w:hAnsi="Times New Roman" w:cs="Times New Roman"/>
                <w:sz w:val="24"/>
                <w:szCs w:val="24"/>
              </w:rPr>
              <w:t>Nolikuma 17.punkts paredz, ka ministrs un valsts sekretārs ministrijā var izveidot padomes, darba grupas un komisijas. Minētajās institūcijās var iesaistīt citu institūciju pilnvarotos pārstāvjus, kā arī privātpersonas. Institūciju nolikumus apstiprina attiecīgi ministrs vai valsts sekretārs. Ņemot vērā minēto, Iekšlietu ministrijas ieskatā, šādu detalizētu tiesisko regulējumu par koleģiālo institūciju un darba grupu izveidi nav nepieciešams noteikt ārējā normatīvajā aktā</w:t>
            </w:r>
            <w:r w:rsidR="00B92E4A">
              <w:rPr>
                <w:rFonts w:ascii="Times New Roman" w:hAnsi="Times New Roman" w:cs="Times New Roman"/>
                <w:sz w:val="24"/>
                <w:szCs w:val="24"/>
              </w:rPr>
              <w:t xml:space="preserve">, bet gan Iekšlietu ministrijas iekšējā normatīvajā aktā. Turklāt arī koleģiālās institūcijas, ņemot vērā apspiežamo jautājumu raksturu, izveido un darbojas, ievērojot Valsts pārvaldes iekārtas likumā noteikto. Ministrijas sadarbību ar iestādēm un sabiedrību arī paredz minētais likums. Līdz ar to nolikuma </w:t>
            </w:r>
            <w:r w:rsidR="00B92E4A">
              <w:rPr>
                <w:rFonts w:ascii="Times New Roman" w:hAnsi="Times New Roman" w:cs="Times New Roman"/>
                <w:sz w:val="24"/>
                <w:szCs w:val="24"/>
              </w:rPr>
              <w:lastRenderedPageBreak/>
              <w:t xml:space="preserve">17.punkts ir svītrojams. </w:t>
            </w:r>
            <w:r w:rsidR="00EA4EBB">
              <w:rPr>
                <w:rFonts w:ascii="Times New Roman" w:hAnsi="Times New Roman" w:cs="Times New Roman"/>
                <w:sz w:val="24"/>
                <w:szCs w:val="24"/>
              </w:rPr>
              <w:t>Ievērojot</w:t>
            </w:r>
            <w:r w:rsidR="00B92E4A">
              <w:rPr>
                <w:rFonts w:ascii="Times New Roman" w:hAnsi="Times New Roman" w:cs="Times New Roman"/>
                <w:sz w:val="24"/>
                <w:szCs w:val="24"/>
              </w:rPr>
              <w:t xml:space="preserve"> tiesiskās noteiktības princip</w:t>
            </w:r>
            <w:r w:rsidR="00EA4EBB">
              <w:rPr>
                <w:rFonts w:ascii="Times New Roman" w:hAnsi="Times New Roman" w:cs="Times New Roman"/>
                <w:sz w:val="24"/>
                <w:szCs w:val="24"/>
              </w:rPr>
              <w:t>u</w:t>
            </w:r>
            <w:r w:rsidR="00B92E4A">
              <w:rPr>
                <w:rFonts w:ascii="Times New Roman" w:hAnsi="Times New Roman" w:cs="Times New Roman"/>
                <w:sz w:val="24"/>
                <w:szCs w:val="24"/>
              </w:rPr>
              <w:t>, vienlaikus projektā ir ietverts noslēguma jautājums, proti, paredzot, ka Iekšlietu ministrijas izveidoto padomju un komisij</w:t>
            </w:r>
            <w:r w:rsidR="00EA4EBB">
              <w:rPr>
                <w:rFonts w:ascii="Times New Roman" w:hAnsi="Times New Roman" w:cs="Times New Roman"/>
                <w:sz w:val="24"/>
                <w:szCs w:val="24"/>
              </w:rPr>
              <w:t>u</w:t>
            </w:r>
            <w:r w:rsidR="00B92E4A">
              <w:rPr>
                <w:rFonts w:ascii="Times New Roman" w:hAnsi="Times New Roman" w:cs="Times New Roman"/>
                <w:sz w:val="24"/>
                <w:szCs w:val="24"/>
              </w:rPr>
              <w:t xml:space="preserve"> nolikumi un reglamenti, kā arī rīkojumi par darba grupu izveidi, kas tika izdoti saskaņā ar nolikuma 17.punktu, paliek spēkā līdz to atzīšanai par spēku zaudējušiem vai līdz brīdim, kad tie zaudē spēku uz cita pamata.</w:t>
            </w:r>
          </w:p>
          <w:p w:rsidR="004362E7" w:rsidRDefault="00396E01" w:rsidP="004362E7">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8D1D91">
              <w:rPr>
                <w:rFonts w:ascii="Times New Roman" w:hAnsi="Times New Roman" w:cs="Times New Roman"/>
                <w:spacing w:val="-2"/>
                <w:sz w:val="24"/>
                <w:szCs w:val="24"/>
              </w:rPr>
              <w:t>Nolikuma 18.punkts</w:t>
            </w:r>
            <w:r w:rsidR="00A711CA">
              <w:rPr>
                <w:rFonts w:ascii="Times New Roman" w:hAnsi="Times New Roman" w:cs="Times New Roman"/>
                <w:spacing w:val="-2"/>
                <w:sz w:val="24"/>
                <w:szCs w:val="24"/>
              </w:rPr>
              <w:t xml:space="preserve"> paredz, ka Iekšlietu ministrijas </w:t>
            </w:r>
            <w:r w:rsidR="004362E7">
              <w:rPr>
                <w:rFonts w:ascii="Times New Roman" w:hAnsi="Times New Roman" w:cs="Times New Roman"/>
                <w:spacing w:val="-2"/>
                <w:sz w:val="24"/>
                <w:szCs w:val="24"/>
              </w:rPr>
              <w:t>darbības tiesiskumu nodrošina valsts sekretārs. Valsts sekretārs ir atbildīgs par pārvaldes lēmumu sistēmas izveidošanu un darbību. Saskaņā ar Valsts pārvaldes iekārtas likuma 17. panta pirmo daļu tiešās pārvaldes iestādes vadītājs organizē iestādes funkcijas pildīšanu un atbild par to, vada iestādes administratīvo darbu, nodrošinot tā nepārtrauktību, lietderību un tiesiskumu. Vienlaikus minētā likuma 7.panta otrās daļas 7.punkts paredz, ka, ja normatīvajā aktā nav noteikts citādi, iestādes vadītājs nosaka pārvaldes lēmumu priekšpārbaudes un pēc pārbaudes kārtību. Līdz ar to, lai nedublētu Valsts pārvaldes iekārtas likumā noteikto, nolikuma 18.punkts ir svītrojams.</w:t>
            </w:r>
          </w:p>
          <w:p w:rsidR="004362E7" w:rsidRDefault="004362E7" w:rsidP="004362E7">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Nolikuma 19.punkts paredz, ka valsts sekretāram ir tiesības atcelt pārvaldes amatpersonu lēmumus un iekšējos normatīvos aktus. Ņemot vērā to, ka minēto jau attiecīgi nosaka Valsts pārvaldes iekārtas likums un Administratīvā procesa likums, nolikuma 19.punkts ir svītrojams.</w:t>
            </w:r>
          </w:p>
          <w:p w:rsidR="00EA4EBB" w:rsidRDefault="004362E7" w:rsidP="00EA4EBB">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Saskaņā ar </w:t>
            </w:r>
            <w:r w:rsidR="008A1E67">
              <w:rPr>
                <w:rFonts w:ascii="Times New Roman" w:hAnsi="Times New Roman" w:cs="Times New Roman"/>
                <w:spacing w:val="-2"/>
                <w:sz w:val="24"/>
                <w:szCs w:val="24"/>
              </w:rPr>
              <w:t>Administratīvā procesa likuma 76.panta otrajā daļā noteikto administratīvo aktu var apstrīdēt padotības kārtībā augstākā iestādē, bet likumā vai Ministru kabineta noteikumos var būt noteikta cita iestāde, kurā attiecīgo administratīvo aktu var apstrīdēt. Līdz ar to nepieciešamas aizstāt vārdus “ja ārējos normatīvajos aktos nav noteikts citādi” ar vārdiem “ja likumā vai Ministru kabineta noteikumos”</w:t>
            </w:r>
            <w:r w:rsidR="00EA4EBB">
              <w:rPr>
                <w:rFonts w:ascii="Times New Roman" w:hAnsi="Times New Roman" w:cs="Times New Roman"/>
                <w:spacing w:val="-2"/>
                <w:sz w:val="24"/>
                <w:szCs w:val="24"/>
              </w:rPr>
              <w:t xml:space="preserve"> (projekta 7.punkts)</w:t>
            </w:r>
            <w:r w:rsidR="008A1E67">
              <w:rPr>
                <w:rFonts w:ascii="Times New Roman" w:hAnsi="Times New Roman" w:cs="Times New Roman"/>
                <w:spacing w:val="-2"/>
                <w:sz w:val="24"/>
                <w:szCs w:val="24"/>
              </w:rPr>
              <w:t>.</w:t>
            </w:r>
          </w:p>
          <w:p w:rsidR="00EA4EBB" w:rsidRPr="00EA4EBB" w:rsidRDefault="008A1E67" w:rsidP="00EA4EBB">
            <w:pPr>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Nolikuma 22.punkts nosaka, ka Iekšlietu ministrija ne retāk kā reizi gadā sniedz iekšlietu ministram pārskatu par nozares politikas īstenošanu, ministrijas funkciju izpildi un budžeta līdzekļu izlietojumu, kā arī normatīvajos aktos noteiktajā kārtībā sagatavo gada publisko pārskatu par nozares politikas īstenošanu. Attiecīgi nolikuma 23.punkts paredz, ka ministram ir tiesības jebkurā laikā pieprasīt pārskatu par nozares vai atsevišķas jomas politikas īstenošanu, kā arī par ministrijas padotībā esošas valsts pārvaldes iestādes darbību. </w:t>
            </w:r>
            <w:r w:rsidR="005E3246">
              <w:rPr>
                <w:rFonts w:ascii="Times New Roman" w:hAnsi="Times New Roman" w:cs="Times New Roman"/>
                <w:spacing w:val="-2"/>
                <w:sz w:val="24"/>
                <w:szCs w:val="24"/>
              </w:rPr>
              <w:t xml:space="preserve">Ņemot vērā lietderības apsvērumus un to, ka saskaņā ar Valsts pārvaldes iekārtas likuma 19.pantu  iekšlietu ministram ir tiesības dot rīkojumu sagatavot nepieciešamo pārskatu, pēc būtības nolikuma 22. </w:t>
            </w:r>
            <w:r w:rsidR="008143F6">
              <w:rPr>
                <w:rFonts w:ascii="Times New Roman" w:hAnsi="Times New Roman" w:cs="Times New Roman"/>
                <w:spacing w:val="-2"/>
                <w:sz w:val="24"/>
                <w:szCs w:val="24"/>
              </w:rPr>
              <w:t>punkts ir precizējams</w:t>
            </w:r>
            <w:r w:rsidR="00EA4EBB">
              <w:rPr>
                <w:rFonts w:ascii="Times New Roman" w:hAnsi="Times New Roman" w:cs="Times New Roman"/>
                <w:spacing w:val="-2"/>
                <w:sz w:val="24"/>
                <w:szCs w:val="24"/>
              </w:rPr>
              <w:t xml:space="preserve"> (projekta 9.punkts)</w:t>
            </w:r>
            <w:r w:rsidR="008143F6">
              <w:rPr>
                <w:rFonts w:ascii="Times New Roman" w:hAnsi="Times New Roman" w:cs="Times New Roman"/>
                <w:spacing w:val="-2"/>
                <w:sz w:val="24"/>
                <w:szCs w:val="24"/>
              </w:rPr>
              <w:t>, bet nolikuma</w:t>
            </w:r>
            <w:r w:rsidR="005E3246">
              <w:rPr>
                <w:rFonts w:ascii="Times New Roman" w:hAnsi="Times New Roman" w:cs="Times New Roman"/>
                <w:spacing w:val="-2"/>
                <w:sz w:val="24"/>
                <w:szCs w:val="24"/>
              </w:rPr>
              <w:t xml:space="preserve"> 23.punkts ir </w:t>
            </w:r>
            <w:r w:rsidR="008143F6">
              <w:rPr>
                <w:rFonts w:ascii="Times New Roman" w:hAnsi="Times New Roman" w:cs="Times New Roman"/>
                <w:spacing w:val="-2"/>
                <w:sz w:val="24"/>
                <w:szCs w:val="24"/>
              </w:rPr>
              <w:t xml:space="preserve">attiecīgi </w:t>
            </w:r>
            <w:r w:rsidR="005E3246">
              <w:rPr>
                <w:rFonts w:ascii="Times New Roman" w:hAnsi="Times New Roman" w:cs="Times New Roman"/>
                <w:spacing w:val="-2"/>
                <w:sz w:val="24"/>
                <w:szCs w:val="24"/>
              </w:rPr>
              <w:t xml:space="preserve">svītrojams. </w:t>
            </w:r>
            <w:r w:rsidR="00EA4EBB">
              <w:rPr>
                <w:rFonts w:ascii="Times New Roman" w:hAnsi="Times New Roman" w:cs="Times New Roman"/>
                <w:spacing w:val="-2"/>
                <w:sz w:val="24"/>
                <w:szCs w:val="24"/>
              </w:rPr>
              <w:t>Tādējādi</w:t>
            </w:r>
            <w:r w:rsidR="005E3246">
              <w:rPr>
                <w:rFonts w:ascii="Times New Roman" w:hAnsi="Times New Roman" w:cs="Times New Roman"/>
                <w:spacing w:val="-2"/>
                <w:sz w:val="24"/>
                <w:szCs w:val="24"/>
              </w:rPr>
              <w:t xml:space="preserve"> </w:t>
            </w:r>
            <w:r w:rsidR="005E3246">
              <w:rPr>
                <w:rFonts w:ascii="Times New Roman" w:hAnsi="Times New Roman" w:cs="Times New Roman"/>
                <w:spacing w:val="-2"/>
                <w:sz w:val="24"/>
                <w:szCs w:val="24"/>
              </w:rPr>
              <w:lastRenderedPageBreak/>
              <w:t xml:space="preserve">projektā ir noteikts, ka </w:t>
            </w:r>
            <w:r w:rsidR="00EA4EBB" w:rsidRPr="00EA4EBB">
              <w:rPr>
                <w:rFonts w:ascii="Times New Roman" w:hAnsi="Times New Roman" w:cs="Times New Roman"/>
                <w:spacing w:val="-2"/>
                <w:sz w:val="24"/>
                <w:szCs w:val="24"/>
              </w:rPr>
              <w:t>p</w:t>
            </w:r>
            <w:r w:rsidR="00EA4EBB" w:rsidRPr="00EA4EBB">
              <w:rPr>
                <w:rFonts w:ascii="Times New Roman" w:eastAsia="Times New Roman" w:hAnsi="Times New Roman" w:cs="Times New Roman"/>
                <w:sz w:val="24"/>
                <w:szCs w:val="24"/>
                <w:lang w:eastAsia="lv-LV"/>
              </w:rPr>
              <w:t>ubliskos pārskatus par</w:t>
            </w:r>
            <w:r w:rsidR="00EA4EBB" w:rsidRPr="00EE0248">
              <w:rPr>
                <w:rFonts w:ascii="Times New Roman" w:eastAsia="Times New Roman" w:hAnsi="Times New Roman" w:cs="Times New Roman"/>
                <w:sz w:val="28"/>
                <w:szCs w:val="28"/>
                <w:lang w:eastAsia="lv-LV"/>
              </w:rPr>
              <w:t xml:space="preserve"> ministrijas darbību </w:t>
            </w:r>
            <w:r w:rsidR="00EA4EBB" w:rsidRPr="00EA4EBB">
              <w:rPr>
                <w:rFonts w:ascii="Times New Roman" w:eastAsia="Times New Roman" w:hAnsi="Times New Roman" w:cs="Times New Roman"/>
                <w:sz w:val="24"/>
                <w:szCs w:val="24"/>
                <w:lang w:eastAsia="lv-LV"/>
              </w:rPr>
              <w:t>un finanšu līdzekļu izlietojumu ministrija sniedz ārējos normatīvajos aktos noteiktajā kārtībā.</w:t>
            </w:r>
          </w:p>
          <w:p w:rsidR="00012C39" w:rsidRDefault="00012C39" w:rsidP="00FE53A6">
            <w:pPr>
              <w:ind w:firstLine="709"/>
              <w:jc w:val="both"/>
              <w:rPr>
                <w:rFonts w:ascii="Times New Roman" w:hAnsi="Times New Roman" w:cs="Times New Roman"/>
                <w:sz w:val="24"/>
                <w:szCs w:val="24"/>
              </w:rPr>
            </w:pPr>
          </w:p>
          <w:p w:rsidR="007B0C66" w:rsidRPr="00254F4C" w:rsidRDefault="007B0C66" w:rsidP="00FE53A6">
            <w:pPr>
              <w:ind w:firstLine="709"/>
              <w:jc w:val="both"/>
              <w:rPr>
                <w:rFonts w:ascii="Times New Roman" w:hAnsi="Times New Roman" w:cs="Times New Roman"/>
                <w:sz w:val="24"/>
                <w:szCs w:val="24"/>
              </w:rPr>
            </w:pPr>
          </w:p>
        </w:tc>
      </w:tr>
      <w:tr w:rsidR="00102EC8" w:rsidRPr="00254F4C" w:rsidTr="00FE53A6">
        <w:tc>
          <w:tcPr>
            <w:tcW w:w="675" w:type="dxa"/>
          </w:tcPr>
          <w:p w:rsidR="00102EC8" w:rsidRPr="00254F4C" w:rsidRDefault="00102EC8" w:rsidP="00FE53A6">
            <w:pPr>
              <w:spacing w:before="60"/>
              <w:rPr>
                <w:rFonts w:ascii="Times New Roman" w:hAnsi="Times New Roman" w:cs="Times New Roman"/>
                <w:sz w:val="24"/>
                <w:szCs w:val="24"/>
              </w:rPr>
            </w:pPr>
            <w:r w:rsidRPr="00254F4C">
              <w:rPr>
                <w:rFonts w:ascii="Times New Roman" w:hAnsi="Times New Roman" w:cs="Times New Roman"/>
                <w:sz w:val="24"/>
                <w:szCs w:val="24"/>
              </w:rPr>
              <w:lastRenderedPageBreak/>
              <w:t>3.</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Projekta izstrādē iesaistītās institūcijas</w:t>
            </w:r>
          </w:p>
        </w:tc>
        <w:tc>
          <w:tcPr>
            <w:tcW w:w="5764" w:type="dxa"/>
          </w:tcPr>
          <w:p w:rsidR="00102EC8" w:rsidRPr="00254F4C" w:rsidRDefault="00102EC8" w:rsidP="00FE53A6">
            <w:pPr>
              <w:autoSpaceDE w:val="0"/>
              <w:autoSpaceDN w:val="0"/>
              <w:adjustRightInd w:val="0"/>
              <w:spacing w:before="60" w:after="60"/>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102EC8" w:rsidRPr="00254F4C" w:rsidTr="00FE53A6">
        <w:tc>
          <w:tcPr>
            <w:tcW w:w="675" w:type="dxa"/>
          </w:tcPr>
          <w:p w:rsidR="00102EC8" w:rsidRPr="00254F4C" w:rsidRDefault="00102EC8" w:rsidP="00FE53A6">
            <w:pPr>
              <w:spacing w:before="60"/>
              <w:rPr>
                <w:rFonts w:ascii="Times New Roman" w:hAnsi="Times New Roman" w:cs="Times New Roman"/>
                <w:sz w:val="24"/>
                <w:szCs w:val="24"/>
              </w:rPr>
            </w:pPr>
            <w:r w:rsidRPr="00254F4C">
              <w:rPr>
                <w:rFonts w:ascii="Times New Roman" w:hAnsi="Times New Roman" w:cs="Times New Roman"/>
                <w:sz w:val="24"/>
                <w:szCs w:val="24"/>
              </w:rPr>
              <w:t>4.</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 xml:space="preserve">Cita informācija </w:t>
            </w:r>
          </w:p>
        </w:tc>
        <w:tc>
          <w:tcPr>
            <w:tcW w:w="5764" w:type="dxa"/>
          </w:tcPr>
          <w:p w:rsidR="00102EC8" w:rsidRPr="00254F4C" w:rsidRDefault="00102EC8" w:rsidP="00FE53A6">
            <w:pPr>
              <w:shd w:val="clear" w:color="auto" w:fill="FFFFFF"/>
              <w:spacing w:after="100" w:afterAutospacing="1"/>
              <w:contextualSpacing/>
              <w:jc w:val="both"/>
              <w:rPr>
                <w:rFonts w:ascii="Times New Roman" w:hAnsi="Times New Roman" w:cs="Times New Roman"/>
                <w:sz w:val="24"/>
                <w:szCs w:val="24"/>
                <w:lang w:eastAsia="lv-LV"/>
              </w:rPr>
            </w:pPr>
            <w:r w:rsidRPr="00254F4C">
              <w:rPr>
                <w:rFonts w:ascii="Times New Roman" w:hAnsi="Times New Roman" w:cs="Times New Roman"/>
                <w:sz w:val="24"/>
                <w:szCs w:val="24"/>
                <w:lang w:eastAsia="lv-LV"/>
              </w:rPr>
              <w:t>Nav.</w:t>
            </w:r>
          </w:p>
        </w:tc>
      </w:tr>
      <w:tr w:rsidR="00102EC8" w:rsidRPr="00254F4C" w:rsidTr="00FE53A6">
        <w:tc>
          <w:tcPr>
            <w:tcW w:w="9133" w:type="dxa"/>
            <w:gridSpan w:val="3"/>
          </w:tcPr>
          <w:p w:rsidR="00102EC8" w:rsidRPr="00254F4C" w:rsidRDefault="00102EC8" w:rsidP="00FE53A6">
            <w:pPr>
              <w:spacing w:before="60" w:after="60"/>
              <w:jc w:val="center"/>
              <w:rPr>
                <w:rFonts w:ascii="Times New Roman" w:hAnsi="Times New Roman" w:cs="Times New Roman"/>
                <w:sz w:val="24"/>
                <w:szCs w:val="24"/>
              </w:rPr>
            </w:pPr>
            <w:r w:rsidRPr="00254F4C">
              <w:rPr>
                <w:rFonts w:ascii="Times New Roman" w:hAnsi="Times New Roman" w:cs="Times New Roman"/>
                <w:b/>
                <w:sz w:val="24"/>
                <w:szCs w:val="24"/>
              </w:rPr>
              <w:t>II. Tiesību akta projekta ietekme uz sabiedrību, tautsaimniecības attīstību un administratīvo slogu</w:t>
            </w:r>
          </w:p>
        </w:tc>
      </w:tr>
      <w:tr w:rsidR="00102EC8" w:rsidRPr="00254F4C" w:rsidTr="00FE53A6">
        <w:tc>
          <w:tcPr>
            <w:tcW w:w="675" w:type="dxa"/>
          </w:tcPr>
          <w:p w:rsidR="00102EC8" w:rsidRPr="00254F4C" w:rsidRDefault="00102EC8" w:rsidP="00FE53A6">
            <w:pPr>
              <w:rPr>
                <w:rFonts w:ascii="Times New Roman" w:hAnsi="Times New Roman" w:cs="Times New Roman"/>
                <w:sz w:val="24"/>
                <w:szCs w:val="24"/>
              </w:rPr>
            </w:pPr>
            <w:r w:rsidRPr="00254F4C">
              <w:rPr>
                <w:rFonts w:ascii="Times New Roman" w:hAnsi="Times New Roman" w:cs="Times New Roman"/>
                <w:sz w:val="24"/>
                <w:szCs w:val="24"/>
              </w:rPr>
              <w:t xml:space="preserve">1. </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mērķgrupas, kuras tiesiskais regulējums ietekmē vai varētu ietekmēt</w:t>
            </w:r>
          </w:p>
        </w:tc>
        <w:tc>
          <w:tcPr>
            <w:tcW w:w="5764" w:type="dxa"/>
          </w:tcPr>
          <w:p w:rsidR="00102EC8" w:rsidRPr="00254F4C" w:rsidRDefault="00EA4EBB" w:rsidP="00FE53A6">
            <w:pPr>
              <w:jc w:val="both"/>
              <w:rPr>
                <w:rFonts w:ascii="Times New Roman" w:hAnsi="Times New Roman" w:cs="Times New Roman"/>
                <w:sz w:val="24"/>
                <w:szCs w:val="24"/>
              </w:rPr>
            </w:pPr>
            <w:r>
              <w:rPr>
                <w:rFonts w:ascii="Times New Roman" w:hAnsi="Times New Roman" w:cs="Times New Roman"/>
                <w:sz w:val="24"/>
                <w:szCs w:val="24"/>
              </w:rPr>
              <w:t>Sabiedrību kopumā</w:t>
            </w:r>
            <w:r w:rsidR="00844C31">
              <w:rPr>
                <w:rFonts w:ascii="Times New Roman" w:hAnsi="Times New Roman" w:cs="Times New Roman"/>
                <w:sz w:val="24"/>
                <w:szCs w:val="24"/>
              </w:rPr>
              <w:t xml:space="preserve"> un Iekšlietu ministrijas nodarbinātie.</w:t>
            </w:r>
          </w:p>
        </w:tc>
      </w:tr>
      <w:tr w:rsidR="00102EC8" w:rsidRPr="00254F4C" w:rsidTr="00FE53A6">
        <w:tc>
          <w:tcPr>
            <w:tcW w:w="675" w:type="dxa"/>
          </w:tcPr>
          <w:p w:rsidR="00102EC8" w:rsidRPr="00254F4C" w:rsidRDefault="00102EC8" w:rsidP="00FE53A6">
            <w:pPr>
              <w:rPr>
                <w:rFonts w:ascii="Times New Roman" w:hAnsi="Times New Roman" w:cs="Times New Roman"/>
                <w:sz w:val="24"/>
                <w:szCs w:val="24"/>
              </w:rPr>
            </w:pPr>
            <w:r w:rsidRPr="00254F4C">
              <w:rPr>
                <w:rFonts w:ascii="Times New Roman" w:hAnsi="Times New Roman" w:cs="Times New Roman"/>
                <w:sz w:val="24"/>
                <w:szCs w:val="24"/>
              </w:rPr>
              <w:t>2.</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Tiesiskā regulējuma ietekme uz tautsaimniecību un administratīvo slogu</w:t>
            </w:r>
          </w:p>
        </w:tc>
        <w:tc>
          <w:tcPr>
            <w:tcW w:w="5764" w:type="dxa"/>
          </w:tcPr>
          <w:p w:rsidR="00102EC8" w:rsidRPr="00254F4C" w:rsidRDefault="00102EC8" w:rsidP="00FE53A6">
            <w:pPr>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102EC8" w:rsidRPr="00254F4C" w:rsidTr="00FE53A6">
        <w:tc>
          <w:tcPr>
            <w:tcW w:w="675" w:type="dxa"/>
          </w:tcPr>
          <w:p w:rsidR="00102EC8" w:rsidRPr="00254F4C" w:rsidRDefault="00102EC8" w:rsidP="00FE53A6">
            <w:pPr>
              <w:rPr>
                <w:rFonts w:ascii="Times New Roman" w:hAnsi="Times New Roman" w:cs="Times New Roman"/>
                <w:sz w:val="24"/>
                <w:szCs w:val="24"/>
              </w:rPr>
            </w:pPr>
            <w:r w:rsidRPr="00254F4C">
              <w:rPr>
                <w:rFonts w:ascii="Times New Roman" w:hAnsi="Times New Roman" w:cs="Times New Roman"/>
                <w:sz w:val="24"/>
                <w:szCs w:val="24"/>
              </w:rPr>
              <w:t>3.</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Administratīvo izmaksu monetārs novērtējums</w:t>
            </w:r>
          </w:p>
        </w:tc>
        <w:tc>
          <w:tcPr>
            <w:tcW w:w="5764" w:type="dxa"/>
          </w:tcPr>
          <w:p w:rsidR="00102EC8" w:rsidRPr="00254F4C" w:rsidRDefault="00102EC8" w:rsidP="00FE53A6">
            <w:pPr>
              <w:spacing w:before="60" w:after="60"/>
              <w:jc w:val="both"/>
              <w:rPr>
                <w:rFonts w:ascii="Times New Roman" w:hAnsi="Times New Roman" w:cs="Times New Roman"/>
                <w:sz w:val="24"/>
                <w:szCs w:val="24"/>
              </w:rPr>
            </w:pPr>
            <w:r w:rsidRPr="00254F4C">
              <w:rPr>
                <w:rFonts w:ascii="Times New Roman" w:hAnsi="Times New Roman" w:cs="Times New Roman"/>
                <w:sz w:val="24"/>
                <w:szCs w:val="24"/>
              </w:rPr>
              <w:t>Projekts šo jomu neskar.</w:t>
            </w:r>
          </w:p>
        </w:tc>
      </w:tr>
      <w:tr w:rsidR="00102EC8" w:rsidRPr="00254F4C" w:rsidTr="00FE53A6">
        <w:tc>
          <w:tcPr>
            <w:tcW w:w="675" w:type="dxa"/>
          </w:tcPr>
          <w:p w:rsidR="00102EC8" w:rsidRPr="00254F4C" w:rsidRDefault="00102EC8" w:rsidP="00FE53A6">
            <w:pPr>
              <w:rPr>
                <w:rFonts w:ascii="Times New Roman" w:hAnsi="Times New Roman" w:cs="Times New Roman"/>
                <w:sz w:val="24"/>
                <w:szCs w:val="24"/>
              </w:rPr>
            </w:pPr>
            <w:r w:rsidRPr="00254F4C">
              <w:rPr>
                <w:rFonts w:ascii="Times New Roman" w:hAnsi="Times New Roman" w:cs="Times New Roman"/>
                <w:sz w:val="24"/>
                <w:szCs w:val="24"/>
              </w:rPr>
              <w:t>4.</w:t>
            </w:r>
          </w:p>
        </w:tc>
        <w:tc>
          <w:tcPr>
            <w:tcW w:w="2694"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Cita informācija</w:t>
            </w:r>
          </w:p>
        </w:tc>
        <w:tc>
          <w:tcPr>
            <w:tcW w:w="5764" w:type="dxa"/>
          </w:tcPr>
          <w:p w:rsidR="00102EC8" w:rsidRPr="00254F4C" w:rsidRDefault="00102EC8" w:rsidP="00FE53A6">
            <w:pPr>
              <w:spacing w:before="60" w:after="60"/>
              <w:jc w:val="both"/>
              <w:rPr>
                <w:rFonts w:ascii="Times New Roman" w:hAnsi="Times New Roman" w:cs="Times New Roman"/>
                <w:sz w:val="24"/>
                <w:szCs w:val="24"/>
              </w:rPr>
            </w:pPr>
            <w:r w:rsidRPr="00254F4C">
              <w:rPr>
                <w:rFonts w:ascii="Times New Roman" w:hAnsi="Times New Roman" w:cs="Times New Roman"/>
                <w:sz w:val="24"/>
                <w:szCs w:val="24"/>
              </w:rPr>
              <w:t>Nav.</w:t>
            </w:r>
          </w:p>
        </w:tc>
      </w:tr>
    </w:tbl>
    <w:p w:rsidR="00102EC8" w:rsidRPr="00254F4C" w:rsidRDefault="00102EC8" w:rsidP="00102EC8">
      <w:pPr>
        <w:rPr>
          <w:rFonts w:ascii="Times New Roman" w:hAnsi="Times New Roman" w:cs="Times New Roman"/>
          <w:sz w:val="24"/>
          <w:szCs w:val="24"/>
        </w:rPr>
      </w:pPr>
    </w:p>
    <w:tbl>
      <w:tblPr>
        <w:tblStyle w:val="TableGrid"/>
        <w:tblW w:w="9138" w:type="dxa"/>
        <w:tblInd w:w="-5" w:type="dxa"/>
        <w:tblLayout w:type="fixed"/>
        <w:tblLook w:val="04A0" w:firstRow="1" w:lastRow="0" w:firstColumn="1" w:lastColumn="0" w:noHBand="0" w:noVBand="1"/>
      </w:tblPr>
      <w:tblGrid>
        <w:gridCol w:w="9138"/>
      </w:tblGrid>
      <w:tr w:rsidR="00102EC8" w:rsidRPr="00254F4C" w:rsidTr="00FE53A6">
        <w:tc>
          <w:tcPr>
            <w:tcW w:w="9138" w:type="dxa"/>
          </w:tcPr>
          <w:p w:rsidR="00102EC8" w:rsidRPr="00254F4C" w:rsidRDefault="00102EC8" w:rsidP="00FE53A6">
            <w:pPr>
              <w:pStyle w:val="naisf"/>
              <w:spacing w:before="60" w:after="60"/>
              <w:ind w:firstLine="357"/>
              <w:jc w:val="center"/>
              <w:rPr>
                <w:b/>
                <w:color w:val="000000" w:themeColor="text1"/>
              </w:rPr>
            </w:pPr>
            <w:r w:rsidRPr="00254F4C">
              <w:rPr>
                <w:b/>
                <w:bCs/>
              </w:rPr>
              <w:t>III. Tiesību akta projekta ietekme uz valsts budžetu un pašvaldību budžetiem</w:t>
            </w:r>
          </w:p>
        </w:tc>
      </w:tr>
      <w:tr w:rsidR="00102EC8" w:rsidRPr="008977ED" w:rsidTr="00FE53A6">
        <w:tc>
          <w:tcPr>
            <w:tcW w:w="9138" w:type="dxa"/>
          </w:tcPr>
          <w:p w:rsidR="00102EC8" w:rsidRPr="00FB2477" w:rsidRDefault="00102EC8" w:rsidP="00FE53A6">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102EC8" w:rsidRDefault="00102EC8" w:rsidP="00102EC8"/>
    <w:tbl>
      <w:tblPr>
        <w:tblStyle w:val="TableGrid"/>
        <w:tblW w:w="9138" w:type="dxa"/>
        <w:tblInd w:w="-5" w:type="dxa"/>
        <w:tblLayout w:type="fixed"/>
        <w:tblLook w:val="04A0" w:firstRow="1" w:lastRow="0" w:firstColumn="1" w:lastColumn="0" w:noHBand="0" w:noVBand="1"/>
      </w:tblPr>
      <w:tblGrid>
        <w:gridCol w:w="9138"/>
      </w:tblGrid>
      <w:tr w:rsidR="00102EC8" w:rsidRPr="008977ED" w:rsidTr="00FE53A6">
        <w:tc>
          <w:tcPr>
            <w:tcW w:w="9138" w:type="dxa"/>
          </w:tcPr>
          <w:p w:rsidR="00102EC8" w:rsidRPr="0024458A" w:rsidRDefault="00102EC8" w:rsidP="00FE53A6">
            <w:pPr>
              <w:pStyle w:val="naisf"/>
              <w:spacing w:before="60" w:after="60"/>
              <w:ind w:firstLine="357"/>
              <w:jc w:val="center"/>
              <w:rPr>
                <w:b/>
                <w:color w:val="000000" w:themeColor="text1"/>
              </w:rPr>
            </w:pPr>
            <w:r w:rsidRPr="0024458A">
              <w:rPr>
                <w:b/>
              </w:rPr>
              <w:t>IV. Tiesību akta projekta ietekme uz spēkā esošo tiesību normu sistēmu</w:t>
            </w:r>
          </w:p>
        </w:tc>
      </w:tr>
      <w:tr w:rsidR="00102EC8" w:rsidRPr="008977ED" w:rsidTr="00FE53A6">
        <w:tc>
          <w:tcPr>
            <w:tcW w:w="9138" w:type="dxa"/>
          </w:tcPr>
          <w:p w:rsidR="00102EC8" w:rsidRPr="00FB2477" w:rsidRDefault="00102EC8" w:rsidP="00FE53A6">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102EC8" w:rsidRDefault="00102EC8" w:rsidP="00102EC8"/>
    <w:tbl>
      <w:tblPr>
        <w:tblStyle w:val="TableGrid"/>
        <w:tblW w:w="9138" w:type="dxa"/>
        <w:tblInd w:w="-5" w:type="dxa"/>
        <w:tblLayout w:type="fixed"/>
        <w:tblLook w:val="04A0" w:firstRow="1" w:lastRow="0" w:firstColumn="1" w:lastColumn="0" w:noHBand="0" w:noVBand="1"/>
      </w:tblPr>
      <w:tblGrid>
        <w:gridCol w:w="9138"/>
      </w:tblGrid>
      <w:tr w:rsidR="00102EC8" w:rsidRPr="008977ED" w:rsidTr="00FE53A6">
        <w:tc>
          <w:tcPr>
            <w:tcW w:w="9138" w:type="dxa"/>
          </w:tcPr>
          <w:p w:rsidR="00102EC8" w:rsidRPr="00FB2477" w:rsidRDefault="00102EC8" w:rsidP="00FE53A6">
            <w:pPr>
              <w:pStyle w:val="naisf"/>
              <w:spacing w:before="60" w:after="60"/>
              <w:ind w:firstLine="357"/>
              <w:jc w:val="center"/>
              <w:rPr>
                <w:b/>
                <w:color w:val="000000" w:themeColor="text1"/>
              </w:rPr>
            </w:pPr>
            <w:r w:rsidRPr="00FB2477">
              <w:rPr>
                <w:b/>
              </w:rPr>
              <w:t>V. Tiesību akta projekta atbilstība Latvijas Republikas starptautiskajām saistībām</w:t>
            </w:r>
          </w:p>
        </w:tc>
      </w:tr>
      <w:tr w:rsidR="00102EC8" w:rsidRPr="008977ED" w:rsidTr="00FE53A6">
        <w:tc>
          <w:tcPr>
            <w:tcW w:w="9138" w:type="dxa"/>
          </w:tcPr>
          <w:p w:rsidR="00102EC8" w:rsidRPr="00FB2477" w:rsidRDefault="00102EC8" w:rsidP="00FE53A6">
            <w:pPr>
              <w:spacing w:before="60" w:after="60"/>
              <w:jc w:val="center"/>
              <w:rPr>
                <w:rFonts w:ascii="Times New Roman" w:hAnsi="Times New Roman" w:cs="Times New Roman"/>
                <w:iCs/>
                <w:sz w:val="24"/>
                <w:szCs w:val="24"/>
                <w:lang w:eastAsia="lv-LV"/>
              </w:rPr>
            </w:pPr>
            <w:r w:rsidRPr="00FB2477">
              <w:rPr>
                <w:rFonts w:ascii="Times New Roman" w:hAnsi="Times New Roman" w:cs="Times New Roman"/>
                <w:sz w:val="24"/>
                <w:szCs w:val="24"/>
              </w:rPr>
              <w:t>Projekts šo jomu neskar.</w:t>
            </w:r>
          </w:p>
        </w:tc>
      </w:tr>
    </w:tbl>
    <w:p w:rsidR="00102EC8" w:rsidRDefault="00102EC8" w:rsidP="00102EC8"/>
    <w:tbl>
      <w:tblPr>
        <w:tblStyle w:val="TableGrid"/>
        <w:tblW w:w="8996" w:type="dxa"/>
        <w:tblInd w:w="137" w:type="dxa"/>
        <w:tblLayout w:type="fixed"/>
        <w:tblLook w:val="04A0" w:firstRow="1" w:lastRow="0" w:firstColumn="1" w:lastColumn="0" w:noHBand="0" w:noVBand="1"/>
      </w:tblPr>
      <w:tblGrid>
        <w:gridCol w:w="538"/>
        <w:gridCol w:w="3119"/>
        <w:gridCol w:w="5339"/>
      </w:tblGrid>
      <w:tr w:rsidR="00102EC8" w:rsidRPr="00254F4C" w:rsidTr="00FE53A6">
        <w:trPr>
          <w:trHeight w:val="443"/>
        </w:trPr>
        <w:tc>
          <w:tcPr>
            <w:tcW w:w="8996" w:type="dxa"/>
            <w:gridSpan w:val="3"/>
          </w:tcPr>
          <w:p w:rsidR="00102EC8" w:rsidRPr="00254F4C" w:rsidRDefault="00102EC8" w:rsidP="00FE53A6">
            <w:pPr>
              <w:pStyle w:val="naisf"/>
              <w:spacing w:before="60" w:after="60"/>
              <w:ind w:firstLine="357"/>
              <w:jc w:val="center"/>
              <w:rPr>
                <w:b/>
              </w:rPr>
            </w:pPr>
            <w:r w:rsidRPr="00254F4C">
              <w:rPr>
                <w:b/>
              </w:rPr>
              <w:t>VI.</w:t>
            </w:r>
            <w:r w:rsidRPr="00254F4C">
              <w:rPr>
                <w:b/>
                <w:bCs/>
              </w:rPr>
              <w:t xml:space="preserve"> Sabiedrības līdzdalība un komunikācijas aktivitātes</w:t>
            </w:r>
          </w:p>
        </w:tc>
      </w:tr>
      <w:tr w:rsidR="00102EC8" w:rsidRPr="00254F4C" w:rsidTr="00FE53A6">
        <w:tc>
          <w:tcPr>
            <w:tcW w:w="538" w:type="dxa"/>
          </w:tcPr>
          <w:p w:rsidR="00102EC8" w:rsidRPr="00254F4C" w:rsidRDefault="00102EC8" w:rsidP="00FE53A6">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1.</w:t>
            </w:r>
          </w:p>
        </w:tc>
        <w:tc>
          <w:tcPr>
            <w:tcW w:w="3119" w:type="dxa"/>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Plānotās sabiedrības līdzdalības un komunikācijas aktivitātes saistībā ar projektu</w:t>
            </w:r>
          </w:p>
        </w:tc>
        <w:tc>
          <w:tcPr>
            <w:tcW w:w="5339" w:type="dxa"/>
          </w:tcPr>
          <w:p w:rsidR="00102EC8" w:rsidRPr="00254F4C" w:rsidRDefault="00102EC8" w:rsidP="00FE53A6">
            <w:pPr>
              <w:spacing w:before="6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Projekts šo jomu neskar.</w:t>
            </w:r>
          </w:p>
        </w:tc>
      </w:tr>
      <w:tr w:rsidR="00102EC8" w:rsidRPr="00254F4C" w:rsidTr="00FE53A6">
        <w:tc>
          <w:tcPr>
            <w:tcW w:w="538" w:type="dxa"/>
          </w:tcPr>
          <w:p w:rsidR="00102EC8" w:rsidRPr="00254F4C" w:rsidRDefault="00102EC8" w:rsidP="00FE53A6">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2.</w:t>
            </w:r>
          </w:p>
        </w:tc>
        <w:tc>
          <w:tcPr>
            <w:tcW w:w="3119"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līdzdalība projekta izstrādē</w:t>
            </w:r>
          </w:p>
          <w:p w:rsidR="00102EC8" w:rsidRPr="00254F4C" w:rsidRDefault="00102EC8" w:rsidP="00FE53A6">
            <w:pPr>
              <w:spacing w:before="60" w:after="60"/>
              <w:rPr>
                <w:rFonts w:ascii="Times New Roman" w:hAnsi="Times New Roman" w:cs="Times New Roman"/>
                <w:iCs/>
                <w:sz w:val="24"/>
                <w:szCs w:val="24"/>
                <w:lang w:eastAsia="lv-LV"/>
              </w:rPr>
            </w:pPr>
          </w:p>
        </w:tc>
        <w:tc>
          <w:tcPr>
            <w:tcW w:w="5339" w:type="dxa"/>
          </w:tcPr>
          <w:p w:rsidR="00102EC8" w:rsidRPr="00254F4C" w:rsidRDefault="00102EC8" w:rsidP="00FE53A6">
            <w:pPr>
              <w:spacing w:before="60"/>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lastRenderedPageBreak/>
              <w:t>Projekts šo jomu neskar.</w:t>
            </w:r>
          </w:p>
        </w:tc>
      </w:tr>
      <w:tr w:rsidR="00102EC8" w:rsidRPr="00254F4C" w:rsidTr="00FE53A6">
        <w:tc>
          <w:tcPr>
            <w:tcW w:w="538" w:type="dxa"/>
          </w:tcPr>
          <w:p w:rsidR="00102EC8" w:rsidRPr="00254F4C" w:rsidRDefault="00102EC8" w:rsidP="00FE53A6">
            <w:pPr>
              <w:jc w:val="both"/>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3.</w:t>
            </w:r>
          </w:p>
        </w:tc>
        <w:tc>
          <w:tcPr>
            <w:tcW w:w="3119" w:type="dxa"/>
          </w:tcPr>
          <w:p w:rsidR="00102EC8" w:rsidRPr="00254F4C" w:rsidRDefault="00102EC8" w:rsidP="00FE53A6">
            <w:pPr>
              <w:spacing w:before="60" w:after="60"/>
              <w:rPr>
                <w:rFonts w:ascii="Times New Roman" w:hAnsi="Times New Roman" w:cs="Times New Roman"/>
                <w:sz w:val="24"/>
                <w:szCs w:val="24"/>
              </w:rPr>
            </w:pPr>
            <w:r w:rsidRPr="00254F4C">
              <w:rPr>
                <w:rFonts w:ascii="Times New Roman" w:hAnsi="Times New Roman" w:cs="Times New Roman"/>
                <w:sz w:val="24"/>
                <w:szCs w:val="24"/>
              </w:rPr>
              <w:t>Sabiedrības līdzdalības rezultāti</w:t>
            </w:r>
          </w:p>
          <w:p w:rsidR="00102EC8" w:rsidRPr="00254F4C" w:rsidRDefault="00102EC8" w:rsidP="00FE53A6">
            <w:pPr>
              <w:spacing w:before="60" w:after="60"/>
              <w:rPr>
                <w:rFonts w:ascii="Times New Roman" w:hAnsi="Times New Roman" w:cs="Times New Roman"/>
                <w:sz w:val="24"/>
                <w:szCs w:val="24"/>
              </w:rPr>
            </w:pPr>
          </w:p>
        </w:tc>
        <w:tc>
          <w:tcPr>
            <w:tcW w:w="5339" w:type="dxa"/>
          </w:tcPr>
          <w:p w:rsidR="00102EC8" w:rsidRPr="00254F4C" w:rsidRDefault="00102EC8" w:rsidP="00FE53A6">
            <w:pPr>
              <w:spacing w:before="60"/>
              <w:jc w:val="both"/>
              <w:rPr>
                <w:rFonts w:ascii="Times New Roman" w:hAnsi="Times New Roman" w:cs="Times New Roman"/>
                <w:sz w:val="24"/>
                <w:szCs w:val="24"/>
              </w:rPr>
            </w:pPr>
            <w:r w:rsidRPr="00254F4C">
              <w:rPr>
                <w:rFonts w:ascii="Times New Roman" w:hAnsi="Times New Roman" w:cs="Times New Roman"/>
                <w:iCs/>
                <w:sz w:val="24"/>
                <w:szCs w:val="24"/>
                <w:lang w:eastAsia="lv-LV"/>
              </w:rPr>
              <w:t>Projekts šo jomu neskar.</w:t>
            </w:r>
          </w:p>
        </w:tc>
      </w:tr>
      <w:tr w:rsidR="00102EC8" w:rsidRPr="00254F4C" w:rsidTr="00FE53A6">
        <w:tc>
          <w:tcPr>
            <w:tcW w:w="538" w:type="dxa"/>
          </w:tcPr>
          <w:p w:rsidR="00102EC8" w:rsidRPr="00254F4C" w:rsidRDefault="00102EC8" w:rsidP="00FE53A6">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4.</w:t>
            </w:r>
          </w:p>
        </w:tc>
        <w:tc>
          <w:tcPr>
            <w:tcW w:w="3119" w:type="dxa"/>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Cita informācija</w:t>
            </w:r>
          </w:p>
        </w:tc>
        <w:tc>
          <w:tcPr>
            <w:tcW w:w="5339" w:type="dxa"/>
            <w:vAlign w:val="center"/>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Nav.</w:t>
            </w:r>
          </w:p>
        </w:tc>
      </w:tr>
    </w:tbl>
    <w:p w:rsidR="00102EC8" w:rsidRPr="00254F4C" w:rsidRDefault="00102EC8" w:rsidP="00102EC8">
      <w:pPr>
        <w:rPr>
          <w:rFonts w:ascii="Times New Roman" w:hAnsi="Times New Roman" w:cs="Times New Roman"/>
          <w:sz w:val="24"/>
          <w:szCs w:val="24"/>
        </w:rPr>
      </w:pPr>
    </w:p>
    <w:tbl>
      <w:tblPr>
        <w:tblStyle w:val="TableGrid"/>
        <w:tblW w:w="8996" w:type="dxa"/>
        <w:tblInd w:w="137" w:type="dxa"/>
        <w:tblLayout w:type="fixed"/>
        <w:tblLook w:val="04A0" w:firstRow="1" w:lastRow="0" w:firstColumn="1" w:lastColumn="0" w:noHBand="0" w:noVBand="1"/>
      </w:tblPr>
      <w:tblGrid>
        <w:gridCol w:w="538"/>
        <w:gridCol w:w="3119"/>
        <w:gridCol w:w="5339"/>
      </w:tblGrid>
      <w:tr w:rsidR="00102EC8" w:rsidRPr="00254F4C" w:rsidTr="00FE53A6">
        <w:tc>
          <w:tcPr>
            <w:tcW w:w="8996" w:type="dxa"/>
            <w:gridSpan w:val="3"/>
          </w:tcPr>
          <w:p w:rsidR="00102EC8" w:rsidRPr="00254F4C" w:rsidRDefault="00102EC8" w:rsidP="00FE53A6">
            <w:pPr>
              <w:pStyle w:val="naisf"/>
              <w:spacing w:before="60" w:after="60"/>
              <w:ind w:firstLine="357"/>
              <w:jc w:val="center"/>
              <w:rPr>
                <w:b/>
                <w:color w:val="000000" w:themeColor="text1"/>
              </w:rPr>
            </w:pPr>
            <w:r w:rsidRPr="00254F4C">
              <w:rPr>
                <w:b/>
              </w:rPr>
              <w:t>VII. Tiesību akta projekta izpildes nodrošināšana un tās ietekme uz institūcijām</w:t>
            </w:r>
          </w:p>
        </w:tc>
      </w:tr>
      <w:tr w:rsidR="00102EC8" w:rsidRPr="00254F4C" w:rsidTr="00FE53A6">
        <w:tc>
          <w:tcPr>
            <w:tcW w:w="538" w:type="dxa"/>
          </w:tcPr>
          <w:p w:rsidR="00102EC8" w:rsidRPr="00254F4C" w:rsidRDefault="00102EC8" w:rsidP="00FE53A6">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1.</w:t>
            </w:r>
          </w:p>
        </w:tc>
        <w:tc>
          <w:tcPr>
            <w:tcW w:w="3119" w:type="dxa"/>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Projekta izpildē iesaistītās institūcijas</w:t>
            </w:r>
          </w:p>
        </w:tc>
        <w:tc>
          <w:tcPr>
            <w:tcW w:w="5339" w:type="dxa"/>
            <w:vAlign w:val="center"/>
          </w:tcPr>
          <w:p w:rsidR="00102EC8" w:rsidRPr="00254F4C" w:rsidRDefault="00A46C55" w:rsidP="00FE53A6">
            <w:pPr>
              <w:spacing w:before="60" w:after="60"/>
              <w:rPr>
                <w:rFonts w:ascii="Times New Roman" w:hAnsi="Times New Roman" w:cs="Times New Roman"/>
                <w:iCs/>
                <w:sz w:val="24"/>
                <w:szCs w:val="24"/>
                <w:lang w:eastAsia="lv-LV"/>
              </w:rPr>
            </w:pPr>
            <w:r>
              <w:rPr>
                <w:rFonts w:ascii="Times New Roman" w:hAnsi="Times New Roman" w:cs="Times New Roman"/>
                <w:iCs/>
                <w:sz w:val="24"/>
                <w:szCs w:val="24"/>
                <w:lang w:eastAsia="lv-LV"/>
              </w:rPr>
              <w:t>Iekšlietu ministrija</w:t>
            </w:r>
            <w:r w:rsidR="003866D6">
              <w:rPr>
                <w:rFonts w:ascii="Times New Roman" w:hAnsi="Times New Roman" w:cs="Times New Roman"/>
                <w:iCs/>
                <w:sz w:val="24"/>
                <w:szCs w:val="24"/>
                <w:lang w:eastAsia="lv-LV"/>
              </w:rPr>
              <w:t>.</w:t>
            </w:r>
          </w:p>
        </w:tc>
      </w:tr>
      <w:tr w:rsidR="00102EC8" w:rsidRPr="00254F4C" w:rsidTr="00FE53A6">
        <w:tc>
          <w:tcPr>
            <w:tcW w:w="538" w:type="dxa"/>
          </w:tcPr>
          <w:p w:rsidR="00102EC8" w:rsidRPr="00254F4C" w:rsidRDefault="00102EC8" w:rsidP="00FE53A6">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2.</w:t>
            </w:r>
          </w:p>
        </w:tc>
        <w:tc>
          <w:tcPr>
            <w:tcW w:w="3119" w:type="dxa"/>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5339" w:type="dxa"/>
          </w:tcPr>
          <w:p w:rsidR="00102EC8" w:rsidRPr="00254F4C" w:rsidRDefault="00A46C55" w:rsidP="00FE53A6">
            <w:pPr>
              <w:jc w:val="both"/>
              <w:rPr>
                <w:rFonts w:ascii="Times New Roman" w:hAnsi="Times New Roman" w:cs="Times New Roman"/>
                <w:color w:val="000000"/>
                <w:sz w:val="24"/>
                <w:szCs w:val="24"/>
              </w:rPr>
            </w:pPr>
            <w:r>
              <w:rPr>
                <w:rFonts w:ascii="Times New Roman" w:hAnsi="Times New Roman" w:cs="Times New Roman"/>
                <w:color w:val="000000"/>
                <w:sz w:val="24"/>
                <w:szCs w:val="24"/>
              </w:rPr>
              <w:t>Projekts šo jomu neskar.</w:t>
            </w:r>
          </w:p>
          <w:p w:rsidR="00102EC8" w:rsidRPr="00254F4C" w:rsidRDefault="00102EC8" w:rsidP="00FE53A6">
            <w:pPr>
              <w:pStyle w:val="tv213"/>
              <w:spacing w:before="0" w:beforeAutospacing="0" w:after="0" w:afterAutospacing="0"/>
              <w:ind w:firstLine="720"/>
              <w:jc w:val="both"/>
            </w:pPr>
          </w:p>
        </w:tc>
      </w:tr>
      <w:tr w:rsidR="00102EC8" w:rsidRPr="00254F4C" w:rsidTr="00FE53A6">
        <w:tc>
          <w:tcPr>
            <w:tcW w:w="538" w:type="dxa"/>
          </w:tcPr>
          <w:p w:rsidR="00102EC8" w:rsidRPr="00254F4C" w:rsidRDefault="00102EC8" w:rsidP="00FE53A6">
            <w:pPr>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3.</w:t>
            </w:r>
          </w:p>
        </w:tc>
        <w:tc>
          <w:tcPr>
            <w:tcW w:w="3119" w:type="dxa"/>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iCs/>
                <w:sz w:val="24"/>
                <w:szCs w:val="24"/>
                <w:lang w:eastAsia="lv-LV"/>
              </w:rPr>
              <w:t>Cita informācija</w:t>
            </w:r>
          </w:p>
        </w:tc>
        <w:tc>
          <w:tcPr>
            <w:tcW w:w="5339" w:type="dxa"/>
            <w:vAlign w:val="center"/>
          </w:tcPr>
          <w:p w:rsidR="00102EC8" w:rsidRPr="00254F4C" w:rsidRDefault="00102EC8" w:rsidP="00FE53A6">
            <w:pPr>
              <w:spacing w:before="60" w:after="60"/>
              <w:rPr>
                <w:rFonts w:ascii="Times New Roman" w:hAnsi="Times New Roman" w:cs="Times New Roman"/>
                <w:iCs/>
                <w:sz w:val="24"/>
                <w:szCs w:val="24"/>
                <w:lang w:eastAsia="lv-LV"/>
              </w:rPr>
            </w:pPr>
            <w:r w:rsidRPr="00254F4C">
              <w:rPr>
                <w:rFonts w:ascii="Times New Roman" w:hAnsi="Times New Roman" w:cs="Times New Roman"/>
                <w:sz w:val="24"/>
                <w:szCs w:val="24"/>
              </w:rPr>
              <w:t>Nav.</w:t>
            </w:r>
          </w:p>
        </w:tc>
      </w:tr>
    </w:tbl>
    <w:p w:rsidR="00102EC8" w:rsidRPr="00254F4C" w:rsidRDefault="00102EC8" w:rsidP="00102EC8">
      <w:pPr>
        <w:jc w:val="both"/>
        <w:rPr>
          <w:rFonts w:ascii="Times New Roman" w:hAnsi="Times New Roman" w:cs="Times New Roman"/>
          <w:sz w:val="24"/>
          <w:szCs w:val="24"/>
          <w:lang w:val="de-DE"/>
        </w:rPr>
      </w:pPr>
    </w:p>
    <w:p w:rsidR="00102EC8" w:rsidRDefault="00102EC8" w:rsidP="00102EC8">
      <w:pPr>
        <w:jc w:val="both"/>
        <w:rPr>
          <w:lang w:val="de-DE"/>
        </w:rPr>
      </w:pPr>
    </w:p>
    <w:p w:rsidR="00102EC8" w:rsidRPr="00254F4C" w:rsidRDefault="00102EC8" w:rsidP="00102EC8">
      <w:pPr>
        <w:jc w:val="both"/>
        <w:rPr>
          <w:rFonts w:ascii="Times New Roman" w:hAnsi="Times New Roman" w:cs="Times New Roman"/>
          <w:sz w:val="28"/>
          <w:szCs w:val="28"/>
          <w:lang w:val="de-DE"/>
        </w:rPr>
      </w:pPr>
      <w:r w:rsidRPr="00254F4C">
        <w:rPr>
          <w:rFonts w:ascii="Times New Roman" w:hAnsi="Times New Roman" w:cs="Times New Roman"/>
          <w:sz w:val="28"/>
          <w:szCs w:val="28"/>
          <w:lang w:val="de-DE"/>
        </w:rPr>
        <w:t>Iekšlietu ministrs</w:t>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t xml:space="preserve">                                </w:t>
      </w:r>
      <w:r>
        <w:rPr>
          <w:rFonts w:ascii="Times New Roman" w:hAnsi="Times New Roman" w:cs="Times New Roman"/>
          <w:sz w:val="28"/>
          <w:szCs w:val="28"/>
          <w:lang w:val="de-DE"/>
        </w:rPr>
        <w:t>S.Ģirģens</w:t>
      </w:r>
    </w:p>
    <w:p w:rsidR="00102EC8" w:rsidRDefault="00102EC8" w:rsidP="00102EC8">
      <w:pPr>
        <w:pStyle w:val="naisf"/>
        <w:ind w:firstLine="0"/>
        <w:rPr>
          <w:sz w:val="20"/>
          <w:szCs w:val="20"/>
        </w:rPr>
      </w:pPr>
      <w:r w:rsidRPr="00254F4C">
        <w:rPr>
          <w:sz w:val="28"/>
          <w:szCs w:val="28"/>
        </w:rPr>
        <w:t>Vīza: valsts sekretār</w:t>
      </w:r>
      <w:r>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proofErr w:type="spellStart"/>
      <w:r>
        <w:rPr>
          <w:sz w:val="28"/>
          <w:szCs w:val="28"/>
        </w:rPr>
        <w:t>D.Trofimovs</w:t>
      </w:r>
      <w:proofErr w:type="spellEnd"/>
    </w:p>
    <w:p w:rsidR="00102EC8" w:rsidRDefault="00102EC8" w:rsidP="00102EC8">
      <w:pPr>
        <w:rPr>
          <w:sz w:val="20"/>
          <w:szCs w:val="20"/>
        </w:rPr>
      </w:pPr>
    </w:p>
    <w:p w:rsidR="00102EC8" w:rsidRDefault="00102EC8" w:rsidP="00102EC8">
      <w:pPr>
        <w:rPr>
          <w:sz w:val="20"/>
          <w:szCs w:val="20"/>
        </w:rPr>
      </w:pPr>
    </w:p>
    <w:p w:rsidR="00102EC8" w:rsidRDefault="00102EC8" w:rsidP="00102EC8">
      <w:pPr>
        <w:rPr>
          <w:sz w:val="20"/>
          <w:szCs w:val="20"/>
        </w:rPr>
      </w:pPr>
    </w:p>
    <w:p w:rsidR="00102EC8" w:rsidRDefault="00102EC8" w:rsidP="00102EC8">
      <w:pPr>
        <w:rPr>
          <w:sz w:val="20"/>
          <w:szCs w:val="20"/>
        </w:rPr>
      </w:pPr>
    </w:p>
    <w:p w:rsidR="00102EC8" w:rsidRDefault="00102EC8" w:rsidP="00102EC8">
      <w:pPr>
        <w:rPr>
          <w:sz w:val="20"/>
          <w:szCs w:val="20"/>
        </w:rPr>
      </w:pPr>
    </w:p>
    <w:p w:rsidR="00102EC8" w:rsidRDefault="00102EC8" w:rsidP="00102EC8">
      <w:pPr>
        <w:rPr>
          <w:sz w:val="20"/>
          <w:szCs w:val="20"/>
        </w:rPr>
      </w:pPr>
    </w:p>
    <w:p w:rsidR="00102EC8" w:rsidRDefault="00102EC8" w:rsidP="00102EC8">
      <w:pPr>
        <w:rPr>
          <w:sz w:val="20"/>
          <w:szCs w:val="20"/>
        </w:rPr>
      </w:pPr>
    </w:p>
    <w:p w:rsidR="00102EC8" w:rsidRDefault="00102EC8" w:rsidP="00102EC8">
      <w:pPr>
        <w:rPr>
          <w:sz w:val="20"/>
          <w:szCs w:val="20"/>
        </w:rPr>
      </w:pPr>
    </w:p>
    <w:p w:rsidR="009A3961" w:rsidRDefault="009A3961" w:rsidP="00102EC8">
      <w:pPr>
        <w:rPr>
          <w:sz w:val="20"/>
          <w:szCs w:val="20"/>
        </w:rPr>
      </w:pPr>
    </w:p>
    <w:p w:rsidR="00A46C55" w:rsidRDefault="00A46C55" w:rsidP="00102EC8">
      <w:pPr>
        <w:rPr>
          <w:sz w:val="20"/>
          <w:szCs w:val="20"/>
        </w:rPr>
      </w:pPr>
    </w:p>
    <w:p w:rsidR="00102EC8" w:rsidRPr="00D708A8" w:rsidRDefault="00102EC8" w:rsidP="00102EC8">
      <w:pPr>
        <w:contextualSpacing/>
        <w:rPr>
          <w:rFonts w:ascii="Times New Roman" w:hAnsi="Times New Roman" w:cs="Times New Roman"/>
          <w:sz w:val="20"/>
          <w:szCs w:val="20"/>
        </w:rPr>
      </w:pPr>
      <w:r w:rsidRPr="00D708A8">
        <w:rPr>
          <w:rFonts w:ascii="Times New Roman" w:hAnsi="Times New Roman" w:cs="Times New Roman"/>
          <w:sz w:val="20"/>
          <w:szCs w:val="20"/>
        </w:rPr>
        <w:fldChar w:fldCharType="begin"/>
      </w:r>
      <w:r w:rsidRPr="00D708A8">
        <w:rPr>
          <w:rFonts w:ascii="Times New Roman" w:hAnsi="Times New Roman" w:cs="Times New Roman"/>
          <w:sz w:val="20"/>
          <w:szCs w:val="20"/>
        </w:rPr>
        <w:instrText xml:space="preserve"> TIME \@ "dd.MM.yyyy H:mm" </w:instrText>
      </w:r>
      <w:r w:rsidRPr="00D708A8">
        <w:rPr>
          <w:rFonts w:ascii="Times New Roman" w:hAnsi="Times New Roman" w:cs="Times New Roman"/>
          <w:sz w:val="20"/>
          <w:szCs w:val="20"/>
        </w:rPr>
        <w:fldChar w:fldCharType="separate"/>
      </w:r>
      <w:r w:rsidR="002E49FA">
        <w:rPr>
          <w:rFonts w:ascii="Times New Roman" w:hAnsi="Times New Roman" w:cs="Times New Roman"/>
          <w:noProof/>
          <w:sz w:val="20"/>
          <w:szCs w:val="20"/>
        </w:rPr>
        <w:t>08.07.2020 10:45</w:t>
      </w:r>
      <w:r w:rsidRPr="00D708A8">
        <w:rPr>
          <w:rFonts w:ascii="Times New Roman" w:hAnsi="Times New Roman" w:cs="Times New Roman"/>
          <w:sz w:val="20"/>
          <w:szCs w:val="20"/>
        </w:rPr>
        <w:fldChar w:fldCharType="end"/>
      </w:r>
    </w:p>
    <w:p w:rsidR="00102EC8" w:rsidRPr="00D708A8" w:rsidRDefault="0012462F" w:rsidP="00102EC8">
      <w:pPr>
        <w:contextualSpacing/>
        <w:rPr>
          <w:rFonts w:ascii="Times New Roman" w:hAnsi="Times New Roman" w:cs="Times New Roman"/>
          <w:sz w:val="20"/>
          <w:szCs w:val="20"/>
        </w:rPr>
      </w:pPr>
      <w:r>
        <w:rPr>
          <w:rFonts w:ascii="Times New Roman" w:hAnsi="Times New Roman" w:cs="Times New Roman"/>
          <w:sz w:val="20"/>
          <w:szCs w:val="20"/>
        </w:rPr>
        <w:t>1498</w:t>
      </w:r>
    </w:p>
    <w:p w:rsidR="00102EC8" w:rsidRPr="00D708A8" w:rsidRDefault="00102EC8" w:rsidP="00102EC8">
      <w:pPr>
        <w:contextualSpacing/>
        <w:rPr>
          <w:rStyle w:val="Hyperlink"/>
          <w:rFonts w:ascii="Times New Roman" w:hAnsi="Times New Roman"/>
          <w:color w:val="auto"/>
          <w:sz w:val="20"/>
          <w:szCs w:val="20"/>
          <w:u w:val="none"/>
        </w:rPr>
      </w:pPr>
      <w:r w:rsidRPr="00D708A8">
        <w:rPr>
          <w:rStyle w:val="Hyperlink"/>
          <w:rFonts w:ascii="Times New Roman" w:hAnsi="Times New Roman"/>
          <w:color w:val="auto"/>
          <w:sz w:val="20"/>
          <w:szCs w:val="20"/>
          <w:u w:val="none"/>
        </w:rPr>
        <w:t>D.Radzeviča</w:t>
      </w:r>
    </w:p>
    <w:p w:rsidR="00DA71B5" w:rsidRDefault="00102EC8">
      <w:pPr>
        <w:contextualSpacing/>
      </w:pPr>
      <w:r w:rsidRPr="00D708A8">
        <w:rPr>
          <w:rStyle w:val="Hyperlink"/>
          <w:rFonts w:ascii="Times New Roman" w:hAnsi="Times New Roman"/>
          <w:color w:val="auto"/>
          <w:sz w:val="20"/>
          <w:szCs w:val="20"/>
          <w:u w:val="none"/>
        </w:rPr>
        <w:t xml:space="preserve">67219418, </w:t>
      </w:r>
      <w:hyperlink r:id="rId7" w:history="1">
        <w:r w:rsidRPr="00D708A8">
          <w:rPr>
            <w:rStyle w:val="Hyperlink"/>
            <w:rFonts w:ascii="Times New Roman" w:hAnsi="Times New Roman"/>
            <w:color w:val="auto"/>
            <w:sz w:val="20"/>
            <w:szCs w:val="20"/>
            <w:u w:val="none"/>
          </w:rPr>
          <w:t>dace.radzevica@iem.gov.lv</w:t>
        </w:r>
      </w:hyperlink>
    </w:p>
    <w:sectPr w:rsidR="00DA71B5" w:rsidSect="009D462C">
      <w:headerReference w:type="even" r:id="rId8"/>
      <w:headerReference w:type="default" r:id="rId9"/>
      <w:footerReference w:type="default" r:id="rId10"/>
      <w:footerReference w:type="first" r:id="rId11"/>
      <w:pgSz w:w="11906" w:h="16838"/>
      <w:pgMar w:top="1134" w:right="1134" w:bottom="1134" w:left="1701"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7E" w:rsidRDefault="00B50F7E">
      <w:pPr>
        <w:spacing w:after="0" w:line="240" w:lineRule="auto"/>
      </w:pPr>
      <w:r>
        <w:separator/>
      </w:r>
    </w:p>
  </w:endnote>
  <w:endnote w:type="continuationSeparator" w:id="0">
    <w:p w:rsidR="00B50F7E" w:rsidRDefault="00B5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A8" w:rsidRDefault="005C3855" w:rsidP="003C5C41">
    <w:pPr>
      <w:jc w:val="both"/>
      <w:rPr>
        <w:rFonts w:ascii="Times New Roman" w:hAnsi="Times New Roman" w:cs="Times New Roman"/>
        <w:sz w:val="20"/>
        <w:szCs w:val="20"/>
      </w:rPr>
    </w:pPr>
  </w:p>
  <w:p w:rsidR="00D708A8" w:rsidRDefault="005C3855" w:rsidP="003C5C41">
    <w:pPr>
      <w:jc w:val="both"/>
      <w:rPr>
        <w:rFonts w:ascii="Times New Roman" w:hAnsi="Times New Roman" w:cs="Times New Roman"/>
        <w:sz w:val="20"/>
        <w:szCs w:val="20"/>
      </w:rPr>
    </w:pPr>
  </w:p>
  <w:p w:rsidR="0012462F" w:rsidRPr="0049434B" w:rsidRDefault="0012462F" w:rsidP="0012462F">
    <w:pPr>
      <w:jc w:val="both"/>
      <w:rPr>
        <w:rFonts w:ascii="Times New Roman" w:hAnsi="Times New Roman" w:cs="Times New Roman"/>
        <w:sz w:val="20"/>
        <w:szCs w:val="20"/>
      </w:rPr>
    </w:pPr>
    <w:r w:rsidRPr="0049434B">
      <w:rPr>
        <w:rFonts w:ascii="Times New Roman" w:hAnsi="Times New Roman" w:cs="Times New Roman"/>
        <w:sz w:val="20"/>
        <w:szCs w:val="20"/>
      </w:rPr>
      <w:t>IEMAnot</w:t>
    </w:r>
    <w:r>
      <w:rPr>
        <w:rFonts w:ascii="Times New Roman" w:hAnsi="Times New Roman" w:cs="Times New Roman"/>
        <w:sz w:val="20"/>
        <w:szCs w:val="20"/>
      </w:rPr>
      <w:t>_08072020</w:t>
    </w:r>
    <w:r w:rsidRPr="0049434B">
      <w:rPr>
        <w:rFonts w:ascii="Times New Roman" w:hAnsi="Times New Roman" w:cs="Times New Roman"/>
        <w:sz w:val="20"/>
        <w:szCs w:val="20"/>
      </w:rPr>
      <w:t>.docx</w:t>
    </w:r>
  </w:p>
  <w:p w:rsidR="003C5C41" w:rsidRPr="00D708A8" w:rsidRDefault="005C3855" w:rsidP="0049434B">
    <w:pPr>
      <w:jc w:val="both"/>
      <w:rPr>
        <w:rFonts w:ascii="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BA" w:rsidRPr="0024458A" w:rsidRDefault="005C3855" w:rsidP="00D416BA">
    <w:pPr>
      <w:pStyle w:val="Footer"/>
    </w:pPr>
  </w:p>
  <w:p w:rsidR="00FA62E0" w:rsidRPr="0049434B" w:rsidRDefault="007B0C66" w:rsidP="0049434B">
    <w:pPr>
      <w:jc w:val="both"/>
      <w:rPr>
        <w:rFonts w:ascii="Times New Roman" w:hAnsi="Times New Roman" w:cs="Times New Roman"/>
        <w:sz w:val="20"/>
        <w:szCs w:val="20"/>
      </w:rPr>
    </w:pPr>
    <w:r w:rsidRPr="0049434B">
      <w:rPr>
        <w:rFonts w:ascii="Times New Roman" w:hAnsi="Times New Roman" w:cs="Times New Roman"/>
        <w:sz w:val="20"/>
        <w:szCs w:val="20"/>
      </w:rPr>
      <w:t>IEMAnot</w:t>
    </w:r>
    <w:r w:rsidR="00A46C55">
      <w:rPr>
        <w:rFonts w:ascii="Times New Roman" w:hAnsi="Times New Roman" w:cs="Times New Roman"/>
        <w:sz w:val="20"/>
        <w:szCs w:val="20"/>
      </w:rPr>
      <w:t>_</w:t>
    </w:r>
    <w:r w:rsidR="0012462F">
      <w:rPr>
        <w:rFonts w:ascii="Times New Roman" w:hAnsi="Times New Roman" w:cs="Times New Roman"/>
        <w:sz w:val="20"/>
        <w:szCs w:val="20"/>
      </w:rPr>
      <w:t>08072</w:t>
    </w:r>
    <w:r w:rsidR="00844C31">
      <w:rPr>
        <w:rFonts w:ascii="Times New Roman" w:hAnsi="Times New Roman" w:cs="Times New Roman"/>
        <w:sz w:val="20"/>
        <w:szCs w:val="20"/>
      </w:rPr>
      <w:t>020</w:t>
    </w:r>
    <w:r w:rsidRPr="0049434B">
      <w:rPr>
        <w:rFonts w:ascii="Times New Roman" w:hAnsi="Times New Roman" w:cs="Times New Roman"/>
        <w:sz w:val="20"/>
        <w:szCs w:val="20"/>
      </w:rPr>
      <w:t>.docx</w:t>
    </w:r>
  </w:p>
  <w:p w:rsidR="00D416BA" w:rsidRPr="009E562C" w:rsidRDefault="005C3855" w:rsidP="00D4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7E" w:rsidRDefault="00B50F7E">
      <w:pPr>
        <w:spacing w:after="0" w:line="240" w:lineRule="auto"/>
      </w:pPr>
      <w:r>
        <w:separator/>
      </w:r>
    </w:p>
  </w:footnote>
  <w:footnote w:type="continuationSeparator" w:id="0">
    <w:p w:rsidR="00B50F7E" w:rsidRDefault="00B50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BA" w:rsidRDefault="007B0C66"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6BA" w:rsidRDefault="005C3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BA" w:rsidRDefault="007B0C66"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855">
      <w:rPr>
        <w:rStyle w:val="PageNumber"/>
        <w:noProof/>
      </w:rPr>
      <w:t>6</w:t>
    </w:r>
    <w:r>
      <w:rPr>
        <w:rStyle w:val="PageNumber"/>
      </w:rPr>
      <w:fldChar w:fldCharType="end"/>
    </w:r>
  </w:p>
  <w:p w:rsidR="00D416BA" w:rsidRDefault="005C3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2245"/>
    <w:multiLevelType w:val="hybridMultilevel"/>
    <w:tmpl w:val="CE484046"/>
    <w:lvl w:ilvl="0" w:tplc="3D80BE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C8"/>
    <w:rsid w:val="00012C39"/>
    <w:rsid w:val="000B3805"/>
    <w:rsid w:val="00102EC8"/>
    <w:rsid w:val="0012462F"/>
    <w:rsid w:val="00231C97"/>
    <w:rsid w:val="002E34C4"/>
    <w:rsid w:val="002E49FA"/>
    <w:rsid w:val="003866D6"/>
    <w:rsid w:val="00396E01"/>
    <w:rsid w:val="004362E7"/>
    <w:rsid w:val="004760C6"/>
    <w:rsid w:val="004A42E8"/>
    <w:rsid w:val="005C3855"/>
    <w:rsid w:val="005E3246"/>
    <w:rsid w:val="007B0C66"/>
    <w:rsid w:val="008143F6"/>
    <w:rsid w:val="00844C31"/>
    <w:rsid w:val="008A1E67"/>
    <w:rsid w:val="008D1D91"/>
    <w:rsid w:val="00903C5C"/>
    <w:rsid w:val="00903D11"/>
    <w:rsid w:val="009A3961"/>
    <w:rsid w:val="00A44EB0"/>
    <w:rsid w:val="00A46C55"/>
    <w:rsid w:val="00A711CA"/>
    <w:rsid w:val="00A90235"/>
    <w:rsid w:val="00B50F7E"/>
    <w:rsid w:val="00B92E4A"/>
    <w:rsid w:val="00BF4471"/>
    <w:rsid w:val="00C35D2C"/>
    <w:rsid w:val="00D32AFC"/>
    <w:rsid w:val="00DA71B5"/>
    <w:rsid w:val="00EA4EBB"/>
    <w:rsid w:val="00F97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9892"/>
  <w15:chartTrackingRefBased/>
  <w15:docId w15:val="{3DA0D48B-DF4C-45EE-ADB5-AB313262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55"/>
  </w:style>
  <w:style w:type="paragraph" w:styleId="Heading3">
    <w:name w:val="heading 3"/>
    <w:basedOn w:val="Normal"/>
    <w:link w:val="Heading3Char"/>
    <w:uiPriority w:val="9"/>
    <w:qFormat/>
    <w:rsid w:val="00D32AF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2EC8"/>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102EC8"/>
    <w:rPr>
      <w:rFonts w:ascii="Times New Roman" w:eastAsia="Times New Roman" w:hAnsi="Times New Roman" w:cs="Times New Roman"/>
      <w:b/>
      <w:bCs/>
      <w:sz w:val="28"/>
      <w:szCs w:val="24"/>
    </w:rPr>
  </w:style>
  <w:style w:type="paragraph" w:customStyle="1" w:styleId="naisf">
    <w:name w:val="naisf"/>
    <w:basedOn w:val="Normal"/>
    <w:rsid w:val="00102EC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rsid w:val="00102EC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102EC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02EC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102EC8"/>
    <w:rPr>
      <w:rFonts w:ascii="Times New Roman" w:eastAsia="Times New Roman" w:hAnsi="Times New Roman" w:cs="Times New Roman"/>
      <w:sz w:val="24"/>
      <w:szCs w:val="24"/>
      <w:lang w:eastAsia="lv-LV"/>
    </w:rPr>
  </w:style>
  <w:style w:type="character" w:styleId="PageNumber">
    <w:name w:val="page number"/>
    <w:basedOn w:val="DefaultParagraphFont"/>
    <w:rsid w:val="00102EC8"/>
  </w:style>
  <w:style w:type="character" w:styleId="Hyperlink">
    <w:name w:val="Hyperlink"/>
    <w:basedOn w:val="DefaultParagraphFont"/>
    <w:uiPriority w:val="99"/>
    <w:rsid w:val="00102EC8"/>
    <w:rPr>
      <w:rFonts w:cs="Times New Roman"/>
      <w:color w:val="0000FF"/>
      <w:u w:val="single"/>
    </w:rPr>
  </w:style>
  <w:style w:type="table" w:styleId="TableGrid">
    <w:name w:val="Table Grid"/>
    <w:basedOn w:val="TableNormal"/>
    <w:uiPriority w:val="59"/>
    <w:rsid w:val="0010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102E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102EC8"/>
    <w:pPr>
      <w:widowControl w:val="0"/>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D32AFC"/>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8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7774">
      <w:bodyDiv w:val="1"/>
      <w:marLeft w:val="0"/>
      <w:marRight w:val="0"/>
      <w:marTop w:val="0"/>
      <w:marBottom w:val="0"/>
      <w:divBdr>
        <w:top w:val="none" w:sz="0" w:space="0" w:color="auto"/>
        <w:left w:val="none" w:sz="0" w:space="0" w:color="auto"/>
        <w:bottom w:val="none" w:sz="0" w:space="0" w:color="auto"/>
        <w:right w:val="none" w:sz="0" w:space="0" w:color="auto"/>
      </w:divBdr>
      <w:divsChild>
        <w:div w:id="1070345282">
          <w:marLeft w:val="0"/>
          <w:marRight w:val="0"/>
          <w:marTop w:val="0"/>
          <w:marBottom w:val="0"/>
          <w:divBdr>
            <w:top w:val="none" w:sz="0" w:space="0" w:color="auto"/>
            <w:left w:val="none" w:sz="0" w:space="0" w:color="auto"/>
            <w:bottom w:val="none" w:sz="0" w:space="0" w:color="auto"/>
            <w:right w:val="none" w:sz="0" w:space="0" w:color="auto"/>
          </w:divBdr>
        </w:div>
        <w:div w:id="1975870802">
          <w:marLeft w:val="0"/>
          <w:marRight w:val="0"/>
          <w:marTop w:val="0"/>
          <w:marBottom w:val="0"/>
          <w:divBdr>
            <w:top w:val="none" w:sz="0" w:space="0" w:color="auto"/>
            <w:left w:val="none" w:sz="0" w:space="0" w:color="auto"/>
            <w:bottom w:val="none" w:sz="0" w:space="0" w:color="auto"/>
            <w:right w:val="none" w:sz="0" w:space="0" w:color="auto"/>
          </w:divBdr>
        </w:div>
      </w:divsChild>
    </w:div>
    <w:div w:id="1317613592">
      <w:bodyDiv w:val="1"/>
      <w:marLeft w:val="0"/>
      <w:marRight w:val="0"/>
      <w:marTop w:val="0"/>
      <w:marBottom w:val="0"/>
      <w:divBdr>
        <w:top w:val="none" w:sz="0" w:space="0" w:color="auto"/>
        <w:left w:val="none" w:sz="0" w:space="0" w:color="auto"/>
        <w:bottom w:val="none" w:sz="0" w:space="0" w:color="auto"/>
        <w:right w:val="none" w:sz="0" w:space="0" w:color="auto"/>
      </w:divBdr>
    </w:div>
    <w:div w:id="1977754153">
      <w:bodyDiv w:val="1"/>
      <w:marLeft w:val="0"/>
      <w:marRight w:val="0"/>
      <w:marTop w:val="0"/>
      <w:marBottom w:val="0"/>
      <w:divBdr>
        <w:top w:val="none" w:sz="0" w:space="0" w:color="auto"/>
        <w:left w:val="none" w:sz="0" w:space="0" w:color="auto"/>
        <w:bottom w:val="none" w:sz="0" w:space="0" w:color="auto"/>
        <w:right w:val="none" w:sz="0" w:space="0" w:color="auto"/>
      </w:divBdr>
      <w:divsChild>
        <w:div w:id="2034767133">
          <w:marLeft w:val="0"/>
          <w:marRight w:val="0"/>
          <w:marTop w:val="0"/>
          <w:marBottom w:val="0"/>
          <w:divBdr>
            <w:top w:val="none" w:sz="0" w:space="0" w:color="auto"/>
            <w:left w:val="none" w:sz="0" w:space="0" w:color="auto"/>
            <w:bottom w:val="none" w:sz="0" w:space="0" w:color="auto"/>
            <w:right w:val="none" w:sz="0" w:space="0" w:color="auto"/>
          </w:divBdr>
        </w:div>
        <w:div w:id="18567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radzevica@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1522</Words>
  <Characters>10888</Characters>
  <Application>Microsoft Office Word</Application>
  <DocSecurity>0</DocSecurity>
  <Lines>320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11</cp:revision>
  <cp:lastPrinted>2020-06-30T11:43:00Z</cp:lastPrinted>
  <dcterms:created xsi:type="dcterms:W3CDTF">2019-07-08T14:06:00Z</dcterms:created>
  <dcterms:modified xsi:type="dcterms:W3CDTF">2020-07-08T08:30:00Z</dcterms:modified>
</cp:coreProperties>
</file>