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4D69D" w14:textId="77777777" w:rsidR="00BD6F57" w:rsidRPr="00EF5414" w:rsidRDefault="00BD6F57" w:rsidP="00BD6F57">
      <w:pPr>
        <w:jc w:val="right"/>
        <w:rPr>
          <w:sz w:val="28"/>
          <w:szCs w:val="28"/>
        </w:rPr>
      </w:pPr>
      <w:r w:rsidRPr="00EF5414">
        <w:rPr>
          <w:i/>
          <w:sz w:val="28"/>
          <w:szCs w:val="28"/>
        </w:rPr>
        <w:t>Projekts</w:t>
      </w:r>
    </w:p>
    <w:p w14:paraId="3E2A2DDC" w14:textId="77777777" w:rsidR="00BD6F57" w:rsidRPr="00CD6222" w:rsidRDefault="00BD6F57" w:rsidP="00BD6F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2E2F41" w14:textId="77777777" w:rsidR="00BD6F57" w:rsidRPr="00CD6222" w:rsidRDefault="00BD6F57" w:rsidP="00BD6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4DD7C4C0" w14:textId="77777777" w:rsidR="00BD6F57" w:rsidRPr="00CD6222" w:rsidRDefault="00BD6F57" w:rsidP="00BD6F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A3E891" w14:textId="1E1FC600" w:rsidR="00BD6F57" w:rsidRPr="00CD6222" w:rsidRDefault="00BD6F57" w:rsidP="00BD6F57">
      <w:pPr>
        <w:tabs>
          <w:tab w:val="righ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20</w:t>
      </w:r>
      <w:r w:rsidR="00FD2D82">
        <w:rPr>
          <w:rFonts w:ascii="Times New Roman" w:hAnsi="Times New Roman" w:cs="Times New Roman"/>
          <w:sz w:val="28"/>
          <w:szCs w:val="28"/>
        </w:rPr>
        <w:t>20</w:t>
      </w:r>
      <w:r w:rsidRPr="00CD6222">
        <w:rPr>
          <w:rFonts w:ascii="Times New Roman" w:hAnsi="Times New Roman" w:cs="Times New Roman"/>
          <w:sz w:val="28"/>
          <w:szCs w:val="28"/>
        </w:rPr>
        <w:t>. gada __. ___</w:t>
      </w:r>
      <w:r w:rsidRPr="00CD6222">
        <w:rPr>
          <w:rFonts w:ascii="Times New Roman" w:hAnsi="Times New Roman" w:cs="Times New Roman"/>
          <w:sz w:val="28"/>
          <w:szCs w:val="28"/>
        </w:rPr>
        <w:tab/>
        <w:t>Noteikumi Nr. __</w:t>
      </w:r>
    </w:p>
    <w:p w14:paraId="501DF551" w14:textId="77777777" w:rsidR="00BD6F57" w:rsidRPr="00CD6222" w:rsidRDefault="00BD6F57" w:rsidP="00BD6F57">
      <w:pPr>
        <w:tabs>
          <w:tab w:val="righ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Rīgā</w:t>
      </w:r>
      <w:r w:rsidRPr="00CD6222">
        <w:rPr>
          <w:rFonts w:ascii="Times New Roman" w:hAnsi="Times New Roman" w:cs="Times New Roman"/>
          <w:sz w:val="28"/>
          <w:szCs w:val="28"/>
        </w:rPr>
        <w:tab/>
        <w:t>prot. Nr. __ __. §)</w:t>
      </w:r>
    </w:p>
    <w:p w14:paraId="2858FAD2" w14:textId="77777777" w:rsidR="00BD6F57" w:rsidRDefault="00BD6F57" w:rsidP="00BD6F57">
      <w:pPr>
        <w:pStyle w:val="Heading1"/>
        <w:jc w:val="left"/>
        <w:rPr>
          <w:rFonts w:cs="Times New Roman"/>
          <w:color w:val="000000"/>
          <w:kern w:val="0"/>
          <w:sz w:val="28"/>
          <w:szCs w:val="28"/>
          <w:lang w:eastAsia="lv-LV"/>
        </w:rPr>
      </w:pPr>
    </w:p>
    <w:p w14:paraId="789B0E52" w14:textId="77777777" w:rsidR="00BD6F57" w:rsidRPr="00F12E49" w:rsidRDefault="00BD6F57" w:rsidP="00BD6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sz w:val="28"/>
          <w:szCs w:val="28"/>
        </w:rPr>
        <w:t>Iekšlietu ministrijas nolikums</w:t>
      </w:r>
    </w:p>
    <w:p w14:paraId="6F815D4B" w14:textId="77777777" w:rsidR="00BD6F57" w:rsidRDefault="00BD6F57" w:rsidP="00BD6F57">
      <w:pPr>
        <w:pStyle w:val="Heading1"/>
        <w:ind w:left="4536"/>
        <w:jc w:val="right"/>
        <w:rPr>
          <w:rFonts w:cs="Times New Roman"/>
          <w:b w:val="0"/>
          <w:color w:val="000000" w:themeColor="text1"/>
          <w:sz w:val="28"/>
          <w:szCs w:val="28"/>
        </w:rPr>
      </w:pPr>
    </w:p>
    <w:p w14:paraId="50E4E9AD" w14:textId="77777777" w:rsidR="00BD6F57" w:rsidRPr="00CE64C4" w:rsidRDefault="00BD6F57" w:rsidP="00BD6F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</w:pPr>
      <w:r w:rsidRPr="00CE64C4">
        <w:rPr>
          <w:rFonts w:ascii="Times New Roman" w:hAnsi="Times New Roman" w:cs="Times New Roman"/>
          <w:i/>
          <w:sz w:val="28"/>
          <w:szCs w:val="28"/>
        </w:rPr>
        <w:t xml:space="preserve">Izdoti saskaņā ar </w:t>
      </w:r>
      <w:hyperlink r:id="rId4" w:tgtFrame="_blank" w:history="1">
        <w:r w:rsidRPr="00CE64C4">
          <w:rPr>
            <w:rStyle w:val="Hyperlink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Valsts pārvaldes iekārtas likuma</w:t>
        </w:r>
      </w:hyperlink>
      <w:r w:rsidRPr="00CE64C4">
        <w:rPr>
          <w:rFonts w:ascii="Times New Roman" w:hAnsi="Times New Roman" w:cs="Times New Roman"/>
          <w:i/>
          <w:sz w:val="28"/>
          <w:szCs w:val="28"/>
        </w:rPr>
        <w:br/>
      </w:r>
      <w:hyperlink r:id="rId5" w:anchor="p16" w:tgtFrame="_blank" w:history="1">
        <w:r w:rsidRPr="00CE64C4">
          <w:rPr>
            <w:rStyle w:val="Hyperlink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16. panta</w:t>
        </w:r>
      </w:hyperlink>
      <w:r w:rsidRPr="00CE64C4">
        <w:rPr>
          <w:rFonts w:ascii="Times New Roman" w:hAnsi="Times New Roman" w:cs="Times New Roman"/>
          <w:i/>
          <w:sz w:val="28"/>
          <w:szCs w:val="28"/>
        </w:rPr>
        <w:t xml:space="preserve"> pirmo daļu</w:t>
      </w:r>
    </w:p>
    <w:p w14:paraId="78E56D2F" w14:textId="77777777" w:rsidR="00BD6F57" w:rsidRPr="00CE64C4" w:rsidRDefault="00BD6F57" w:rsidP="00BD6F57">
      <w:pPr>
        <w:pStyle w:val="tv213"/>
        <w:jc w:val="center"/>
        <w:rPr>
          <w:b/>
          <w:bCs/>
          <w:sz w:val="28"/>
          <w:szCs w:val="28"/>
        </w:rPr>
      </w:pPr>
      <w:bookmarkStart w:id="0" w:name="p1"/>
      <w:bookmarkStart w:id="1" w:name="p-667119"/>
      <w:bookmarkEnd w:id="0"/>
      <w:bookmarkEnd w:id="1"/>
      <w:r>
        <w:rPr>
          <w:b/>
          <w:bCs/>
          <w:sz w:val="28"/>
          <w:szCs w:val="28"/>
        </w:rPr>
        <w:t>I. Vispārīgie jautājumi</w:t>
      </w:r>
    </w:p>
    <w:p w14:paraId="5962FF7B" w14:textId="75A0A1E7" w:rsidR="00AA1135" w:rsidRDefault="00BD6F57" w:rsidP="00BD6F57">
      <w:pPr>
        <w:pStyle w:val="tv213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E64C4">
        <w:rPr>
          <w:sz w:val="28"/>
          <w:szCs w:val="28"/>
        </w:rPr>
        <w:t>Iekšlietu ministrija (turpmāk — ministrija) ir vadošā valsts pārvaldes iestāde</w:t>
      </w:r>
      <w:r w:rsidR="00D70C33">
        <w:rPr>
          <w:sz w:val="28"/>
          <w:szCs w:val="28"/>
        </w:rPr>
        <w:t xml:space="preserve"> </w:t>
      </w:r>
      <w:r w:rsidR="00D70C33" w:rsidRPr="00FA43F0">
        <w:rPr>
          <w:sz w:val="28"/>
          <w:szCs w:val="28"/>
        </w:rPr>
        <w:t xml:space="preserve">iekšlietu </w:t>
      </w:r>
      <w:r w:rsidR="003D5A77">
        <w:rPr>
          <w:sz w:val="28"/>
          <w:szCs w:val="28"/>
        </w:rPr>
        <w:t xml:space="preserve">(valsts drošības un sabiedriskās kārtības un drošības) </w:t>
      </w:r>
      <w:r w:rsidR="00D70C33" w:rsidRPr="00FA43F0">
        <w:rPr>
          <w:sz w:val="28"/>
          <w:szCs w:val="28"/>
        </w:rPr>
        <w:t>nozarē</w:t>
      </w:r>
      <w:r w:rsidR="00AA1135">
        <w:rPr>
          <w:sz w:val="28"/>
          <w:szCs w:val="28"/>
        </w:rPr>
        <w:t>.</w:t>
      </w:r>
    </w:p>
    <w:p w14:paraId="08475007" w14:textId="77777777" w:rsidR="00BD6F57" w:rsidRPr="00CE64C4" w:rsidRDefault="00BD6F57" w:rsidP="00AA113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p2"/>
      <w:bookmarkStart w:id="3" w:name="p-69969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Pr="00CE64C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Ministrija ir tieši pakļauta iekšlietu ministram (turpmāk — ministrs).</w:t>
      </w:r>
    </w:p>
    <w:p w14:paraId="32D5D9D6" w14:textId="77777777" w:rsidR="00BD6F57" w:rsidRPr="00756546" w:rsidRDefault="00BD6F57" w:rsidP="00BD6F5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" w:name="p3"/>
      <w:bookmarkStart w:id="5" w:name="p-69970"/>
      <w:bookmarkEnd w:id="4"/>
      <w:bookmarkEnd w:id="5"/>
      <w:r w:rsidRPr="00756546">
        <w:rPr>
          <w:rFonts w:ascii="Times New Roman" w:eastAsia="Times New Roman" w:hAnsi="Times New Roman" w:cs="Times New Roman"/>
          <w:sz w:val="28"/>
          <w:szCs w:val="28"/>
          <w:lang w:eastAsia="lv-LV"/>
        </w:rPr>
        <w:t>3. Ministrija ir augstākā iestāde ministrijas padotībā esošajām valsts pārvaldes iestādēm.</w:t>
      </w:r>
    </w:p>
    <w:p w14:paraId="5112B08C" w14:textId="77777777" w:rsidR="00BD6F57" w:rsidRDefault="00BD6F57" w:rsidP="00BD6F5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II. Ministrijas funkcijas, uzdevumi un kompetence</w:t>
      </w:r>
    </w:p>
    <w:p w14:paraId="550BC17A" w14:textId="77777777" w:rsidR="00BD6F57" w:rsidRDefault="00BD6F57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 Ministrijas funkcijas ir:</w:t>
      </w:r>
    </w:p>
    <w:p w14:paraId="3F0A3E43" w14:textId="77777777" w:rsidR="00BD6F57" w:rsidRDefault="00BD6F57" w:rsidP="00BD6F57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4.1. izstrādāt, organizēt un koordinēt politiku šādās jomās:</w:t>
      </w:r>
    </w:p>
    <w:p w14:paraId="07035B1F" w14:textId="538E6ED1" w:rsidR="00BD6F57" w:rsidRDefault="00BD6F57" w:rsidP="00BD6F57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4.1.1. </w:t>
      </w:r>
      <w:r w:rsidR="00AA11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sabiedriskā kārtība </w:t>
      </w:r>
      <w:r w:rsidR="00D70C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FA43F0">
        <w:rPr>
          <w:rFonts w:ascii="Times New Roman" w:eastAsia="Times New Roman" w:hAnsi="Times New Roman" w:cs="Times New Roman"/>
          <w:sz w:val="28"/>
          <w:szCs w:val="28"/>
          <w:lang w:eastAsia="lv-LV"/>
        </w:rPr>
        <w:t>drošība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1955D37" w14:textId="43FBA4B3" w:rsidR="00AA1135" w:rsidRDefault="00BD6F57" w:rsidP="00BD6F57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4.1.2. </w:t>
      </w:r>
      <w:r w:rsidR="00AA11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robežas </w:t>
      </w:r>
      <w:r w:rsidR="00FA43F0" w:rsidRPr="00FA43F0">
        <w:rPr>
          <w:rFonts w:ascii="Times New Roman" w:eastAsia="Times New Roman" w:hAnsi="Times New Roman" w:cs="Times New Roman"/>
          <w:sz w:val="28"/>
          <w:szCs w:val="28"/>
          <w:lang w:eastAsia="lv-LV"/>
        </w:rPr>
        <w:t>drošība</w:t>
      </w:r>
      <w:r w:rsidR="00B53C59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6CB7261" w14:textId="4FA1B7A1" w:rsidR="00BD6F57" w:rsidRDefault="00AA1135" w:rsidP="00BD6F57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4.1.3. noziedzības </w:t>
      </w:r>
      <w:r w:rsidR="00D70C33" w:rsidRPr="00FA43F0">
        <w:rPr>
          <w:rFonts w:ascii="Times New Roman" w:eastAsia="Times New Roman" w:hAnsi="Times New Roman" w:cs="Times New Roman"/>
          <w:sz w:val="28"/>
          <w:szCs w:val="28"/>
          <w:lang w:eastAsia="lv-LV"/>
        </w:rPr>
        <w:t>novēršana un</w:t>
      </w:r>
      <w:r w:rsidR="00D70C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apkarošana</w:t>
      </w:r>
      <w:r w:rsidR="00BD6F5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89CC44B" w14:textId="4CD4586A" w:rsidR="00AA1135" w:rsidRDefault="00AA1135" w:rsidP="00AA1135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4.1.4. civilā aizsardzība, ugunsdrošība, ugunsdzēsība un glābšana;</w:t>
      </w:r>
    </w:p>
    <w:p w14:paraId="75F02559" w14:textId="5C93E1AB" w:rsidR="00AA1135" w:rsidRDefault="00AA1135" w:rsidP="00AA1135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4.1.5. pilsonība;</w:t>
      </w:r>
    </w:p>
    <w:p w14:paraId="6EFD77A0" w14:textId="0156E24D" w:rsidR="00AA1135" w:rsidRDefault="00AA1135" w:rsidP="00AA1135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4.1.6. iedzīvotāju uzskaite un dokumentēšana;</w:t>
      </w:r>
    </w:p>
    <w:p w14:paraId="393145BE" w14:textId="38C54281" w:rsidR="00BD6F57" w:rsidRDefault="00BD6F57" w:rsidP="00AA1135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4.1.</w:t>
      </w:r>
      <w:r w:rsidR="00AA1135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AA1135">
        <w:rPr>
          <w:rFonts w:ascii="Times New Roman" w:eastAsia="Times New Roman" w:hAnsi="Times New Roman" w:cs="Times New Roman"/>
          <w:sz w:val="28"/>
          <w:szCs w:val="28"/>
          <w:lang w:eastAsia="lv-LV"/>
        </w:rPr>
        <w:t>migrācija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ABAF194" w14:textId="0B7733CE" w:rsidR="00BD6F57" w:rsidRPr="00205F5C" w:rsidRDefault="00BD6F57" w:rsidP="00BD6F57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F5C">
        <w:rPr>
          <w:rFonts w:ascii="Times New Roman" w:hAnsi="Times New Roman" w:cs="Times New Roman"/>
          <w:sz w:val="28"/>
          <w:szCs w:val="28"/>
        </w:rPr>
        <w:t xml:space="preserve">4.2. organizēt un koordinēt likumu un citu </w:t>
      </w:r>
      <w:r w:rsidR="00FD2D82">
        <w:rPr>
          <w:rFonts w:ascii="Times New Roman" w:hAnsi="Times New Roman" w:cs="Times New Roman"/>
          <w:sz w:val="28"/>
          <w:szCs w:val="28"/>
        </w:rPr>
        <w:t xml:space="preserve">ārējo </w:t>
      </w:r>
      <w:r w:rsidRPr="00205F5C">
        <w:rPr>
          <w:rFonts w:ascii="Times New Roman" w:hAnsi="Times New Roman" w:cs="Times New Roman"/>
          <w:sz w:val="28"/>
          <w:szCs w:val="28"/>
        </w:rPr>
        <w:t>normatīvo aktu īstenošanu;</w:t>
      </w:r>
    </w:p>
    <w:p w14:paraId="20D2AAF9" w14:textId="77777777" w:rsidR="00BD6F57" w:rsidRDefault="00BD6F57" w:rsidP="00BD6F57">
      <w:pPr>
        <w:spacing w:before="100" w:beforeAutospacing="1" w:after="100" w:afterAutospacing="1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veikt citas ārējos normatīvajos aktos noteiktās funkcijas.</w:t>
      </w:r>
    </w:p>
    <w:p w14:paraId="4CF5D957" w14:textId="77777777" w:rsidR="00BD6F57" w:rsidRDefault="00BD6F57" w:rsidP="00BD6F5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9FB201" w14:textId="77777777" w:rsidR="00BD6F57" w:rsidRPr="00894228" w:rsidRDefault="00BD6F57" w:rsidP="00BD6F57">
      <w:pPr>
        <w:pStyle w:val="tv213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228">
        <w:rPr>
          <w:sz w:val="28"/>
          <w:szCs w:val="28"/>
        </w:rPr>
        <w:t>5. Lai izpildītu noteiktās funkcijas, ministrija veic šādus uzdevumus:</w:t>
      </w:r>
    </w:p>
    <w:p w14:paraId="1F7C8A36" w14:textId="53A5D3A6" w:rsidR="00BD6F57" w:rsidRPr="00894228" w:rsidRDefault="00BD6F57" w:rsidP="00BD6F5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5.1. izstrādā nozari reglamentējošo </w:t>
      </w:r>
      <w:r w:rsidR="00AA1135"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attīstības plānošanas dokumentu</w:t>
      </w:r>
      <w:r w:rsidR="00AA11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tiesību aktu projektus;</w:t>
      </w:r>
    </w:p>
    <w:p w14:paraId="07CEF5CA" w14:textId="3A27893F" w:rsidR="00BD6F57" w:rsidRPr="00894228" w:rsidRDefault="00BD6F57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5.2. sniedz atzinumus par citu institūciju izstrādātajiem</w:t>
      </w:r>
      <w:r w:rsidR="00FD2D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attīstības</w:t>
      </w:r>
      <w:r w:rsidR="00AA11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plānošanas dokumentu un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tiesību aktu projektiem;</w:t>
      </w:r>
    </w:p>
    <w:p w14:paraId="29B7F464" w14:textId="77777777" w:rsidR="00BD6F57" w:rsidRPr="00894228" w:rsidRDefault="00BD6F57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5.3. izdod administratīvos aktus;</w:t>
      </w:r>
    </w:p>
    <w:p w14:paraId="2FCEF497" w14:textId="605E60A7" w:rsidR="00BD6F57" w:rsidRPr="00894228" w:rsidRDefault="00BD6F57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sadarbojas ar citām </w:t>
      </w:r>
      <w:r w:rsidR="00B53C59">
        <w:rPr>
          <w:rFonts w:ascii="Times New Roman" w:eastAsia="Times New Roman" w:hAnsi="Times New Roman" w:cs="Times New Roman"/>
          <w:sz w:val="28"/>
          <w:szCs w:val="28"/>
          <w:lang w:eastAsia="lv-LV"/>
        </w:rPr>
        <w:t>institūcijām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vienotas valsts politikas izstrādāšanā un īstenošanā, kā arī uzdevumu veikšanā;</w:t>
      </w:r>
    </w:p>
    <w:p w14:paraId="318A1E19" w14:textId="0A12A334" w:rsidR="00BD6F57" w:rsidRPr="00894228" w:rsidRDefault="00BD6F57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nodrošina nozares politikas īstenošanu ministrijas padotības iestādēs un </w:t>
      </w:r>
      <w:r w:rsidRPr="00205F5C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kapitālsabiedrībā, kurā ministrija ir valsts kapitāla daļu turētāja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 – valsts kapitālsabiedrība);</w:t>
      </w:r>
    </w:p>
    <w:p w14:paraId="1AB16560" w14:textId="61CA65D3" w:rsidR="00BD6F57" w:rsidRPr="00894228" w:rsidRDefault="00BD6F57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. sagatavo un sniedz priekšlikumus par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02CA2"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attiecīgajos attīstības plānošanas dokumentos 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D2D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ārējos 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normatīvajos aktos 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aredzēto pasākumu īstenošanai un ministrijas uzdevumu veikšanai nepieciešamo finansējumu no valsts budžeta;</w:t>
      </w:r>
    </w:p>
    <w:p w14:paraId="228AC182" w14:textId="0A0580CF" w:rsidR="00BD6F57" w:rsidRPr="00894228" w:rsidRDefault="00E02CA2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5.7</w:t>
      </w:r>
      <w:r w:rsidR="00BD6F57"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valsts vārdā veic privāttiesiskus darījumus, kas nepieciešami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nozares</w:t>
      </w:r>
      <w:r w:rsidR="00BD6F57"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darbības nodrošināšanai;</w:t>
      </w:r>
    </w:p>
    <w:p w14:paraId="402E6374" w14:textId="40A489E2" w:rsidR="00BD6F57" w:rsidRPr="00894228" w:rsidRDefault="00BD6F57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informē sabiedrību par nozares politiku un ministrijas uzdevumu izpildi, </w:t>
      </w:r>
      <w:r w:rsidR="003D5A77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kapitālsabiedrības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ministrijas padotības iestāžu darbību;</w:t>
      </w:r>
    </w:p>
    <w:p w14:paraId="4EAA4111" w14:textId="7827B8D3" w:rsidR="00BD6F57" w:rsidRPr="00894228" w:rsidRDefault="00BD6F57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205F5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205F5C">
        <w:rPr>
          <w:rFonts w:ascii="Times New Roman" w:eastAsia="Times New Roman" w:hAnsi="Times New Roman" w:cs="Times New Roman"/>
          <w:sz w:val="28"/>
          <w:szCs w:val="28"/>
          <w:lang w:eastAsia="lv-LV"/>
        </w:rPr>
        <w:t>. pārbauda funkciju izpildi un veic citas pārbaudes ministrijas padotības iestāžu darbībā;</w:t>
      </w:r>
    </w:p>
    <w:p w14:paraId="748F008A" w14:textId="2CB1346F" w:rsidR="00BD6F57" w:rsidRPr="00894228" w:rsidRDefault="00BD6F57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5.1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nodrošina dialogu ar sabiedrību par </w:t>
      </w:r>
      <w:r w:rsidR="00FA43F0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nozares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politiku, kā arī veicina sabiedrības tiesiskās domas un apziņas attīstību atbilstoši demokrātiskas valsts principiem;</w:t>
      </w:r>
    </w:p>
    <w:p w14:paraId="2D14A665" w14:textId="004BCC9F" w:rsidR="00BD6F57" w:rsidRPr="00894228" w:rsidRDefault="00BD6F57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5.1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. izskata ministrijai adresētus dokumentus, kuri satur lūgumu, sūdzību, priekšlikumu vai jautājumu, un nodrošina personu pieņemšanu;</w:t>
      </w:r>
    </w:p>
    <w:p w14:paraId="0C4038B3" w14:textId="1299D92C" w:rsidR="00BD6F57" w:rsidRPr="00894228" w:rsidRDefault="00BD6F57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5.1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. nodrošina sabiedrības līdzdalību attīstības plānošanas procesā un valsts pārvaldē;</w:t>
      </w:r>
    </w:p>
    <w:p w14:paraId="16CBF3DC" w14:textId="25354591" w:rsidR="00BD6F57" w:rsidRPr="00894228" w:rsidRDefault="00BD6F57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5.1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. nodrošinot ministrijas rīcībā esošās vispārpieejamās informācijas pieejamību sabiedrībai, ievērojot labas pārvaldības principu, pēc savas iniciatīvas nodrošina piekļuvi noteikta veida vispārpieejamai informācijai ministrijas tīmekļvietnē;</w:t>
      </w:r>
    </w:p>
    <w:p w14:paraId="0ACE6000" w14:textId="3625C75E" w:rsidR="00BD6F57" w:rsidRDefault="00BD6F57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5.1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4F3130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Iekšlietu ministrijas sistēmas iestāžu amatpersonu ar speciālo dienesta pakāpi personāla attīstību;</w:t>
      </w:r>
    </w:p>
    <w:p w14:paraId="2A45A5E9" w14:textId="4B769AC0" w:rsidR="00BD6F57" w:rsidRDefault="00BD6F57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5.1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bookmarkStart w:id="6" w:name="_GoBack"/>
      <w:r w:rsidRPr="004F3130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Iekšlietu ministrijas padotībā esošo iestāžu nepieciešamo </w:t>
      </w:r>
      <w:r w:rsidR="003D5A77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nekustamo īpašumu, informācijas</w:t>
      </w:r>
      <w:r w:rsidR="00A807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komunikācijas tehnoloģiju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un materiāltehnisko līdzekļu uzturēšanu un attīstīšanu;</w:t>
      </w:r>
    </w:p>
    <w:bookmarkEnd w:id="6"/>
    <w:p w14:paraId="4CFAA12D" w14:textId="04E7BB6B" w:rsidR="00BD6F57" w:rsidRDefault="00BD6F57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831">
        <w:rPr>
          <w:rFonts w:ascii="Times New Roman" w:eastAsia="Times New Roman" w:hAnsi="Times New Roman" w:cs="Times New Roman"/>
          <w:sz w:val="28"/>
          <w:szCs w:val="28"/>
          <w:lang w:eastAsia="lv-LV"/>
        </w:rPr>
        <w:t>5.1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1038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4F3130">
        <w:rPr>
          <w:rFonts w:ascii="Times New Roman" w:hAnsi="Times New Roman" w:cs="Times New Roman"/>
          <w:sz w:val="28"/>
          <w:szCs w:val="28"/>
        </w:rPr>
        <w:t>koordinē</w:t>
      </w:r>
      <w:r w:rsidRPr="00103831">
        <w:rPr>
          <w:rFonts w:ascii="Times New Roman" w:hAnsi="Times New Roman" w:cs="Times New Roman"/>
          <w:sz w:val="28"/>
          <w:szCs w:val="28"/>
        </w:rPr>
        <w:t xml:space="preserve"> civilās aizsardzības sistēmas attīstības plānošanu un darbību un saskaņā ar </w:t>
      </w:r>
      <w:r w:rsidR="00FD2D82">
        <w:rPr>
          <w:rFonts w:ascii="Times New Roman" w:hAnsi="Times New Roman" w:cs="Times New Roman"/>
          <w:sz w:val="28"/>
          <w:szCs w:val="28"/>
        </w:rPr>
        <w:t xml:space="preserve">ārējiem </w:t>
      </w:r>
      <w:r w:rsidRPr="00103831">
        <w:rPr>
          <w:rFonts w:ascii="Times New Roman" w:hAnsi="Times New Roman" w:cs="Times New Roman"/>
          <w:sz w:val="28"/>
          <w:szCs w:val="28"/>
        </w:rPr>
        <w:t xml:space="preserve">normatīvajiem aktiem </w:t>
      </w:r>
      <w:r w:rsidR="00FD2D82">
        <w:rPr>
          <w:rFonts w:ascii="Times New Roman" w:hAnsi="Times New Roman" w:cs="Times New Roman"/>
          <w:sz w:val="28"/>
          <w:szCs w:val="28"/>
        </w:rPr>
        <w:t>katastrofu pārvaldīšanas jomā</w:t>
      </w:r>
      <w:r w:rsidRPr="00103831">
        <w:rPr>
          <w:rFonts w:ascii="Times New Roman" w:hAnsi="Times New Roman" w:cs="Times New Roman"/>
          <w:sz w:val="28"/>
          <w:szCs w:val="28"/>
        </w:rPr>
        <w:t>;</w:t>
      </w:r>
    </w:p>
    <w:p w14:paraId="46062AC4" w14:textId="1F74E58B" w:rsidR="00BD6F57" w:rsidRPr="004F3130" w:rsidRDefault="00BD6F57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02C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3130">
        <w:rPr>
          <w:rFonts w:ascii="Times New Roman" w:hAnsi="Times New Roman" w:cs="Times New Roman"/>
          <w:sz w:val="28"/>
          <w:szCs w:val="28"/>
        </w:rPr>
        <w:t xml:space="preserve">koordinē valsts materiālo rezervju plānošanu starp nozarēm un saskaņā ar </w:t>
      </w:r>
      <w:r w:rsidR="00FD2D82">
        <w:rPr>
          <w:rFonts w:ascii="Times New Roman" w:hAnsi="Times New Roman" w:cs="Times New Roman"/>
          <w:sz w:val="28"/>
          <w:szCs w:val="28"/>
        </w:rPr>
        <w:t xml:space="preserve">ārējiem </w:t>
      </w:r>
      <w:r w:rsidRPr="004F3130">
        <w:rPr>
          <w:rFonts w:ascii="Times New Roman" w:hAnsi="Times New Roman" w:cs="Times New Roman"/>
          <w:sz w:val="28"/>
          <w:szCs w:val="28"/>
        </w:rPr>
        <w:t>normatīvajiem aktiem nodrošina valsts materiālo rezervju veidošanu un pārvaldīšanu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A37EDC" w14:textId="44117CA1" w:rsidR="00BD6F57" w:rsidRDefault="00BD6F57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A43F0"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savas kompetences ietvaros 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koordinē un kontrolē Eiropas Savienības tiesību </w:t>
      </w:r>
      <w:r w:rsidR="003D5A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aktu 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pārņemšanu un ieviešanu;</w:t>
      </w:r>
    </w:p>
    <w:p w14:paraId="1C46C013" w14:textId="7878D864" w:rsidR="00BD6F57" w:rsidRDefault="00BD6F57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19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A43F0"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savas kompetences ietvaros 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nodrošina Latvijai saistošo starptautisko līgumu izpildi;</w:t>
      </w:r>
    </w:p>
    <w:p w14:paraId="61436002" w14:textId="637D93D1" w:rsidR="00BD6F57" w:rsidRPr="00894228" w:rsidRDefault="00BD6F57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. savas kompetences ietvaros pārstāv valsts intereses starptautiskajās organizācijās un Eiropas Savienības institūcijās;</w:t>
      </w:r>
    </w:p>
    <w:p w14:paraId="70C71506" w14:textId="0283A3AB" w:rsidR="00BD6F57" w:rsidRDefault="00BD6F57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5.</w:t>
      </w:r>
      <w:r w:rsidR="00E02CA2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70C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D2D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savas kompetences ietvaros </w:t>
      </w:r>
      <w:r w:rsidR="00D70C33">
        <w:rPr>
          <w:rFonts w:ascii="Times New Roman" w:eastAsia="Times New Roman" w:hAnsi="Times New Roman" w:cs="Times New Roman"/>
          <w:sz w:val="28"/>
          <w:szCs w:val="28"/>
          <w:lang w:eastAsia="lv-LV"/>
        </w:rPr>
        <w:t>koordinē ārvalstu finanšu palīdzības resursu piesaistīšanu (saņemšanu)  un nodrošina to izmantošanas pārraudzību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F9C0ACD" w14:textId="15990F71" w:rsidR="00D70C33" w:rsidRPr="00894228" w:rsidRDefault="00D70C33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5.22. </w:t>
      </w:r>
      <w:r w:rsidR="00FD2D82">
        <w:rPr>
          <w:rFonts w:ascii="Times New Roman" w:eastAsia="Times New Roman" w:hAnsi="Times New Roman" w:cs="Times New Roman"/>
          <w:sz w:val="28"/>
          <w:szCs w:val="28"/>
          <w:lang w:eastAsia="lv-LV"/>
        </w:rPr>
        <w:t>savas kompetences ietvaros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veic Eiropas Savienības politiku instrumentu un citas ārvalstu finanšu palīdzības programmu atbildīgās iestādes vai </w:t>
      </w:r>
      <w:r w:rsidRPr="00FA43F0">
        <w:rPr>
          <w:rFonts w:ascii="Times New Roman" w:eastAsia="Times New Roman" w:hAnsi="Times New Roman" w:cs="Times New Roman"/>
          <w:sz w:val="28"/>
          <w:szCs w:val="28"/>
          <w:lang w:eastAsia="lv-LV"/>
        </w:rPr>
        <w:t>apsaimniekotāja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funkcijas;</w:t>
      </w:r>
    </w:p>
    <w:p w14:paraId="207E8164" w14:textId="5B5E656A" w:rsidR="00BD6F57" w:rsidRPr="00894228" w:rsidRDefault="00BD6F57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5.2</w:t>
      </w:r>
      <w:r w:rsidR="00D70C33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īsteno citus </w:t>
      </w:r>
      <w:r w:rsidR="00FD2D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ārējos 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aktos noteiktos uzdevumus.</w:t>
      </w:r>
    </w:p>
    <w:p w14:paraId="303696B2" w14:textId="77777777" w:rsidR="00BD6F57" w:rsidRPr="0002343B" w:rsidRDefault="00BD6F57" w:rsidP="00BD6F57">
      <w:pPr>
        <w:tabs>
          <w:tab w:val="left" w:pos="851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3FFB70" w14:textId="77777777" w:rsidR="00BD6F57" w:rsidRPr="00894228" w:rsidRDefault="00BD6F57" w:rsidP="00BD6F57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6. Ministrijai ir tiesības:</w:t>
      </w:r>
    </w:p>
    <w:p w14:paraId="669DCA2E" w14:textId="77777777" w:rsidR="00BD6F57" w:rsidRPr="00894228" w:rsidRDefault="00BD6F57" w:rsidP="00BD6F57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6.1. piedalīties starptautisku organizāciju rīkotajos pasākumos;</w:t>
      </w:r>
    </w:p>
    <w:p w14:paraId="4E624663" w14:textId="77777777" w:rsidR="00BD6F57" w:rsidRPr="00894228" w:rsidRDefault="00BD6F57" w:rsidP="00BD6F57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6.2. noslēgt starptautiskās sadarbības līgumus;</w:t>
      </w:r>
    </w:p>
    <w:p w14:paraId="2B333196" w14:textId="77777777" w:rsidR="00BD6F57" w:rsidRPr="00894228" w:rsidRDefault="00BD6F57" w:rsidP="00BD6F57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6.3. koordinēt starptautisko sadarbību;</w:t>
      </w:r>
    </w:p>
    <w:p w14:paraId="6602175D" w14:textId="77777777" w:rsidR="00BD6F57" w:rsidRPr="00894228" w:rsidRDefault="00BD6F57" w:rsidP="00BD6F57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6.4. sniegt maksas pakalpojumus;</w:t>
      </w:r>
    </w:p>
    <w:p w14:paraId="79473CBF" w14:textId="46B36563" w:rsidR="00BD6F57" w:rsidRDefault="00BD6F57" w:rsidP="00BD6F57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6.5. īstenot citas </w:t>
      </w:r>
      <w:r w:rsidR="00FD2D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ārējos </w:t>
      </w:r>
      <w:r w:rsidRPr="00894228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aktos noteiktās tiesības.</w:t>
      </w:r>
    </w:p>
    <w:p w14:paraId="3CF27628" w14:textId="77777777" w:rsidR="00BD6F57" w:rsidRDefault="00BD6F57" w:rsidP="00BD6F57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145B63" w14:textId="77777777" w:rsidR="00FD2D82" w:rsidRDefault="00BD6F57" w:rsidP="00BD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E02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III. Ministrijas darbības tiesiskuma nodro</w:t>
      </w:r>
      <w:r w:rsidR="00FD2D8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šināšana </w:t>
      </w:r>
    </w:p>
    <w:p w14:paraId="3CAB9F4B" w14:textId="327A7CD9" w:rsidR="00BD6F57" w:rsidRPr="00EE0248" w:rsidRDefault="00FD2D82" w:rsidP="00BD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un pārskatu sniegšana</w:t>
      </w:r>
    </w:p>
    <w:p w14:paraId="1F0AD405" w14:textId="77777777" w:rsidR="00BD6F57" w:rsidRPr="00EE0248" w:rsidRDefault="00BD6F57" w:rsidP="00BD6F5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7" w:name="p7"/>
      <w:bookmarkStart w:id="8" w:name="p-632158"/>
      <w:bookmarkEnd w:id="7"/>
      <w:bookmarkEnd w:id="8"/>
      <w:r w:rsidRPr="00EE0248">
        <w:rPr>
          <w:rFonts w:ascii="Times New Roman" w:eastAsia="Times New Roman" w:hAnsi="Times New Roman" w:cs="Times New Roman"/>
          <w:sz w:val="28"/>
          <w:szCs w:val="28"/>
          <w:lang w:eastAsia="lv-LV"/>
        </w:rPr>
        <w:t>7. Valsts sekretārs pieņem lēmumu par privātpersonas apstrīdēto ministrijas pārvaldes amatpersonas izdoto administratīvo aktu vai pārvaldes amatpersonas faktisko rīcību, ja likumos vai Ministru kabineta noteikumos nav noteikts citādi.</w:t>
      </w:r>
    </w:p>
    <w:p w14:paraId="7D747A23" w14:textId="77777777" w:rsidR="00BD6F57" w:rsidRPr="00EE0248" w:rsidRDefault="00BD6F57" w:rsidP="00BD6F5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9" w:name="p8"/>
      <w:bookmarkStart w:id="10" w:name="p-632159"/>
      <w:bookmarkEnd w:id="9"/>
      <w:bookmarkEnd w:id="10"/>
      <w:r w:rsidRPr="00EE0248">
        <w:rPr>
          <w:rFonts w:ascii="Times New Roman" w:eastAsia="Times New Roman" w:hAnsi="Times New Roman" w:cs="Times New Roman"/>
          <w:sz w:val="28"/>
          <w:szCs w:val="28"/>
          <w:lang w:eastAsia="lv-LV"/>
        </w:rPr>
        <w:t>8. Valsts sekretāra izdotos administratīvos aktus un faktisko rīcību privātpersona var pārsūdzēt tiesā.</w:t>
      </w:r>
    </w:p>
    <w:p w14:paraId="787E8500" w14:textId="5A0A3533" w:rsidR="00BD6F57" w:rsidRPr="00EE0248" w:rsidRDefault="00BD6F57" w:rsidP="00BD6F5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1" w:name="p9"/>
      <w:bookmarkStart w:id="12" w:name="p-632160"/>
      <w:bookmarkEnd w:id="11"/>
      <w:bookmarkEnd w:id="12"/>
      <w:r w:rsidRPr="00EE02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9. Publiskos pārskatus par ministrijas darbību un </w:t>
      </w:r>
      <w:r w:rsidR="00D70C33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līdzekļu izlietojumu</w:t>
      </w:r>
      <w:r w:rsidRPr="00EE02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 sniedz</w:t>
      </w:r>
      <w:r w:rsidR="00FD2D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ārējos</w:t>
      </w:r>
      <w:r w:rsidRPr="00EE02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normatīvajos aktos noteiktajā kārtībā.</w:t>
      </w:r>
    </w:p>
    <w:p w14:paraId="28C14D9C" w14:textId="77777777" w:rsidR="00BD6F57" w:rsidRDefault="00BD6F57" w:rsidP="00BD6F5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1ACB0FD9" w14:textId="034A7FB8" w:rsidR="00BD6F57" w:rsidRPr="00894228" w:rsidRDefault="00BD6F57" w:rsidP="00BD6F57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E0248">
        <w:rPr>
          <w:rFonts w:ascii="Times New Roman" w:hAnsi="Times New Roman" w:cs="Times New Roman"/>
          <w:b/>
          <w:sz w:val="28"/>
          <w:szCs w:val="28"/>
        </w:rPr>
        <w:t>IV. Ministrijas padotības iestādes un valsts kapitālsabiedrība</w:t>
      </w:r>
    </w:p>
    <w:p w14:paraId="7B2BB7D1" w14:textId="77777777" w:rsidR="00BD6F57" w:rsidRDefault="00BD6F57" w:rsidP="00BD6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37D1C6" w14:textId="77777777" w:rsidR="00BD6F57" w:rsidRDefault="00BD6F57" w:rsidP="00BD6F57">
      <w:pPr>
        <w:pStyle w:val="tv213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EE0248">
        <w:rPr>
          <w:sz w:val="28"/>
          <w:szCs w:val="28"/>
        </w:rPr>
        <w:t>10. Ministrijas padotībā ir:</w:t>
      </w:r>
    </w:p>
    <w:p w14:paraId="137774B8" w14:textId="77777777" w:rsidR="00BD6F57" w:rsidRDefault="00BD6F57" w:rsidP="00BD6F57">
      <w:pPr>
        <w:pStyle w:val="tv21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10.1. Iekšējās drošības birojs;</w:t>
      </w:r>
    </w:p>
    <w:p w14:paraId="68C57DE0" w14:textId="77777777" w:rsidR="00BD6F57" w:rsidRDefault="00BD6F57" w:rsidP="00BD6F57">
      <w:pPr>
        <w:pStyle w:val="tv21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EE0248">
        <w:rPr>
          <w:sz w:val="28"/>
          <w:szCs w:val="28"/>
        </w:rPr>
        <w:t>Iekšlietu ministrijas Informācijas centrs;</w:t>
      </w:r>
    </w:p>
    <w:p w14:paraId="7B7ADBB4" w14:textId="77777777" w:rsidR="00BD6F57" w:rsidRDefault="00BD6F57" w:rsidP="00BD6F57">
      <w:pPr>
        <w:pStyle w:val="tv21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EE0248">
        <w:rPr>
          <w:sz w:val="28"/>
          <w:szCs w:val="28"/>
        </w:rPr>
        <w:t>Iekšlietu ministrijas veselības un sporta centrs;</w:t>
      </w:r>
    </w:p>
    <w:p w14:paraId="334B86B9" w14:textId="77777777" w:rsidR="00BD6F57" w:rsidRDefault="00BD6F57" w:rsidP="00BD6F57">
      <w:pPr>
        <w:pStyle w:val="tv21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Pr="00EE0248">
        <w:rPr>
          <w:sz w:val="28"/>
          <w:szCs w:val="28"/>
        </w:rPr>
        <w:t>Nodrošinājuma valsts aģentūra;</w:t>
      </w:r>
    </w:p>
    <w:p w14:paraId="737C2445" w14:textId="77777777" w:rsidR="00BD6F57" w:rsidRDefault="00BD6F57" w:rsidP="00BD6F57">
      <w:pPr>
        <w:pStyle w:val="tv21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10.5.</w:t>
      </w:r>
      <w:r w:rsidRPr="00EE0248">
        <w:rPr>
          <w:sz w:val="28"/>
          <w:szCs w:val="28"/>
        </w:rPr>
        <w:t xml:space="preserve"> Pilsonības un migrācijas lietu pārvalde;</w:t>
      </w:r>
    </w:p>
    <w:p w14:paraId="7C886CB0" w14:textId="77777777" w:rsidR="00BD6F57" w:rsidRDefault="00BD6F57" w:rsidP="00BD6F57">
      <w:pPr>
        <w:pStyle w:val="tv21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10.6. Valsts drošības dienests;</w:t>
      </w:r>
    </w:p>
    <w:p w14:paraId="18BEA56F" w14:textId="77777777" w:rsidR="00BD6F57" w:rsidRDefault="00BD6F57" w:rsidP="00BD6F57">
      <w:pPr>
        <w:pStyle w:val="tv21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10.7.</w:t>
      </w:r>
      <w:r w:rsidRPr="00EE0248">
        <w:rPr>
          <w:sz w:val="28"/>
          <w:szCs w:val="28"/>
        </w:rPr>
        <w:t xml:space="preserve"> Valsts policija;</w:t>
      </w:r>
    </w:p>
    <w:p w14:paraId="64DD52C9" w14:textId="77777777" w:rsidR="00BD6F57" w:rsidRDefault="00BD6F57" w:rsidP="00BD6F57">
      <w:pPr>
        <w:pStyle w:val="tv21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10.8. </w:t>
      </w:r>
      <w:r w:rsidRPr="00EE0248">
        <w:rPr>
          <w:sz w:val="28"/>
          <w:szCs w:val="28"/>
        </w:rPr>
        <w:t>Valsts robežsardze;</w:t>
      </w:r>
    </w:p>
    <w:p w14:paraId="19BDE374" w14:textId="77777777" w:rsidR="00BD6F57" w:rsidRDefault="00BD6F57" w:rsidP="00BD6F57">
      <w:pPr>
        <w:pStyle w:val="tv213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10.9. </w:t>
      </w:r>
      <w:r w:rsidRPr="00EE0248">
        <w:rPr>
          <w:sz w:val="28"/>
          <w:szCs w:val="28"/>
        </w:rPr>
        <w:t>Valsts ugun</w:t>
      </w:r>
      <w:r>
        <w:rPr>
          <w:sz w:val="28"/>
          <w:szCs w:val="28"/>
        </w:rPr>
        <w:t>sdzēsības un glābšanas dienests.</w:t>
      </w:r>
    </w:p>
    <w:p w14:paraId="24CBAB57" w14:textId="77777777" w:rsidR="00BD6F57" w:rsidRDefault="00BD6F57" w:rsidP="00BD6F57">
      <w:pPr>
        <w:pStyle w:val="tv213"/>
        <w:ind w:firstLine="720"/>
        <w:contextualSpacing/>
        <w:rPr>
          <w:sz w:val="28"/>
          <w:szCs w:val="28"/>
        </w:rPr>
      </w:pPr>
    </w:p>
    <w:p w14:paraId="3478E60C" w14:textId="77777777" w:rsidR="00BD6F57" w:rsidRDefault="00BD6F57" w:rsidP="00BD6F57">
      <w:pPr>
        <w:pStyle w:val="tv213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Ministrija ir valsts sabiedrības ar ierobežotu atbildību “Iekšlietu ministrijas poliklīnika” kapitāla daļu turētāja.</w:t>
      </w:r>
    </w:p>
    <w:p w14:paraId="1D1E321A" w14:textId="77777777" w:rsidR="00BD6F57" w:rsidRDefault="00BD6F57" w:rsidP="00BD6F57">
      <w:pPr>
        <w:pStyle w:val="tv213"/>
        <w:ind w:firstLine="720"/>
        <w:contextualSpacing/>
        <w:jc w:val="both"/>
        <w:rPr>
          <w:sz w:val="28"/>
          <w:szCs w:val="28"/>
        </w:rPr>
      </w:pPr>
    </w:p>
    <w:p w14:paraId="2A74DDD2" w14:textId="77777777" w:rsidR="00BD6F57" w:rsidRDefault="00BD6F57" w:rsidP="00BD6F57">
      <w:pPr>
        <w:pStyle w:val="tv213"/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Noslēguma jautājumi</w:t>
      </w:r>
    </w:p>
    <w:p w14:paraId="606E9AFA" w14:textId="77777777" w:rsidR="00BD6F57" w:rsidRDefault="00BD6F57" w:rsidP="00BD6F57">
      <w:pPr>
        <w:pStyle w:val="tv213"/>
        <w:ind w:firstLine="720"/>
        <w:contextualSpacing/>
        <w:jc w:val="center"/>
        <w:rPr>
          <w:b/>
          <w:sz w:val="28"/>
          <w:szCs w:val="28"/>
        </w:rPr>
      </w:pPr>
    </w:p>
    <w:p w14:paraId="0E3C52EC" w14:textId="77777777" w:rsidR="00BD6F57" w:rsidRDefault="00BD6F57" w:rsidP="00BD6F57">
      <w:pPr>
        <w:pStyle w:val="tv213"/>
        <w:ind w:firstLine="720"/>
        <w:contextualSpacing/>
        <w:jc w:val="both"/>
        <w:rPr>
          <w:sz w:val="28"/>
          <w:szCs w:val="28"/>
        </w:rPr>
      </w:pPr>
      <w:r w:rsidRPr="00205F5C">
        <w:rPr>
          <w:sz w:val="28"/>
          <w:szCs w:val="28"/>
        </w:rPr>
        <w:t>12. Atzīt par spēku zaudējušiem Ministru kabineta 2003.gada 29.aprīļa noteikumus Nr.240 (Latvijas Vēstnesis, 2003, 70., 183. nr.; 2004, 124., 207. nr.; 2006, 193. nr.; 2009, 4., 99., 165., 200. nr.; 2010, 33., 160. nr.; 2015, 69.nr.).</w:t>
      </w:r>
    </w:p>
    <w:p w14:paraId="3B45E301" w14:textId="77777777" w:rsidR="00BD6F57" w:rsidRDefault="00BD6F57" w:rsidP="00BD6F57">
      <w:pPr>
        <w:pStyle w:val="tv213"/>
        <w:ind w:firstLine="720"/>
        <w:contextualSpacing/>
        <w:jc w:val="both"/>
        <w:rPr>
          <w:sz w:val="28"/>
          <w:szCs w:val="28"/>
        </w:rPr>
      </w:pPr>
    </w:p>
    <w:p w14:paraId="03226AD8" w14:textId="77777777" w:rsidR="00BD6F57" w:rsidRPr="001E40B6" w:rsidRDefault="00BD6F57" w:rsidP="00BD6F57">
      <w:pPr>
        <w:pStyle w:val="tv213"/>
        <w:ind w:firstLine="720"/>
        <w:contextualSpacing/>
        <w:jc w:val="both"/>
        <w:rPr>
          <w:sz w:val="28"/>
          <w:szCs w:val="28"/>
        </w:rPr>
      </w:pPr>
      <w:r w:rsidRPr="001E40B6">
        <w:rPr>
          <w:sz w:val="28"/>
          <w:szCs w:val="28"/>
        </w:rPr>
        <w:t xml:space="preserve">13. </w:t>
      </w:r>
      <w:r w:rsidRPr="001E40B6">
        <w:rPr>
          <w:rFonts w:eastAsiaTheme="minorHAnsi"/>
          <w:sz w:val="28"/>
          <w:szCs w:val="28"/>
          <w:lang w:eastAsia="en-US"/>
        </w:rPr>
        <w:t xml:space="preserve">Ministrijas izveidoto padomju un komisiju nolikumi un reglamenti, kā arī rīkojumi par darba grupu izveidošanu, kas līdz šo noteikumu spēkā stāšanās dienai izdoti saskaņā ar Ministru kabineta </w:t>
      </w:r>
      <w:hyperlink r:id="rId6" w:anchor="p2003" w:history="1">
        <w:r w:rsidRPr="001E40B6">
          <w:rPr>
            <w:rFonts w:eastAsiaTheme="minorHAnsi"/>
            <w:sz w:val="28"/>
            <w:szCs w:val="28"/>
            <w:lang w:eastAsia="en-US"/>
          </w:rPr>
          <w:t>2003.</w:t>
        </w:r>
      </w:hyperlink>
      <w:r w:rsidRPr="001E40B6">
        <w:rPr>
          <w:rFonts w:eastAsiaTheme="minorHAnsi"/>
          <w:sz w:val="28"/>
          <w:szCs w:val="28"/>
          <w:lang w:eastAsia="en-US"/>
        </w:rPr>
        <w:t xml:space="preserve"> gada </w:t>
      </w:r>
      <w:hyperlink r:id="rId7" w:anchor="p29" w:history="1">
        <w:r w:rsidRPr="001E40B6">
          <w:rPr>
            <w:rFonts w:eastAsiaTheme="minorHAnsi"/>
            <w:sz w:val="28"/>
            <w:szCs w:val="28"/>
            <w:lang w:eastAsia="en-US"/>
          </w:rPr>
          <w:t>29.</w:t>
        </w:r>
      </w:hyperlink>
      <w:r w:rsidRPr="001E40B6">
        <w:rPr>
          <w:rFonts w:eastAsiaTheme="minorHAnsi"/>
          <w:sz w:val="28"/>
          <w:szCs w:val="28"/>
          <w:lang w:eastAsia="en-US"/>
        </w:rPr>
        <w:t xml:space="preserve"> aprīļa noteikumu Nr. 240 "Iekšlietu ministrijas nolikums" </w:t>
      </w:r>
      <w:hyperlink r:id="rId8" w:anchor="p17" w:history="1">
        <w:r w:rsidRPr="001E40B6">
          <w:rPr>
            <w:rFonts w:eastAsiaTheme="minorHAnsi"/>
            <w:sz w:val="28"/>
            <w:szCs w:val="28"/>
            <w:lang w:eastAsia="en-US"/>
          </w:rPr>
          <w:t>17.</w:t>
        </w:r>
      </w:hyperlink>
      <w:r w:rsidRPr="001E40B6">
        <w:rPr>
          <w:rFonts w:eastAsiaTheme="minorHAnsi"/>
          <w:sz w:val="28"/>
          <w:szCs w:val="28"/>
          <w:lang w:eastAsia="en-US"/>
        </w:rPr>
        <w:t> punktu, paliek spēkā līdz to atzīšanai par spēku zaudējušiem vai līdz brīdim, kad tie zaudē spēku uz cita pamata.</w:t>
      </w:r>
    </w:p>
    <w:p w14:paraId="5A698CE6" w14:textId="77777777" w:rsidR="00BD6F57" w:rsidRPr="00205F5C" w:rsidRDefault="00BD6F57" w:rsidP="00BD6F57">
      <w:pPr>
        <w:pStyle w:val="tv213"/>
        <w:ind w:firstLine="720"/>
        <w:contextualSpacing/>
        <w:rPr>
          <w:b/>
          <w:sz w:val="28"/>
          <w:szCs w:val="28"/>
        </w:rPr>
      </w:pPr>
    </w:p>
    <w:p w14:paraId="1E4F48BF" w14:textId="77777777" w:rsidR="00BD6F57" w:rsidRPr="00EE0248" w:rsidRDefault="00BD6F57" w:rsidP="00BD6F57">
      <w:pPr>
        <w:pStyle w:val="tv213"/>
        <w:ind w:firstLine="720"/>
        <w:contextualSpacing/>
        <w:rPr>
          <w:sz w:val="28"/>
          <w:szCs w:val="28"/>
        </w:rPr>
      </w:pPr>
    </w:p>
    <w:p w14:paraId="62A69529" w14:textId="77777777" w:rsidR="00BD6F57" w:rsidRPr="00CD6222" w:rsidRDefault="00BD6F57" w:rsidP="00BD6F57">
      <w:pPr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Ministru prezidents</w:t>
      </w:r>
      <w:r w:rsidRPr="00CD62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Arturs Krišjānis Kariņš</w:t>
      </w:r>
    </w:p>
    <w:p w14:paraId="2BB53491" w14:textId="77777777" w:rsidR="00BD6F57" w:rsidRPr="00CD6222" w:rsidRDefault="00BD6F57" w:rsidP="00BD6F57">
      <w:pPr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Iekšlietu ministrs</w:t>
      </w:r>
      <w:r w:rsidRPr="00CD62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Sandis </w:t>
      </w:r>
      <w:proofErr w:type="spellStart"/>
      <w:r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p w14:paraId="61AE5D04" w14:textId="77777777" w:rsidR="00BD6F57" w:rsidRPr="00CD6222" w:rsidRDefault="00BD6F57" w:rsidP="00BD6F57">
      <w:pPr>
        <w:tabs>
          <w:tab w:val="right" w:pos="9071"/>
        </w:tabs>
        <w:rPr>
          <w:rFonts w:ascii="Times New Roman" w:hAnsi="Times New Roman" w:cs="Times New Roman"/>
          <w:sz w:val="28"/>
          <w:szCs w:val="28"/>
          <w:lang w:eastAsia="lv-LV"/>
        </w:rPr>
      </w:pPr>
      <w:r w:rsidRPr="00CD6222">
        <w:rPr>
          <w:rFonts w:ascii="Times New Roman" w:hAnsi="Times New Roman" w:cs="Times New Roman"/>
          <w:sz w:val="28"/>
          <w:szCs w:val="28"/>
          <w:lang w:eastAsia="lv-LV"/>
        </w:rPr>
        <w:t>Iesniedzējs:</w:t>
      </w:r>
    </w:p>
    <w:p w14:paraId="79334116" w14:textId="77777777" w:rsidR="00BD6F57" w:rsidRPr="00CD6222" w:rsidRDefault="00BD6F57" w:rsidP="00BD6F57">
      <w:pPr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 ministrs</w:t>
      </w:r>
      <w:r>
        <w:rPr>
          <w:rFonts w:ascii="Times New Roman" w:hAnsi="Times New Roman" w:cs="Times New Roman"/>
          <w:sz w:val="28"/>
          <w:szCs w:val="28"/>
        </w:rPr>
        <w:tab/>
        <w:t xml:space="preserve">Sandis </w:t>
      </w:r>
      <w:proofErr w:type="spellStart"/>
      <w:r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p w14:paraId="3E54D2A4" w14:textId="77777777" w:rsidR="00BD6F57" w:rsidRPr="00CD6222" w:rsidRDefault="00BD6F57" w:rsidP="00BD6F57">
      <w:pPr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 valsts sekretārs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Dimitrijs</w:t>
      </w:r>
      <w:proofErr w:type="spellEnd"/>
      <w:r w:rsidRPr="00CD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222">
        <w:rPr>
          <w:rFonts w:ascii="Times New Roman" w:hAnsi="Times New Roman" w:cs="Times New Roman"/>
          <w:sz w:val="28"/>
          <w:szCs w:val="28"/>
        </w:rPr>
        <w:t>Trofimovs</w:t>
      </w:r>
      <w:proofErr w:type="spellEnd"/>
    </w:p>
    <w:p w14:paraId="5721BBE9" w14:textId="77777777" w:rsidR="00BD6F57" w:rsidRDefault="00BD6F57" w:rsidP="00BD6F57">
      <w:pPr>
        <w:rPr>
          <w:rStyle w:val="Hyperlink"/>
          <w:sz w:val="20"/>
          <w:szCs w:val="20"/>
        </w:rPr>
      </w:pPr>
    </w:p>
    <w:p w14:paraId="4432CDC9" w14:textId="77777777" w:rsidR="00BD6F57" w:rsidRDefault="00BD6F57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6C0D6053" w14:textId="77777777" w:rsidR="00BD6F57" w:rsidRDefault="00BD6F57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583534DB" w14:textId="77777777" w:rsidR="00BD6F57" w:rsidRDefault="00BD6F57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0C399432" w14:textId="77777777" w:rsidR="00BD6F57" w:rsidRDefault="00BD6F57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17F70574" w14:textId="77777777" w:rsidR="00BD6F57" w:rsidRDefault="00BD6F57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7A98EAF5" w14:textId="77777777" w:rsidR="00BD6F57" w:rsidRDefault="00BD6F57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577AC591" w14:textId="77777777" w:rsidR="00BD6F57" w:rsidRDefault="00BD6F57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1BFA4297" w14:textId="77777777" w:rsidR="00BD6F57" w:rsidRDefault="00BD6F57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6AD95872" w14:textId="77777777" w:rsidR="00BD6F57" w:rsidRDefault="00BD6F57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69BDCF4F" w14:textId="77777777" w:rsidR="00B53C59" w:rsidRDefault="00B53C59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31C6E9D5" w14:textId="77777777" w:rsidR="00B53C59" w:rsidRDefault="00B53C59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37056BF1" w14:textId="77777777" w:rsidR="00B53C59" w:rsidRDefault="00B53C59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660AD50A" w14:textId="77777777" w:rsidR="00B53C59" w:rsidRDefault="00B53C59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489BCE54" w14:textId="77777777" w:rsidR="00B53C59" w:rsidRDefault="00B53C59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1C47435C" w14:textId="77777777" w:rsidR="00B53C59" w:rsidRDefault="00B53C59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74EFE7E7" w14:textId="77777777" w:rsidR="00B53C59" w:rsidRDefault="00B53C59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32A06DB3" w14:textId="77777777" w:rsidR="00B53C59" w:rsidRDefault="00B53C59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4F9D2B57" w14:textId="77777777" w:rsidR="00B53C59" w:rsidRDefault="00B53C59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5B94951A" w14:textId="77777777" w:rsidR="00B53C59" w:rsidRDefault="00B53C59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6E28E0E2" w14:textId="77777777" w:rsidR="00B53C59" w:rsidRDefault="00B53C59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31482128" w14:textId="54A7DBD7" w:rsidR="00B53C59" w:rsidRDefault="00B53C59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46A999AD" w14:textId="73796221" w:rsidR="00FD2D82" w:rsidRDefault="00FD2D82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12B6757E" w14:textId="7CC60CA8" w:rsidR="00FD2D82" w:rsidRDefault="00FD2D82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54E0777A" w14:textId="42545345" w:rsidR="00FD2D82" w:rsidRDefault="00FD2D82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380B50A3" w14:textId="77777777" w:rsidR="00FD2D82" w:rsidRDefault="00FD2D82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372CDA77" w14:textId="77777777" w:rsidR="00B53C59" w:rsidRDefault="00B53C59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4EC5E664" w14:textId="77777777" w:rsidR="00B53C59" w:rsidRDefault="00B53C59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19245808" w14:textId="77777777" w:rsidR="00B53C59" w:rsidRDefault="00B53C59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3C6F1907" w14:textId="77777777" w:rsidR="00B53C59" w:rsidRDefault="00B53C59" w:rsidP="00BD6F57">
      <w:pPr>
        <w:pStyle w:val="BodyText"/>
        <w:spacing w:after="0"/>
        <w:jc w:val="both"/>
        <w:rPr>
          <w:noProof/>
          <w:sz w:val="16"/>
          <w:szCs w:val="16"/>
        </w:rPr>
      </w:pPr>
    </w:p>
    <w:p w14:paraId="2F22F318" w14:textId="2F3D440B" w:rsidR="00BD6F57" w:rsidRPr="0095225B" w:rsidRDefault="008132FE" w:rsidP="00BD6F57">
      <w:pPr>
        <w:pStyle w:val="BodyText"/>
        <w:spacing w:after="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t>08</w:t>
      </w:r>
      <w:r w:rsidR="00BD6F57">
        <w:rPr>
          <w:noProof/>
          <w:sz w:val="16"/>
          <w:szCs w:val="16"/>
        </w:rPr>
        <w:t>.0</w:t>
      </w:r>
      <w:r>
        <w:rPr>
          <w:noProof/>
          <w:sz w:val="16"/>
          <w:szCs w:val="16"/>
        </w:rPr>
        <w:t>7</w:t>
      </w:r>
      <w:r w:rsidR="00BD6F57">
        <w:rPr>
          <w:noProof/>
          <w:sz w:val="16"/>
          <w:szCs w:val="16"/>
        </w:rPr>
        <w:t>.20</w:t>
      </w:r>
      <w:r w:rsidR="00FD2D82">
        <w:rPr>
          <w:noProof/>
          <w:sz w:val="16"/>
          <w:szCs w:val="16"/>
        </w:rPr>
        <w:t>20</w:t>
      </w:r>
      <w:r w:rsidR="00BD6F57">
        <w:rPr>
          <w:noProof/>
          <w:sz w:val="16"/>
          <w:szCs w:val="16"/>
        </w:rPr>
        <w:t>. 11:00</w:t>
      </w:r>
      <w:r w:rsidR="00BD6F57" w:rsidRPr="0095225B">
        <w:rPr>
          <w:sz w:val="16"/>
          <w:szCs w:val="16"/>
        </w:rPr>
        <w:t xml:space="preserve"> </w:t>
      </w:r>
    </w:p>
    <w:p w14:paraId="6AD4A5ED" w14:textId="32081ACB" w:rsidR="00BD6F57" w:rsidRPr="0095225B" w:rsidRDefault="00FD2D82" w:rsidP="00BD6F57">
      <w:pPr>
        <w:pStyle w:val="BodyText"/>
        <w:tabs>
          <w:tab w:val="left" w:pos="1920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805</w:t>
      </w:r>
      <w:r w:rsidR="00BD6F57">
        <w:rPr>
          <w:sz w:val="16"/>
          <w:szCs w:val="16"/>
        </w:rPr>
        <w:tab/>
      </w:r>
    </w:p>
    <w:p w14:paraId="7AEE5680" w14:textId="77777777" w:rsidR="00BD6F57" w:rsidRPr="0095225B" w:rsidRDefault="00BD6F57" w:rsidP="00BD6F57">
      <w:pPr>
        <w:pStyle w:val="BodyText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D.Radzeviča</w:t>
      </w:r>
    </w:p>
    <w:p w14:paraId="620F7E57" w14:textId="6310D36C" w:rsidR="00DA71B5" w:rsidRDefault="00BD6F57" w:rsidP="003B0201">
      <w:pPr>
        <w:pStyle w:val="BodyText"/>
        <w:spacing w:after="0"/>
        <w:jc w:val="both"/>
      </w:pPr>
      <w:r>
        <w:rPr>
          <w:sz w:val="16"/>
          <w:szCs w:val="16"/>
        </w:rPr>
        <w:t>67219418, dace.radzevica@iem.gov.lv</w:t>
      </w:r>
    </w:p>
    <w:sectPr w:rsidR="00DA71B5" w:rsidSect="00EE024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57"/>
    <w:rsid w:val="003B0201"/>
    <w:rsid w:val="003D5A77"/>
    <w:rsid w:val="007134D9"/>
    <w:rsid w:val="008132FE"/>
    <w:rsid w:val="00A13EDA"/>
    <w:rsid w:val="00A807E5"/>
    <w:rsid w:val="00AA1135"/>
    <w:rsid w:val="00AA68E7"/>
    <w:rsid w:val="00B53C59"/>
    <w:rsid w:val="00BD6F57"/>
    <w:rsid w:val="00D70C33"/>
    <w:rsid w:val="00DA71B5"/>
    <w:rsid w:val="00E02CA2"/>
    <w:rsid w:val="00FA43F0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B2EA"/>
  <w15:chartTrackingRefBased/>
  <w15:docId w15:val="{8DCB8C94-C801-4347-835F-6F7EC075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6F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F57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BD6F57"/>
    <w:rPr>
      <w:color w:val="0000FF"/>
      <w:u w:val="single"/>
    </w:rPr>
  </w:style>
  <w:style w:type="paragraph" w:styleId="BodyText">
    <w:name w:val="Body Text"/>
    <w:basedOn w:val="Normal"/>
    <w:link w:val="BodyTextChar"/>
    <w:rsid w:val="00BD6F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D6F57"/>
    <w:rPr>
      <w:rFonts w:ascii="Times New Roman" w:eastAsia="Times New Roman" w:hAnsi="Times New Roman" w:cs="Times New Roman"/>
      <w:sz w:val="20"/>
      <w:szCs w:val="20"/>
    </w:rPr>
  </w:style>
  <w:style w:type="paragraph" w:customStyle="1" w:styleId="tv213">
    <w:name w:val="tv213"/>
    <w:basedOn w:val="Normal"/>
    <w:rsid w:val="00BD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D6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F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29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2929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92913" TargetMode="External"/><Relationship Id="rId5" Type="http://schemas.openxmlformats.org/officeDocument/2006/relationships/hyperlink" Target="https://likumi.lv/ta/id/63545-valsts-parvaldes-iekartas-likum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ikumi.lv/ta/id/63545-valsts-parvaldes-iekartas-likum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857</Words>
  <Characters>6130</Characters>
  <Application>Microsoft Office Word</Application>
  <DocSecurity>0</DocSecurity>
  <Lines>180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9</cp:revision>
  <cp:lastPrinted>2020-06-30T08:15:00Z</cp:lastPrinted>
  <dcterms:created xsi:type="dcterms:W3CDTF">2019-06-14T10:10:00Z</dcterms:created>
  <dcterms:modified xsi:type="dcterms:W3CDTF">2020-07-08T08:35:00Z</dcterms:modified>
</cp:coreProperties>
</file>