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A75DA" w:rsidR="007E2644" w:rsidP="007E2644" w:rsidRDefault="007E2644">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Pr="001A75DA" w:rsidR="007E2644" w:rsidP="007E2644" w:rsidRDefault="007E2644">
      <w:pPr>
        <w:ind w:right="-1"/>
        <w:jc w:val="center"/>
        <w:rPr>
          <w:b/>
          <w:color w:val="000000" w:themeColor="text1"/>
          <w:sz w:val="28"/>
          <w:szCs w:val="28"/>
        </w:rPr>
      </w:pPr>
      <w:r>
        <w:rPr>
          <w:b/>
          <w:color w:val="000000" w:themeColor="text1"/>
          <w:sz w:val="28"/>
          <w:szCs w:val="28"/>
        </w:rPr>
        <w:t>„Par valstij dividendēs izmaksājamo valsts sabiedrības ar ierobežotu atbildību „</w:t>
      </w:r>
      <w:r w:rsidRPr="007E2644">
        <w:rPr>
          <w:b/>
          <w:sz w:val="28"/>
          <w:szCs w:val="28"/>
        </w:rPr>
        <w:t>KREMERATA BALTICA</w:t>
      </w:r>
      <w:r>
        <w:rPr>
          <w:b/>
          <w:color w:val="000000" w:themeColor="text1"/>
          <w:sz w:val="28"/>
          <w:szCs w:val="28"/>
        </w:rPr>
        <w:t>”</w:t>
      </w:r>
      <w:r w:rsidRPr="001A75DA">
        <w:rPr>
          <w:b/>
          <w:color w:val="000000" w:themeColor="text1"/>
          <w:sz w:val="28"/>
          <w:szCs w:val="28"/>
        </w:rPr>
        <w:t xml:space="preserve"> </w:t>
      </w:r>
      <w:r>
        <w:rPr>
          <w:b/>
          <w:color w:val="000000" w:themeColor="text1"/>
          <w:sz w:val="28"/>
          <w:szCs w:val="28"/>
        </w:rPr>
        <w:t xml:space="preserve">peļņas daļu” </w:t>
      </w:r>
      <w:r w:rsidRPr="001A75DA">
        <w:rPr>
          <w:b/>
          <w:color w:val="000000" w:themeColor="text1"/>
          <w:sz w:val="28"/>
          <w:szCs w:val="28"/>
        </w:rPr>
        <w:t>sākotnējās ietekmes novērtējuma ziņojums (anotācija)</w:t>
      </w:r>
    </w:p>
    <w:p w:rsidRPr="001A75DA" w:rsidR="007E2644" w:rsidP="007E2644" w:rsidRDefault="007E2644">
      <w:pPr>
        <w:ind w:right="-1"/>
        <w:rPr>
          <w:b/>
          <w:color w:val="000000" w:themeColor="text1"/>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1A75DA" w:rsidR="007E2644" w:rsidTr="00DB1D6D">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Pr="001A75DA" w:rsidR="007E2644" w:rsidTr="00DB1D6D">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007E2644" w:rsidP="006D58DD" w:rsidRDefault="007E2644">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Pr>
                <w:sz w:val="28"/>
                <w:szCs w:val="28"/>
              </w:rPr>
              <w:t>KREMERATA BALTICA</w:t>
            </w:r>
            <w:r w:rsidRPr="00822C8A">
              <w:rPr>
                <w:color w:val="000000" w:themeColor="text1"/>
                <w:sz w:val="28"/>
                <w:szCs w:val="28"/>
              </w:rPr>
              <w:t>” (turpmāk – Projekts) mērķis ir valsts sabiedrības ar ierobežotu atbildību „</w:t>
            </w:r>
            <w:r>
              <w:rPr>
                <w:sz w:val="28"/>
                <w:szCs w:val="28"/>
              </w:rPr>
              <w:t>KREMERATA BALTICA</w:t>
            </w:r>
            <w:r w:rsidRPr="00822C8A">
              <w:rPr>
                <w:color w:val="000000" w:themeColor="text1"/>
                <w:sz w:val="28"/>
                <w:szCs w:val="28"/>
              </w:rPr>
              <w:t xml:space="preserve">” (turpmāk – kapitālsabiedrība) ikgadējās prognozējamās dividendēs izmaksājamās peļņas daļas novirzīšana </w:t>
            </w:r>
            <w:r w:rsidRPr="00723321">
              <w:rPr>
                <w:rFonts w:eastAsia="Times New Roman"/>
                <w:sz w:val="28"/>
                <w:szCs w:val="28"/>
              </w:rPr>
              <w:t xml:space="preserve">kapitālsabiedrības </w:t>
            </w:r>
            <w:r w:rsidRPr="00723321">
              <w:rPr>
                <w:sz w:val="28"/>
                <w:szCs w:val="28"/>
              </w:rPr>
              <w:t xml:space="preserve">deleģēto valsts pārvaldes uzdevumu </w:t>
            </w:r>
            <w:r w:rsidRPr="00723321">
              <w:rPr>
                <w:rFonts w:eastAsia="Times New Roman"/>
                <w:sz w:val="28"/>
                <w:szCs w:val="28"/>
              </w:rPr>
              <w:t>kultūras jomā izdevumu segšanai</w:t>
            </w:r>
            <w:r w:rsidRPr="00723321" w:rsidR="0038290E">
              <w:rPr>
                <w:rFonts w:eastAsia="Times New Roman"/>
                <w:sz w:val="28"/>
                <w:szCs w:val="28"/>
              </w:rPr>
              <w:t xml:space="preserve">, </w:t>
            </w:r>
            <w:r w:rsidRPr="007121DB" w:rsidR="00723321">
              <w:rPr>
                <w:rFonts w:eastAsia="Times New Roman"/>
                <w:color w:val="000000" w:themeColor="text1"/>
                <w:sz w:val="28"/>
                <w:szCs w:val="28"/>
              </w:rPr>
              <w:t xml:space="preserve">konkrēti </w:t>
            </w:r>
            <w:r w:rsidRPr="007121DB" w:rsidR="00723321">
              <w:rPr>
                <w:rFonts w:eastAsia="Times New Roman"/>
                <w:color w:val="000000" w:themeColor="text1"/>
                <w:sz w:val="28"/>
                <w:szCs w:val="28"/>
              </w:rPr>
              <w:softHyphen/>
              <w:t xml:space="preserve"> </w:t>
            </w:r>
            <w:r w:rsidRPr="007121DB" w:rsidR="00723321">
              <w:rPr>
                <w:color w:val="000000" w:themeColor="text1"/>
                <w:sz w:val="28"/>
                <w:szCs w:val="28"/>
              </w:rPr>
              <w:t>kapitālsabiedrības tehniskās un tehnoloģiskās darbības pilnveidošanai</w:t>
            </w:r>
            <w:r w:rsidRPr="007121DB" w:rsidR="00723321">
              <w:rPr>
                <w:rFonts w:eastAsia="Times New Roman"/>
                <w:color w:val="000000" w:themeColor="text1"/>
                <w:sz w:val="28"/>
                <w:szCs w:val="28"/>
              </w:rPr>
              <w:t xml:space="preserve">, un </w:t>
            </w:r>
            <w:r w:rsidRPr="007121DB" w:rsidR="00723321">
              <w:rPr>
                <w:color w:val="000000" w:themeColor="text1"/>
                <w:sz w:val="28"/>
                <w:szCs w:val="28"/>
              </w:rPr>
              <w:t>orķestra ilgtermiņa attīstības un augstvērtīgas mākslinieciskās darbības attīstībai,</w:t>
            </w:r>
            <w:r w:rsidR="00723321">
              <w:rPr>
                <w:color w:val="FF0000"/>
                <w:sz w:val="28"/>
                <w:szCs w:val="28"/>
              </w:rPr>
              <w:t xml:space="preserve"> </w:t>
            </w:r>
            <w:r w:rsidRPr="00822C8A">
              <w:rPr>
                <w:rFonts w:eastAsia="Times New Roman"/>
                <w:color w:val="000000" w:themeColor="text1"/>
                <w:sz w:val="28"/>
                <w:szCs w:val="28"/>
              </w:rPr>
              <w:t xml:space="preserve">nepalielinot kapitālsabiedrībai nepieciešamo valsts budžeta dotāciju. </w:t>
            </w:r>
            <w:r w:rsidRPr="00822C8A">
              <w:rPr>
                <w:color w:val="000000" w:themeColor="text1"/>
                <w:sz w:val="28"/>
                <w:szCs w:val="28"/>
              </w:rPr>
              <w:t xml:space="preserve">Saskaņā ar </w:t>
            </w:r>
            <w:r>
              <w:rPr>
                <w:color w:val="000000" w:themeColor="text1"/>
                <w:sz w:val="28"/>
                <w:szCs w:val="28"/>
              </w:rPr>
              <w:t>kapitālsabiedrības vidēja termiņa stratēģijas projektu „Valsts sabiedrības ar ierobežotu atbildību „</w:t>
            </w:r>
            <w:r>
              <w:rPr>
                <w:sz w:val="28"/>
                <w:szCs w:val="28"/>
              </w:rPr>
              <w:t>KREMERATA BALTICA</w:t>
            </w:r>
            <w:r>
              <w:rPr>
                <w:color w:val="000000" w:themeColor="text1"/>
                <w:sz w:val="28"/>
                <w:szCs w:val="28"/>
              </w:rPr>
              <w:t>”</w:t>
            </w:r>
            <w:r w:rsidRPr="001A75DA">
              <w:rPr>
                <w:color w:val="000000" w:themeColor="text1"/>
                <w:sz w:val="28"/>
                <w:szCs w:val="28"/>
              </w:rPr>
              <w:t xml:space="preserve"> vidēja termiņa darbības stratēģija 20</w:t>
            </w:r>
            <w:r w:rsidR="00400798">
              <w:rPr>
                <w:color w:val="000000" w:themeColor="text1"/>
                <w:sz w:val="28"/>
                <w:szCs w:val="28"/>
              </w:rPr>
              <w:t>20</w:t>
            </w:r>
            <w:r w:rsidRPr="001A75DA">
              <w:rPr>
                <w:color w:val="000000" w:themeColor="text1"/>
                <w:sz w:val="28"/>
                <w:szCs w:val="28"/>
              </w:rPr>
              <w:t>. – 202</w:t>
            </w:r>
            <w:r>
              <w:rPr>
                <w:color w:val="000000" w:themeColor="text1"/>
                <w:sz w:val="28"/>
                <w:szCs w:val="28"/>
              </w:rPr>
              <w:t>2</w:t>
            </w:r>
            <w:r w:rsidRPr="001A75DA">
              <w:rPr>
                <w:color w:val="000000" w:themeColor="text1"/>
                <w:sz w:val="28"/>
                <w:szCs w:val="28"/>
              </w:rPr>
              <w:t xml:space="preserve">.gadam” (turpmāk – </w:t>
            </w:r>
            <w:r w:rsidRPr="00B213F4">
              <w:rPr>
                <w:color w:val="000000" w:themeColor="text1"/>
                <w:sz w:val="28"/>
                <w:szCs w:val="28"/>
              </w:rPr>
              <w:t xml:space="preserve">Stratēģija) </w:t>
            </w:r>
            <w:r w:rsidRPr="00822C8A">
              <w:rPr>
                <w:color w:val="000000" w:themeColor="text1"/>
                <w:sz w:val="28"/>
                <w:szCs w:val="28"/>
              </w:rPr>
              <w:t>201</w:t>
            </w:r>
            <w:r w:rsidR="00400798">
              <w:rPr>
                <w:color w:val="000000" w:themeColor="text1"/>
                <w:sz w:val="28"/>
                <w:szCs w:val="28"/>
              </w:rPr>
              <w:t>9</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Pr="00CD4732" w:rsidR="00CD4732">
              <w:rPr>
                <w:sz w:val="28"/>
                <w:szCs w:val="28"/>
              </w:rPr>
              <w:t>3 088</w:t>
            </w:r>
            <w:r w:rsidR="00CD4732">
              <w:t> </w:t>
            </w:r>
            <w:r w:rsidRPr="006D58DD" w:rsidR="009F2243">
              <w:rPr>
                <w:i/>
                <w:sz w:val="28"/>
                <w:szCs w:val="28"/>
              </w:rPr>
              <w:t>euro</w:t>
            </w:r>
            <w:r w:rsidRPr="00822C8A">
              <w:rPr>
                <w:i/>
                <w:color w:val="000000" w:themeColor="text1"/>
                <w:sz w:val="28"/>
                <w:szCs w:val="28"/>
              </w:rPr>
              <w:t xml:space="preserve">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Pr="001A75DA" w:rsidR="007E2644" w:rsidP="007E2644" w:rsidRDefault="007E2644">
      <w:pPr>
        <w:pStyle w:val="BodyText"/>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104"/>
        <w:gridCol w:w="5529"/>
      </w:tblGrid>
      <w:tr w:rsidRPr="001A75DA" w:rsidR="007E2644" w:rsidTr="00DB1D6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1.</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Pamatojums</w:t>
            </w:r>
          </w:p>
        </w:tc>
        <w:tc>
          <w:tcPr>
            <w:tcW w:w="2974" w:type="pct"/>
            <w:tcBorders>
              <w:top w:val="outset" w:color="auto" w:sz="6" w:space="0"/>
              <w:left w:val="outset" w:color="auto" w:sz="6" w:space="0"/>
              <w:bottom w:val="outset" w:color="auto" w:sz="6" w:space="0"/>
              <w:right w:val="outset" w:color="auto" w:sz="6" w:space="0"/>
            </w:tcBorders>
            <w:hideMark/>
          </w:tcPr>
          <w:p w:rsidR="007E2644" w:rsidP="005355EE" w:rsidRDefault="007E2644">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w:t>
            </w:r>
            <w:r w:rsidRPr="00822C8A">
              <w:rPr>
                <w:color w:val="000000" w:themeColor="text1"/>
                <w:sz w:val="28"/>
                <w:szCs w:val="28"/>
              </w:rPr>
              <w:lastRenderedPageBreak/>
              <w:t xml:space="preserve">(turpmāk – Noteikumi Nr.806) 5.punktu, kas nosaka, ka Ministru kabinets pēc valsts kapitāla daļu turētāja pamatota priekšlikuma ar Ministru kabineta rīkojumu var atļaut noteikt kapitālsabiedrības </w:t>
            </w:r>
            <w:r w:rsidR="005355EE">
              <w:rPr>
                <w:color w:val="000000" w:themeColor="text1"/>
                <w:sz w:val="28"/>
                <w:szCs w:val="28"/>
              </w:rPr>
              <w:t>S</w:t>
            </w:r>
            <w:r w:rsidRPr="00822C8A">
              <w:rPr>
                <w:color w:val="000000" w:themeColor="text1"/>
                <w:sz w:val="28"/>
                <w:szCs w:val="28"/>
              </w:rPr>
              <w:t>tratēģijā atšķirīgu prognozējamo dividendēs izmaksājamo peļņas daļu (procentos no prognozētās tīrās peļņas), nekā tas norādīts Noteikumu Nr.806 3.punktā vai citos tiesību aktos.</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lastRenderedPageBreak/>
              <w:t>2.</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Pr="00400798" w:rsidR="007E2644" w:rsidP="00DB1D6D" w:rsidRDefault="007E2644">
            <w:pPr>
              <w:pStyle w:val="Default"/>
              <w:ind w:right="-1" w:firstLine="695"/>
              <w:jc w:val="both"/>
              <w:rPr>
                <w:rFonts w:eastAsia="Times New Roman"/>
                <w:color w:val="auto"/>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Pr>
                <w:color w:val="000000" w:themeColor="text1"/>
                <w:sz w:val="28"/>
                <w:szCs w:val="28"/>
              </w:rPr>
              <w:t>ā</w:t>
            </w:r>
            <w:r w:rsidRPr="00B213F4">
              <w:rPr>
                <w:color w:val="000000" w:themeColor="text1"/>
                <w:sz w:val="28"/>
                <w:szCs w:val="28"/>
              </w:rPr>
              <w:t xml:space="preserve"> noteiktais finanšu virsmērķis ir </w:t>
            </w:r>
            <w:r w:rsidRPr="00B213F4">
              <w:rPr>
                <w:sz w:val="28"/>
                <w:szCs w:val="28"/>
                <w:lang w:eastAsia="lv-LV"/>
              </w:rPr>
              <w:t>kultūras institūcijas finanšu stabilitāte,</w:t>
            </w:r>
            <w:r>
              <w:rPr>
                <w:lang w:eastAsia="lv-LV"/>
              </w:rPr>
              <w:t xml:space="preserve"> </w:t>
            </w:r>
            <w:r w:rsidRPr="00B213F4">
              <w:rPr>
                <w:color w:val="auto"/>
                <w:sz w:val="28"/>
                <w:szCs w:val="28"/>
              </w:rPr>
              <w:t xml:space="preserve">kurš sastāv no tādiem finanšu mērķiem kā plānoto pašu ieņēmumu īpatsvars </w:t>
            </w:r>
            <w:r>
              <w:rPr>
                <w:color w:val="auto"/>
                <w:sz w:val="28"/>
                <w:szCs w:val="28"/>
              </w:rPr>
              <w:t>pret apgrozījumu</w:t>
            </w:r>
            <w:r w:rsidRPr="00B213F4">
              <w:rPr>
                <w:color w:val="auto"/>
                <w:sz w:val="28"/>
                <w:szCs w:val="28"/>
              </w:rPr>
              <w:t xml:space="preserve">, pašu kapitāla atdeve, </w:t>
            </w:r>
            <w:r>
              <w:rPr>
                <w:sz w:val="28"/>
                <w:szCs w:val="28"/>
              </w:rPr>
              <w:t>pārējie saimnieciskās darbības</w:t>
            </w:r>
            <w:r w:rsidRPr="007773A4">
              <w:rPr>
                <w:sz w:val="28"/>
                <w:szCs w:val="28"/>
              </w:rPr>
              <w:t xml:space="preserve"> ieņēmumi</w:t>
            </w:r>
            <w:r w:rsidRPr="00B213F4">
              <w:rPr>
                <w:color w:val="auto"/>
                <w:sz w:val="28"/>
                <w:szCs w:val="28"/>
              </w:rPr>
              <w:t xml:space="preserve">, </w:t>
            </w:r>
            <w:r w:rsidRPr="00AB2CCF">
              <w:rPr>
                <w:color w:val="auto"/>
                <w:sz w:val="28"/>
                <w:szCs w:val="28"/>
              </w:rPr>
              <w:t>peļņa (</w:t>
            </w:r>
            <w:r w:rsidRPr="00AB2CCF">
              <w:rPr>
                <w:rFonts w:eastAsia="Times New Roman"/>
                <w:color w:val="auto"/>
                <w:sz w:val="28"/>
                <w:szCs w:val="28"/>
                <w:lang w:eastAsia="lv-LV"/>
              </w:rPr>
              <w:t xml:space="preserve">2018.gadā – </w:t>
            </w:r>
            <w:r>
              <w:rPr>
                <w:sz w:val="28"/>
                <w:szCs w:val="28"/>
              </w:rPr>
              <w:t>2</w:t>
            </w:r>
            <w:r>
              <w:rPr>
                <w:color w:val="auto"/>
                <w:sz w:val="28"/>
                <w:szCs w:val="28"/>
              </w:rPr>
              <w:t> </w:t>
            </w:r>
            <w:r>
              <w:rPr>
                <w:sz w:val="28"/>
                <w:szCs w:val="28"/>
              </w:rPr>
              <w:t>138</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sidR="006D58DD">
              <w:rPr>
                <w:color w:val="auto"/>
                <w:sz w:val="28"/>
                <w:szCs w:val="28"/>
              </w:rPr>
              <w:t>86</w:t>
            </w:r>
            <w:r w:rsidRPr="00AB2CCF">
              <w:rPr>
                <w:color w:val="auto"/>
                <w:sz w:val="28"/>
                <w:szCs w:val="28"/>
              </w:rPr>
              <w:t>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Pr>
                <w:color w:val="auto"/>
                <w:sz w:val="28"/>
                <w:szCs w:val="28"/>
              </w:rPr>
              <w:t>1 5</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w:t>
            </w:r>
            <w:r w:rsidRPr="00F3591D">
              <w:rPr>
                <w:rFonts w:eastAsia="Times New Roman"/>
                <w:color w:val="auto"/>
                <w:sz w:val="28"/>
                <w:szCs w:val="28"/>
                <w:lang w:eastAsia="lv-LV"/>
              </w:rPr>
              <w:t xml:space="preserve">2021.gadā – </w:t>
            </w:r>
            <w:r>
              <w:rPr>
                <w:rFonts w:eastAsia="Times New Roman"/>
                <w:color w:val="auto"/>
                <w:sz w:val="28"/>
                <w:szCs w:val="28"/>
              </w:rPr>
              <w:t>1</w:t>
            </w:r>
            <w:r>
              <w:rPr>
                <w:color w:val="auto"/>
                <w:sz w:val="28"/>
                <w:szCs w:val="28"/>
              </w:rPr>
              <w:t> </w:t>
            </w:r>
            <w:r>
              <w:rPr>
                <w:rFonts w:eastAsia="Times New Roman"/>
                <w:color w:val="auto"/>
                <w:sz w:val="28"/>
                <w:szCs w:val="28"/>
              </w:rPr>
              <w:t>5</w:t>
            </w:r>
            <w:r w:rsidRPr="00F3591D">
              <w:rPr>
                <w:rFonts w:eastAsia="Times New Roman"/>
                <w:color w:val="auto"/>
                <w:sz w:val="28"/>
                <w:szCs w:val="28"/>
              </w:rPr>
              <w:t>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Pr>
                <w:rFonts w:eastAsia="Times New Roman"/>
                <w:i/>
                <w:color w:val="auto"/>
                <w:sz w:val="28"/>
                <w:szCs w:val="28"/>
                <w:lang w:eastAsia="lv-LV"/>
              </w:rPr>
              <w:t xml:space="preserve"> </w:t>
            </w:r>
            <w:r w:rsidRPr="00F3591D">
              <w:rPr>
                <w:rFonts w:eastAsia="Times New Roman"/>
                <w:color w:val="auto"/>
                <w:sz w:val="28"/>
                <w:szCs w:val="28"/>
                <w:lang w:eastAsia="lv-LV"/>
              </w:rPr>
              <w:t>202</w:t>
            </w:r>
            <w:r>
              <w:rPr>
                <w:rFonts w:eastAsia="Times New Roman"/>
                <w:color w:val="auto"/>
                <w:sz w:val="28"/>
                <w:szCs w:val="28"/>
                <w:lang w:eastAsia="lv-LV"/>
              </w:rPr>
              <w:t>2</w:t>
            </w:r>
            <w:r w:rsidRPr="00F3591D">
              <w:rPr>
                <w:rFonts w:eastAsia="Times New Roman"/>
                <w:color w:val="auto"/>
                <w:sz w:val="28"/>
                <w:szCs w:val="28"/>
                <w:lang w:eastAsia="lv-LV"/>
              </w:rPr>
              <w:t xml:space="preserve">.gadā – </w:t>
            </w:r>
            <w:r>
              <w:rPr>
                <w:rFonts w:eastAsia="Times New Roman"/>
                <w:color w:val="auto"/>
                <w:sz w:val="28"/>
                <w:szCs w:val="28"/>
              </w:rPr>
              <w:t>1</w:t>
            </w:r>
            <w:r>
              <w:rPr>
                <w:color w:val="auto"/>
                <w:sz w:val="28"/>
                <w:szCs w:val="28"/>
              </w:rPr>
              <w:t> </w:t>
            </w:r>
            <w:r>
              <w:rPr>
                <w:rFonts w:eastAsia="Times New Roman"/>
                <w:color w:val="auto"/>
                <w:sz w:val="28"/>
                <w:szCs w:val="28"/>
              </w:rPr>
              <w:t>0</w:t>
            </w:r>
            <w:r w:rsidRPr="00F3591D">
              <w:rPr>
                <w:rFonts w:eastAsia="Times New Roman"/>
                <w:color w:val="auto"/>
                <w:sz w:val="28"/>
                <w:szCs w:val="28"/>
              </w:rPr>
              <w:t>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sidRPr="00F3591D">
              <w:rPr>
                <w:rFonts w:eastAsia="Times New Roman"/>
                <w:color w:val="auto"/>
                <w:sz w:val="28"/>
                <w:szCs w:val="28"/>
                <w:lang w:eastAsia="lv-LV"/>
              </w:rPr>
              <w:t>)</w:t>
            </w:r>
            <w:r w:rsidRPr="00F3591D">
              <w:rPr>
                <w:color w:val="auto"/>
                <w:sz w:val="28"/>
                <w:szCs w:val="28"/>
              </w:rPr>
              <w:t xml:space="preserve"> un kopējais likviditātes rādītājs (</w:t>
            </w:r>
            <w:r w:rsidRPr="00F3591D">
              <w:rPr>
                <w:rFonts w:eastAsia="Times New Roman"/>
                <w:color w:val="auto"/>
                <w:sz w:val="28"/>
                <w:szCs w:val="28"/>
                <w:lang w:eastAsia="lv-LV"/>
              </w:rPr>
              <w:t xml:space="preserve">2018.gadā – </w:t>
            </w:r>
            <w:r>
              <w:rPr>
                <w:sz w:val="28"/>
                <w:szCs w:val="28"/>
              </w:rPr>
              <w:t>0</w:t>
            </w:r>
            <w:r w:rsidR="001C6837">
              <w:rPr>
                <w:sz w:val="28"/>
                <w:szCs w:val="28"/>
              </w:rPr>
              <w:t>,</w:t>
            </w:r>
            <w:r>
              <w:rPr>
                <w:sz w:val="28"/>
                <w:szCs w:val="28"/>
              </w:rPr>
              <w:t>97</w:t>
            </w:r>
            <w:r w:rsidRPr="004E174A">
              <w:rPr>
                <w:rFonts w:eastAsia="Times New Roman"/>
                <w:color w:val="auto"/>
                <w:sz w:val="28"/>
                <w:szCs w:val="28"/>
                <w:lang w:eastAsia="lv-LV"/>
              </w:rPr>
              <w:t>,</w:t>
            </w:r>
            <w:r w:rsidRPr="00F3591D">
              <w:rPr>
                <w:rFonts w:eastAsia="Times New Roman"/>
                <w:color w:val="auto"/>
                <w:sz w:val="28"/>
                <w:szCs w:val="28"/>
                <w:lang w:eastAsia="lv-LV"/>
              </w:rPr>
              <w:t xml:space="preserve"> 2019.gadā – </w:t>
            </w:r>
            <w:r>
              <w:rPr>
                <w:sz w:val="28"/>
                <w:szCs w:val="28"/>
              </w:rPr>
              <w:t>0</w:t>
            </w:r>
            <w:r w:rsidR="001C6837">
              <w:rPr>
                <w:sz w:val="28"/>
                <w:szCs w:val="28"/>
              </w:rPr>
              <w:t>,</w:t>
            </w:r>
            <w:r>
              <w:rPr>
                <w:sz w:val="28"/>
                <w:szCs w:val="28"/>
              </w:rPr>
              <w:t>8</w:t>
            </w:r>
            <w:r w:rsidR="006D58DD">
              <w:rPr>
                <w:sz w:val="28"/>
                <w:szCs w:val="28"/>
              </w:rPr>
              <w:t>7</w:t>
            </w:r>
            <w:r w:rsidRPr="00F3591D">
              <w:rPr>
                <w:rFonts w:eastAsia="Times New Roman"/>
                <w:color w:val="auto"/>
                <w:sz w:val="28"/>
                <w:szCs w:val="28"/>
                <w:lang w:eastAsia="lv-LV"/>
              </w:rPr>
              <w:t xml:space="preserve">, 2020.gadā – </w:t>
            </w:r>
            <w:r w:rsidR="001C6837">
              <w:rPr>
                <w:sz w:val="28"/>
                <w:szCs w:val="28"/>
              </w:rPr>
              <w:t>0,</w:t>
            </w:r>
            <w:r w:rsidR="00F82A8E">
              <w:rPr>
                <w:sz w:val="28"/>
                <w:szCs w:val="28"/>
              </w:rPr>
              <w:t>72</w:t>
            </w:r>
            <w:r w:rsidRPr="00F3591D">
              <w:rPr>
                <w:rFonts w:eastAsia="Times New Roman"/>
                <w:color w:val="auto"/>
                <w:sz w:val="28"/>
                <w:szCs w:val="28"/>
                <w:lang w:eastAsia="lv-LV"/>
              </w:rPr>
              <w:t xml:space="preserve">, 2021.gadā – </w:t>
            </w:r>
            <w:r w:rsidR="001C6837">
              <w:rPr>
                <w:sz w:val="28"/>
                <w:szCs w:val="28"/>
              </w:rPr>
              <w:t>0,</w:t>
            </w:r>
            <w:r w:rsidR="00F82A8E">
              <w:rPr>
                <w:sz w:val="28"/>
                <w:szCs w:val="28"/>
              </w:rPr>
              <w:t>77</w:t>
            </w:r>
            <w:r w:rsidR="001C6837">
              <w:rPr>
                <w:sz w:val="28"/>
                <w:szCs w:val="28"/>
              </w:rPr>
              <w:t xml:space="preserve">, </w:t>
            </w:r>
            <w:r w:rsidRPr="00F3591D" w:rsidR="001C6837">
              <w:rPr>
                <w:rFonts w:eastAsia="Times New Roman"/>
                <w:color w:val="auto"/>
                <w:sz w:val="28"/>
                <w:szCs w:val="28"/>
                <w:lang w:eastAsia="lv-LV"/>
              </w:rPr>
              <w:t>202</w:t>
            </w:r>
            <w:r w:rsidR="001C6837">
              <w:rPr>
                <w:rFonts w:eastAsia="Times New Roman"/>
                <w:color w:val="auto"/>
                <w:sz w:val="28"/>
                <w:szCs w:val="28"/>
                <w:lang w:eastAsia="lv-LV"/>
              </w:rPr>
              <w:t>2</w:t>
            </w:r>
            <w:r w:rsidRPr="00F3591D" w:rsidR="001C6837">
              <w:rPr>
                <w:rFonts w:eastAsia="Times New Roman"/>
                <w:color w:val="auto"/>
                <w:sz w:val="28"/>
                <w:szCs w:val="28"/>
                <w:lang w:eastAsia="lv-LV"/>
              </w:rPr>
              <w:t xml:space="preserve">.gadā – </w:t>
            </w:r>
            <w:r w:rsidR="001C6837">
              <w:rPr>
                <w:sz w:val="28"/>
                <w:szCs w:val="28"/>
              </w:rPr>
              <w:t>0,8</w:t>
            </w:r>
            <w:r w:rsidR="00F82A8E">
              <w:rPr>
                <w:sz w:val="28"/>
                <w:szCs w:val="28"/>
              </w:rPr>
              <w:t>6</w:t>
            </w:r>
            <w:r w:rsidRPr="00F3591D">
              <w:rPr>
                <w:rFonts w:eastAsia="Times New Roman"/>
                <w:color w:val="auto"/>
                <w:sz w:val="28"/>
                <w:szCs w:val="28"/>
                <w:lang w:eastAsia="lv-LV"/>
              </w:rPr>
              <w:t>)</w:t>
            </w:r>
            <w:r w:rsidRPr="00F3591D">
              <w:rPr>
                <w:color w:val="auto"/>
                <w:sz w:val="28"/>
                <w:szCs w:val="28"/>
              </w:rPr>
              <w:t>.</w:t>
            </w:r>
            <w:r w:rsidRPr="00B14371">
              <w:rPr>
                <w:color w:val="auto"/>
                <w:sz w:val="28"/>
                <w:szCs w:val="28"/>
              </w:rPr>
              <w:t xml:space="preserve"> </w:t>
            </w:r>
            <w:r w:rsidRPr="00F3591D">
              <w:rPr>
                <w:color w:val="000000" w:themeColor="text1"/>
                <w:sz w:val="28"/>
                <w:szCs w:val="28"/>
              </w:rPr>
              <w:t>Tā kā kapitālsabiedrības</w:t>
            </w:r>
            <w:r w:rsidRPr="001A75DA">
              <w:rPr>
                <w:color w:val="000000" w:themeColor="text1"/>
                <w:sz w:val="28"/>
                <w:szCs w:val="28"/>
              </w:rPr>
              <w:t xml:space="preserve"> darbības primārais mērķis nav peļņas gūšana, bet gan </w:t>
            </w:r>
            <w:r w:rsidRPr="00400798">
              <w:rPr>
                <w:color w:val="auto"/>
                <w:sz w:val="28"/>
                <w:szCs w:val="28"/>
              </w:rPr>
              <w:t>deleģēto valsts pārvaldes uzdevumu veikšana atbilstoši Kultūras institūciju likuma 23.panta otrajai daļai, kapitālsabiedrības ikgadējo prognozējamo dividendēs izmaksājamo peļņas daļu nepieciešams novirzīt kapitālsabiedrībai deleģēto valsts pārvaldes uzdevumu kultūras jomā nodrošināšanas izdevumu segšanai</w:t>
            </w:r>
            <w:r w:rsidRPr="00400798">
              <w:rPr>
                <w:rFonts w:eastAsia="Times New Roman"/>
                <w:color w:val="auto"/>
                <w:sz w:val="28"/>
                <w:szCs w:val="28"/>
              </w:rPr>
              <w:t>.</w:t>
            </w:r>
          </w:p>
          <w:p w:rsidRPr="00545196" w:rsidR="00545196" w:rsidP="00DB1D6D" w:rsidRDefault="00545196">
            <w:pPr>
              <w:ind w:right="-1" w:firstLine="695"/>
              <w:jc w:val="both"/>
              <w:rPr>
                <w:color w:val="000000" w:themeColor="text1"/>
                <w:sz w:val="28"/>
                <w:szCs w:val="28"/>
              </w:rPr>
            </w:pPr>
            <w:r w:rsidRPr="00545196">
              <w:rPr>
                <w:sz w:val="28"/>
                <w:szCs w:val="28"/>
              </w:rPr>
              <w:t xml:space="preserve">Atbilstoši </w:t>
            </w:r>
            <w:r w:rsidRPr="00545196">
              <w:rPr>
                <w:rFonts w:eastAsiaTheme="minorHAnsi"/>
                <w:sz w:val="28"/>
                <w:szCs w:val="28"/>
                <w:lang w:eastAsia="en-US"/>
              </w:rPr>
              <w:t>Noteikumu Nr.806 3.punktam, m</w:t>
            </w:r>
            <w:r w:rsidRPr="00545196">
              <w:rPr>
                <w:sz w:val="28"/>
                <w:szCs w:val="28"/>
              </w:rPr>
              <w:t>inimālā prognozējamā peļņas daļa, kas izmaksājama dividendēs, un dividendēs izmaksājamā peļņas daļa ir 80 </w:t>
            </w:r>
            <w:r w:rsidR="00756C55">
              <w:rPr>
                <w:sz w:val="28"/>
                <w:szCs w:val="28"/>
              </w:rPr>
              <w:t>procenti</w:t>
            </w:r>
            <w:r w:rsidRPr="00545196">
              <w:rPr>
                <w:sz w:val="28"/>
                <w:szCs w:val="28"/>
              </w:rPr>
              <w:t xml:space="preserve"> no kapitālsabiedrības pārskata gada peļņas, ja </w:t>
            </w:r>
            <w:r w:rsidR="00D61ACA">
              <w:rPr>
                <w:sz w:val="28"/>
                <w:szCs w:val="28"/>
              </w:rPr>
              <w:t>kapitālsabiedrības vidēja termiņa</w:t>
            </w:r>
            <w:r w:rsidRPr="00545196">
              <w:rPr>
                <w:sz w:val="28"/>
                <w:szCs w:val="28"/>
              </w:rPr>
              <w:t xml:space="preserve"> darbības</w:t>
            </w:r>
            <w:r>
              <w:t xml:space="preserve"> </w:t>
            </w:r>
            <w:r w:rsidRPr="00545196">
              <w:rPr>
                <w:sz w:val="28"/>
                <w:szCs w:val="28"/>
              </w:rPr>
              <w:t>stratēģijā nav noteikts citādi.</w:t>
            </w:r>
          </w:p>
          <w:p w:rsidRPr="001A75DA" w:rsidR="007E2644" w:rsidP="00DB1D6D" w:rsidRDefault="007E2644">
            <w:pPr>
              <w:pStyle w:val="tv2132"/>
              <w:spacing w:line="240" w:lineRule="auto"/>
              <w:ind w:right="-1" w:firstLine="695"/>
              <w:jc w:val="both"/>
              <w:rPr>
                <w:color w:val="000000" w:themeColor="text1"/>
                <w:sz w:val="28"/>
                <w:szCs w:val="28"/>
              </w:rPr>
            </w:pPr>
            <w:r w:rsidRPr="004D3F68">
              <w:rPr>
                <w:color w:val="auto"/>
                <w:sz w:val="28"/>
                <w:szCs w:val="28"/>
              </w:rPr>
              <w:t>Likuma „</w:t>
            </w:r>
            <w:r w:rsidRPr="004D3F68">
              <w:rPr>
                <w:bCs/>
                <w:color w:val="auto"/>
                <w:sz w:val="28"/>
                <w:szCs w:val="28"/>
              </w:rPr>
              <w:t>Par vidēja termiņa budžeta ietvaru 2018., 2019. un 2020.gadam</w:t>
            </w:r>
            <w:r w:rsidRPr="004D3F68">
              <w:rPr>
                <w:color w:val="auto"/>
                <w:sz w:val="28"/>
                <w:szCs w:val="28"/>
              </w:rPr>
              <w:t xml:space="preserve">” </w:t>
            </w:r>
            <w:r w:rsidRPr="004D3F68">
              <w:rPr>
                <w:bCs/>
                <w:color w:val="auto"/>
                <w:sz w:val="28"/>
                <w:szCs w:val="28"/>
              </w:rPr>
              <w:t>24.panta trešā daļa nosaka,</w:t>
            </w:r>
            <w:r w:rsidRPr="00822C8A">
              <w:rPr>
                <w:bCs/>
                <w:color w:val="000000" w:themeColor="text1"/>
                <w:sz w:val="28"/>
                <w:szCs w:val="28"/>
              </w:rPr>
              <w:t xml:space="preserve"> ka </w:t>
            </w:r>
            <w:r w:rsidRPr="00822C8A">
              <w:rPr>
                <w:color w:val="000000" w:themeColor="text1"/>
                <w:sz w:val="28"/>
                <w:szCs w:val="28"/>
              </w:rPr>
              <w:t xml:space="preserve">Ministru kabinets </w:t>
            </w:r>
            <w:r w:rsidRPr="00822C8A">
              <w:rPr>
                <w:color w:val="000000" w:themeColor="text1"/>
                <w:sz w:val="28"/>
                <w:szCs w:val="28"/>
              </w:rPr>
              <w:lastRenderedPageBreak/>
              <w:t>normatīvajos aktos noteiktajos gadījumos un kārtībā var pieņemt lēmumu par atšķirīgu minimālo dividendēs izmaksājamo peļņas daļu.</w:t>
            </w:r>
          </w:p>
          <w:p w:rsidRPr="001A75DA" w:rsidR="007E2644" w:rsidP="00DB1D6D" w:rsidRDefault="007E2644">
            <w:pPr>
              <w:pStyle w:val="tv2132"/>
              <w:spacing w:line="240" w:lineRule="auto"/>
              <w:ind w:right="-1" w:firstLine="0"/>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w:t>
            </w:r>
            <w:r w:rsidR="005355EE">
              <w:rPr>
                <w:rFonts w:eastAsiaTheme="minorHAnsi"/>
                <w:color w:val="000000" w:themeColor="text1"/>
                <w:sz w:val="28"/>
                <w:szCs w:val="28"/>
                <w:lang w:eastAsia="en-US"/>
              </w:rPr>
              <w:t>S</w:t>
            </w:r>
            <w:r w:rsidRPr="001A75DA">
              <w:rPr>
                <w:rFonts w:eastAsiaTheme="minorHAnsi"/>
                <w:color w:val="000000" w:themeColor="text1"/>
                <w:sz w:val="28"/>
                <w:szCs w:val="28"/>
                <w:lang w:eastAsia="en-US"/>
              </w:rPr>
              <w:t xml:space="preserve">tratēģijā atšķirīgu prognozējamo dividendēs izmaksājamo peļņas daļu (procentos no prognozētās tīrās peļņas), nekā tas norādīts Noteikumu Nr.806 </w:t>
            </w:r>
            <w:hyperlink w:tgtFrame="_blank" w:history="1" w:anchor="p3" r:id="rId8">
              <w:r>
                <w:rPr>
                  <w:rStyle w:val="Hyperlink"/>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w:tgtFrame="_blank" w:history="1" w:anchor="p5" r:id="rId9">
              <w:r>
                <w:rPr>
                  <w:rStyle w:val="Hyperlink"/>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7E2644" w:rsidP="00DB1D6D" w:rsidRDefault="007E2644">
            <w:pPr>
              <w:autoSpaceDE w:val="0"/>
              <w:autoSpaceDN w:val="0"/>
              <w:adjustRightInd w:val="0"/>
              <w:ind w:right="-1" w:firstLine="695"/>
              <w:jc w:val="both"/>
              <w:rPr>
                <w:rFonts w:eastAsiaTheme="minorHAnsi"/>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w:t>
            </w:r>
            <w:r w:rsidRPr="00A84244">
              <w:rPr>
                <w:rFonts w:eastAsiaTheme="minorHAnsi"/>
                <w:sz w:val="28"/>
                <w:szCs w:val="28"/>
              </w:rPr>
              <w:t xml:space="preserve">kapitālsabiedrības nepieciešamību </w:t>
            </w:r>
            <w:r w:rsidRPr="00064B13">
              <w:rPr>
                <w:rFonts w:eastAsiaTheme="minorHAnsi"/>
                <w:sz w:val="28"/>
                <w:szCs w:val="28"/>
              </w:rPr>
              <w:t xml:space="preserve">veikt </w:t>
            </w:r>
            <w:r w:rsidR="00064B13">
              <w:rPr>
                <w:rFonts w:eastAsiaTheme="minorHAnsi"/>
                <w:sz w:val="28"/>
                <w:szCs w:val="28"/>
              </w:rPr>
              <w:t xml:space="preserve">investīcijas </w:t>
            </w:r>
            <w:r w:rsidR="00064B13">
              <w:rPr>
                <w:rFonts w:eastAsiaTheme="minorHAnsi"/>
                <w:color w:val="000000" w:themeColor="text1"/>
                <w:sz w:val="28"/>
                <w:szCs w:val="28"/>
              </w:rPr>
              <w:t>mūzikas instrumentu</w:t>
            </w:r>
            <w:r w:rsidRPr="00822C8A" w:rsidR="00064B13">
              <w:rPr>
                <w:rFonts w:eastAsiaTheme="minorHAnsi"/>
                <w:color w:val="000000" w:themeColor="text1"/>
                <w:sz w:val="28"/>
                <w:szCs w:val="28"/>
              </w:rPr>
              <w:t xml:space="preserve"> </w:t>
            </w:r>
            <w:r w:rsidR="00064B13">
              <w:rPr>
                <w:rFonts w:eastAsiaTheme="minorHAnsi"/>
                <w:color w:val="000000" w:themeColor="text1"/>
                <w:sz w:val="28"/>
                <w:szCs w:val="28"/>
              </w:rPr>
              <w:t>iegādē</w:t>
            </w:r>
            <w:r w:rsidRPr="00A84244" w:rsidR="00064B13">
              <w:rPr>
                <w:rFonts w:eastAsiaTheme="minorHAnsi"/>
                <w:sz w:val="28"/>
                <w:szCs w:val="28"/>
              </w:rPr>
              <w:t xml:space="preserve"> un </w:t>
            </w:r>
            <w:r w:rsidR="00064B13">
              <w:rPr>
                <w:rFonts w:eastAsiaTheme="minorHAnsi"/>
                <w:sz w:val="28"/>
                <w:szCs w:val="28"/>
              </w:rPr>
              <w:t xml:space="preserve">orķestra </w:t>
            </w:r>
            <w:r w:rsidRPr="00A84244" w:rsidR="00064B13">
              <w:rPr>
                <w:rFonts w:eastAsiaTheme="minorHAnsi"/>
                <w:sz w:val="28"/>
                <w:szCs w:val="28"/>
              </w:rPr>
              <w:t>mākslinieciskajā darbībā</w:t>
            </w:r>
            <w:r w:rsidRPr="00064B13">
              <w:rPr>
                <w:rFonts w:eastAsiaTheme="minorHAnsi"/>
                <w:sz w:val="28"/>
                <w:szCs w:val="28"/>
              </w:rPr>
              <w:t>,</w:t>
            </w:r>
            <w:r w:rsidRPr="00A84244">
              <w:rPr>
                <w:rFonts w:eastAsiaTheme="minorHAnsi"/>
                <w:sz w:val="28"/>
                <w:szCs w:val="28"/>
              </w:rPr>
              <w:t xml:space="preserve"> finansējums, ko kapitālsabiedrība spēj piesaistīt pašu spēkiem, vidējā termiņa darbības ietvaros ir jāsaglabā kapitālsabiedrības rīcībā </w:t>
            </w:r>
            <w:r w:rsidRPr="00400798">
              <w:rPr>
                <w:rFonts w:eastAsiaTheme="minorHAnsi"/>
                <w:sz w:val="28"/>
                <w:szCs w:val="28"/>
              </w:rPr>
              <w:t xml:space="preserve">tās </w:t>
            </w:r>
            <w:r w:rsidRPr="00400798">
              <w:rPr>
                <w:sz w:val="28"/>
                <w:szCs w:val="28"/>
              </w:rPr>
              <w:t>deleģēto valsts pārvaldes uzdevumu kultūras jomā nodrošināšanas izdevumu segšanai</w:t>
            </w:r>
            <w:r w:rsidRPr="00400798">
              <w:rPr>
                <w:rFonts w:eastAsiaTheme="minorHAnsi"/>
                <w:sz w:val="28"/>
                <w:szCs w:val="28"/>
              </w:rPr>
              <w:t>, lai</w:t>
            </w:r>
            <w:r w:rsidRPr="00A84244">
              <w:rPr>
                <w:rFonts w:eastAsiaTheme="minorHAnsi"/>
                <w:sz w:val="28"/>
                <w:szCs w:val="28"/>
              </w:rPr>
              <w:t xml:space="preserve"> </w:t>
            </w:r>
            <w:r w:rsidRPr="00064B13">
              <w:rPr>
                <w:rFonts w:eastAsia="Times New Roman"/>
                <w:sz w:val="28"/>
                <w:szCs w:val="28"/>
              </w:rPr>
              <w:t xml:space="preserve">nodrošinātu </w:t>
            </w:r>
            <w:r w:rsidRPr="00064B13" w:rsidR="00064B13">
              <w:rPr>
                <w:rFonts w:eastAsia="Times New Roman"/>
                <w:sz w:val="28"/>
                <w:szCs w:val="28"/>
              </w:rPr>
              <w:t>nacionālā kultūras mantojuma saglabāšanu profesionālās simfoniskās mūzikas jomā, Latvijas simfoniskās mūzikas kultūras nostiprināšanu, attīstīšanu, aktualizēšanu un popularizēšanu Latvijā un ārvalstīs, kā arī pasaules mūzikas kultūras sasniegumu pieejamības nodrošināšanu Latvijā</w:t>
            </w:r>
            <w:r w:rsidRPr="00064B13">
              <w:rPr>
                <w:rFonts w:eastAsiaTheme="minorHAnsi"/>
                <w:sz w:val="28"/>
                <w:szCs w:val="28"/>
              </w:rPr>
              <w:t>,</w:t>
            </w:r>
            <w:r w:rsidRPr="00A84244">
              <w:rPr>
                <w:rFonts w:eastAsiaTheme="minorHAnsi"/>
                <w:sz w:val="28"/>
                <w:szCs w:val="28"/>
              </w:rPr>
              <w:t xml:space="preserve"> kas tika noteikts </w:t>
            </w:r>
            <w:r w:rsidRPr="00A84244">
              <w:rPr>
                <w:sz w:val="28"/>
                <w:szCs w:val="28"/>
              </w:rPr>
              <w:t>Ministru</w:t>
            </w:r>
            <w:r w:rsidRPr="00822C8A">
              <w:rPr>
                <w:color w:val="000000" w:themeColor="text1"/>
                <w:sz w:val="28"/>
                <w:szCs w:val="28"/>
              </w:rPr>
              <w:t xml:space="preserve">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0E6510">
              <w:rPr>
                <w:sz w:val="28"/>
                <w:szCs w:val="28"/>
              </w:rPr>
              <w:t xml:space="preserve">Stratēģijā minētajā laika periodā kapitālsabiedrībai ir nepieciešami </w:t>
            </w:r>
            <w:r w:rsidRPr="00400798">
              <w:rPr>
                <w:sz w:val="28"/>
                <w:szCs w:val="28"/>
              </w:rPr>
              <w:t xml:space="preserve">ieguldījumi </w:t>
            </w:r>
            <w:r w:rsidRPr="00400798" w:rsidR="004C4F81">
              <w:rPr>
                <w:sz w:val="28"/>
                <w:szCs w:val="28"/>
              </w:rPr>
              <w:t xml:space="preserve">mūzikas instrumentu un tā aprīkojuma iegādei, kā arī </w:t>
            </w:r>
            <w:r w:rsidRPr="00400798">
              <w:rPr>
                <w:rFonts w:eastAsia="Times New Roman"/>
                <w:sz w:val="28"/>
                <w:szCs w:val="28"/>
              </w:rPr>
              <w:t xml:space="preserve">scenogrāfijas izdevumu segšanai </w:t>
            </w:r>
            <w:r w:rsidRPr="00297499" w:rsidR="004C4F81">
              <w:rPr>
                <w:rFonts w:eastAsia="Times New Roman"/>
                <w:sz w:val="28"/>
                <w:szCs w:val="28"/>
              </w:rPr>
              <w:t>32</w:t>
            </w:r>
            <w:r w:rsidRPr="00297499">
              <w:rPr>
                <w:rFonts w:eastAsia="Times New Roman"/>
                <w:sz w:val="28"/>
                <w:szCs w:val="28"/>
              </w:rPr>
              <w:t> </w:t>
            </w:r>
            <w:r w:rsidRPr="00297499" w:rsidR="004C4F81">
              <w:rPr>
                <w:rFonts w:eastAsia="Times New Roman"/>
                <w:sz w:val="28"/>
                <w:szCs w:val="28"/>
              </w:rPr>
              <w:t>4</w:t>
            </w:r>
            <w:r w:rsidRPr="00297499">
              <w:rPr>
                <w:rFonts w:eastAsia="Times New Roman"/>
                <w:sz w:val="28"/>
                <w:szCs w:val="28"/>
              </w:rPr>
              <w:t>00 </w:t>
            </w:r>
            <w:r w:rsidRPr="00297499">
              <w:rPr>
                <w:i/>
                <w:sz w:val="28"/>
                <w:szCs w:val="28"/>
              </w:rPr>
              <w:t>euro</w:t>
            </w:r>
            <w:r w:rsidRPr="00297499">
              <w:rPr>
                <w:sz w:val="28"/>
                <w:szCs w:val="28"/>
              </w:rPr>
              <w:t xml:space="preserve"> apmērā,</w:t>
            </w:r>
            <w:r w:rsidRPr="00400798">
              <w:rPr>
                <w:color w:val="FF0000"/>
                <w:sz w:val="28"/>
                <w:szCs w:val="28"/>
              </w:rPr>
              <w:t xml:space="preserve"> </w:t>
            </w:r>
            <w:r w:rsidRPr="00297499">
              <w:rPr>
                <w:sz w:val="28"/>
                <w:szCs w:val="28"/>
              </w:rPr>
              <w:t xml:space="preserve">no </w:t>
            </w:r>
            <w:r w:rsidRPr="00297499">
              <w:rPr>
                <w:sz w:val="28"/>
                <w:szCs w:val="28"/>
              </w:rPr>
              <w:lastRenderedPageBreak/>
              <w:t xml:space="preserve">kuriem </w:t>
            </w:r>
            <w:r w:rsidR="00CD4732">
              <w:rPr>
                <w:sz w:val="28"/>
                <w:szCs w:val="28"/>
              </w:rPr>
              <w:t>3</w:t>
            </w:r>
            <w:r w:rsidRPr="00B15A77" w:rsidR="00D61ACA">
              <w:rPr>
                <w:sz w:val="28"/>
                <w:szCs w:val="28"/>
              </w:rPr>
              <w:t> </w:t>
            </w:r>
            <w:r w:rsidR="00CD4732">
              <w:rPr>
                <w:sz w:val="28"/>
                <w:szCs w:val="28"/>
              </w:rPr>
              <w:t>088</w:t>
            </w:r>
            <w:r w:rsidRPr="00B15A77" w:rsidR="00D61ACA">
              <w:rPr>
                <w:sz w:val="28"/>
                <w:szCs w:val="28"/>
              </w:rPr>
              <w:t> </w:t>
            </w:r>
            <w:r w:rsidRPr="00B15A77" w:rsidR="00D61ACA">
              <w:rPr>
                <w:i/>
                <w:sz w:val="28"/>
                <w:szCs w:val="28"/>
              </w:rPr>
              <w:t>euro</w:t>
            </w:r>
            <w:r w:rsidRPr="00297499">
              <w:rPr>
                <w:sz w:val="28"/>
                <w:szCs w:val="28"/>
              </w:rPr>
              <w:t xml:space="preserve"> </w:t>
            </w:r>
            <w:r w:rsidRPr="004C4F81">
              <w:rPr>
                <w:sz w:val="28"/>
                <w:szCs w:val="28"/>
              </w:rPr>
              <w:t>apmērā plānots segt no dividendēm, bet pārējo summu no pašu ieņēmumiem.</w:t>
            </w:r>
            <w:r w:rsidRPr="00833C5E">
              <w:rPr>
                <w:sz w:val="28"/>
                <w:szCs w:val="28"/>
              </w:rPr>
              <w:t xml:space="preserve"> </w:t>
            </w:r>
            <w:r w:rsidRPr="0055153F">
              <w:rPr>
                <w:rFonts w:eastAsiaTheme="minorHAnsi"/>
                <w:sz w:val="28"/>
                <w:szCs w:val="28"/>
              </w:rPr>
              <w:t xml:space="preserve">Kapitālsabiedrība papildus investīcijas </w:t>
            </w:r>
            <w:r w:rsidRPr="0055153F" w:rsidR="00623707">
              <w:rPr>
                <w:sz w:val="28"/>
                <w:szCs w:val="28"/>
              </w:rPr>
              <w:t xml:space="preserve">mūzikas instrumentu un tā aprīkojuma iegādei, kā arī </w:t>
            </w:r>
            <w:r w:rsidRPr="0055153F" w:rsidR="00623707">
              <w:rPr>
                <w:rFonts w:eastAsia="Times New Roman"/>
                <w:sz w:val="28"/>
                <w:szCs w:val="28"/>
              </w:rPr>
              <w:t xml:space="preserve">scenogrāfijas izdevumu segšanai </w:t>
            </w:r>
            <w:r w:rsidRPr="0055153F">
              <w:rPr>
                <w:rFonts w:eastAsiaTheme="minorHAnsi"/>
                <w:sz w:val="28"/>
                <w:szCs w:val="28"/>
              </w:rPr>
              <w:t>veic pēc pārpalikuma principa, j</w:t>
            </w:r>
            <w:r w:rsidRPr="00A84244">
              <w:rPr>
                <w:rFonts w:eastAsiaTheme="minorHAnsi"/>
                <w:sz w:val="28"/>
                <w:szCs w:val="28"/>
              </w:rPr>
              <w:t xml:space="preserve">o līdzšinējais valsts finansējums nav pietiekams </w:t>
            </w:r>
            <w:r w:rsidRPr="00822C8A" w:rsidR="0055153F">
              <w:rPr>
                <w:rFonts w:eastAsiaTheme="minorHAnsi"/>
                <w:color w:val="000000" w:themeColor="text1"/>
                <w:sz w:val="28"/>
                <w:szCs w:val="28"/>
              </w:rPr>
              <w:t xml:space="preserve">esošo kapitālsabiedrības pamatfunkciju nodrošināšanai un tas neparedz nekādas regulāras investīcijas </w:t>
            </w:r>
            <w:r w:rsidR="0055153F">
              <w:rPr>
                <w:rFonts w:eastAsiaTheme="minorHAnsi"/>
                <w:color w:val="000000" w:themeColor="text1"/>
                <w:sz w:val="28"/>
                <w:szCs w:val="28"/>
              </w:rPr>
              <w:t>mūzikas instrumentu</w:t>
            </w:r>
            <w:r w:rsidRPr="00822C8A" w:rsidR="0055153F">
              <w:rPr>
                <w:rFonts w:eastAsiaTheme="minorHAnsi"/>
                <w:color w:val="000000" w:themeColor="text1"/>
                <w:sz w:val="28"/>
                <w:szCs w:val="28"/>
              </w:rPr>
              <w:t xml:space="preserve"> </w:t>
            </w:r>
            <w:r w:rsidR="0055153F">
              <w:rPr>
                <w:rFonts w:eastAsiaTheme="minorHAnsi"/>
                <w:color w:val="000000" w:themeColor="text1"/>
                <w:sz w:val="28"/>
                <w:szCs w:val="28"/>
              </w:rPr>
              <w:t>iegādē</w:t>
            </w:r>
            <w:r w:rsidRPr="00A84244" w:rsidR="0055153F">
              <w:rPr>
                <w:rFonts w:eastAsiaTheme="minorHAnsi"/>
                <w:sz w:val="28"/>
                <w:szCs w:val="28"/>
              </w:rPr>
              <w:t xml:space="preserve"> </w:t>
            </w:r>
            <w:r w:rsidRPr="00A84244">
              <w:rPr>
                <w:rFonts w:eastAsiaTheme="minorHAnsi"/>
                <w:sz w:val="28"/>
                <w:szCs w:val="28"/>
              </w:rPr>
              <w:t xml:space="preserve">un </w:t>
            </w:r>
            <w:r w:rsidR="0055153F">
              <w:rPr>
                <w:rFonts w:eastAsiaTheme="minorHAnsi"/>
                <w:sz w:val="28"/>
                <w:szCs w:val="28"/>
              </w:rPr>
              <w:t xml:space="preserve">orķestra </w:t>
            </w:r>
            <w:r w:rsidRPr="00A84244">
              <w:rPr>
                <w:rFonts w:eastAsiaTheme="minorHAnsi"/>
                <w:sz w:val="28"/>
                <w:szCs w:val="28"/>
              </w:rPr>
              <w:t xml:space="preserve">mākslinieciskajā darbībā, </w:t>
            </w:r>
            <w:r w:rsidRPr="00822C8A" w:rsidR="0055153F">
              <w:rPr>
                <w:rFonts w:eastAsiaTheme="minorHAnsi"/>
                <w:color w:val="000000" w:themeColor="text1"/>
                <w:sz w:val="28"/>
                <w:szCs w:val="28"/>
              </w:rPr>
              <w:t>apdraudot kapitālsabiedrības spēju darboties nākotnē</w:t>
            </w:r>
            <w:r w:rsidRPr="00A84244">
              <w:rPr>
                <w:rFonts w:eastAsiaTheme="minorHAnsi"/>
                <w:sz w:val="28"/>
                <w:szCs w:val="28"/>
              </w:rPr>
              <w:t>.</w:t>
            </w:r>
          </w:p>
          <w:p w:rsidRPr="00064B13" w:rsidR="007E2644" w:rsidP="00DB1D6D" w:rsidRDefault="007E2644">
            <w:pPr>
              <w:ind w:right="-1" w:firstLine="695"/>
              <w:jc w:val="both"/>
              <w:rPr>
                <w:sz w:val="28"/>
                <w:szCs w:val="28"/>
              </w:rPr>
            </w:pPr>
            <w:r w:rsidRPr="002030F6">
              <w:rPr>
                <w:sz w:val="28"/>
                <w:szCs w:val="28"/>
              </w:rPr>
              <w:t xml:space="preserve">Ar kapitālsabiedrību, pamatojoties uz Kultūras institūciju likuma 23.panta otro daļu, </w:t>
            </w:r>
            <w:r w:rsidRPr="0055153F">
              <w:rPr>
                <w:rFonts w:eastAsia="Arial Unicode MS"/>
                <w:sz w:val="28"/>
                <w:szCs w:val="28"/>
              </w:rPr>
              <w:t>2018.gada 2.janvārī noslēgts līdzdarbības līgums Nr.2.5.-8-</w:t>
            </w:r>
            <w:r w:rsidRPr="0055153F" w:rsidR="0055153F">
              <w:rPr>
                <w:rFonts w:eastAsia="Arial Unicode MS"/>
                <w:sz w:val="28"/>
                <w:szCs w:val="28"/>
              </w:rPr>
              <w:t>5</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w:t>
            </w:r>
            <w:r w:rsidRPr="00400798">
              <w:rPr>
                <w:sz w:val="28"/>
                <w:szCs w:val="28"/>
              </w:rPr>
              <w:t>valsts deleģētus pārvaldes uzdevumus</w:t>
            </w:r>
            <w:r w:rsidRPr="00822C8A">
              <w:rPr>
                <w:color w:val="000000" w:themeColor="text1"/>
                <w:sz w:val="28"/>
                <w:szCs w:val="28"/>
              </w:rPr>
              <w:t xml:space="preserve"> kultūras jomā, kuru ietvaros kapitālsabiedrības tiešie </w:t>
            </w:r>
            <w:r w:rsidRPr="00064B13">
              <w:rPr>
                <w:color w:val="000000" w:themeColor="text1"/>
                <w:sz w:val="28"/>
                <w:szCs w:val="28"/>
              </w:rPr>
              <w:t xml:space="preserve">uzdevumi ietver </w:t>
            </w:r>
            <w:r w:rsidRPr="00064B13">
              <w:rPr>
                <w:sz w:val="28"/>
                <w:szCs w:val="28"/>
              </w:rPr>
              <w:t xml:space="preserve">radīt </w:t>
            </w:r>
            <w:r w:rsidRPr="00064B13" w:rsidR="00064B13">
              <w:rPr>
                <w:sz w:val="28"/>
                <w:szCs w:val="28"/>
              </w:rPr>
              <w:t>daudzveidīgas un kvalitatīvas profesionālās simfoniskās mūzikas koncertprogrammas, nodrošinot repertuāra plašumu un veicinot jaunradi, kā arī nacionālās identitātes nostiprināšanu</w:t>
            </w:r>
            <w:r w:rsidRPr="00064B13">
              <w:rPr>
                <w:sz w:val="28"/>
                <w:szCs w:val="28"/>
              </w:rPr>
              <w:t xml:space="preserve"> </w:t>
            </w:r>
          </w:p>
          <w:p w:rsidR="007E2644" w:rsidP="00DB1D6D" w:rsidRDefault="007E2644">
            <w:pPr>
              <w:pStyle w:val="Default"/>
              <w:ind w:right="-1" w:firstLine="567"/>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w:t>
            </w:r>
            <w:r w:rsidR="008C77CB">
              <w:rPr>
                <w:bCs/>
                <w:color w:val="000000" w:themeColor="text1"/>
                <w:sz w:val="28"/>
                <w:szCs w:val="28"/>
              </w:rPr>
              <w:t xml:space="preserve"> </w:t>
            </w:r>
            <w:r w:rsidRPr="00822C8A" w:rsidR="008C77CB">
              <w:rPr>
                <w:color w:val="000000" w:themeColor="text1"/>
                <w:sz w:val="28"/>
                <w:szCs w:val="28"/>
              </w:rPr>
              <w:t xml:space="preserve">(turpmāk – </w:t>
            </w:r>
            <w:r w:rsidR="008C77CB">
              <w:rPr>
                <w:color w:val="000000" w:themeColor="text1"/>
                <w:sz w:val="28"/>
                <w:szCs w:val="28"/>
              </w:rPr>
              <w:t>Līgums</w:t>
            </w:r>
            <w:r w:rsidRPr="00822C8A" w:rsidR="008C77CB">
              <w:rPr>
                <w:color w:val="000000" w:themeColor="text1"/>
                <w:sz w:val="28"/>
                <w:szCs w:val="28"/>
              </w:rPr>
              <w:t>)</w:t>
            </w:r>
            <w:r w:rsidRPr="001A75DA">
              <w:rPr>
                <w:bCs/>
                <w:color w:val="000000" w:themeColor="text1"/>
                <w:sz w:val="28"/>
                <w:szCs w:val="28"/>
              </w:rPr>
              <w:t>,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w:t>
            </w:r>
            <w:r w:rsidRPr="00822C8A">
              <w:rPr>
                <w:color w:val="000000" w:themeColor="text1"/>
                <w:sz w:val="28"/>
                <w:szCs w:val="28"/>
              </w:rPr>
              <w:lastRenderedPageBreak/>
              <w:t>Līguma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7E2644" w:rsidP="00DB1D6D" w:rsidRDefault="007E2644">
            <w:pPr>
              <w:pStyle w:val="Default"/>
              <w:ind w:firstLine="567"/>
              <w:jc w:val="both"/>
              <w:rPr>
                <w:color w:val="000000" w:themeColor="text1"/>
                <w:sz w:val="28"/>
                <w:szCs w:val="28"/>
                <w:lang w:eastAsia="lv-LV"/>
              </w:rPr>
            </w:pPr>
            <w:r w:rsidRPr="00822C8A">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xml:space="preserve">” ir ne vairāk kā 50 procentus no kopējiem kultūras iestādes </w:t>
            </w:r>
            <w:r w:rsidRPr="00822C8A">
              <w:rPr>
                <w:color w:val="000000" w:themeColor="text1"/>
                <w:sz w:val="28"/>
                <w:szCs w:val="28"/>
              </w:rPr>
              <w:lastRenderedPageBreak/>
              <w:t>izdevumiem (biļešu ieņēmumi, maksas pakalpojumu u.c. pašu ieņēmumi).</w:t>
            </w:r>
          </w:p>
          <w:p w:rsidRPr="001753A2" w:rsidR="001753A2" w:rsidP="001753A2" w:rsidRDefault="001753A2">
            <w:pPr>
              <w:pStyle w:val="Heading10"/>
              <w:keepNext/>
              <w:shd w:val="clear" w:color="auto" w:fill="auto"/>
              <w:spacing w:line="240" w:lineRule="auto"/>
              <w:ind w:firstLine="567"/>
              <w:jc w:val="both"/>
              <w:rPr>
                <w:rFonts w:ascii="Times New Roman" w:hAnsi="Times New Roman" w:cs="Times New Roman"/>
                <w:sz w:val="28"/>
                <w:szCs w:val="28"/>
              </w:rPr>
            </w:pPr>
            <w:r w:rsidRPr="001753A2">
              <w:rPr>
                <w:rFonts w:ascii="Times New Roman" w:hAnsi="Times New Roman" w:cs="Times New Roman"/>
                <w:sz w:val="28"/>
                <w:szCs w:val="28"/>
              </w:rPr>
              <w:t>Saskaņā ar 2019.gada darbības rādītājiem kapitālsabiedrības pašu ieņēmumi no saimnieciskās darbības bija 887</w:t>
            </w:r>
            <w:r w:rsidR="004C094A">
              <w:rPr>
                <w:rFonts w:ascii="Times New Roman" w:hAnsi="Times New Roman" w:cs="Times New Roman"/>
                <w:sz w:val="28"/>
                <w:szCs w:val="28"/>
              </w:rPr>
              <w:t> </w:t>
            </w:r>
            <w:r w:rsidRPr="001753A2">
              <w:rPr>
                <w:rFonts w:ascii="Times New Roman" w:hAnsi="Times New Roman" w:cs="Times New Roman"/>
                <w:sz w:val="28"/>
                <w:szCs w:val="28"/>
              </w:rPr>
              <w:t>142 </w:t>
            </w:r>
            <w:r w:rsidRPr="001753A2">
              <w:rPr>
                <w:rFonts w:ascii="Times New Roman" w:hAnsi="Times New Roman" w:cs="Times New Roman"/>
                <w:i/>
                <w:sz w:val="28"/>
                <w:szCs w:val="28"/>
              </w:rPr>
              <w:t>euro</w:t>
            </w:r>
            <w:r w:rsidRPr="001753A2">
              <w:rPr>
                <w:rFonts w:ascii="Times New Roman" w:hAnsi="Times New Roman" w:cs="Times New Roman"/>
                <w:sz w:val="28"/>
                <w:szCs w:val="28"/>
              </w:rPr>
              <w:t>, kas veidoja 62</w:t>
            </w:r>
            <w:r w:rsidR="00756C55">
              <w:rPr>
                <w:rFonts w:ascii="Times New Roman" w:hAnsi="Times New Roman" w:cs="Times New Roman"/>
                <w:sz w:val="28"/>
                <w:szCs w:val="28"/>
              </w:rPr>
              <w:t> </w:t>
            </w:r>
            <w:r w:rsidRPr="001753A2">
              <w:rPr>
                <w:rFonts w:ascii="Times New Roman" w:hAnsi="Times New Roman" w:cs="Times New Roman"/>
                <w:sz w:val="28"/>
                <w:szCs w:val="28"/>
              </w:rPr>
              <w:t>procentus no kopējiem kapitālsabiedrības izdevumiem kultūras pakalpojumu pieejamības nodrošināšanā. Savukārt dotācija no valsts pamatbudžeta bija 460</w:t>
            </w:r>
            <w:r w:rsidR="004C094A">
              <w:rPr>
                <w:rFonts w:ascii="Times New Roman" w:hAnsi="Times New Roman" w:cs="Times New Roman"/>
                <w:sz w:val="28"/>
                <w:szCs w:val="28"/>
              </w:rPr>
              <w:t> </w:t>
            </w:r>
            <w:r w:rsidRPr="001753A2">
              <w:rPr>
                <w:rFonts w:ascii="Times New Roman" w:hAnsi="Times New Roman" w:cs="Times New Roman"/>
                <w:sz w:val="28"/>
                <w:szCs w:val="28"/>
              </w:rPr>
              <w:t>966 </w:t>
            </w:r>
            <w:r w:rsidRPr="001753A2">
              <w:rPr>
                <w:rFonts w:ascii="Times New Roman" w:hAnsi="Times New Roman" w:cs="Times New Roman"/>
                <w:i/>
                <w:sz w:val="28"/>
                <w:szCs w:val="28"/>
              </w:rPr>
              <w:t>euro</w:t>
            </w:r>
            <w:r w:rsidRPr="001753A2">
              <w:rPr>
                <w:rFonts w:ascii="Times New Roman" w:hAnsi="Times New Roman" w:cs="Times New Roman"/>
                <w:sz w:val="28"/>
                <w:szCs w:val="28"/>
              </w:rPr>
              <w:t xml:space="preserve"> jeb 38</w:t>
            </w:r>
            <w:r w:rsidR="00756C55">
              <w:rPr>
                <w:rFonts w:ascii="Times New Roman" w:hAnsi="Times New Roman" w:cs="Times New Roman"/>
                <w:sz w:val="28"/>
                <w:szCs w:val="28"/>
              </w:rPr>
              <w:t> </w:t>
            </w:r>
            <w:r w:rsidRPr="001753A2">
              <w:rPr>
                <w:rFonts w:ascii="Times New Roman" w:hAnsi="Times New Roman" w:cs="Times New Roman"/>
                <w:sz w:val="28"/>
                <w:szCs w:val="28"/>
              </w:rPr>
              <w:t>procenti no kopējiem kapitālsabiedrības izdevumiem kultūras pakalpojumu pieejamības nodrošināšanā.</w:t>
            </w:r>
          </w:p>
          <w:p w:rsidR="00CE4D7C" w:rsidP="00CE4D7C" w:rsidRDefault="00084B3E">
            <w:pPr>
              <w:ind w:firstLine="567"/>
              <w:jc w:val="both"/>
              <w:rPr>
                <w:sz w:val="28"/>
                <w:szCs w:val="28"/>
              </w:rPr>
            </w:pPr>
            <w:r w:rsidRPr="00323A81">
              <w:rPr>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 kapitālsabiedrības plānoto finansējumu, ņemot vērā pašu ieņēmumu un izdevumu, valsts budžeta dotācijas, kā arī pārējo finanšu resursu proporcionālo sadalījumu (vai pašu ieņēmumu robežvērtība nepārsniedz 50</w:t>
            </w:r>
            <w:r>
              <w:rPr>
                <w:sz w:val="28"/>
                <w:szCs w:val="28"/>
              </w:rPr>
              <w:t> procentus</w:t>
            </w:r>
            <w:r w:rsidRPr="00323A81">
              <w:rPr>
                <w:sz w:val="28"/>
                <w:szCs w:val="28"/>
              </w:rPr>
              <w:t xml:space="preserve"> no kopējiem kultūras iestādes izdevumiem), papildus vērtējot, vai izpildās visas Līguma 107.panta 1.punktā noteiktās komercdarbības atbalsta pazīmes. </w:t>
            </w:r>
            <w:r w:rsidRPr="00F9670B" w:rsidR="00531A89">
              <w:rPr>
                <w:sz w:val="28"/>
                <w:szCs w:val="28"/>
              </w:rPr>
              <w:t xml:space="preserve">Lai nodrošinātu vispārēju komercdarbības atbalsta nosacījumu ievērošanu un piemērošanu plānotajiem valsts budžeta finansējuma piešķīrumiem Kultūras ministrijas padotībā esošajām valsts pārvaldes iestādēm un kapitālsabiedrībām, kurās Kultūras ministrija ir valsts kapitāla daļu turētāja, </w:t>
            </w:r>
            <w:r w:rsidR="009974C1">
              <w:rPr>
                <w:sz w:val="28"/>
                <w:szCs w:val="28"/>
              </w:rPr>
              <w:t>2019.gada I</w:t>
            </w:r>
            <w:r w:rsidR="005355EE">
              <w:rPr>
                <w:sz w:val="28"/>
                <w:szCs w:val="28"/>
              </w:rPr>
              <w:t> </w:t>
            </w:r>
            <w:r w:rsidR="009974C1">
              <w:rPr>
                <w:sz w:val="28"/>
                <w:szCs w:val="28"/>
              </w:rPr>
              <w:t xml:space="preserve">ceturksnī tika veikta </w:t>
            </w:r>
            <w:r w:rsidR="009E4857">
              <w:rPr>
                <w:sz w:val="28"/>
                <w:szCs w:val="28"/>
              </w:rPr>
              <w:t xml:space="preserve">kapitālsabiedrības </w:t>
            </w:r>
            <w:r w:rsidR="00531A89">
              <w:rPr>
                <w:sz w:val="28"/>
                <w:szCs w:val="28"/>
              </w:rPr>
              <w:t xml:space="preserve">komercdarbības atbalsta nosacījumu piemērošanas izvērtēšana, pēc kuras tika secināts, ka </w:t>
            </w:r>
            <w:r w:rsidRPr="00F40656" w:rsidR="00531A89">
              <w:rPr>
                <w:sz w:val="28"/>
                <w:szCs w:val="28"/>
              </w:rPr>
              <w:t>sniegtajam valsts atbalstam kultūras iestādei –</w:t>
            </w:r>
            <w:r w:rsidR="009E4857">
              <w:rPr>
                <w:sz w:val="28"/>
                <w:szCs w:val="28"/>
              </w:rPr>
              <w:t xml:space="preserve"> kapitālsabiedrībai</w:t>
            </w:r>
            <w:r w:rsidRPr="00F40656" w:rsidR="00531A89">
              <w:rPr>
                <w:sz w:val="28"/>
                <w:szCs w:val="28"/>
              </w:rPr>
              <w:t xml:space="preserve"> nepieciešams piemērot atbilstošu komercdarbības atbalsta regulējumu </w:t>
            </w:r>
            <w:r w:rsidRPr="00F40656" w:rsidR="009E4857">
              <w:rPr>
                <w:sz w:val="28"/>
                <w:szCs w:val="28"/>
              </w:rPr>
              <w:t>–</w:t>
            </w:r>
            <w:r w:rsidRPr="00F40656" w:rsidR="00531A89">
              <w:rPr>
                <w:sz w:val="28"/>
                <w:szCs w:val="28"/>
              </w:rPr>
              <w:t xml:space="preserve"> Eiropas Komisijas 2014.gada 17.jūnija Regulu Nr.651/2014, ar ko noteiktas atbalsta </w:t>
            </w:r>
            <w:r w:rsidRPr="00F40656" w:rsidR="00531A89">
              <w:rPr>
                <w:sz w:val="28"/>
                <w:szCs w:val="28"/>
              </w:rPr>
              <w:lastRenderedPageBreak/>
              <w:t>kategorijas atzīst par saderīgām ar iekšējo tirgu, piemērojot Līguma 107. un 108.pantu</w:t>
            </w:r>
            <w:r w:rsidR="00531A89">
              <w:rPr>
                <w:sz w:val="28"/>
                <w:szCs w:val="28"/>
              </w:rPr>
              <w:t xml:space="preserve"> </w:t>
            </w:r>
            <w:r w:rsidRPr="00E25F94" w:rsidR="00531A89">
              <w:rPr>
                <w:sz w:val="28"/>
                <w:szCs w:val="28"/>
              </w:rPr>
              <w:t>(turpmāk –</w:t>
            </w:r>
            <w:r w:rsidR="009E4857">
              <w:rPr>
                <w:sz w:val="28"/>
                <w:szCs w:val="28"/>
              </w:rPr>
              <w:t xml:space="preserve"> </w:t>
            </w:r>
            <w:r w:rsidRPr="00E25F94" w:rsidR="00531A89">
              <w:rPr>
                <w:sz w:val="28"/>
                <w:szCs w:val="28"/>
              </w:rPr>
              <w:t>Regula Nr.651/2014)</w:t>
            </w:r>
            <w:r w:rsidRPr="00F40656" w:rsidR="00531A89">
              <w:rPr>
                <w:sz w:val="28"/>
                <w:szCs w:val="28"/>
              </w:rPr>
              <w:t xml:space="preserve">, lai sniegtais atbalsts atbilstu visiem Eiropas Komisijas paredzētajiem atbalsta saņemšanas nosacījumiem un būtu saderīgs ar iekšējo tirgu. </w:t>
            </w:r>
            <w:r w:rsidR="00531A89">
              <w:rPr>
                <w:sz w:val="28"/>
                <w:szCs w:val="28"/>
              </w:rPr>
              <w:t>Atbilstoši 2019.gada 3.martā tika sagatavots izvērtējums par komercdarbības atbalsta nosacījumu piemērošanu</w:t>
            </w:r>
            <w:r w:rsidR="009E4857">
              <w:rPr>
                <w:sz w:val="28"/>
                <w:szCs w:val="28"/>
              </w:rPr>
              <w:t xml:space="preserve"> kapitālsabiedrībai</w:t>
            </w:r>
            <w:r w:rsidR="00531A89">
              <w:rPr>
                <w:sz w:val="28"/>
                <w:szCs w:val="28"/>
              </w:rPr>
              <w:t xml:space="preserve">. </w:t>
            </w:r>
            <w:r w:rsidRPr="004C532C" w:rsidR="00992055">
              <w:rPr>
                <w:sz w:val="28"/>
                <w:szCs w:val="28"/>
              </w:rPr>
              <w:t>Ņemot vērā veikto izvērtējumu atbilstoši Regulas Nr.651/2014 nosacījumiem, secināms, ka plānotais atbalsta pasākums atbilst Regulas Nr.651/2014 nosacījumiem un</w:t>
            </w:r>
            <w:r w:rsidRPr="003013E7" w:rsidR="00992055">
              <w:rPr>
                <w:b/>
                <w:sz w:val="28"/>
                <w:szCs w:val="28"/>
              </w:rPr>
              <w:t xml:space="preserve"> </w:t>
            </w:r>
            <w:r w:rsidR="00992055">
              <w:rPr>
                <w:sz w:val="28"/>
                <w:szCs w:val="28"/>
              </w:rPr>
              <w:t xml:space="preserve">kopsavilkuma informācija Regulas </w:t>
            </w:r>
            <w:r w:rsidR="009E4857">
              <w:rPr>
                <w:sz w:val="28"/>
                <w:szCs w:val="28"/>
              </w:rPr>
              <w:t>Nr.</w:t>
            </w:r>
            <w:r w:rsidR="00992055">
              <w:rPr>
                <w:sz w:val="28"/>
                <w:szCs w:val="28"/>
              </w:rPr>
              <w:t>651/2014 II pielikumā noteiktajā standartizētajā formā par piešķirto atbalstu, atbilstoši Regulas Nr.651/2014 11.pantā noteiktajam, tik</w:t>
            </w:r>
            <w:r w:rsidR="004C532C">
              <w:rPr>
                <w:sz w:val="28"/>
                <w:szCs w:val="28"/>
              </w:rPr>
              <w:t>a</w:t>
            </w:r>
            <w:r w:rsidR="00992055">
              <w:rPr>
                <w:sz w:val="28"/>
                <w:szCs w:val="28"/>
              </w:rPr>
              <w:t xml:space="preserve"> iesniegta Eiropas Komisijā, izmantojot Eiropas Komisijas elektroniskās paziņošanas sistēmu</w:t>
            </w:r>
            <w:r w:rsidRPr="00C25031" w:rsidR="00992055">
              <w:rPr>
                <w:sz w:val="28"/>
                <w:szCs w:val="28"/>
              </w:rPr>
              <w:t>.</w:t>
            </w:r>
            <w:r w:rsidR="00156280">
              <w:rPr>
                <w:sz w:val="28"/>
                <w:szCs w:val="28"/>
              </w:rPr>
              <w:t xml:space="preserve"> SANI</w:t>
            </w:r>
            <w:r w:rsidRPr="00C25031" w:rsidR="00C25031">
              <w:rPr>
                <w:sz w:val="28"/>
                <w:szCs w:val="28"/>
              </w:rPr>
              <w:t xml:space="preserve">2 sistēmā paziņotā </w:t>
            </w:r>
            <w:proofErr w:type="spellStart"/>
            <w:r w:rsidRPr="00CE4D7C" w:rsidR="00CE4D7C">
              <w:rPr>
                <w:i/>
                <w:sz w:val="28"/>
                <w:szCs w:val="28"/>
              </w:rPr>
              <w:t>ad-hoc</w:t>
            </w:r>
            <w:proofErr w:type="spellEnd"/>
            <w:r w:rsidRPr="00C25031" w:rsidR="00C25031">
              <w:rPr>
                <w:sz w:val="28"/>
                <w:szCs w:val="28"/>
              </w:rPr>
              <w:t xml:space="preserve"> atbalsta juridiskais pamats ir starp Kultūras ministriju un </w:t>
            </w:r>
            <w:r w:rsidR="004C094A">
              <w:rPr>
                <w:sz w:val="28"/>
                <w:szCs w:val="28"/>
              </w:rPr>
              <w:t>kapitālsabiedrību</w:t>
            </w:r>
            <w:r w:rsidRPr="00C25031" w:rsidR="00C25031">
              <w:rPr>
                <w:sz w:val="28"/>
                <w:szCs w:val="28"/>
              </w:rPr>
              <w:t xml:space="preserve"> 2019.gada 9.janvārī noslēgtais līgums Nr.2.5</w:t>
            </w:r>
            <w:r w:rsidR="00156280">
              <w:rPr>
                <w:sz w:val="28"/>
                <w:szCs w:val="28"/>
              </w:rPr>
              <w:t>.</w:t>
            </w:r>
            <w:r w:rsidRPr="00C25031" w:rsidR="00C25031">
              <w:rPr>
                <w:sz w:val="28"/>
                <w:szCs w:val="28"/>
              </w:rPr>
              <w:t>-11-4 „Par valsts budžeta finansējuma izlietošanu</w:t>
            </w:r>
            <w:r w:rsidR="004C094A">
              <w:rPr>
                <w:sz w:val="28"/>
                <w:szCs w:val="28"/>
              </w:rPr>
              <w:t>”</w:t>
            </w:r>
            <w:r w:rsidRPr="00C25031" w:rsidR="00C25031">
              <w:rPr>
                <w:sz w:val="28"/>
                <w:szCs w:val="28"/>
              </w:rPr>
              <w:t xml:space="preserve">. Ņemot vērā to, ka </w:t>
            </w:r>
            <w:r w:rsidR="00156280">
              <w:rPr>
                <w:sz w:val="28"/>
                <w:szCs w:val="28"/>
              </w:rPr>
              <w:t>ar kapitālsabiedrību katru gadu pēc likuma par valsts budžetu kārtējam gadam spēkā stāšanās tiek slēgts līgums</w:t>
            </w:r>
            <w:r w:rsidRPr="00C25031" w:rsidR="00C25031">
              <w:rPr>
                <w:sz w:val="28"/>
                <w:szCs w:val="28"/>
              </w:rPr>
              <w:t xml:space="preserve"> </w:t>
            </w:r>
            <w:r w:rsidR="00156280">
              <w:rPr>
                <w:sz w:val="28"/>
                <w:szCs w:val="28"/>
              </w:rPr>
              <w:t>p</w:t>
            </w:r>
            <w:r w:rsidRPr="00C25031" w:rsidR="00156280">
              <w:rPr>
                <w:sz w:val="28"/>
                <w:szCs w:val="28"/>
              </w:rPr>
              <w:t xml:space="preserve">ar </w:t>
            </w:r>
            <w:r w:rsidR="00156280">
              <w:rPr>
                <w:sz w:val="28"/>
                <w:szCs w:val="28"/>
              </w:rPr>
              <w:t xml:space="preserve">attiecīgajā gadā sasniedzamo rezultatīvo rādītāju apjomu un finansējumu, </w:t>
            </w:r>
            <w:r w:rsidRPr="00C25031" w:rsidR="00C25031">
              <w:rPr>
                <w:sz w:val="28"/>
                <w:szCs w:val="28"/>
              </w:rPr>
              <w:t>saskaņā ar Kultūras institūciju likuma 23.panta otro daļu un likumu „Par valsts budžetu 2020.gadam”, kā ar</w:t>
            </w:r>
            <w:r w:rsidR="00156280">
              <w:rPr>
                <w:sz w:val="28"/>
                <w:szCs w:val="28"/>
              </w:rPr>
              <w:t xml:space="preserve">ī atbilstoši </w:t>
            </w:r>
            <w:r w:rsidR="004C094A">
              <w:rPr>
                <w:sz w:val="28"/>
                <w:szCs w:val="28"/>
              </w:rPr>
              <w:t>starp Kultūras ministriju un</w:t>
            </w:r>
            <w:r w:rsidRPr="00C25031" w:rsidR="004C094A">
              <w:rPr>
                <w:sz w:val="28"/>
                <w:szCs w:val="28"/>
              </w:rPr>
              <w:t xml:space="preserve"> </w:t>
            </w:r>
            <w:r w:rsidR="004C094A">
              <w:rPr>
                <w:sz w:val="28"/>
                <w:szCs w:val="28"/>
              </w:rPr>
              <w:t>kapitālsabiedrību</w:t>
            </w:r>
            <w:r w:rsidRPr="00C25031" w:rsidR="00C25031">
              <w:rPr>
                <w:sz w:val="28"/>
                <w:szCs w:val="28"/>
              </w:rPr>
              <w:t xml:space="preserve"> </w:t>
            </w:r>
            <w:r w:rsidR="00156280">
              <w:rPr>
                <w:sz w:val="28"/>
                <w:szCs w:val="28"/>
              </w:rPr>
              <w:t>2018.gada 2.janvārī</w:t>
            </w:r>
            <w:r w:rsidRPr="00C25031" w:rsidR="00156280">
              <w:rPr>
                <w:sz w:val="28"/>
                <w:szCs w:val="28"/>
              </w:rPr>
              <w:t xml:space="preserve"> </w:t>
            </w:r>
            <w:r w:rsidRPr="00C25031" w:rsidR="00C25031">
              <w:rPr>
                <w:sz w:val="28"/>
                <w:szCs w:val="28"/>
              </w:rPr>
              <w:t>noslēgtajam līdzdarbības līgumam Nr.2.5.-8-5 „Par atsevišķu valsts pārvaldes uzd</w:t>
            </w:r>
            <w:r w:rsidR="00156280">
              <w:rPr>
                <w:sz w:val="28"/>
                <w:szCs w:val="28"/>
              </w:rPr>
              <w:t>evumu deleģēšanu kultūras jomā”</w:t>
            </w:r>
            <w:r w:rsidRPr="00C25031" w:rsidR="00C25031">
              <w:rPr>
                <w:sz w:val="28"/>
                <w:szCs w:val="28"/>
              </w:rPr>
              <w:t xml:space="preserve"> </w:t>
            </w:r>
            <w:r w:rsidR="00165CD1">
              <w:rPr>
                <w:sz w:val="28"/>
                <w:szCs w:val="28"/>
              </w:rPr>
              <w:t xml:space="preserve">pēc Projekta </w:t>
            </w:r>
            <w:r w:rsidR="006B135B">
              <w:rPr>
                <w:sz w:val="28"/>
                <w:szCs w:val="28"/>
              </w:rPr>
              <w:t xml:space="preserve">stāšanās spēkā </w:t>
            </w:r>
            <w:r w:rsidR="00156280">
              <w:rPr>
                <w:sz w:val="28"/>
                <w:szCs w:val="28"/>
              </w:rPr>
              <w:t>starp Kultūras ministriju un</w:t>
            </w:r>
            <w:r w:rsidRPr="00C25031" w:rsidR="00156280">
              <w:rPr>
                <w:sz w:val="28"/>
                <w:szCs w:val="28"/>
              </w:rPr>
              <w:t xml:space="preserve"> </w:t>
            </w:r>
            <w:r w:rsidR="00156280">
              <w:rPr>
                <w:sz w:val="28"/>
                <w:szCs w:val="28"/>
              </w:rPr>
              <w:t>kapitālsabiedrību</w:t>
            </w:r>
            <w:r w:rsidRPr="00C25031" w:rsidR="00156280">
              <w:rPr>
                <w:sz w:val="28"/>
                <w:szCs w:val="28"/>
              </w:rPr>
              <w:t xml:space="preserve"> </w:t>
            </w:r>
            <w:r w:rsidR="00156280">
              <w:rPr>
                <w:sz w:val="28"/>
                <w:szCs w:val="28"/>
              </w:rPr>
              <w:t>2020.gada 10.janvārī</w:t>
            </w:r>
            <w:r w:rsidRPr="00C25031" w:rsidR="00C25031">
              <w:rPr>
                <w:sz w:val="28"/>
                <w:szCs w:val="28"/>
              </w:rPr>
              <w:t xml:space="preserve"> noslēgtajā līgumā Nr.2.5</w:t>
            </w:r>
            <w:r w:rsidR="00156280">
              <w:rPr>
                <w:sz w:val="28"/>
                <w:szCs w:val="28"/>
              </w:rPr>
              <w:t>.</w:t>
            </w:r>
            <w:r w:rsidRPr="00C25031" w:rsidR="00C25031">
              <w:rPr>
                <w:sz w:val="28"/>
                <w:szCs w:val="28"/>
              </w:rPr>
              <w:t xml:space="preserve">-11-14 „Par valsts budžeta finansējuma izlietošanu” </w:t>
            </w:r>
            <w:r w:rsidR="006B135B">
              <w:rPr>
                <w:sz w:val="28"/>
                <w:szCs w:val="28"/>
              </w:rPr>
              <w:t>plānots</w:t>
            </w:r>
            <w:r w:rsidRPr="00C25031" w:rsidR="006B135B">
              <w:rPr>
                <w:sz w:val="28"/>
                <w:szCs w:val="28"/>
              </w:rPr>
              <w:t xml:space="preserve"> </w:t>
            </w:r>
            <w:r w:rsidR="00ED0CD5">
              <w:rPr>
                <w:sz w:val="28"/>
                <w:szCs w:val="28"/>
              </w:rPr>
              <w:t xml:space="preserve">veikt </w:t>
            </w:r>
            <w:r w:rsidR="00156280">
              <w:rPr>
                <w:sz w:val="28"/>
                <w:szCs w:val="28"/>
              </w:rPr>
              <w:t xml:space="preserve">attiecīgus </w:t>
            </w:r>
            <w:r w:rsidR="00ED0CD5">
              <w:rPr>
                <w:sz w:val="28"/>
                <w:szCs w:val="28"/>
              </w:rPr>
              <w:t>grozījum</w:t>
            </w:r>
            <w:r w:rsidR="006B135B">
              <w:rPr>
                <w:sz w:val="28"/>
                <w:szCs w:val="28"/>
              </w:rPr>
              <w:t>us</w:t>
            </w:r>
            <w:r w:rsidRPr="00C25031" w:rsidR="00C25031">
              <w:rPr>
                <w:sz w:val="28"/>
                <w:szCs w:val="28"/>
              </w:rPr>
              <w:t xml:space="preserve">, </w:t>
            </w:r>
            <w:r w:rsidR="00156280">
              <w:rPr>
                <w:sz w:val="28"/>
                <w:szCs w:val="28"/>
              </w:rPr>
              <w:t xml:space="preserve">papildinot ar </w:t>
            </w:r>
            <w:r w:rsidRPr="00C25031" w:rsidR="00C25031">
              <w:rPr>
                <w:sz w:val="28"/>
                <w:szCs w:val="28"/>
              </w:rPr>
              <w:t>dividendēs izmak</w:t>
            </w:r>
            <w:r w:rsidR="00156280">
              <w:rPr>
                <w:sz w:val="28"/>
                <w:szCs w:val="28"/>
              </w:rPr>
              <w:t>sājamās peļņas daļas izlietojumu</w:t>
            </w:r>
            <w:r w:rsidRPr="00C25031" w:rsidR="00C25031">
              <w:rPr>
                <w:sz w:val="28"/>
                <w:szCs w:val="28"/>
              </w:rPr>
              <w:t xml:space="preserve"> atbilstoši </w:t>
            </w:r>
            <w:r w:rsidR="00AA2B8A">
              <w:rPr>
                <w:sz w:val="28"/>
                <w:szCs w:val="28"/>
              </w:rPr>
              <w:t xml:space="preserve">Projektā </w:t>
            </w:r>
            <w:r w:rsidRPr="00C25031" w:rsidR="00C25031">
              <w:rPr>
                <w:sz w:val="28"/>
                <w:szCs w:val="28"/>
              </w:rPr>
              <w:t xml:space="preserve">noteiktajam. Lai nodrošinātu </w:t>
            </w:r>
            <w:r w:rsidR="00156280">
              <w:rPr>
                <w:sz w:val="28"/>
                <w:szCs w:val="28"/>
              </w:rPr>
              <w:t>minētā</w:t>
            </w:r>
            <w:r w:rsidRPr="00C25031" w:rsidR="00C25031">
              <w:rPr>
                <w:sz w:val="28"/>
                <w:szCs w:val="28"/>
              </w:rPr>
              <w:t xml:space="preserve"> piešķīruma atbilstību </w:t>
            </w:r>
            <w:r w:rsidRPr="00C25031" w:rsidR="00C25031">
              <w:rPr>
                <w:sz w:val="28"/>
                <w:szCs w:val="28"/>
              </w:rPr>
              <w:lastRenderedPageBreak/>
              <w:t xml:space="preserve">komercdarbības atbalsta nosacījumiem, SANI2 sistēmā tiks ievietota informācija par grozījumiem esošajā </w:t>
            </w:r>
            <w:proofErr w:type="spellStart"/>
            <w:r w:rsidRPr="00CE4D7C" w:rsidR="00CE4D7C">
              <w:rPr>
                <w:i/>
                <w:sz w:val="28"/>
                <w:szCs w:val="28"/>
              </w:rPr>
              <w:t>ad-hoc</w:t>
            </w:r>
            <w:proofErr w:type="spellEnd"/>
            <w:r w:rsidRPr="00C25031" w:rsidR="00C25031">
              <w:rPr>
                <w:sz w:val="28"/>
                <w:szCs w:val="28"/>
              </w:rPr>
              <w:t xml:space="preserve"> at</w:t>
            </w:r>
            <w:r w:rsidR="00156280">
              <w:rPr>
                <w:sz w:val="28"/>
                <w:szCs w:val="28"/>
              </w:rPr>
              <w:t>balsta pasākumā (SA.53933)</w:t>
            </w:r>
            <w:r w:rsidRPr="00C25031" w:rsidR="00C25031">
              <w:rPr>
                <w:sz w:val="28"/>
                <w:szCs w:val="28"/>
              </w:rPr>
              <w:t xml:space="preserve"> atbilstoši veiktaj</w:t>
            </w:r>
            <w:r w:rsidR="00156280">
              <w:rPr>
                <w:sz w:val="28"/>
                <w:szCs w:val="28"/>
              </w:rPr>
              <w:t>am</w:t>
            </w:r>
            <w:r w:rsidRPr="00C25031" w:rsidR="00C25031">
              <w:rPr>
                <w:sz w:val="28"/>
                <w:szCs w:val="28"/>
              </w:rPr>
              <w:t xml:space="preserve"> papildu</w:t>
            </w:r>
            <w:r w:rsidR="00156280">
              <w:rPr>
                <w:sz w:val="28"/>
                <w:szCs w:val="28"/>
              </w:rPr>
              <w:t xml:space="preserve"> piešķīruma</w:t>
            </w:r>
            <w:r w:rsidRPr="00C25031" w:rsidR="00C25031">
              <w:rPr>
                <w:sz w:val="28"/>
                <w:szCs w:val="28"/>
              </w:rPr>
              <w:t>m</w:t>
            </w:r>
            <w:r w:rsidR="00156280">
              <w:rPr>
                <w:sz w:val="28"/>
                <w:szCs w:val="28"/>
              </w:rPr>
              <w:t>,</w:t>
            </w:r>
            <w:r w:rsidRPr="00C25031" w:rsidR="00C25031">
              <w:rPr>
                <w:sz w:val="28"/>
                <w:szCs w:val="28"/>
              </w:rPr>
              <w:t xml:space="preserve"> pielikumā pievienojot </w:t>
            </w:r>
            <w:r w:rsidR="00156280">
              <w:rPr>
                <w:sz w:val="28"/>
                <w:szCs w:val="28"/>
              </w:rPr>
              <w:t>2020.gada 10.janvāra</w:t>
            </w:r>
            <w:r w:rsidRPr="00C25031" w:rsidR="00156280">
              <w:rPr>
                <w:sz w:val="28"/>
                <w:szCs w:val="28"/>
              </w:rPr>
              <w:t xml:space="preserve"> </w:t>
            </w:r>
            <w:r w:rsidR="00156280">
              <w:rPr>
                <w:sz w:val="28"/>
                <w:szCs w:val="28"/>
              </w:rPr>
              <w:t>līgumu</w:t>
            </w:r>
            <w:r w:rsidRPr="00C25031" w:rsidR="00156280">
              <w:rPr>
                <w:sz w:val="28"/>
                <w:szCs w:val="28"/>
              </w:rPr>
              <w:t xml:space="preserve"> Nr.2.5-11-14 „Par valsts budžeta finansējuma izlietošanu”</w:t>
            </w:r>
            <w:r w:rsidR="00156280">
              <w:rPr>
                <w:sz w:val="28"/>
                <w:szCs w:val="28"/>
              </w:rPr>
              <w:t xml:space="preserve"> un vienošanos par grozījumiem</w:t>
            </w:r>
            <w:r w:rsidRPr="00C25031" w:rsidR="00C25031">
              <w:rPr>
                <w:sz w:val="28"/>
                <w:szCs w:val="28"/>
              </w:rPr>
              <w:t>.</w:t>
            </w:r>
          </w:p>
          <w:p w:rsidR="007E2644" w:rsidP="00DB1D6D" w:rsidRDefault="007E2644">
            <w:pPr>
              <w:ind w:firstLine="567"/>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w:t>
            </w:r>
            <w:r w:rsidRPr="00400798">
              <w:rPr>
                <w:sz w:val="28"/>
                <w:szCs w:val="28"/>
              </w:rPr>
              <w:t xml:space="preserve">veikt regulārus ieguldījumus </w:t>
            </w:r>
            <w:r w:rsidRPr="00400798">
              <w:rPr>
                <w:rFonts w:eastAsiaTheme="minorHAnsi"/>
                <w:sz w:val="28"/>
                <w:szCs w:val="28"/>
              </w:rPr>
              <w:t xml:space="preserve">kapitālsabiedrībai </w:t>
            </w:r>
            <w:r w:rsidRPr="00400798">
              <w:rPr>
                <w:sz w:val="28"/>
                <w:szCs w:val="28"/>
              </w:rPr>
              <w:t>deleģēto valsts pārvaldes uzdevumu kultūras jomā nodrošināšanas izdevumu segšanai, līdz</w:t>
            </w:r>
            <w:r w:rsidRPr="00822C8A">
              <w:rPr>
                <w:color w:val="000000" w:themeColor="text1"/>
                <w:sz w:val="28"/>
                <w:szCs w:val="28"/>
              </w:rPr>
              <w:t xml:space="preserve">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lastRenderedPageBreak/>
              <w:t>3.</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Pr="001A75DA" w:rsidR="007E2644" w:rsidTr="001E200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4.</w:t>
            </w:r>
          </w:p>
        </w:tc>
        <w:tc>
          <w:tcPr>
            <w:tcW w:w="1667"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color w:val="000000" w:themeColor="text1"/>
                <w:sz w:val="28"/>
                <w:szCs w:val="28"/>
              </w:rPr>
              <w:t>Nav</w:t>
            </w:r>
          </w:p>
        </w:tc>
      </w:tr>
    </w:tbl>
    <w:p w:rsidR="007E2644" w:rsidP="007E2644" w:rsidRDefault="007E2644">
      <w:pPr>
        <w:pStyle w:val="BodyText"/>
        <w:jc w:val="both"/>
        <w:rPr>
          <w:b/>
          <w:color w:val="000000" w:themeColor="text1"/>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001E2006" w:rsidTr="00AA2635">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001E2006" w:rsidP="00AA2635" w:rsidRDefault="001E2006">
            <w:pPr>
              <w:pStyle w:val="BodyText"/>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1E2006" w:rsidTr="00AA2635">
        <w:trPr>
          <w:trHeight w:val="227"/>
          <w:tblCellSpacing w:w="15" w:type="dxa"/>
          <w:jc w:val="center"/>
        </w:trPr>
        <w:tc>
          <w:tcPr>
            <w:tcW w:w="4967" w:type="pct"/>
            <w:tcBorders>
              <w:top w:val="outset" w:color="auto" w:sz="6" w:space="0"/>
              <w:left w:val="outset" w:color="auto" w:sz="6" w:space="0"/>
              <w:bottom w:val="outset" w:color="auto" w:sz="6" w:space="0"/>
              <w:right w:val="outset" w:color="auto" w:sz="6" w:space="0"/>
            </w:tcBorders>
            <w:hideMark/>
          </w:tcPr>
          <w:p w:rsidR="001E2006" w:rsidP="00AA2635" w:rsidRDefault="001E2006">
            <w:pPr>
              <w:pStyle w:val="BodyText"/>
              <w:rPr>
                <w:iCs/>
                <w:color w:val="000000" w:themeColor="text1"/>
                <w:szCs w:val="28"/>
              </w:rPr>
            </w:pPr>
            <w:r w:rsidRPr="00E33E9D">
              <w:rPr>
                <w:bCs/>
                <w:iCs/>
                <w:color w:val="000000" w:themeColor="text1"/>
                <w:szCs w:val="28"/>
              </w:rPr>
              <w:t>Projekts šo jomu neskar.</w:t>
            </w:r>
          </w:p>
        </w:tc>
      </w:tr>
    </w:tbl>
    <w:p w:rsidRPr="001A75DA" w:rsidR="001E2006" w:rsidP="007E2644" w:rsidRDefault="001E2006">
      <w:pPr>
        <w:pStyle w:val="BodyText"/>
        <w:jc w:val="both"/>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905"/>
        <w:gridCol w:w="1351"/>
        <w:gridCol w:w="1054"/>
        <w:gridCol w:w="867"/>
        <w:gridCol w:w="1054"/>
        <w:gridCol w:w="867"/>
        <w:gridCol w:w="1054"/>
        <w:gridCol w:w="1069"/>
      </w:tblGrid>
      <w:tr w:rsidRPr="001A75DA" w:rsidR="007E2644" w:rsidTr="00DB1D6D">
        <w:trPr>
          <w:tblCellSpacing w:w="15" w:type="dxa"/>
        </w:trPr>
        <w:tc>
          <w:tcPr>
            <w:tcW w:w="9161" w:type="dxa"/>
            <w:gridSpan w:val="8"/>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Pr="001A75DA" w:rsidR="007E2644" w:rsidTr="00DB1D6D">
        <w:trPr>
          <w:tblCellSpacing w:w="15" w:type="dxa"/>
        </w:trPr>
        <w:tc>
          <w:tcPr>
            <w:tcW w:w="1875"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color="auto" w:sz="6" w:space="0"/>
              <w:left w:val="outset" w:color="auto" w:sz="6" w:space="0"/>
              <w:bottom w:val="outset" w:color="auto" w:sz="6" w:space="0"/>
              <w:right w:val="outset" w:color="auto" w:sz="6" w:space="0"/>
            </w:tcBorders>
            <w:vAlign w:val="center"/>
            <w:hideMark/>
          </w:tcPr>
          <w:p w:rsidR="007E2644" w:rsidP="009B5DCB" w:rsidRDefault="009B5DCB">
            <w:pPr>
              <w:jc w:val="center"/>
              <w:rPr>
                <w:rFonts w:eastAsia="Times New Roman"/>
                <w:iCs/>
                <w:color w:val="000000" w:themeColor="text1"/>
                <w:sz w:val="28"/>
                <w:szCs w:val="28"/>
              </w:rPr>
            </w:pPr>
            <w:r w:rsidRPr="00822C8A">
              <w:rPr>
                <w:rFonts w:eastAsia="Times New Roman"/>
                <w:iCs/>
                <w:color w:val="000000" w:themeColor="text1"/>
                <w:sz w:val="28"/>
                <w:szCs w:val="28"/>
              </w:rPr>
              <w:t>20</w:t>
            </w:r>
            <w:r>
              <w:rPr>
                <w:rFonts w:eastAsia="Times New Roman"/>
                <w:iCs/>
                <w:color w:val="000000" w:themeColor="text1"/>
                <w:sz w:val="28"/>
                <w:szCs w:val="28"/>
              </w:rPr>
              <w:t>20</w:t>
            </w:r>
            <w:r w:rsidRPr="00822C8A" w:rsidR="007E2644">
              <w:rPr>
                <w:rFonts w:eastAsia="Times New Roman"/>
                <w:iCs/>
                <w:color w:val="000000" w:themeColor="text1"/>
                <w:sz w:val="28"/>
                <w:szCs w:val="28"/>
              </w:rPr>
              <w:t>.gads</w:t>
            </w:r>
          </w:p>
        </w:tc>
        <w:tc>
          <w:tcPr>
            <w:tcW w:w="4702" w:type="dxa"/>
            <w:gridSpan w:val="5"/>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Pr="001A75DA" w:rsidR="007E2644" w:rsidTr="00DB1D6D">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2524" w:type="dxa"/>
            <w:gridSpan w:val="2"/>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1811" w:type="dxa"/>
            <w:gridSpan w:val="2"/>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20</w:t>
            </w:r>
            <w:r>
              <w:rPr>
                <w:rFonts w:eastAsia="Times New Roman"/>
                <w:iCs/>
                <w:color w:val="000000" w:themeColor="text1"/>
                <w:sz w:val="28"/>
                <w:szCs w:val="28"/>
              </w:rPr>
              <w:t>2</w:t>
            </w:r>
            <w:r w:rsidR="009B5DCB">
              <w:rPr>
                <w:rFonts w:eastAsia="Times New Roman"/>
                <w:iCs/>
                <w:color w:val="000000" w:themeColor="text1"/>
                <w:sz w:val="28"/>
                <w:szCs w:val="28"/>
              </w:rPr>
              <w:t>1</w:t>
            </w:r>
            <w:r w:rsidRPr="00822C8A">
              <w:rPr>
                <w:rFonts w:eastAsia="Times New Roman"/>
                <w:iCs/>
                <w:color w:val="000000" w:themeColor="text1"/>
                <w:sz w:val="28"/>
                <w:szCs w:val="28"/>
              </w:rPr>
              <w:t>.gads</w:t>
            </w:r>
          </w:p>
        </w:tc>
        <w:tc>
          <w:tcPr>
            <w:tcW w:w="1811" w:type="dxa"/>
            <w:gridSpan w:val="2"/>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202</w:t>
            </w:r>
            <w:r w:rsidR="009B5DCB">
              <w:rPr>
                <w:rFonts w:eastAsia="Times New Roman"/>
                <w:iCs/>
                <w:color w:val="000000" w:themeColor="text1"/>
                <w:sz w:val="28"/>
                <w:szCs w:val="28"/>
              </w:rPr>
              <w:t>2</w:t>
            </w:r>
            <w:r w:rsidRPr="00822C8A">
              <w:rPr>
                <w:rFonts w:eastAsia="Times New Roman"/>
                <w:iCs/>
                <w:color w:val="000000" w:themeColor="text1"/>
                <w:sz w:val="28"/>
                <w:szCs w:val="28"/>
              </w:rPr>
              <w:t>.gads</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9B5DCB" w:rsidRDefault="007E2644">
            <w:pPr>
              <w:jc w:val="center"/>
              <w:rPr>
                <w:rFonts w:eastAsia="Times New Roman"/>
                <w:iCs/>
                <w:color w:val="000000" w:themeColor="text1"/>
                <w:sz w:val="27"/>
                <w:szCs w:val="27"/>
              </w:rPr>
            </w:pPr>
            <w:r w:rsidRPr="00822C8A">
              <w:rPr>
                <w:rFonts w:eastAsia="Times New Roman"/>
                <w:iCs/>
                <w:color w:val="000000" w:themeColor="text1"/>
                <w:sz w:val="27"/>
                <w:szCs w:val="27"/>
              </w:rPr>
              <w:t>202</w:t>
            </w:r>
            <w:r w:rsidR="009B5DCB">
              <w:rPr>
                <w:rFonts w:eastAsia="Times New Roman"/>
                <w:iCs/>
                <w:color w:val="000000" w:themeColor="text1"/>
                <w:sz w:val="27"/>
                <w:szCs w:val="27"/>
              </w:rPr>
              <w:t>3</w:t>
            </w:r>
            <w:r w:rsidRPr="00822C8A">
              <w:rPr>
                <w:rFonts w:eastAsia="Times New Roman"/>
                <w:iCs/>
                <w:color w:val="000000" w:themeColor="text1"/>
                <w:sz w:val="27"/>
                <w:szCs w:val="27"/>
              </w:rPr>
              <w:t>.</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Pr="001A75DA" w:rsidR="007E2644" w:rsidTr="00DB1D6D">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1530"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t>saskaņā ar valsts budžetu kārtējam gadam</w:t>
            </w:r>
          </w:p>
        </w:tc>
        <w:tc>
          <w:tcPr>
            <w:tcW w:w="964"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t xml:space="preserve">izmaiņas kārtējā gadā, salīdzinot ar valsts budžetu kārtējam </w:t>
            </w:r>
            <w:r w:rsidRPr="00156280">
              <w:rPr>
                <w:rFonts w:eastAsia="Times New Roman"/>
                <w:iCs/>
                <w:color w:val="000000" w:themeColor="text1"/>
              </w:rPr>
              <w:lastRenderedPageBreak/>
              <w:t>gadam</w:t>
            </w:r>
          </w:p>
        </w:tc>
        <w:tc>
          <w:tcPr>
            <w:tcW w:w="820"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lastRenderedPageBreak/>
              <w:t>saskaņā ar vidēja termiņa budžeta ietvaru</w:t>
            </w:r>
          </w:p>
        </w:tc>
        <w:tc>
          <w:tcPr>
            <w:tcW w:w="961"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t>izmaiņas, salīdzinot ar vidēja termiņa budžeta ietvaru 202</w:t>
            </w:r>
            <w:r w:rsidRPr="00156280" w:rsidR="00670587">
              <w:rPr>
                <w:rFonts w:eastAsia="Times New Roman"/>
                <w:iCs/>
                <w:color w:val="000000" w:themeColor="text1"/>
              </w:rPr>
              <w:t>1</w:t>
            </w:r>
            <w:r w:rsidRPr="00156280">
              <w:rPr>
                <w:rFonts w:eastAsia="Times New Roman"/>
                <w:iCs/>
                <w:color w:val="000000" w:themeColor="text1"/>
              </w:rPr>
              <w:t>.</w:t>
            </w:r>
          </w:p>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lastRenderedPageBreak/>
              <w:t>gadam</w:t>
            </w:r>
          </w:p>
        </w:tc>
        <w:tc>
          <w:tcPr>
            <w:tcW w:w="820"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lastRenderedPageBreak/>
              <w:t>saskaņā ar vidēja termiņa budžeta ietvaru</w:t>
            </w:r>
          </w:p>
        </w:tc>
        <w:tc>
          <w:tcPr>
            <w:tcW w:w="961"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t>izmaiņas, salīdzinot ar vidēja termiņa budžeta ietvaru 202</w:t>
            </w:r>
            <w:r w:rsidRPr="00156280" w:rsidR="00670587">
              <w:rPr>
                <w:rFonts w:eastAsia="Times New Roman"/>
                <w:iCs/>
                <w:color w:val="000000" w:themeColor="text1"/>
              </w:rPr>
              <w:t>2</w:t>
            </w:r>
            <w:r w:rsidRPr="00156280">
              <w:rPr>
                <w:rFonts w:eastAsia="Times New Roman"/>
                <w:iCs/>
                <w:color w:val="000000" w:themeColor="text1"/>
              </w:rPr>
              <w:t xml:space="preserve">. </w:t>
            </w:r>
            <w:r w:rsidRPr="00156280">
              <w:rPr>
                <w:rFonts w:eastAsia="Times New Roman"/>
                <w:iCs/>
                <w:color w:val="000000" w:themeColor="text1"/>
              </w:rPr>
              <w:lastRenderedPageBreak/>
              <w:t>gadam</w:t>
            </w:r>
          </w:p>
        </w:tc>
        <w:tc>
          <w:tcPr>
            <w:tcW w:w="1020" w:type="dxa"/>
            <w:tcBorders>
              <w:top w:val="outset" w:color="auto" w:sz="6" w:space="0"/>
              <w:left w:val="outset" w:color="auto" w:sz="6" w:space="0"/>
              <w:bottom w:val="outset" w:color="auto" w:sz="6" w:space="0"/>
              <w:right w:val="outset" w:color="auto" w:sz="6" w:space="0"/>
            </w:tcBorders>
            <w:vAlign w:val="center"/>
            <w:hideMark/>
          </w:tcPr>
          <w:p w:rsidRPr="00156280" w:rsidR="007E2644" w:rsidP="00DB1D6D" w:rsidRDefault="007E2644">
            <w:pPr>
              <w:jc w:val="center"/>
              <w:rPr>
                <w:rFonts w:eastAsia="Times New Roman"/>
                <w:iCs/>
                <w:color w:val="000000" w:themeColor="text1"/>
              </w:rPr>
            </w:pPr>
            <w:r w:rsidRPr="00156280">
              <w:rPr>
                <w:rFonts w:eastAsia="Times New Roman"/>
                <w:iCs/>
                <w:color w:val="000000" w:themeColor="text1"/>
              </w:rPr>
              <w:lastRenderedPageBreak/>
              <w:t>izmaiņas, salīdzinot ar vidēja termiņa budžeta ietvaru 202</w:t>
            </w:r>
            <w:r w:rsidRPr="00156280" w:rsidR="00670587">
              <w:rPr>
                <w:rFonts w:eastAsia="Times New Roman"/>
                <w:iCs/>
                <w:color w:val="000000" w:themeColor="text1"/>
              </w:rPr>
              <w:t>2</w:t>
            </w:r>
            <w:r w:rsidRPr="00156280">
              <w:rPr>
                <w:rFonts w:eastAsia="Times New Roman"/>
                <w:iCs/>
                <w:color w:val="000000" w:themeColor="text1"/>
              </w:rPr>
              <w:t xml:space="preserve">. </w:t>
            </w:r>
            <w:r w:rsidRPr="00156280">
              <w:rPr>
                <w:rFonts w:eastAsia="Times New Roman"/>
                <w:iCs/>
                <w:color w:val="000000" w:themeColor="text1"/>
              </w:rPr>
              <w:lastRenderedPageBreak/>
              <w:t>gadam</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lastRenderedPageBreak/>
              <w:t>1</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color="auto" w:sz="6" w:space="0"/>
              <w:left w:val="outset" w:color="auto" w:sz="6" w:space="0"/>
              <w:bottom w:val="outset" w:color="auto" w:sz="6" w:space="0"/>
              <w:right w:val="outset" w:color="auto" w:sz="6" w:space="0"/>
            </w:tcBorders>
            <w:vAlign w:val="center"/>
            <w:hideMark/>
          </w:tcPr>
          <w:p w:rsidRPr="007D1F86" w:rsidR="007E2644" w:rsidP="00DB1D6D" w:rsidRDefault="00523612">
            <w:pPr>
              <w:ind w:right="-1"/>
              <w:jc w:val="center"/>
              <w:rPr>
                <w:rFonts w:eastAsia="Times New Roman"/>
                <w:color w:val="000000" w:themeColor="text1"/>
                <w:highlight w:val="yellow"/>
              </w:rPr>
            </w:pPr>
            <w:r>
              <w:rPr>
                <w:rFonts w:eastAsia="Times New Roman"/>
              </w:rPr>
              <w:t>198 388 262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color="auto" w:sz="6" w:space="0"/>
              <w:left w:val="outset" w:color="auto" w:sz="6" w:space="0"/>
              <w:bottom w:val="outset" w:color="auto" w:sz="6" w:space="0"/>
              <w:right w:val="outset" w:color="auto" w:sz="6" w:space="0"/>
            </w:tcBorders>
            <w:vAlign w:val="center"/>
            <w:hideMark/>
          </w:tcPr>
          <w:p w:rsidRPr="007D1F86" w:rsidR="007E2644" w:rsidP="00DB1D6D" w:rsidRDefault="00523612">
            <w:pPr>
              <w:ind w:right="-1"/>
              <w:jc w:val="center"/>
              <w:rPr>
                <w:rFonts w:eastAsia="Times New Roman"/>
                <w:color w:val="000000" w:themeColor="text1"/>
                <w:highlight w:val="yellow"/>
              </w:rPr>
            </w:pPr>
            <w:r>
              <w:rPr>
                <w:rFonts w:eastAsia="Times New Roman"/>
              </w:rPr>
              <w:t>198 388 262</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 xml:space="preserve">4. Finanšu līdzekļi papildu izdevumu finansēšanai </w:t>
            </w:r>
            <w:r w:rsidRPr="00822C8A">
              <w:rPr>
                <w:rFonts w:eastAsia="Times New Roman"/>
                <w:iCs/>
                <w:color w:val="000000" w:themeColor="text1"/>
                <w:sz w:val="28"/>
                <w:szCs w:val="28"/>
              </w:rPr>
              <w:lastRenderedPageBreak/>
              <w:t>(kompensējošu izdevumu samazinājumu norāda ar "+" zīmi)</w:t>
            </w:r>
          </w:p>
        </w:tc>
        <w:tc>
          <w:tcPr>
            <w:tcW w:w="153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lastRenderedPageBreak/>
              <w:t>X</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lastRenderedPageBreak/>
              <w:t>5. Precizēta finansiālā ietekme</w:t>
            </w:r>
          </w:p>
        </w:tc>
        <w:tc>
          <w:tcPr>
            <w:tcW w:w="153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156280">
        <w:trPr>
          <w:trHeight w:val="724"/>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4"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c>
          <w:tcPr>
            <w:tcW w:w="961"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Pr="001A75DA" w:rsidR="007E2644" w:rsidTr="00156280">
        <w:trPr>
          <w:trHeight w:val="3603"/>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color w:val="000000" w:themeColor="text1"/>
                <w:sz w:val="28"/>
                <w:szCs w:val="28"/>
              </w:rPr>
              <w:t>Projekts šo jomu neskar.</w:t>
            </w: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r>
      <w:tr w:rsidRPr="001A75DA" w:rsidR="007E2644" w:rsidTr="00DB1D6D">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rPr>
                <w:rFonts w:eastAsia="Times New Roman"/>
                <w:iCs/>
                <w:color w:val="000000" w:themeColor="text1"/>
                <w:sz w:val="28"/>
                <w:szCs w:val="28"/>
              </w:rPr>
            </w:pPr>
          </w:p>
        </w:tc>
      </w:tr>
      <w:tr w:rsidRPr="001A75DA" w:rsidR="007E2644" w:rsidTr="00156280">
        <w:trPr>
          <w:trHeight w:val="643"/>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color="auto" w:sz="6" w:space="0"/>
              <w:left w:val="outset" w:color="auto" w:sz="6" w:space="0"/>
              <w:bottom w:val="outset" w:color="auto" w:sz="6" w:space="0"/>
              <w:right w:val="outset" w:color="auto" w:sz="6" w:space="0"/>
            </w:tcBorders>
            <w:hideMark/>
          </w:tcPr>
          <w:p w:rsidR="007E2644" w:rsidP="00DB1D6D" w:rsidRDefault="007E2644">
            <w:pPr>
              <w:rPr>
                <w:rFonts w:asciiTheme="minorHAnsi" w:hAnsiTheme="minorHAnsi" w:eastAsiaTheme="minorEastAsia"/>
                <w:color w:val="000000" w:themeColor="text1"/>
              </w:rPr>
            </w:pPr>
            <w:r w:rsidRPr="00822C8A">
              <w:rPr>
                <w:color w:val="000000" w:themeColor="text1"/>
                <w:sz w:val="28"/>
                <w:szCs w:val="28"/>
              </w:rPr>
              <w:t>Projekts šo jomu neskar.</w:t>
            </w:r>
          </w:p>
        </w:tc>
      </w:tr>
      <w:tr w:rsidRPr="001A75DA" w:rsidR="007E2644" w:rsidTr="00E42800">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007E2644" w:rsidP="00DB1D6D" w:rsidRDefault="007E2644">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color="auto" w:sz="6" w:space="0"/>
              <w:left w:val="outset" w:color="auto" w:sz="6" w:space="0"/>
              <w:bottom w:val="outset" w:color="auto" w:sz="6" w:space="0"/>
              <w:right w:val="outset" w:color="auto" w:sz="6" w:space="0"/>
            </w:tcBorders>
            <w:hideMark/>
          </w:tcPr>
          <w:p w:rsidR="007E2644" w:rsidP="00297499" w:rsidRDefault="007E2644">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w:t>
            </w:r>
            <w:r w:rsidRPr="00413520">
              <w:rPr>
                <w:rFonts w:eastAsia="Times New Roman"/>
                <w:sz w:val="28"/>
                <w:szCs w:val="28"/>
              </w:rPr>
              <w:t>trīs gados</w:t>
            </w:r>
            <w:r w:rsidRPr="00822C8A">
              <w:rPr>
                <w:rFonts w:eastAsia="Times New Roman"/>
                <w:color w:val="000000" w:themeColor="text1"/>
                <w:sz w:val="28"/>
                <w:szCs w:val="28"/>
              </w:rPr>
              <w:t xml:space="preserve"> kopā netiktu pārskaitīta summa </w:t>
            </w:r>
            <w:r w:rsidRPr="00CD4732" w:rsidR="00CD4732">
              <w:rPr>
                <w:sz w:val="28"/>
                <w:szCs w:val="28"/>
              </w:rPr>
              <w:t>3 088</w:t>
            </w:r>
            <w:r w:rsidR="00CD4732">
              <w:t> </w:t>
            </w:r>
            <w:r w:rsidRPr="00297499">
              <w:rPr>
                <w:i/>
                <w:sz w:val="28"/>
                <w:szCs w:val="28"/>
              </w:rPr>
              <w:t>euro</w:t>
            </w:r>
            <w:r w:rsidRPr="00084B3E">
              <w:rPr>
                <w:rFonts w:eastAsia="Times New Roman"/>
                <w:sz w:val="28"/>
                <w:szCs w:val="28"/>
              </w:rPr>
              <w:t xml:space="preserve"> </w:t>
            </w:r>
            <w:r w:rsidRPr="00822C8A">
              <w:rPr>
                <w:rFonts w:eastAsia="Times New Roman"/>
                <w:color w:val="000000" w:themeColor="text1"/>
                <w:sz w:val="28"/>
                <w:szCs w:val="28"/>
              </w:rPr>
              <w:t xml:space="preserve">apmērā. Minētā summa paliktu kapitālsabiedrības rīcībā un tiktu novirzīta kapitālsabiedrībai </w:t>
            </w:r>
            <w:r w:rsidRPr="00400798">
              <w:rPr>
                <w:sz w:val="28"/>
                <w:szCs w:val="28"/>
              </w:rPr>
              <w:t xml:space="preserve">deleģēto valsts pārvaldes uzdevumu </w:t>
            </w:r>
            <w:r w:rsidRPr="00400798">
              <w:rPr>
                <w:rFonts w:eastAsia="Times New Roman"/>
                <w:sz w:val="28"/>
                <w:szCs w:val="28"/>
              </w:rPr>
              <w:t xml:space="preserve">kultūras jomā nodrošināšanas izdevumu </w:t>
            </w:r>
            <w:r w:rsidRPr="00400798">
              <w:rPr>
                <w:rFonts w:eastAsia="Times New Roman"/>
                <w:sz w:val="28"/>
                <w:szCs w:val="28"/>
              </w:rPr>
              <w:lastRenderedPageBreak/>
              <w:t xml:space="preserve">segšanai, nepalielinot kapitālsabiedrībai nepieciešamo valsts budžeta dotāciju </w:t>
            </w:r>
            <w:r w:rsidRPr="00400798">
              <w:rPr>
                <w:sz w:val="28"/>
                <w:szCs w:val="28"/>
              </w:rPr>
              <w:t xml:space="preserve">deleģēto valsts pārvaldes uzdevumu </w:t>
            </w:r>
            <w:r w:rsidRPr="00400798">
              <w:rPr>
                <w:rFonts w:eastAsia="Times New Roman"/>
                <w:sz w:val="28"/>
                <w:szCs w:val="28"/>
              </w:rPr>
              <w:t>kultūras jomā īstenošanai.</w:t>
            </w:r>
          </w:p>
        </w:tc>
      </w:tr>
    </w:tbl>
    <w:p w:rsidRPr="001A75DA" w:rsidR="007E2644" w:rsidP="007E2644" w:rsidRDefault="007E2644">
      <w:pPr>
        <w:pStyle w:val="BodyText"/>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1A75DA" w:rsidR="007E2644" w:rsidTr="00DB1D6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Pr="001A75DA" w:rsidR="007E2644" w:rsidTr="00DB1D6D">
        <w:trPr>
          <w:trHeight w:val="173"/>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color w:val="000000" w:themeColor="text1"/>
                <w:sz w:val="28"/>
                <w:szCs w:val="28"/>
              </w:rPr>
            </w:pPr>
            <w:r w:rsidRPr="00822C8A">
              <w:rPr>
                <w:bCs/>
                <w:iCs/>
                <w:color w:val="000000" w:themeColor="text1"/>
                <w:sz w:val="28"/>
                <w:szCs w:val="28"/>
              </w:rPr>
              <w:t>Projekts šo jomu neskar.</w:t>
            </w:r>
          </w:p>
        </w:tc>
      </w:tr>
    </w:tbl>
    <w:p w:rsidR="007E2644" w:rsidP="007E2644" w:rsidRDefault="007E2644">
      <w:pPr>
        <w:pStyle w:val="BodyText"/>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1A75DA" w:rsidR="00E42800" w:rsidTr="00A10F33">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800" w:rsidP="00A10F33" w:rsidRDefault="00E42800">
            <w:pPr>
              <w:jc w:val="center"/>
              <w:rPr>
                <w:b/>
                <w:bCs/>
                <w:iCs/>
                <w:color w:val="000000" w:themeColor="text1"/>
                <w:sz w:val="28"/>
                <w:szCs w:val="28"/>
              </w:rPr>
            </w:pPr>
            <w:r w:rsidRPr="00822C8A">
              <w:rPr>
                <w:b/>
                <w:bCs/>
                <w:iCs/>
                <w:color w:val="000000" w:themeColor="text1"/>
                <w:sz w:val="28"/>
                <w:szCs w:val="28"/>
              </w:rPr>
              <w:t>V. Tiesību akta projekta at</w:t>
            </w:r>
            <w:bookmarkStart w:name="_GoBack" w:id="0"/>
            <w:bookmarkEnd w:id="0"/>
            <w:r w:rsidRPr="00822C8A">
              <w:rPr>
                <w:b/>
                <w:bCs/>
                <w:iCs/>
                <w:color w:val="000000" w:themeColor="text1"/>
                <w:sz w:val="28"/>
                <w:szCs w:val="28"/>
              </w:rPr>
              <w:t>bilstība Latvijas Republikas starptautiskajām saistībām</w:t>
            </w:r>
          </w:p>
        </w:tc>
      </w:tr>
      <w:tr w:rsidRPr="001A75DA" w:rsidR="00E42800" w:rsidTr="00A10F33">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800" w:rsidP="00A10F33" w:rsidRDefault="00E42800">
            <w:pPr>
              <w:jc w:val="center"/>
              <w:rPr>
                <w:bCs/>
                <w:iCs/>
                <w:color w:val="000000" w:themeColor="text1"/>
                <w:sz w:val="28"/>
                <w:szCs w:val="28"/>
              </w:rPr>
            </w:pPr>
            <w:r w:rsidRPr="00822C8A">
              <w:rPr>
                <w:bCs/>
                <w:iCs/>
                <w:color w:val="000000" w:themeColor="text1"/>
                <w:sz w:val="28"/>
                <w:szCs w:val="28"/>
              </w:rPr>
              <w:t>Projekts šo jomu neskar.</w:t>
            </w:r>
          </w:p>
        </w:tc>
      </w:tr>
    </w:tbl>
    <w:p w:rsidRPr="001A75DA" w:rsidR="00E42800" w:rsidP="007E2644" w:rsidRDefault="00E42800">
      <w:pPr>
        <w:pStyle w:val="BodyText"/>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1A75DA" w:rsidR="007E2644" w:rsidTr="00DB1D6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Pr="001A75DA" w:rsidR="007E2644" w:rsidTr="00DB1D6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Cs/>
                <w:iCs/>
                <w:color w:val="000000" w:themeColor="text1"/>
                <w:sz w:val="28"/>
                <w:szCs w:val="28"/>
              </w:rPr>
            </w:pPr>
            <w:r w:rsidRPr="00822C8A">
              <w:rPr>
                <w:bCs/>
                <w:iCs/>
                <w:color w:val="000000" w:themeColor="text1"/>
                <w:sz w:val="28"/>
                <w:szCs w:val="28"/>
              </w:rPr>
              <w:t>Projekts šo jomu neskar.</w:t>
            </w:r>
          </w:p>
        </w:tc>
      </w:tr>
    </w:tbl>
    <w:p w:rsidRPr="001A75DA" w:rsidR="007E2644" w:rsidP="007E2644" w:rsidRDefault="007E2644">
      <w:pPr>
        <w:pStyle w:val="BodyText"/>
        <w:rPr>
          <w:b/>
          <w:color w:val="000000" w:themeColor="text1"/>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1A75DA" w:rsidR="007E2644" w:rsidTr="00DB1D6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7E2644" w:rsidP="00DB1D6D" w:rsidRDefault="007E2644">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Pr="001A75DA" w:rsidR="007E2644" w:rsidTr="00DB1D6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both"/>
              <w:rPr>
                <w:iCs/>
                <w:color w:val="000000" w:themeColor="text1"/>
                <w:sz w:val="28"/>
                <w:szCs w:val="28"/>
              </w:rPr>
            </w:pPr>
            <w:r w:rsidRPr="00822C8A">
              <w:rPr>
                <w:color w:val="000000" w:themeColor="text1"/>
                <w:sz w:val="28"/>
                <w:szCs w:val="28"/>
              </w:rPr>
              <w:t>Kultūras ministrija.</w:t>
            </w:r>
          </w:p>
        </w:tc>
      </w:tr>
      <w:tr w:rsidRPr="001A75DA" w:rsidR="007E2644" w:rsidTr="00DB1D6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2.</w:t>
            </w:r>
          </w:p>
        </w:tc>
        <w:tc>
          <w:tcPr>
            <w:tcW w:w="1700" w:type="pct"/>
            <w:tcBorders>
              <w:top w:val="outset" w:color="auto" w:sz="6" w:space="0"/>
              <w:left w:val="outset" w:color="auto" w:sz="6" w:space="0"/>
              <w:bottom w:val="outset" w:color="auto" w:sz="6" w:space="0"/>
              <w:right w:val="outset" w:color="auto" w:sz="6" w:space="0"/>
            </w:tcBorders>
            <w:hideMark/>
          </w:tcPr>
          <w:p w:rsidR="007E2644" w:rsidP="00156280" w:rsidRDefault="007E2644">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both"/>
              <w:rPr>
                <w:iCs/>
                <w:color w:val="000000" w:themeColor="text1"/>
                <w:sz w:val="28"/>
                <w:szCs w:val="28"/>
              </w:rPr>
            </w:pPr>
            <w:r w:rsidRPr="00822C8A">
              <w:rPr>
                <w:color w:val="000000" w:themeColor="text1"/>
                <w:sz w:val="28"/>
                <w:szCs w:val="28"/>
              </w:rPr>
              <w:t>Projekts šo jomu neskar.</w:t>
            </w:r>
          </w:p>
        </w:tc>
      </w:tr>
      <w:tr w:rsidRPr="001A75DA" w:rsidR="007E2644" w:rsidTr="00DB1D6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007E2644" w:rsidP="00DB1D6D" w:rsidRDefault="007E2644">
            <w:pPr>
              <w:jc w:val="center"/>
              <w:rPr>
                <w:iCs/>
                <w:color w:val="000000" w:themeColor="text1"/>
                <w:sz w:val="28"/>
                <w:szCs w:val="28"/>
              </w:rPr>
            </w:pPr>
            <w:r w:rsidRPr="00822C8A">
              <w:rPr>
                <w:iCs/>
                <w:color w:val="000000" w:themeColor="text1"/>
                <w:sz w:val="28"/>
                <w:szCs w:val="28"/>
              </w:rPr>
              <w:t>3.</w:t>
            </w:r>
          </w:p>
        </w:tc>
        <w:tc>
          <w:tcPr>
            <w:tcW w:w="170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iCs/>
                <w:color w:val="000000" w:themeColor="text1"/>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007E2644" w:rsidP="00DB1D6D" w:rsidRDefault="007E2644">
            <w:pPr>
              <w:rPr>
                <w:iCs/>
                <w:color w:val="000000" w:themeColor="text1"/>
                <w:sz w:val="28"/>
                <w:szCs w:val="28"/>
              </w:rPr>
            </w:pPr>
            <w:r w:rsidRPr="00822C8A">
              <w:rPr>
                <w:color w:val="000000" w:themeColor="text1"/>
                <w:sz w:val="28"/>
                <w:szCs w:val="28"/>
              </w:rPr>
              <w:t>Nav</w:t>
            </w:r>
          </w:p>
        </w:tc>
      </w:tr>
    </w:tbl>
    <w:p w:rsidR="007E2644" w:rsidP="007E2644" w:rsidRDefault="007E2644">
      <w:pPr>
        <w:pStyle w:val="BodyText"/>
        <w:rPr>
          <w:b/>
          <w:color w:val="000000" w:themeColor="text1"/>
          <w:szCs w:val="28"/>
        </w:rPr>
      </w:pPr>
    </w:p>
    <w:p w:rsidRPr="001A75DA" w:rsidR="00763C58" w:rsidP="007E2644" w:rsidRDefault="00763C58">
      <w:pPr>
        <w:pStyle w:val="BodyText"/>
        <w:rPr>
          <w:b/>
          <w:color w:val="000000" w:themeColor="text1"/>
          <w:szCs w:val="28"/>
        </w:rPr>
      </w:pPr>
    </w:p>
    <w:p w:rsidRPr="001A75DA" w:rsidR="007E2644" w:rsidP="007E2644" w:rsidRDefault="007E2644">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rsidRPr="001A75DA" w:rsidR="007E2644" w:rsidP="007E2644" w:rsidRDefault="007E2644">
      <w:pPr>
        <w:rPr>
          <w:color w:val="000000" w:themeColor="text1"/>
          <w:sz w:val="28"/>
          <w:szCs w:val="28"/>
        </w:rPr>
      </w:pPr>
    </w:p>
    <w:p w:rsidRPr="001A75DA" w:rsidR="007E2644" w:rsidP="007E2644" w:rsidRDefault="007E2644">
      <w:pPr>
        <w:ind w:left="357" w:hanging="73"/>
        <w:rPr>
          <w:color w:val="000000" w:themeColor="text1"/>
          <w:sz w:val="28"/>
          <w:szCs w:val="28"/>
        </w:rPr>
      </w:pPr>
      <w:r w:rsidRPr="00822C8A">
        <w:rPr>
          <w:color w:val="000000" w:themeColor="text1"/>
          <w:sz w:val="28"/>
          <w:szCs w:val="28"/>
        </w:rPr>
        <w:t>Vīza: Valsts sekretār</w:t>
      </w:r>
      <w:r w:rsidR="00A81117">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A81117">
        <w:rPr>
          <w:color w:val="000000" w:themeColor="text1"/>
          <w:sz w:val="28"/>
          <w:szCs w:val="28"/>
        </w:rPr>
        <w:tab/>
        <w:t>D.Vilsone</w:t>
      </w:r>
    </w:p>
    <w:p w:rsidR="007E2644" w:rsidP="007E2644" w:rsidRDefault="007E2644">
      <w:pPr>
        <w:rPr>
          <w:color w:val="000000" w:themeColor="text1"/>
        </w:rPr>
      </w:pPr>
    </w:p>
    <w:p w:rsidR="00E42800" w:rsidP="007E2644" w:rsidRDefault="00E42800">
      <w:pPr>
        <w:rPr>
          <w:color w:val="000000" w:themeColor="text1"/>
        </w:rPr>
      </w:pPr>
    </w:p>
    <w:p w:rsidR="00E42800" w:rsidP="007E2644" w:rsidRDefault="00E42800">
      <w:pPr>
        <w:rPr>
          <w:color w:val="000000" w:themeColor="text1"/>
        </w:rPr>
      </w:pPr>
    </w:p>
    <w:p w:rsidR="00763C58" w:rsidP="007E2644" w:rsidRDefault="00763C58">
      <w:pPr>
        <w:rPr>
          <w:color w:val="000000" w:themeColor="text1"/>
        </w:rPr>
      </w:pPr>
    </w:p>
    <w:p w:rsidR="007E2644" w:rsidP="007E2644" w:rsidRDefault="007E2644">
      <w:pPr>
        <w:tabs>
          <w:tab w:val="left" w:pos="6804"/>
        </w:tabs>
        <w:ind w:right="-1"/>
        <w:rPr>
          <w:color w:val="000000" w:themeColor="text1"/>
          <w:sz w:val="20"/>
          <w:szCs w:val="20"/>
        </w:rPr>
      </w:pPr>
      <w:r w:rsidRPr="00822C8A">
        <w:rPr>
          <w:color w:val="000000" w:themeColor="text1"/>
          <w:sz w:val="20"/>
          <w:szCs w:val="20"/>
        </w:rPr>
        <w:t>Katajs 67330327</w:t>
      </w:r>
    </w:p>
    <w:p w:rsidR="00A258F4" w:rsidP="00064B13" w:rsidRDefault="00981301">
      <w:pPr>
        <w:ind w:right="-1"/>
      </w:pPr>
      <w:hyperlink w:history="1" r:id="rId10">
        <w:r w:rsidRPr="001A75DA" w:rsidR="007E2644">
          <w:rPr>
            <w:rStyle w:val="Hyperlink"/>
            <w:sz w:val="20"/>
            <w:szCs w:val="20"/>
          </w:rPr>
          <w:t>Marcis.Katajs@km.gov.lv</w:t>
        </w:r>
      </w:hyperlink>
    </w:p>
    <w:sectPr w:rsidR="00A258F4" w:rsidSect="00DB1D6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3E" w:rsidRDefault="0082793E" w:rsidP="00BC1E26">
      <w:r>
        <w:separator/>
      </w:r>
    </w:p>
  </w:endnote>
  <w:endnote w:type="continuationSeparator" w:id="0">
    <w:p w:rsidR="0082793E" w:rsidRDefault="0082793E" w:rsidP="00BC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F4" w:rsidRDefault="007C3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D5" w:rsidRDefault="00ED0CD5">
    <w:pPr>
      <w:pStyle w:val="Footer"/>
      <w:jc w:val="center"/>
    </w:pPr>
  </w:p>
  <w:p w:rsidR="00ED0CD5" w:rsidRDefault="00ED0CD5">
    <w:pPr>
      <w:pStyle w:val="Footer"/>
    </w:pPr>
    <w:r w:rsidRPr="007B30B4">
      <w:rPr>
        <w:sz w:val="20"/>
        <w:szCs w:val="20"/>
      </w:rPr>
      <w:t>KMAnot_</w:t>
    </w:r>
    <w:r w:rsidR="007C3AF4">
      <w:rPr>
        <w:sz w:val="20"/>
        <w:szCs w:val="20"/>
      </w:rPr>
      <w:t>04</w:t>
    </w:r>
    <w:r w:rsidR="00D837A5">
      <w:rPr>
        <w:sz w:val="20"/>
        <w:szCs w:val="20"/>
      </w:rPr>
      <w:t>06</w:t>
    </w:r>
    <w:r>
      <w:rPr>
        <w:sz w:val="20"/>
        <w:szCs w:val="20"/>
      </w:rPr>
      <w:t>20</w:t>
    </w:r>
    <w:r w:rsidRPr="007B30B4">
      <w:rPr>
        <w:sz w:val="20"/>
        <w:szCs w:val="20"/>
      </w:rPr>
      <w:t>_</w:t>
    </w:r>
    <w:r>
      <w:rPr>
        <w:sz w:val="20"/>
        <w:szCs w:val="20"/>
      </w:rPr>
      <w:t>KB</w:t>
    </w:r>
    <w:r w:rsidRPr="007B30B4">
      <w:rPr>
        <w:sz w:val="20"/>
        <w:szCs w:val="20"/>
      </w:rPr>
      <w:t>_</w:t>
    </w:r>
    <w:r>
      <w:rPr>
        <w:sz w:val="20"/>
        <w:szCs w:val="20"/>
      </w:rPr>
      <w:t>strategija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D5" w:rsidRDefault="00ED0CD5">
    <w:pPr>
      <w:pStyle w:val="Footer"/>
    </w:pPr>
    <w:r w:rsidRPr="007B30B4">
      <w:rPr>
        <w:sz w:val="20"/>
        <w:szCs w:val="20"/>
      </w:rPr>
      <w:t>KMAnot_</w:t>
    </w:r>
    <w:r w:rsidR="00D837A5">
      <w:rPr>
        <w:sz w:val="20"/>
        <w:szCs w:val="20"/>
      </w:rPr>
      <w:t>0406</w:t>
    </w:r>
    <w:r>
      <w:rPr>
        <w:sz w:val="20"/>
        <w:szCs w:val="20"/>
      </w:rPr>
      <w:t>20</w:t>
    </w:r>
    <w:r w:rsidRPr="007B30B4">
      <w:rPr>
        <w:sz w:val="20"/>
        <w:szCs w:val="20"/>
      </w:rPr>
      <w:t>_</w:t>
    </w:r>
    <w:r>
      <w:rPr>
        <w:sz w:val="20"/>
        <w:szCs w:val="20"/>
      </w:rPr>
      <w:t>KB</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3E" w:rsidRDefault="0082793E" w:rsidP="00BC1E26">
      <w:r>
        <w:separator/>
      </w:r>
    </w:p>
  </w:footnote>
  <w:footnote w:type="continuationSeparator" w:id="0">
    <w:p w:rsidR="0082793E" w:rsidRDefault="0082793E" w:rsidP="00BC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F4" w:rsidRDefault="007C3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ED0CD5" w:rsidRDefault="00981301">
        <w:pPr>
          <w:pStyle w:val="Header"/>
          <w:jc w:val="center"/>
        </w:pPr>
        <w:r>
          <w:fldChar w:fldCharType="begin"/>
        </w:r>
        <w:r w:rsidR="00D837A5">
          <w:instrText xml:space="preserve"> PAGE   \* MERGEFORMAT </w:instrText>
        </w:r>
        <w:r>
          <w:fldChar w:fldCharType="separate"/>
        </w:r>
        <w:r w:rsidR="00143FC6">
          <w:rPr>
            <w:noProof/>
          </w:rPr>
          <w:t>11</w:t>
        </w:r>
        <w:r>
          <w:rPr>
            <w:noProof/>
          </w:rPr>
          <w:fldChar w:fldCharType="end"/>
        </w:r>
      </w:p>
    </w:sdtContent>
  </w:sdt>
  <w:p w:rsidR="00ED0CD5" w:rsidRDefault="00ED0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F4" w:rsidRDefault="007C3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D229C"/>
    <w:multiLevelType w:val="hybridMultilevel"/>
    <w:tmpl w:val="670829CC"/>
    <w:lvl w:ilvl="0" w:tplc="C5A4B39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e Šakina">
    <w15:presenceInfo w15:providerId="AD" w15:userId="S::Anete.Sakina@kultura.lv::d9bc873a-8876-4800-bd45-e9f5ebb976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644"/>
    <w:rsid w:val="00017A83"/>
    <w:rsid w:val="00045DD1"/>
    <w:rsid w:val="000517AF"/>
    <w:rsid w:val="00064B13"/>
    <w:rsid w:val="0008066B"/>
    <w:rsid w:val="00084B3E"/>
    <w:rsid w:val="0013509A"/>
    <w:rsid w:val="00143FC6"/>
    <w:rsid w:val="00156280"/>
    <w:rsid w:val="00165CD1"/>
    <w:rsid w:val="001753A2"/>
    <w:rsid w:val="00180404"/>
    <w:rsid w:val="001B25B5"/>
    <w:rsid w:val="001B2FDD"/>
    <w:rsid w:val="001C6837"/>
    <w:rsid w:val="001C7347"/>
    <w:rsid w:val="001E2006"/>
    <w:rsid w:val="00264F82"/>
    <w:rsid w:val="00297499"/>
    <w:rsid w:val="002B004C"/>
    <w:rsid w:val="00324BA4"/>
    <w:rsid w:val="00327822"/>
    <w:rsid w:val="003452BD"/>
    <w:rsid w:val="00354214"/>
    <w:rsid w:val="00356DF3"/>
    <w:rsid w:val="00371EA6"/>
    <w:rsid w:val="00371EF2"/>
    <w:rsid w:val="0038290E"/>
    <w:rsid w:val="003E5BBF"/>
    <w:rsid w:val="00400798"/>
    <w:rsid w:val="00403765"/>
    <w:rsid w:val="00413520"/>
    <w:rsid w:val="004655FF"/>
    <w:rsid w:val="004A1074"/>
    <w:rsid w:val="004B5700"/>
    <w:rsid w:val="004C094A"/>
    <w:rsid w:val="004C4F81"/>
    <w:rsid w:val="004C532C"/>
    <w:rsid w:val="004D3F68"/>
    <w:rsid w:val="00523612"/>
    <w:rsid w:val="00531A89"/>
    <w:rsid w:val="005355EE"/>
    <w:rsid w:val="00545196"/>
    <w:rsid w:val="0055153F"/>
    <w:rsid w:val="005B122D"/>
    <w:rsid w:val="00607792"/>
    <w:rsid w:val="006176A5"/>
    <w:rsid w:val="00623707"/>
    <w:rsid w:val="00670587"/>
    <w:rsid w:val="006962F5"/>
    <w:rsid w:val="006B135B"/>
    <w:rsid w:val="006D58DD"/>
    <w:rsid w:val="006F5788"/>
    <w:rsid w:val="007121DB"/>
    <w:rsid w:val="00723321"/>
    <w:rsid w:val="00756C55"/>
    <w:rsid w:val="00763C58"/>
    <w:rsid w:val="007821D7"/>
    <w:rsid w:val="007B6909"/>
    <w:rsid w:val="007C3AF4"/>
    <w:rsid w:val="007E2644"/>
    <w:rsid w:val="0082793E"/>
    <w:rsid w:val="00837D50"/>
    <w:rsid w:val="008C77CB"/>
    <w:rsid w:val="00965E34"/>
    <w:rsid w:val="0097566D"/>
    <w:rsid w:val="00981301"/>
    <w:rsid w:val="00992055"/>
    <w:rsid w:val="009974C1"/>
    <w:rsid w:val="009B5DCB"/>
    <w:rsid w:val="009E4857"/>
    <w:rsid w:val="009F2243"/>
    <w:rsid w:val="00A12EDC"/>
    <w:rsid w:val="00A258F4"/>
    <w:rsid w:val="00A81117"/>
    <w:rsid w:val="00A87794"/>
    <w:rsid w:val="00A93A02"/>
    <w:rsid w:val="00AA2B8A"/>
    <w:rsid w:val="00AB68B0"/>
    <w:rsid w:val="00AC1C42"/>
    <w:rsid w:val="00B0114F"/>
    <w:rsid w:val="00B15A77"/>
    <w:rsid w:val="00B70982"/>
    <w:rsid w:val="00BC1E26"/>
    <w:rsid w:val="00BE17E7"/>
    <w:rsid w:val="00BF4E99"/>
    <w:rsid w:val="00C25031"/>
    <w:rsid w:val="00C54BA7"/>
    <w:rsid w:val="00C874D4"/>
    <w:rsid w:val="00CB562F"/>
    <w:rsid w:val="00CD4732"/>
    <w:rsid w:val="00CE4D7C"/>
    <w:rsid w:val="00D45028"/>
    <w:rsid w:val="00D47A98"/>
    <w:rsid w:val="00D50648"/>
    <w:rsid w:val="00D61ACA"/>
    <w:rsid w:val="00D837A5"/>
    <w:rsid w:val="00DA6284"/>
    <w:rsid w:val="00DB1D6D"/>
    <w:rsid w:val="00DB4216"/>
    <w:rsid w:val="00DC404C"/>
    <w:rsid w:val="00DC4897"/>
    <w:rsid w:val="00DD1D9A"/>
    <w:rsid w:val="00DF6234"/>
    <w:rsid w:val="00E37A11"/>
    <w:rsid w:val="00E42800"/>
    <w:rsid w:val="00E42EE9"/>
    <w:rsid w:val="00E55FA9"/>
    <w:rsid w:val="00ED0CD5"/>
    <w:rsid w:val="00F34567"/>
    <w:rsid w:val="00F82A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4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E2644"/>
    <w:rPr>
      <w:color w:val="0000FF"/>
      <w:u w:val="single"/>
    </w:rPr>
  </w:style>
  <w:style w:type="paragraph" w:styleId="BodyText">
    <w:name w:val="Body Text"/>
    <w:basedOn w:val="Normal"/>
    <w:link w:val="BodyTextChar"/>
    <w:semiHidden/>
    <w:unhideWhenUsed/>
    <w:rsid w:val="007E2644"/>
    <w:pPr>
      <w:jc w:val="center"/>
    </w:pPr>
    <w:rPr>
      <w:rFonts w:eastAsia="Times New Roman"/>
      <w:sz w:val="28"/>
      <w:szCs w:val="20"/>
      <w:lang w:eastAsia="en-US"/>
    </w:rPr>
  </w:style>
  <w:style w:type="character" w:customStyle="1" w:styleId="BodyTextChar">
    <w:name w:val="Body Text Char"/>
    <w:basedOn w:val="DefaultParagraphFont"/>
    <w:link w:val="BodyText"/>
    <w:semiHidden/>
    <w:rsid w:val="007E2644"/>
    <w:rPr>
      <w:rFonts w:ascii="Times New Roman" w:eastAsia="Times New Roman" w:hAnsi="Times New Roman" w:cs="Times New Roman"/>
      <w:sz w:val="28"/>
      <w:szCs w:val="20"/>
    </w:rPr>
  </w:style>
  <w:style w:type="paragraph" w:customStyle="1" w:styleId="tv2132">
    <w:name w:val="tv2132"/>
    <w:basedOn w:val="Normal"/>
    <w:rsid w:val="007E2644"/>
    <w:pPr>
      <w:spacing w:line="360" w:lineRule="auto"/>
      <w:ind w:firstLine="300"/>
    </w:pPr>
    <w:rPr>
      <w:rFonts w:eastAsia="Times New Roman"/>
      <w:color w:val="414142"/>
      <w:sz w:val="20"/>
      <w:szCs w:val="20"/>
    </w:rPr>
  </w:style>
  <w:style w:type="paragraph" w:customStyle="1" w:styleId="Default">
    <w:name w:val="Default"/>
    <w:rsid w:val="007E26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E2644"/>
    <w:pPr>
      <w:tabs>
        <w:tab w:val="center" w:pos="4153"/>
        <w:tab w:val="right" w:pos="8306"/>
      </w:tabs>
    </w:pPr>
  </w:style>
  <w:style w:type="character" w:customStyle="1" w:styleId="HeaderChar">
    <w:name w:val="Header Char"/>
    <w:basedOn w:val="DefaultParagraphFont"/>
    <w:link w:val="Header"/>
    <w:uiPriority w:val="99"/>
    <w:rsid w:val="007E2644"/>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E2644"/>
    <w:pPr>
      <w:tabs>
        <w:tab w:val="center" w:pos="4153"/>
        <w:tab w:val="right" w:pos="8306"/>
      </w:tabs>
    </w:pPr>
  </w:style>
  <w:style w:type="character" w:customStyle="1" w:styleId="FooterChar">
    <w:name w:val="Footer Char"/>
    <w:basedOn w:val="DefaultParagraphFont"/>
    <w:link w:val="Footer"/>
    <w:uiPriority w:val="99"/>
    <w:rsid w:val="007E2644"/>
    <w:rPr>
      <w:rFonts w:ascii="Times New Roman" w:eastAsia="Calibri" w:hAnsi="Times New Roman" w:cs="Times New Roman"/>
      <w:sz w:val="24"/>
      <w:szCs w:val="24"/>
      <w:lang w:eastAsia="lv-LV"/>
    </w:rPr>
  </w:style>
  <w:style w:type="character" w:customStyle="1" w:styleId="c1">
    <w:name w:val="c1"/>
    <w:basedOn w:val="DefaultParagraphFont"/>
    <w:rsid w:val="007E2644"/>
    <w:rPr>
      <w:rFonts w:ascii="Arial" w:hAnsi="Arial" w:cs="Arial" w:hint="default"/>
      <w:sz w:val="24"/>
      <w:szCs w:val="24"/>
    </w:rPr>
  </w:style>
  <w:style w:type="paragraph" w:styleId="NormalWeb">
    <w:name w:val="Normal (Web)"/>
    <w:basedOn w:val="Normal"/>
    <w:uiPriority w:val="99"/>
    <w:unhideWhenUsed/>
    <w:rsid w:val="007E2644"/>
    <w:pPr>
      <w:spacing w:before="100" w:beforeAutospacing="1" w:after="100" w:afterAutospacing="1"/>
    </w:pPr>
    <w:rPr>
      <w:rFonts w:eastAsia="Times New Roman"/>
    </w:rPr>
  </w:style>
  <w:style w:type="paragraph" w:customStyle="1" w:styleId="mt-translation">
    <w:name w:val="mt-translation"/>
    <w:basedOn w:val="Normal"/>
    <w:rsid w:val="00531A89"/>
    <w:pPr>
      <w:spacing w:after="100" w:afterAutospacing="1"/>
    </w:pPr>
    <w:rPr>
      <w:rFonts w:eastAsia="Times New Roman"/>
    </w:rPr>
  </w:style>
  <w:style w:type="paragraph" w:styleId="BalloonText">
    <w:name w:val="Balloon Text"/>
    <w:basedOn w:val="Normal"/>
    <w:link w:val="BalloonTextChar"/>
    <w:uiPriority w:val="99"/>
    <w:semiHidden/>
    <w:unhideWhenUsed/>
    <w:rsid w:val="004C532C"/>
    <w:rPr>
      <w:rFonts w:ascii="Tahoma" w:hAnsi="Tahoma" w:cs="Tahoma"/>
      <w:sz w:val="16"/>
      <w:szCs w:val="16"/>
    </w:rPr>
  </w:style>
  <w:style w:type="character" w:customStyle="1" w:styleId="BalloonTextChar">
    <w:name w:val="Balloon Text Char"/>
    <w:basedOn w:val="DefaultParagraphFont"/>
    <w:link w:val="BalloonText"/>
    <w:uiPriority w:val="99"/>
    <w:semiHidden/>
    <w:rsid w:val="004C532C"/>
    <w:rPr>
      <w:rFonts w:ascii="Tahoma" w:eastAsia="Calibri" w:hAnsi="Tahoma" w:cs="Tahoma"/>
      <w:sz w:val="16"/>
      <w:szCs w:val="16"/>
      <w:lang w:eastAsia="lv-LV"/>
    </w:rPr>
  </w:style>
  <w:style w:type="character" w:customStyle="1" w:styleId="Heading1">
    <w:name w:val="Heading #1_"/>
    <w:basedOn w:val="DefaultParagraphFont"/>
    <w:link w:val="Heading10"/>
    <w:locked/>
    <w:rsid w:val="001753A2"/>
    <w:rPr>
      <w:shd w:val="clear" w:color="auto" w:fill="FFFFFF"/>
    </w:rPr>
  </w:style>
  <w:style w:type="paragraph" w:customStyle="1" w:styleId="Heading10">
    <w:name w:val="Heading #1"/>
    <w:basedOn w:val="Normal"/>
    <w:link w:val="Heading1"/>
    <w:rsid w:val="001753A2"/>
    <w:pPr>
      <w:shd w:val="clear" w:color="auto" w:fill="FFFFFF"/>
      <w:spacing w:line="0" w:lineRule="atLeas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C094A"/>
    <w:rPr>
      <w:sz w:val="16"/>
      <w:szCs w:val="16"/>
    </w:rPr>
  </w:style>
  <w:style w:type="paragraph" w:styleId="CommentText">
    <w:name w:val="annotation text"/>
    <w:basedOn w:val="Normal"/>
    <w:link w:val="CommentTextChar"/>
    <w:uiPriority w:val="99"/>
    <w:semiHidden/>
    <w:unhideWhenUsed/>
    <w:rsid w:val="004C094A"/>
    <w:rPr>
      <w:sz w:val="20"/>
      <w:szCs w:val="20"/>
    </w:rPr>
  </w:style>
  <w:style w:type="character" w:customStyle="1" w:styleId="CommentTextChar">
    <w:name w:val="Comment Text Char"/>
    <w:basedOn w:val="DefaultParagraphFont"/>
    <w:link w:val="CommentText"/>
    <w:uiPriority w:val="99"/>
    <w:semiHidden/>
    <w:rsid w:val="004C094A"/>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094A"/>
    <w:rPr>
      <w:b/>
      <w:bCs/>
    </w:rPr>
  </w:style>
  <w:style w:type="character" w:customStyle="1" w:styleId="CommentSubjectChar">
    <w:name w:val="Comment Subject Char"/>
    <w:basedOn w:val="CommentTextChar"/>
    <w:link w:val="CommentSubject"/>
    <w:uiPriority w:val="99"/>
    <w:semiHidden/>
    <w:rsid w:val="004C094A"/>
    <w:rPr>
      <w:rFonts w:ascii="Times New Roman" w:eastAsia="Calibri"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858931387">
      <w:bodyDiv w:val="1"/>
      <w:marLeft w:val="0"/>
      <w:marRight w:val="0"/>
      <w:marTop w:val="0"/>
      <w:marBottom w:val="0"/>
      <w:divBdr>
        <w:top w:val="none" w:sz="0" w:space="0" w:color="auto"/>
        <w:left w:val="none" w:sz="0" w:space="0" w:color="auto"/>
        <w:bottom w:val="none" w:sz="0" w:space="0" w:color="auto"/>
        <w:right w:val="none" w:sz="0" w:space="0" w:color="auto"/>
      </w:divBdr>
    </w:div>
    <w:div w:id="1040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cis.Katajs@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4B7BC-4FF2-4732-95BD-61132E27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11030</Words>
  <Characters>6288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2020-06-04T09:35:00Z</dcterms:created>
  <dcterms:modified xsi:type="dcterms:W3CDTF">2020-06-04T09:35:00Z</dcterms:modified>
</cp:coreProperties>
</file>