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EE05D3" w:rsidR="002C678D" w:rsidP="002C678D" w:rsidRDefault="002C678D">
      <w:pPr>
        <w:pStyle w:val="naisnod"/>
        <w:spacing w:before="0" w:after="0"/>
        <w:rPr>
          <w:sz w:val="22"/>
          <w:szCs w:val="22"/>
        </w:rPr>
      </w:pPr>
      <w:r w:rsidRPr="00EE05D3">
        <w:rPr>
          <w:sz w:val="22"/>
          <w:szCs w:val="22"/>
        </w:rPr>
        <w:t>Izziņa par atzinumos sniegtajiem iebildumiem</w:t>
      </w:r>
    </w:p>
    <w:p w:rsidRPr="00EE05D3" w:rsidR="00485731" w:rsidP="002C678D" w:rsidRDefault="002C678D">
      <w:pPr>
        <w:jc w:val="center"/>
        <w:rPr>
          <w:b/>
          <w:bCs/>
          <w:sz w:val="22"/>
          <w:szCs w:val="22"/>
        </w:rPr>
      </w:pPr>
      <w:r w:rsidRPr="00EE05D3">
        <w:rPr>
          <w:b/>
          <w:sz w:val="22"/>
          <w:szCs w:val="22"/>
        </w:rPr>
        <w:t>par Ministru kabineta rīkojuma projektu „</w:t>
      </w:r>
      <w:r w:rsidRPr="00EE05D3" w:rsidR="00B856B6">
        <w:rPr>
          <w:b/>
          <w:bCs/>
          <w:sz w:val="22"/>
          <w:szCs w:val="22"/>
        </w:rPr>
        <w:t xml:space="preserve">Par valstij dividendēs izmaksājamo valsts sabiedrības ar ierobežotu atbildību </w:t>
      </w:r>
    </w:p>
    <w:p w:rsidRPr="00EE05D3" w:rsidR="002C678D" w:rsidP="002C678D" w:rsidRDefault="00B856B6">
      <w:pPr>
        <w:jc w:val="center"/>
        <w:rPr>
          <w:b/>
          <w:sz w:val="22"/>
          <w:szCs w:val="22"/>
        </w:rPr>
      </w:pPr>
      <w:r w:rsidRPr="00EE05D3">
        <w:rPr>
          <w:b/>
          <w:sz w:val="22"/>
          <w:szCs w:val="22"/>
        </w:rPr>
        <w:t xml:space="preserve">„KREMERATA BALTICA” </w:t>
      </w:r>
      <w:r w:rsidRPr="00EE05D3">
        <w:rPr>
          <w:b/>
          <w:bCs/>
          <w:sz w:val="22"/>
          <w:szCs w:val="22"/>
        </w:rPr>
        <w:t>peļņas daļu</w:t>
      </w:r>
      <w:r w:rsidRPr="00EE05D3" w:rsidR="002C678D">
        <w:rPr>
          <w:b/>
          <w:sz w:val="22"/>
          <w:szCs w:val="22"/>
        </w:rPr>
        <w:t>”</w:t>
      </w:r>
    </w:p>
    <w:p w:rsidRPr="00EE05D3" w:rsidR="002C678D" w:rsidP="002C678D" w:rsidRDefault="002C678D">
      <w:pPr>
        <w:jc w:val="center"/>
        <w:rPr>
          <w:b/>
          <w:sz w:val="22"/>
          <w:szCs w:val="22"/>
        </w:rPr>
      </w:pPr>
    </w:p>
    <w:p w:rsidRPr="00EE05D3" w:rsidR="002C678D" w:rsidP="002C678D" w:rsidRDefault="00B856B6">
      <w:pPr>
        <w:numPr>
          <w:ilvl w:val="0"/>
          <w:numId w:val="1"/>
        </w:numPr>
        <w:ind w:left="567" w:hanging="207"/>
        <w:jc w:val="center"/>
        <w:rPr>
          <w:b/>
          <w:bCs/>
          <w:sz w:val="22"/>
          <w:szCs w:val="22"/>
        </w:rPr>
      </w:pPr>
      <w:r w:rsidRPr="00EE05D3">
        <w:rPr>
          <w:b/>
          <w:bCs/>
          <w:sz w:val="22"/>
          <w:szCs w:val="22"/>
        </w:rPr>
        <w:t>Jautājumi, par kuriem saskaņošanā vienošanās nav panākta</w:t>
      </w:r>
    </w:p>
    <w:p w:rsidRPr="00EE05D3" w:rsidR="002C678D" w:rsidP="002C678D" w:rsidRDefault="002C678D">
      <w:pPr>
        <w:ind w:left="567"/>
        <w:rPr>
          <w:b/>
          <w:bCs/>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720"/>
        <w:gridCol w:w="2415"/>
        <w:gridCol w:w="3169"/>
        <w:gridCol w:w="3018"/>
        <w:gridCol w:w="2451"/>
        <w:gridCol w:w="2446"/>
      </w:tblGrid>
      <w:tr w:rsidRPr="00EE05D3" w:rsidR="002C678D" w:rsidTr="00777F2F">
        <w:tc>
          <w:tcPr>
            <w:tcW w:w="253" w:type="pct"/>
            <w:tcBorders>
              <w:top w:val="single" w:color="000000" w:sz="6" w:space="0"/>
              <w:left w:val="single" w:color="000000" w:sz="6" w:space="0"/>
              <w:bottom w:val="single" w:color="000000" w:sz="6" w:space="0"/>
              <w:right w:val="single" w:color="000000" w:sz="6" w:space="0"/>
            </w:tcBorders>
            <w:vAlign w:val="center"/>
            <w:hideMark/>
          </w:tcPr>
          <w:p w:rsidRPr="00EE05D3" w:rsidR="002C678D" w:rsidP="00777F2F" w:rsidRDefault="00B856B6">
            <w:pPr>
              <w:pStyle w:val="naisc"/>
              <w:spacing w:before="0" w:after="0"/>
              <w:rPr>
                <w:lang w:eastAsia="en-US"/>
              </w:rPr>
            </w:pPr>
            <w:r w:rsidRPr="00EE05D3">
              <w:rPr>
                <w:sz w:val="22"/>
                <w:szCs w:val="22"/>
                <w:lang w:eastAsia="en-US"/>
              </w:rPr>
              <w:t>Nr. p.k.</w:t>
            </w:r>
          </w:p>
        </w:tc>
        <w:tc>
          <w:tcPr>
            <w:tcW w:w="849" w:type="pct"/>
            <w:tcBorders>
              <w:top w:val="single" w:color="000000" w:sz="6" w:space="0"/>
              <w:left w:val="single" w:color="000000" w:sz="6" w:space="0"/>
              <w:bottom w:val="single" w:color="000000" w:sz="6" w:space="0"/>
              <w:right w:val="single" w:color="000000" w:sz="6" w:space="0"/>
            </w:tcBorders>
            <w:vAlign w:val="center"/>
            <w:hideMark/>
          </w:tcPr>
          <w:p w:rsidRPr="00EE05D3" w:rsidR="002C678D" w:rsidP="00777F2F" w:rsidRDefault="002C678D">
            <w:pPr>
              <w:pStyle w:val="naisc"/>
              <w:spacing w:before="0" w:after="0"/>
              <w:ind w:firstLine="12"/>
              <w:rPr>
                <w:lang w:eastAsia="en-US"/>
              </w:rPr>
            </w:pPr>
            <w:r w:rsidRPr="00EE05D3">
              <w:rPr>
                <w:sz w:val="22"/>
                <w:szCs w:val="22"/>
                <w:lang w:eastAsia="en-US"/>
              </w:rPr>
              <w:t>Saskaņošanai nosūtītā projekta redakcija (konkrēta punkta (panta) redakcija)</w:t>
            </w:r>
          </w:p>
        </w:tc>
        <w:tc>
          <w:tcPr>
            <w:tcW w:w="1114" w:type="pct"/>
            <w:tcBorders>
              <w:top w:val="single" w:color="000000" w:sz="6" w:space="0"/>
              <w:left w:val="single" w:color="000000" w:sz="6" w:space="0"/>
              <w:bottom w:val="single" w:color="000000" w:sz="6" w:space="0"/>
              <w:right w:val="single" w:color="000000" w:sz="6" w:space="0"/>
            </w:tcBorders>
            <w:vAlign w:val="center"/>
            <w:hideMark/>
          </w:tcPr>
          <w:p w:rsidRPr="00EE05D3" w:rsidR="002C678D" w:rsidP="00777F2F" w:rsidRDefault="002C678D">
            <w:pPr>
              <w:pStyle w:val="naisc"/>
              <w:spacing w:before="0" w:after="0"/>
              <w:ind w:right="3"/>
              <w:rPr>
                <w:lang w:eastAsia="en-US"/>
              </w:rPr>
            </w:pPr>
            <w:r w:rsidRPr="00EE05D3">
              <w:rPr>
                <w:sz w:val="22"/>
                <w:szCs w:val="22"/>
                <w:lang w:eastAsia="en-US"/>
              </w:rPr>
              <w:t>Atzinumā norādītais ministrijas (citas institūcijas) iebildums, kā arī saskaņošanā papildus izteiktais iebildums par projekta konkrēto punktu (pantu)</w:t>
            </w:r>
          </w:p>
        </w:tc>
        <w:tc>
          <w:tcPr>
            <w:tcW w:w="1061" w:type="pct"/>
            <w:tcBorders>
              <w:top w:val="single" w:color="000000" w:sz="6" w:space="0"/>
              <w:left w:val="single" w:color="000000" w:sz="6" w:space="0"/>
              <w:bottom w:val="single" w:color="000000" w:sz="6" w:space="0"/>
              <w:right w:val="single" w:color="000000" w:sz="6" w:space="0"/>
            </w:tcBorders>
            <w:vAlign w:val="center"/>
            <w:hideMark/>
          </w:tcPr>
          <w:p w:rsidRPr="00EE05D3" w:rsidR="002C678D" w:rsidP="00777F2F" w:rsidRDefault="002C678D">
            <w:pPr>
              <w:pStyle w:val="naisc"/>
              <w:spacing w:before="0" w:after="0"/>
              <w:ind w:firstLine="21"/>
              <w:rPr>
                <w:lang w:eastAsia="en-US"/>
              </w:rPr>
            </w:pPr>
            <w:r w:rsidRPr="00EE05D3">
              <w:rPr>
                <w:sz w:val="22"/>
                <w:szCs w:val="22"/>
                <w:lang w:eastAsia="en-US"/>
              </w:rPr>
              <w:t>Atbildīgās ministrijas pamatojums iebilduma noraidījumam</w:t>
            </w:r>
          </w:p>
        </w:tc>
        <w:tc>
          <w:tcPr>
            <w:tcW w:w="862" w:type="pct"/>
            <w:tcBorders>
              <w:top w:val="single" w:color="auto" w:sz="4" w:space="0"/>
              <w:left w:val="single" w:color="auto" w:sz="4" w:space="0"/>
              <w:bottom w:val="single" w:color="auto" w:sz="4" w:space="0"/>
              <w:right w:val="single" w:color="auto" w:sz="4" w:space="0"/>
            </w:tcBorders>
            <w:vAlign w:val="center"/>
            <w:hideMark/>
          </w:tcPr>
          <w:p w:rsidRPr="00EE05D3" w:rsidR="002C678D" w:rsidP="00777F2F" w:rsidRDefault="002C678D">
            <w:pPr>
              <w:jc w:val="center"/>
              <w:rPr>
                <w:lang w:eastAsia="en-US"/>
              </w:rPr>
            </w:pPr>
            <w:r w:rsidRPr="00EE05D3">
              <w:rPr>
                <w:sz w:val="22"/>
                <w:szCs w:val="22"/>
                <w:lang w:eastAsia="en-US"/>
              </w:rPr>
              <w:t>Atzinuma sniedzēja uzturētais iebildums, ja tas atšķiras no atzinumā norādītā iebilduma pamatojuma</w:t>
            </w:r>
          </w:p>
        </w:tc>
        <w:tc>
          <w:tcPr>
            <w:tcW w:w="860" w:type="pct"/>
            <w:tcBorders>
              <w:top w:val="single" w:color="auto" w:sz="4" w:space="0"/>
              <w:left w:val="single" w:color="auto" w:sz="4" w:space="0"/>
              <w:bottom w:val="single" w:color="auto" w:sz="4" w:space="0"/>
              <w:right w:val="single" w:color="auto" w:sz="4" w:space="0"/>
            </w:tcBorders>
            <w:vAlign w:val="center"/>
            <w:hideMark/>
          </w:tcPr>
          <w:p w:rsidRPr="00EE05D3" w:rsidR="002C678D" w:rsidP="00777F2F" w:rsidRDefault="002C678D">
            <w:pPr>
              <w:jc w:val="center"/>
              <w:rPr>
                <w:lang w:eastAsia="en-US"/>
              </w:rPr>
            </w:pPr>
            <w:r w:rsidRPr="00EE05D3">
              <w:rPr>
                <w:sz w:val="22"/>
                <w:szCs w:val="22"/>
                <w:lang w:eastAsia="en-US"/>
              </w:rPr>
              <w:t>Projekta attiecīgā punkta (panta) galīgā redakcija</w:t>
            </w:r>
          </w:p>
        </w:tc>
      </w:tr>
      <w:tr w:rsidRPr="00EE05D3" w:rsidR="002C678D" w:rsidTr="00777F2F">
        <w:tc>
          <w:tcPr>
            <w:tcW w:w="253" w:type="pct"/>
            <w:tcBorders>
              <w:top w:val="single" w:color="000000" w:sz="6" w:space="0"/>
              <w:left w:val="single" w:color="000000" w:sz="6" w:space="0"/>
              <w:bottom w:val="single" w:color="000000" w:sz="6" w:space="0"/>
              <w:right w:val="single" w:color="000000" w:sz="6" w:space="0"/>
            </w:tcBorders>
            <w:hideMark/>
          </w:tcPr>
          <w:p w:rsidRPr="00EE05D3" w:rsidR="002C678D" w:rsidP="00777F2F" w:rsidRDefault="002C678D">
            <w:pPr>
              <w:pStyle w:val="naisc"/>
              <w:spacing w:before="0" w:after="0"/>
              <w:rPr>
                <w:lang w:eastAsia="en-US"/>
              </w:rPr>
            </w:pPr>
            <w:r w:rsidRPr="00EE05D3">
              <w:rPr>
                <w:sz w:val="22"/>
                <w:szCs w:val="22"/>
                <w:lang w:eastAsia="en-US"/>
              </w:rPr>
              <w:t>1</w:t>
            </w:r>
          </w:p>
        </w:tc>
        <w:tc>
          <w:tcPr>
            <w:tcW w:w="849" w:type="pct"/>
            <w:tcBorders>
              <w:top w:val="single" w:color="000000" w:sz="6" w:space="0"/>
              <w:left w:val="single" w:color="000000" w:sz="6" w:space="0"/>
              <w:bottom w:val="single" w:color="000000" w:sz="6" w:space="0"/>
              <w:right w:val="single" w:color="000000" w:sz="6" w:space="0"/>
            </w:tcBorders>
            <w:hideMark/>
          </w:tcPr>
          <w:p w:rsidRPr="00EE05D3" w:rsidR="002C678D" w:rsidP="00777F2F" w:rsidRDefault="002C678D">
            <w:pPr>
              <w:pStyle w:val="naisc"/>
              <w:spacing w:before="0" w:after="0"/>
              <w:ind w:hanging="11"/>
              <w:rPr>
                <w:lang w:eastAsia="en-US"/>
              </w:rPr>
            </w:pPr>
            <w:r w:rsidRPr="00EE05D3">
              <w:rPr>
                <w:sz w:val="22"/>
                <w:szCs w:val="22"/>
                <w:lang w:eastAsia="en-US"/>
              </w:rPr>
              <w:t>2</w:t>
            </w:r>
          </w:p>
        </w:tc>
        <w:tc>
          <w:tcPr>
            <w:tcW w:w="1114" w:type="pct"/>
            <w:tcBorders>
              <w:top w:val="single" w:color="000000" w:sz="6" w:space="0"/>
              <w:left w:val="single" w:color="000000" w:sz="6" w:space="0"/>
              <w:bottom w:val="single" w:color="000000" w:sz="6" w:space="0"/>
              <w:right w:val="single" w:color="000000" w:sz="6" w:space="0"/>
            </w:tcBorders>
            <w:hideMark/>
          </w:tcPr>
          <w:p w:rsidRPr="00EE05D3" w:rsidR="002C678D" w:rsidP="00777F2F" w:rsidRDefault="002C678D">
            <w:pPr>
              <w:pStyle w:val="naisc"/>
              <w:spacing w:before="0" w:after="0"/>
              <w:rPr>
                <w:lang w:eastAsia="en-US"/>
              </w:rPr>
            </w:pPr>
            <w:r w:rsidRPr="00EE05D3">
              <w:rPr>
                <w:sz w:val="22"/>
                <w:szCs w:val="22"/>
                <w:lang w:eastAsia="en-US"/>
              </w:rPr>
              <w:t>3</w:t>
            </w:r>
          </w:p>
        </w:tc>
        <w:tc>
          <w:tcPr>
            <w:tcW w:w="1061" w:type="pct"/>
            <w:tcBorders>
              <w:top w:val="single" w:color="000000" w:sz="6" w:space="0"/>
              <w:left w:val="single" w:color="000000" w:sz="6" w:space="0"/>
              <w:bottom w:val="single" w:color="000000" w:sz="6" w:space="0"/>
              <w:right w:val="single" w:color="000000" w:sz="6" w:space="0"/>
            </w:tcBorders>
            <w:hideMark/>
          </w:tcPr>
          <w:p w:rsidRPr="00EE05D3" w:rsidR="002C678D" w:rsidP="00777F2F" w:rsidRDefault="002C678D">
            <w:pPr>
              <w:pStyle w:val="naisc"/>
              <w:spacing w:before="0" w:after="0"/>
              <w:rPr>
                <w:lang w:eastAsia="en-US"/>
              </w:rPr>
            </w:pPr>
            <w:r w:rsidRPr="00EE05D3">
              <w:rPr>
                <w:sz w:val="22"/>
                <w:szCs w:val="22"/>
                <w:lang w:eastAsia="en-US"/>
              </w:rPr>
              <w:t>4</w:t>
            </w:r>
          </w:p>
        </w:tc>
        <w:tc>
          <w:tcPr>
            <w:tcW w:w="862" w:type="pct"/>
            <w:tcBorders>
              <w:top w:val="single" w:color="auto" w:sz="4" w:space="0"/>
              <w:left w:val="single" w:color="auto" w:sz="4" w:space="0"/>
              <w:bottom w:val="single" w:color="auto" w:sz="4" w:space="0"/>
              <w:right w:val="single" w:color="auto" w:sz="4" w:space="0"/>
            </w:tcBorders>
            <w:hideMark/>
          </w:tcPr>
          <w:p w:rsidRPr="00EE05D3" w:rsidR="002C678D" w:rsidP="00777F2F" w:rsidRDefault="002C678D">
            <w:pPr>
              <w:jc w:val="center"/>
              <w:rPr>
                <w:lang w:eastAsia="en-US"/>
              </w:rPr>
            </w:pPr>
            <w:r w:rsidRPr="00EE05D3">
              <w:rPr>
                <w:sz w:val="22"/>
                <w:szCs w:val="22"/>
                <w:lang w:eastAsia="en-US"/>
              </w:rPr>
              <w:t>5</w:t>
            </w:r>
          </w:p>
        </w:tc>
        <w:tc>
          <w:tcPr>
            <w:tcW w:w="860" w:type="pct"/>
            <w:tcBorders>
              <w:top w:val="single" w:color="auto" w:sz="4" w:space="0"/>
              <w:left w:val="single" w:color="auto" w:sz="4" w:space="0"/>
              <w:bottom w:val="single" w:color="auto" w:sz="4" w:space="0"/>
              <w:right w:val="single" w:color="auto" w:sz="4" w:space="0"/>
            </w:tcBorders>
            <w:hideMark/>
          </w:tcPr>
          <w:p w:rsidRPr="00EE05D3" w:rsidR="002C678D" w:rsidP="00777F2F" w:rsidRDefault="002C678D">
            <w:pPr>
              <w:jc w:val="center"/>
              <w:rPr>
                <w:lang w:eastAsia="en-US"/>
              </w:rPr>
            </w:pPr>
            <w:r w:rsidRPr="00EE05D3">
              <w:rPr>
                <w:sz w:val="22"/>
                <w:szCs w:val="22"/>
                <w:lang w:eastAsia="en-US"/>
              </w:rPr>
              <w:t>6</w:t>
            </w:r>
          </w:p>
        </w:tc>
      </w:tr>
      <w:tr w:rsidRPr="00EE05D3" w:rsidR="002C678D" w:rsidTr="00777F2F">
        <w:tc>
          <w:tcPr>
            <w:tcW w:w="253" w:type="pct"/>
            <w:tcBorders>
              <w:top w:val="single" w:color="000000" w:sz="6" w:space="0"/>
              <w:left w:val="single" w:color="000000" w:sz="6" w:space="0"/>
              <w:bottom w:val="single" w:color="000000" w:sz="6" w:space="0"/>
              <w:right w:val="single" w:color="000000" w:sz="6" w:space="0"/>
            </w:tcBorders>
            <w:hideMark/>
          </w:tcPr>
          <w:p w:rsidRPr="00EE05D3" w:rsidR="002C678D" w:rsidP="00777F2F" w:rsidRDefault="002C678D">
            <w:pPr>
              <w:pStyle w:val="naisc"/>
              <w:spacing w:before="0" w:after="0"/>
              <w:rPr>
                <w:lang w:eastAsia="en-US"/>
              </w:rPr>
            </w:pPr>
          </w:p>
        </w:tc>
        <w:tc>
          <w:tcPr>
            <w:tcW w:w="849" w:type="pct"/>
            <w:tcBorders>
              <w:top w:val="single" w:color="000000" w:sz="6" w:space="0"/>
              <w:left w:val="single" w:color="000000" w:sz="6" w:space="0"/>
              <w:bottom w:val="single" w:color="000000" w:sz="6" w:space="0"/>
              <w:right w:val="single" w:color="000000" w:sz="6" w:space="0"/>
            </w:tcBorders>
          </w:tcPr>
          <w:p w:rsidRPr="00EE05D3" w:rsidR="002C678D" w:rsidP="00777F2F" w:rsidRDefault="002C678D">
            <w:pPr>
              <w:jc w:val="both"/>
              <w:rPr>
                <w:lang w:eastAsia="en-US"/>
              </w:rPr>
            </w:pPr>
          </w:p>
        </w:tc>
        <w:tc>
          <w:tcPr>
            <w:tcW w:w="1114" w:type="pct"/>
            <w:tcBorders>
              <w:top w:val="single" w:color="000000" w:sz="6" w:space="0"/>
              <w:left w:val="single" w:color="000000" w:sz="6" w:space="0"/>
              <w:bottom w:val="single" w:color="000000" w:sz="6" w:space="0"/>
              <w:right w:val="single" w:color="000000" w:sz="6" w:space="0"/>
            </w:tcBorders>
            <w:hideMark/>
          </w:tcPr>
          <w:p w:rsidRPr="00EE05D3" w:rsidR="002C678D" w:rsidP="00777F2F" w:rsidRDefault="002C678D">
            <w:pPr>
              <w:rPr>
                <w:rFonts w:eastAsiaTheme="minorHAnsi"/>
                <w:lang w:eastAsia="en-US"/>
              </w:rPr>
            </w:pPr>
          </w:p>
        </w:tc>
        <w:tc>
          <w:tcPr>
            <w:tcW w:w="1061" w:type="pct"/>
            <w:tcBorders>
              <w:top w:val="single" w:color="000000" w:sz="6" w:space="0"/>
              <w:left w:val="single" w:color="000000" w:sz="6" w:space="0"/>
              <w:bottom w:val="single" w:color="000000" w:sz="6" w:space="0"/>
              <w:right w:val="single" w:color="000000" w:sz="6" w:space="0"/>
            </w:tcBorders>
            <w:hideMark/>
          </w:tcPr>
          <w:p w:rsidRPr="00EE05D3" w:rsidR="002C678D" w:rsidP="00777F2F" w:rsidRDefault="002C678D">
            <w:pPr>
              <w:rPr>
                <w:rFonts w:eastAsiaTheme="minorHAnsi"/>
                <w:lang w:eastAsia="en-US"/>
              </w:rPr>
            </w:pPr>
          </w:p>
        </w:tc>
        <w:tc>
          <w:tcPr>
            <w:tcW w:w="862" w:type="pct"/>
            <w:tcBorders>
              <w:top w:val="single" w:color="auto" w:sz="4" w:space="0"/>
              <w:left w:val="single" w:color="auto" w:sz="4" w:space="0"/>
              <w:bottom w:val="single" w:color="auto" w:sz="4" w:space="0"/>
              <w:right w:val="single" w:color="auto" w:sz="4" w:space="0"/>
            </w:tcBorders>
          </w:tcPr>
          <w:p w:rsidRPr="00EE05D3" w:rsidR="002C678D" w:rsidP="00777F2F" w:rsidRDefault="002C678D">
            <w:pPr>
              <w:pStyle w:val="NoSpacing"/>
              <w:jc w:val="both"/>
              <w:rPr>
                <w:rFonts w:ascii="Times New Roman" w:hAnsi="Times New Roman" w:eastAsia="Times New Roman"/>
                <w:lang w:eastAsia="lv-LV" w:bidi="yi-Hebr"/>
              </w:rPr>
            </w:pPr>
          </w:p>
        </w:tc>
        <w:tc>
          <w:tcPr>
            <w:tcW w:w="860" w:type="pct"/>
            <w:tcBorders>
              <w:top w:val="single" w:color="auto" w:sz="4" w:space="0"/>
              <w:left w:val="single" w:color="auto" w:sz="4" w:space="0"/>
              <w:bottom w:val="single" w:color="auto" w:sz="4" w:space="0"/>
              <w:right w:val="single" w:color="auto" w:sz="4" w:space="0"/>
            </w:tcBorders>
          </w:tcPr>
          <w:p w:rsidRPr="00EE05D3" w:rsidR="002C678D" w:rsidP="00777F2F" w:rsidRDefault="002C678D">
            <w:pPr>
              <w:jc w:val="both"/>
              <w:rPr>
                <w:color w:val="000000"/>
                <w:lang w:eastAsia="en-US"/>
              </w:rPr>
            </w:pPr>
          </w:p>
        </w:tc>
      </w:tr>
    </w:tbl>
    <w:p w:rsidRPr="00EE05D3" w:rsidR="002C678D" w:rsidP="002C678D" w:rsidRDefault="002C678D">
      <w:pPr>
        <w:ind w:left="57" w:right="57" w:firstLine="375"/>
        <w:contextualSpacing/>
        <w:mirrorIndents/>
        <w:jc w:val="both"/>
        <w:rPr>
          <w:sz w:val="22"/>
          <w:szCs w:val="22"/>
        </w:rPr>
      </w:pPr>
    </w:p>
    <w:p w:rsidRPr="00EE05D3" w:rsidR="002C678D" w:rsidP="002C678D" w:rsidRDefault="002C678D">
      <w:pPr>
        <w:ind w:left="57" w:right="57"/>
        <w:contextualSpacing/>
        <w:mirrorIndents/>
        <w:rPr>
          <w:sz w:val="22"/>
          <w:szCs w:val="22"/>
        </w:rPr>
      </w:pPr>
      <w:r w:rsidRPr="00EE05D3">
        <w:rPr>
          <w:b/>
          <w:bCs/>
          <w:sz w:val="22"/>
          <w:szCs w:val="22"/>
        </w:rPr>
        <w:t> </w:t>
      </w:r>
      <w:r w:rsidRPr="00EE05D3" w:rsidR="00B856B6">
        <w:rPr>
          <w:b/>
          <w:bCs/>
          <w:sz w:val="22"/>
          <w:szCs w:val="22"/>
        </w:rPr>
        <w:t>Informācija par starpministriju (starpinstitūciju) sanāksmi vai elektronisko saskaņošanu</w:t>
      </w:r>
      <w:r w:rsidRPr="00EE05D3" w:rsidR="00B856B6">
        <w:rPr>
          <w:sz w:val="22"/>
          <w:szCs w:val="22"/>
        </w:rPr>
        <w:t> </w:t>
      </w:r>
    </w:p>
    <w:p w:rsidRPr="00EE05D3" w:rsidR="002C678D" w:rsidP="002C678D" w:rsidRDefault="002C678D">
      <w:pPr>
        <w:ind w:left="57" w:right="57"/>
        <w:contextualSpacing/>
        <w:mirrorIndents/>
        <w:rPr>
          <w:sz w:val="22"/>
          <w:szCs w:val="22"/>
        </w:rPr>
      </w:pPr>
    </w:p>
    <w:tbl>
      <w:tblPr>
        <w:tblW w:w="14207" w:type="dxa"/>
        <w:tblLook w:val="00A0"/>
      </w:tblPr>
      <w:tblGrid>
        <w:gridCol w:w="14219"/>
      </w:tblGrid>
      <w:tr w:rsidRPr="00EE05D3" w:rsidR="002C678D" w:rsidTr="004E27E0">
        <w:trPr>
          <w:trHeight w:val="2844"/>
        </w:trPr>
        <w:tc>
          <w:tcPr>
            <w:tcW w:w="14207" w:type="dxa"/>
            <w:hideMark/>
          </w:tcPr>
          <w:tbl>
            <w:tblPr>
              <w:tblW w:w="14034" w:type="dxa"/>
              <w:tblLook w:val="00A0"/>
            </w:tblPr>
            <w:tblGrid>
              <w:gridCol w:w="6487"/>
              <w:gridCol w:w="1651"/>
              <w:gridCol w:w="5896"/>
            </w:tblGrid>
            <w:tr w:rsidRPr="00EE05D3" w:rsidR="002C678D" w:rsidTr="00780F24">
              <w:tc>
                <w:tcPr>
                  <w:tcW w:w="6487" w:type="dxa"/>
                  <w:hideMark/>
                </w:tcPr>
                <w:p w:rsidRPr="00EE05D3" w:rsidR="002C678D" w:rsidP="00777F2F" w:rsidRDefault="00B856B6">
                  <w:pPr>
                    <w:pStyle w:val="naisf"/>
                    <w:spacing w:before="0" w:after="0"/>
                    <w:ind w:firstLine="0"/>
                    <w:rPr>
                      <w:lang w:eastAsia="en-US"/>
                    </w:rPr>
                  </w:pPr>
                  <w:r w:rsidRPr="00EE05D3">
                    <w:rPr>
                      <w:sz w:val="22"/>
                      <w:szCs w:val="22"/>
                      <w:lang w:eastAsia="en-US"/>
                    </w:rPr>
                    <w:t>Datums</w:t>
                  </w:r>
                </w:p>
              </w:tc>
              <w:tc>
                <w:tcPr>
                  <w:tcW w:w="7547" w:type="dxa"/>
                  <w:gridSpan w:val="2"/>
                  <w:tcBorders>
                    <w:top w:val="nil"/>
                    <w:left w:val="nil"/>
                    <w:bottom w:val="single" w:color="auto" w:sz="4" w:space="0"/>
                    <w:right w:val="nil"/>
                  </w:tcBorders>
                  <w:hideMark/>
                </w:tcPr>
                <w:p w:rsidRPr="00EE05D3" w:rsidR="002C678D" w:rsidP="00485731" w:rsidRDefault="00CD5334">
                  <w:pPr>
                    <w:pStyle w:val="NormalWeb"/>
                    <w:spacing w:before="0" w:beforeAutospacing="0" w:after="0" w:afterAutospacing="0"/>
                    <w:rPr>
                      <w:color w:val="000000" w:themeColor="text1"/>
                      <w:lang w:eastAsia="en-US"/>
                    </w:rPr>
                  </w:pPr>
                  <w:r>
                    <w:rPr>
                      <w:color w:val="000000" w:themeColor="text1"/>
                      <w:sz w:val="22"/>
                      <w:szCs w:val="22"/>
                    </w:rPr>
                    <w:t>2020.gada 23</w:t>
                  </w:r>
                  <w:r w:rsidRPr="004E55D2" w:rsidR="009A5E4A">
                    <w:rPr>
                      <w:color w:val="000000" w:themeColor="text1"/>
                      <w:sz w:val="22"/>
                      <w:szCs w:val="22"/>
                    </w:rPr>
                    <w:t>.marts</w:t>
                  </w:r>
                  <w:r>
                    <w:rPr>
                      <w:color w:val="000000" w:themeColor="text1"/>
                      <w:sz w:val="22"/>
                      <w:szCs w:val="22"/>
                    </w:rPr>
                    <w:t>, 2020.gada 19</w:t>
                  </w:r>
                  <w:r w:rsidRPr="004E55D2" w:rsidR="009A5E4A">
                    <w:rPr>
                      <w:color w:val="000000" w:themeColor="text1"/>
                      <w:sz w:val="22"/>
                      <w:szCs w:val="22"/>
                    </w:rPr>
                    <w:t>.maijs</w:t>
                  </w:r>
                </w:p>
              </w:tc>
            </w:tr>
            <w:tr w:rsidRPr="00EE05D3" w:rsidR="002C678D" w:rsidTr="00780F24">
              <w:tc>
                <w:tcPr>
                  <w:tcW w:w="6487" w:type="dxa"/>
                </w:tcPr>
                <w:p w:rsidRPr="00EE05D3" w:rsidR="002C678D" w:rsidP="00777F2F" w:rsidRDefault="002C678D">
                  <w:pPr>
                    <w:pStyle w:val="naisf"/>
                    <w:spacing w:before="0" w:after="0"/>
                    <w:rPr>
                      <w:lang w:eastAsia="en-US"/>
                    </w:rPr>
                  </w:pPr>
                </w:p>
              </w:tc>
              <w:tc>
                <w:tcPr>
                  <w:tcW w:w="7547" w:type="dxa"/>
                  <w:gridSpan w:val="2"/>
                  <w:tcBorders>
                    <w:top w:val="single" w:color="auto" w:sz="4" w:space="0"/>
                    <w:left w:val="nil"/>
                    <w:bottom w:val="nil"/>
                    <w:right w:val="nil"/>
                  </w:tcBorders>
                </w:tcPr>
                <w:p w:rsidRPr="00EE05D3" w:rsidR="002C678D" w:rsidP="00777F2F" w:rsidRDefault="002C678D">
                  <w:pPr>
                    <w:pStyle w:val="NormalWeb"/>
                    <w:spacing w:before="0" w:beforeAutospacing="0" w:after="0" w:afterAutospacing="0"/>
                    <w:ind w:firstLine="720"/>
                    <w:rPr>
                      <w:lang w:eastAsia="en-US"/>
                    </w:rPr>
                  </w:pPr>
                </w:p>
              </w:tc>
            </w:tr>
            <w:tr w:rsidRPr="00EE05D3" w:rsidR="002C678D" w:rsidTr="00780F24">
              <w:tc>
                <w:tcPr>
                  <w:tcW w:w="6487" w:type="dxa"/>
                  <w:hideMark/>
                </w:tcPr>
                <w:p w:rsidRPr="00EE05D3" w:rsidR="002C678D" w:rsidP="00777F2F" w:rsidRDefault="002C678D">
                  <w:pPr>
                    <w:pStyle w:val="naiskr"/>
                    <w:tabs>
                      <w:tab w:val="center" w:pos="3135"/>
                    </w:tabs>
                    <w:spacing w:before="0" w:after="0"/>
                    <w:rPr>
                      <w:lang w:eastAsia="en-US"/>
                    </w:rPr>
                  </w:pPr>
                  <w:r w:rsidRPr="00EE05D3">
                    <w:rPr>
                      <w:sz w:val="22"/>
                      <w:szCs w:val="22"/>
                      <w:lang w:eastAsia="en-US"/>
                    </w:rPr>
                    <w:t>Saskaņošanas dalībnieki</w:t>
                  </w:r>
                  <w:r w:rsidRPr="00EE05D3">
                    <w:rPr>
                      <w:sz w:val="22"/>
                      <w:szCs w:val="22"/>
                      <w:lang w:eastAsia="en-US"/>
                    </w:rPr>
                    <w:tab/>
                  </w:r>
                </w:p>
              </w:tc>
              <w:tc>
                <w:tcPr>
                  <w:tcW w:w="7547" w:type="dxa"/>
                  <w:gridSpan w:val="2"/>
                  <w:tcBorders>
                    <w:top w:val="nil"/>
                    <w:left w:val="nil"/>
                    <w:bottom w:val="single" w:color="auto" w:sz="4" w:space="0"/>
                    <w:right w:val="nil"/>
                  </w:tcBorders>
                  <w:hideMark/>
                </w:tcPr>
                <w:p w:rsidRPr="00EE05D3" w:rsidR="002C678D" w:rsidP="00777F2F" w:rsidRDefault="002C678D">
                  <w:pPr>
                    <w:pStyle w:val="NormalWeb"/>
                    <w:spacing w:before="0" w:beforeAutospacing="0" w:after="0" w:afterAutospacing="0"/>
                    <w:rPr>
                      <w:lang w:eastAsia="en-US"/>
                    </w:rPr>
                  </w:pPr>
                  <w:r w:rsidRPr="00EE05D3">
                    <w:rPr>
                      <w:sz w:val="22"/>
                      <w:szCs w:val="22"/>
                      <w:lang w:eastAsia="en-US"/>
                    </w:rPr>
                    <w:t>Finanšu ministrija, Tieslietu ministrija, Latvijas Brīvo arodbiedrību savienība un Pārresoru koordinācijas centrs</w:t>
                  </w:r>
                </w:p>
              </w:tc>
            </w:tr>
            <w:tr w:rsidRPr="00EE05D3" w:rsidR="002C678D" w:rsidTr="00780F24">
              <w:trPr>
                <w:trHeight w:val="208"/>
              </w:trPr>
              <w:tc>
                <w:tcPr>
                  <w:tcW w:w="6487" w:type="dxa"/>
                </w:tcPr>
                <w:p w:rsidRPr="00EE05D3" w:rsidR="002C678D" w:rsidP="00777F2F" w:rsidRDefault="002C678D">
                  <w:pPr>
                    <w:pStyle w:val="naiskr"/>
                    <w:spacing w:before="0" w:after="0"/>
                    <w:rPr>
                      <w:lang w:eastAsia="en-US"/>
                    </w:rPr>
                  </w:pPr>
                </w:p>
              </w:tc>
              <w:tc>
                <w:tcPr>
                  <w:tcW w:w="1651" w:type="dxa"/>
                </w:tcPr>
                <w:p w:rsidRPr="00EE05D3" w:rsidR="002C678D" w:rsidP="00777F2F" w:rsidRDefault="002C678D">
                  <w:pPr>
                    <w:pStyle w:val="naiskr"/>
                    <w:spacing w:before="0" w:after="0"/>
                    <w:ind w:firstLine="720"/>
                    <w:rPr>
                      <w:lang w:eastAsia="en-US"/>
                    </w:rPr>
                  </w:pPr>
                </w:p>
              </w:tc>
              <w:tc>
                <w:tcPr>
                  <w:tcW w:w="5896" w:type="dxa"/>
                </w:tcPr>
                <w:p w:rsidRPr="00EE05D3" w:rsidR="002C678D" w:rsidP="00777F2F" w:rsidRDefault="002C678D">
                  <w:pPr>
                    <w:pStyle w:val="naiskr"/>
                    <w:spacing w:before="0" w:after="0"/>
                    <w:ind w:firstLine="12"/>
                    <w:rPr>
                      <w:lang w:eastAsia="en-US"/>
                    </w:rPr>
                  </w:pPr>
                </w:p>
              </w:tc>
            </w:tr>
            <w:tr w:rsidRPr="00EE05D3" w:rsidR="002C678D" w:rsidTr="00780F24">
              <w:trPr>
                <w:trHeight w:val="461"/>
              </w:trPr>
              <w:tc>
                <w:tcPr>
                  <w:tcW w:w="6487" w:type="dxa"/>
                  <w:hideMark/>
                </w:tcPr>
                <w:p w:rsidRPr="00EE05D3" w:rsidR="002C678D" w:rsidP="00777F2F" w:rsidRDefault="002C678D">
                  <w:pPr>
                    <w:pStyle w:val="naiskr"/>
                    <w:spacing w:before="0" w:after="0"/>
                    <w:ind w:right="500"/>
                    <w:rPr>
                      <w:lang w:eastAsia="en-US"/>
                    </w:rPr>
                  </w:pPr>
                  <w:r w:rsidRPr="00EE05D3">
                    <w:rPr>
                      <w:sz w:val="22"/>
                      <w:szCs w:val="22"/>
                      <w:lang w:eastAsia="en-US"/>
                    </w:rPr>
                    <w:t>Saskaņošanas dalībnieki izskatīja šādu ministriju (citu institūciju) iebildumus</w:t>
                  </w:r>
                </w:p>
              </w:tc>
              <w:tc>
                <w:tcPr>
                  <w:tcW w:w="7547" w:type="dxa"/>
                  <w:gridSpan w:val="2"/>
                  <w:tcBorders>
                    <w:top w:val="nil"/>
                    <w:left w:val="nil"/>
                    <w:bottom w:val="single" w:color="auto" w:sz="4" w:space="0"/>
                    <w:right w:val="nil"/>
                  </w:tcBorders>
                  <w:hideMark/>
                </w:tcPr>
                <w:p w:rsidRPr="00EE05D3" w:rsidR="00241562" w:rsidP="00777F2F" w:rsidRDefault="00241562">
                  <w:pPr>
                    <w:pStyle w:val="naiskr"/>
                    <w:spacing w:before="0" w:after="0"/>
                    <w:ind w:right="500"/>
                    <w:rPr>
                      <w:lang w:eastAsia="en-US"/>
                    </w:rPr>
                  </w:pPr>
                </w:p>
                <w:p w:rsidRPr="00EE05D3" w:rsidR="002C678D" w:rsidP="000C3D46" w:rsidRDefault="000C3D46">
                  <w:pPr>
                    <w:pStyle w:val="naiskr"/>
                    <w:spacing w:before="0" w:after="0"/>
                    <w:ind w:right="500"/>
                    <w:rPr>
                      <w:lang w:eastAsia="en-US"/>
                    </w:rPr>
                  </w:pPr>
                  <w:r w:rsidRPr="00EE05D3">
                    <w:rPr>
                      <w:sz w:val="22"/>
                      <w:szCs w:val="22"/>
                      <w:lang w:eastAsia="en-US"/>
                    </w:rPr>
                    <w:t>Pārresoru koordinācijas centrs,</w:t>
                  </w:r>
                  <w:r w:rsidRPr="00EE05D3" w:rsidR="002C678D">
                    <w:rPr>
                      <w:sz w:val="22"/>
                      <w:szCs w:val="22"/>
                      <w:lang w:eastAsia="en-US"/>
                    </w:rPr>
                    <w:t xml:space="preserve"> Finanšu ministrija</w:t>
                  </w:r>
                </w:p>
              </w:tc>
            </w:tr>
            <w:tr w:rsidRPr="00EE05D3" w:rsidR="002C678D" w:rsidTr="00780F24">
              <w:trPr>
                <w:trHeight w:val="224"/>
              </w:trPr>
              <w:tc>
                <w:tcPr>
                  <w:tcW w:w="14034" w:type="dxa"/>
                  <w:gridSpan w:val="3"/>
                </w:tcPr>
                <w:p w:rsidRPr="00EE05D3" w:rsidR="002C678D" w:rsidP="00777F2F" w:rsidRDefault="002C678D">
                  <w:pPr>
                    <w:pStyle w:val="naisc"/>
                    <w:spacing w:before="0" w:after="0"/>
                    <w:ind w:right="500"/>
                    <w:rPr>
                      <w:lang w:eastAsia="en-US"/>
                    </w:rPr>
                  </w:pPr>
                </w:p>
              </w:tc>
            </w:tr>
            <w:tr w:rsidRPr="00EE05D3" w:rsidR="002C678D" w:rsidTr="00780F24">
              <w:tc>
                <w:tcPr>
                  <w:tcW w:w="6487" w:type="dxa"/>
                  <w:hideMark/>
                </w:tcPr>
                <w:p w:rsidRPr="00EE05D3" w:rsidR="002C678D" w:rsidP="00777F2F" w:rsidRDefault="002C678D">
                  <w:pPr>
                    <w:pStyle w:val="naiskr"/>
                    <w:spacing w:before="0" w:after="0"/>
                    <w:ind w:right="500"/>
                    <w:rPr>
                      <w:lang w:eastAsia="en-US"/>
                    </w:rPr>
                  </w:pPr>
                  <w:r w:rsidRPr="00EE05D3">
                    <w:rPr>
                      <w:sz w:val="22"/>
                      <w:szCs w:val="22"/>
                      <w:lang w:eastAsia="en-US"/>
                    </w:rPr>
                    <w:t>Ministrijas (citas institūcijas), kuras nav ieradušās uz sanāksmi vai kuras nav atbildējušas uz uzaicinājumu piedalīties elektroniskajā saskaņošanā</w:t>
                  </w:r>
                </w:p>
              </w:tc>
              <w:tc>
                <w:tcPr>
                  <w:tcW w:w="7547" w:type="dxa"/>
                  <w:gridSpan w:val="2"/>
                  <w:tcBorders>
                    <w:top w:val="nil"/>
                    <w:left w:val="nil"/>
                    <w:bottom w:val="single" w:color="auto" w:sz="4" w:space="0"/>
                    <w:right w:val="nil"/>
                  </w:tcBorders>
                </w:tcPr>
                <w:p w:rsidRPr="00EE05D3" w:rsidR="002C678D" w:rsidP="00777F2F" w:rsidRDefault="002C678D">
                  <w:pPr>
                    <w:pStyle w:val="naiskr"/>
                    <w:spacing w:before="0" w:after="0"/>
                    <w:ind w:right="500" w:firstLine="720"/>
                    <w:rPr>
                      <w:lang w:eastAsia="en-US"/>
                    </w:rPr>
                  </w:pPr>
                </w:p>
              </w:tc>
            </w:tr>
          </w:tbl>
          <w:p w:rsidRPr="00EE05D3" w:rsidR="002C678D" w:rsidP="00777F2F" w:rsidRDefault="002C678D">
            <w:pPr>
              <w:pStyle w:val="naiskr"/>
              <w:spacing w:before="0" w:after="0"/>
              <w:ind w:right="500" w:firstLine="720"/>
              <w:rPr>
                <w:lang w:eastAsia="en-US"/>
              </w:rPr>
            </w:pPr>
            <w:r w:rsidRPr="00EE05D3">
              <w:rPr>
                <w:sz w:val="22"/>
                <w:szCs w:val="22"/>
                <w:lang w:eastAsia="en-US"/>
              </w:rPr>
              <w:t>  </w:t>
            </w:r>
          </w:p>
          <w:p w:rsidR="00485731" w:rsidP="009A5E4A" w:rsidRDefault="00485731">
            <w:pPr>
              <w:pStyle w:val="naiskr"/>
              <w:spacing w:before="0" w:after="0"/>
              <w:ind w:right="500" w:firstLine="720"/>
              <w:rPr>
                <w:lang w:eastAsia="en-US"/>
              </w:rPr>
            </w:pPr>
            <w:bookmarkStart w:name="_GoBack" w:id="0"/>
            <w:bookmarkEnd w:id="0"/>
          </w:p>
          <w:p w:rsidR="009A5E4A" w:rsidP="009A5E4A" w:rsidRDefault="009A5E4A">
            <w:pPr>
              <w:pStyle w:val="naiskr"/>
              <w:spacing w:before="0" w:after="0"/>
              <w:ind w:right="500" w:firstLine="720"/>
              <w:rPr>
                <w:lang w:eastAsia="en-US"/>
              </w:rPr>
            </w:pPr>
          </w:p>
          <w:p w:rsidR="009A5E4A" w:rsidP="009A5E4A" w:rsidRDefault="009A5E4A">
            <w:pPr>
              <w:pStyle w:val="naiskr"/>
              <w:spacing w:before="0" w:after="0"/>
              <w:ind w:right="500" w:firstLine="720"/>
              <w:rPr>
                <w:lang w:eastAsia="en-US"/>
              </w:rPr>
            </w:pPr>
          </w:p>
          <w:p w:rsidR="009A5E4A" w:rsidP="009A5E4A" w:rsidRDefault="009A5E4A">
            <w:pPr>
              <w:pStyle w:val="naiskr"/>
              <w:spacing w:before="0" w:after="0"/>
              <w:ind w:right="500" w:firstLine="720"/>
              <w:rPr>
                <w:lang w:eastAsia="en-US"/>
              </w:rPr>
            </w:pPr>
          </w:p>
          <w:p w:rsidR="009A5E4A" w:rsidP="009A5E4A" w:rsidRDefault="009A5E4A">
            <w:pPr>
              <w:pStyle w:val="naiskr"/>
              <w:spacing w:before="0" w:after="0"/>
              <w:ind w:right="500" w:firstLine="720"/>
              <w:rPr>
                <w:lang w:eastAsia="en-US"/>
              </w:rPr>
            </w:pPr>
          </w:p>
          <w:p w:rsidR="009A5E4A" w:rsidP="009A5E4A" w:rsidRDefault="009A5E4A">
            <w:pPr>
              <w:pStyle w:val="naiskr"/>
              <w:spacing w:before="0" w:after="0"/>
              <w:ind w:right="500" w:firstLine="720"/>
              <w:rPr>
                <w:lang w:eastAsia="en-US"/>
              </w:rPr>
            </w:pPr>
          </w:p>
          <w:p w:rsidRPr="00EE05D3" w:rsidR="009A5E4A" w:rsidP="009A5E4A" w:rsidRDefault="009A5E4A">
            <w:pPr>
              <w:pStyle w:val="naiskr"/>
              <w:spacing w:before="0" w:after="0"/>
              <w:ind w:right="500" w:firstLine="720"/>
              <w:rPr>
                <w:lang w:eastAsia="en-US"/>
              </w:rPr>
            </w:pPr>
          </w:p>
        </w:tc>
      </w:tr>
    </w:tbl>
    <w:p w:rsidRPr="00EE05D3" w:rsidR="002C678D" w:rsidP="002C678D" w:rsidRDefault="002C678D">
      <w:pPr>
        <w:pStyle w:val="naisnod"/>
        <w:spacing w:before="0" w:after="0"/>
        <w:ind w:left="57" w:right="57"/>
        <w:contextualSpacing/>
        <w:mirrorIndents/>
        <w:rPr>
          <w:sz w:val="22"/>
          <w:szCs w:val="22"/>
        </w:rPr>
      </w:pPr>
      <w:r w:rsidRPr="00EE05D3">
        <w:rPr>
          <w:sz w:val="22"/>
          <w:szCs w:val="22"/>
        </w:rPr>
        <w:lastRenderedPageBreak/>
        <w:t>II. Jautājumi, par kuriem saskaņošanā vienošanās ir panākta</w:t>
      </w:r>
    </w:p>
    <w:p w:rsidRPr="00EE05D3" w:rsidR="002C678D" w:rsidP="002C678D" w:rsidRDefault="002C678D">
      <w:pPr>
        <w:pStyle w:val="naisnod"/>
        <w:spacing w:before="0" w:after="0"/>
        <w:ind w:left="57" w:right="57"/>
        <w:contextualSpacing/>
        <w:mirrorIndents/>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564"/>
        <w:gridCol w:w="3293"/>
        <w:gridCol w:w="3597"/>
        <w:gridCol w:w="3168"/>
        <w:gridCol w:w="3597"/>
      </w:tblGrid>
      <w:tr w:rsidRPr="004714D4" w:rsidR="002C678D" w:rsidTr="00777F2F">
        <w:tc>
          <w:tcPr>
            <w:tcW w:w="198" w:type="pct"/>
            <w:tcBorders>
              <w:top w:val="single" w:color="000000" w:sz="6" w:space="0"/>
              <w:left w:val="single" w:color="000000" w:sz="6" w:space="0"/>
              <w:bottom w:val="single" w:color="000000" w:sz="6" w:space="0"/>
              <w:right w:val="single" w:color="000000" w:sz="6" w:space="0"/>
            </w:tcBorders>
            <w:vAlign w:val="center"/>
          </w:tcPr>
          <w:p w:rsidRPr="004714D4" w:rsidR="002C678D" w:rsidP="00777F2F" w:rsidRDefault="002C678D">
            <w:pPr>
              <w:pStyle w:val="naisc"/>
              <w:spacing w:before="0" w:after="0"/>
              <w:rPr>
                <w:lang w:eastAsia="en-US"/>
              </w:rPr>
            </w:pPr>
          </w:p>
        </w:tc>
        <w:tc>
          <w:tcPr>
            <w:tcW w:w="1158" w:type="pct"/>
            <w:tcBorders>
              <w:top w:val="single" w:color="000000" w:sz="6" w:space="0"/>
              <w:left w:val="single" w:color="000000" w:sz="6" w:space="0"/>
              <w:bottom w:val="single" w:color="000000" w:sz="6" w:space="0"/>
              <w:right w:val="single" w:color="000000" w:sz="6" w:space="0"/>
            </w:tcBorders>
            <w:vAlign w:val="center"/>
            <w:hideMark/>
          </w:tcPr>
          <w:p w:rsidRPr="004714D4" w:rsidR="002C678D" w:rsidP="00777F2F" w:rsidRDefault="002C678D">
            <w:pPr>
              <w:pStyle w:val="naisc"/>
              <w:spacing w:before="0" w:after="0"/>
              <w:ind w:firstLine="12"/>
              <w:rPr>
                <w:lang w:eastAsia="en-US"/>
              </w:rPr>
            </w:pPr>
            <w:r w:rsidRPr="004714D4">
              <w:rPr>
                <w:sz w:val="22"/>
                <w:szCs w:val="22"/>
                <w:lang w:eastAsia="en-US"/>
              </w:rPr>
              <w:t>Saskaņošanai nosūtītā projekta redakcija (konkrēta punkta (panta) redakcija)</w:t>
            </w:r>
          </w:p>
        </w:tc>
        <w:tc>
          <w:tcPr>
            <w:tcW w:w="1265" w:type="pct"/>
            <w:tcBorders>
              <w:top w:val="single" w:color="000000" w:sz="6" w:space="0"/>
              <w:left w:val="single" w:color="000000" w:sz="6" w:space="0"/>
              <w:bottom w:val="single" w:color="000000" w:sz="6" w:space="0"/>
              <w:right w:val="single" w:color="000000" w:sz="6" w:space="0"/>
            </w:tcBorders>
            <w:vAlign w:val="center"/>
            <w:hideMark/>
          </w:tcPr>
          <w:p w:rsidRPr="004714D4" w:rsidR="002C678D" w:rsidP="00777F2F" w:rsidRDefault="002C678D">
            <w:pPr>
              <w:pStyle w:val="naisc"/>
              <w:spacing w:before="0" w:after="0"/>
              <w:ind w:right="31"/>
              <w:rPr>
                <w:lang w:eastAsia="en-US"/>
              </w:rPr>
            </w:pPr>
            <w:r w:rsidRPr="004714D4">
              <w:rPr>
                <w:sz w:val="22"/>
                <w:szCs w:val="22"/>
                <w:lang w:eastAsia="en-US"/>
              </w:rPr>
              <w:t>Atzinumā norādītais ministrijas (citas institūcijas) iebildums, kā arī saskaņošanā papildus izteiktais iebildums par projekta konkrēto punktu (pantu)</w:t>
            </w:r>
          </w:p>
        </w:tc>
        <w:tc>
          <w:tcPr>
            <w:tcW w:w="1114" w:type="pct"/>
            <w:tcBorders>
              <w:top w:val="single" w:color="000000" w:sz="6" w:space="0"/>
              <w:left w:val="single" w:color="000000" w:sz="6" w:space="0"/>
              <w:bottom w:val="single" w:color="000000" w:sz="6" w:space="0"/>
              <w:right w:val="single" w:color="000000" w:sz="6" w:space="0"/>
            </w:tcBorders>
            <w:vAlign w:val="center"/>
            <w:hideMark/>
          </w:tcPr>
          <w:p w:rsidRPr="004714D4" w:rsidR="002C678D" w:rsidP="00777F2F" w:rsidRDefault="002C678D">
            <w:pPr>
              <w:pStyle w:val="naisc"/>
              <w:spacing w:before="0" w:after="0"/>
              <w:rPr>
                <w:lang w:eastAsia="en-US"/>
              </w:rPr>
            </w:pPr>
            <w:r w:rsidRPr="004714D4">
              <w:rPr>
                <w:sz w:val="22"/>
                <w:szCs w:val="22"/>
                <w:lang w:eastAsia="en-US"/>
              </w:rPr>
              <w:t>Atbildīgās ministrijas norāde par to, ka iebildums ir ņemts vērā, vai informācija par saskaņošanā panākto alternatīvo risinājumu</w:t>
            </w:r>
          </w:p>
        </w:tc>
        <w:tc>
          <w:tcPr>
            <w:tcW w:w="1265" w:type="pct"/>
            <w:tcBorders>
              <w:top w:val="single" w:color="auto" w:sz="4" w:space="0"/>
              <w:left w:val="single" w:color="auto" w:sz="4" w:space="0"/>
              <w:bottom w:val="single" w:color="auto" w:sz="4" w:space="0"/>
              <w:right w:val="single" w:color="auto" w:sz="4" w:space="0"/>
            </w:tcBorders>
            <w:vAlign w:val="center"/>
            <w:hideMark/>
          </w:tcPr>
          <w:p w:rsidRPr="004714D4" w:rsidR="002C678D" w:rsidP="00777F2F" w:rsidRDefault="002C678D">
            <w:pPr>
              <w:pStyle w:val="naisc"/>
              <w:spacing w:before="0" w:after="0"/>
              <w:rPr>
                <w:lang w:eastAsia="en-US"/>
              </w:rPr>
            </w:pPr>
            <w:r w:rsidRPr="004714D4">
              <w:rPr>
                <w:sz w:val="22"/>
                <w:szCs w:val="22"/>
                <w:lang w:eastAsia="en-US"/>
              </w:rPr>
              <w:t>Projekta attiecīgā punkta (panta) galīgā redakcija</w:t>
            </w:r>
          </w:p>
        </w:tc>
      </w:tr>
      <w:tr w:rsidRPr="004714D4" w:rsidR="002C678D" w:rsidTr="00777F2F">
        <w:tc>
          <w:tcPr>
            <w:tcW w:w="198" w:type="pct"/>
            <w:tcBorders>
              <w:top w:val="single" w:color="000000" w:sz="6" w:space="0"/>
              <w:left w:val="single" w:color="000000" w:sz="6" w:space="0"/>
              <w:bottom w:val="single" w:color="auto" w:sz="4" w:space="0"/>
              <w:right w:val="single" w:color="000000" w:sz="6" w:space="0"/>
            </w:tcBorders>
            <w:hideMark/>
          </w:tcPr>
          <w:p w:rsidRPr="004714D4" w:rsidR="002C678D" w:rsidP="00777F2F" w:rsidRDefault="002C678D">
            <w:pPr>
              <w:pStyle w:val="naisc"/>
              <w:spacing w:before="0" w:after="0"/>
              <w:rPr>
                <w:lang w:eastAsia="en-US"/>
              </w:rPr>
            </w:pPr>
            <w:r w:rsidRPr="004714D4">
              <w:rPr>
                <w:sz w:val="22"/>
                <w:szCs w:val="22"/>
                <w:lang w:eastAsia="en-US"/>
              </w:rPr>
              <w:t>1</w:t>
            </w:r>
          </w:p>
        </w:tc>
        <w:tc>
          <w:tcPr>
            <w:tcW w:w="1158" w:type="pct"/>
            <w:tcBorders>
              <w:top w:val="single" w:color="000000" w:sz="6" w:space="0"/>
              <w:left w:val="single" w:color="000000" w:sz="6" w:space="0"/>
              <w:bottom w:val="single" w:color="auto" w:sz="4" w:space="0"/>
              <w:right w:val="single" w:color="000000" w:sz="6" w:space="0"/>
            </w:tcBorders>
            <w:hideMark/>
          </w:tcPr>
          <w:p w:rsidRPr="004714D4" w:rsidR="002C678D" w:rsidP="00777F2F" w:rsidRDefault="002C678D">
            <w:pPr>
              <w:pStyle w:val="naisc"/>
              <w:spacing w:before="0" w:after="0"/>
              <w:ind w:firstLine="12"/>
              <w:rPr>
                <w:lang w:eastAsia="en-US"/>
              </w:rPr>
            </w:pPr>
            <w:r w:rsidRPr="004714D4">
              <w:rPr>
                <w:sz w:val="22"/>
                <w:szCs w:val="22"/>
                <w:lang w:eastAsia="en-US"/>
              </w:rPr>
              <w:t>2</w:t>
            </w:r>
          </w:p>
        </w:tc>
        <w:tc>
          <w:tcPr>
            <w:tcW w:w="1265" w:type="pct"/>
            <w:tcBorders>
              <w:top w:val="single" w:color="000000" w:sz="6" w:space="0"/>
              <w:left w:val="single" w:color="000000" w:sz="6" w:space="0"/>
              <w:bottom w:val="single" w:color="auto" w:sz="4" w:space="0"/>
              <w:right w:val="single" w:color="000000" w:sz="6" w:space="0"/>
            </w:tcBorders>
            <w:hideMark/>
          </w:tcPr>
          <w:p w:rsidRPr="004714D4" w:rsidR="002C678D" w:rsidP="00777F2F" w:rsidRDefault="002C678D">
            <w:pPr>
              <w:pStyle w:val="naisc"/>
              <w:spacing w:before="0" w:after="0"/>
              <w:ind w:right="31"/>
              <w:rPr>
                <w:lang w:eastAsia="en-US"/>
              </w:rPr>
            </w:pPr>
            <w:r w:rsidRPr="004714D4">
              <w:rPr>
                <w:sz w:val="22"/>
                <w:szCs w:val="22"/>
                <w:lang w:eastAsia="en-US"/>
              </w:rPr>
              <w:t>3</w:t>
            </w:r>
          </w:p>
        </w:tc>
        <w:tc>
          <w:tcPr>
            <w:tcW w:w="1114" w:type="pct"/>
            <w:tcBorders>
              <w:top w:val="single" w:color="000000" w:sz="6" w:space="0"/>
              <w:left w:val="single" w:color="000000" w:sz="6" w:space="0"/>
              <w:bottom w:val="single" w:color="auto" w:sz="4" w:space="0"/>
              <w:right w:val="single" w:color="000000" w:sz="6" w:space="0"/>
            </w:tcBorders>
            <w:hideMark/>
          </w:tcPr>
          <w:p w:rsidRPr="004714D4" w:rsidR="002C678D" w:rsidP="00777F2F" w:rsidRDefault="002C678D">
            <w:pPr>
              <w:pStyle w:val="naisc"/>
              <w:spacing w:before="0" w:after="0"/>
              <w:rPr>
                <w:lang w:eastAsia="en-US"/>
              </w:rPr>
            </w:pPr>
            <w:r w:rsidRPr="004714D4">
              <w:rPr>
                <w:sz w:val="22"/>
                <w:szCs w:val="22"/>
                <w:lang w:eastAsia="en-US"/>
              </w:rPr>
              <w:t>4</w:t>
            </w:r>
          </w:p>
        </w:tc>
        <w:tc>
          <w:tcPr>
            <w:tcW w:w="1265" w:type="pct"/>
            <w:tcBorders>
              <w:top w:val="single" w:color="auto" w:sz="4" w:space="0"/>
              <w:left w:val="single" w:color="auto" w:sz="4" w:space="0"/>
              <w:bottom w:val="single" w:color="auto" w:sz="4" w:space="0"/>
              <w:right w:val="single" w:color="auto" w:sz="4" w:space="0"/>
            </w:tcBorders>
            <w:hideMark/>
          </w:tcPr>
          <w:p w:rsidRPr="004714D4" w:rsidR="002C678D" w:rsidP="00777F2F" w:rsidRDefault="002C678D">
            <w:pPr>
              <w:jc w:val="center"/>
              <w:rPr>
                <w:lang w:eastAsia="en-US"/>
              </w:rPr>
            </w:pPr>
            <w:r w:rsidRPr="004714D4">
              <w:rPr>
                <w:sz w:val="22"/>
                <w:szCs w:val="22"/>
                <w:lang w:eastAsia="en-US"/>
              </w:rPr>
              <w:t>5</w:t>
            </w:r>
          </w:p>
        </w:tc>
      </w:tr>
      <w:tr w:rsidRPr="004714D4" w:rsidR="002C678D" w:rsidTr="00777F2F">
        <w:tc>
          <w:tcPr>
            <w:tcW w:w="198" w:type="pct"/>
            <w:tcBorders>
              <w:top w:val="single" w:color="auto" w:sz="4" w:space="0"/>
              <w:left w:val="single" w:color="000000" w:sz="6" w:space="0"/>
              <w:bottom w:val="single" w:color="auto" w:sz="4" w:space="0"/>
              <w:right w:val="single" w:color="000000" w:sz="6" w:space="0"/>
            </w:tcBorders>
          </w:tcPr>
          <w:p w:rsidRPr="004714D4" w:rsidR="002C678D" w:rsidP="00777F2F" w:rsidRDefault="002C678D">
            <w:pPr>
              <w:pStyle w:val="naisc"/>
              <w:numPr>
                <w:ilvl w:val="0"/>
                <w:numId w:val="2"/>
              </w:numPr>
              <w:spacing w:before="0" w:after="0"/>
              <w:jc w:val="right"/>
              <w:rPr>
                <w:lang w:eastAsia="en-US"/>
              </w:rPr>
            </w:pPr>
          </w:p>
        </w:tc>
        <w:tc>
          <w:tcPr>
            <w:tcW w:w="1158" w:type="pct"/>
            <w:tcBorders>
              <w:top w:val="single" w:color="auto" w:sz="4" w:space="0"/>
              <w:left w:val="single" w:color="000000" w:sz="6" w:space="0"/>
              <w:right w:val="single" w:color="000000" w:sz="6" w:space="0"/>
            </w:tcBorders>
            <w:hideMark/>
          </w:tcPr>
          <w:p w:rsidRPr="004714D4" w:rsidR="002C678D" w:rsidP="00777F2F" w:rsidRDefault="00777F2F">
            <w:pPr>
              <w:pStyle w:val="ListParagraph"/>
              <w:ind w:left="0"/>
              <w:jc w:val="both"/>
              <w:rPr>
                <w:rFonts w:ascii="Times New Roman" w:hAnsi="Times New Roman"/>
              </w:rPr>
            </w:pPr>
            <w:r w:rsidRPr="004714D4">
              <w:rPr>
                <w:rFonts w:ascii="Times New Roman" w:hAnsi="Times New Roman"/>
              </w:rPr>
              <w:t>Ministru kabineta rīkojuma projekts „Par valstij dividendēs izmaksājamo valsts sabiedrības ar ierobežotu atbildību „</w:t>
            </w:r>
            <w:r w:rsidRPr="004714D4" w:rsidR="00B856B6">
              <w:rPr>
                <w:rFonts w:ascii="Times New Roman" w:hAnsi="Times New Roman"/>
              </w:rPr>
              <w:t>KREMERATA BALTICA</w:t>
            </w:r>
            <w:r w:rsidRPr="004714D4" w:rsidR="00B856B6">
              <w:rPr>
                <w:rFonts w:ascii="Times New Roman" w:hAnsi="Times New Roman" w:eastAsia="Batang"/>
              </w:rPr>
              <w:t>” peļņas daļu”</w:t>
            </w:r>
            <w:r w:rsidRPr="004714D4" w:rsidR="00B856B6">
              <w:rPr>
                <w:rFonts w:ascii="Times New Roman" w:hAnsi="Times New Roman"/>
              </w:rPr>
              <w:t xml:space="preserve"> (turpmāk – rīkojuma projekts) 1.punkts.</w:t>
            </w:r>
          </w:p>
        </w:tc>
        <w:tc>
          <w:tcPr>
            <w:tcW w:w="1265" w:type="pct"/>
            <w:tcBorders>
              <w:top w:val="single" w:color="auto" w:sz="4" w:space="0"/>
              <w:left w:val="single" w:color="000000" w:sz="6" w:space="0"/>
              <w:bottom w:val="single" w:color="auto" w:sz="4" w:space="0"/>
              <w:right w:val="single" w:color="000000" w:sz="6" w:space="0"/>
            </w:tcBorders>
            <w:hideMark/>
          </w:tcPr>
          <w:p w:rsidRPr="004714D4" w:rsidR="002C678D" w:rsidP="00777F2F" w:rsidRDefault="002C678D">
            <w:pPr>
              <w:pStyle w:val="ListParagraph"/>
              <w:ind w:left="0"/>
              <w:jc w:val="both"/>
              <w:rPr>
                <w:rFonts w:ascii="Times New Roman" w:hAnsi="Times New Roman"/>
                <w:lang w:eastAsia="lv-LV"/>
              </w:rPr>
            </w:pPr>
            <w:r w:rsidRPr="004714D4">
              <w:rPr>
                <w:rFonts w:ascii="Times New Roman" w:hAnsi="Times New Roman"/>
                <w:b/>
              </w:rPr>
              <w:t>Pārresoru koordinācijas centrs:</w:t>
            </w:r>
          </w:p>
          <w:p w:rsidRPr="004714D4" w:rsidR="002C678D" w:rsidP="002C678D" w:rsidRDefault="00B856B6">
            <w:pPr>
              <w:pStyle w:val="Footer"/>
              <w:widowControl w:val="0"/>
              <w:tabs>
                <w:tab w:val="clear" w:pos="4153"/>
                <w:tab w:val="clear" w:pos="8306"/>
                <w:tab w:val="left" w:pos="851"/>
                <w:tab w:val="right" w:pos="8640"/>
              </w:tabs>
              <w:jc w:val="both"/>
              <w:rPr>
                <w:rFonts w:eastAsiaTheme="minorHAnsi"/>
                <w:lang w:eastAsia="en-US"/>
              </w:rPr>
            </w:pPr>
            <w:r w:rsidRPr="004714D4">
              <w:rPr>
                <w:sz w:val="22"/>
                <w:szCs w:val="22"/>
              </w:rPr>
              <w:t xml:space="preserve">Lūdzam precizēt rīkojuma projektu un izteikt tā 1.punktu šādā redakcijā: „1. 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5. un 6. punktu atļaut noteikt valsts sabiedrības ar ierobežotu atbildību „KREMERATA BALTICA” (vienotais reģistrācijas Nr. 40003487546) (turpmāk – KB) vidēja termiņa darbības stratēģijā 2019. -2022. gadam prognozējamo dividendēs izmaksājamo peļņas daļu </w:t>
            </w:r>
            <w:r w:rsidRPr="004714D4">
              <w:rPr>
                <w:sz w:val="22"/>
                <w:szCs w:val="22"/>
                <w:u w:val="single"/>
              </w:rPr>
              <w:t>0% apmērā no prognozētās peļņas</w:t>
            </w:r>
            <w:r w:rsidRPr="004714D4">
              <w:rPr>
                <w:sz w:val="22"/>
                <w:szCs w:val="22"/>
              </w:rPr>
              <w:t xml:space="preserve"> par 2018.-2021.pārskata gadu”</w:t>
            </w:r>
          </w:p>
        </w:tc>
        <w:tc>
          <w:tcPr>
            <w:tcW w:w="1114" w:type="pct"/>
            <w:tcBorders>
              <w:top w:val="single" w:color="auto" w:sz="4" w:space="0"/>
              <w:left w:val="single" w:color="000000" w:sz="6" w:space="0"/>
              <w:bottom w:val="single" w:color="auto" w:sz="4" w:space="0"/>
              <w:right w:val="single" w:color="000000" w:sz="6" w:space="0"/>
            </w:tcBorders>
            <w:hideMark/>
          </w:tcPr>
          <w:p w:rsidRPr="004714D4" w:rsidR="002C678D" w:rsidP="00777F2F" w:rsidRDefault="002C678D">
            <w:pPr>
              <w:jc w:val="center"/>
              <w:rPr>
                <w:b/>
                <w:lang w:eastAsia="en-US"/>
              </w:rPr>
            </w:pPr>
            <w:r w:rsidRPr="004714D4">
              <w:rPr>
                <w:b/>
                <w:sz w:val="22"/>
                <w:szCs w:val="22"/>
                <w:lang w:eastAsia="en-US"/>
              </w:rPr>
              <w:t>Ņemts vērā</w:t>
            </w:r>
          </w:p>
        </w:tc>
        <w:tc>
          <w:tcPr>
            <w:tcW w:w="1265" w:type="pct"/>
            <w:tcBorders>
              <w:top w:val="single" w:color="auto" w:sz="4" w:space="0"/>
              <w:left w:val="single" w:color="auto" w:sz="4" w:space="0"/>
              <w:bottom w:val="single" w:color="auto" w:sz="4" w:space="0"/>
              <w:right w:val="single" w:color="auto" w:sz="4" w:space="0"/>
            </w:tcBorders>
          </w:tcPr>
          <w:p w:rsidRPr="004714D4" w:rsidR="002C678D" w:rsidP="00777F2F" w:rsidRDefault="00777F2F">
            <w:pPr>
              <w:pStyle w:val="tv2132"/>
              <w:spacing w:line="240" w:lineRule="auto"/>
              <w:ind w:firstLine="0"/>
              <w:jc w:val="both"/>
              <w:rPr>
                <w:color w:val="auto"/>
                <w:sz w:val="22"/>
                <w:szCs w:val="22"/>
              </w:rPr>
            </w:pPr>
            <w:r w:rsidRPr="004714D4">
              <w:rPr>
                <w:color w:val="auto"/>
                <w:sz w:val="22"/>
                <w:szCs w:val="22"/>
              </w:rPr>
              <w:t>Precizēts rīkojuma projekta 1.punkts šādā redakcijā:</w:t>
            </w:r>
          </w:p>
          <w:p w:rsidRPr="004714D4" w:rsidR="000C3D46" w:rsidP="00777F2F" w:rsidRDefault="000C3D46">
            <w:pPr>
              <w:pStyle w:val="tv2132"/>
              <w:spacing w:line="240" w:lineRule="auto"/>
              <w:ind w:firstLine="0"/>
              <w:jc w:val="both"/>
              <w:rPr>
                <w:color w:val="auto"/>
                <w:sz w:val="22"/>
                <w:szCs w:val="22"/>
              </w:rPr>
            </w:pPr>
          </w:p>
          <w:p w:rsidRPr="004714D4" w:rsidR="00777F2F" w:rsidP="004E27E0" w:rsidRDefault="00777F2F">
            <w:pPr>
              <w:pStyle w:val="Paraststmeklis1"/>
              <w:spacing w:before="0" w:beforeAutospacing="0" w:after="0" w:afterAutospacing="0"/>
              <w:jc w:val="both"/>
              <w:rPr>
                <w:rFonts w:ascii="Times New Roman" w:hAnsi="Times New Roman"/>
                <w:color w:val="auto"/>
                <w:sz w:val="22"/>
                <w:szCs w:val="22"/>
              </w:rPr>
            </w:pPr>
            <w:r w:rsidRPr="004714D4">
              <w:rPr>
                <w:rFonts w:ascii="Times New Roman" w:hAnsi="Times New Roman" w:eastAsiaTheme="minorHAnsi"/>
                <w:color w:val="auto"/>
                <w:sz w:val="22"/>
                <w:szCs w:val="22"/>
                <w:lang w:eastAsia="en-US"/>
              </w:rPr>
              <w:t>„1. 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5. un 6.punktu a</w:t>
            </w:r>
            <w:r w:rsidRPr="004714D4" w:rsidR="00B856B6">
              <w:rPr>
                <w:rFonts w:ascii="Times New Roman" w:hAnsi="Times New Roman" w:eastAsiaTheme="minorHAnsi"/>
                <w:color w:val="auto"/>
                <w:sz w:val="22"/>
                <w:szCs w:val="22"/>
                <w:lang w:eastAsia="en-US"/>
              </w:rPr>
              <w:t>tļaut noteikt valsts sabiedrības ar ierobežotu atbildību „</w:t>
            </w:r>
            <w:r w:rsidRPr="004714D4" w:rsidR="00B856B6">
              <w:rPr>
                <w:rFonts w:ascii="Times New Roman" w:hAnsi="Times New Roman"/>
                <w:color w:val="auto"/>
                <w:sz w:val="22"/>
                <w:szCs w:val="22"/>
              </w:rPr>
              <w:t>KREMERATA BALTICA</w:t>
            </w:r>
            <w:r w:rsidRPr="004714D4" w:rsidR="00B856B6">
              <w:rPr>
                <w:rFonts w:ascii="Times New Roman" w:hAnsi="Times New Roman" w:eastAsiaTheme="minorHAnsi"/>
                <w:color w:val="auto"/>
                <w:sz w:val="22"/>
                <w:szCs w:val="22"/>
                <w:lang w:eastAsia="en-US"/>
              </w:rPr>
              <w:t>” (vienotais reģistrācijas Nr.</w:t>
            </w:r>
            <w:r w:rsidRPr="004714D4" w:rsidR="00B856B6">
              <w:rPr>
                <w:rFonts w:ascii="Times New Roman" w:hAnsi="Times New Roman"/>
                <w:color w:val="auto"/>
                <w:sz w:val="22"/>
                <w:szCs w:val="22"/>
              </w:rPr>
              <w:t>40003487546</w:t>
            </w:r>
            <w:r w:rsidRPr="004714D4" w:rsidR="00B856B6">
              <w:rPr>
                <w:rFonts w:ascii="Times New Roman" w:hAnsi="Times New Roman" w:eastAsiaTheme="minorHAnsi"/>
                <w:color w:val="auto"/>
                <w:sz w:val="22"/>
                <w:szCs w:val="22"/>
                <w:lang w:eastAsia="en-US"/>
              </w:rPr>
              <w:t>) (turpmāk – kapitālsabiedrība) vidēja termiņa darbības stratēģijā 2020.</w:t>
            </w:r>
            <w:r w:rsidRPr="004714D4" w:rsidR="004E27E0">
              <w:rPr>
                <w:rFonts w:ascii="Times New Roman" w:hAnsi="Times New Roman" w:eastAsiaTheme="minorHAnsi"/>
                <w:color w:val="auto"/>
                <w:sz w:val="22"/>
                <w:szCs w:val="22"/>
                <w:lang w:eastAsia="en-US"/>
              </w:rPr>
              <w:t> </w:t>
            </w:r>
            <w:r w:rsidRPr="004714D4">
              <w:rPr>
                <w:rFonts w:ascii="Times New Roman" w:hAnsi="Times New Roman" w:eastAsiaTheme="minorHAnsi"/>
                <w:color w:val="auto"/>
                <w:sz w:val="22"/>
                <w:szCs w:val="22"/>
                <w:lang w:eastAsia="en-US"/>
              </w:rPr>
              <w:t>–2022.gadam prognozējamo dividendēs izmaksājamo peļņas daļu 0</w:t>
            </w:r>
            <w:r w:rsidRPr="004714D4" w:rsidR="004E27E0">
              <w:rPr>
                <w:rFonts w:ascii="Times New Roman" w:hAnsi="Times New Roman" w:eastAsiaTheme="minorHAnsi"/>
                <w:color w:val="auto"/>
                <w:sz w:val="22"/>
                <w:szCs w:val="22"/>
                <w:lang w:eastAsia="en-US"/>
              </w:rPr>
              <w:t xml:space="preserve"> procentu </w:t>
            </w:r>
            <w:r w:rsidRPr="004714D4">
              <w:rPr>
                <w:rFonts w:ascii="Times New Roman" w:hAnsi="Times New Roman" w:eastAsiaTheme="minorHAnsi"/>
                <w:color w:val="auto"/>
                <w:sz w:val="22"/>
                <w:szCs w:val="22"/>
                <w:lang w:eastAsia="en-US"/>
              </w:rPr>
              <w:t>apmērā no prognozētās peļņas par 2019.</w:t>
            </w:r>
            <w:r w:rsidRPr="004714D4" w:rsidR="004E27E0">
              <w:rPr>
                <w:rFonts w:ascii="Times New Roman" w:hAnsi="Times New Roman" w:eastAsiaTheme="minorHAnsi"/>
                <w:color w:val="auto"/>
                <w:sz w:val="22"/>
                <w:szCs w:val="22"/>
                <w:lang w:eastAsia="en-US"/>
              </w:rPr>
              <w:t> </w:t>
            </w:r>
            <w:r w:rsidRPr="004714D4">
              <w:rPr>
                <w:rFonts w:ascii="Times New Roman" w:hAnsi="Times New Roman" w:eastAsiaTheme="minorHAnsi"/>
                <w:color w:val="auto"/>
                <w:sz w:val="22"/>
                <w:szCs w:val="22"/>
                <w:lang w:eastAsia="en-US"/>
              </w:rPr>
              <w:t>–</w:t>
            </w:r>
            <w:r w:rsidRPr="004714D4" w:rsidR="004E27E0">
              <w:rPr>
                <w:rFonts w:ascii="Times New Roman" w:hAnsi="Times New Roman" w:eastAsiaTheme="minorHAnsi"/>
                <w:color w:val="auto"/>
                <w:sz w:val="22"/>
                <w:szCs w:val="22"/>
                <w:lang w:eastAsia="en-US"/>
              </w:rPr>
              <w:t> </w:t>
            </w:r>
            <w:r w:rsidRPr="004714D4">
              <w:rPr>
                <w:rFonts w:ascii="Times New Roman" w:hAnsi="Times New Roman" w:eastAsiaTheme="minorHAnsi"/>
                <w:color w:val="auto"/>
                <w:sz w:val="22"/>
                <w:szCs w:val="22"/>
                <w:lang w:eastAsia="en-US"/>
              </w:rPr>
              <w:t>2021.pārskata gadu.”</w:t>
            </w:r>
          </w:p>
        </w:tc>
      </w:tr>
      <w:tr w:rsidRPr="004714D4" w:rsidR="002C678D" w:rsidTr="00777F2F">
        <w:tc>
          <w:tcPr>
            <w:tcW w:w="198" w:type="pct"/>
            <w:tcBorders>
              <w:top w:val="single" w:color="auto" w:sz="4" w:space="0"/>
              <w:left w:val="single" w:color="000000" w:sz="6" w:space="0"/>
              <w:bottom w:val="single" w:color="auto" w:sz="4" w:space="0"/>
              <w:right w:val="single" w:color="000000" w:sz="6" w:space="0"/>
            </w:tcBorders>
          </w:tcPr>
          <w:p w:rsidRPr="004714D4" w:rsidR="002C678D" w:rsidP="00777F2F" w:rsidRDefault="002C678D">
            <w:pPr>
              <w:pStyle w:val="naisc"/>
              <w:numPr>
                <w:ilvl w:val="0"/>
                <w:numId w:val="2"/>
              </w:numPr>
              <w:spacing w:before="0" w:after="0"/>
              <w:jc w:val="right"/>
              <w:rPr>
                <w:lang w:eastAsia="en-US"/>
              </w:rPr>
            </w:pPr>
          </w:p>
        </w:tc>
        <w:tc>
          <w:tcPr>
            <w:tcW w:w="0" w:type="auto"/>
            <w:tcBorders>
              <w:top w:val="single" w:color="auto" w:sz="4" w:space="0"/>
              <w:left w:val="single" w:color="000000" w:sz="6" w:space="0"/>
              <w:bottom w:val="single" w:color="auto" w:sz="4" w:space="0"/>
              <w:right w:val="single" w:color="000000" w:sz="6" w:space="0"/>
            </w:tcBorders>
            <w:hideMark/>
          </w:tcPr>
          <w:p w:rsidRPr="004714D4" w:rsidR="002C678D" w:rsidP="00777F2F" w:rsidRDefault="00777F2F">
            <w:pPr>
              <w:jc w:val="both"/>
              <w:rPr>
                <w:lang w:eastAsia="en-US"/>
              </w:rPr>
            </w:pPr>
            <w:r w:rsidRPr="004714D4">
              <w:rPr>
                <w:sz w:val="22"/>
                <w:szCs w:val="22"/>
              </w:rPr>
              <w:t>R</w:t>
            </w:r>
            <w:r w:rsidRPr="004714D4" w:rsidR="002C678D">
              <w:rPr>
                <w:sz w:val="22"/>
                <w:szCs w:val="22"/>
              </w:rPr>
              <w:t>īkojuma projekt</w:t>
            </w:r>
            <w:r w:rsidRPr="004714D4">
              <w:rPr>
                <w:sz w:val="22"/>
                <w:szCs w:val="22"/>
              </w:rPr>
              <w:t>a 2.punkts</w:t>
            </w:r>
            <w:r w:rsidRPr="004714D4" w:rsidR="002C678D">
              <w:rPr>
                <w:sz w:val="22"/>
                <w:szCs w:val="22"/>
              </w:rPr>
              <w:t xml:space="preserve"> un rīkojuma projekta </w:t>
            </w:r>
            <w:r w:rsidRPr="004714D4" w:rsidR="002C678D">
              <w:rPr>
                <w:sz w:val="22"/>
                <w:szCs w:val="22"/>
                <w:lang w:eastAsia="en-US"/>
              </w:rPr>
              <w:t>sākotnējās ietekmes novērtējuma ziņojuma (anotācijas)</w:t>
            </w:r>
            <w:r w:rsidRPr="004714D4" w:rsidR="00B856B6">
              <w:rPr>
                <w:sz w:val="22"/>
                <w:szCs w:val="22"/>
              </w:rPr>
              <w:t xml:space="preserve"> </w:t>
            </w:r>
            <w:r w:rsidRPr="004714D4" w:rsidR="00485731">
              <w:rPr>
                <w:sz w:val="22"/>
                <w:szCs w:val="22"/>
              </w:rPr>
              <w:t>sadaļa „</w:t>
            </w:r>
            <w:r w:rsidRPr="004714D4" w:rsidR="001E4121">
              <w:rPr>
                <w:bCs/>
                <w:iCs/>
                <w:sz w:val="22"/>
                <w:szCs w:val="22"/>
              </w:rPr>
              <w:t xml:space="preserve">Tiesību akta </w:t>
            </w:r>
            <w:r w:rsidRPr="004714D4" w:rsidR="001E4121">
              <w:rPr>
                <w:bCs/>
                <w:iCs/>
                <w:sz w:val="22"/>
                <w:szCs w:val="22"/>
              </w:rPr>
              <w:lastRenderedPageBreak/>
              <w:t>projekta anotācijas kopsavilkums”.</w:t>
            </w:r>
          </w:p>
        </w:tc>
        <w:tc>
          <w:tcPr>
            <w:tcW w:w="1265" w:type="pct"/>
            <w:tcBorders>
              <w:top w:val="single" w:color="auto" w:sz="4" w:space="0"/>
              <w:left w:val="single" w:color="000000" w:sz="6" w:space="0"/>
              <w:bottom w:val="single" w:color="auto" w:sz="4" w:space="0"/>
              <w:right w:val="single" w:color="000000" w:sz="6" w:space="0"/>
            </w:tcBorders>
            <w:hideMark/>
          </w:tcPr>
          <w:p w:rsidRPr="004714D4" w:rsidR="002C678D" w:rsidP="00777F2F" w:rsidRDefault="00777F2F">
            <w:pPr>
              <w:pStyle w:val="ListParagraph"/>
              <w:ind w:left="0" w:right="31"/>
              <w:jc w:val="both"/>
              <w:rPr>
                <w:rFonts w:ascii="Times New Roman" w:hAnsi="Times New Roman"/>
                <w:b/>
              </w:rPr>
            </w:pPr>
            <w:r w:rsidRPr="004714D4">
              <w:rPr>
                <w:rFonts w:ascii="Times New Roman" w:hAnsi="Times New Roman"/>
                <w:b/>
              </w:rPr>
              <w:lastRenderedPageBreak/>
              <w:t>Pārresoru koordinācijas centrs:</w:t>
            </w:r>
          </w:p>
          <w:p w:rsidRPr="004714D4" w:rsidR="005624B6" w:rsidP="00777F2F" w:rsidRDefault="005624B6">
            <w:pPr>
              <w:pStyle w:val="ListParagraph"/>
              <w:ind w:left="0" w:right="31"/>
              <w:jc w:val="both"/>
              <w:rPr>
                <w:rFonts w:ascii="Times New Roman" w:hAnsi="Times New Roman"/>
                <w:b/>
              </w:rPr>
            </w:pPr>
            <w:r w:rsidRPr="004714D4">
              <w:rPr>
                <w:rFonts w:ascii="Times New Roman" w:hAnsi="Times New Roman"/>
              </w:rPr>
              <w:t xml:space="preserve">Rīkojuma projektā </w:t>
            </w:r>
            <w:r w:rsidRPr="004714D4" w:rsidR="00B856B6">
              <w:rPr>
                <w:rFonts w:ascii="Times New Roman" w:hAnsi="Times New Roman"/>
              </w:rPr>
              <w:t xml:space="preserve">un anotācijā kā kapitālsabiedrības rīcībā atstājamās naudas izlietojums minēta deleģēto </w:t>
            </w:r>
            <w:r w:rsidRPr="004714D4" w:rsidR="00B856B6">
              <w:rPr>
                <w:rFonts w:ascii="Times New Roman" w:hAnsi="Times New Roman"/>
              </w:rPr>
              <w:lastRenderedPageBreak/>
              <w:t>valsts pārvaldes uzdevumu kultūras jomā segšana, kas nesaskan ar KB stratēģiju, kurā to ir paredzēts novirzīt orķestra ilgtermiņa attīstības un augstvērtīgas mākslinieciskās darbības attīstībai, kā arī kapitālsabiedrības tehniskās un tehnoloģiskās darbības pilnveidošanai. Lūdzam atbilstoši labot rīkojuma projektu un anotāciju, saskaņojot minētos dokumentus ar stratēģiju.</w:t>
            </w:r>
          </w:p>
        </w:tc>
        <w:tc>
          <w:tcPr>
            <w:tcW w:w="1114" w:type="pct"/>
            <w:tcBorders>
              <w:top w:val="single" w:color="auto" w:sz="4" w:space="0"/>
              <w:left w:val="single" w:color="000000" w:sz="6" w:space="0"/>
              <w:bottom w:val="single" w:color="auto" w:sz="4" w:space="0"/>
              <w:right w:val="single" w:color="000000" w:sz="6" w:space="0"/>
            </w:tcBorders>
            <w:hideMark/>
          </w:tcPr>
          <w:p w:rsidRPr="004714D4" w:rsidR="002C678D" w:rsidP="00777F2F" w:rsidRDefault="00B856B6">
            <w:pPr>
              <w:jc w:val="center"/>
              <w:rPr>
                <w:b/>
                <w:lang w:eastAsia="en-US"/>
              </w:rPr>
            </w:pPr>
            <w:r w:rsidRPr="004714D4">
              <w:rPr>
                <w:b/>
                <w:sz w:val="22"/>
                <w:szCs w:val="22"/>
                <w:lang w:eastAsia="en-US"/>
              </w:rPr>
              <w:lastRenderedPageBreak/>
              <w:t>Ņemts vērā</w:t>
            </w:r>
          </w:p>
        </w:tc>
        <w:tc>
          <w:tcPr>
            <w:tcW w:w="1265" w:type="pct"/>
            <w:tcBorders>
              <w:top w:val="single" w:color="auto" w:sz="4" w:space="0"/>
              <w:left w:val="single" w:color="auto" w:sz="4" w:space="0"/>
              <w:bottom w:val="single" w:color="auto" w:sz="4" w:space="0"/>
              <w:right w:val="single" w:color="auto" w:sz="4" w:space="0"/>
            </w:tcBorders>
            <w:hideMark/>
          </w:tcPr>
          <w:p w:rsidRPr="004714D4" w:rsidR="00D3056F" w:rsidP="00777F2F" w:rsidRDefault="00D3056F">
            <w:pPr>
              <w:pStyle w:val="Default"/>
              <w:jc w:val="both"/>
              <w:rPr>
                <w:color w:val="auto"/>
                <w:sz w:val="22"/>
                <w:szCs w:val="22"/>
              </w:rPr>
            </w:pPr>
            <w:r w:rsidRPr="004714D4">
              <w:rPr>
                <w:color w:val="auto"/>
                <w:sz w:val="22"/>
                <w:szCs w:val="22"/>
              </w:rPr>
              <w:t>Precizēts rīkojuma projekta 2.punkts šādā redakcijā:</w:t>
            </w:r>
          </w:p>
          <w:p w:rsidRPr="004714D4" w:rsidR="000C3D46" w:rsidP="00777F2F" w:rsidRDefault="000C3D46">
            <w:pPr>
              <w:pStyle w:val="Default"/>
              <w:jc w:val="both"/>
              <w:rPr>
                <w:rFonts w:eastAsiaTheme="minorHAnsi"/>
                <w:color w:val="auto"/>
                <w:sz w:val="22"/>
                <w:szCs w:val="22"/>
              </w:rPr>
            </w:pPr>
          </w:p>
          <w:p w:rsidRPr="004714D4" w:rsidR="002C678D" w:rsidP="00777F2F" w:rsidRDefault="00485731">
            <w:pPr>
              <w:pStyle w:val="Default"/>
              <w:jc w:val="both"/>
              <w:rPr>
                <w:color w:val="auto"/>
                <w:sz w:val="22"/>
                <w:szCs w:val="22"/>
              </w:rPr>
            </w:pPr>
            <w:r w:rsidRPr="004714D4">
              <w:rPr>
                <w:rFonts w:eastAsiaTheme="minorHAnsi"/>
                <w:color w:val="auto"/>
                <w:sz w:val="22"/>
                <w:szCs w:val="22"/>
              </w:rPr>
              <w:t>„2. </w:t>
            </w:r>
            <w:r w:rsidRPr="004714D4" w:rsidR="00B856B6">
              <w:rPr>
                <w:rFonts w:eastAsiaTheme="minorHAnsi"/>
                <w:color w:val="auto"/>
                <w:sz w:val="22"/>
                <w:szCs w:val="22"/>
              </w:rPr>
              <w:t xml:space="preserve">Kultūras ministrijai kā </w:t>
            </w:r>
            <w:r w:rsidRPr="004714D4" w:rsidR="00B856B6">
              <w:rPr>
                <w:rFonts w:eastAsiaTheme="minorHAnsi"/>
                <w:color w:val="auto"/>
                <w:sz w:val="22"/>
                <w:szCs w:val="22"/>
              </w:rPr>
              <w:lastRenderedPageBreak/>
              <w:t>kapitālsabiedrības kapitāla daļu turētājai nodrošināt, ka 201</w:t>
            </w:r>
            <w:r w:rsidRPr="004714D4" w:rsidR="00371BD3">
              <w:rPr>
                <w:rFonts w:eastAsiaTheme="minorHAnsi"/>
                <w:color w:val="auto"/>
                <w:sz w:val="22"/>
                <w:szCs w:val="22"/>
              </w:rPr>
              <w:t>9</w:t>
            </w:r>
            <w:r w:rsidRPr="004714D4" w:rsidR="00B856B6">
              <w:rPr>
                <w:rFonts w:eastAsiaTheme="minorHAnsi"/>
                <w:color w:val="auto"/>
                <w:sz w:val="22"/>
                <w:szCs w:val="22"/>
              </w:rPr>
              <w:t>.</w:t>
            </w:r>
            <w:r w:rsidRPr="004714D4" w:rsidR="004E27E0">
              <w:rPr>
                <w:rFonts w:eastAsiaTheme="minorHAnsi"/>
                <w:color w:val="auto"/>
                <w:sz w:val="22"/>
                <w:szCs w:val="22"/>
              </w:rPr>
              <w:t> </w:t>
            </w:r>
            <w:r w:rsidRPr="004714D4" w:rsidR="00777F2F">
              <w:rPr>
                <w:rFonts w:eastAsiaTheme="minorHAnsi"/>
                <w:color w:val="auto"/>
                <w:sz w:val="22"/>
                <w:szCs w:val="22"/>
              </w:rPr>
              <w:t xml:space="preserve">– </w:t>
            </w:r>
            <w:r w:rsidRPr="004714D4" w:rsidR="004E27E0">
              <w:rPr>
                <w:rFonts w:eastAsiaTheme="minorHAnsi"/>
                <w:color w:val="auto"/>
                <w:sz w:val="22"/>
                <w:szCs w:val="22"/>
              </w:rPr>
              <w:t>2</w:t>
            </w:r>
            <w:r w:rsidRPr="004714D4" w:rsidR="00777F2F">
              <w:rPr>
                <w:rFonts w:eastAsiaTheme="minorHAnsi"/>
                <w:color w:val="auto"/>
                <w:sz w:val="22"/>
                <w:szCs w:val="22"/>
              </w:rPr>
              <w:t>021.</w:t>
            </w:r>
            <w:r w:rsidRPr="004714D4" w:rsidR="004E27E0">
              <w:rPr>
                <w:rFonts w:eastAsiaTheme="minorHAnsi"/>
                <w:color w:val="auto"/>
                <w:sz w:val="22"/>
                <w:szCs w:val="22"/>
              </w:rPr>
              <w:t> </w:t>
            </w:r>
            <w:r w:rsidRPr="004714D4" w:rsidR="00777F2F">
              <w:rPr>
                <w:rFonts w:eastAsiaTheme="minorHAnsi"/>
                <w:color w:val="auto"/>
                <w:sz w:val="22"/>
                <w:szCs w:val="22"/>
              </w:rPr>
              <w:t xml:space="preserve">pārskata gadā gūtā peļņa tiek novirzīta kapitālsabiedrības </w:t>
            </w:r>
            <w:r w:rsidRPr="004714D4" w:rsidR="00777F2F">
              <w:rPr>
                <w:color w:val="auto"/>
                <w:sz w:val="22"/>
                <w:szCs w:val="22"/>
              </w:rPr>
              <w:t xml:space="preserve">plānoto investīciju veikšanai </w:t>
            </w:r>
            <w:r w:rsidRPr="004714D4" w:rsidR="00B856B6">
              <w:rPr>
                <w:rFonts w:eastAsiaTheme="minorHAnsi"/>
                <w:color w:val="auto"/>
                <w:sz w:val="22"/>
                <w:szCs w:val="22"/>
              </w:rPr>
              <w:t>atbilstoši kapitālsabiedrības vidēja termiņa darbības stratēģijai 2020.</w:t>
            </w:r>
            <w:r w:rsidRPr="004714D4" w:rsidR="004E27E0">
              <w:rPr>
                <w:rFonts w:eastAsiaTheme="minorHAnsi"/>
                <w:color w:val="auto"/>
                <w:sz w:val="22"/>
                <w:szCs w:val="22"/>
              </w:rPr>
              <w:t> </w:t>
            </w:r>
            <w:r w:rsidRPr="004714D4" w:rsidR="00777F2F">
              <w:rPr>
                <w:rFonts w:eastAsiaTheme="minorHAnsi"/>
                <w:color w:val="auto"/>
                <w:sz w:val="22"/>
                <w:szCs w:val="22"/>
              </w:rPr>
              <w:t>–</w:t>
            </w:r>
            <w:r w:rsidRPr="004714D4" w:rsidR="004E27E0">
              <w:rPr>
                <w:rFonts w:eastAsiaTheme="minorHAnsi"/>
                <w:color w:val="auto"/>
                <w:sz w:val="22"/>
                <w:szCs w:val="22"/>
              </w:rPr>
              <w:t> </w:t>
            </w:r>
            <w:r w:rsidRPr="004714D4" w:rsidR="00777F2F">
              <w:rPr>
                <w:rFonts w:eastAsiaTheme="minorHAnsi"/>
                <w:color w:val="auto"/>
                <w:sz w:val="22"/>
                <w:szCs w:val="22"/>
              </w:rPr>
              <w:t>2022.gadam, lai nodrošinātu ilgtermiņa attīstību un augstvērtīgu māksliniecisko darbību.</w:t>
            </w:r>
            <w:r w:rsidRPr="004714D4" w:rsidR="00D3056F">
              <w:rPr>
                <w:rFonts w:eastAsiaTheme="minorHAnsi"/>
                <w:color w:val="auto"/>
                <w:sz w:val="22"/>
                <w:szCs w:val="22"/>
              </w:rPr>
              <w:t>”</w:t>
            </w:r>
          </w:p>
          <w:p w:rsidRPr="004714D4" w:rsidR="00485731" w:rsidP="00777F2F" w:rsidRDefault="00485731">
            <w:pPr>
              <w:pStyle w:val="Default"/>
              <w:jc w:val="both"/>
              <w:rPr>
                <w:color w:val="auto"/>
                <w:sz w:val="22"/>
                <w:szCs w:val="22"/>
              </w:rPr>
            </w:pPr>
          </w:p>
          <w:p w:rsidRPr="004714D4" w:rsidR="002C678D" w:rsidP="00777F2F" w:rsidRDefault="00485731">
            <w:pPr>
              <w:pStyle w:val="Default"/>
              <w:jc w:val="both"/>
              <w:rPr>
                <w:bCs/>
                <w:iCs/>
                <w:color w:val="auto"/>
                <w:sz w:val="22"/>
                <w:szCs w:val="22"/>
              </w:rPr>
            </w:pPr>
            <w:r w:rsidRPr="004714D4">
              <w:rPr>
                <w:color w:val="auto"/>
                <w:sz w:val="22"/>
                <w:szCs w:val="22"/>
              </w:rPr>
              <w:t>Precizēta</w:t>
            </w:r>
            <w:r w:rsidRPr="004714D4" w:rsidR="00B856B6">
              <w:rPr>
                <w:color w:val="auto"/>
                <w:sz w:val="22"/>
                <w:szCs w:val="22"/>
              </w:rPr>
              <w:t xml:space="preserve"> rīkojuma projekta sākotnējās ietekmes novērtējuma ziņojuma (anotācijas) </w:t>
            </w:r>
            <w:r w:rsidRPr="004714D4">
              <w:rPr>
                <w:color w:val="auto"/>
                <w:sz w:val="22"/>
                <w:szCs w:val="22"/>
              </w:rPr>
              <w:t>sadaļa „</w:t>
            </w:r>
            <w:r w:rsidRPr="004714D4" w:rsidR="001E4121">
              <w:rPr>
                <w:bCs/>
                <w:iCs/>
                <w:color w:val="auto"/>
                <w:sz w:val="22"/>
                <w:szCs w:val="22"/>
              </w:rPr>
              <w:t>Tiesību akta projekta anotācijas kopsavilkums” šādā redakcijā:</w:t>
            </w:r>
          </w:p>
          <w:p w:rsidRPr="004714D4" w:rsidR="000C3D46" w:rsidP="00777F2F" w:rsidRDefault="000C3D46">
            <w:pPr>
              <w:pStyle w:val="Default"/>
              <w:jc w:val="both"/>
              <w:rPr>
                <w:color w:val="auto"/>
                <w:sz w:val="22"/>
                <w:szCs w:val="22"/>
                <w:lang w:eastAsia="lv-LV"/>
              </w:rPr>
            </w:pPr>
          </w:p>
          <w:p w:rsidRPr="004714D4" w:rsidR="002C678D" w:rsidP="00D3056F" w:rsidRDefault="00B856B6">
            <w:pPr>
              <w:pStyle w:val="Default"/>
              <w:jc w:val="both"/>
              <w:rPr>
                <w:color w:val="000000" w:themeColor="text1"/>
                <w:sz w:val="22"/>
                <w:szCs w:val="22"/>
              </w:rPr>
            </w:pPr>
            <w:r w:rsidRPr="004714D4">
              <w:rPr>
                <w:color w:val="000000" w:themeColor="text1"/>
                <w:sz w:val="22"/>
                <w:szCs w:val="22"/>
              </w:rPr>
              <w:t xml:space="preserve">„Ministru kabineta rīkojuma projekta „Par valstij dividendēs izmaksājamo valsts sabiedrības ar ierobežotu atbildību „KREMERATA BALTICA” (turpmāk – Projekts) mērķis ir valsts sabiedrības ar ierobežotu atbildību „KREMERATA BALTICA” (turpmāk – kapitālsabiedrība) ikgadējās prognozējamās dividendēs izmaksājamās peļņas daļas novirzīšana </w:t>
            </w:r>
            <w:r w:rsidRPr="004714D4">
              <w:rPr>
                <w:rFonts w:eastAsia="Times New Roman"/>
                <w:color w:val="000000" w:themeColor="text1"/>
                <w:sz w:val="22"/>
                <w:szCs w:val="22"/>
              </w:rPr>
              <w:t xml:space="preserve">kapitālsabiedrības </w:t>
            </w:r>
            <w:r w:rsidRPr="004714D4">
              <w:rPr>
                <w:color w:val="000000" w:themeColor="text1"/>
                <w:sz w:val="22"/>
                <w:szCs w:val="22"/>
              </w:rPr>
              <w:t xml:space="preserve">deleģēto valsts pārvaldes uzdevumu </w:t>
            </w:r>
            <w:r w:rsidRPr="004714D4">
              <w:rPr>
                <w:rFonts w:eastAsia="Times New Roman"/>
                <w:color w:val="000000" w:themeColor="text1"/>
                <w:sz w:val="22"/>
                <w:szCs w:val="22"/>
              </w:rPr>
              <w:t xml:space="preserve">kultūras jomā izdevumu segšanai, konkrēti </w:t>
            </w:r>
            <w:r w:rsidRPr="004714D4">
              <w:rPr>
                <w:rFonts w:eastAsia="Times New Roman"/>
                <w:color w:val="000000" w:themeColor="text1"/>
                <w:sz w:val="22"/>
                <w:szCs w:val="22"/>
              </w:rPr>
              <w:softHyphen/>
              <w:t xml:space="preserve"> </w:t>
            </w:r>
            <w:r w:rsidRPr="004714D4">
              <w:rPr>
                <w:color w:val="000000" w:themeColor="text1"/>
                <w:sz w:val="22"/>
                <w:szCs w:val="22"/>
              </w:rPr>
              <w:t>kapitālsabiedrības tehniskās un tehnoloģiskās darbības pilnveidošanai</w:t>
            </w:r>
            <w:r w:rsidRPr="004714D4">
              <w:rPr>
                <w:rFonts w:eastAsia="Times New Roman"/>
                <w:color w:val="000000" w:themeColor="text1"/>
                <w:sz w:val="22"/>
                <w:szCs w:val="22"/>
              </w:rPr>
              <w:t xml:space="preserve">, un </w:t>
            </w:r>
            <w:r w:rsidRPr="004714D4">
              <w:rPr>
                <w:color w:val="000000" w:themeColor="text1"/>
                <w:sz w:val="22"/>
                <w:szCs w:val="22"/>
              </w:rPr>
              <w:t xml:space="preserve">orķestra ilgtermiņa attīstības un augstvērtīgas mākslinieciskās darbības attīstībai, </w:t>
            </w:r>
            <w:r w:rsidRPr="004714D4">
              <w:rPr>
                <w:rFonts w:eastAsia="Times New Roman"/>
                <w:color w:val="000000" w:themeColor="text1"/>
                <w:sz w:val="22"/>
                <w:szCs w:val="22"/>
              </w:rPr>
              <w:lastRenderedPageBreak/>
              <w:t xml:space="preserve">nepalielinot kapitālsabiedrībai nepieciešamo valsts budžeta dotāciju. </w:t>
            </w:r>
            <w:r w:rsidRPr="004714D4">
              <w:rPr>
                <w:color w:val="000000" w:themeColor="text1"/>
                <w:sz w:val="22"/>
                <w:szCs w:val="22"/>
              </w:rPr>
              <w:t xml:space="preserve">Saskaņā ar kapitālsabiedrības vidēja termiņa stratēģijas projektu „Valsts sabiedrības ar ierobežotu atbildību „KREMERATA BALTICA” vidēja termiņa darbības stratēģija 2020. – 2022.gadam” (turpmāk – Stratēģija) 2019. – 2021.gadam prognozējamā dividendēs izmaksājamā peļņas daļa plānota </w:t>
            </w:r>
            <w:r w:rsidRPr="004714D4" w:rsidR="009A5E4A">
              <w:rPr>
                <w:sz w:val="22"/>
                <w:szCs w:val="22"/>
              </w:rPr>
              <w:t>3 088 </w:t>
            </w:r>
            <w:r w:rsidRPr="004714D4">
              <w:rPr>
                <w:i/>
                <w:color w:val="000000" w:themeColor="text1"/>
                <w:sz w:val="22"/>
                <w:szCs w:val="22"/>
              </w:rPr>
              <w:t xml:space="preserve">euro </w:t>
            </w:r>
            <w:r w:rsidRPr="004714D4">
              <w:rPr>
                <w:rFonts w:eastAsia="Times New Roman"/>
                <w:color w:val="000000" w:themeColor="text1"/>
                <w:sz w:val="22"/>
                <w:szCs w:val="22"/>
              </w:rPr>
              <w:t>apmērā.”</w:t>
            </w:r>
          </w:p>
        </w:tc>
      </w:tr>
      <w:tr w:rsidRPr="004714D4" w:rsidR="002C678D" w:rsidTr="00777F2F">
        <w:tc>
          <w:tcPr>
            <w:tcW w:w="198" w:type="pct"/>
            <w:tcBorders>
              <w:top w:val="single" w:color="auto" w:sz="4" w:space="0"/>
              <w:left w:val="single" w:color="000000" w:sz="6" w:space="0"/>
              <w:bottom w:val="single" w:color="auto" w:sz="4" w:space="0"/>
              <w:right w:val="single" w:color="000000" w:sz="6" w:space="0"/>
            </w:tcBorders>
          </w:tcPr>
          <w:p w:rsidRPr="004714D4" w:rsidR="002C678D" w:rsidP="00777F2F" w:rsidRDefault="002C678D">
            <w:pPr>
              <w:pStyle w:val="naisc"/>
              <w:numPr>
                <w:ilvl w:val="0"/>
                <w:numId w:val="2"/>
              </w:numPr>
              <w:spacing w:before="0" w:after="0"/>
              <w:jc w:val="right"/>
              <w:rPr>
                <w:lang w:eastAsia="en-US"/>
              </w:rPr>
            </w:pPr>
          </w:p>
        </w:tc>
        <w:tc>
          <w:tcPr>
            <w:tcW w:w="0" w:type="auto"/>
            <w:tcBorders>
              <w:top w:val="single" w:color="auto" w:sz="4" w:space="0"/>
              <w:left w:val="single" w:color="000000" w:sz="6" w:space="0"/>
              <w:bottom w:val="single" w:color="auto" w:sz="4" w:space="0"/>
              <w:right w:val="single" w:color="000000" w:sz="6" w:space="0"/>
            </w:tcBorders>
            <w:hideMark/>
          </w:tcPr>
          <w:p w:rsidRPr="004714D4" w:rsidR="002C678D" w:rsidP="004E27E0" w:rsidRDefault="0006652D">
            <w:pPr>
              <w:jc w:val="both"/>
            </w:pPr>
            <w:r w:rsidRPr="004714D4">
              <w:rPr>
                <w:sz w:val="22"/>
                <w:szCs w:val="22"/>
              </w:rPr>
              <w:t xml:space="preserve">Rīkojuma projekta </w:t>
            </w:r>
            <w:r w:rsidRPr="004714D4">
              <w:rPr>
                <w:sz w:val="22"/>
                <w:szCs w:val="22"/>
                <w:lang w:eastAsia="en-US"/>
              </w:rPr>
              <w:t>sākotnējās ietekmes novērtējuma ziņojuma (anotācijas) I sadaļas 2.punkt</w:t>
            </w:r>
            <w:r w:rsidRPr="004714D4" w:rsidR="004E27E0">
              <w:rPr>
                <w:sz w:val="22"/>
                <w:szCs w:val="22"/>
                <w:lang w:eastAsia="en-US"/>
              </w:rPr>
              <w:t>s</w:t>
            </w:r>
            <w:r w:rsidRPr="004714D4">
              <w:rPr>
                <w:sz w:val="22"/>
                <w:szCs w:val="22"/>
              </w:rPr>
              <w:t>.</w:t>
            </w:r>
          </w:p>
        </w:tc>
        <w:tc>
          <w:tcPr>
            <w:tcW w:w="1265" w:type="pct"/>
            <w:tcBorders>
              <w:top w:val="single" w:color="auto" w:sz="4" w:space="0"/>
              <w:left w:val="single" w:color="000000" w:sz="6" w:space="0"/>
              <w:bottom w:val="single" w:color="auto" w:sz="4" w:space="0"/>
              <w:right w:val="single" w:color="000000" w:sz="6" w:space="0"/>
            </w:tcBorders>
            <w:hideMark/>
          </w:tcPr>
          <w:p w:rsidRPr="004714D4" w:rsidR="002C678D" w:rsidP="00777F2F" w:rsidRDefault="005624B6">
            <w:pPr>
              <w:pStyle w:val="ListParagraph"/>
              <w:ind w:left="0" w:right="31"/>
              <w:jc w:val="both"/>
              <w:rPr>
                <w:rFonts w:ascii="Times New Roman" w:hAnsi="Times New Roman"/>
                <w:b/>
              </w:rPr>
            </w:pPr>
            <w:r w:rsidRPr="004714D4">
              <w:rPr>
                <w:rFonts w:ascii="Times New Roman" w:hAnsi="Times New Roman"/>
                <w:b/>
              </w:rPr>
              <w:t>Finanšu ministrija</w:t>
            </w:r>
            <w:r w:rsidRPr="004714D4" w:rsidR="002C678D">
              <w:rPr>
                <w:rFonts w:ascii="Times New Roman" w:hAnsi="Times New Roman"/>
                <w:b/>
              </w:rPr>
              <w:t>:</w:t>
            </w:r>
          </w:p>
          <w:p w:rsidRPr="004714D4" w:rsidR="005624B6" w:rsidP="005624B6" w:rsidRDefault="00B856B6">
            <w:pPr>
              <w:jc w:val="both"/>
            </w:pPr>
            <w:r w:rsidRPr="004714D4">
              <w:rPr>
                <w:sz w:val="22"/>
                <w:szCs w:val="22"/>
              </w:rPr>
              <w:t xml:space="preserve">Vienlaikus lūdzam papildināt anotācijas I sadaļas 2.punktu ar informāciju, ka SANI2 sistēmā paziņotā </w:t>
            </w:r>
            <w:r w:rsidRPr="004714D4">
              <w:rPr>
                <w:i/>
                <w:iCs/>
                <w:sz w:val="22"/>
                <w:szCs w:val="22"/>
              </w:rPr>
              <w:t>ad-hoc</w:t>
            </w:r>
            <w:r w:rsidRPr="004714D4">
              <w:rPr>
                <w:sz w:val="22"/>
                <w:szCs w:val="22"/>
              </w:rPr>
              <w:t xml:space="preserve"> atbalsta juridiskais pamats ir norādīts līgums un ka tas tiks grozīts, lai nodrošinātu plānoto piešķīrumu atbilstību minētajam juridiskajam pamatam.</w:t>
            </w:r>
          </w:p>
          <w:p w:rsidRPr="004714D4" w:rsidR="002C678D" w:rsidP="005624B6" w:rsidRDefault="00B856B6">
            <w:pPr>
              <w:pStyle w:val="Footer"/>
              <w:tabs>
                <w:tab w:val="left" w:pos="851"/>
              </w:tabs>
              <w:jc w:val="both"/>
              <w:rPr>
                <w:b/>
              </w:rPr>
            </w:pPr>
            <w:r w:rsidRPr="004714D4">
              <w:rPr>
                <w:sz w:val="22"/>
                <w:szCs w:val="22"/>
              </w:rPr>
              <w:t xml:space="preserve">Papildus, ņemot vērā, ka SANI2 sistēmā ir paziņots </w:t>
            </w:r>
            <w:r w:rsidRPr="004714D4">
              <w:rPr>
                <w:i/>
                <w:iCs/>
                <w:sz w:val="22"/>
                <w:szCs w:val="22"/>
              </w:rPr>
              <w:t>ad-hoc</w:t>
            </w:r>
            <w:r w:rsidRPr="004714D4">
              <w:rPr>
                <w:sz w:val="22"/>
                <w:szCs w:val="22"/>
              </w:rPr>
              <w:t xml:space="preserve"> atbalsts VSIA </w:t>
            </w:r>
            <w:r w:rsidRPr="004714D4" w:rsidR="00057451">
              <w:rPr>
                <w:sz w:val="22"/>
                <w:szCs w:val="22"/>
              </w:rPr>
              <w:t>„</w:t>
            </w:r>
            <w:r w:rsidRPr="004714D4">
              <w:rPr>
                <w:sz w:val="22"/>
                <w:szCs w:val="22"/>
              </w:rPr>
              <w:t>Kremerata Baltica” 2019. – 2020.gada periodam un ka tā viens no juridiskajiem pamatiem ir norādīts līgums, aicinām izvērtēt nepieciešamību veikt papildu grozījumus līgumā, ietverot tajā arī plānoto valsts budžeta finansējumu 2020.gadam</w:t>
            </w:r>
          </w:p>
        </w:tc>
        <w:tc>
          <w:tcPr>
            <w:tcW w:w="1114" w:type="pct"/>
            <w:tcBorders>
              <w:top w:val="single" w:color="auto" w:sz="4" w:space="0"/>
              <w:left w:val="single" w:color="000000" w:sz="6" w:space="0"/>
              <w:bottom w:val="single" w:color="auto" w:sz="4" w:space="0"/>
              <w:right w:val="single" w:color="000000" w:sz="6" w:space="0"/>
            </w:tcBorders>
            <w:hideMark/>
          </w:tcPr>
          <w:p w:rsidRPr="004714D4" w:rsidR="002C678D" w:rsidP="00777F2F" w:rsidRDefault="002C678D">
            <w:pPr>
              <w:jc w:val="center"/>
              <w:rPr>
                <w:b/>
                <w:lang w:eastAsia="en-US"/>
              </w:rPr>
            </w:pPr>
            <w:r w:rsidRPr="004714D4">
              <w:rPr>
                <w:b/>
                <w:sz w:val="22"/>
                <w:szCs w:val="22"/>
                <w:lang w:eastAsia="en-US"/>
              </w:rPr>
              <w:t>Ņemts vērā</w:t>
            </w:r>
          </w:p>
        </w:tc>
        <w:tc>
          <w:tcPr>
            <w:tcW w:w="1265" w:type="pct"/>
            <w:tcBorders>
              <w:top w:val="single" w:color="auto" w:sz="4" w:space="0"/>
              <w:left w:val="single" w:color="auto" w:sz="4" w:space="0"/>
              <w:bottom w:val="single" w:color="auto" w:sz="4" w:space="0"/>
              <w:right w:val="single" w:color="auto" w:sz="4" w:space="0"/>
            </w:tcBorders>
            <w:hideMark/>
          </w:tcPr>
          <w:p w:rsidRPr="004714D4" w:rsidR="002C678D" w:rsidP="00D3056F" w:rsidRDefault="0006652D">
            <w:pPr>
              <w:jc w:val="both"/>
              <w:rPr>
                <w:color w:val="000000" w:themeColor="text1"/>
              </w:rPr>
            </w:pPr>
            <w:r w:rsidRPr="004714D4">
              <w:rPr>
                <w:color w:val="000000" w:themeColor="text1"/>
                <w:sz w:val="22"/>
                <w:szCs w:val="22"/>
              </w:rPr>
              <w:t>P</w:t>
            </w:r>
            <w:r w:rsidRPr="004714D4" w:rsidR="00485731">
              <w:rPr>
                <w:color w:val="000000" w:themeColor="text1"/>
                <w:sz w:val="22"/>
                <w:szCs w:val="22"/>
              </w:rPr>
              <w:t>apildināts</w:t>
            </w:r>
            <w:r w:rsidRPr="004714D4">
              <w:rPr>
                <w:color w:val="000000" w:themeColor="text1"/>
                <w:sz w:val="22"/>
                <w:szCs w:val="22"/>
              </w:rPr>
              <w:t xml:space="preserve"> rīkojuma projekta sākotnējās ietekmes novērtējuma ziņojuma (anotācijas) </w:t>
            </w:r>
            <w:r w:rsidRPr="004714D4">
              <w:rPr>
                <w:color w:val="000000" w:themeColor="text1"/>
                <w:sz w:val="22"/>
                <w:szCs w:val="22"/>
                <w:lang w:eastAsia="en-US"/>
              </w:rPr>
              <w:t>I sadaļas 2.</w:t>
            </w:r>
            <w:r w:rsidRPr="004714D4" w:rsidR="004E27E0">
              <w:rPr>
                <w:color w:val="000000" w:themeColor="text1"/>
                <w:sz w:val="22"/>
                <w:szCs w:val="22"/>
                <w:lang w:eastAsia="en-US"/>
              </w:rPr>
              <w:t>punkts</w:t>
            </w:r>
            <w:r w:rsidRPr="004714D4" w:rsidR="00B856B6">
              <w:rPr>
                <w:color w:val="000000" w:themeColor="text1"/>
                <w:sz w:val="22"/>
                <w:szCs w:val="22"/>
              </w:rPr>
              <w:t>:</w:t>
            </w:r>
          </w:p>
          <w:p w:rsidRPr="004714D4" w:rsidR="000C3D46" w:rsidP="00D3056F" w:rsidRDefault="000C3D46">
            <w:pPr>
              <w:jc w:val="both"/>
              <w:rPr>
                <w:color w:val="000000" w:themeColor="text1"/>
              </w:rPr>
            </w:pPr>
          </w:p>
          <w:p w:rsidRPr="004714D4" w:rsidR="005530F1" w:rsidP="00485731" w:rsidRDefault="00D3056F">
            <w:pPr>
              <w:jc w:val="both"/>
              <w:rPr>
                <w:color w:val="000000" w:themeColor="text1"/>
              </w:rPr>
            </w:pPr>
            <w:r w:rsidRPr="004714D4">
              <w:rPr>
                <w:sz w:val="22"/>
                <w:szCs w:val="22"/>
              </w:rPr>
              <w:t>„</w:t>
            </w:r>
            <w:r w:rsidRPr="004714D4" w:rsidR="00D0161D">
              <w:rPr>
                <w:sz w:val="22"/>
                <w:szCs w:val="22"/>
              </w:rPr>
              <w:t xml:space="preserve">SANI2 sistēmā paziņotā </w:t>
            </w:r>
            <w:r w:rsidRPr="004714D4" w:rsidR="00D0161D">
              <w:rPr>
                <w:i/>
                <w:sz w:val="22"/>
                <w:szCs w:val="22"/>
              </w:rPr>
              <w:t>ad-hoc</w:t>
            </w:r>
            <w:r w:rsidRPr="004714D4" w:rsidR="00D0161D">
              <w:rPr>
                <w:sz w:val="22"/>
                <w:szCs w:val="22"/>
              </w:rPr>
              <w:t xml:space="preserve"> atbalsta juridiskais pamats ir starp Kultūras ministriju un kapitālsabiedrību 2019.gada 9.janvārī noslēgtais līgums Nr.2.5.-11-4 „Par valsts budžeta finansējuma izlietošanu”. Ņemot vērā to, ka ar kapitālsabiedrību katru gadu pēc likuma par valsts budžetu kārtējam gadam spēkā stāšanās tiek slēgts līgums par attiecīgajā gadā sasniedzamo rezultatīvo rādītāju apjomu un finansējumu, saskaņā ar Kultūras institūciju likuma 23.panta otro daļu un likumu „Par valsts budžetu 2020.gadam”, kā arī atbilstoši starp Kultūras ministriju un kapitālsabiedrību 2018.gada 2.janvārī noslēgtajam līdzdarbības līgumam Nr.2.5.-8-5 „Par atsevišķu valsts </w:t>
            </w:r>
            <w:r w:rsidRPr="004714D4" w:rsidR="00D0161D">
              <w:rPr>
                <w:sz w:val="22"/>
                <w:szCs w:val="22"/>
              </w:rPr>
              <w:lastRenderedPageBreak/>
              <w:t xml:space="preserve">pārvaldes uzdevumu deleģēšanu kultūras jomā” pēc Projekta stāšanās spēkā starp Kultūras ministriju un kapitālsabiedrību 2020.gada 10.janvārī noslēgtajā līgumā Nr.2.5.-11-14 „Par valsts budžeta finansējuma izlietošanu” plānots veikt attiecīgus grozījumus, papildinot ar dividendēs izmaksājamās peļņas daļas izlietojumu atbilstoši Projektā noteiktajam. Lai nodrošinātu minētā piešķīruma atbilstību komercdarbības atbalsta nosacījumiem, SANI2 sistēmā tiks ievietota informācija par grozījumiem esošajā </w:t>
            </w:r>
            <w:r w:rsidRPr="004714D4" w:rsidR="00D0161D">
              <w:rPr>
                <w:i/>
                <w:sz w:val="22"/>
                <w:szCs w:val="22"/>
              </w:rPr>
              <w:t>ad-hoc</w:t>
            </w:r>
            <w:r w:rsidRPr="004714D4" w:rsidR="00D0161D">
              <w:rPr>
                <w:sz w:val="22"/>
                <w:szCs w:val="22"/>
              </w:rPr>
              <w:t xml:space="preserve"> atbalsta pasākumā (SA.53933) atbilstoši veiktajam papildu piešķīrumam, pielikumā pievienojot 2020.gada 10.janvāra līgumu Nr.2.5-11-14 „Par valsts budžeta finansējuma izlietošanu” un vienošanos par grozījumiem.</w:t>
            </w:r>
            <w:r w:rsidRPr="004714D4" w:rsidR="00B856B6">
              <w:rPr>
                <w:sz w:val="22"/>
                <w:szCs w:val="22"/>
              </w:rPr>
              <w:t>”</w:t>
            </w:r>
          </w:p>
        </w:tc>
      </w:tr>
      <w:tr w:rsidRPr="004714D4" w:rsidR="00057451" w:rsidTr="00057451">
        <w:tc>
          <w:tcPr>
            <w:tcW w:w="198" w:type="pct"/>
            <w:tcBorders>
              <w:top w:val="single" w:color="auto" w:sz="4" w:space="0"/>
              <w:left w:val="single" w:color="000000" w:sz="6" w:space="0"/>
              <w:bottom w:val="single" w:color="auto" w:sz="4" w:space="0"/>
              <w:right w:val="single" w:color="000000" w:sz="6" w:space="0"/>
            </w:tcBorders>
          </w:tcPr>
          <w:p w:rsidRPr="004714D4" w:rsidR="00057451" w:rsidP="00057451" w:rsidRDefault="00057451">
            <w:pPr>
              <w:pStyle w:val="naisc"/>
              <w:numPr>
                <w:ilvl w:val="0"/>
                <w:numId w:val="2"/>
              </w:numPr>
              <w:spacing w:before="0" w:after="0"/>
              <w:jc w:val="right"/>
              <w:rPr>
                <w:lang w:eastAsia="en-US"/>
              </w:rPr>
            </w:pPr>
          </w:p>
        </w:tc>
        <w:tc>
          <w:tcPr>
            <w:tcW w:w="0" w:type="auto"/>
            <w:tcBorders>
              <w:top w:val="single" w:color="auto" w:sz="4" w:space="0"/>
              <w:left w:val="single" w:color="000000" w:sz="6" w:space="0"/>
              <w:bottom w:val="single" w:color="auto" w:sz="4" w:space="0"/>
              <w:right w:val="single" w:color="000000" w:sz="6" w:space="0"/>
            </w:tcBorders>
          </w:tcPr>
          <w:p w:rsidRPr="004714D4" w:rsidR="00057451" w:rsidP="00F45F37" w:rsidRDefault="00057451">
            <w:pPr>
              <w:jc w:val="both"/>
            </w:pPr>
            <w:r w:rsidRPr="004714D4">
              <w:rPr>
                <w:sz w:val="22"/>
                <w:szCs w:val="22"/>
              </w:rPr>
              <w:t>Rīkojuma projekta sākotnējās ietekmes novērtējuma ziņojuma (anotācijas) sadaļa „Tiesību akta proje</w:t>
            </w:r>
            <w:r w:rsidRPr="004714D4" w:rsidR="00407A5B">
              <w:rPr>
                <w:sz w:val="22"/>
                <w:szCs w:val="22"/>
              </w:rPr>
              <w:t>kta anotācijas kopsavilkums”, I.</w:t>
            </w:r>
            <w:r w:rsidRPr="004714D4">
              <w:rPr>
                <w:sz w:val="22"/>
                <w:szCs w:val="22"/>
              </w:rPr>
              <w:t>sadaļas 2.punkts un III.sadaļas 8.punkts.</w:t>
            </w:r>
          </w:p>
        </w:tc>
        <w:tc>
          <w:tcPr>
            <w:tcW w:w="1265" w:type="pct"/>
            <w:tcBorders>
              <w:top w:val="single" w:color="auto" w:sz="4" w:space="0"/>
              <w:left w:val="single" w:color="000000" w:sz="6" w:space="0"/>
              <w:bottom w:val="single" w:color="auto" w:sz="4" w:space="0"/>
              <w:right w:val="single" w:color="000000" w:sz="6" w:space="0"/>
            </w:tcBorders>
          </w:tcPr>
          <w:p w:rsidRPr="004714D4" w:rsidR="00057451" w:rsidP="00057451" w:rsidRDefault="00057451">
            <w:pPr>
              <w:pStyle w:val="ListParagraph"/>
              <w:ind w:left="0" w:right="31"/>
              <w:jc w:val="both"/>
              <w:rPr>
                <w:rFonts w:ascii="Times New Roman" w:hAnsi="Times New Roman"/>
                <w:b/>
              </w:rPr>
            </w:pPr>
            <w:r w:rsidRPr="004714D4">
              <w:rPr>
                <w:rFonts w:ascii="Times New Roman" w:hAnsi="Times New Roman"/>
                <w:b/>
              </w:rPr>
              <w:t>Pārresoru koordinācijas centrs:</w:t>
            </w:r>
          </w:p>
          <w:p w:rsidRPr="004714D4" w:rsidR="00057451" w:rsidP="00057451" w:rsidRDefault="001E4121">
            <w:pPr>
              <w:pStyle w:val="ListParagraph"/>
              <w:ind w:left="0" w:right="31"/>
              <w:jc w:val="both"/>
              <w:rPr>
                <w:rFonts w:ascii="Times New Roman" w:hAnsi="Times New Roman"/>
              </w:rPr>
            </w:pPr>
            <w:r w:rsidRPr="004714D4">
              <w:rPr>
                <w:rFonts w:ascii="Times New Roman" w:hAnsi="Times New Roman"/>
              </w:rPr>
              <w:t xml:space="preserve">Anotācijas 2.sadaļā uzrādītā summa 2 231 euro apmērā, kas aprēķināta kā dividendēs izmaksājamā un kuru plānots novirzīt, lai segtu daļu no VSIA </w:t>
            </w:r>
            <w:r w:rsidRPr="004714D4" w:rsidR="00057451">
              <w:rPr>
                <w:rFonts w:ascii="Times New Roman" w:hAnsi="Times New Roman"/>
              </w:rPr>
              <w:t>„</w:t>
            </w:r>
            <w:r w:rsidRPr="004714D4">
              <w:rPr>
                <w:rFonts w:ascii="Times New Roman" w:hAnsi="Times New Roman"/>
              </w:rPr>
              <w:t>KREMERATA BALTICA” vidēja termiņa darbības stratēģijā (turpmāk – stratēģija) plānotajiem izdevumiem, neatbilst 3 088 </w:t>
            </w:r>
            <w:r w:rsidRPr="004714D4">
              <w:rPr>
                <w:rFonts w:ascii="Times New Roman" w:hAnsi="Times New Roman"/>
                <w:i/>
              </w:rPr>
              <w:t>euro</w:t>
            </w:r>
            <w:r w:rsidRPr="004714D4">
              <w:rPr>
                <w:rFonts w:ascii="Times New Roman" w:hAnsi="Times New Roman"/>
              </w:rPr>
              <w:t>, kas aprēķināmi atbilstoši stratēģijā plānotajai peļņai. Lūdzam attiecīgi labot anotāciju.</w:t>
            </w:r>
          </w:p>
        </w:tc>
        <w:tc>
          <w:tcPr>
            <w:tcW w:w="1114" w:type="pct"/>
            <w:tcBorders>
              <w:top w:val="single" w:color="auto" w:sz="4" w:space="0"/>
              <w:left w:val="single" w:color="000000" w:sz="6" w:space="0"/>
              <w:bottom w:val="single" w:color="auto" w:sz="4" w:space="0"/>
              <w:right w:val="single" w:color="000000" w:sz="6" w:space="0"/>
            </w:tcBorders>
          </w:tcPr>
          <w:p w:rsidRPr="004714D4" w:rsidR="00057451" w:rsidP="00F45F37" w:rsidRDefault="00057451">
            <w:pPr>
              <w:jc w:val="center"/>
              <w:rPr>
                <w:b/>
                <w:lang w:eastAsia="en-US"/>
              </w:rPr>
            </w:pPr>
            <w:r w:rsidRPr="004714D4">
              <w:rPr>
                <w:b/>
                <w:sz w:val="22"/>
                <w:szCs w:val="22"/>
                <w:lang w:eastAsia="en-US"/>
              </w:rPr>
              <w:t>Ņemts vērā</w:t>
            </w:r>
          </w:p>
        </w:tc>
        <w:tc>
          <w:tcPr>
            <w:tcW w:w="1265" w:type="pct"/>
            <w:tcBorders>
              <w:top w:val="single" w:color="auto" w:sz="4" w:space="0"/>
              <w:left w:val="single" w:color="auto" w:sz="4" w:space="0"/>
              <w:bottom w:val="single" w:color="auto" w:sz="4" w:space="0"/>
              <w:right w:val="single" w:color="auto" w:sz="4" w:space="0"/>
            </w:tcBorders>
          </w:tcPr>
          <w:p w:rsidRPr="004714D4" w:rsidR="00057451" w:rsidP="00F45F37" w:rsidRDefault="00057451">
            <w:pPr>
              <w:jc w:val="both"/>
              <w:rPr>
                <w:color w:val="000000" w:themeColor="text1"/>
              </w:rPr>
            </w:pPr>
            <w:r w:rsidRPr="004714D4">
              <w:rPr>
                <w:color w:val="000000" w:themeColor="text1"/>
                <w:sz w:val="22"/>
                <w:szCs w:val="22"/>
              </w:rPr>
              <w:t>Precizēta rīkojuma projekta sākotnējās ietekmes novērtējuma ziņojuma (anotācijas) sadaļa „Tiesību akta projekta anotācijas kopsavilkums” šādā redakcijā:</w:t>
            </w:r>
          </w:p>
          <w:p w:rsidRPr="004714D4" w:rsidR="00057451" w:rsidP="00F45F37" w:rsidRDefault="00057451">
            <w:pPr>
              <w:jc w:val="both"/>
              <w:rPr>
                <w:color w:val="000000" w:themeColor="text1"/>
              </w:rPr>
            </w:pPr>
          </w:p>
          <w:p w:rsidRPr="004714D4" w:rsidR="00057451" w:rsidP="00F45F37" w:rsidRDefault="00057451">
            <w:pPr>
              <w:jc w:val="both"/>
              <w:rPr>
                <w:color w:val="000000" w:themeColor="text1"/>
              </w:rPr>
            </w:pPr>
            <w:r w:rsidRPr="004714D4">
              <w:rPr>
                <w:color w:val="000000" w:themeColor="text1"/>
                <w:sz w:val="22"/>
                <w:szCs w:val="22"/>
              </w:rPr>
              <w:t xml:space="preserve">„Ministru kabineta rīkojuma projekta „Par valstij dividendēs izmaksājamo valsts sabiedrības ar ierobežotu atbildību „KREMERATA BALTICA” (turpmāk – Projekts) mērķis ir valsts sabiedrības ar ierobežotu atbildību „KREMERATA BALTICA” (turpmāk – </w:t>
            </w:r>
            <w:r w:rsidRPr="004714D4">
              <w:rPr>
                <w:color w:val="000000" w:themeColor="text1"/>
                <w:sz w:val="22"/>
                <w:szCs w:val="22"/>
              </w:rPr>
              <w:lastRenderedPageBreak/>
              <w:t xml:space="preserve">kapitālsabiedrība) ikgadējās prognozējamās dividendēs izmaksājamās peļņas daļas novirzīšana kapitālsabiedrības deleģēto valsts pārvaldes uzdevumu kultūras jomā izdevumu segšanai, konkrēti </w:t>
            </w:r>
            <w:r w:rsidRPr="004714D4">
              <w:rPr>
                <w:color w:val="000000" w:themeColor="text1"/>
                <w:sz w:val="22"/>
                <w:szCs w:val="22"/>
              </w:rPr>
              <w:softHyphen/>
              <w:t xml:space="preserve"> kapitālsabiedrības tehniskās un tehnoloģiskās darbības pilnveidošanai, un orķestra ilgtermiņa attīstības un augstvērtīgas mākslinieciskās darbības attīstībai, nepalielinot kapitālsabiedrībai nepieciešamo valsts budžeta dotāciju. Saskaņā ar kapitālsabiedrības vidēja termiņa stratēģijas projektu „Valsts sabiedrības ar ierobežotu atbildību „KREMERATA BALTICA” vidēja termiņa darbības stratēģija 2020. – 2022.gadam” (turpmāk – Stratēģija) 2019. – 2021.gadam prognozējamā dividendēs izmaksājamā peļņas daļa plānota 3 088 </w:t>
            </w:r>
            <w:r w:rsidRPr="004714D4">
              <w:rPr>
                <w:i/>
                <w:color w:val="000000" w:themeColor="text1"/>
                <w:sz w:val="22"/>
                <w:szCs w:val="22"/>
              </w:rPr>
              <w:t>euro</w:t>
            </w:r>
            <w:r w:rsidRPr="004714D4">
              <w:rPr>
                <w:color w:val="000000" w:themeColor="text1"/>
                <w:sz w:val="22"/>
                <w:szCs w:val="22"/>
              </w:rPr>
              <w:t xml:space="preserve"> apmērā.”</w:t>
            </w:r>
          </w:p>
          <w:p w:rsidRPr="004714D4" w:rsidR="00057451" w:rsidP="00F45F37" w:rsidRDefault="00057451">
            <w:pPr>
              <w:jc w:val="both"/>
              <w:rPr>
                <w:color w:val="000000" w:themeColor="text1"/>
              </w:rPr>
            </w:pPr>
          </w:p>
          <w:p w:rsidRPr="004714D4" w:rsidR="00057451" w:rsidP="00F45F37" w:rsidRDefault="00057451">
            <w:pPr>
              <w:jc w:val="both"/>
              <w:rPr>
                <w:color w:val="000000" w:themeColor="text1"/>
              </w:rPr>
            </w:pPr>
            <w:r w:rsidRPr="004714D4">
              <w:rPr>
                <w:color w:val="000000" w:themeColor="text1"/>
                <w:sz w:val="22"/>
                <w:szCs w:val="22"/>
              </w:rPr>
              <w:t>Precizēta rīkojuma projekta sākotnējās ietekmes novērtējuma ziņojuma (anotācijas) I.sadaļas 2.punkta piektā ri</w:t>
            </w:r>
            <w:r w:rsidRPr="004714D4" w:rsidR="005032FF">
              <w:rPr>
                <w:color w:val="000000" w:themeColor="text1"/>
                <w:sz w:val="22"/>
                <w:szCs w:val="22"/>
              </w:rPr>
              <w:t>n</w:t>
            </w:r>
            <w:r w:rsidRPr="004714D4">
              <w:rPr>
                <w:color w:val="000000" w:themeColor="text1"/>
                <w:sz w:val="22"/>
                <w:szCs w:val="22"/>
              </w:rPr>
              <w:t>dkopa šādā redakcijā:</w:t>
            </w:r>
          </w:p>
          <w:p w:rsidRPr="004714D4" w:rsidR="00057451" w:rsidP="00F45F37" w:rsidRDefault="00057451">
            <w:pPr>
              <w:jc w:val="both"/>
              <w:rPr>
                <w:color w:val="000000" w:themeColor="text1"/>
              </w:rPr>
            </w:pPr>
          </w:p>
          <w:p w:rsidRPr="004714D4" w:rsidR="00057451" w:rsidP="00F45F37" w:rsidRDefault="00057451">
            <w:pPr>
              <w:jc w:val="both"/>
              <w:rPr>
                <w:color w:val="000000" w:themeColor="text1"/>
              </w:rPr>
            </w:pPr>
            <w:r w:rsidRPr="004714D4">
              <w:rPr>
                <w:color w:val="000000" w:themeColor="text1"/>
                <w:sz w:val="22"/>
                <w:szCs w:val="22"/>
              </w:rPr>
              <w:t xml:space="preserve">„Saskaņā ar Noteikumu Nr.806 6.3.1.1.apakšpunktu, ņemot vērā kapitālsabiedrības nepieciešamību veikt investīcijas mūzikas instrumentu iegādē un orķestra mākslinieciskajā darbībā, finansējums, ko kapitālsabiedrība spēj piesaistīt pašu </w:t>
            </w:r>
            <w:r w:rsidRPr="004714D4">
              <w:rPr>
                <w:color w:val="000000" w:themeColor="text1"/>
                <w:sz w:val="22"/>
                <w:szCs w:val="22"/>
              </w:rPr>
              <w:lastRenderedPageBreak/>
              <w:t>spēkiem, vidējā termiņa darbības ietvaros ir jāsaglabā kapitālsabiedrības rīcībā tās deleģēto valsts pārvaldes uzdevumu kultūras jomā nodrošināšanas izdevumu segšanai, lai nodrošinātu nacionālā kultūras mantojuma saglabāšanu profesionālās simfoniskās mūzikas jomā, Latvijas simfoniskās mūzikas kultūras nostiprināšanu, attīstīšanu, aktualizēšanu un popularizēšanu Latvijā un ārvalstīs, kā arī pasaules mūzikas kultūras sasniegumu pieejamības nodrošināšanu Latvijā, kas tika noteikts Ministru kabineta 2015.gada 22.decembra sēdē (protokols Nr.68 80.§), pieņemot lēmumu par valsts līdzdalības saglabāšanu kapitālsabiedrībā. Stratēģijā minētajā laika periodā kapitālsabiedrībai ir nepieciešami ieguldījumi mūzikas instrumentu un tā aprīkojuma iegādei, kā arī scenogrāfijas izdevumu segšanai 32 400 </w:t>
            </w:r>
            <w:r w:rsidRPr="004714D4">
              <w:rPr>
                <w:i/>
                <w:color w:val="000000" w:themeColor="text1"/>
                <w:sz w:val="22"/>
                <w:szCs w:val="22"/>
              </w:rPr>
              <w:t>euro</w:t>
            </w:r>
            <w:r w:rsidRPr="004714D4">
              <w:rPr>
                <w:color w:val="000000" w:themeColor="text1"/>
                <w:sz w:val="22"/>
                <w:szCs w:val="22"/>
              </w:rPr>
              <w:t xml:space="preserve"> apmērā, no kuriem 3 088 </w:t>
            </w:r>
            <w:r w:rsidRPr="004714D4">
              <w:rPr>
                <w:i/>
                <w:color w:val="000000" w:themeColor="text1"/>
                <w:sz w:val="22"/>
                <w:szCs w:val="22"/>
              </w:rPr>
              <w:t>euro</w:t>
            </w:r>
            <w:r w:rsidRPr="004714D4">
              <w:rPr>
                <w:color w:val="000000" w:themeColor="text1"/>
                <w:sz w:val="22"/>
                <w:szCs w:val="22"/>
              </w:rPr>
              <w:t xml:space="preserve"> apmērā plānots segt no dividendēm, bet pārējo summu no pašu ieņēmumiem. Kapitālsabiedrība papildus investīcijas mūzikas instrumentu un tā aprīkojuma iegādei, kā arī scenogrāfijas izdevumu segšanai veic pēc pārpalikuma principa, jo līdzšinējais valsts finansējums nav pietiekams esošo kapitālsabiedrības pamatfunkciju nodrošināšanai un tas neparedz </w:t>
            </w:r>
            <w:r w:rsidRPr="004714D4">
              <w:rPr>
                <w:color w:val="000000" w:themeColor="text1"/>
                <w:sz w:val="22"/>
                <w:szCs w:val="22"/>
              </w:rPr>
              <w:lastRenderedPageBreak/>
              <w:t>nekādas regulāras investīcijas mūzikas instrumentu iegādē un orķestra mākslinieciskajā darbībā, apdraudot kapitālsabiedrības spēju darboties nākotnē.”</w:t>
            </w:r>
          </w:p>
          <w:p w:rsidRPr="004714D4" w:rsidR="00057451" w:rsidP="00F45F37" w:rsidRDefault="00057451">
            <w:pPr>
              <w:jc w:val="both"/>
              <w:rPr>
                <w:color w:val="000000" w:themeColor="text1"/>
              </w:rPr>
            </w:pPr>
          </w:p>
          <w:p w:rsidRPr="004714D4" w:rsidR="00057451" w:rsidP="00F45F37" w:rsidRDefault="00057451">
            <w:pPr>
              <w:jc w:val="both"/>
              <w:rPr>
                <w:color w:val="000000" w:themeColor="text1"/>
              </w:rPr>
            </w:pPr>
            <w:r w:rsidRPr="004714D4">
              <w:rPr>
                <w:color w:val="000000" w:themeColor="text1"/>
                <w:sz w:val="22"/>
                <w:szCs w:val="22"/>
              </w:rPr>
              <w:t>Precizēts rīkojuma projekta sākotnējās ietekmes novērtējuma ziņojuma (anotācijas) III.sadaļas 8.punkts šādā redakcijā:</w:t>
            </w:r>
          </w:p>
          <w:p w:rsidRPr="004714D4" w:rsidR="00057451" w:rsidP="00F45F37" w:rsidRDefault="00057451">
            <w:pPr>
              <w:jc w:val="both"/>
              <w:rPr>
                <w:color w:val="000000" w:themeColor="text1"/>
              </w:rPr>
            </w:pPr>
          </w:p>
          <w:p w:rsidRPr="004714D4" w:rsidR="00057451" w:rsidP="00F45F37" w:rsidRDefault="00057451">
            <w:pPr>
              <w:jc w:val="both"/>
              <w:rPr>
                <w:color w:val="000000" w:themeColor="text1"/>
              </w:rPr>
            </w:pPr>
            <w:r w:rsidRPr="004714D4">
              <w:rPr>
                <w:color w:val="000000" w:themeColor="text1"/>
                <w:sz w:val="22"/>
                <w:szCs w:val="22"/>
              </w:rPr>
              <w:t>„</w:t>
            </w:r>
            <w:r w:rsidRPr="004714D4" w:rsidR="00EE05D3">
              <w:rPr>
                <w:color w:val="000000" w:themeColor="text1"/>
                <w:sz w:val="22"/>
                <w:szCs w:val="22"/>
              </w:rPr>
              <w:t>Saskaņā ar Stratēģiju</w:t>
            </w:r>
            <w:r w:rsidRPr="004714D4" w:rsidR="00407A5B">
              <w:rPr>
                <w:color w:val="000000" w:themeColor="text1"/>
                <w:sz w:val="22"/>
                <w:szCs w:val="22"/>
              </w:rPr>
              <w:t>,</w:t>
            </w:r>
            <w:r w:rsidRPr="004714D4">
              <w:rPr>
                <w:color w:val="000000" w:themeColor="text1"/>
                <w:sz w:val="22"/>
                <w:szCs w:val="22"/>
              </w:rPr>
              <w:t xml:space="preserve"> pieņemot lēmumu par atšķirīgu dividendēs izmaksājamo summu (nosakot 0 procentu likmi), valsts budžetā trīs gados kopā netiktu pārskaitīta summa 3 088 </w:t>
            </w:r>
            <w:r w:rsidRPr="004714D4">
              <w:rPr>
                <w:i/>
                <w:color w:val="000000" w:themeColor="text1"/>
                <w:sz w:val="22"/>
                <w:szCs w:val="22"/>
              </w:rPr>
              <w:t>euro</w:t>
            </w:r>
            <w:r w:rsidRPr="004714D4">
              <w:rPr>
                <w:color w:val="000000" w:themeColor="text1"/>
                <w:sz w:val="22"/>
                <w:szCs w:val="22"/>
              </w:rPr>
              <w:t xml:space="preserve"> apmērā. Minētā summa paliktu kapitālsabiedrības rīcībā un tiktu novirzīta kapitālsabiedrībai deleģēto valsts pārvaldes uzdevumu kultūras jomā nodrošināšanas izdevumu segšanai, nepalielinot kapitālsabiedrībai nepieciešamo valsts budžeta dotāciju deleģēto valsts pārvaldes uzdevumu kultūras jomā īstenošanai.”</w:t>
            </w:r>
          </w:p>
        </w:tc>
      </w:tr>
    </w:tbl>
    <w:p w:rsidRPr="00EE05D3" w:rsidR="002C678D" w:rsidP="002C678D" w:rsidRDefault="002C678D">
      <w:pPr>
        <w:outlineLvl w:val="0"/>
        <w:rPr>
          <w:sz w:val="22"/>
          <w:szCs w:val="22"/>
        </w:rPr>
      </w:pPr>
    </w:p>
    <w:p w:rsidR="002C678D" w:rsidP="002C678D" w:rsidRDefault="002C678D">
      <w:pPr>
        <w:outlineLvl w:val="0"/>
        <w:rPr>
          <w:sz w:val="22"/>
          <w:szCs w:val="22"/>
        </w:rPr>
      </w:pPr>
    </w:p>
    <w:p w:rsidRPr="00EE05D3" w:rsidR="00407A5B" w:rsidP="002C678D" w:rsidRDefault="00407A5B">
      <w:pPr>
        <w:outlineLvl w:val="0"/>
        <w:rPr>
          <w:sz w:val="22"/>
          <w:szCs w:val="22"/>
        </w:rPr>
      </w:pPr>
    </w:p>
    <w:p w:rsidRPr="00EE05D3" w:rsidR="002C678D" w:rsidP="002C678D" w:rsidRDefault="00B856B6">
      <w:pPr>
        <w:outlineLvl w:val="0"/>
        <w:rPr>
          <w:sz w:val="20"/>
          <w:szCs w:val="20"/>
        </w:rPr>
      </w:pPr>
      <w:r w:rsidRPr="00EE05D3">
        <w:rPr>
          <w:sz w:val="20"/>
          <w:szCs w:val="20"/>
        </w:rPr>
        <w:t>Mārcis Katajs</w:t>
      </w:r>
    </w:p>
    <w:p w:rsidRPr="00EE05D3" w:rsidR="002C678D" w:rsidP="002C678D" w:rsidRDefault="00B856B6">
      <w:pPr>
        <w:rPr>
          <w:iCs/>
          <w:sz w:val="20"/>
          <w:szCs w:val="20"/>
        </w:rPr>
      </w:pPr>
      <w:r w:rsidRPr="00EE05D3">
        <w:rPr>
          <w:iCs/>
          <w:sz w:val="20"/>
          <w:szCs w:val="20"/>
        </w:rPr>
        <w:t xml:space="preserve">Kultūras ministrijas </w:t>
      </w:r>
    </w:p>
    <w:p w:rsidRPr="00EE05D3" w:rsidR="002C678D" w:rsidP="002C678D" w:rsidRDefault="00B856B6">
      <w:pPr>
        <w:rPr>
          <w:iCs/>
          <w:sz w:val="20"/>
          <w:szCs w:val="20"/>
        </w:rPr>
      </w:pPr>
      <w:r w:rsidRPr="00EE05D3">
        <w:rPr>
          <w:iCs/>
          <w:sz w:val="20"/>
          <w:szCs w:val="20"/>
        </w:rPr>
        <w:t>Kultūrpolitikas departamenta</w:t>
      </w:r>
    </w:p>
    <w:p w:rsidRPr="00EE05D3" w:rsidR="002C678D" w:rsidP="002C678D" w:rsidRDefault="00B856B6">
      <w:pPr>
        <w:rPr>
          <w:iCs/>
          <w:sz w:val="20"/>
          <w:szCs w:val="20"/>
        </w:rPr>
      </w:pPr>
      <w:r w:rsidRPr="00EE05D3">
        <w:rPr>
          <w:iCs/>
          <w:sz w:val="20"/>
          <w:szCs w:val="20"/>
        </w:rPr>
        <w:t>Nozaru politikas nodaļas vecākais referents</w:t>
      </w:r>
    </w:p>
    <w:p w:rsidRPr="00407A5B" w:rsidR="00A258F4" w:rsidP="00407A5B" w:rsidRDefault="00B856B6">
      <w:pPr>
        <w:tabs>
          <w:tab w:val="left" w:pos="6804"/>
        </w:tabs>
        <w:rPr>
          <w:color w:val="000000"/>
          <w:sz w:val="20"/>
          <w:szCs w:val="20"/>
        </w:rPr>
      </w:pPr>
      <w:r w:rsidRPr="00EE05D3">
        <w:rPr>
          <w:sz w:val="20"/>
          <w:szCs w:val="20"/>
        </w:rPr>
        <w:t>Tālr.67330327</w:t>
      </w:r>
      <w:r w:rsidR="00407A5B">
        <w:rPr>
          <w:color w:val="000000"/>
          <w:sz w:val="20"/>
          <w:szCs w:val="20"/>
        </w:rPr>
        <w:t xml:space="preserve">; </w:t>
      </w:r>
      <w:hyperlink w:history="1" r:id="rId8">
        <w:r w:rsidRPr="00EE05D3">
          <w:rPr>
            <w:rStyle w:val="Hyperlink"/>
            <w:sz w:val="20"/>
            <w:szCs w:val="20"/>
          </w:rPr>
          <w:t>Marcis.Katajs@km.gov.lv</w:t>
        </w:r>
      </w:hyperlink>
      <w:r w:rsidRPr="00EE05D3" w:rsidR="00FA67C8">
        <w:tab/>
      </w:r>
    </w:p>
    <w:sectPr w:rsidRPr="00407A5B" w:rsidR="00A258F4" w:rsidSect="00777F2F">
      <w:headerReference w:type="default" r:id="rId9"/>
      <w:footerReference w:type="defaul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731" w:rsidRDefault="00485731" w:rsidP="002C678D">
      <w:r>
        <w:separator/>
      </w:r>
    </w:p>
  </w:endnote>
  <w:endnote w:type="continuationSeparator" w:id="0">
    <w:p w:rsidR="00485731" w:rsidRDefault="00485731" w:rsidP="002C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1" w:rsidRPr="00E7045D" w:rsidRDefault="00485731" w:rsidP="00777F2F">
    <w:pPr>
      <w:pStyle w:val="Footer"/>
      <w:rPr>
        <w:sz w:val="20"/>
        <w:szCs w:val="20"/>
      </w:rPr>
    </w:pPr>
    <w:r w:rsidRPr="00E7045D">
      <w:rPr>
        <w:sz w:val="20"/>
        <w:szCs w:val="20"/>
      </w:rPr>
      <w:t>KMIzz_</w:t>
    </w:r>
    <w:r w:rsidR="00D3566B">
      <w:rPr>
        <w:sz w:val="20"/>
        <w:szCs w:val="20"/>
      </w:rPr>
      <w:t>04</w:t>
    </w:r>
    <w:r w:rsidR="006A72D9">
      <w:rPr>
        <w:sz w:val="20"/>
        <w:szCs w:val="20"/>
      </w:rPr>
      <w:t>06</w:t>
    </w:r>
    <w:r>
      <w:rPr>
        <w:sz w:val="20"/>
        <w:szCs w:val="20"/>
      </w:rPr>
      <w:t>20</w:t>
    </w:r>
    <w:r w:rsidRPr="00E7045D">
      <w:rPr>
        <w:sz w:val="20"/>
        <w:szCs w:val="20"/>
      </w:rPr>
      <w:t>_</w:t>
    </w:r>
    <w:r>
      <w:rPr>
        <w:sz w:val="20"/>
        <w:szCs w:val="20"/>
      </w:rPr>
      <w:t>KB</w:t>
    </w:r>
    <w:r w:rsidRPr="00E7045D">
      <w:rPr>
        <w:sz w:val="20"/>
        <w:szCs w:val="20"/>
      </w:rPr>
      <w:t>_strategija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1" w:rsidRPr="00E7045D" w:rsidRDefault="00485731">
    <w:pPr>
      <w:pStyle w:val="Footer"/>
      <w:rPr>
        <w:sz w:val="20"/>
        <w:szCs w:val="20"/>
      </w:rPr>
    </w:pPr>
    <w:r w:rsidRPr="00E7045D">
      <w:rPr>
        <w:sz w:val="20"/>
        <w:szCs w:val="20"/>
      </w:rPr>
      <w:t>KMIzz_</w:t>
    </w:r>
    <w:r w:rsidR="006A72D9">
      <w:rPr>
        <w:sz w:val="20"/>
        <w:szCs w:val="20"/>
      </w:rPr>
      <w:t>0406</w:t>
    </w:r>
    <w:r>
      <w:rPr>
        <w:sz w:val="20"/>
        <w:szCs w:val="20"/>
      </w:rPr>
      <w:t>20</w:t>
    </w:r>
    <w:r w:rsidRPr="00E7045D">
      <w:rPr>
        <w:sz w:val="20"/>
        <w:szCs w:val="20"/>
      </w:rPr>
      <w:t>_</w:t>
    </w:r>
    <w:r>
      <w:rPr>
        <w:sz w:val="20"/>
        <w:szCs w:val="20"/>
      </w:rPr>
      <w:t>KB</w:t>
    </w:r>
    <w:r w:rsidRPr="00E7045D">
      <w:rPr>
        <w:sz w:val="20"/>
        <w:szCs w:val="20"/>
      </w:rPr>
      <w:t>_strategija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731" w:rsidRDefault="00485731" w:rsidP="002C678D">
      <w:r>
        <w:separator/>
      </w:r>
    </w:p>
  </w:footnote>
  <w:footnote w:type="continuationSeparator" w:id="0">
    <w:p w:rsidR="00485731" w:rsidRDefault="00485731" w:rsidP="002C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50929"/>
      <w:docPartObj>
        <w:docPartGallery w:val="Page Numbers (Top of Page)"/>
        <w:docPartUnique/>
      </w:docPartObj>
    </w:sdtPr>
    <w:sdtEndPr>
      <w:rPr>
        <w:sz w:val="22"/>
        <w:szCs w:val="22"/>
      </w:rPr>
    </w:sdtEndPr>
    <w:sdtContent>
      <w:p w:rsidRPr="001248BC" w:rsidR="00485731" w:rsidRDefault="006E7E57">
        <w:pPr>
          <w:pStyle w:val="Header"/>
          <w:jc w:val="center"/>
          <w:rPr>
            <w:sz w:val="22"/>
            <w:szCs w:val="22"/>
          </w:rPr>
        </w:pPr>
        <w:r w:rsidRPr="001248BC">
          <w:rPr>
            <w:sz w:val="22"/>
            <w:szCs w:val="22"/>
          </w:rPr>
          <w:fldChar w:fldCharType="begin"/>
        </w:r>
        <w:r w:rsidRPr="001248BC" w:rsidR="00485731">
          <w:rPr>
            <w:sz w:val="22"/>
            <w:szCs w:val="22"/>
          </w:rPr>
          <w:instrText xml:space="preserve"> PAGE   \* MERGEFORMAT </w:instrText>
        </w:r>
        <w:r w:rsidRPr="001248BC">
          <w:rPr>
            <w:sz w:val="22"/>
            <w:szCs w:val="22"/>
          </w:rPr>
          <w:fldChar w:fldCharType="separate"/>
        </w:r>
        <w:r w:rsidR="00C300F7">
          <w:rPr>
            <w:noProof/>
            <w:sz w:val="22"/>
            <w:szCs w:val="22"/>
          </w:rPr>
          <w:t>6</w:t>
        </w:r>
        <w:r w:rsidRPr="001248BC">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16BF"/>
    <w:multiLevelType w:val="hybridMultilevel"/>
    <w:tmpl w:val="C186B374"/>
    <w:lvl w:ilvl="0" w:tplc="D89A31CE">
      <w:start w:val="1"/>
      <w:numFmt w:val="decimal"/>
      <w:lvlText w:val="%1."/>
      <w:lvlJc w:val="left"/>
      <w:pPr>
        <w:ind w:left="360" w:hanging="360"/>
      </w:pPr>
      <w:rPr>
        <w:sz w:val="22"/>
        <w:szCs w:val="22"/>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ete Šakina">
    <w15:presenceInfo w15:providerId="AD" w15:userId="S::Anete.Sakina@kultura.lv::d9bc873a-8876-4800-bd45-e9f5ebb976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2C678D"/>
    <w:rsid w:val="00022100"/>
    <w:rsid w:val="00057451"/>
    <w:rsid w:val="0006652D"/>
    <w:rsid w:val="000C3D46"/>
    <w:rsid w:val="000D1A1A"/>
    <w:rsid w:val="000D1A88"/>
    <w:rsid w:val="000F09AF"/>
    <w:rsid w:val="001C035B"/>
    <w:rsid w:val="001E4121"/>
    <w:rsid w:val="00232F25"/>
    <w:rsid w:val="00241562"/>
    <w:rsid w:val="002A6F98"/>
    <w:rsid w:val="002C2737"/>
    <w:rsid w:val="002C678D"/>
    <w:rsid w:val="002D168B"/>
    <w:rsid w:val="003018FC"/>
    <w:rsid w:val="00371BD3"/>
    <w:rsid w:val="00376E52"/>
    <w:rsid w:val="003A4F7D"/>
    <w:rsid w:val="00407A5B"/>
    <w:rsid w:val="004135F8"/>
    <w:rsid w:val="00470C0C"/>
    <w:rsid w:val="004714D4"/>
    <w:rsid w:val="00485731"/>
    <w:rsid w:val="004E27E0"/>
    <w:rsid w:val="005032FF"/>
    <w:rsid w:val="005530F1"/>
    <w:rsid w:val="005624B6"/>
    <w:rsid w:val="006056A0"/>
    <w:rsid w:val="006572A4"/>
    <w:rsid w:val="006A72D9"/>
    <w:rsid w:val="006E7E57"/>
    <w:rsid w:val="007271EF"/>
    <w:rsid w:val="00761AE2"/>
    <w:rsid w:val="00777F2F"/>
    <w:rsid w:val="00780F24"/>
    <w:rsid w:val="00823A6B"/>
    <w:rsid w:val="009A5E4A"/>
    <w:rsid w:val="00A15D04"/>
    <w:rsid w:val="00A258F4"/>
    <w:rsid w:val="00B856B6"/>
    <w:rsid w:val="00BF2673"/>
    <w:rsid w:val="00C300F7"/>
    <w:rsid w:val="00C87846"/>
    <w:rsid w:val="00CD5334"/>
    <w:rsid w:val="00CE619A"/>
    <w:rsid w:val="00D0161D"/>
    <w:rsid w:val="00D3056F"/>
    <w:rsid w:val="00D3566B"/>
    <w:rsid w:val="00E00B21"/>
    <w:rsid w:val="00E23D2F"/>
    <w:rsid w:val="00E84D51"/>
    <w:rsid w:val="00EB4CA4"/>
    <w:rsid w:val="00EE05D3"/>
    <w:rsid w:val="00F069E3"/>
    <w:rsid w:val="00F11710"/>
    <w:rsid w:val="00F2485D"/>
    <w:rsid w:val="00FA67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8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C678D"/>
    <w:rPr>
      <w:color w:val="0000FF"/>
      <w:u w:val="single"/>
    </w:rPr>
  </w:style>
  <w:style w:type="paragraph" w:styleId="NormalWeb">
    <w:name w:val="Normal (Web)"/>
    <w:basedOn w:val="Normal"/>
    <w:uiPriority w:val="99"/>
    <w:unhideWhenUsed/>
    <w:rsid w:val="002C678D"/>
    <w:pPr>
      <w:spacing w:before="100" w:beforeAutospacing="1" w:after="100" w:afterAutospacing="1"/>
    </w:pPr>
  </w:style>
  <w:style w:type="paragraph" w:styleId="CommentText">
    <w:name w:val="annotation text"/>
    <w:basedOn w:val="Normal"/>
    <w:link w:val="CommentTextChar"/>
    <w:uiPriority w:val="99"/>
    <w:unhideWhenUsed/>
    <w:rsid w:val="002C678D"/>
    <w:rPr>
      <w:sz w:val="20"/>
      <w:szCs w:val="20"/>
    </w:rPr>
  </w:style>
  <w:style w:type="character" w:customStyle="1" w:styleId="CommentTextChar">
    <w:name w:val="Comment Text Char"/>
    <w:basedOn w:val="DefaultParagraphFont"/>
    <w:link w:val="CommentText"/>
    <w:uiPriority w:val="99"/>
    <w:rsid w:val="002C678D"/>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2C678D"/>
    <w:pPr>
      <w:widowControl w:val="0"/>
      <w:tabs>
        <w:tab w:val="center" w:pos="4153"/>
        <w:tab w:val="right" w:pos="8306"/>
      </w:tabs>
    </w:pPr>
    <w:rPr>
      <w:sz w:val="28"/>
      <w:szCs w:val="20"/>
      <w:lang w:eastAsia="en-US"/>
    </w:rPr>
  </w:style>
  <w:style w:type="character" w:customStyle="1" w:styleId="HeaderChar">
    <w:name w:val="Header Char"/>
    <w:basedOn w:val="DefaultParagraphFont"/>
    <w:link w:val="Header"/>
    <w:uiPriority w:val="99"/>
    <w:rsid w:val="002C678D"/>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2C678D"/>
    <w:pPr>
      <w:tabs>
        <w:tab w:val="center" w:pos="4153"/>
        <w:tab w:val="right" w:pos="8306"/>
      </w:tabs>
    </w:pPr>
  </w:style>
  <w:style w:type="character" w:customStyle="1" w:styleId="FooterChar">
    <w:name w:val="Footer Char"/>
    <w:basedOn w:val="DefaultParagraphFont"/>
    <w:link w:val="Footer"/>
    <w:uiPriority w:val="99"/>
    <w:rsid w:val="002C678D"/>
    <w:rPr>
      <w:rFonts w:ascii="Times New Roman" w:eastAsia="Times New Roman" w:hAnsi="Times New Roman" w:cs="Times New Roman"/>
      <w:sz w:val="24"/>
      <w:szCs w:val="24"/>
      <w:lang w:eastAsia="lv-LV"/>
    </w:rPr>
  </w:style>
  <w:style w:type="paragraph" w:styleId="NoSpacing">
    <w:name w:val="No Spacing"/>
    <w:uiPriority w:val="1"/>
    <w:qFormat/>
    <w:rsid w:val="002C678D"/>
    <w:pPr>
      <w:spacing w:after="0" w:line="240" w:lineRule="auto"/>
    </w:pPr>
    <w:rPr>
      <w:rFonts w:ascii="Calibri" w:eastAsia="Calibri" w:hAnsi="Calibri" w:cs="Times New Roman"/>
    </w:rPr>
  </w:style>
  <w:style w:type="paragraph" w:styleId="ListParagraph">
    <w:name w:val="List Paragraph"/>
    <w:basedOn w:val="Normal"/>
    <w:uiPriority w:val="34"/>
    <w:qFormat/>
    <w:rsid w:val="002C678D"/>
    <w:pPr>
      <w:ind w:left="720"/>
      <w:contextualSpacing/>
    </w:pPr>
    <w:rPr>
      <w:rFonts w:ascii="Calibri" w:eastAsia="Calibri" w:hAnsi="Calibri"/>
      <w:sz w:val="22"/>
      <w:szCs w:val="22"/>
      <w:lang w:eastAsia="en-US"/>
    </w:rPr>
  </w:style>
  <w:style w:type="paragraph" w:customStyle="1" w:styleId="naisf">
    <w:name w:val="naisf"/>
    <w:basedOn w:val="Normal"/>
    <w:uiPriority w:val="99"/>
    <w:rsid w:val="002C678D"/>
    <w:pPr>
      <w:spacing w:before="75" w:after="75"/>
      <w:ind w:firstLine="375"/>
      <w:jc w:val="both"/>
    </w:pPr>
  </w:style>
  <w:style w:type="paragraph" w:customStyle="1" w:styleId="naisnod">
    <w:name w:val="naisnod"/>
    <w:basedOn w:val="Normal"/>
    <w:uiPriority w:val="99"/>
    <w:rsid w:val="002C678D"/>
    <w:pPr>
      <w:spacing w:before="150" w:after="150"/>
      <w:jc w:val="center"/>
    </w:pPr>
    <w:rPr>
      <w:b/>
      <w:bCs/>
    </w:rPr>
  </w:style>
  <w:style w:type="paragraph" w:customStyle="1" w:styleId="naiskr">
    <w:name w:val="naiskr"/>
    <w:basedOn w:val="Normal"/>
    <w:uiPriority w:val="99"/>
    <w:rsid w:val="002C678D"/>
    <w:pPr>
      <w:spacing w:before="75" w:after="75"/>
    </w:pPr>
  </w:style>
  <w:style w:type="paragraph" w:customStyle="1" w:styleId="naisc">
    <w:name w:val="naisc"/>
    <w:basedOn w:val="Normal"/>
    <w:uiPriority w:val="99"/>
    <w:rsid w:val="002C678D"/>
    <w:pPr>
      <w:spacing w:before="75" w:after="75"/>
      <w:jc w:val="center"/>
    </w:pPr>
  </w:style>
  <w:style w:type="paragraph" w:customStyle="1" w:styleId="tv2132">
    <w:name w:val="tv2132"/>
    <w:basedOn w:val="Normal"/>
    <w:uiPriority w:val="99"/>
    <w:rsid w:val="002C678D"/>
    <w:pPr>
      <w:spacing w:line="360" w:lineRule="auto"/>
      <w:ind w:firstLine="300"/>
    </w:pPr>
    <w:rPr>
      <w:color w:val="414142"/>
      <w:sz w:val="20"/>
      <w:szCs w:val="20"/>
    </w:rPr>
  </w:style>
  <w:style w:type="paragraph" w:customStyle="1" w:styleId="Default">
    <w:name w:val="Default"/>
    <w:uiPriority w:val="99"/>
    <w:rsid w:val="002C67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1">
    <w:name w:val="c1"/>
    <w:basedOn w:val="DefaultParagraphFont"/>
    <w:rsid w:val="002C678D"/>
    <w:rPr>
      <w:rFonts w:ascii="Arial" w:hAnsi="Arial" w:cs="Arial" w:hint="default"/>
      <w:sz w:val="24"/>
      <w:szCs w:val="24"/>
    </w:rPr>
  </w:style>
  <w:style w:type="paragraph" w:customStyle="1" w:styleId="Paraststmeklis1">
    <w:name w:val="Parasts (tīmeklis)1"/>
    <w:basedOn w:val="Normal"/>
    <w:rsid w:val="002C678D"/>
    <w:pPr>
      <w:spacing w:before="100" w:beforeAutospacing="1" w:after="100" w:afterAutospacing="1"/>
    </w:pPr>
    <w:rPr>
      <w:rFonts w:ascii="Helvetica" w:hAnsi="Helvetica"/>
      <w:color w:val="000000"/>
      <w:sz w:val="20"/>
      <w:szCs w:val="20"/>
    </w:rPr>
  </w:style>
  <w:style w:type="paragraph" w:styleId="DocumentMap">
    <w:name w:val="Document Map"/>
    <w:basedOn w:val="Normal"/>
    <w:link w:val="DocumentMapChar"/>
    <w:semiHidden/>
    <w:rsid w:val="005624B6"/>
    <w:pPr>
      <w:shd w:val="clear" w:color="auto" w:fill="000080"/>
      <w:jc w:val="both"/>
    </w:pPr>
    <w:rPr>
      <w:rFonts w:ascii="Tahoma" w:hAnsi="Tahoma" w:cs="Tahoma"/>
      <w:szCs w:val="20"/>
      <w:lang w:eastAsia="en-US"/>
    </w:rPr>
  </w:style>
  <w:style w:type="character" w:customStyle="1" w:styleId="DocumentMapChar">
    <w:name w:val="Document Map Char"/>
    <w:basedOn w:val="DefaultParagraphFont"/>
    <w:link w:val="DocumentMap"/>
    <w:semiHidden/>
    <w:rsid w:val="005624B6"/>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unhideWhenUsed/>
    <w:rsid w:val="004E27E0"/>
    <w:rPr>
      <w:rFonts w:ascii="Tahoma" w:hAnsi="Tahoma" w:cs="Tahoma"/>
      <w:sz w:val="16"/>
      <w:szCs w:val="16"/>
    </w:rPr>
  </w:style>
  <w:style w:type="character" w:customStyle="1" w:styleId="BalloonTextChar">
    <w:name w:val="Balloon Text Char"/>
    <w:basedOn w:val="DefaultParagraphFont"/>
    <w:link w:val="BalloonText"/>
    <w:uiPriority w:val="99"/>
    <w:semiHidden/>
    <w:rsid w:val="004E27E0"/>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E27E0"/>
    <w:rPr>
      <w:sz w:val="16"/>
      <w:szCs w:val="16"/>
    </w:rPr>
  </w:style>
  <w:style w:type="paragraph" w:styleId="CommentSubject">
    <w:name w:val="annotation subject"/>
    <w:basedOn w:val="CommentText"/>
    <w:next w:val="CommentText"/>
    <w:link w:val="CommentSubjectChar"/>
    <w:uiPriority w:val="99"/>
    <w:semiHidden/>
    <w:unhideWhenUsed/>
    <w:rsid w:val="004E27E0"/>
    <w:rPr>
      <w:b/>
      <w:bCs/>
    </w:rPr>
  </w:style>
  <w:style w:type="character" w:customStyle="1" w:styleId="CommentSubjectChar">
    <w:name w:val="Comment Subject Char"/>
    <w:basedOn w:val="CommentTextChar"/>
    <w:link w:val="CommentSubject"/>
    <w:uiPriority w:val="99"/>
    <w:semiHidden/>
    <w:rsid w:val="004E27E0"/>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48991-A0FC-4B6E-9B1B-A7B844D8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7650</Words>
  <Characters>4361</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2020-06-04T06:54:00Z</cp:lastPrinted>
  <dcterms:created xsi:type="dcterms:W3CDTF">2020-06-04T09:35:00Z</dcterms:created>
  <dcterms:modified xsi:type="dcterms:W3CDTF">2020-06-04T09:35:00Z</dcterms:modified>
</cp:coreProperties>
</file>