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38F" w:rsidP="00907E60" w:rsidRDefault="006D238F" w14:paraId="3D7BD578" w14:textId="77ABA62F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lv-LV"/>
        </w:rPr>
      </w:pPr>
      <w:r w:rsidRPr="005E5B01"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 xml:space="preserve">Ministru kabineta noteikumu </w:t>
      </w:r>
      <w:r w:rsidR="00044385"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 xml:space="preserve">projekta </w:t>
      </w:r>
      <w:r w:rsidRPr="005E5B01"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>„</w:t>
      </w:r>
      <w:r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>Grozījum</w:t>
      </w:r>
      <w:r w:rsidR="009A23F2"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>i</w:t>
      </w:r>
      <w:r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 xml:space="preserve"> Ministru kabineta 2004</w:t>
      </w:r>
      <w:r w:rsidRPr="005E5B01"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>.gada 2</w:t>
      </w:r>
      <w:r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>1</w:t>
      </w:r>
      <w:r w:rsidRPr="005E5B01"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>.jūnija noteikumos Nr.</w:t>
      </w:r>
      <w:r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>551</w:t>
      </w:r>
      <w:r w:rsidRPr="005E5B01"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 xml:space="preserve"> „</w:t>
      </w:r>
      <w:r w:rsidRPr="00421209"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>Pārkāpumu uzskaites punktu sistēmas piemērošanas noteikumi</w:t>
      </w:r>
      <w:r w:rsidRPr="005E5B01">
        <w:rPr>
          <w:rFonts w:ascii="Times New Roman" w:hAnsi="Times New Roman" w:eastAsia="Times New Roman"/>
          <w:b/>
          <w:bCs/>
          <w:sz w:val="24"/>
          <w:szCs w:val="24"/>
          <w:lang w:eastAsia="lv-LV"/>
        </w:rPr>
        <w:t>”” projekta sākotnējās ietekmes novērtējuma ziņojums (anotācija)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Pr="001938D7" w:rsidR="001938D7" w:rsidTr="000D47F7" w14:paraId="466A9D5E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1938D7" w:rsidR="001938D7" w:rsidP="001938D7" w:rsidRDefault="001938D7" w14:paraId="60FF8A5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938D7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1938D7" w:rsidR="001938D7" w:rsidTr="000D47F7" w14:paraId="4D742A3C" w14:textId="77777777">
        <w:trPr>
          <w:tblCellSpacing w:w="15" w:type="dxa"/>
        </w:trPr>
        <w:tc>
          <w:tcPr>
            <w:tcW w:w="19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938D7" w:rsidR="001938D7" w:rsidP="001938D7" w:rsidRDefault="001938D7" w14:paraId="03240BB9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1938D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1938D7" w:rsidR="001938D7" w:rsidP="001938D7" w:rsidRDefault="00AE26F8" w14:paraId="18E27341" w14:textId="57D1582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 attiecināms atbilstoši</w:t>
            </w:r>
            <w:r w:rsidRPr="001938D7" w:rsidR="001938D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Ministru kabineta 2009. gada 15. decembra instrukcijas Nr. 19 “Tiesību akta projekta sākotnējās ietekmes izvērtēšanas kārtība” 5.</w:t>
            </w:r>
            <w:r w:rsidRPr="002727FE" w:rsidR="001938D7">
              <w:rPr>
                <w:rFonts w:ascii="Times New Roman" w:hAnsi="Times New Roman" w:eastAsia="Times New Roman" w:cs="Times New Roman"/>
                <w:iCs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Pr="001938D7" w:rsidR="001938D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punkt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am.</w:t>
            </w:r>
          </w:p>
          <w:p w:rsidRPr="001938D7" w:rsidR="001938D7" w:rsidP="001938D7" w:rsidRDefault="001938D7" w14:paraId="426C3D30" w14:textId="5F984A1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:rsidRPr="005E5B01" w:rsidR="006D238F" w:rsidP="00907E60" w:rsidRDefault="006D238F" w14:paraId="2C8B4CCC" w14:textId="77777777">
      <w:pPr>
        <w:spacing w:after="0" w:line="240" w:lineRule="auto"/>
        <w:rPr>
          <w:rFonts w:ascii="Times New Roman" w:hAnsi="Times New Roman" w:eastAsia="Times New Roman"/>
          <w:iCs/>
          <w:sz w:val="16"/>
          <w:szCs w:val="16"/>
          <w:lang w:eastAsia="lv-LV"/>
        </w:rPr>
      </w:pPr>
    </w:p>
    <w:tbl>
      <w:tblPr>
        <w:tblW w:w="5005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3028"/>
        <w:gridCol w:w="5461"/>
      </w:tblGrid>
      <w:tr w:rsidRPr="00CC5DFA" w:rsidR="006D238F" w:rsidTr="00907E60" w14:paraId="6C48F581" w14:textId="77777777">
        <w:trPr>
          <w:tblCellSpacing w:w="15" w:type="dxa"/>
        </w:trPr>
        <w:tc>
          <w:tcPr>
            <w:tcW w:w="496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B58C4" w:rsidR="006D238F" w:rsidP="00907E60" w:rsidRDefault="006D238F" w14:paraId="770DECF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CC5DFA" w:rsidR="006D238F" w:rsidTr="00907E60" w14:paraId="226AB919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45FF492E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50545" w:rsidR="006D238F" w:rsidP="00907E60" w:rsidRDefault="006D238F" w14:paraId="6DA7322A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A5054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50545" w:rsidR="006D238F" w:rsidP="00907E60" w:rsidRDefault="006D238F" w14:paraId="423C67E6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CC5DFA">
              <w:rPr>
                <w:rFonts w:ascii="Times New Roman" w:hAnsi="Times New Roman"/>
                <w:sz w:val="24"/>
                <w:szCs w:val="24"/>
              </w:rPr>
              <w:t xml:space="preserve">Ceļu satiksmes likuma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C5DFA">
              <w:rPr>
                <w:rFonts w:ascii="Times New Roman" w:hAnsi="Times New Roman"/>
                <w:sz w:val="24"/>
                <w:szCs w:val="24"/>
              </w:rPr>
              <w:t>3</w:t>
            </w:r>
            <w:r w:rsidRPr="00A50545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.</w:t>
            </w:r>
            <w:r w:rsidRPr="00421209"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</w:t>
            </w:r>
            <w:r w:rsidRPr="00A50545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panta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septītā </w:t>
            </w:r>
            <w:r w:rsidRPr="00A50545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daļa.</w:t>
            </w:r>
          </w:p>
        </w:tc>
      </w:tr>
      <w:tr w:rsidRPr="00CC5DFA" w:rsidR="006D238F" w:rsidTr="00907E60" w14:paraId="4ADF7484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8F31B3" w:rsidRDefault="006D238F" w14:paraId="734BC60D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73D38" w:rsidR="006D238F" w:rsidP="008F31B3" w:rsidRDefault="006D238F" w14:paraId="3CF9D5FC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73D38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473D38" w:rsidR="00907E60" w:rsidP="008F31B3" w:rsidRDefault="00907E60" w14:paraId="579308BA" w14:textId="77777777">
            <w:pPr>
              <w:tabs>
                <w:tab w:val="left" w:pos="2235"/>
              </w:tabs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73D38" w:rsidR="008F31B3" w:rsidP="00907E60" w:rsidRDefault="008F31B3" w14:paraId="08859BBB" w14:textId="463D20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3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Lai īstenotu nozaru administratīvo pārkāpumu kodifikāciju, Saeima 2019.gada 19.decembrī pieņēma grozījumus Ceļu satiksmes likumā</w:t>
            </w:r>
            <w:r w:rsidRPr="00473D38" w:rsidR="009959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473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papildinot Ceļu satiksmes likumu ar IX nodaļu, kurā ir iekļauti ceļu satiksmes nozarē paredzētie administratīvie pārkāpumi un noteiktas kompetentās institūcijas, kurām būs piekritīgs administratīvo pārkāpum</w:t>
            </w:r>
            <w:r w:rsidRPr="00473D38" w:rsidR="00044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Pr="00473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process.</w:t>
            </w:r>
          </w:p>
          <w:p w:rsidR="00FA0B5A" w:rsidP="00907E60" w:rsidRDefault="006D238F" w14:paraId="3577DDF7" w14:textId="3932C029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73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Ņemot vērā </w:t>
            </w:r>
            <w:r w:rsidRPr="00473D38" w:rsidR="00C62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veiktās </w:t>
            </w:r>
            <w:r w:rsidRPr="00473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izmaiņas</w:t>
            </w:r>
            <w:r w:rsidRPr="00473D38" w:rsidR="00C62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Ceļu satiksmes likumā un to, ka Latvijas Administratīvo pārkāpumu kodekss 2020.gada 1.jūlijā zaudēs spēku</w:t>
            </w:r>
            <w:r w:rsidRPr="00473D38" w:rsidR="007D4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473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nepieciešams </w:t>
            </w:r>
            <w:r w:rsidRPr="00473D38" w:rsidR="00865B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veikt</w:t>
            </w:r>
            <w:r w:rsidRPr="00473D38" w:rsidR="00C8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3D38" w:rsidR="00865B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grozījumus Ministru kabineta </w:t>
            </w:r>
            <w:r w:rsidRPr="00473D38" w:rsidR="001D1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2004.gada 21.jūnija </w:t>
            </w:r>
            <w:r w:rsidRPr="00473D38" w:rsidR="00C8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noteikumu</w:t>
            </w:r>
            <w:r w:rsidRPr="00473D38" w:rsidR="00865B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Nr.551 “Pārkāpumu uzskaites punktu sistēmas piemērošanas noteikum</w:t>
            </w:r>
            <w:r w:rsidRPr="00473D38" w:rsidR="00C04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473D38" w:rsidR="00865B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  <w:r w:rsidRPr="00473D38" w:rsidR="00C8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3D38" w:rsidR="00471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(turpmāk-Noteikum</w:t>
            </w:r>
            <w:r w:rsidRPr="00473D38" w:rsidR="000443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473D38" w:rsidR="00471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473D38" w:rsidR="00C8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3D38" w:rsidR="00C85A4D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1.pielikumā, </w:t>
            </w:r>
            <w:r w:rsidRPr="00473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precizē</w:t>
            </w:r>
            <w:r w:rsidRPr="00473D38" w:rsidR="00865B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jot</w:t>
            </w:r>
            <w:r w:rsidRPr="00473D38" w:rsidR="004713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3D38" w:rsidR="007B58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tiesību normas</w:t>
            </w:r>
            <w:r w:rsidRPr="00473D38" w:rsidR="00C8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kas </w:t>
            </w:r>
            <w:r w:rsidRPr="00473D38" w:rsidR="00C62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turpmāk </w:t>
            </w:r>
            <w:r w:rsidRPr="00473D38" w:rsidR="00C8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</w:t>
            </w:r>
            <w:r w:rsidRPr="00473D38" w:rsidR="00C62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teiks</w:t>
            </w:r>
            <w:r w:rsidRPr="00473D38" w:rsidR="00C85A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3D38" w:rsidR="00004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administratīv</w:t>
            </w:r>
            <w:r w:rsidRPr="00473D38" w:rsidR="00C04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</w:t>
            </w:r>
            <w:r w:rsidRPr="00473D38" w:rsidR="00865B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73D38" w:rsidR="00865B32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>pārkāpum</w:t>
            </w:r>
            <w:r w:rsidRPr="00473D38" w:rsidR="00C046E4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>us</w:t>
            </w:r>
            <w:r w:rsidRPr="00473D38" w:rsidR="00865B32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>, par kuriem tik</w:t>
            </w:r>
            <w:r w:rsidRPr="00473D38" w:rsidR="00C62E96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473D38" w:rsidR="00865B32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reģistrēti pārkāpumu uzskaites punkti</w:t>
            </w:r>
            <w:r w:rsidRPr="00473D38" w:rsidR="00C85A4D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:rsidR="00A62D0E" w:rsidP="00907E60" w:rsidRDefault="00C3017C" w14:paraId="2FB3C80C" w14:textId="22BB078F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04394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Lai īstenotu nozaru administratīvo pārkāpumu kodifikāciju</w:t>
            </w:r>
            <w:r w:rsidR="0009354A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,</w:t>
            </w:r>
            <w:r w:rsidRPr="0004394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Satiksmes ministrija </w:t>
            </w:r>
            <w:r w:rsidRPr="0004394C" w:rsidR="00E114E8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izstrādāja </w:t>
            </w:r>
            <w:r w:rsidRPr="0004394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grozījumus Autopārvadājumu likumā, kurā </w:t>
            </w:r>
            <w:r w:rsidRPr="0004394C" w:rsidR="00E16D73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tika </w:t>
            </w:r>
            <w:r w:rsidRPr="0004394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iekļauti visi šajā nozarē saglabājamie administratīvie pārkāpumi, tajā skaitā Latvijas Administratīvo pārkāpumu kodeksa 149.</w:t>
            </w:r>
            <w:r w:rsidRPr="0004394C">
              <w:rPr>
                <w:rFonts w:ascii="Times New Roman" w:hAnsi="Times New Roman" w:eastAsia="Times New Roman"/>
                <w:iCs/>
                <w:sz w:val="24"/>
                <w:szCs w:val="24"/>
                <w:vertAlign w:val="superscript"/>
                <w:lang w:eastAsia="lv-LV"/>
              </w:rPr>
              <w:t>33</w:t>
            </w:r>
            <w:r w:rsidRPr="0004394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pantā paredzētie kravu pārvadāšanas noteikumu pārkāpumi.</w:t>
            </w:r>
            <w:r w:rsidR="00A62D0E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:rsidRPr="00F244D4" w:rsidR="00C3017C" w:rsidP="00907E60" w:rsidRDefault="00A62D0E" w14:paraId="0B71195E" w14:textId="45B6ED6B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244D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Jau šobrīd spēkā esošo Ministru kabineta 2004.gada  21.jūnija noteikumu Nr.551 “Pārkāpumu uzskaites punktu sistēmas piemērošanas noteikumi” 1.pielikuma 105</w:t>
            </w:r>
            <w:r w:rsidR="00AE26F8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., 106., 107., 108. un </w:t>
            </w:r>
            <w:r w:rsidRPr="00F244D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109. punkts paredz piešķirt pārkāpumu uzskaites </w:t>
            </w:r>
            <w:r w:rsidR="00AE26F8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punktus</w:t>
            </w:r>
            <w:r w:rsidRPr="00F244D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par Latvijas Administratīvo pārkāpumu kodeksa 149</w:t>
            </w:r>
            <w:r w:rsidR="0009354A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.</w:t>
            </w:r>
            <w:r w:rsidRPr="00F244D4">
              <w:rPr>
                <w:rFonts w:ascii="Times New Roman" w:hAnsi="Times New Roman" w:eastAsia="Times New Roman"/>
                <w:iCs/>
                <w:sz w:val="24"/>
                <w:szCs w:val="24"/>
                <w:vertAlign w:val="superscript"/>
                <w:lang w:eastAsia="lv-LV"/>
              </w:rPr>
              <w:t>.33</w:t>
            </w:r>
            <w:r w:rsidRPr="00F244D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pantā  minētajiem kravu pārvadāšanas noteikumu pārkāpumiem. Ņemot vērā</w:t>
            </w:r>
            <w:r w:rsidR="00AE26F8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to</w:t>
            </w:r>
            <w:r w:rsidRPr="00F244D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, ka kravu pārvadāšanas noteikumu pārkāpšana</w:t>
            </w:r>
            <w:r w:rsidR="00417B13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244D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tiešā veidā apdraud ceļu satiksm</w:t>
            </w:r>
            <w:r w:rsidR="00417B13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i un tās </w:t>
            </w:r>
            <w:r w:rsidRPr="00F244D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drošību (autopārvadājuma veikšana</w:t>
            </w:r>
            <w:r w:rsidR="0009354A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,</w:t>
            </w:r>
            <w:r w:rsidRPr="00F244D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pārsniedzot atļauto transportlīdzekļa masu, pieļaujamo garumu vai platumu)</w:t>
            </w:r>
            <w:r w:rsidR="00AE26F8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,</w:t>
            </w:r>
            <w:r w:rsidRPr="00F244D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244D4" w:rsidR="00F244D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arī turpmāk </w:t>
            </w:r>
            <w:r w:rsidRPr="00F244D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pārkāpumu uzskaites punktu piemērošana par minētajiem pārkāpumiem saglabājama</w:t>
            </w:r>
            <w:r w:rsidRPr="00F244D4" w:rsidR="00F244D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.</w:t>
            </w:r>
          </w:p>
          <w:p w:rsidRPr="0004394C" w:rsidR="00A213A1" w:rsidP="00907E60" w:rsidRDefault="00E16D73" w14:paraId="096249E9" w14:textId="1A63BF01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04394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Ar grozījumiem Autopārvadājumu likumā Latvijas Administratīvo pārkāpumu kodeksa 149.</w:t>
            </w:r>
            <w:r w:rsidRPr="0004394C">
              <w:rPr>
                <w:rFonts w:ascii="Times New Roman" w:hAnsi="Times New Roman" w:eastAsia="Times New Roman"/>
                <w:iCs/>
                <w:sz w:val="24"/>
                <w:szCs w:val="24"/>
                <w:vertAlign w:val="superscript"/>
                <w:lang w:eastAsia="lv-LV"/>
              </w:rPr>
              <w:t>33</w:t>
            </w:r>
            <w:r w:rsidRPr="0004394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pantā </w:t>
            </w:r>
            <w:r w:rsidRPr="0004394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lastRenderedPageBreak/>
              <w:t>paredzētais regulējums tika pārņemts jaunā redakcijā, papildinot ar pārkāpumiem, kurus paredz Komisijas 2016.gada 18.marta Regula (ES) 2016/403, ar ko papildina Eiropas Parlamenta un Padomes Regulu (EK) Nr. 1071/2009 attiecībā uz Savienības noteikumu tādu nopietnu pārkāpumu klasifikāciju, kas var izraisīt autopārvadātāja labas reputācijas zaudēšanu, un ar ko groza Eiropas Parlamenta un Padomes Direktīvas 2006/22/EK III pielikumu, tomēr pēc būtības</w:t>
            </w:r>
            <w:r w:rsidRPr="0004394C" w:rsidR="00E114E8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joprojām</w:t>
            </w:r>
            <w:r w:rsidRPr="0004394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saglabājot</w:t>
            </w:r>
            <w:r w:rsidRPr="0004394C" w:rsidR="00E114E8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atbildību </w:t>
            </w:r>
            <w:r w:rsidRPr="0004394C" w:rsidR="0004394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par Latvijas Administratīvo pārkāpumu kodeksa 149.</w:t>
            </w:r>
            <w:r w:rsidRPr="0004394C" w:rsidR="0004394C">
              <w:rPr>
                <w:rFonts w:ascii="Times New Roman" w:hAnsi="Times New Roman" w:eastAsia="Times New Roman"/>
                <w:iCs/>
                <w:sz w:val="24"/>
                <w:szCs w:val="24"/>
                <w:vertAlign w:val="superscript"/>
                <w:lang w:eastAsia="lv-LV"/>
              </w:rPr>
              <w:t>33</w:t>
            </w:r>
            <w:r w:rsidRPr="0004394C" w:rsidR="0004394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pantā paredzētajiem kravu pārvadāšanas noteikumu pārkāpumiem, proti,  </w:t>
            </w:r>
            <w:r w:rsidRPr="0004394C" w:rsidR="00E114E8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autopārvadājumu veikšanu pārsniedzot transportlīdzekļu svaru vai gabarītus</w:t>
            </w:r>
            <w:r w:rsidR="007349D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.</w:t>
            </w:r>
            <w:r w:rsidRPr="0004394C" w:rsidR="00E114E8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349D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I</w:t>
            </w:r>
            <w:r w:rsidRPr="0004394C" w:rsidR="00E114E8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evērojot minēto,</w:t>
            </w:r>
            <w:r w:rsidR="007349D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Ministru kabineta noteikumu projekts “Grozījumi Ministru kabineta </w:t>
            </w:r>
            <w:r w:rsidRPr="00473D38" w:rsidR="00734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2004.gada 21.jūnija noteikum</w:t>
            </w:r>
            <w:r w:rsidR="00734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</w:t>
            </w:r>
            <w:r w:rsidRPr="00473D38" w:rsidR="00734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Nr.551 “Pārkāpumu uzskaites punktu sistēmas piemērošanas noteikumi” </w:t>
            </w:r>
            <w:r w:rsidR="00734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(turpmāk </w:t>
            </w:r>
            <w:r w:rsidR="00734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˗</w:t>
            </w:r>
            <w:r w:rsidR="00734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Projekts) </w:t>
            </w:r>
            <w:r w:rsidRPr="0004394C" w:rsidR="00E114E8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paredz saglabāt pārkāpumu uzskaites punktu piemērošanu par Autopārvadājumu likuma 54.pantā paredzētajiem pārkāpumiem saglabājot piešķiramo pārkāpumu uzskaites</w:t>
            </w:r>
            <w:r w:rsidR="0009354A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punktu</w:t>
            </w:r>
            <w:r w:rsidRPr="0004394C" w:rsidR="00E114E8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skaitu līdzšinējā apmērā.</w:t>
            </w:r>
          </w:p>
          <w:p w:rsidRPr="00473D38" w:rsidR="00FA0B5A" w:rsidP="00907E60" w:rsidRDefault="00FA0B5A" w14:paraId="72010B36" w14:textId="1F63DA9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73D38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Ar </w:t>
            </w:r>
            <w:r w:rsidR="007349DC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>P</w:t>
            </w:r>
            <w:r w:rsidRPr="00473D38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>rojektu netiek mainīti</w:t>
            </w:r>
            <w:r w:rsidRPr="00473D38" w:rsidR="00596CC4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pēc būtības</w:t>
            </w:r>
            <w:r w:rsidRPr="00473D38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tie </w:t>
            </w:r>
            <w:r w:rsidRPr="0004394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administratīvie pārkāpumi</w:t>
            </w:r>
            <w:r w:rsidRPr="0004394C" w:rsidR="00524FF1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,</w:t>
            </w:r>
            <w:r w:rsidRPr="0004394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par kuriem piemēroja pārkāpumu uzskaites punktus</w:t>
            </w:r>
            <w:r w:rsidR="007349D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, kā arī</w:t>
            </w:r>
            <w:r w:rsidR="0083129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šo punktu skaits</w:t>
            </w:r>
            <w:r w:rsidRPr="0004394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04394C" w:rsidR="00D86E4A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</w:t>
            </w:r>
            <w:r w:rsidRPr="0004394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ar Latvijas Administratīvo pārkāpumu kodeks</w:t>
            </w:r>
            <w:r w:rsidRPr="0004394C" w:rsidR="00D86E4A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ā paredzētajiem  pārkāpumiem</w:t>
            </w:r>
            <w:r w:rsidR="007349D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.</w:t>
            </w:r>
            <w:r w:rsidR="0083129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349D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V</w:t>
            </w:r>
            <w:r w:rsidR="0083129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ienlaikus </w:t>
            </w:r>
            <w:r w:rsidR="007349D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</w:t>
            </w:r>
            <w:r w:rsidR="0083129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rojekts paredz precizēt attiecīgas </w:t>
            </w:r>
            <w:r w:rsidR="007349D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tiesību</w:t>
            </w:r>
            <w:r w:rsidR="0083129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normas atbilstoši Ceļu satiksmes </w:t>
            </w:r>
            <w:r w:rsidR="007349D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likum</w:t>
            </w:r>
            <w:r w:rsidR="00DC0F8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ā</w:t>
            </w:r>
            <w:r w:rsidR="007349D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3129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un Autopārvadājumu likum</w:t>
            </w:r>
            <w:r w:rsidR="00DC0F8C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ā izdarītiem grozījumiem</w:t>
            </w:r>
            <w:r w:rsidR="0083129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.</w:t>
            </w:r>
            <w:r w:rsidRPr="00473D38" w:rsidR="004E7E96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31295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>P</w:t>
            </w:r>
            <w:r w:rsidRPr="00473D38" w:rsidR="004E7E96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>ārkāpumu uzskaites punkt</w:t>
            </w:r>
            <w:r w:rsidR="00DC0F8C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>i</w:t>
            </w:r>
            <w:r w:rsidRPr="00473D38" w:rsidR="004E7E96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par konkrētiem pārkāpumiem tika pārskatīt</w:t>
            </w:r>
            <w:r w:rsidR="00DC0F8C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>i</w:t>
            </w:r>
            <w:r w:rsidRPr="00473D38" w:rsidR="004E7E96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DC0F8C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>ar</w:t>
            </w:r>
            <w:r w:rsidRPr="00473D38" w:rsidR="00DC0F8C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DC0F8C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>N</w:t>
            </w:r>
            <w:r w:rsidRPr="00473D38" w:rsidR="004E7E96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>oteikumu grozījumiem, kas stājās spēkā 08.10.2019.</w:t>
            </w:r>
          </w:p>
          <w:p w:rsidRPr="00473D38" w:rsidR="004E7E96" w:rsidP="00907E60" w:rsidRDefault="00471384" w14:paraId="3EC29BCA" w14:textId="3B431F95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73D38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473D38" w:rsidR="008D6C2E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Paredzēts, ka </w:t>
            </w:r>
            <w:r w:rsidR="00DC0F8C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>P</w:t>
            </w:r>
            <w:r w:rsidRPr="00473D38" w:rsidR="00FA0B5A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>rojekts</w:t>
            </w:r>
            <w:r w:rsidRPr="00473D38" w:rsidR="008D6C2E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stājas spēkā </w:t>
            </w:r>
            <w:r w:rsidRPr="00473D38" w:rsidR="00524FF1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>vienlaikus ar</w:t>
            </w:r>
            <w:r w:rsidRPr="00473D38" w:rsidR="008D6C2E">
              <w:rPr>
                <w:rFonts w:ascii="Times New Roman" w:hAnsi="Times New Roman" w:eastAsia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Administratīvās atbildības likumu.</w:t>
            </w:r>
          </w:p>
        </w:tc>
      </w:tr>
      <w:tr w:rsidRPr="00CC5DFA" w:rsidR="006D238F" w:rsidTr="00907E60" w14:paraId="0E7FC51A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8F31B3" w:rsidRDefault="006D238F" w14:paraId="7985C783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50545" w:rsidR="006D238F" w:rsidP="008F31B3" w:rsidRDefault="006D238F" w14:paraId="1C43EB72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A5054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50545" w:rsidR="006D238F" w:rsidP="00907E60" w:rsidRDefault="00C62E96" w14:paraId="74AC3BD1" w14:textId="3B6688D9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Satiksmes ministrija, </w:t>
            </w:r>
            <w:r w:rsidR="006D238F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V</w:t>
            </w:r>
            <w:r w:rsidRPr="00A50545" w:rsidR="006D238F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alsts akciju sabiedrība „Ceļu satiksmes drošības direkcija”.</w:t>
            </w:r>
          </w:p>
        </w:tc>
      </w:tr>
      <w:tr w:rsidRPr="00CC5DFA" w:rsidR="006D238F" w:rsidTr="00907E60" w14:paraId="0941D833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8F31B3" w:rsidRDefault="006D238F" w14:paraId="56B939CE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50545" w:rsidR="006D238F" w:rsidP="008F31B3" w:rsidRDefault="006D238F" w14:paraId="1AEB78FE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A5054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50545" w:rsidR="006D238F" w:rsidP="00907E60" w:rsidRDefault="006D238F" w14:paraId="568D63FE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A5054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6D238F" w:rsidP="00907E60" w:rsidRDefault="006D238F" w14:paraId="3E0FD699" w14:textId="68C4C444">
      <w:pPr>
        <w:spacing w:after="0" w:line="240" w:lineRule="auto"/>
        <w:rPr>
          <w:rFonts w:ascii="Times New Roman" w:hAnsi="Times New Roman" w:eastAsia="Times New Roman"/>
          <w:iCs/>
          <w:sz w:val="24"/>
          <w:szCs w:val="24"/>
          <w:lang w:eastAsia="lv-LV"/>
        </w:rPr>
      </w:pPr>
      <w:r w:rsidRPr="00FB58C4">
        <w:rPr>
          <w:rFonts w:ascii="Times New Roman" w:hAnsi="Times New Roman" w:eastAsia="Times New Roman"/>
          <w:iCs/>
          <w:sz w:val="24"/>
          <w:szCs w:val="24"/>
          <w:lang w:eastAsia="lv-LV"/>
        </w:rPr>
        <w:t xml:space="preserve">  </w:t>
      </w:r>
    </w:p>
    <w:p w:rsidRPr="005E5B01" w:rsidR="001938D7" w:rsidP="00907E60" w:rsidRDefault="001938D7" w14:paraId="5FAA6667" w14:textId="77777777">
      <w:pPr>
        <w:spacing w:after="0" w:line="240" w:lineRule="auto"/>
        <w:rPr>
          <w:rFonts w:ascii="Times New Roman" w:hAnsi="Times New Roman" w:eastAsia="Times New Roman"/>
          <w:iCs/>
          <w:sz w:val="16"/>
          <w:szCs w:val="16"/>
          <w:lang w:eastAsia="lv-LV"/>
        </w:rPr>
      </w:pPr>
    </w:p>
    <w:tbl>
      <w:tblPr>
        <w:tblW w:w="5005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3028"/>
        <w:gridCol w:w="5461"/>
      </w:tblGrid>
      <w:tr w:rsidRPr="00CC5DFA" w:rsidR="006D238F" w:rsidTr="00907E60" w14:paraId="5AC30109" w14:textId="77777777">
        <w:trPr>
          <w:tblCellSpacing w:w="15" w:type="dxa"/>
        </w:trPr>
        <w:tc>
          <w:tcPr>
            <w:tcW w:w="496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B58C4" w:rsidR="006D238F" w:rsidP="00907E60" w:rsidRDefault="006D238F" w14:paraId="00A87CA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CC5DFA" w:rsidR="006D238F" w:rsidTr="00907E60" w14:paraId="281B7F35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060BA578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50545" w:rsidR="006D238F" w:rsidP="00907E60" w:rsidRDefault="006D238F" w14:paraId="07D79A74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A5054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A5054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A5054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50545" w:rsidR="006D238F" w:rsidP="00907E60" w:rsidRDefault="00C62E96" w14:paraId="754D0DE8" w14:textId="3B316539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Noteikumu projekts</w:t>
            </w:r>
            <w:r w:rsidRPr="00C62E96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attiecas uz transportlīdzekļu</w:t>
            </w:r>
            <w:r w:rsidR="00350B16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vadītājiem</w:t>
            </w:r>
            <w:r w:rsidR="00CB7EE7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. </w:t>
            </w:r>
            <w:r w:rsidRPr="00350B16" w:rsidR="00350B16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20</w:t>
            </w:r>
            <w:r w:rsidR="00350B16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20</w:t>
            </w:r>
            <w:r w:rsidRPr="00350B16" w:rsidR="00350B16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.gadā Latvijā ir gandrīz 855 000 personu, kurām ir derīga vadītāja apliecība.</w:t>
            </w:r>
          </w:p>
        </w:tc>
      </w:tr>
      <w:tr w:rsidRPr="00CC5DFA" w:rsidR="006D238F" w:rsidTr="00907E60" w14:paraId="1ACE9ED4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C62E96" w:rsidRDefault="006D238F" w14:paraId="41EBECE5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C62E96" w:rsidRDefault="006D238F" w14:paraId="12EBE276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50545" w:rsidR="006D238F" w:rsidP="00907E60" w:rsidRDefault="00C62E96" w14:paraId="7E5B9777" w14:textId="6971512B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Noteikumu projekta</w:t>
            </w:r>
            <w:r w:rsidRPr="00C62E96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tiesiskais regulējums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pēc būtības</w:t>
            </w:r>
            <w:r w:rsidRPr="00C62E96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nemaina minēto transportlīdzekļu īpašnieku (turētāju, valdītāju) tiesības un pienākumus, kā arī veicamās darbības.</w:t>
            </w:r>
          </w:p>
        </w:tc>
      </w:tr>
      <w:tr w:rsidRPr="00CC5DFA" w:rsidR="006D238F" w:rsidTr="00907E60" w14:paraId="43C94E9B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C62E96" w:rsidRDefault="006D238F" w14:paraId="03AFE264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C62E96" w:rsidRDefault="006D238F" w14:paraId="0D8CD2B9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50545" w:rsidR="006D238F" w:rsidP="00907E60" w:rsidRDefault="006D238F" w14:paraId="6E7CC61E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A50545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CC5DFA" w:rsidR="006D238F" w:rsidTr="00907E60" w14:paraId="19356FBF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C62E96" w:rsidRDefault="006D238F" w14:paraId="1CD964C1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C62E96" w:rsidRDefault="006D238F" w14:paraId="5AFB0EC9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6C732A94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CC5DFA" w:rsidR="006D238F" w:rsidTr="00907E60" w14:paraId="5C1EFA0F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C62E96" w:rsidRDefault="006D238F" w14:paraId="320CAF28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C62E96" w:rsidRDefault="006D238F" w14:paraId="2BA850EC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73353AD5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DE0B3E" w:rsidP="00FA0B5A" w:rsidRDefault="00DE0B3E" w14:paraId="2B6BF4E1" w14:textId="77777777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23" w:type="pct"/>
        <w:tblCellSpacing w:w="15" w:type="dxa"/>
        <w:tblInd w:w="-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97"/>
      </w:tblGrid>
      <w:tr w:rsidRPr="00CC5DFA" w:rsidR="006D238F" w:rsidTr="00855D4E" w14:paraId="3BB0DDFB" w14:textId="77777777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B58C4" w:rsidR="006D238F" w:rsidP="00907E60" w:rsidRDefault="006D238F" w14:paraId="679E370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CC5DFA" w:rsidR="006D238F" w:rsidTr="00855D4E" w14:paraId="4DC5DB58" w14:textId="77777777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FB58C4" w:rsidR="006D238F" w:rsidP="00907E60" w:rsidRDefault="006D238F" w14:paraId="0B40BE0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Pr="00524FF1" w:rsidR="00C85A4D" w:rsidP="00FA0B5A" w:rsidRDefault="006D238F" w14:paraId="3E3CC6A2" w14:textId="00382030">
      <w:pPr>
        <w:spacing w:after="0" w:line="240" w:lineRule="auto"/>
        <w:rPr>
          <w:rFonts w:ascii="Times New Roman" w:hAnsi="Times New Roman" w:eastAsia="Times New Roman"/>
          <w:iCs/>
          <w:sz w:val="16"/>
          <w:szCs w:val="16"/>
          <w:lang w:eastAsia="lv-LV"/>
        </w:rPr>
      </w:pPr>
      <w:r w:rsidRPr="00524FF1">
        <w:rPr>
          <w:rFonts w:ascii="Times New Roman" w:hAnsi="Times New Roman" w:eastAsia="Times New Roman"/>
          <w:iCs/>
          <w:sz w:val="16"/>
          <w:szCs w:val="16"/>
          <w:lang w:eastAsia="lv-LV"/>
        </w:rPr>
        <w:t xml:space="preserve">  </w:t>
      </w:r>
    </w:p>
    <w:tbl>
      <w:tblPr>
        <w:tblW w:w="5005" w:type="pct"/>
        <w:tblCellSpacing w:w="20" w:type="dxa"/>
        <w:tblBorders>
          <w:top w:val="outset" w:color="D9D9D9" w:sz="6" w:space="0"/>
          <w:left w:val="outset" w:color="D9D9D9" w:sz="6" w:space="0"/>
          <w:bottom w:val="outset" w:color="D9D9D9" w:sz="6" w:space="0"/>
          <w:right w:val="outset" w:color="D9D9D9" w:sz="6" w:space="0"/>
          <w:insideH w:val="outset" w:color="D9D9D9" w:sz="6" w:space="0"/>
          <w:insideV w:val="outset" w:color="D9D9D9" w:sz="6" w:space="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Pr="00CC5DFA" w:rsidR="006D238F" w:rsidTr="00855D4E" w14:paraId="711864A9" w14:textId="77777777">
        <w:trPr>
          <w:tblCellSpacing w:w="20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Pr="00FB58C4" w:rsidR="006D238F" w:rsidP="00907E60" w:rsidRDefault="006D238F" w14:paraId="3C9D1416" w14:textId="77777777">
            <w:pPr>
              <w:pStyle w:val="tvhtml"/>
              <w:jc w:val="center"/>
              <w:rPr>
                <w:b/>
                <w:bCs/>
              </w:rPr>
            </w:pPr>
            <w:r w:rsidRPr="00FB58C4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Pr="00CC5DFA" w:rsidR="006D238F" w:rsidTr="00855D4E" w14:paraId="0E125BBC" w14:textId="77777777">
        <w:trPr>
          <w:tblCellSpacing w:w="20" w:type="dxa"/>
        </w:trPr>
        <w:tc>
          <w:tcPr>
            <w:tcW w:w="4956" w:type="pct"/>
            <w:shd w:val="clear" w:color="auto" w:fill="FFFFFF"/>
            <w:vAlign w:val="center"/>
          </w:tcPr>
          <w:p w:rsidRPr="00E330AF" w:rsidR="006D238F" w:rsidP="00907E60" w:rsidRDefault="006D238F" w14:paraId="4FDA8AF9" w14:textId="77777777">
            <w:pPr>
              <w:pStyle w:val="tvhtml"/>
              <w:jc w:val="center"/>
              <w:rPr>
                <w:bCs/>
              </w:rPr>
            </w:pPr>
            <w:r w:rsidRPr="00E330AF">
              <w:rPr>
                <w:bCs/>
              </w:rPr>
              <w:t>Projekts šo jomu neskar.</w:t>
            </w:r>
          </w:p>
        </w:tc>
      </w:tr>
    </w:tbl>
    <w:p w:rsidRPr="005E5B01" w:rsidR="006D238F" w:rsidP="00FA0B5A" w:rsidRDefault="006D238F" w14:paraId="7155F6A3" w14:textId="77777777">
      <w:pPr>
        <w:spacing w:after="0" w:line="120" w:lineRule="auto"/>
        <w:rPr>
          <w:rFonts w:ascii="Times New Roman" w:hAnsi="Times New Roman"/>
          <w:sz w:val="16"/>
          <w:szCs w:val="16"/>
        </w:rPr>
      </w:pPr>
    </w:p>
    <w:tbl>
      <w:tblPr>
        <w:tblW w:w="5005" w:type="pct"/>
        <w:tblCellSpacing w:w="20" w:type="dxa"/>
        <w:tblBorders>
          <w:top w:val="inset" w:color="D9D9D9" w:sz="6" w:space="0"/>
          <w:left w:val="inset" w:color="D9D9D9" w:sz="6" w:space="0"/>
          <w:bottom w:val="inset" w:color="D9D9D9" w:sz="6" w:space="0"/>
          <w:right w:val="inset" w:color="D9D9D9" w:sz="6" w:space="0"/>
          <w:insideH w:val="inset" w:color="D9D9D9" w:sz="6" w:space="0"/>
          <w:insideV w:val="inset" w:color="D9D9D9" w:sz="6" w:space="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Pr="00CC5DFA" w:rsidR="006D238F" w:rsidTr="00855D4E" w14:paraId="0230A2EF" w14:textId="77777777">
        <w:trPr>
          <w:tblCellSpacing w:w="20" w:type="dxa"/>
        </w:trPr>
        <w:tc>
          <w:tcPr>
            <w:tcW w:w="4956" w:type="pct"/>
            <w:shd w:val="clear" w:color="auto" w:fill="FFFFFF"/>
            <w:vAlign w:val="center"/>
            <w:hideMark/>
          </w:tcPr>
          <w:p w:rsidRPr="00FB58C4" w:rsidR="006D238F" w:rsidP="00907E60" w:rsidRDefault="006D238F" w14:paraId="09E3C607" w14:textId="77777777">
            <w:pPr>
              <w:pStyle w:val="tvhtml"/>
              <w:jc w:val="center"/>
              <w:rPr>
                <w:b/>
                <w:bCs/>
              </w:rPr>
            </w:pPr>
            <w:r w:rsidRPr="00FB58C4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Pr="00CC5DFA" w:rsidR="006D238F" w:rsidTr="00855D4E" w14:paraId="2C8CA7FC" w14:textId="77777777">
        <w:trPr>
          <w:tblCellSpacing w:w="20" w:type="dxa"/>
        </w:trPr>
        <w:tc>
          <w:tcPr>
            <w:tcW w:w="4956" w:type="pct"/>
            <w:shd w:val="clear" w:color="auto" w:fill="FFFFFF"/>
            <w:vAlign w:val="center"/>
          </w:tcPr>
          <w:p w:rsidRPr="00E330AF" w:rsidR="006D238F" w:rsidP="00907E60" w:rsidRDefault="006D238F" w14:paraId="1EE75AA1" w14:textId="77777777">
            <w:pPr>
              <w:pStyle w:val="tvhtml"/>
              <w:jc w:val="center"/>
              <w:rPr>
                <w:bCs/>
              </w:rPr>
            </w:pPr>
            <w:r>
              <w:rPr>
                <w:bCs/>
              </w:rPr>
              <w:t>Projekts šo jomu neskar.</w:t>
            </w:r>
          </w:p>
        </w:tc>
      </w:tr>
    </w:tbl>
    <w:p w:rsidR="006D238F" w:rsidP="00907E60" w:rsidRDefault="006D238F" w14:paraId="2B1542B1" w14:textId="77777777">
      <w:pPr>
        <w:spacing w:after="0" w:line="240" w:lineRule="auto"/>
        <w:rPr>
          <w:rFonts w:ascii="Times New Roman" w:hAnsi="Times New Roman" w:eastAsia="Times New Roman"/>
          <w:iCs/>
          <w:sz w:val="16"/>
          <w:szCs w:val="16"/>
          <w:lang w:eastAsia="lv-LV"/>
        </w:rPr>
      </w:pPr>
    </w:p>
    <w:tbl>
      <w:tblPr>
        <w:tblW w:w="5005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"/>
        <w:gridCol w:w="3008"/>
        <w:gridCol w:w="5485"/>
      </w:tblGrid>
      <w:tr w:rsidRPr="00CC5DFA" w:rsidR="006D238F" w:rsidTr="00855D4E" w14:paraId="13F109EB" w14:textId="77777777">
        <w:trPr>
          <w:tblCellSpacing w:w="15" w:type="dxa"/>
        </w:trPr>
        <w:tc>
          <w:tcPr>
            <w:tcW w:w="496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B58C4" w:rsidR="006D238F" w:rsidP="00907E60" w:rsidRDefault="006D238F" w14:paraId="69AC597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CC5DFA" w:rsidR="006D238F" w:rsidTr="00524FF1" w14:paraId="20FD7E54" w14:textId="77777777">
        <w:trPr>
          <w:trHeight w:val="1499"/>
          <w:tblCellSpacing w:w="15" w:type="dxa"/>
        </w:trPr>
        <w:tc>
          <w:tcPr>
            <w:tcW w:w="2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21162E20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6AF44C7A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330AF" w:rsidR="006D238F" w:rsidP="00907E60" w:rsidRDefault="006D238F" w14:paraId="3926CFC5" w14:textId="77777777">
            <w:pPr>
              <w:spacing w:line="240" w:lineRule="auto"/>
              <w:ind w:left="47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5E5B01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Atbilstoši Ministru kabineta 2009.gada 25.augusta noteikumu Nr.970 “Sabiedrības līdzdalības kārtība attīstības plānošanas procesā” 7.4.</w:t>
            </w:r>
            <w:r w:rsidRPr="00C62E96">
              <w:rPr>
                <w:rFonts w:ascii="Times New Roman" w:hAnsi="Times New Roman" w:eastAsia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5E5B01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apakšpunktam sabiedrībai tiek dota iespēja rakstiski sniegt viedokli par noteikumu projektu tā saskaņošanas stadijā.</w:t>
            </w:r>
          </w:p>
        </w:tc>
      </w:tr>
      <w:tr w:rsidRPr="00CC5DFA" w:rsidR="006D238F" w:rsidTr="006C3B9D" w14:paraId="65DF36B6" w14:textId="77777777">
        <w:trPr>
          <w:tblCellSpacing w:w="15" w:type="dxa"/>
        </w:trPr>
        <w:tc>
          <w:tcPr>
            <w:tcW w:w="2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37E4141D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43E46DD5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DA0D5A" w14:paraId="2D56614B" w14:textId="7961D9BA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DA0D5A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Paziņojums par līdzdalības iespējām tiesību akta saskaņošanas procesā ievietots Satiksmes</w:t>
            </w:r>
            <w:r w:rsidR="00327D29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ministrijas tīmekļa vietnē 20</w:t>
            </w:r>
            <w:r w:rsidR="004C1818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20</w:t>
            </w:r>
            <w:r w:rsidRPr="00DA0D5A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.gada </w:t>
            </w:r>
            <w:r w:rsidR="004C1818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15</w:t>
            </w:r>
            <w:r w:rsidRPr="004C1818" w:rsidR="00327D29"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lv-LV"/>
              </w:rPr>
              <w:t>.</w:t>
            </w:r>
            <w:r w:rsidRPr="004C1818" w:rsidR="004C1818"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lv-LV"/>
              </w:rPr>
              <w:t>janvārī</w:t>
            </w:r>
            <w:r w:rsidRPr="00DA0D5A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 xml:space="preserve"> http://www.sam.gov.lv/satmin/content/?cat=553</w:t>
            </w:r>
          </w:p>
        </w:tc>
      </w:tr>
      <w:tr w:rsidRPr="00CC5DFA" w:rsidR="006D238F" w:rsidTr="006C3B9D" w14:paraId="1DF30604" w14:textId="77777777">
        <w:trPr>
          <w:tblCellSpacing w:w="15" w:type="dxa"/>
        </w:trPr>
        <w:tc>
          <w:tcPr>
            <w:tcW w:w="2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3F42D45C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01D9AB03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DA0D5A" w14:paraId="1682408C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DA0D5A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Iebildumi vai priekšlikumi netika saņemti.</w:t>
            </w:r>
          </w:p>
        </w:tc>
      </w:tr>
      <w:tr w:rsidRPr="00CC5DFA" w:rsidR="006D238F" w:rsidTr="006C3B9D" w14:paraId="7A5B83C2" w14:textId="77777777">
        <w:trPr>
          <w:tblCellSpacing w:w="15" w:type="dxa"/>
        </w:trPr>
        <w:tc>
          <w:tcPr>
            <w:tcW w:w="29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0F3A990E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560E5A25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7FA50FC9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5E5B01" w:rsidR="006D238F" w:rsidP="00907E60" w:rsidRDefault="006D238F" w14:paraId="23DA9F7E" w14:textId="77777777">
      <w:pPr>
        <w:spacing w:after="0" w:line="240" w:lineRule="auto"/>
        <w:rPr>
          <w:rFonts w:ascii="Times New Roman" w:hAnsi="Times New Roman" w:eastAsia="Times New Roman"/>
          <w:iCs/>
          <w:sz w:val="16"/>
          <w:szCs w:val="16"/>
          <w:lang w:eastAsia="lv-LV"/>
        </w:rPr>
      </w:pPr>
      <w:r w:rsidRPr="00FB58C4">
        <w:rPr>
          <w:rFonts w:ascii="Times New Roman" w:hAnsi="Times New Roman" w:eastAsia="Times New Roman"/>
          <w:iCs/>
          <w:sz w:val="24"/>
          <w:szCs w:val="24"/>
          <w:lang w:eastAsia="lv-LV"/>
        </w:rPr>
        <w:t xml:space="preserve">  </w:t>
      </w:r>
    </w:p>
    <w:tbl>
      <w:tblPr>
        <w:tblW w:w="5005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3028"/>
        <w:gridCol w:w="5461"/>
      </w:tblGrid>
      <w:tr w:rsidRPr="00CC5DFA" w:rsidR="006D238F" w:rsidTr="00855D4E" w14:paraId="5535DB3B" w14:textId="77777777">
        <w:trPr>
          <w:tblCellSpacing w:w="15" w:type="dxa"/>
        </w:trPr>
        <w:tc>
          <w:tcPr>
            <w:tcW w:w="496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FB58C4" w:rsidR="006D238F" w:rsidP="00907E60" w:rsidRDefault="006D238F" w14:paraId="15255B8D" w14:textId="77777777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CC5DFA" w:rsidR="006D238F" w:rsidTr="00855D4E" w14:paraId="0AD12824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0E284A51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3AB7BDC6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35F81F2F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V</w:t>
            </w:r>
            <w:r w:rsidRPr="00B84F52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alsts akciju sabiedrības „Ceļu satiksmes drošības direkcija”.</w:t>
            </w:r>
          </w:p>
        </w:tc>
      </w:tr>
      <w:tr w:rsidRPr="00CC5DFA" w:rsidR="006D238F" w:rsidTr="00855D4E" w14:paraId="124790D9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14FDAD4B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62EDE345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CB7EE7" w:rsidR="00CB7EE7" w:rsidP="00CB7EE7" w:rsidRDefault="00CB7EE7" w14:paraId="14C5EBF6" w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CB7EE7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Noteikumu projekts neparedz jaunu institūciju izveidi vai esošo institūciju likvidāciju vai reorganizāciju.</w:t>
            </w:r>
          </w:p>
          <w:p w:rsidRPr="00FB58C4" w:rsidR="006D238F" w:rsidP="00CB7EE7" w:rsidRDefault="00CB7EE7" w14:paraId="5B34C3C7" w14:textId="07F9FCBD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CB7EE7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Projekta izpilde tiks nodrošināta institūciju līdzšinējo funkciju ietvaros un cilvēkresursus neietekmēs.</w:t>
            </w:r>
          </w:p>
        </w:tc>
      </w:tr>
      <w:tr w:rsidRPr="00CC5DFA" w:rsidR="006D238F" w:rsidTr="00855D4E" w14:paraId="34B2FFFC" w14:textId="77777777">
        <w:trPr>
          <w:tblCellSpacing w:w="15" w:type="dxa"/>
        </w:trPr>
        <w:tc>
          <w:tcPr>
            <w:tcW w:w="2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5E8C895B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507E4E8F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B58C4" w:rsidR="006D238F" w:rsidP="00907E60" w:rsidRDefault="006D238F" w14:paraId="1898B060" w14:textId="77777777">
            <w:pPr>
              <w:spacing w:after="0" w:line="240" w:lineRule="auto"/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  <w:r w:rsidRPr="00FB58C4"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907E60" w:rsidP="00907E60" w:rsidRDefault="00907E60" w14:paraId="167A0A20" w14:textId="77777777"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 w:rsidRPr="00907E60" w:rsidR="00907E60" w:rsidP="00907E60" w:rsidRDefault="00327D29" w14:paraId="62E331CF" w14:textId="1C6183E7"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Satiksmes ministrs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 w:rsidRPr="00907E60" w:rsidR="00907E60">
        <w:rPr>
          <w:rFonts w:ascii="Times New Roman" w:hAnsi="Times New Roman" w:eastAsia="Calibri" w:cs="Times New Roman"/>
          <w:sz w:val="24"/>
          <w:szCs w:val="24"/>
        </w:rPr>
        <w:tab/>
      </w:r>
      <w:r w:rsidRPr="00907E60" w:rsidR="00907E60">
        <w:rPr>
          <w:rFonts w:ascii="Times New Roman" w:hAnsi="Times New Roman" w:eastAsia="Calibri" w:cs="Times New Roman"/>
          <w:sz w:val="24"/>
          <w:szCs w:val="24"/>
        </w:rPr>
        <w:tab/>
      </w:r>
      <w:r w:rsidRPr="00907E60" w:rsidR="00907E60">
        <w:rPr>
          <w:rFonts w:ascii="Times New Roman" w:hAnsi="Times New Roman" w:eastAsia="Calibri" w:cs="Times New Roman"/>
          <w:sz w:val="24"/>
          <w:szCs w:val="24"/>
        </w:rPr>
        <w:tab/>
      </w:r>
      <w:r w:rsidRPr="00907E60" w:rsidR="00907E60">
        <w:rPr>
          <w:rFonts w:ascii="Times New Roman" w:hAnsi="Times New Roman" w:eastAsia="Calibri" w:cs="Times New Roman"/>
          <w:sz w:val="24"/>
          <w:szCs w:val="24"/>
        </w:rPr>
        <w:tab/>
      </w:r>
      <w:r w:rsidRPr="00907E60" w:rsidR="00907E60">
        <w:rPr>
          <w:rFonts w:ascii="Times New Roman" w:hAnsi="Times New Roman" w:eastAsia="Calibri" w:cs="Times New Roman"/>
          <w:sz w:val="24"/>
          <w:szCs w:val="24"/>
        </w:rPr>
        <w:tab/>
      </w:r>
      <w:r w:rsidRPr="00907E60" w:rsidR="00907E60">
        <w:rPr>
          <w:rFonts w:ascii="Times New Roman" w:hAnsi="Times New Roman" w:eastAsia="Calibri" w:cs="Times New Roman"/>
          <w:sz w:val="24"/>
          <w:szCs w:val="24"/>
        </w:rPr>
        <w:tab/>
      </w:r>
      <w:r w:rsidRPr="00907E60" w:rsidR="00907E60"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 xml:space="preserve">         </w:t>
      </w:r>
      <w:r w:rsidR="00855D4E">
        <w:rPr>
          <w:rFonts w:ascii="Times New Roman" w:hAnsi="Times New Roman" w:eastAsia="Calibri" w:cs="Times New Roman"/>
          <w:sz w:val="24"/>
          <w:szCs w:val="24"/>
        </w:rPr>
        <w:t xml:space="preserve">  </w:t>
      </w:r>
      <w:r>
        <w:rPr>
          <w:rFonts w:ascii="Times New Roman" w:hAnsi="Times New Roman" w:eastAsia="Calibri" w:cs="Times New Roman"/>
          <w:sz w:val="24"/>
          <w:szCs w:val="24"/>
        </w:rPr>
        <w:t xml:space="preserve">T. </w:t>
      </w:r>
      <w:proofErr w:type="spellStart"/>
      <w:r>
        <w:rPr>
          <w:rFonts w:ascii="Times New Roman" w:hAnsi="Times New Roman" w:eastAsia="Calibri" w:cs="Times New Roman"/>
          <w:sz w:val="24"/>
          <w:szCs w:val="24"/>
        </w:rPr>
        <w:t>Linkaits</w:t>
      </w:r>
      <w:proofErr w:type="spellEnd"/>
    </w:p>
    <w:p w:rsidR="00907E60" w:rsidP="00907E60" w:rsidRDefault="00907E60" w14:paraId="16610E54" w14:textId="160A48EE"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</w:p>
    <w:p w:rsidRPr="00C62E96" w:rsidR="00A80BD7" w:rsidP="00C62E96" w:rsidRDefault="00327D29" w14:paraId="6276D506" w14:textId="472E5368"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Vīza: Valsts sekretār</w:t>
      </w:r>
      <w:r w:rsidR="00044385">
        <w:rPr>
          <w:rFonts w:ascii="Times New Roman" w:hAnsi="Times New Roman" w:eastAsia="Calibri" w:cs="Times New Roman"/>
          <w:sz w:val="24"/>
          <w:szCs w:val="24"/>
        </w:rPr>
        <w:t>e</w:t>
      </w:r>
      <w:r w:rsidRPr="00907E60" w:rsidR="00907E60">
        <w:rPr>
          <w:rFonts w:ascii="Times New Roman" w:hAnsi="Times New Roman" w:eastAsia="Calibri" w:cs="Times New Roman"/>
          <w:sz w:val="24"/>
          <w:szCs w:val="24"/>
        </w:rPr>
        <w:tab/>
      </w:r>
      <w:r w:rsidRPr="00907E60" w:rsidR="00907E60">
        <w:rPr>
          <w:rFonts w:ascii="Times New Roman" w:hAnsi="Times New Roman" w:eastAsia="Calibri" w:cs="Times New Roman"/>
          <w:sz w:val="24"/>
          <w:szCs w:val="24"/>
        </w:rPr>
        <w:tab/>
      </w:r>
      <w:r w:rsidRPr="00907E60" w:rsidR="00907E60">
        <w:rPr>
          <w:rFonts w:ascii="Times New Roman" w:hAnsi="Times New Roman" w:eastAsia="Calibri" w:cs="Times New Roman"/>
          <w:sz w:val="24"/>
          <w:szCs w:val="24"/>
        </w:rPr>
        <w:tab/>
      </w:r>
      <w:r w:rsidRPr="00907E60" w:rsidR="00907E60">
        <w:rPr>
          <w:rFonts w:ascii="Times New Roman" w:hAnsi="Times New Roman" w:eastAsia="Calibri" w:cs="Times New Roman"/>
          <w:sz w:val="24"/>
          <w:szCs w:val="24"/>
        </w:rPr>
        <w:tab/>
      </w:r>
      <w:r w:rsidRPr="00907E60" w:rsidR="00907E60">
        <w:rPr>
          <w:rFonts w:ascii="Times New Roman" w:hAnsi="Times New Roman" w:eastAsia="Calibri" w:cs="Times New Roman"/>
          <w:sz w:val="24"/>
          <w:szCs w:val="24"/>
        </w:rPr>
        <w:tab/>
      </w:r>
      <w:r w:rsidRPr="00907E60" w:rsidR="00907E60">
        <w:rPr>
          <w:rFonts w:ascii="Times New Roman" w:hAnsi="Times New Roman" w:eastAsia="Calibri" w:cs="Times New Roman"/>
          <w:sz w:val="24"/>
          <w:szCs w:val="24"/>
        </w:rPr>
        <w:tab/>
      </w:r>
      <w:r w:rsidRPr="00907E60" w:rsidR="00907E60">
        <w:rPr>
          <w:rFonts w:ascii="Times New Roman" w:hAnsi="Times New Roman" w:eastAsia="Calibri" w:cs="Times New Roman"/>
          <w:sz w:val="24"/>
          <w:szCs w:val="24"/>
        </w:rPr>
        <w:tab/>
      </w:r>
      <w:r w:rsidR="008F31B3">
        <w:rPr>
          <w:rFonts w:ascii="Times New Roman" w:hAnsi="Times New Roman" w:eastAsia="Calibri" w:cs="Times New Roman"/>
          <w:sz w:val="24"/>
          <w:szCs w:val="24"/>
        </w:rPr>
        <w:t xml:space="preserve">           </w:t>
      </w:r>
      <w:r w:rsidR="00044385">
        <w:rPr>
          <w:rFonts w:ascii="Times New Roman" w:hAnsi="Times New Roman" w:eastAsia="Calibri" w:cs="Times New Roman"/>
          <w:sz w:val="24"/>
          <w:szCs w:val="24"/>
        </w:rPr>
        <w:t xml:space="preserve">            </w:t>
      </w:r>
      <w:proofErr w:type="spellStart"/>
      <w:r w:rsidR="00044385">
        <w:rPr>
          <w:rFonts w:ascii="Times New Roman" w:hAnsi="Times New Roman" w:eastAsia="Calibri" w:cs="Times New Roman"/>
          <w:sz w:val="24"/>
          <w:szCs w:val="24"/>
        </w:rPr>
        <w:t>I.Stepanova</w:t>
      </w:r>
      <w:proofErr w:type="spellEnd"/>
    </w:p>
    <w:sectPr w:rsidRPr="00C62E96" w:rsidR="00A80BD7" w:rsidSect="00FC7703"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20022" w14:textId="77777777" w:rsidR="0027002C" w:rsidRDefault="0027002C" w:rsidP="00907E60">
      <w:pPr>
        <w:spacing w:after="0" w:line="240" w:lineRule="auto"/>
      </w:pPr>
      <w:r>
        <w:separator/>
      </w:r>
    </w:p>
  </w:endnote>
  <w:endnote w:type="continuationSeparator" w:id="0">
    <w:p w14:paraId="52DC6189" w14:textId="77777777" w:rsidR="0027002C" w:rsidRDefault="0027002C" w:rsidP="0090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43F16" w14:textId="0822D87C" w:rsidR="00907E60" w:rsidRPr="00907E60" w:rsidRDefault="008F31B3">
    <w:pPr>
      <w:pStyle w:val="Footer"/>
      <w:rPr>
        <w:rFonts w:ascii="Times New Roman" w:hAnsi="Times New Roman" w:cs="Times New Roman"/>
        <w:sz w:val="20"/>
        <w:szCs w:val="20"/>
      </w:rPr>
    </w:pPr>
    <w:r w:rsidRPr="008F31B3">
      <w:rPr>
        <w:rFonts w:ascii="Times New Roman" w:hAnsi="Times New Roman" w:cs="Times New Roman"/>
        <w:sz w:val="20"/>
        <w:szCs w:val="20"/>
      </w:rPr>
      <w:t>SMAnot_</w:t>
    </w:r>
    <w:r w:rsidR="00DC2709">
      <w:rPr>
        <w:rFonts w:ascii="Times New Roman" w:hAnsi="Times New Roman" w:cs="Times New Roman"/>
        <w:sz w:val="20"/>
        <w:szCs w:val="20"/>
      </w:rPr>
      <w:t>0</w:t>
    </w:r>
    <w:r w:rsidR="009A23F2">
      <w:rPr>
        <w:rFonts w:ascii="Times New Roman" w:hAnsi="Times New Roman" w:cs="Times New Roman"/>
        <w:sz w:val="20"/>
        <w:szCs w:val="20"/>
      </w:rPr>
      <w:t>90</w:t>
    </w:r>
    <w:r w:rsidR="00DC2709">
      <w:rPr>
        <w:rFonts w:ascii="Times New Roman" w:hAnsi="Times New Roman" w:cs="Times New Roman"/>
        <w:sz w:val="20"/>
        <w:szCs w:val="20"/>
      </w:rPr>
      <w:t>6</w:t>
    </w:r>
    <w:r w:rsidRPr="008F31B3">
      <w:rPr>
        <w:rFonts w:ascii="Times New Roman" w:hAnsi="Times New Roman" w:cs="Times New Roman"/>
        <w:sz w:val="20"/>
        <w:szCs w:val="20"/>
      </w:rPr>
      <w:t>20_punkti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3CEA" w14:textId="77777777" w:rsidR="009A23F2" w:rsidRPr="00907E60" w:rsidRDefault="009A23F2" w:rsidP="009A23F2">
    <w:pPr>
      <w:pStyle w:val="Footer"/>
      <w:rPr>
        <w:rFonts w:ascii="Times New Roman" w:hAnsi="Times New Roman" w:cs="Times New Roman"/>
        <w:sz w:val="20"/>
        <w:szCs w:val="20"/>
      </w:rPr>
    </w:pPr>
    <w:r w:rsidRPr="008F31B3">
      <w:rPr>
        <w:rFonts w:ascii="Times New Roman" w:hAnsi="Times New Roman" w:cs="Times New Roman"/>
        <w:sz w:val="20"/>
        <w:szCs w:val="20"/>
      </w:rPr>
      <w:t>SMAnot_</w:t>
    </w:r>
    <w:r>
      <w:rPr>
        <w:rFonts w:ascii="Times New Roman" w:hAnsi="Times New Roman" w:cs="Times New Roman"/>
        <w:sz w:val="20"/>
        <w:szCs w:val="20"/>
      </w:rPr>
      <w:t>2905</w:t>
    </w:r>
    <w:r w:rsidRPr="008F31B3">
      <w:rPr>
        <w:rFonts w:ascii="Times New Roman" w:hAnsi="Times New Roman" w:cs="Times New Roman"/>
        <w:sz w:val="20"/>
        <w:szCs w:val="20"/>
      </w:rPr>
      <w:t>20_punkti</w:t>
    </w:r>
  </w:p>
  <w:p w14:paraId="3ACE2446" w14:textId="77777777" w:rsidR="009A23F2" w:rsidRDefault="009A2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BC49" w14:textId="77777777" w:rsidR="0027002C" w:rsidRDefault="0027002C" w:rsidP="00907E60">
      <w:pPr>
        <w:spacing w:after="0" w:line="240" w:lineRule="auto"/>
      </w:pPr>
      <w:r>
        <w:separator/>
      </w:r>
    </w:p>
  </w:footnote>
  <w:footnote w:type="continuationSeparator" w:id="0">
    <w:p w14:paraId="337AA146" w14:textId="77777777" w:rsidR="0027002C" w:rsidRDefault="0027002C" w:rsidP="0090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12575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2E96" w:rsidRDefault="00C62E96" w14:paraId="38D57AA3" w14:textId="443CF2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E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2E96" w:rsidRDefault="00C62E96" w14:paraId="6B45722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18"/>
    <w:rsid w:val="000045F1"/>
    <w:rsid w:val="0002277C"/>
    <w:rsid w:val="00027E27"/>
    <w:rsid w:val="0004394C"/>
    <w:rsid w:val="00044385"/>
    <w:rsid w:val="00065E2E"/>
    <w:rsid w:val="0009354A"/>
    <w:rsid w:val="000C5089"/>
    <w:rsid w:val="000E0801"/>
    <w:rsid w:val="000F3761"/>
    <w:rsid w:val="00100FF6"/>
    <w:rsid w:val="00112373"/>
    <w:rsid w:val="00151049"/>
    <w:rsid w:val="00191166"/>
    <w:rsid w:val="001938D7"/>
    <w:rsid w:val="001B229E"/>
    <w:rsid w:val="001D1899"/>
    <w:rsid w:val="001F65E1"/>
    <w:rsid w:val="00235766"/>
    <w:rsid w:val="00244914"/>
    <w:rsid w:val="0027002C"/>
    <w:rsid w:val="002727FE"/>
    <w:rsid w:val="00284E22"/>
    <w:rsid w:val="00325EA9"/>
    <w:rsid w:val="00327D29"/>
    <w:rsid w:val="0034246A"/>
    <w:rsid w:val="00350B16"/>
    <w:rsid w:val="0038483D"/>
    <w:rsid w:val="00404DB4"/>
    <w:rsid w:val="004175FC"/>
    <w:rsid w:val="00417B13"/>
    <w:rsid w:val="00471384"/>
    <w:rsid w:val="00473D38"/>
    <w:rsid w:val="004A160A"/>
    <w:rsid w:val="004C1818"/>
    <w:rsid w:val="004E6CB3"/>
    <w:rsid w:val="004E7E96"/>
    <w:rsid w:val="004F0C76"/>
    <w:rsid w:val="00524FF1"/>
    <w:rsid w:val="00550827"/>
    <w:rsid w:val="005648B7"/>
    <w:rsid w:val="00596CC4"/>
    <w:rsid w:val="005F7F88"/>
    <w:rsid w:val="00645D62"/>
    <w:rsid w:val="006A2969"/>
    <w:rsid w:val="006C3B9D"/>
    <w:rsid w:val="006D0D22"/>
    <w:rsid w:val="006D238F"/>
    <w:rsid w:val="006D4E18"/>
    <w:rsid w:val="006D7875"/>
    <w:rsid w:val="0072597B"/>
    <w:rsid w:val="00731CBE"/>
    <w:rsid w:val="007349DC"/>
    <w:rsid w:val="00746CC5"/>
    <w:rsid w:val="00755817"/>
    <w:rsid w:val="00775F8B"/>
    <w:rsid w:val="00783BD6"/>
    <w:rsid w:val="00794DDF"/>
    <w:rsid w:val="007B580B"/>
    <w:rsid w:val="007C51A8"/>
    <w:rsid w:val="007D486D"/>
    <w:rsid w:val="007F2F77"/>
    <w:rsid w:val="00831295"/>
    <w:rsid w:val="00855D4E"/>
    <w:rsid w:val="00865B32"/>
    <w:rsid w:val="008B4BAB"/>
    <w:rsid w:val="008C2AA9"/>
    <w:rsid w:val="008D6C2E"/>
    <w:rsid w:val="008F1793"/>
    <w:rsid w:val="008F31B3"/>
    <w:rsid w:val="008F7A74"/>
    <w:rsid w:val="00907E60"/>
    <w:rsid w:val="00910622"/>
    <w:rsid w:val="009959C5"/>
    <w:rsid w:val="009A23F2"/>
    <w:rsid w:val="009F45FE"/>
    <w:rsid w:val="00A213A1"/>
    <w:rsid w:val="00A62D0E"/>
    <w:rsid w:val="00A80BD7"/>
    <w:rsid w:val="00AB6C29"/>
    <w:rsid w:val="00AB6E7B"/>
    <w:rsid w:val="00AE26F8"/>
    <w:rsid w:val="00AF62D8"/>
    <w:rsid w:val="00B25B11"/>
    <w:rsid w:val="00B2660D"/>
    <w:rsid w:val="00B76FC2"/>
    <w:rsid w:val="00BD2C10"/>
    <w:rsid w:val="00C046E4"/>
    <w:rsid w:val="00C12BF7"/>
    <w:rsid w:val="00C136F6"/>
    <w:rsid w:val="00C26584"/>
    <w:rsid w:val="00C3017C"/>
    <w:rsid w:val="00C62E96"/>
    <w:rsid w:val="00C76C35"/>
    <w:rsid w:val="00C85A4D"/>
    <w:rsid w:val="00CA5590"/>
    <w:rsid w:val="00CB7EE7"/>
    <w:rsid w:val="00CD5731"/>
    <w:rsid w:val="00D126B8"/>
    <w:rsid w:val="00D46BBD"/>
    <w:rsid w:val="00D473CF"/>
    <w:rsid w:val="00D54AAB"/>
    <w:rsid w:val="00D64212"/>
    <w:rsid w:val="00D647FB"/>
    <w:rsid w:val="00D86E4A"/>
    <w:rsid w:val="00DA0D5A"/>
    <w:rsid w:val="00DC0F8C"/>
    <w:rsid w:val="00DC2709"/>
    <w:rsid w:val="00DE0B3E"/>
    <w:rsid w:val="00DE40E7"/>
    <w:rsid w:val="00E114E8"/>
    <w:rsid w:val="00E16D73"/>
    <w:rsid w:val="00E25F99"/>
    <w:rsid w:val="00E43853"/>
    <w:rsid w:val="00E6161D"/>
    <w:rsid w:val="00EE0063"/>
    <w:rsid w:val="00EE6566"/>
    <w:rsid w:val="00F244D4"/>
    <w:rsid w:val="00F61CE4"/>
    <w:rsid w:val="00FA0B5A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17E4"/>
  <w15:chartTrackingRefBased/>
  <w15:docId w15:val="{753569F8-6E8C-4040-AAEA-70F06D1E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238F"/>
    <w:rPr>
      <w:color w:val="0000FF"/>
      <w:u w:val="single"/>
    </w:rPr>
  </w:style>
  <w:style w:type="paragraph" w:customStyle="1" w:styleId="tvhtml">
    <w:name w:val="tv_html"/>
    <w:basedOn w:val="Normal"/>
    <w:rsid w:val="006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8F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907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E6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907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E60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44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385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385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4467</Words>
  <Characters>2547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2004.gada 21.jūnija noteikumos Nr.551 „Pārkāpumu uzskaites punktu sistēmas piemērošanas noteikumi”” projekta sākotnējās ietekmes novērtējuma ziņojums (anotācija)</vt:lpstr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2004.gada 21.jūnija noteikumos Nr.551 „Pārkāpumu uzskaites punktu sistēmas piemērošanas noteikumi”” projekta sākotnējās ietekmes novērtējuma ziņojums (anotācija)</dc:title>
  <dc:subject/>
  <dc:creator>Lauris.Mikelsons@sam.gov.lv</dc:creator>
  <cp:keywords/>
  <dc:description/>
  <cp:lastModifiedBy>Baiba Jirgena</cp:lastModifiedBy>
  <cp:revision>3</cp:revision>
  <cp:lastPrinted>2018-09-10T12:16:00Z</cp:lastPrinted>
  <dcterms:created xsi:type="dcterms:W3CDTF">2020-06-13T06:26:00Z</dcterms:created>
  <dcterms:modified xsi:type="dcterms:W3CDTF">2020-06-15T14:46:00Z</dcterms:modified>
</cp:coreProperties>
</file>