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757D" w:rsidR="000A531F" w:rsidP="000A531F" w:rsidRDefault="000A531F" w14:paraId="6CC25306" w14:textId="77777777">
      <w:pPr>
        <w:jc w:val="center"/>
        <w:rPr>
          <w:bCs/>
          <w:sz w:val="28"/>
          <w:szCs w:val="28"/>
        </w:rPr>
      </w:pPr>
      <w:bookmarkStart w:name="_Hlk520114501" w:id="0"/>
      <w:smartTag w:uri="schemas-tilde-lv/tildestengine" w:element="veidnes">
        <w:smartTagPr>
          <w:attr w:name="text" w:val="Izziņa"/>
          <w:attr w:name="baseform" w:val="Izziņa"/>
          <w:attr w:name="id" w:val="-1"/>
        </w:smartTagPr>
        <w:r w:rsidRPr="00FB757D">
          <w:rPr>
            <w:bCs/>
            <w:sz w:val="28"/>
            <w:szCs w:val="28"/>
          </w:rPr>
          <w:t>Izziņa</w:t>
        </w:r>
      </w:smartTag>
      <w:r w:rsidRPr="00FB757D">
        <w:rPr>
          <w:bCs/>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021C57" w:rsidR="00021C57" w:rsidP="00021C57" w:rsidRDefault="000A531F" w14:paraId="3341E45D" w14:textId="1462DE06">
      <w:pPr>
        <w:jc w:val="center"/>
        <w:rPr>
          <w:b/>
          <w:sz w:val="28"/>
          <w:szCs w:val="28"/>
        </w:rPr>
      </w:pPr>
      <w:r w:rsidRPr="00AA30C8">
        <w:rPr>
          <w:b/>
          <w:sz w:val="28"/>
          <w:szCs w:val="28"/>
        </w:rPr>
        <w:t>„</w:t>
      </w:r>
      <w:r w:rsidRPr="00021C57" w:rsidR="00021C57">
        <w:rPr>
          <w:b/>
          <w:sz w:val="28"/>
          <w:szCs w:val="28"/>
        </w:rPr>
        <w:t xml:space="preserve">Par nekustamā īpašuma Vilkupurva ielā 26, Rīgā, daļas pirkšanu </w:t>
      </w:r>
    </w:p>
    <w:p w:rsidRPr="00AE76EB" w:rsidR="000A531F" w:rsidP="00021C57" w:rsidRDefault="00021C57" w14:paraId="458B585A" w14:textId="2FEC4C18">
      <w:pPr>
        <w:jc w:val="center"/>
        <w:rPr>
          <w:b/>
          <w:sz w:val="28"/>
          <w:szCs w:val="28"/>
        </w:rPr>
      </w:pPr>
      <w:r w:rsidRPr="00021C57">
        <w:rPr>
          <w:b/>
          <w:sz w:val="28"/>
          <w:szCs w:val="28"/>
        </w:rPr>
        <w:t>Eiropas standarta platuma 1435 mm dzelzceļa līnijas izbūves Rail Baltica koridorā caur Igauniju, Latviju un Lietuvu būvniecības projekta īstenošanai</w:t>
      </w:r>
      <w:r w:rsidRPr="00AA30C8" w:rsidR="000A531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r w:rsidRPr="00390339">
              <w:rPr>
                <w:sz w:val="20"/>
                <w:szCs w:val="20"/>
              </w:rPr>
              <w:t>Nr.p.k.</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D201AD" w:rsidP="000A531F" w:rsidRDefault="000A531F" w14:paraId="43E80F13" w14:textId="7972C016">
            <w:r w:rsidRPr="003E112E">
              <w:t xml:space="preserve"> </w:t>
            </w:r>
            <w:r w:rsidR="00D201AD">
              <w:t xml:space="preserve">2020.gada </w:t>
            </w:r>
            <w:r w:rsidR="00A25DCC">
              <w:t>2</w:t>
            </w:r>
            <w:r w:rsidR="00021C57">
              <w:t>6.maijs</w:t>
            </w:r>
            <w:r w:rsidR="00D201AD">
              <w:t xml:space="preserve">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0A531F" w14:paraId="184AF6D7" w14:textId="3B409F8A">
            <w:pPr>
              <w:ind w:left="72"/>
            </w:pP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93548F3">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D201AD" w:rsidP="00D47019" w:rsidRDefault="00B14512" w14:paraId="5244CE31" w14:textId="78597B0D">
            <w:r>
              <w:t>Finanšu ministrija</w:t>
            </w:r>
            <w:r w:rsidR="00DC002D">
              <w:t>.</w:t>
            </w:r>
          </w:p>
          <w:p w:rsidRPr="003A7944" w:rsidR="005C709A" w:rsidP="00D47019" w:rsidRDefault="005C709A" w14:paraId="11A709A3" w14:textId="1BD29A36">
            <w:r>
              <w:t>Tieslietu ministrija</w:t>
            </w:r>
            <w:r w:rsidR="00A25DCC">
              <w:t>.</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390339" w:rsidP="00390339" w:rsidRDefault="00390339" w14:paraId="72DD0CB1" w14:textId="77777777">
      <w:pPr>
        <w:pStyle w:val="naisf"/>
        <w:spacing w:before="0" w:after="0"/>
        <w:ind w:firstLine="0"/>
        <w:jc w:val="center"/>
        <w:rPr>
          <w:b/>
          <w:sz w:val="28"/>
          <w:szCs w:val="28"/>
        </w:rPr>
      </w:pPr>
    </w:p>
    <w:p w:rsidR="00AE76EB" w:rsidP="00390339" w:rsidRDefault="00AE76EB" w14:paraId="54F39AD1" w14:textId="77777777">
      <w:pPr>
        <w:pStyle w:val="naisf"/>
        <w:spacing w:before="0" w:after="0"/>
        <w:ind w:firstLine="0"/>
        <w:jc w:val="center"/>
        <w:rPr>
          <w:b/>
          <w:sz w:val="28"/>
          <w:szCs w:val="28"/>
        </w:rPr>
      </w:pPr>
    </w:p>
    <w:p w:rsidR="00AE76EB" w:rsidP="00390339" w:rsidRDefault="00AE76EB" w14:paraId="797CA628" w14:textId="77777777">
      <w:pPr>
        <w:pStyle w:val="naisf"/>
        <w:spacing w:before="0" w:after="0"/>
        <w:ind w:firstLine="0"/>
        <w:jc w:val="center"/>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FB757D" w:rsidTr="00423648" w14:paraId="0E0879EE" w14:textId="77777777">
        <w:tc>
          <w:tcPr>
            <w:tcW w:w="14174" w:type="dxa"/>
            <w:gridSpan w:val="5"/>
          </w:tcPr>
          <w:p w:rsidR="00FB757D" w:rsidP="00FB757D" w:rsidRDefault="00FB757D" w14:paraId="4A49D292" w14:textId="77777777">
            <w:pPr>
              <w:jc w:val="center"/>
              <w:rPr>
                <w:lang w:eastAsia="en-US"/>
              </w:rPr>
            </w:pPr>
            <w:r w:rsidRPr="00F63B2E">
              <w:rPr>
                <w:b/>
                <w:bCs/>
                <w:lang w:eastAsia="en-US"/>
              </w:rPr>
              <w:t>Tieslietu ministrija</w:t>
            </w:r>
            <w:r w:rsidRPr="00F63B2E">
              <w:rPr>
                <w:lang w:eastAsia="en-US"/>
              </w:rPr>
              <w:t xml:space="preserve"> </w:t>
            </w:r>
          </w:p>
          <w:p w:rsidRPr="00930695" w:rsidR="00FB757D" w:rsidP="00FB757D" w:rsidRDefault="00FB757D" w14:paraId="421DD887" w14:textId="770306E9">
            <w:pPr>
              <w:jc w:val="center"/>
              <w:rPr>
                <w:lang w:eastAsia="en-US"/>
              </w:rPr>
            </w:pPr>
            <w:r>
              <w:rPr>
                <w:lang w:eastAsia="en-US"/>
              </w:rPr>
              <w:t>(</w:t>
            </w:r>
            <w:r w:rsidRPr="00F63B2E">
              <w:rPr>
                <w:lang w:eastAsia="en-US"/>
              </w:rPr>
              <w:t>2020.gada 23.aprīļa atzinums Nr.1-9.1/416</w:t>
            </w:r>
            <w:r>
              <w:rPr>
                <w:lang w:eastAsia="en-US"/>
              </w:rPr>
              <w:t>)</w:t>
            </w:r>
          </w:p>
        </w:tc>
      </w:tr>
      <w:tr w:rsidR="001914B9" w:rsidTr="0091003F" w14:paraId="031ABAFE" w14:textId="77777777">
        <w:tc>
          <w:tcPr>
            <w:tcW w:w="675" w:type="dxa"/>
          </w:tcPr>
          <w:p w:rsidR="001914B9" w:rsidP="005D403F" w:rsidRDefault="00313F64" w14:paraId="45BCAAD6" w14:textId="1DDC29F9">
            <w:pPr>
              <w:pStyle w:val="naisf"/>
              <w:spacing w:before="0" w:after="0"/>
              <w:ind w:firstLine="0"/>
              <w:jc w:val="center"/>
            </w:pPr>
            <w:r>
              <w:t>1</w:t>
            </w:r>
            <w:r w:rsidR="00F63B2E">
              <w:t xml:space="preserve">. </w:t>
            </w:r>
          </w:p>
        </w:tc>
        <w:tc>
          <w:tcPr>
            <w:tcW w:w="3119" w:type="dxa"/>
          </w:tcPr>
          <w:p w:rsidRPr="00BB085E" w:rsidR="00EC74F1" w:rsidP="004021B9" w:rsidRDefault="00261BAD" w14:paraId="71F2A4BD" w14:textId="4A4EC041">
            <w:pPr>
              <w:jc w:val="both"/>
              <w:rPr>
                <w:szCs w:val="28"/>
              </w:rPr>
            </w:pPr>
            <w:r>
              <w:rPr>
                <w:szCs w:val="28"/>
              </w:rPr>
              <w:t>Rīkojuma projekta a</w:t>
            </w:r>
            <w:r w:rsidRPr="00261BAD">
              <w:rPr>
                <w:szCs w:val="28"/>
              </w:rPr>
              <w:t>notācijas I sadaļas 2. punkt</w:t>
            </w:r>
            <w:r>
              <w:rPr>
                <w:szCs w:val="28"/>
              </w:rPr>
              <w:t>s.</w:t>
            </w:r>
          </w:p>
        </w:tc>
        <w:tc>
          <w:tcPr>
            <w:tcW w:w="4678" w:type="dxa"/>
          </w:tcPr>
          <w:p w:rsidRPr="00BA5981" w:rsidR="00F63B2E" w:rsidP="007A6F0F" w:rsidRDefault="00F63B2E" w14:paraId="0E3C08C4" w14:textId="1DEC65DD">
            <w:pPr>
              <w:jc w:val="both"/>
              <w:rPr>
                <w:lang w:eastAsia="en-US"/>
              </w:rPr>
            </w:pPr>
            <w:r w:rsidRPr="00F63B2E">
              <w:rPr>
                <w:lang w:eastAsia="en-US"/>
              </w:rPr>
              <w:t>1. Saskaņā ar rīkojuma projektu sabiedrības vajadzībām paredzēts atsavināt nekustamā īpašuma daļu – 0.1938 ha no zemes vienības ar kadastra apzīmējumu Nr. 0100 082 0210, kas ietilpst nekustamā īpašuma ar kadastra Nr. 0100 082 0210 sastāvā, Vilkupurva ielā 26, Rīgā (turpmāk – Nekustamais īpašums). Anotācijas I sadaļas 2. punktā ietverta informācija, ka zemesgrāmatā attiecībā uz Nekustamo īpašumu ir ierakstītas piedziņas atzīmes par labu Valsts ieņēmumu dienestam un Rīgas pilsētas pašvaldībai. Ņemot vērā to, ka Zemesgrāmatu likuma 46. panta otrajā daļā noteikts, ka piedziņas atzīme kavē jebkuru īpašnieka izdarāmu labprātīgu nostiprināšanu, kā arī anotācijā minēto informāciju par to, ka Nekustamā īpašuma īpašnieks nepiekrīt īpašuma atsavināšan</w:t>
            </w:r>
            <w:r>
              <w:rPr>
                <w:lang w:eastAsia="en-US"/>
              </w:rPr>
              <w:t>a</w:t>
            </w:r>
            <w:r w:rsidRPr="00F63B2E">
              <w:rPr>
                <w:lang w:eastAsia="en-US"/>
              </w:rPr>
              <w:t xml:space="preserve">i par noteikto atlīdzību, lūdzam papildināt anotāciju ar informāciju par regulējumu Sabiedrības vajadzībām nepieciešamā nekustamā īpašuma </w:t>
            </w:r>
            <w:r w:rsidRPr="00F63B2E">
              <w:rPr>
                <w:lang w:eastAsia="en-US"/>
              </w:rPr>
              <w:lastRenderedPageBreak/>
              <w:t>atsavināšanas likumā (turpmāk – Atsavināšanas likums) saistībā ar nekustamo īpašumu atsavināšanu uz likuma pamata. Tieslietu ministrijas ieskatā, ja tiek plānots atsavināt Nekustamo īpašumu, noslēdzot līgumu ar tā īpašnieku, zemesgrāmatā reģistrētā piedziņas atzīme var būt šķērslis Nekustamā īpašuma daļas atdalīšanai un īpašuma tiesību nostiprināšanai zemesgrāmatā uz valsts vārda.</w:t>
            </w:r>
          </w:p>
        </w:tc>
        <w:tc>
          <w:tcPr>
            <w:tcW w:w="2722" w:type="dxa"/>
          </w:tcPr>
          <w:p w:rsidRPr="007F0A92" w:rsidR="001914B9" w:rsidP="00FE5C77" w:rsidRDefault="0085769C" w14:paraId="3247B2CD" w14:textId="783BCC4B">
            <w:pPr>
              <w:pStyle w:val="naisf"/>
              <w:spacing w:before="0" w:after="0"/>
              <w:ind w:firstLine="0"/>
              <w:rPr>
                <w:rFonts w:eastAsia="Calibri"/>
                <w:b/>
                <w:lang w:eastAsia="en-US"/>
              </w:rPr>
            </w:pPr>
            <w:r>
              <w:rPr>
                <w:rFonts w:eastAsia="Calibri"/>
                <w:b/>
                <w:lang w:eastAsia="en-US"/>
              </w:rPr>
              <w:lastRenderedPageBreak/>
              <w:t xml:space="preserve">Iebildums ir ņemts vērā. </w:t>
            </w:r>
            <w:r w:rsidRPr="0014495C">
              <w:rPr>
                <w:rFonts w:eastAsia="Calibri"/>
                <w:bCs/>
                <w:lang w:eastAsia="en-US"/>
              </w:rPr>
              <w:t>Attiecīgi papildināt</w:t>
            </w:r>
            <w:r w:rsidR="00261BAD">
              <w:rPr>
                <w:rFonts w:eastAsia="Calibri"/>
                <w:bCs/>
                <w:lang w:eastAsia="en-US"/>
              </w:rPr>
              <w:t>s</w:t>
            </w:r>
            <w:r w:rsidRPr="0014495C">
              <w:rPr>
                <w:rFonts w:eastAsia="Calibri"/>
                <w:bCs/>
                <w:lang w:eastAsia="en-US"/>
              </w:rPr>
              <w:t xml:space="preserve"> </w:t>
            </w:r>
            <w:r w:rsidR="00261BAD">
              <w:rPr>
                <w:rFonts w:eastAsia="Calibri"/>
                <w:bCs/>
                <w:lang w:eastAsia="en-US"/>
              </w:rPr>
              <w:t>r</w:t>
            </w:r>
            <w:r w:rsidRPr="00261BAD" w:rsidR="00261BAD">
              <w:rPr>
                <w:rFonts w:eastAsia="Calibri"/>
                <w:bCs/>
                <w:lang w:eastAsia="en-US"/>
              </w:rPr>
              <w:t>īkojuma projekta anotācijas I sadaļas 2.punkts</w:t>
            </w:r>
            <w:r w:rsidR="00261BAD">
              <w:rPr>
                <w:rFonts w:eastAsia="Calibri"/>
                <w:bCs/>
                <w:lang w:eastAsia="en-US"/>
              </w:rPr>
              <w:t>.</w:t>
            </w:r>
          </w:p>
        </w:tc>
        <w:tc>
          <w:tcPr>
            <w:tcW w:w="2980" w:type="dxa"/>
          </w:tcPr>
          <w:p w:rsidRPr="00261BAD" w:rsidR="00261BAD" w:rsidP="00261BAD" w:rsidRDefault="00261BAD" w14:paraId="796F631F" w14:textId="3C24EF43">
            <w:pPr>
              <w:jc w:val="both"/>
              <w:rPr>
                <w:iCs/>
                <w:color w:val="000000"/>
              </w:rPr>
            </w:pPr>
            <w:r w:rsidRPr="00261BAD">
              <w:rPr>
                <w:iCs/>
                <w:color w:val="000000"/>
              </w:rPr>
              <w:t xml:space="preserve">Zemesgrāmatas ierakstos par īpašniekam piederošo nekustamo īpašumu ir izdarītas atzīmes par piedziņas vēršanu Valsts ieņēmumu dienesta un Rīgas pilsētas pašvaldības labā.   </w:t>
            </w:r>
          </w:p>
          <w:p w:rsidRPr="00261BAD" w:rsidR="00261BAD" w:rsidP="00261BAD" w:rsidRDefault="00261BAD" w14:paraId="413A9738" w14:textId="77777777">
            <w:pPr>
              <w:jc w:val="both"/>
              <w:rPr>
                <w:iCs/>
                <w:color w:val="000000"/>
              </w:rPr>
            </w:pPr>
            <w:r w:rsidRPr="00261BAD">
              <w:rPr>
                <w:iCs/>
                <w:color w:val="000000"/>
              </w:rPr>
              <w:t xml:space="preserve">  Piedziņas procesa īstenotāji zvērināti tiesu izpildītāji ir rakstiski informēti par nekustamā īpašuma atsavināšanas procesa uzsākšanu. </w:t>
            </w:r>
          </w:p>
          <w:p w:rsidRPr="00261BAD" w:rsidR="00261BAD" w:rsidP="00261BAD" w:rsidRDefault="00261BAD" w14:paraId="7FC81C07" w14:textId="77777777">
            <w:pPr>
              <w:jc w:val="both"/>
              <w:rPr>
                <w:iCs/>
                <w:color w:val="000000"/>
              </w:rPr>
            </w:pPr>
            <w:r w:rsidRPr="00261BAD">
              <w:rPr>
                <w:iCs/>
                <w:color w:val="000000"/>
              </w:rPr>
              <w:t xml:space="preserve">  Saskaņā ar Civilprocesa likuma 600.panta otro daļu piedziņas atzīme  zemesgrāmatā satur nekustamā īpašuma atsavināšanas aizliegumu. </w:t>
            </w:r>
          </w:p>
          <w:p w:rsidRPr="00261BAD" w:rsidR="00261BAD" w:rsidP="00261BAD" w:rsidRDefault="00261BAD" w14:paraId="3AE82CD5" w14:textId="77777777">
            <w:pPr>
              <w:jc w:val="both"/>
              <w:rPr>
                <w:iCs/>
                <w:color w:val="000000"/>
              </w:rPr>
            </w:pPr>
            <w:r w:rsidRPr="00261BAD">
              <w:rPr>
                <w:iCs/>
                <w:color w:val="000000"/>
              </w:rPr>
              <w:t xml:space="preserve">  Līdz ar to atzīstams, ka piedziņas atzīme ir dzēšama </w:t>
            </w:r>
            <w:r w:rsidRPr="00261BAD">
              <w:rPr>
                <w:iCs/>
                <w:color w:val="000000"/>
              </w:rPr>
              <w:lastRenderedPageBreak/>
              <w:t>līdz līguma par nekustamā īpašuma labprātīgu atsavināšanu parakstīšanai paredzētajam termiņam, citādi nekustamais īpašums ir atsavināms piespiedu kārtā uz atsevišķa likuma pamata.</w:t>
            </w:r>
          </w:p>
          <w:p w:rsidRPr="00261BAD" w:rsidR="00261BAD" w:rsidP="00261BAD" w:rsidRDefault="00261BAD" w14:paraId="780CBD9E" w14:textId="77777777">
            <w:pPr>
              <w:jc w:val="both"/>
              <w:rPr>
                <w:iCs/>
                <w:color w:val="000000"/>
              </w:rPr>
            </w:pPr>
            <w:r w:rsidRPr="00261BAD">
              <w:rPr>
                <w:iCs/>
                <w:color w:val="000000"/>
              </w:rPr>
              <w:t xml:space="preserve">  Ņemot vērā šo tiesisko regulējumu, Likuma 11. panta pirmajā daļā minētajā paziņojumā par iespēju noslēgt līgumu par nekustamā īpašuma labprātīgu atsavināšanu īpašniekam tiks lūgts veikt darbības, lai līdz līguma par nekustamā īpašuma labprātīgu atsavināšanu parakstīšanai paredzētajam termiņam piedziņas atzīme zemesgrāmatā tiktu dzēsta.   Ja līdz noteiktajam termiņam piedziņas atzīme netiks dzēsta, nekustamais īpašums ir atsavināms piespiedu kārtā uz atsevišķa likuma pamata.   </w:t>
            </w:r>
          </w:p>
          <w:p w:rsidRPr="00EC74F1" w:rsidR="00EC74F1" w:rsidP="00261BAD" w:rsidRDefault="00261BAD" w14:paraId="24AFB0B4" w14:textId="289BE682">
            <w:pPr>
              <w:jc w:val="both"/>
              <w:rPr>
                <w:iCs/>
                <w:color w:val="000000"/>
              </w:rPr>
            </w:pPr>
            <w:r w:rsidRPr="00261BAD">
              <w:rPr>
                <w:iCs/>
                <w:color w:val="000000"/>
              </w:rPr>
              <w:t xml:space="preserve">Nekustamais īpašums var pāriet valsts īpašumā brīvs no visiem apgrūtinājumiem un nastām, kuras nekustamajam īpašumam bija uzliktas saistību </w:t>
            </w:r>
            <w:r w:rsidRPr="00261BAD">
              <w:rPr>
                <w:iCs/>
                <w:color w:val="000000"/>
              </w:rPr>
              <w:lastRenderedPageBreak/>
              <w:t>rezultātā (</w:t>
            </w:r>
            <w:r>
              <w:rPr>
                <w:iCs/>
                <w:color w:val="000000"/>
              </w:rPr>
              <w:t>tostarp</w:t>
            </w:r>
            <w:r w:rsidRPr="00261BAD">
              <w:rPr>
                <w:iCs/>
                <w:color w:val="000000"/>
              </w:rPr>
              <w:t xml:space="preserve">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 tikai gadījumā, ja nekustamais īpašums tiek atsavināts uz likuma pamata atbilstoši Likuma 16.panta pirmajai daļai.</w:t>
            </w:r>
          </w:p>
        </w:tc>
      </w:tr>
      <w:tr w:rsidR="00385EC6" w:rsidTr="0091003F" w14:paraId="380CD09A" w14:textId="77777777">
        <w:tc>
          <w:tcPr>
            <w:tcW w:w="675" w:type="dxa"/>
          </w:tcPr>
          <w:p w:rsidR="00385EC6" w:rsidP="005D403F" w:rsidRDefault="00313F64" w14:paraId="69365FE0" w14:textId="7FF9BBEF">
            <w:pPr>
              <w:pStyle w:val="naisf"/>
              <w:spacing w:before="0" w:after="0"/>
              <w:ind w:firstLine="0"/>
              <w:jc w:val="center"/>
            </w:pPr>
            <w:r>
              <w:lastRenderedPageBreak/>
              <w:t>2</w:t>
            </w:r>
            <w:r w:rsidR="00B67C4E">
              <w:t>.</w:t>
            </w:r>
          </w:p>
        </w:tc>
        <w:tc>
          <w:tcPr>
            <w:tcW w:w="3119" w:type="dxa"/>
          </w:tcPr>
          <w:p w:rsidR="00385EC6" w:rsidP="004021B9" w:rsidRDefault="008B43A4" w14:paraId="6608F302" w14:textId="570FF9AB">
            <w:pPr>
              <w:jc w:val="both"/>
              <w:rPr>
                <w:szCs w:val="28"/>
              </w:rPr>
            </w:pPr>
            <w:r w:rsidRPr="008B43A4">
              <w:rPr>
                <w:szCs w:val="28"/>
              </w:rPr>
              <w:t>Rīkojuma projekta anotācijas I sadaļas 2. punkts.</w:t>
            </w:r>
          </w:p>
        </w:tc>
        <w:tc>
          <w:tcPr>
            <w:tcW w:w="4678" w:type="dxa"/>
          </w:tcPr>
          <w:p w:rsidRPr="00B67C4E" w:rsidR="00385EC6" w:rsidP="00385EC6" w:rsidRDefault="00B67C4E" w14:paraId="005F7D61" w14:textId="2E31DD21">
            <w:pPr>
              <w:jc w:val="both"/>
              <w:rPr>
                <w:lang w:eastAsia="en-US"/>
              </w:rPr>
            </w:pPr>
            <w:r w:rsidRPr="00B67C4E">
              <w:rPr>
                <w:lang w:eastAsia="en-US"/>
              </w:rPr>
              <w:t xml:space="preserve">2. Anotācijā ir norādīts, ka Satiksmes ministrija ir saņēmusi zvērināta tiesu izpildītāja rīkojumu par piedzinējam pienākošos līdzekļu apķīlāšanu. Civilprocesa likuma 599. pantā noteikts - ja piedziņu vērš uz naudas līdzekļiem, kas pienākas no citām personām, tiesu izpildītājs nosūta šīm personām pieprasījumu, un vienlaikus ar pieprasījumu tiesu izpildītājs paziņo, ka naudas līdzekļi tiek apķīlāti piedziņas summas </w:t>
            </w:r>
            <w:r w:rsidRPr="00B67C4E">
              <w:rPr>
                <w:lang w:eastAsia="en-US"/>
              </w:rPr>
              <w:lastRenderedPageBreak/>
              <w:t>un sprieduma izpildes izdevumu apmērā un ka līdz pilnīgai piedzenamās summas un sprieduma izpildes izdevumu dzēšanai šīm personām naudas līdzekļi jāieskaita tiesu izpildītāja depozīta kontā. Ņemot vērā to, ka konkrētajā gadījumā Civilprocesa likuma regulējums saistībā ar naudas līdzekļu apķīlāšanu piedziņas procesa ietvaros ir jāskata kopsakarā ar Atsavināšanas likuma regulējumu, lūdzam skaidrot Satiksmes ministrijas plānoto rīcību konkrētajā gadījumā, kā arī attiecīgi papildināt anotāciju.</w:t>
            </w:r>
          </w:p>
        </w:tc>
        <w:tc>
          <w:tcPr>
            <w:tcW w:w="2722" w:type="dxa"/>
          </w:tcPr>
          <w:p w:rsidRPr="00C56DAD" w:rsidR="006C4AF1" w:rsidP="00FE5C77" w:rsidRDefault="00C56DAD" w14:paraId="6A59AA0F" w14:textId="0EAAF2DC">
            <w:pPr>
              <w:pStyle w:val="naisf"/>
              <w:spacing w:before="0" w:after="0"/>
              <w:ind w:firstLine="0"/>
              <w:rPr>
                <w:rFonts w:eastAsia="Calibri"/>
                <w:b/>
                <w:lang w:eastAsia="en-US"/>
              </w:rPr>
            </w:pPr>
            <w:r w:rsidRPr="00C56DAD">
              <w:rPr>
                <w:rFonts w:eastAsia="Calibri"/>
                <w:b/>
                <w:lang w:eastAsia="en-US"/>
              </w:rPr>
              <w:lastRenderedPageBreak/>
              <w:t xml:space="preserve">Iebildums ir ņemts vērā. </w:t>
            </w:r>
            <w:r w:rsidRPr="008B43A4">
              <w:rPr>
                <w:rFonts w:eastAsia="Calibri"/>
                <w:bCs/>
                <w:lang w:eastAsia="en-US"/>
              </w:rPr>
              <w:t>Attiecīgi papildināt</w:t>
            </w:r>
            <w:r w:rsidR="008B43A4">
              <w:rPr>
                <w:rFonts w:eastAsia="Calibri"/>
                <w:bCs/>
                <w:lang w:eastAsia="en-US"/>
              </w:rPr>
              <w:t>s rīkojuma projekta</w:t>
            </w:r>
            <w:r w:rsidRPr="008B43A4">
              <w:rPr>
                <w:rFonts w:eastAsia="Calibri"/>
                <w:bCs/>
                <w:lang w:eastAsia="en-US"/>
              </w:rPr>
              <w:t xml:space="preserve"> anotācija</w:t>
            </w:r>
            <w:r w:rsidR="008B43A4">
              <w:rPr>
                <w:rFonts w:eastAsia="Calibri"/>
                <w:bCs/>
                <w:lang w:eastAsia="en-US"/>
              </w:rPr>
              <w:t>s I sadaļas 2.punkts</w:t>
            </w:r>
            <w:r w:rsidRPr="008B43A4">
              <w:rPr>
                <w:rFonts w:eastAsia="Calibri"/>
                <w:bCs/>
                <w:lang w:eastAsia="en-US"/>
              </w:rPr>
              <w:t>.</w:t>
            </w:r>
          </w:p>
        </w:tc>
        <w:tc>
          <w:tcPr>
            <w:tcW w:w="2980" w:type="dxa"/>
          </w:tcPr>
          <w:p w:rsidRPr="008B43A4" w:rsidR="000321DD" w:rsidP="000321DD" w:rsidRDefault="00C56DAD" w14:paraId="2C827886" w14:textId="77777777">
            <w:pPr>
              <w:jc w:val="both"/>
              <w:rPr>
                <w:iCs/>
                <w:color w:val="000000"/>
              </w:rPr>
            </w:pPr>
            <w:r w:rsidRPr="00C56DAD">
              <w:rPr>
                <w:iCs/>
                <w:color w:val="000000"/>
              </w:rPr>
              <w:t xml:space="preserve">  </w:t>
            </w:r>
            <w:r w:rsidRPr="00C56DAD">
              <w:rPr>
                <w:b/>
                <w:bCs/>
                <w:iCs/>
                <w:color w:val="000000"/>
              </w:rPr>
              <w:t xml:space="preserve">  </w:t>
            </w:r>
            <w:r w:rsidRPr="000321DD" w:rsidR="000321DD">
              <w:rPr>
                <w:b/>
                <w:bCs/>
                <w:iCs/>
                <w:color w:val="000000"/>
              </w:rPr>
              <w:t xml:space="preserve">  </w:t>
            </w:r>
            <w:r w:rsidRPr="008B43A4" w:rsidR="000321DD">
              <w:rPr>
                <w:iCs/>
                <w:color w:val="000000"/>
              </w:rPr>
              <w:t xml:space="preserve">Saskaņā ar Civilprocesa likuma 599.pantu institūcija ir saņēmusi zvērināta tiesu izpildītāja rīkojumu par piedzinējam pienākošos līdzekļu apķīlāšanu. </w:t>
            </w:r>
          </w:p>
          <w:p w:rsidRPr="00B57532" w:rsidR="009E3E80" w:rsidP="00E8355F" w:rsidRDefault="000321DD" w14:paraId="0CDDE7A8" w14:textId="762376B1">
            <w:pPr>
              <w:jc w:val="both"/>
              <w:rPr>
                <w:b/>
                <w:bCs/>
                <w:iCs/>
                <w:color w:val="000000"/>
              </w:rPr>
            </w:pPr>
            <w:r w:rsidRPr="008B43A4">
              <w:rPr>
                <w:iCs/>
                <w:color w:val="000000"/>
              </w:rPr>
              <w:t xml:space="preserve">    </w:t>
            </w:r>
            <w:r w:rsidRPr="008B43A4" w:rsidR="00E8355F">
              <w:rPr>
                <w:iCs/>
                <w:color w:val="000000"/>
              </w:rPr>
              <w:t xml:space="preserve">Atsavinot nekustamo īpašumu uz likuma pamata, </w:t>
            </w:r>
            <w:r w:rsidRPr="008B43A4" w:rsidR="00A20F86">
              <w:rPr>
                <w:iCs/>
                <w:color w:val="000000"/>
              </w:rPr>
              <w:t xml:space="preserve">institūcija nodrošinās šāda </w:t>
            </w:r>
            <w:r w:rsidRPr="008B43A4" w:rsidR="00E8355F">
              <w:rPr>
                <w:iCs/>
                <w:color w:val="000000"/>
              </w:rPr>
              <w:t>rīkojuma izpild</w:t>
            </w:r>
            <w:r w:rsidRPr="008B43A4" w:rsidR="00A20F86">
              <w:rPr>
                <w:iCs/>
                <w:color w:val="000000"/>
              </w:rPr>
              <w:t xml:space="preserve">i, sazinoties </w:t>
            </w:r>
            <w:r w:rsidRPr="008B43A4" w:rsidR="00A20F86">
              <w:rPr>
                <w:iCs/>
                <w:color w:val="000000"/>
              </w:rPr>
              <w:lastRenderedPageBreak/>
              <w:t>ar zvērinātu tiesu izpildītāju par izpildes kārtību.</w:t>
            </w:r>
            <w:r w:rsidR="00A20F86">
              <w:rPr>
                <w:b/>
                <w:bCs/>
                <w:iCs/>
                <w:color w:val="000000"/>
              </w:rPr>
              <w:t xml:space="preserve">  </w:t>
            </w:r>
          </w:p>
        </w:tc>
      </w:tr>
      <w:tr w:rsidR="005F3CFA" w:rsidTr="0091003F" w14:paraId="1830B944" w14:textId="77777777">
        <w:tc>
          <w:tcPr>
            <w:tcW w:w="675" w:type="dxa"/>
          </w:tcPr>
          <w:p w:rsidR="005F3CFA" w:rsidP="005D403F" w:rsidRDefault="00313F64" w14:paraId="18E197E6" w14:textId="1BC44957">
            <w:pPr>
              <w:pStyle w:val="naisf"/>
              <w:spacing w:before="0" w:after="0"/>
              <w:ind w:firstLine="0"/>
              <w:jc w:val="center"/>
            </w:pPr>
            <w:r>
              <w:lastRenderedPageBreak/>
              <w:t>3</w:t>
            </w:r>
            <w:r w:rsidR="00C56DAD">
              <w:t>.</w:t>
            </w:r>
          </w:p>
        </w:tc>
        <w:tc>
          <w:tcPr>
            <w:tcW w:w="3119" w:type="dxa"/>
          </w:tcPr>
          <w:p w:rsidR="005F3CFA" w:rsidP="004021B9" w:rsidRDefault="005F3CFA" w14:paraId="218D1851" w14:textId="77777777">
            <w:pPr>
              <w:jc w:val="both"/>
              <w:rPr>
                <w:szCs w:val="28"/>
              </w:rPr>
            </w:pPr>
          </w:p>
        </w:tc>
        <w:tc>
          <w:tcPr>
            <w:tcW w:w="4678" w:type="dxa"/>
          </w:tcPr>
          <w:p w:rsidR="00C56DAD" w:rsidP="00C56DAD" w:rsidRDefault="00C56DAD" w14:paraId="691E6234" w14:textId="309C8AD7">
            <w:pPr>
              <w:jc w:val="both"/>
              <w:rPr>
                <w:lang w:eastAsia="en-US"/>
              </w:rPr>
            </w:pPr>
            <w:r>
              <w:rPr>
                <w:lang w:eastAsia="en-US"/>
              </w:rPr>
              <w:t xml:space="preserve">3. No rīkojuma projektam pievienotajiem paskaidrojošajiem dokumentiem redzams, ka Nekustamā īpašuma īpašniekam 2018. gada 19. aprīlī nosūtīts paziņojums par viņam piederošā nekustamā īpašuma daļas 0.0997 ha platībā atsavināšanas nepieciešamību sabiedrības vajadzību nodrošināšanai. Pienākums institūcijai nosūtīt atsavināmā nekustamā īpašuma īpašniekam šādu paziņojumu noteikts Atsavināšanas likuma 18. panta pirmajā daļā. Šā panta piektajā daļā savukārt ietverts regulējums par situāciju, kad šāds paziņojums nosūtāms atkārtoti, proti, ja atlīdzības noteikšana veicama atkārtoti saistībā ar to, ka Ministru kabinets vai pašvaldība četru mēnešu laikā pēc tam, kad pieņemts lēmums par atlīdzības apmēru, nav pieņēmuši lēmumu ierosināt sabiedrības vajadzību nodrošināšanai nepieciešamā nekustamā īpašuma atsavināšanu par noteikto atlīdzību </w:t>
            </w:r>
            <w:r>
              <w:rPr>
                <w:lang w:eastAsia="en-US"/>
              </w:rPr>
              <w:lastRenderedPageBreak/>
              <w:t xml:space="preserve">(Atsavināšanas likuma 9. panta pirmā un otrā daļa). Konkrētajā gadījumā šādi apstākļi nav konstatējami. 2018. gada 19. decembrī Nekustamā īpašuma īpašniekam nosūtīts atkārtots paziņojums par nepieciešamību atsavināt viņam piederoša nekustama īpašuma daļu sabiedrības vajadzību nodrošināšanai, kurā precizēta atsavināmās daļas platība – 0.1938 ha. Šajā paziņojumā arī norādīts, ka 2018. gada 19. aprīlī nosūtītais paziņojums tiek atcelts un Nekustamā īpašuma atsavināšana tiek ierosināta ar aktuālo paziņojumu. </w:t>
            </w:r>
          </w:p>
          <w:p w:rsidR="00C56DAD" w:rsidP="00C56DAD" w:rsidRDefault="00C56DAD" w14:paraId="4DAA43C0" w14:textId="77777777">
            <w:pPr>
              <w:jc w:val="both"/>
              <w:rPr>
                <w:lang w:eastAsia="en-US"/>
              </w:rPr>
            </w:pPr>
            <w:r>
              <w:rPr>
                <w:lang w:eastAsia="en-US"/>
              </w:rPr>
              <w:t xml:space="preserve">Tieslietu ministrija ieskatā augstāk minētā prakse nav atbilstoša Atsavināšanas likuma regulējumam, jo tajā nav paredzēti citi gadījumi, kad nosūtāms atkārtots paziņojums par atsavināšanas uzsākšanu, kā vienīgi Atsavināšanas likuma 18. panta piektajā daļā minētais. Turklāt nav īsti skaidras šāda paziņojuma praktiskās un juridiskās sekas, un ir apšaubāms, vai informēšana par atsavināšanas uzsākšanu var pēc būtības tikt atcelta. Vēl būtiski ņemt vērā, ka šādu atkārtotu paziņojumu esamība apgrūtina Atsavināšanas likuma 19. panta otrās daļas piemērošanu. Atsavināšanas likuma 19. panta otrajā daļā noteikts, ja, veicot projektēšanas darbus saskaņā ar šā likuma 8. panta otrās daļas 2. punktu, institūcijas veikto darbību dēļ mainījusies nekustamā īpašuma vērtība, tad, novērtējot nekustamo īpašumu, ņem vērā informāciju, kas raksturoja šo īpašumu dienā, </w:t>
            </w:r>
            <w:r>
              <w:rPr>
                <w:lang w:eastAsia="en-US"/>
              </w:rPr>
              <w:lastRenderedPageBreak/>
              <w:t>kad tika nosūtīts šā likuma 18. pantā minētais paziņojums. Turklāt ne tikai institūcija, bet arī nekustamā īpašuma īpašnieks var būt veicis kādas nekustamā īpašuma vērtību ietekmējošas darbības jau pēc pirmā paziņojuma saņemšanas, līdz ar to nav skaidrs, kurš no abiem paziņojumiem būtu jāņem vērā nekustamā īpašuma vērtētājam.</w:t>
            </w:r>
          </w:p>
          <w:p w:rsidRPr="005F3CFA" w:rsidR="005F3CFA" w:rsidP="00C56DAD" w:rsidRDefault="00C56DAD" w14:paraId="3CEA9306" w14:textId="3DEAF4EC">
            <w:pPr>
              <w:jc w:val="both"/>
              <w:rPr>
                <w:lang w:eastAsia="en-US"/>
              </w:rPr>
            </w:pPr>
            <w:r>
              <w:rPr>
                <w:lang w:eastAsia="en-US"/>
              </w:rPr>
              <w:t>Tieslietu ministrijas ieskatā, ja pēc tam, kad nekustamā īpašuma īpašniekam nosūtīts paziņojums par viņam piederoša nekustama īpašuma daļas atsavināšanas nepieciešamību, tiek secināts, ka ats</w:t>
            </w:r>
            <w:r w:rsidR="000321DD">
              <w:rPr>
                <w:lang w:eastAsia="en-US"/>
              </w:rPr>
              <w:t>avi</w:t>
            </w:r>
            <w:r>
              <w:rPr>
                <w:lang w:eastAsia="en-US"/>
              </w:rPr>
              <w:t>nāt nepieciešams lielāku daļu nekā sākotnēji norādīts, tad ir iespējams nosūtīt nekustamā īpašuma īpašniekam informatīvu vēstuli ar precizējumiem, norādot jauno platību un pievienojot grafisko materiālu, kurā atainotas izmaiņas.</w:t>
            </w:r>
          </w:p>
        </w:tc>
        <w:tc>
          <w:tcPr>
            <w:tcW w:w="2722" w:type="dxa"/>
          </w:tcPr>
          <w:p w:rsidR="005F3CFA" w:rsidP="002D3C34" w:rsidRDefault="00C56DAD" w14:paraId="58C47C7E" w14:textId="04E8D21B">
            <w:pPr>
              <w:pStyle w:val="naisf"/>
              <w:spacing w:before="0" w:after="0"/>
              <w:ind w:firstLine="0"/>
              <w:rPr>
                <w:rFonts w:eastAsia="Calibri"/>
                <w:b/>
                <w:lang w:eastAsia="en-US"/>
              </w:rPr>
            </w:pPr>
            <w:r w:rsidRPr="00C56DAD">
              <w:rPr>
                <w:rFonts w:eastAsia="Calibri"/>
                <w:b/>
                <w:lang w:eastAsia="en-US"/>
              </w:rPr>
              <w:lastRenderedPageBreak/>
              <w:t>Iebildums ir ņemts vērā.</w:t>
            </w:r>
          </w:p>
          <w:p w:rsidRPr="005F3CFA" w:rsidR="00C56DAD" w:rsidP="00C56DAD" w:rsidRDefault="00C56DAD" w14:paraId="0E171E7B" w14:textId="65394D36">
            <w:pPr>
              <w:pStyle w:val="naisf"/>
              <w:spacing w:before="0" w:after="0"/>
              <w:ind w:firstLine="0"/>
              <w:rPr>
                <w:rFonts w:eastAsia="Calibri"/>
                <w:bCs/>
                <w:lang w:eastAsia="en-US"/>
              </w:rPr>
            </w:pPr>
            <w:r>
              <w:rPr>
                <w:rFonts w:eastAsia="Calibri"/>
                <w:bCs/>
                <w:lang w:eastAsia="en-US"/>
              </w:rPr>
              <w:t xml:space="preserve">Satiksmes ministrija pilnībā piekrīt </w:t>
            </w:r>
            <w:r w:rsidR="002B2BD5">
              <w:rPr>
                <w:rFonts w:eastAsia="Calibri"/>
                <w:bCs/>
                <w:lang w:eastAsia="en-US"/>
              </w:rPr>
              <w:t>Tieslietu</w:t>
            </w:r>
            <w:r>
              <w:rPr>
                <w:rFonts w:eastAsia="Calibri"/>
                <w:bCs/>
                <w:lang w:eastAsia="en-US"/>
              </w:rPr>
              <w:t xml:space="preserve"> ministrijas skaidrojumam. </w:t>
            </w:r>
            <w:r w:rsidR="00F54A5F">
              <w:rPr>
                <w:rFonts w:eastAsia="Calibri"/>
                <w:bCs/>
                <w:lang w:eastAsia="en-US"/>
              </w:rPr>
              <w:t xml:space="preserve">Attiecīgi atsavināšanas procesuālai gaitai </w:t>
            </w:r>
            <w:r w:rsidR="005503B3">
              <w:rPr>
                <w:rFonts w:eastAsia="Calibri"/>
                <w:bCs/>
                <w:lang w:eastAsia="en-US"/>
              </w:rPr>
              <w:t xml:space="preserve">informācija par atsavināmo nekustamo īpašumu ir apkopota pēc apstākļiem, kas </w:t>
            </w:r>
            <w:r w:rsidR="005A09B3">
              <w:rPr>
                <w:rFonts w:eastAsia="Calibri"/>
                <w:bCs/>
                <w:lang w:eastAsia="en-US"/>
              </w:rPr>
              <w:t xml:space="preserve">to </w:t>
            </w:r>
            <w:r w:rsidR="005503B3">
              <w:rPr>
                <w:rFonts w:eastAsia="Calibri"/>
                <w:bCs/>
                <w:lang w:eastAsia="en-US"/>
              </w:rPr>
              <w:t>raksturoja</w:t>
            </w:r>
            <w:r w:rsidR="005A09B3">
              <w:rPr>
                <w:rFonts w:eastAsia="Calibri"/>
                <w:bCs/>
                <w:lang w:eastAsia="en-US"/>
              </w:rPr>
              <w:t xml:space="preserve"> sākotnējā</w:t>
            </w:r>
            <w:r w:rsidR="005503B3">
              <w:rPr>
                <w:rFonts w:eastAsia="Calibri"/>
                <w:bCs/>
                <w:lang w:eastAsia="en-US"/>
              </w:rPr>
              <w:t xml:space="preserve"> paziņojuma nosūtīšanas </w:t>
            </w:r>
            <w:r w:rsidR="005A09B3">
              <w:rPr>
                <w:rFonts w:eastAsia="Calibri"/>
                <w:bCs/>
                <w:lang w:eastAsia="en-US"/>
              </w:rPr>
              <w:t>brīdī</w:t>
            </w:r>
            <w:r w:rsidR="005503B3">
              <w:rPr>
                <w:rFonts w:eastAsia="Calibri"/>
                <w:bCs/>
                <w:lang w:eastAsia="en-US"/>
              </w:rPr>
              <w:t>.</w:t>
            </w:r>
          </w:p>
        </w:tc>
        <w:tc>
          <w:tcPr>
            <w:tcW w:w="2980" w:type="dxa"/>
          </w:tcPr>
          <w:p w:rsidR="005F3CFA" w:rsidP="007F0A92" w:rsidRDefault="005F3CFA" w14:paraId="27F90B3C" w14:textId="77777777">
            <w:pPr>
              <w:jc w:val="both"/>
              <w:rPr>
                <w:iCs/>
                <w:color w:val="000000"/>
              </w:rPr>
            </w:pPr>
          </w:p>
        </w:tc>
      </w:tr>
      <w:tr w:rsidR="00481D67" w:rsidTr="0091003F" w14:paraId="532B61BA" w14:textId="77777777">
        <w:tc>
          <w:tcPr>
            <w:tcW w:w="675" w:type="dxa"/>
          </w:tcPr>
          <w:p w:rsidR="00481D67" w:rsidP="005D403F" w:rsidRDefault="00313F64" w14:paraId="6EEC1BC8" w14:textId="77E39E79">
            <w:pPr>
              <w:pStyle w:val="naisf"/>
              <w:spacing w:before="0" w:after="0"/>
              <w:ind w:firstLine="0"/>
              <w:jc w:val="center"/>
            </w:pPr>
            <w:r>
              <w:lastRenderedPageBreak/>
              <w:t>4</w:t>
            </w:r>
            <w:r w:rsidR="00481D67">
              <w:t>.</w:t>
            </w:r>
          </w:p>
        </w:tc>
        <w:tc>
          <w:tcPr>
            <w:tcW w:w="3119" w:type="dxa"/>
          </w:tcPr>
          <w:p w:rsidR="00481D67" w:rsidP="004021B9" w:rsidRDefault="009E64EB" w14:paraId="72F2ACF5" w14:textId="105D36A7">
            <w:pPr>
              <w:jc w:val="both"/>
              <w:rPr>
                <w:szCs w:val="28"/>
              </w:rPr>
            </w:pPr>
            <w:r>
              <w:rPr>
                <w:szCs w:val="28"/>
              </w:rPr>
              <w:t>R</w:t>
            </w:r>
            <w:r w:rsidRPr="009E64EB">
              <w:rPr>
                <w:szCs w:val="28"/>
              </w:rPr>
              <w:t>īkojuma projekta anotācijas I sadaļas 2.punkts.</w:t>
            </w:r>
          </w:p>
        </w:tc>
        <w:tc>
          <w:tcPr>
            <w:tcW w:w="4678" w:type="dxa"/>
          </w:tcPr>
          <w:p w:rsidRPr="00481D67" w:rsidR="00481D67" w:rsidP="00C56DAD" w:rsidRDefault="00481D67" w14:paraId="62E22305" w14:textId="51D9CCF5">
            <w:pPr>
              <w:jc w:val="both"/>
              <w:rPr>
                <w:lang w:eastAsia="en-US"/>
              </w:rPr>
            </w:pPr>
            <w:r w:rsidRPr="00481D67">
              <w:rPr>
                <w:lang w:eastAsia="en-US"/>
              </w:rPr>
              <w:t>4. No rīkojuma projekta paskaidrojošiem materiāliem redzams, ka Nekustamajā īpašumā aug arī koki. Anotācijā nav informācijas par to, vai šie koki (atkarībā no to daudzuma un kvalitātes) nevarētu būt pamats zaudējumu atlīdzībai. Lūdzam papildināt anotāciju ar informāciju, vai ir izvērtēts jautājums par zaudējumu atlīdzināšanas nepieciešamību sakarā ar kokiem, kas aug Nekustamajā īpašumā.</w:t>
            </w:r>
          </w:p>
        </w:tc>
        <w:tc>
          <w:tcPr>
            <w:tcW w:w="2722" w:type="dxa"/>
          </w:tcPr>
          <w:p w:rsidR="00481D67" w:rsidP="002D3C34" w:rsidRDefault="00481D67" w14:paraId="41BF3B79" w14:textId="77777777">
            <w:pPr>
              <w:pStyle w:val="naisf"/>
              <w:spacing w:before="0" w:after="0"/>
              <w:ind w:firstLine="0"/>
              <w:rPr>
                <w:rFonts w:eastAsia="Calibri"/>
                <w:b/>
                <w:lang w:eastAsia="en-US"/>
              </w:rPr>
            </w:pPr>
            <w:r>
              <w:rPr>
                <w:rFonts w:eastAsia="Calibri"/>
                <w:b/>
                <w:lang w:eastAsia="en-US"/>
              </w:rPr>
              <w:t>Iebildums ir ņemts vērā.</w:t>
            </w:r>
          </w:p>
          <w:p w:rsidRPr="00A02737" w:rsidR="000321DD" w:rsidP="002D3C34" w:rsidRDefault="00A02737" w14:paraId="186665F0" w14:textId="04615AE8">
            <w:pPr>
              <w:pStyle w:val="naisf"/>
              <w:spacing w:before="0" w:after="0"/>
              <w:ind w:firstLine="0"/>
              <w:rPr>
                <w:rFonts w:eastAsia="Calibri"/>
                <w:bCs/>
                <w:lang w:eastAsia="en-US"/>
              </w:rPr>
            </w:pPr>
            <w:r w:rsidRPr="00A02737">
              <w:rPr>
                <w:rFonts w:eastAsia="Calibri"/>
                <w:bCs/>
                <w:lang w:eastAsia="en-US"/>
              </w:rPr>
              <w:t>Attiecīgi papildināts rīkojuma projekta anotācijas I sadaļas 2.punkts.</w:t>
            </w:r>
          </w:p>
        </w:tc>
        <w:tc>
          <w:tcPr>
            <w:tcW w:w="2980" w:type="dxa"/>
          </w:tcPr>
          <w:p w:rsidRPr="00A02737" w:rsidR="000321DD" w:rsidP="007F0A92" w:rsidRDefault="000321DD" w14:paraId="2B6169FA" w14:textId="2A28834F">
            <w:pPr>
              <w:jc w:val="both"/>
              <w:rPr>
                <w:iCs/>
                <w:color w:val="000000"/>
              </w:rPr>
            </w:pPr>
            <w:r w:rsidRPr="00A02737">
              <w:rPr>
                <w:iCs/>
                <w:color w:val="000000"/>
              </w:rPr>
              <w:t xml:space="preserve">Nekustamais īpašums tā atsavināmā daļā ir neapbūvēts zemesgabals, kas aizaudzis ar krūmājiem. Saskaņā ar Kadastra informācijas sistēmas teksta datiem zemesgabala platība, kas pēc lietošanas veida atbilstu krūmāju platībai – nav fiksēta.  Augošs koks ir konstatēts ārpus zemesgabala robežas. Zemesgabala vērtības noteikšanai un tirgus pieejas </w:t>
            </w:r>
            <w:r w:rsidRPr="00A02737">
              <w:rPr>
                <w:iCs/>
                <w:color w:val="000000"/>
              </w:rPr>
              <w:lastRenderedPageBreak/>
              <w:t>netiešās metodes piemērošanai sertificēts vērtētājs salīdzināšanai ir vērtējis pēc apraksta līdzvērtīgus zemesgabalus, par kuriem minēts, ka uz tiem esošie krūmāji ir izzāģēti zemesgabala izlīdzināšanai. Tādējādi konstatējams, ka krūmāji nepalielina zemesgabala vērtību un to atsevišķa novērtēšana nav nepieciešama.</w:t>
            </w:r>
          </w:p>
        </w:tc>
      </w:tr>
      <w:tr w:rsidR="00A02737" w:rsidTr="0091003F" w14:paraId="17F2A22E" w14:textId="77777777">
        <w:tc>
          <w:tcPr>
            <w:tcW w:w="675" w:type="dxa"/>
          </w:tcPr>
          <w:p w:rsidR="00A02737" w:rsidP="00A02737" w:rsidRDefault="00A02737" w14:paraId="52A7E655" w14:textId="75F0668F">
            <w:pPr>
              <w:pStyle w:val="naisf"/>
              <w:spacing w:before="0" w:after="0"/>
              <w:ind w:firstLine="0"/>
              <w:jc w:val="center"/>
            </w:pPr>
            <w:r>
              <w:lastRenderedPageBreak/>
              <w:t>5.</w:t>
            </w:r>
          </w:p>
        </w:tc>
        <w:tc>
          <w:tcPr>
            <w:tcW w:w="3119" w:type="dxa"/>
          </w:tcPr>
          <w:p w:rsidR="00A02737" w:rsidP="00A02737" w:rsidRDefault="00A02737" w14:paraId="0E3C2492" w14:textId="099B4C05">
            <w:pPr>
              <w:jc w:val="both"/>
              <w:rPr>
                <w:szCs w:val="28"/>
              </w:rPr>
            </w:pPr>
            <w:r w:rsidRPr="00A02737">
              <w:rPr>
                <w:szCs w:val="28"/>
              </w:rPr>
              <w:t>Rīkojuma projekta anotācijas I sadaļas 2. punkts.</w:t>
            </w:r>
          </w:p>
        </w:tc>
        <w:tc>
          <w:tcPr>
            <w:tcW w:w="4678" w:type="dxa"/>
          </w:tcPr>
          <w:p w:rsidRPr="00481D67" w:rsidR="00A02737" w:rsidP="00A02737" w:rsidRDefault="00A02737" w14:paraId="3453B8C6" w14:textId="71AD4023">
            <w:pPr>
              <w:jc w:val="both"/>
              <w:rPr>
                <w:lang w:eastAsia="en-US"/>
              </w:rPr>
            </w:pPr>
            <w:r w:rsidRPr="00481D67">
              <w:rPr>
                <w:lang w:eastAsia="en-US"/>
              </w:rPr>
              <w:t>Anotācijas 2. lpp. norādīts, ka Satiksmes ministrija ar 2020. gada 27. marta lēmumu Nr.3-14/1121 apstiprināja taisnīgas atlīdzības apmēru par Nekustamā īpašuma atsavināšanu, nosakot to  EUR 23973.06 jeb EUR 12.37. Lūdzam precizēt anotāciju, norādot, ka EUR 12.37 ir 1 m2 tirgus vērtība.</w:t>
            </w:r>
          </w:p>
        </w:tc>
        <w:tc>
          <w:tcPr>
            <w:tcW w:w="2722" w:type="dxa"/>
          </w:tcPr>
          <w:p w:rsidR="00A02737" w:rsidP="00A02737" w:rsidRDefault="00A02737" w14:paraId="1E827E8B" w14:textId="7A629095">
            <w:pPr>
              <w:pStyle w:val="naisf"/>
              <w:spacing w:before="0" w:after="0"/>
              <w:ind w:firstLine="0"/>
              <w:jc w:val="center"/>
              <w:rPr>
                <w:rFonts w:eastAsia="Calibri"/>
                <w:b/>
                <w:lang w:eastAsia="en-US"/>
              </w:rPr>
            </w:pPr>
            <w:r>
              <w:rPr>
                <w:rFonts w:eastAsia="Calibri"/>
                <w:b/>
                <w:lang w:eastAsia="en-US"/>
              </w:rPr>
              <w:t>Priekšlikums ir ņemts vērā.</w:t>
            </w:r>
          </w:p>
          <w:p w:rsidRPr="00A02737" w:rsidR="00A02737" w:rsidP="00A02737" w:rsidRDefault="00A02737" w14:paraId="0AE46591" w14:textId="10ABF5D5">
            <w:pPr>
              <w:pStyle w:val="naisf"/>
              <w:spacing w:before="0" w:after="0"/>
              <w:ind w:firstLine="0"/>
              <w:rPr>
                <w:rFonts w:eastAsia="Calibri"/>
                <w:bCs/>
                <w:lang w:eastAsia="en-US"/>
              </w:rPr>
            </w:pPr>
            <w:r w:rsidRPr="00A02737">
              <w:rPr>
                <w:rFonts w:eastAsia="Calibri"/>
                <w:bCs/>
                <w:lang w:eastAsia="en-US"/>
              </w:rPr>
              <w:t xml:space="preserve">Attiecīgi </w:t>
            </w:r>
            <w:r>
              <w:rPr>
                <w:rFonts w:eastAsia="Calibri"/>
                <w:bCs/>
                <w:lang w:eastAsia="en-US"/>
              </w:rPr>
              <w:t>precizēts</w:t>
            </w:r>
            <w:r w:rsidRPr="00A02737">
              <w:rPr>
                <w:rFonts w:eastAsia="Calibri"/>
                <w:bCs/>
                <w:lang w:eastAsia="en-US"/>
              </w:rPr>
              <w:t xml:space="preserve"> rīkojuma projekta anotācijas I sadaļas 2.punkts.</w:t>
            </w:r>
          </w:p>
        </w:tc>
        <w:tc>
          <w:tcPr>
            <w:tcW w:w="2980" w:type="dxa"/>
          </w:tcPr>
          <w:p w:rsidRPr="00A02737" w:rsidR="00A02737" w:rsidP="00A02737" w:rsidRDefault="00A02737" w14:paraId="771912C9" w14:textId="77777777">
            <w:pPr>
              <w:jc w:val="both"/>
              <w:rPr>
                <w:iCs/>
                <w:color w:val="000000"/>
              </w:rPr>
            </w:pPr>
          </w:p>
        </w:tc>
      </w:tr>
      <w:tr w:rsidR="00A02737" w:rsidTr="0091003F" w14:paraId="48443462" w14:textId="77777777">
        <w:tc>
          <w:tcPr>
            <w:tcW w:w="675" w:type="dxa"/>
          </w:tcPr>
          <w:p w:rsidR="00A02737" w:rsidP="00A02737" w:rsidRDefault="00A53FF0" w14:paraId="1F04F308" w14:textId="7087304F">
            <w:pPr>
              <w:pStyle w:val="naisf"/>
              <w:spacing w:before="0" w:after="0"/>
              <w:ind w:firstLine="0"/>
              <w:jc w:val="center"/>
            </w:pPr>
            <w:r>
              <w:t>6.</w:t>
            </w:r>
          </w:p>
        </w:tc>
        <w:tc>
          <w:tcPr>
            <w:tcW w:w="3119" w:type="dxa"/>
          </w:tcPr>
          <w:p w:rsidR="00A02737" w:rsidP="00A02737" w:rsidRDefault="00A02737" w14:paraId="1BEC4104" w14:textId="77777777">
            <w:pPr>
              <w:jc w:val="both"/>
              <w:rPr>
                <w:szCs w:val="28"/>
              </w:rPr>
            </w:pPr>
          </w:p>
        </w:tc>
        <w:tc>
          <w:tcPr>
            <w:tcW w:w="4678" w:type="dxa"/>
          </w:tcPr>
          <w:p w:rsidR="00A53FF0" w:rsidP="00A53FF0" w:rsidRDefault="00A02737" w14:paraId="3C4D036F" w14:textId="77777777">
            <w:pPr>
              <w:widowControl w:val="0"/>
              <w:jc w:val="center"/>
              <w:rPr>
                <w:b/>
                <w:bCs/>
              </w:rPr>
            </w:pPr>
            <w:r w:rsidRPr="00F63B2E">
              <w:rPr>
                <w:b/>
                <w:bCs/>
              </w:rPr>
              <w:t>Finanšu ministrija</w:t>
            </w:r>
          </w:p>
          <w:p w:rsidR="00A02737" w:rsidP="00A02737" w:rsidRDefault="00A53FF0" w14:paraId="7B9A6A37" w14:textId="1C13DD03">
            <w:pPr>
              <w:widowControl w:val="0"/>
              <w:jc w:val="both"/>
            </w:pPr>
            <w:r>
              <w:t>(</w:t>
            </w:r>
            <w:r w:rsidRPr="00F63B2E" w:rsidR="00A02737">
              <w:t>2020.gada 20.aprīļa atzinums Nr.12/A-7/2081</w:t>
            </w:r>
            <w:r w:rsidR="00A02737">
              <w:t>)</w:t>
            </w:r>
            <w:r w:rsidRPr="00F63B2E" w:rsidR="00A02737">
              <w:t>.</w:t>
            </w:r>
          </w:p>
          <w:p w:rsidRPr="00481D67" w:rsidR="00A02737" w:rsidP="00A02737" w:rsidRDefault="00A02737" w14:paraId="5186F864" w14:textId="6DE9BF48">
            <w:pPr>
              <w:jc w:val="both"/>
              <w:rPr>
                <w:b/>
                <w:bCs/>
                <w:lang w:eastAsia="en-US"/>
              </w:rPr>
            </w:pPr>
            <w:r w:rsidRPr="00F63B2E">
              <w:t xml:space="preserve">Anotācijā ir atspoguļota informācija par zemesgrāmatā nostiprinātajām piedziņas atzīmēm rīkojuma projektā minētajam nekustamajam īpašumam. Skaidrības nodrošināšanai, lūdzam papildināt anotāciju ar turpmāko rīcību un tiesiskajām sekām nekustamā īpašuma atsavināšanas procesā, tai skaitā norādot atsauci uz Civilprocesa likuma </w:t>
            </w:r>
            <w:r w:rsidRPr="00F63B2E">
              <w:lastRenderedPageBreak/>
              <w:t>601.panta pirmās daļas 1.apakšpunktu (No tiesu izpildītāja paziņojuma saņemšanas dienas parādniekam ir aizliegts atsavināt šo nekustamo īpašumu vai ieķīlāt to), kā arī, ņemot vērā Civilprocesa likuma 600.panta otro daļu, 601.panta otro daļu, 613.panta piekto daļu, Civillikuma 1077.panta pirmo daļu un Zemesgrāmatu likuma 46.pantu, aicinām papildināt anotācijas tekstu, lai viennozīmīgi būtu skaidrs, ja piedziņas atzīmes nebūs dzēstas līdz līguma par nekustamā īpašuma labprātīgu atsavināšanu parakstīšanai paredzētajam termiņam, būs veicamas darbības nekustamā īpašuma atsavināšanai piespiedu kārtā uz atsevišķa likuma pamata.</w:t>
            </w:r>
          </w:p>
        </w:tc>
        <w:tc>
          <w:tcPr>
            <w:tcW w:w="2722" w:type="dxa"/>
          </w:tcPr>
          <w:p w:rsidR="00A02737" w:rsidP="00A53FF0" w:rsidRDefault="00A02737" w14:paraId="0FE5BFBD" w14:textId="0D5532D3">
            <w:pPr>
              <w:pStyle w:val="naisf"/>
              <w:spacing w:before="0" w:after="0"/>
              <w:ind w:firstLine="0"/>
              <w:jc w:val="center"/>
              <w:rPr>
                <w:b/>
                <w:bCs/>
              </w:rPr>
            </w:pPr>
            <w:r>
              <w:rPr>
                <w:b/>
                <w:bCs/>
              </w:rPr>
              <w:lastRenderedPageBreak/>
              <w:t>Priekšlikums ir ņemts vērā.</w:t>
            </w:r>
          </w:p>
          <w:p w:rsidRPr="00A53FF0" w:rsidR="00A02737" w:rsidP="00A02737" w:rsidRDefault="00A53FF0" w14:paraId="41F3E82C" w14:textId="43B3D6E3">
            <w:pPr>
              <w:pStyle w:val="naisf"/>
              <w:spacing w:before="0" w:after="0"/>
              <w:ind w:firstLine="0"/>
              <w:rPr>
                <w:rFonts w:eastAsia="Calibri"/>
                <w:lang w:eastAsia="en-US"/>
              </w:rPr>
            </w:pPr>
            <w:r w:rsidRPr="00A53FF0">
              <w:t>Attiecīgi papildināts rīkojuma projekta anotācijas I sadaļas 2.punkts</w:t>
            </w:r>
            <w:r w:rsidRPr="00A53FF0">
              <w:t>.</w:t>
            </w:r>
          </w:p>
        </w:tc>
        <w:tc>
          <w:tcPr>
            <w:tcW w:w="2980" w:type="dxa"/>
          </w:tcPr>
          <w:p w:rsidR="00A02737" w:rsidP="00A02737" w:rsidRDefault="00A02737" w14:paraId="451EC3A4" w14:textId="7A72C611">
            <w:pPr>
              <w:jc w:val="both"/>
              <w:rPr>
                <w:iCs/>
                <w:color w:val="000000"/>
              </w:rPr>
            </w:pPr>
            <w:r w:rsidRPr="00261BAD">
              <w:rPr>
                <w:iCs/>
                <w:color w:val="000000"/>
              </w:rPr>
              <w:t>Skatīt izziņas 1.punktu.</w:t>
            </w:r>
          </w:p>
        </w:tc>
      </w:tr>
    </w:tbl>
    <w:p w:rsidR="00A53FF0" w:rsidP="000A531F" w:rsidRDefault="00A53FF0" w14:paraId="0863A114" w14:textId="77777777">
      <w:pPr>
        <w:jc w:val="both"/>
      </w:pPr>
    </w:p>
    <w:p w:rsidRPr="00EA0FF1" w:rsidR="000A531F" w:rsidP="000A531F" w:rsidRDefault="000A531F" w14:paraId="53C4EB95" w14:textId="6547A3CB">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2E8038BB" w:rsidR="00FC51C5" w:rsidRPr="00FC51C5" w:rsidRDefault="008D3595" w:rsidP="00FC51C5">
    <w:pPr>
      <w:jc w:val="both"/>
      <w:rPr>
        <w:bCs/>
        <w:sz w:val="20"/>
        <w:szCs w:val="20"/>
        <w:lang w:eastAsia="ko-KR"/>
      </w:rPr>
    </w:pPr>
    <w:r>
      <w:rPr>
        <w:sz w:val="20"/>
        <w:szCs w:val="20"/>
      </w:rPr>
      <w:t>SMi</w:t>
    </w:r>
    <w:r w:rsidR="00AA30C8">
      <w:rPr>
        <w:sz w:val="20"/>
        <w:szCs w:val="20"/>
      </w:rPr>
      <w:t>zz_</w:t>
    </w:r>
    <w:r w:rsidR="00021C57">
      <w:rPr>
        <w:sz w:val="20"/>
        <w:szCs w:val="20"/>
      </w:rPr>
      <w:t>050520_VSS_300</w:t>
    </w:r>
  </w:p>
  <w:p w14:paraId="0E9B010F" w14:textId="77777777" w:rsidR="00013AD7" w:rsidRPr="00570BB9" w:rsidRDefault="009E64EB"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574766C9" w:rsidR="00EA4FB1" w:rsidRPr="00FC51C5" w:rsidRDefault="008D3595" w:rsidP="00EA4FB1">
    <w:pPr>
      <w:jc w:val="both"/>
      <w:rPr>
        <w:bCs/>
        <w:sz w:val="20"/>
        <w:szCs w:val="20"/>
        <w:lang w:eastAsia="ko-KR"/>
      </w:rPr>
    </w:pPr>
    <w:r>
      <w:rPr>
        <w:sz w:val="20"/>
        <w:szCs w:val="20"/>
      </w:rPr>
      <w:t>SMi</w:t>
    </w:r>
    <w:r w:rsidR="00E9372F">
      <w:rPr>
        <w:sz w:val="20"/>
        <w:szCs w:val="20"/>
      </w:rPr>
      <w:t>zz_</w:t>
    </w:r>
    <w:r w:rsidR="00021C57">
      <w:rPr>
        <w:sz w:val="20"/>
        <w:szCs w:val="20"/>
      </w:rPr>
      <w:t>050520_VSS_300</w:t>
    </w:r>
  </w:p>
  <w:p w14:paraId="71D70F49" w14:textId="77777777" w:rsidR="00E65AF3" w:rsidRPr="00E15A76" w:rsidRDefault="00E65AF3" w:rsidP="00E65AF3">
    <w:pPr>
      <w:jc w:val="both"/>
      <w:rPr>
        <w:bCs/>
        <w:sz w:val="20"/>
        <w:szCs w:val="20"/>
      </w:rPr>
    </w:pPr>
  </w:p>
  <w:p w14:paraId="627254F6" w14:textId="77777777" w:rsidR="00013AD7" w:rsidRPr="0022701B" w:rsidRDefault="009E64EB"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9E64EB"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9E64EB"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6659"/>
    <w:rsid w:val="0004179C"/>
    <w:rsid w:val="00054FE8"/>
    <w:rsid w:val="0006139E"/>
    <w:rsid w:val="00070584"/>
    <w:rsid w:val="000A39DD"/>
    <w:rsid w:val="000A531F"/>
    <w:rsid w:val="000B045E"/>
    <w:rsid w:val="000B5ECF"/>
    <w:rsid w:val="00120A54"/>
    <w:rsid w:val="0013486B"/>
    <w:rsid w:val="0014495C"/>
    <w:rsid w:val="001616A0"/>
    <w:rsid w:val="00161C98"/>
    <w:rsid w:val="00185895"/>
    <w:rsid w:val="001914B9"/>
    <w:rsid w:val="001B0C1E"/>
    <w:rsid w:val="001B4F15"/>
    <w:rsid w:val="001E1A14"/>
    <w:rsid w:val="001E350D"/>
    <w:rsid w:val="001E4E30"/>
    <w:rsid w:val="001F380D"/>
    <w:rsid w:val="001F5E0D"/>
    <w:rsid w:val="00203435"/>
    <w:rsid w:val="00212734"/>
    <w:rsid w:val="00212D1C"/>
    <w:rsid w:val="0021718F"/>
    <w:rsid w:val="002230AC"/>
    <w:rsid w:val="00236459"/>
    <w:rsid w:val="00251198"/>
    <w:rsid w:val="00261BAD"/>
    <w:rsid w:val="00264C2F"/>
    <w:rsid w:val="00270D5D"/>
    <w:rsid w:val="002710B5"/>
    <w:rsid w:val="00283C11"/>
    <w:rsid w:val="00287A40"/>
    <w:rsid w:val="00290A24"/>
    <w:rsid w:val="002B2BD5"/>
    <w:rsid w:val="002C47B5"/>
    <w:rsid w:val="002D3C34"/>
    <w:rsid w:val="002D588B"/>
    <w:rsid w:val="002D7A98"/>
    <w:rsid w:val="002E51C4"/>
    <w:rsid w:val="00302611"/>
    <w:rsid w:val="00304936"/>
    <w:rsid w:val="00307E7E"/>
    <w:rsid w:val="003101D8"/>
    <w:rsid w:val="00313F64"/>
    <w:rsid w:val="00326543"/>
    <w:rsid w:val="003501C0"/>
    <w:rsid w:val="00380B98"/>
    <w:rsid w:val="00385EC6"/>
    <w:rsid w:val="00390339"/>
    <w:rsid w:val="003C1E3D"/>
    <w:rsid w:val="003D2373"/>
    <w:rsid w:val="003D37F3"/>
    <w:rsid w:val="003E112E"/>
    <w:rsid w:val="004021B9"/>
    <w:rsid w:val="00402889"/>
    <w:rsid w:val="00405454"/>
    <w:rsid w:val="00410A66"/>
    <w:rsid w:val="004227B4"/>
    <w:rsid w:val="004273F5"/>
    <w:rsid w:val="00431A7C"/>
    <w:rsid w:val="004401DB"/>
    <w:rsid w:val="00444A47"/>
    <w:rsid w:val="00453894"/>
    <w:rsid w:val="00457251"/>
    <w:rsid w:val="00474825"/>
    <w:rsid w:val="00481D67"/>
    <w:rsid w:val="00483870"/>
    <w:rsid w:val="00485BEE"/>
    <w:rsid w:val="00486CEF"/>
    <w:rsid w:val="004911C0"/>
    <w:rsid w:val="00491E1F"/>
    <w:rsid w:val="0049672C"/>
    <w:rsid w:val="004A3325"/>
    <w:rsid w:val="004A3842"/>
    <w:rsid w:val="004A4217"/>
    <w:rsid w:val="004F65A9"/>
    <w:rsid w:val="005023AC"/>
    <w:rsid w:val="00511A74"/>
    <w:rsid w:val="00517539"/>
    <w:rsid w:val="00523477"/>
    <w:rsid w:val="0053729A"/>
    <w:rsid w:val="00546049"/>
    <w:rsid w:val="005503B3"/>
    <w:rsid w:val="00557845"/>
    <w:rsid w:val="00557BA5"/>
    <w:rsid w:val="005617F5"/>
    <w:rsid w:val="00562EF2"/>
    <w:rsid w:val="0057339C"/>
    <w:rsid w:val="005776CA"/>
    <w:rsid w:val="00580CD2"/>
    <w:rsid w:val="005A09B3"/>
    <w:rsid w:val="005A5CE7"/>
    <w:rsid w:val="005B5C10"/>
    <w:rsid w:val="005C28F5"/>
    <w:rsid w:val="005C709A"/>
    <w:rsid w:val="005D403F"/>
    <w:rsid w:val="005F3723"/>
    <w:rsid w:val="005F3CFA"/>
    <w:rsid w:val="005F437F"/>
    <w:rsid w:val="005F4B79"/>
    <w:rsid w:val="00602FC3"/>
    <w:rsid w:val="00606571"/>
    <w:rsid w:val="00640D28"/>
    <w:rsid w:val="006523CA"/>
    <w:rsid w:val="006854E4"/>
    <w:rsid w:val="00693260"/>
    <w:rsid w:val="006B04E7"/>
    <w:rsid w:val="006B3025"/>
    <w:rsid w:val="006C196E"/>
    <w:rsid w:val="006C4AF1"/>
    <w:rsid w:val="006C703C"/>
    <w:rsid w:val="006D534A"/>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A6F0F"/>
    <w:rsid w:val="007B0C72"/>
    <w:rsid w:val="007C21FF"/>
    <w:rsid w:val="007C24D1"/>
    <w:rsid w:val="007D3819"/>
    <w:rsid w:val="007E2611"/>
    <w:rsid w:val="007F0A92"/>
    <w:rsid w:val="007F39E0"/>
    <w:rsid w:val="007F5214"/>
    <w:rsid w:val="007F5237"/>
    <w:rsid w:val="007F7190"/>
    <w:rsid w:val="008138C6"/>
    <w:rsid w:val="00840AC1"/>
    <w:rsid w:val="008454B7"/>
    <w:rsid w:val="00845C31"/>
    <w:rsid w:val="0085769C"/>
    <w:rsid w:val="00857BEB"/>
    <w:rsid w:val="00861F81"/>
    <w:rsid w:val="00863A75"/>
    <w:rsid w:val="008655DA"/>
    <w:rsid w:val="00867BA8"/>
    <w:rsid w:val="00883069"/>
    <w:rsid w:val="00887A13"/>
    <w:rsid w:val="008973CB"/>
    <w:rsid w:val="008A3BA3"/>
    <w:rsid w:val="008B1CF5"/>
    <w:rsid w:val="008B43A4"/>
    <w:rsid w:val="008C2198"/>
    <w:rsid w:val="008C7596"/>
    <w:rsid w:val="008D3595"/>
    <w:rsid w:val="008D74D3"/>
    <w:rsid w:val="008D7795"/>
    <w:rsid w:val="008E5699"/>
    <w:rsid w:val="0090000D"/>
    <w:rsid w:val="00906110"/>
    <w:rsid w:val="0091003F"/>
    <w:rsid w:val="00930695"/>
    <w:rsid w:val="00940187"/>
    <w:rsid w:val="0094059F"/>
    <w:rsid w:val="00955F6B"/>
    <w:rsid w:val="009637BC"/>
    <w:rsid w:val="009702A1"/>
    <w:rsid w:val="00971B02"/>
    <w:rsid w:val="00972C39"/>
    <w:rsid w:val="00974FA1"/>
    <w:rsid w:val="00975516"/>
    <w:rsid w:val="00977DFB"/>
    <w:rsid w:val="009903D9"/>
    <w:rsid w:val="0099571E"/>
    <w:rsid w:val="009D0DE2"/>
    <w:rsid w:val="009D6B36"/>
    <w:rsid w:val="009E3E80"/>
    <w:rsid w:val="009E64EB"/>
    <w:rsid w:val="009E765A"/>
    <w:rsid w:val="009E7D11"/>
    <w:rsid w:val="00A02737"/>
    <w:rsid w:val="00A15FF0"/>
    <w:rsid w:val="00A20F86"/>
    <w:rsid w:val="00A25DCC"/>
    <w:rsid w:val="00A34347"/>
    <w:rsid w:val="00A36F3C"/>
    <w:rsid w:val="00A53FF0"/>
    <w:rsid w:val="00A67E47"/>
    <w:rsid w:val="00A91A94"/>
    <w:rsid w:val="00AA30C8"/>
    <w:rsid w:val="00AA4796"/>
    <w:rsid w:val="00AA6CE9"/>
    <w:rsid w:val="00AB2D31"/>
    <w:rsid w:val="00AC59EC"/>
    <w:rsid w:val="00AD0322"/>
    <w:rsid w:val="00AD080E"/>
    <w:rsid w:val="00AD3972"/>
    <w:rsid w:val="00AD6446"/>
    <w:rsid w:val="00AE76EB"/>
    <w:rsid w:val="00AF7C82"/>
    <w:rsid w:val="00B13F24"/>
    <w:rsid w:val="00B14512"/>
    <w:rsid w:val="00B33DAC"/>
    <w:rsid w:val="00B44F89"/>
    <w:rsid w:val="00B45DE0"/>
    <w:rsid w:val="00B57532"/>
    <w:rsid w:val="00B641E0"/>
    <w:rsid w:val="00B65773"/>
    <w:rsid w:val="00B67C4E"/>
    <w:rsid w:val="00B87422"/>
    <w:rsid w:val="00B90BD6"/>
    <w:rsid w:val="00B93C32"/>
    <w:rsid w:val="00BA5981"/>
    <w:rsid w:val="00BA5B5C"/>
    <w:rsid w:val="00BB085E"/>
    <w:rsid w:val="00BB5CE6"/>
    <w:rsid w:val="00BC0E1F"/>
    <w:rsid w:val="00BF46D9"/>
    <w:rsid w:val="00BF56C6"/>
    <w:rsid w:val="00C00E70"/>
    <w:rsid w:val="00C03748"/>
    <w:rsid w:val="00C24317"/>
    <w:rsid w:val="00C319A3"/>
    <w:rsid w:val="00C56DAD"/>
    <w:rsid w:val="00C708D6"/>
    <w:rsid w:val="00C73711"/>
    <w:rsid w:val="00C759D4"/>
    <w:rsid w:val="00C77313"/>
    <w:rsid w:val="00C80A32"/>
    <w:rsid w:val="00C908F5"/>
    <w:rsid w:val="00CA0484"/>
    <w:rsid w:val="00CA590E"/>
    <w:rsid w:val="00CC0355"/>
    <w:rsid w:val="00CD3D34"/>
    <w:rsid w:val="00CD59D2"/>
    <w:rsid w:val="00CF228A"/>
    <w:rsid w:val="00D17E2B"/>
    <w:rsid w:val="00D201AD"/>
    <w:rsid w:val="00D47019"/>
    <w:rsid w:val="00D55FAD"/>
    <w:rsid w:val="00D56DC4"/>
    <w:rsid w:val="00D66F4C"/>
    <w:rsid w:val="00D7217B"/>
    <w:rsid w:val="00D84BD2"/>
    <w:rsid w:val="00DA2FA4"/>
    <w:rsid w:val="00DA5A2A"/>
    <w:rsid w:val="00DC002D"/>
    <w:rsid w:val="00DC28A7"/>
    <w:rsid w:val="00DF3EEC"/>
    <w:rsid w:val="00DF59E7"/>
    <w:rsid w:val="00DF5CFC"/>
    <w:rsid w:val="00E15A76"/>
    <w:rsid w:val="00E41B15"/>
    <w:rsid w:val="00E51EB0"/>
    <w:rsid w:val="00E65AF3"/>
    <w:rsid w:val="00E8355F"/>
    <w:rsid w:val="00E90C3C"/>
    <w:rsid w:val="00E91805"/>
    <w:rsid w:val="00E9372F"/>
    <w:rsid w:val="00E97C36"/>
    <w:rsid w:val="00EA0FF1"/>
    <w:rsid w:val="00EA19C2"/>
    <w:rsid w:val="00EA2237"/>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54A5F"/>
    <w:rsid w:val="00F5533C"/>
    <w:rsid w:val="00F57C7D"/>
    <w:rsid w:val="00F62623"/>
    <w:rsid w:val="00F6373F"/>
    <w:rsid w:val="00F63B2E"/>
    <w:rsid w:val="00F77C0F"/>
    <w:rsid w:val="00F87749"/>
    <w:rsid w:val="00FB757D"/>
    <w:rsid w:val="00FC51C5"/>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883069"/>
    <w:rPr>
      <w:sz w:val="20"/>
      <w:szCs w:val="20"/>
    </w:rPr>
  </w:style>
  <w:style w:type="character" w:customStyle="1" w:styleId="CommentTextChar">
    <w:name w:val="Comment Text Char"/>
    <w:basedOn w:val="DefaultParagraphFont"/>
    <w:link w:val="CommentText"/>
    <w:uiPriority w:val="99"/>
    <w:semiHidden/>
    <w:rsid w:val="0088306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069"/>
    <w:rPr>
      <w:b/>
      <w:bCs/>
    </w:rPr>
  </w:style>
  <w:style w:type="character" w:customStyle="1" w:styleId="CommentSubjectChar">
    <w:name w:val="Comment Subject Char"/>
    <w:basedOn w:val="CommentTextChar"/>
    <w:link w:val="CommentSubject"/>
    <w:uiPriority w:val="99"/>
    <w:semiHidden/>
    <w:rsid w:val="00883069"/>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CC4B-F951-426D-86D7-0555A9E9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8126</Words>
  <Characters>4632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nekustamā īpašuma Vilkupurva iela 26, Rīgā, daļas pirkšanu Eiropas standarta platuma 1435 mm dzelzceļa līnijas izbūves Rail Baltica koridorā caur Igauniju, Latviju un Lietuvu būvniecības projekta īstenošanai</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Vilkupurva iela 26, Rīgā, daļas pirkšanu Eiropas standarta platuma 1435 mm dzelzceļa līnijas izbūves Rail Baltica koridorā caur Igauniju, Latviju un Lietuvu būvniecības projekta īstenošanai</dc:title>
  <dc:creator>Sandra.Silina@sam.gov.lv;Satiksmes ministrijas Juridiskā departamenta Nekustamo īpašumu nodaļas vecākā referente;tālr. 67028031;SIA "Eiropas dzelzceļa līnijas" Nekustamā īpašuma atsavināšanas departamenta nekustamā īpašuma speciāliste Dace Pelne;68806209;dace.pelne@edzl.lv</dc:creator>
  <cp:keywords>MK rīkojuma projekts</cp:keywords>
  <dc:description>dace.pelne@edzl.lv, 68806209; sandra.silina@sam.gov.lv, 67028031</dc:description>
  <cp:lastModifiedBy>Ineta Vula</cp:lastModifiedBy>
  <cp:revision>52</cp:revision>
  <cp:lastPrinted>2018-07-23T10:08:00Z</cp:lastPrinted>
  <dcterms:created xsi:type="dcterms:W3CDTF">2019-12-09T14:00:00Z</dcterms:created>
  <dcterms:modified xsi:type="dcterms:W3CDTF">2020-06-05T11:39:00Z</dcterms:modified>
</cp:coreProperties>
</file>