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27D6A" w:rsidR="00F80D3E" w:rsidP="00A126AF" w:rsidRDefault="000A6FB6" w14:paraId="44208B3F" w14:textId="77777777">
      <w:pPr>
        <w:tabs>
          <w:tab w:val="left" w:pos="7440"/>
        </w:tabs>
        <w:jc w:val="center"/>
        <w:rPr>
          <w:b/>
          <w:lang w:val="lv-LV"/>
        </w:rPr>
      </w:pPr>
      <w:r w:rsidRPr="00127D6A">
        <w:rPr>
          <w:b/>
          <w:lang w:val="lv-LV"/>
        </w:rPr>
        <w:t>Izziņa par atzinumos sniegtajiem iebildumiem</w:t>
      </w:r>
    </w:p>
    <w:p w:rsidRPr="00127D6A" w:rsidR="00FF6B08" w:rsidP="00FF6B08" w:rsidRDefault="00330B07" w14:paraId="2F8AC65B" w14:textId="77777777">
      <w:pPr>
        <w:ind w:firstLine="720"/>
        <w:jc w:val="center"/>
        <w:rPr>
          <w:b/>
          <w:bCs/>
          <w:color w:val="000000"/>
          <w:lang w:val="lv-LV" w:eastAsia="lv-LV"/>
        </w:rPr>
      </w:pPr>
      <w:r w:rsidRPr="00127D6A">
        <w:rPr>
          <w:b/>
          <w:bCs/>
          <w:color w:val="000000"/>
          <w:lang w:val="lv-LV" w:eastAsia="lv-LV"/>
        </w:rPr>
        <w:t xml:space="preserve">Par </w:t>
      </w:r>
      <w:r w:rsidRPr="00127D6A" w:rsidR="00850570">
        <w:rPr>
          <w:b/>
          <w:bCs/>
          <w:color w:val="000000"/>
          <w:lang w:val="lv-LV" w:eastAsia="lv-LV"/>
        </w:rPr>
        <w:t xml:space="preserve">konceptuālo </w:t>
      </w:r>
      <w:r w:rsidRPr="00127D6A" w:rsidR="006D506C">
        <w:rPr>
          <w:b/>
          <w:bCs/>
          <w:color w:val="000000"/>
          <w:lang w:val="lv-LV" w:eastAsia="lv-LV"/>
        </w:rPr>
        <w:t xml:space="preserve">ziņojumu "Par </w:t>
      </w:r>
      <w:proofErr w:type="spellStart"/>
      <w:r w:rsidRPr="00127D6A" w:rsidR="006D506C">
        <w:rPr>
          <w:b/>
          <w:bCs/>
          <w:color w:val="000000"/>
          <w:lang w:val="lv-LV" w:eastAsia="lv-LV"/>
        </w:rPr>
        <w:t>intelektisko</w:t>
      </w:r>
      <w:proofErr w:type="spellEnd"/>
      <w:r w:rsidRPr="00127D6A" w:rsidR="006D506C">
        <w:rPr>
          <w:b/>
          <w:bCs/>
          <w:color w:val="000000"/>
          <w:lang w:val="lv-LV" w:eastAsia="lv-LV"/>
        </w:rPr>
        <w:t xml:space="preserve"> transporta sistēmu ieviešanu Latvijas autotransporta jomā un to </w:t>
      </w:r>
      <w:proofErr w:type="spellStart"/>
      <w:r w:rsidRPr="00127D6A" w:rsidR="006D506C">
        <w:rPr>
          <w:b/>
          <w:bCs/>
          <w:color w:val="000000"/>
          <w:lang w:val="lv-LV" w:eastAsia="lv-LV"/>
        </w:rPr>
        <w:t>saskarnēm</w:t>
      </w:r>
      <w:proofErr w:type="spellEnd"/>
      <w:r w:rsidRPr="00127D6A" w:rsidR="006D506C">
        <w:rPr>
          <w:b/>
          <w:bCs/>
          <w:color w:val="000000"/>
          <w:lang w:val="lv-LV" w:eastAsia="lv-LV"/>
        </w:rPr>
        <w:t xml:space="preserve"> ar citiem transporta veidiem"</w:t>
      </w:r>
    </w:p>
    <w:p w:rsidRPr="00127D6A" w:rsidR="00330B07" w:rsidP="00FF6B08" w:rsidRDefault="00330B07" w14:paraId="79E85C0F" w14:textId="77777777">
      <w:pPr>
        <w:ind w:firstLine="720"/>
        <w:jc w:val="center"/>
        <w:rPr>
          <w:b/>
          <w:bCs/>
          <w:lang w:val="lv-LV" w:eastAsia="lv-LV"/>
        </w:rPr>
      </w:pPr>
      <w:r w:rsidRPr="00127D6A">
        <w:rPr>
          <w:b/>
          <w:bCs/>
          <w:color w:val="000000"/>
          <w:lang w:val="lv-LV" w:eastAsia="lv-LV"/>
        </w:rPr>
        <w:t>(VSS-</w:t>
      </w:r>
      <w:r w:rsidRPr="00127D6A" w:rsidR="004E6AAE">
        <w:rPr>
          <w:b/>
          <w:bCs/>
          <w:color w:val="000000"/>
          <w:lang w:val="lv-LV" w:eastAsia="lv-LV"/>
        </w:rPr>
        <w:t>219</w:t>
      </w:r>
      <w:r w:rsidRPr="00127D6A">
        <w:rPr>
          <w:b/>
          <w:bCs/>
          <w:color w:val="000000"/>
          <w:lang w:val="lv-LV" w:eastAsia="lv-LV"/>
        </w:rPr>
        <w:t>)</w:t>
      </w:r>
    </w:p>
    <w:p w:rsidRPr="00127D6A" w:rsidR="001A6E38" w:rsidP="001A6E38" w:rsidRDefault="001A6E38" w14:paraId="6220A4D5" w14:textId="77777777">
      <w:pPr>
        <w:pStyle w:val="Heading4"/>
        <w:rPr>
          <w:rStyle w:val="Strong"/>
          <w:sz w:val="24"/>
        </w:rPr>
      </w:pPr>
    </w:p>
    <w:p w:rsidRPr="00127D6A" w:rsidR="00873AB5" w:rsidP="001A6E38" w:rsidRDefault="00873AB5" w14:paraId="1960631C" w14:textId="77777777">
      <w:pPr>
        <w:pStyle w:val="Heading4"/>
        <w:rPr>
          <w:sz w:val="24"/>
        </w:rPr>
      </w:pPr>
    </w:p>
    <w:p w:rsidRPr="00127D6A" w:rsidR="007104F2" w:rsidP="007104F2" w:rsidRDefault="007104F2" w14:paraId="21C6F9F2" w14:textId="77777777">
      <w:pPr>
        <w:spacing w:before="100" w:beforeAutospacing="1" w:after="100" w:afterAutospacing="1"/>
        <w:rPr>
          <w:b/>
          <w:lang w:val="lv-LV" w:eastAsia="lv-LV"/>
        </w:rPr>
      </w:pPr>
      <w:r w:rsidRPr="00127D6A">
        <w:rPr>
          <w:b/>
          <w:lang w:val="lv-LV" w:eastAsia="lv-LV"/>
        </w:rPr>
        <w:t>I. Jautājumi, par kuriem saskaņošanā vienošanās nav panākta</w:t>
      </w:r>
    </w:p>
    <w:tbl>
      <w:tblPr>
        <w:tblW w:w="13741"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510"/>
        <w:gridCol w:w="2321"/>
        <w:gridCol w:w="3099"/>
        <w:gridCol w:w="2870"/>
        <w:gridCol w:w="2478"/>
        <w:gridCol w:w="2463"/>
      </w:tblGrid>
      <w:tr w:rsidRPr="00127D6A" w:rsidR="007104F2" w:rsidTr="0009216D" w14:paraId="0E94EE2A" w14:textId="77777777">
        <w:trPr>
          <w:tblCellSpacing w:w="0" w:type="dxa"/>
        </w:trPr>
        <w:tc>
          <w:tcPr>
            <w:tcW w:w="510" w:type="dxa"/>
            <w:tcBorders>
              <w:top w:val="single" w:color="808080" w:sz="6" w:space="0"/>
              <w:left w:val="single" w:color="808080" w:sz="6" w:space="0"/>
              <w:bottom w:val="single" w:color="808080" w:sz="6" w:space="0"/>
              <w:right w:val="single" w:color="808080" w:sz="6" w:space="0"/>
            </w:tcBorders>
            <w:vAlign w:val="center"/>
          </w:tcPr>
          <w:p w:rsidRPr="00127D6A" w:rsidR="007104F2" w:rsidP="00DD05EC" w:rsidRDefault="007104F2" w14:paraId="696F8B68" w14:textId="77777777">
            <w:pPr>
              <w:spacing w:before="100" w:beforeAutospacing="1" w:after="100" w:afterAutospacing="1"/>
              <w:jc w:val="center"/>
              <w:rPr>
                <w:lang w:val="lv-LV" w:eastAsia="lv-LV"/>
              </w:rPr>
            </w:pPr>
            <w:r w:rsidRPr="00127D6A">
              <w:rPr>
                <w:lang w:val="lv-LV" w:eastAsia="lv-LV"/>
              </w:rPr>
              <w:t>Nr.</w:t>
            </w:r>
            <w:r w:rsidRPr="00127D6A">
              <w:rPr>
                <w:lang w:val="lv-LV" w:eastAsia="lv-LV"/>
              </w:rPr>
              <w:br/>
              <w:t> p.k.</w:t>
            </w:r>
          </w:p>
        </w:tc>
        <w:tc>
          <w:tcPr>
            <w:tcW w:w="2321" w:type="dxa"/>
            <w:tcBorders>
              <w:top w:val="single" w:color="808080" w:sz="6" w:space="0"/>
              <w:left w:val="single" w:color="808080" w:sz="6" w:space="0"/>
              <w:bottom w:val="single" w:color="808080" w:sz="6" w:space="0"/>
              <w:right w:val="single" w:color="808080" w:sz="6" w:space="0"/>
            </w:tcBorders>
            <w:vAlign w:val="center"/>
          </w:tcPr>
          <w:p w:rsidRPr="00127D6A" w:rsidR="007104F2" w:rsidP="00DD05EC" w:rsidRDefault="007104F2" w14:paraId="77441475" w14:textId="77777777">
            <w:pPr>
              <w:spacing w:before="100" w:beforeAutospacing="1" w:after="100" w:afterAutospacing="1"/>
              <w:jc w:val="center"/>
              <w:rPr>
                <w:lang w:val="lv-LV" w:eastAsia="lv-LV"/>
              </w:rPr>
            </w:pPr>
            <w:r w:rsidRPr="00127D6A">
              <w:rPr>
                <w:lang w:val="lv-LV" w:eastAsia="lv-LV"/>
              </w:rPr>
              <w:t>Saskaņošanai nosūtītā projekta redakcija (konkrēta punkta (panta) redakcija)</w:t>
            </w:r>
          </w:p>
        </w:tc>
        <w:tc>
          <w:tcPr>
            <w:tcW w:w="3099" w:type="dxa"/>
            <w:tcBorders>
              <w:top w:val="single" w:color="808080" w:sz="6" w:space="0"/>
              <w:left w:val="single" w:color="808080" w:sz="6" w:space="0"/>
              <w:bottom w:val="single" w:color="808080" w:sz="6" w:space="0"/>
              <w:right w:val="single" w:color="808080" w:sz="6" w:space="0"/>
            </w:tcBorders>
            <w:vAlign w:val="center"/>
          </w:tcPr>
          <w:p w:rsidRPr="00127D6A" w:rsidR="007104F2" w:rsidP="00DD05EC" w:rsidRDefault="007104F2" w14:paraId="09D1BA21" w14:textId="77777777">
            <w:pPr>
              <w:spacing w:before="100" w:beforeAutospacing="1" w:after="100" w:afterAutospacing="1"/>
              <w:jc w:val="center"/>
              <w:rPr>
                <w:lang w:val="lv-LV" w:eastAsia="lv-LV"/>
              </w:rPr>
            </w:pPr>
            <w:r w:rsidRPr="00127D6A">
              <w:rPr>
                <w:lang w:val="lv-LV" w:eastAsia="lv-LV"/>
              </w:rPr>
              <w:t>Atzinumā norādītais ministrijas (citas institūcijas) iebildums, kā arī saskaņošanā papildus izteiktais iebildums par projekta konkrēto punktu (pantu)</w:t>
            </w:r>
          </w:p>
        </w:tc>
        <w:tc>
          <w:tcPr>
            <w:tcW w:w="2870" w:type="dxa"/>
            <w:tcBorders>
              <w:top w:val="single" w:color="808080" w:sz="6" w:space="0"/>
              <w:left w:val="single" w:color="808080" w:sz="6" w:space="0"/>
              <w:bottom w:val="single" w:color="808080" w:sz="6" w:space="0"/>
              <w:right w:val="single" w:color="808080" w:sz="6" w:space="0"/>
            </w:tcBorders>
            <w:vAlign w:val="center"/>
          </w:tcPr>
          <w:p w:rsidRPr="00127D6A" w:rsidR="007104F2" w:rsidP="00DD05EC" w:rsidRDefault="007104F2" w14:paraId="4DDE2D93" w14:textId="77777777">
            <w:pPr>
              <w:spacing w:before="100" w:beforeAutospacing="1" w:after="100" w:afterAutospacing="1"/>
              <w:jc w:val="center"/>
              <w:rPr>
                <w:lang w:val="lv-LV" w:eastAsia="lv-LV"/>
              </w:rPr>
            </w:pPr>
            <w:r w:rsidRPr="00127D6A">
              <w:rPr>
                <w:lang w:val="lv-LV" w:eastAsia="lv-LV"/>
              </w:rPr>
              <w:t>Atbildīgās ministrijas pamatojums iebilduma noraidījumam</w:t>
            </w:r>
          </w:p>
        </w:tc>
        <w:tc>
          <w:tcPr>
            <w:tcW w:w="2478" w:type="dxa"/>
            <w:tcBorders>
              <w:top w:val="single" w:color="808080" w:sz="6" w:space="0"/>
              <w:left w:val="single" w:color="808080" w:sz="6" w:space="0"/>
              <w:bottom w:val="single" w:color="808080" w:sz="6" w:space="0"/>
              <w:right w:val="single" w:color="808080" w:sz="6" w:space="0"/>
            </w:tcBorders>
            <w:vAlign w:val="center"/>
          </w:tcPr>
          <w:p w:rsidRPr="00127D6A" w:rsidR="007104F2" w:rsidP="00DD05EC" w:rsidRDefault="007104F2" w14:paraId="5F8732F9" w14:textId="77777777">
            <w:pPr>
              <w:spacing w:before="100" w:beforeAutospacing="1" w:after="100" w:afterAutospacing="1"/>
              <w:jc w:val="center"/>
              <w:rPr>
                <w:lang w:val="lv-LV" w:eastAsia="lv-LV"/>
              </w:rPr>
            </w:pPr>
            <w:r w:rsidRPr="00127D6A">
              <w:rPr>
                <w:lang w:val="lv-LV" w:eastAsia="lv-LV"/>
              </w:rPr>
              <w:t>Atzinuma sniedzēja uzturētais iebildums, ja tas atšķiras no atzinumā norādītā iebilduma pamatojuma</w:t>
            </w:r>
          </w:p>
        </w:tc>
        <w:tc>
          <w:tcPr>
            <w:tcW w:w="2463" w:type="dxa"/>
            <w:tcBorders>
              <w:top w:val="single" w:color="808080" w:sz="6" w:space="0"/>
              <w:left w:val="single" w:color="808080" w:sz="6" w:space="0"/>
              <w:bottom w:val="single" w:color="808080" w:sz="6" w:space="0"/>
              <w:right w:val="single" w:color="808080" w:sz="6" w:space="0"/>
            </w:tcBorders>
            <w:vAlign w:val="center"/>
          </w:tcPr>
          <w:p w:rsidRPr="00127D6A" w:rsidR="007104F2" w:rsidP="00DD05EC" w:rsidRDefault="007104F2" w14:paraId="60BB5ABD" w14:textId="77777777">
            <w:pPr>
              <w:spacing w:before="100" w:beforeAutospacing="1" w:after="100" w:afterAutospacing="1"/>
              <w:jc w:val="center"/>
              <w:rPr>
                <w:lang w:val="lv-LV" w:eastAsia="lv-LV"/>
              </w:rPr>
            </w:pPr>
            <w:r w:rsidRPr="00127D6A">
              <w:rPr>
                <w:lang w:val="lv-LV" w:eastAsia="lv-LV"/>
              </w:rPr>
              <w:t>Projekta attiecīgā punkta (panta) galīgā redakcija</w:t>
            </w:r>
          </w:p>
        </w:tc>
      </w:tr>
      <w:tr w:rsidRPr="00127D6A" w:rsidR="005C23A8" w:rsidTr="0009216D" w14:paraId="7C92C161" w14:textId="77777777">
        <w:trPr>
          <w:trHeight w:val="288"/>
          <w:tblCellSpacing w:w="0" w:type="dxa"/>
        </w:trPr>
        <w:tc>
          <w:tcPr>
            <w:tcW w:w="510" w:type="dxa"/>
            <w:tcBorders>
              <w:top w:val="single" w:color="808080" w:sz="6" w:space="0"/>
              <w:left w:val="single" w:color="808080" w:sz="6" w:space="0"/>
              <w:bottom w:val="single" w:color="808080" w:sz="6" w:space="0"/>
              <w:right w:val="single" w:color="808080" w:sz="6" w:space="0"/>
            </w:tcBorders>
          </w:tcPr>
          <w:p w:rsidRPr="00127D6A" w:rsidR="005C23A8" w:rsidP="005C23A8" w:rsidRDefault="005C23A8" w14:paraId="02816B26" w14:textId="77777777">
            <w:pPr>
              <w:spacing w:before="100" w:beforeAutospacing="1" w:after="100" w:afterAutospacing="1"/>
              <w:rPr>
                <w:lang w:val="lv-LV"/>
              </w:rPr>
            </w:pPr>
          </w:p>
        </w:tc>
        <w:tc>
          <w:tcPr>
            <w:tcW w:w="2321" w:type="dxa"/>
            <w:tcBorders>
              <w:top w:val="single" w:color="808080" w:sz="6" w:space="0"/>
              <w:left w:val="single" w:color="808080" w:sz="6" w:space="0"/>
              <w:bottom w:val="single" w:color="808080" w:sz="6" w:space="0"/>
              <w:right w:val="single" w:color="808080" w:sz="6" w:space="0"/>
            </w:tcBorders>
          </w:tcPr>
          <w:p w:rsidRPr="00127D6A" w:rsidR="005C23A8" w:rsidP="005C23A8" w:rsidRDefault="005C23A8" w14:paraId="39F83286" w14:textId="77777777">
            <w:pPr>
              <w:ind w:left="34" w:right="-6"/>
              <w:jc w:val="both"/>
              <w:rPr>
                <w:lang w:val="lv-LV"/>
              </w:rPr>
            </w:pPr>
          </w:p>
        </w:tc>
        <w:tc>
          <w:tcPr>
            <w:tcW w:w="3099" w:type="dxa"/>
            <w:tcBorders>
              <w:top w:val="single" w:color="808080" w:sz="6" w:space="0"/>
              <w:left w:val="single" w:color="808080" w:sz="6" w:space="0"/>
              <w:bottom w:val="single" w:color="808080" w:sz="6" w:space="0"/>
              <w:right w:val="single" w:color="808080" w:sz="6" w:space="0"/>
            </w:tcBorders>
          </w:tcPr>
          <w:p w:rsidRPr="00127D6A" w:rsidR="005C23A8" w:rsidP="005C23A8" w:rsidRDefault="005C23A8" w14:paraId="01B70E7C" w14:textId="77777777">
            <w:pPr>
              <w:jc w:val="both"/>
              <w:rPr>
                <w:b/>
                <w:lang w:val="lv-LV"/>
              </w:rPr>
            </w:pPr>
          </w:p>
        </w:tc>
        <w:tc>
          <w:tcPr>
            <w:tcW w:w="2870" w:type="dxa"/>
            <w:tcBorders>
              <w:top w:val="single" w:color="808080" w:sz="6" w:space="0"/>
              <w:left w:val="single" w:color="808080" w:sz="6" w:space="0"/>
              <w:bottom w:val="single" w:color="808080" w:sz="6" w:space="0"/>
              <w:right w:val="single" w:color="808080" w:sz="6" w:space="0"/>
            </w:tcBorders>
          </w:tcPr>
          <w:p w:rsidRPr="00127D6A" w:rsidR="005C23A8" w:rsidP="005C23A8" w:rsidRDefault="005C23A8" w14:paraId="66B36052" w14:textId="77777777">
            <w:pPr>
              <w:jc w:val="both"/>
              <w:rPr>
                <w:b/>
                <w:bCs/>
                <w:lang w:val="lv-LV"/>
              </w:rPr>
            </w:pPr>
          </w:p>
        </w:tc>
        <w:tc>
          <w:tcPr>
            <w:tcW w:w="2478" w:type="dxa"/>
            <w:tcBorders>
              <w:top w:val="single" w:color="808080" w:sz="6" w:space="0"/>
              <w:left w:val="single" w:color="808080" w:sz="6" w:space="0"/>
              <w:bottom w:val="single" w:color="808080" w:sz="6" w:space="0"/>
              <w:right w:val="single" w:color="808080" w:sz="6" w:space="0"/>
            </w:tcBorders>
          </w:tcPr>
          <w:p w:rsidRPr="00127D6A" w:rsidR="005C23A8" w:rsidP="005C23A8" w:rsidRDefault="005C23A8" w14:paraId="0A830941" w14:textId="77777777">
            <w:pPr>
              <w:spacing w:before="100" w:beforeAutospacing="1" w:after="100" w:afterAutospacing="1"/>
              <w:rPr>
                <w:lang w:val="lv-LV"/>
              </w:rPr>
            </w:pPr>
          </w:p>
        </w:tc>
        <w:tc>
          <w:tcPr>
            <w:tcW w:w="2463" w:type="dxa"/>
            <w:tcBorders>
              <w:top w:val="single" w:color="808080" w:sz="6" w:space="0"/>
              <w:left w:val="single" w:color="808080" w:sz="6" w:space="0"/>
              <w:bottom w:val="single" w:color="808080" w:sz="6" w:space="0"/>
              <w:right w:val="single" w:color="808080" w:sz="6" w:space="0"/>
            </w:tcBorders>
          </w:tcPr>
          <w:p w:rsidRPr="00127D6A" w:rsidR="005C23A8" w:rsidP="005C23A8" w:rsidRDefault="005C23A8" w14:paraId="6006B676" w14:textId="77777777">
            <w:pPr>
              <w:spacing w:before="100" w:beforeAutospacing="1" w:after="100" w:afterAutospacing="1"/>
              <w:rPr>
                <w:lang w:val="lv-LV" w:eastAsia="lv-LV"/>
              </w:rPr>
            </w:pPr>
          </w:p>
        </w:tc>
      </w:tr>
    </w:tbl>
    <w:p w:rsidRPr="00127D6A" w:rsidR="007104F2" w:rsidP="007104F2" w:rsidRDefault="007104F2" w14:paraId="25119163" w14:textId="77777777">
      <w:pPr>
        <w:jc w:val="both"/>
        <w:rPr>
          <w:b/>
          <w:bCs/>
          <w:lang w:val="lv-LV"/>
        </w:rPr>
      </w:pPr>
    </w:p>
    <w:p w:rsidRPr="00127D6A" w:rsidR="00D63736" w:rsidP="007104F2" w:rsidRDefault="00D63736" w14:paraId="2E035337" w14:textId="77777777">
      <w:pPr>
        <w:jc w:val="both"/>
        <w:rPr>
          <w:b/>
          <w:bCs/>
          <w:lang w:val="lv-LV"/>
        </w:rPr>
      </w:pPr>
    </w:p>
    <w:p w:rsidRPr="00127D6A" w:rsidR="007104F2" w:rsidP="00D0672B" w:rsidRDefault="007104F2" w14:paraId="509C2D10" w14:textId="77777777">
      <w:pPr>
        <w:pStyle w:val="naiskr"/>
      </w:pPr>
      <w:r w:rsidRPr="00127D6A">
        <w:t xml:space="preserve">Informācija par </w:t>
      </w:r>
      <w:proofErr w:type="spellStart"/>
      <w:r w:rsidRPr="00127D6A">
        <w:t>starpministriju</w:t>
      </w:r>
      <w:proofErr w:type="spellEnd"/>
      <w:r w:rsidRPr="00127D6A">
        <w:t xml:space="preserve"> (starpinstitūciju) sanāksmi vai elektronisko saskaņošanu</w:t>
      </w:r>
    </w:p>
    <w:p w:rsidRPr="00127D6A" w:rsidR="007104F2" w:rsidP="007104F2" w:rsidRDefault="007104F2" w14:paraId="12798E9D" w14:textId="77777777">
      <w:pPr>
        <w:jc w:val="right"/>
        <w:rPr>
          <w:b/>
          <w:bCs/>
          <w:lang w:val="lv-LV"/>
        </w:rPr>
      </w:pPr>
    </w:p>
    <w:p w:rsidR="003C3134" w:rsidP="003C3134" w:rsidRDefault="006F2FAB" w14:paraId="5C60E1AB" w14:textId="484DBC3F">
      <w:pPr>
        <w:rPr>
          <w:b/>
          <w:bCs/>
          <w:lang w:val="lv-LV"/>
        </w:rPr>
      </w:pPr>
      <w:r w:rsidRPr="007F07E6">
        <w:rPr>
          <w:b/>
          <w:bCs/>
          <w:lang w:val="lv-LV"/>
        </w:rPr>
        <w:t>20</w:t>
      </w:r>
      <w:r w:rsidRPr="007F07E6" w:rsidR="00276F0D">
        <w:rPr>
          <w:b/>
          <w:bCs/>
          <w:lang w:val="lv-LV"/>
        </w:rPr>
        <w:t>20</w:t>
      </w:r>
      <w:r w:rsidRPr="007F07E6">
        <w:rPr>
          <w:b/>
          <w:bCs/>
          <w:lang w:val="lv-LV"/>
        </w:rPr>
        <w:t xml:space="preserve">. gada </w:t>
      </w:r>
      <w:r w:rsidRPr="007F07E6" w:rsidR="00FD206C">
        <w:rPr>
          <w:b/>
          <w:bCs/>
          <w:lang w:val="lv-LV"/>
        </w:rPr>
        <w:t>11</w:t>
      </w:r>
      <w:r w:rsidRPr="007F07E6" w:rsidR="006C4F61">
        <w:rPr>
          <w:b/>
          <w:bCs/>
          <w:lang w:val="lv-LV"/>
        </w:rPr>
        <w:t>.</w:t>
      </w:r>
      <w:r w:rsidRPr="007F07E6" w:rsidR="007E3719">
        <w:rPr>
          <w:b/>
          <w:bCs/>
          <w:lang w:val="lv-LV"/>
        </w:rPr>
        <w:t xml:space="preserve"> </w:t>
      </w:r>
      <w:r w:rsidRPr="007F07E6" w:rsidR="00FD206C">
        <w:rPr>
          <w:b/>
          <w:bCs/>
          <w:lang w:val="lv-LV"/>
        </w:rPr>
        <w:t>maijs</w:t>
      </w:r>
    </w:p>
    <w:p w:rsidR="00E175C1" w:rsidP="003C3134" w:rsidRDefault="00E175C1" w14:paraId="693B8D48" w14:textId="7375871C">
      <w:pPr>
        <w:rPr>
          <w:b/>
          <w:bCs/>
          <w:lang w:val="lv-LV"/>
        </w:rPr>
      </w:pPr>
      <w:r>
        <w:rPr>
          <w:b/>
          <w:bCs/>
          <w:lang w:val="lv-LV"/>
        </w:rPr>
        <w:t>2020. gada 20. maijs</w:t>
      </w:r>
    </w:p>
    <w:p w:rsidRPr="00127D6A" w:rsidR="00133AA8" w:rsidP="00C57013" w:rsidRDefault="00133AA8" w14:paraId="0BBE45A6" w14:textId="77777777">
      <w:pPr>
        <w:jc w:val="right"/>
        <w:rPr>
          <w:b/>
          <w:bCs/>
          <w:lang w:val="lv-LV"/>
        </w:rPr>
      </w:pPr>
    </w:p>
    <w:p w:rsidRPr="00127D6A" w:rsidR="004F37B7" w:rsidP="00F313A9" w:rsidRDefault="00133AA8" w14:paraId="1D82B3B2" w14:textId="77777777">
      <w:pPr>
        <w:ind w:left="5760" w:hanging="5760"/>
        <w:jc w:val="both"/>
        <w:rPr>
          <w:lang w:val="lv-LV"/>
        </w:rPr>
      </w:pPr>
      <w:r w:rsidRPr="00127D6A">
        <w:rPr>
          <w:lang w:val="lv-LV"/>
        </w:rPr>
        <w:t xml:space="preserve">Saskaņošanas dalībnieki </w:t>
      </w:r>
      <w:r w:rsidRPr="00127D6A">
        <w:rPr>
          <w:lang w:val="lv-LV"/>
        </w:rPr>
        <w:tab/>
      </w:r>
      <w:bookmarkStart w:name="_Hlk13223932" w:id="0"/>
      <w:r w:rsidRPr="00127D6A" w:rsidR="004E6AAE">
        <w:rPr>
          <w:lang w:val="lv-LV"/>
        </w:rPr>
        <w:t xml:space="preserve">Tieslietu ministrija, </w:t>
      </w:r>
      <w:r w:rsidRPr="00127D6A" w:rsidR="0072789D">
        <w:rPr>
          <w:lang w:val="lv-LV"/>
        </w:rPr>
        <w:t>Finanšu ministrij</w:t>
      </w:r>
      <w:r w:rsidRPr="00127D6A" w:rsidR="00BF2D80">
        <w:rPr>
          <w:lang w:val="lv-LV"/>
        </w:rPr>
        <w:t>a</w:t>
      </w:r>
      <w:bookmarkEnd w:id="0"/>
      <w:r w:rsidRPr="00127D6A" w:rsidR="00C57013">
        <w:rPr>
          <w:lang w:val="lv-LV"/>
        </w:rPr>
        <w:t xml:space="preserve">, </w:t>
      </w:r>
      <w:r w:rsidRPr="00127D6A" w:rsidR="004E6AAE">
        <w:rPr>
          <w:lang w:val="lv-LV"/>
        </w:rPr>
        <w:t xml:space="preserve">Ekonomikas ministrija, </w:t>
      </w:r>
      <w:proofErr w:type="spellStart"/>
      <w:r w:rsidRPr="00127D6A" w:rsidR="004E6AAE">
        <w:rPr>
          <w:lang w:val="lv-LV"/>
        </w:rPr>
        <w:t>Iekšlietu</w:t>
      </w:r>
      <w:proofErr w:type="spellEnd"/>
      <w:r w:rsidRPr="00127D6A" w:rsidR="004E6AAE">
        <w:rPr>
          <w:lang w:val="lv-LV"/>
        </w:rPr>
        <w:t xml:space="preserve"> ministrija, Labklājības ministrija, Vides aizsardzības un reģionālās</w:t>
      </w:r>
      <w:r w:rsidRPr="00127D6A" w:rsidR="0034745B">
        <w:rPr>
          <w:lang w:val="lv-LV"/>
        </w:rPr>
        <w:t xml:space="preserve"> attīstības ministrija, </w:t>
      </w:r>
      <w:proofErr w:type="spellStart"/>
      <w:r w:rsidRPr="00127D6A" w:rsidR="00F313A9">
        <w:rPr>
          <w:lang w:val="lv-LV"/>
        </w:rPr>
        <w:t>Pārresoru</w:t>
      </w:r>
      <w:proofErr w:type="spellEnd"/>
      <w:r w:rsidRPr="00127D6A" w:rsidR="00F313A9">
        <w:rPr>
          <w:lang w:val="lv-LV"/>
        </w:rPr>
        <w:t xml:space="preserve"> koordinācijas centrs, Latvijas Pašvaldību savienība, </w:t>
      </w:r>
      <w:r w:rsidRPr="00127D6A" w:rsidR="0034745B">
        <w:rPr>
          <w:lang w:val="lv-LV"/>
        </w:rPr>
        <w:t>Latvijas Brīvo arodbiedrību savienība</w:t>
      </w:r>
      <w:r w:rsidRPr="00127D6A" w:rsidR="00F313A9">
        <w:rPr>
          <w:lang w:val="lv-LV"/>
        </w:rPr>
        <w:t>, Latvijas Darba devēju konfederācija</w:t>
      </w:r>
      <w:r w:rsidRPr="00127D6A" w:rsidR="002C5C33">
        <w:rPr>
          <w:lang w:val="lv-LV"/>
        </w:rPr>
        <w:t>, Latvijas Tirdzniecības un rūpniecības kamera</w:t>
      </w:r>
    </w:p>
    <w:p w:rsidRPr="00127D6A" w:rsidR="00133AA8" w:rsidP="00C57013" w:rsidRDefault="00133AA8" w14:paraId="3A346498" w14:textId="77777777">
      <w:pPr>
        <w:ind w:left="5760"/>
        <w:jc w:val="both"/>
        <w:rPr>
          <w:lang w:val="lv-LV"/>
        </w:rPr>
      </w:pPr>
    </w:p>
    <w:p w:rsidRPr="00127D6A" w:rsidR="00A03655" w:rsidP="00C57013" w:rsidRDefault="00A03655" w14:paraId="0703E627" w14:textId="77777777">
      <w:pPr>
        <w:ind w:left="5760"/>
        <w:jc w:val="both"/>
        <w:rPr>
          <w:lang w:val="lv-LV"/>
        </w:rPr>
      </w:pPr>
    </w:p>
    <w:tbl>
      <w:tblPr>
        <w:tblW w:w="0" w:type="auto"/>
        <w:tblLook w:val="04A0" w:firstRow="1" w:lastRow="0" w:firstColumn="1" w:lastColumn="0" w:noHBand="0" w:noVBand="1"/>
      </w:tblPr>
      <w:tblGrid>
        <w:gridCol w:w="5688"/>
        <w:gridCol w:w="7317"/>
      </w:tblGrid>
      <w:tr w:rsidRPr="000B7922" w:rsidR="00A03655" w:rsidTr="00A20BFC" w14:paraId="2FBF648B" w14:textId="77777777">
        <w:tc>
          <w:tcPr>
            <w:tcW w:w="5778" w:type="dxa"/>
            <w:shd w:val="clear" w:color="auto" w:fill="auto"/>
          </w:tcPr>
          <w:p w:rsidRPr="00127D6A" w:rsidR="00A03655" w:rsidP="00A20BFC" w:rsidRDefault="00A03655" w14:paraId="3BA10BDC" w14:textId="77777777">
            <w:pPr>
              <w:jc w:val="both"/>
              <w:rPr>
                <w:lang w:val="lv-LV"/>
              </w:rPr>
            </w:pPr>
            <w:r w:rsidRPr="00127D6A">
              <w:rPr>
                <w:lang w:val="lv-LV"/>
              </w:rPr>
              <w:t>Saskaņošanas dalībnieki izskatīja šādu ministriju (citu institūciju) iebildumus</w:t>
            </w:r>
          </w:p>
        </w:tc>
        <w:tc>
          <w:tcPr>
            <w:tcW w:w="7443" w:type="dxa"/>
            <w:shd w:val="clear" w:color="auto" w:fill="auto"/>
          </w:tcPr>
          <w:p w:rsidRPr="00127D6A" w:rsidR="00A03655" w:rsidP="00A20BFC" w:rsidRDefault="00A03655" w14:paraId="2C50B869" w14:textId="590C5A2C">
            <w:pPr>
              <w:jc w:val="both"/>
              <w:rPr>
                <w:lang w:val="lv-LV"/>
              </w:rPr>
            </w:pPr>
            <w:r w:rsidRPr="00127D6A">
              <w:rPr>
                <w:lang w:val="lv-LV"/>
              </w:rPr>
              <w:t xml:space="preserve">Tieslietu ministrija, </w:t>
            </w:r>
            <w:proofErr w:type="spellStart"/>
            <w:r w:rsidRPr="00127D6A">
              <w:rPr>
                <w:lang w:val="lv-LV"/>
              </w:rPr>
              <w:t>Iekšlietu</w:t>
            </w:r>
            <w:proofErr w:type="spellEnd"/>
            <w:r w:rsidRPr="00127D6A">
              <w:rPr>
                <w:lang w:val="lv-LV"/>
              </w:rPr>
              <w:t xml:space="preserve"> ministrija, Vides aizsardzības un reģionālās attīstības ministrija, </w:t>
            </w:r>
            <w:proofErr w:type="spellStart"/>
            <w:r w:rsidRPr="00127D6A">
              <w:rPr>
                <w:lang w:val="lv-LV"/>
              </w:rPr>
              <w:t>Pārresoru</w:t>
            </w:r>
            <w:proofErr w:type="spellEnd"/>
            <w:r w:rsidRPr="00127D6A">
              <w:rPr>
                <w:lang w:val="lv-LV"/>
              </w:rPr>
              <w:t xml:space="preserve"> koordinācijas centrs,</w:t>
            </w:r>
            <w:r w:rsidRPr="00127D6A" w:rsidR="002C5C33">
              <w:rPr>
                <w:lang w:val="lv-LV"/>
              </w:rPr>
              <w:t xml:space="preserve"> Latvijas Tirdzniecības un rūpniecības kamera</w:t>
            </w:r>
            <w:r w:rsidR="00AB024A">
              <w:rPr>
                <w:lang w:val="lv-LV"/>
              </w:rPr>
              <w:t>, Finanšu ministrija</w:t>
            </w:r>
          </w:p>
        </w:tc>
      </w:tr>
    </w:tbl>
    <w:p w:rsidRPr="00127D6A" w:rsidR="00D63736" w:rsidP="00A03655" w:rsidRDefault="00D63736" w14:paraId="5C80FE83" w14:textId="7ECD3B6C">
      <w:pPr>
        <w:jc w:val="both"/>
        <w:rPr>
          <w:lang w:val="lv-LV"/>
        </w:rPr>
      </w:pPr>
    </w:p>
    <w:p w:rsidRPr="00127D6A" w:rsidR="00133AA8" w:rsidP="00A03655" w:rsidRDefault="00133AA8" w14:paraId="5BB0D582" w14:textId="77777777">
      <w:pPr>
        <w:jc w:val="both"/>
        <w:rPr>
          <w:lang w:val="lv-LV"/>
        </w:rPr>
      </w:pPr>
      <w:r w:rsidRPr="00127D6A">
        <w:rPr>
          <w:lang w:val="lv-LV"/>
        </w:rPr>
        <w:tab/>
      </w:r>
      <w:r w:rsidRPr="00127D6A" w:rsidR="00F35E21">
        <w:rPr>
          <w:lang w:val="lv-LV"/>
        </w:rPr>
        <w:t xml:space="preserve"> </w:t>
      </w:r>
    </w:p>
    <w:p w:rsidRPr="00127D6A" w:rsidR="00805239" w:rsidP="00A03655" w:rsidRDefault="00805239" w14:paraId="29FBC7FA" w14:textId="77777777">
      <w:pPr>
        <w:jc w:val="both"/>
        <w:rPr>
          <w:lang w:val="lv-LV"/>
        </w:rPr>
      </w:pPr>
    </w:p>
    <w:p w:rsidRPr="00127D6A" w:rsidR="004F37B7" w:rsidP="00133AA8" w:rsidRDefault="00133AA8" w14:paraId="3B337CF0" w14:textId="77777777">
      <w:pPr>
        <w:ind w:left="5760" w:hanging="5760"/>
        <w:jc w:val="both"/>
        <w:rPr>
          <w:lang w:val="lv-LV"/>
        </w:rPr>
      </w:pPr>
      <w:r w:rsidRPr="00127D6A">
        <w:rPr>
          <w:lang w:val="lv-LV"/>
        </w:rPr>
        <w:t xml:space="preserve"> </w:t>
      </w:r>
      <w:r w:rsidRPr="00127D6A" w:rsidR="004F37B7">
        <w:rPr>
          <w:lang w:val="lv-LV"/>
        </w:rPr>
        <w:t xml:space="preserve">                                                     </w:t>
      </w:r>
    </w:p>
    <w:p w:rsidRPr="00127D6A" w:rsidR="0096570E" w:rsidP="001638F1" w:rsidRDefault="00133AA8" w14:paraId="414CE917" w14:textId="77777777">
      <w:pPr>
        <w:ind w:left="5760" w:hanging="5760"/>
        <w:rPr>
          <w:lang w:val="lv-LV"/>
        </w:rPr>
      </w:pPr>
      <w:r w:rsidRPr="00127D6A">
        <w:rPr>
          <w:lang w:val="lv-LV"/>
        </w:rPr>
        <w:t xml:space="preserve">Ministrijas (citas institūcijas), kuras nav ieradušās uz </w:t>
      </w:r>
      <w:r w:rsidRPr="00127D6A" w:rsidR="0096570E">
        <w:rPr>
          <w:lang w:val="lv-LV"/>
        </w:rPr>
        <w:tab/>
      </w:r>
    </w:p>
    <w:p w:rsidRPr="00127D6A" w:rsidR="0096570E" w:rsidP="00C82E81" w:rsidRDefault="00133AA8" w14:paraId="3E96F265" w14:textId="77777777">
      <w:pPr>
        <w:ind w:left="5760" w:hanging="5760"/>
        <w:jc w:val="both"/>
        <w:rPr>
          <w:lang w:val="lv-LV"/>
        </w:rPr>
      </w:pPr>
      <w:r w:rsidRPr="00127D6A">
        <w:rPr>
          <w:lang w:val="lv-LV"/>
        </w:rPr>
        <w:t>sanāksmi vai kuras nav atbildējušas uz uzaicinājumu</w:t>
      </w:r>
      <w:r w:rsidRPr="00127D6A" w:rsidR="0096570E">
        <w:rPr>
          <w:lang w:val="lv-LV"/>
        </w:rPr>
        <w:tab/>
      </w:r>
    </w:p>
    <w:p w:rsidRPr="00127D6A" w:rsidR="0096570E" w:rsidP="00985052" w:rsidRDefault="0096570E" w14:paraId="3FDDDAC4" w14:textId="77777777">
      <w:pPr>
        <w:tabs>
          <w:tab w:val="left" w:pos="720"/>
          <w:tab w:val="left" w:pos="1440"/>
          <w:tab w:val="left" w:pos="2160"/>
          <w:tab w:val="left" w:pos="2880"/>
          <w:tab w:val="left" w:pos="3600"/>
          <w:tab w:val="left" w:pos="4320"/>
          <w:tab w:val="left" w:pos="5040"/>
          <w:tab w:val="left" w:pos="5760"/>
          <w:tab w:val="left" w:pos="11140"/>
        </w:tabs>
        <w:jc w:val="both"/>
        <w:rPr>
          <w:lang w:val="lv-LV"/>
        </w:rPr>
      </w:pPr>
      <w:r w:rsidRPr="00127D6A">
        <w:rPr>
          <w:lang w:val="lv-LV"/>
        </w:rPr>
        <w:t xml:space="preserve">piedalīties elektroniskajā saskaņošanā </w:t>
      </w:r>
      <w:r w:rsidRPr="00127D6A">
        <w:rPr>
          <w:lang w:val="lv-LV"/>
        </w:rPr>
        <w:tab/>
      </w:r>
      <w:r w:rsidRPr="00127D6A">
        <w:rPr>
          <w:lang w:val="lv-LV"/>
        </w:rPr>
        <w:tab/>
      </w:r>
      <w:r w:rsidRPr="00127D6A">
        <w:rPr>
          <w:lang w:val="lv-LV"/>
        </w:rPr>
        <w:tab/>
      </w:r>
      <w:r w:rsidRPr="00127D6A" w:rsidR="00985052">
        <w:rPr>
          <w:lang w:val="lv-LV"/>
        </w:rPr>
        <w:tab/>
      </w:r>
    </w:p>
    <w:p w:rsidRPr="00127D6A" w:rsidR="00133AA8" w:rsidP="007104F2" w:rsidRDefault="00133AA8" w14:paraId="3D1E7562" w14:textId="77777777">
      <w:pPr>
        <w:jc w:val="right"/>
        <w:rPr>
          <w:b/>
          <w:bCs/>
          <w:lang w:val="lv-LV"/>
        </w:rPr>
      </w:pPr>
    </w:p>
    <w:p w:rsidRPr="00127D6A" w:rsidR="001F4823" w:rsidP="00173F04" w:rsidRDefault="009C49F1" w14:paraId="548A04D2" w14:textId="77777777">
      <w:pPr>
        <w:jc w:val="both"/>
        <w:rPr>
          <w:bCs/>
          <w:lang w:val="lv-LV"/>
        </w:rPr>
      </w:pPr>
      <w:r w:rsidRPr="00127D6A">
        <w:rPr>
          <w:bCs/>
          <w:lang w:val="lv-LV"/>
        </w:rPr>
        <w:t xml:space="preserve">Saskaņošanas dalībnieki izskatīja </w:t>
      </w:r>
      <w:r w:rsidRPr="00127D6A" w:rsidR="00E34DC4">
        <w:rPr>
          <w:bCs/>
          <w:lang w:val="lv-LV"/>
        </w:rPr>
        <w:t>precizēto</w:t>
      </w:r>
      <w:r w:rsidRPr="00127D6A">
        <w:rPr>
          <w:bCs/>
          <w:lang w:val="lv-LV"/>
        </w:rPr>
        <w:t xml:space="preserve"> </w:t>
      </w:r>
      <w:r w:rsidRPr="007F07E6" w:rsidR="00827FF2">
        <w:rPr>
          <w:bCs/>
          <w:lang w:val="lv-LV"/>
        </w:rPr>
        <w:t xml:space="preserve">Konceptuālā </w:t>
      </w:r>
      <w:r w:rsidRPr="007F07E6" w:rsidR="00106133">
        <w:rPr>
          <w:bCs/>
          <w:lang w:val="lv-LV"/>
        </w:rPr>
        <w:t>ziņojuma</w:t>
      </w:r>
      <w:r w:rsidRPr="007F07E6" w:rsidR="00E34DC4">
        <w:rPr>
          <w:bCs/>
          <w:lang w:val="lv-LV"/>
        </w:rPr>
        <w:t xml:space="preserve"> projektu</w:t>
      </w:r>
      <w:r w:rsidRPr="007F07E6">
        <w:rPr>
          <w:bCs/>
          <w:lang w:val="lv-LV"/>
        </w:rPr>
        <w:t>.</w:t>
      </w:r>
    </w:p>
    <w:p w:rsidRPr="00127D6A" w:rsidR="00BB63FA" w:rsidP="00173F04" w:rsidRDefault="00BB63FA" w14:paraId="4DE7CC6C" w14:textId="77777777">
      <w:pPr>
        <w:jc w:val="both"/>
        <w:rPr>
          <w:bCs/>
          <w:lang w:val="lv-LV"/>
        </w:rPr>
      </w:pPr>
    </w:p>
    <w:p w:rsidRPr="00127D6A" w:rsidR="006E19BC" w:rsidP="00A13E35" w:rsidRDefault="00BB63FA" w14:paraId="509A26CC" w14:textId="77777777">
      <w:pPr>
        <w:pStyle w:val="naisf"/>
        <w:spacing w:before="0" w:after="0"/>
        <w:jc w:val="left"/>
        <w:rPr>
          <w:b/>
          <w:lang w:val="lv-LV"/>
        </w:rPr>
      </w:pPr>
      <w:r w:rsidRPr="00127D6A">
        <w:rPr>
          <w:rFonts w:ascii="Times New Roman" w:hAnsi="Times New Roman"/>
          <w:lang w:val="lv-LV"/>
        </w:rPr>
        <w:tab/>
      </w:r>
    </w:p>
    <w:p w:rsidRPr="00127D6A" w:rsidR="00F23B79" w:rsidP="00D93E9F" w:rsidRDefault="00A5556A" w14:paraId="44CF389A" w14:textId="77777777">
      <w:pPr>
        <w:pStyle w:val="naisnod"/>
        <w:rPr>
          <w:b/>
        </w:rPr>
      </w:pPr>
      <w:r w:rsidRPr="00127D6A">
        <w:rPr>
          <w:b/>
        </w:rPr>
        <w:t>II. Jautājumi, par kuriem saskaņošanā vienošanās ir panākta</w:t>
      </w:r>
    </w:p>
    <w:tbl>
      <w:tblPr>
        <w:tblW w:w="13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7"/>
        <w:gridCol w:w="2846"/>
        <w:gridCol w:w="3770"/>
        <w:gridCol w:w="2703"/>
        <w:gridCol w:w="2960"/>
      </w:tblGrid>
      <w:tr w:rsidRPr="000B7922" w:rsidR="005125E2" w:rsidTr="00322FBF" w14:paraId="5AF17E11" w14:textId="77777777">
        <w:trPr>
          <w:trHeight w:val="2455"/>
          <w:jc w:val="center"/>
        </w:trPr>
        <w:tc>
          <w:tcPr>
            <w:tcW w:w="977" w:type="dxa"/>
          </w:tcPr>
          <w:p w:rsidRPr="00127D6A" w:rsidR="005125E2" w:rsidP="00A67A33" w:rsidRDefault="005125E2" w14:paraId="5CBB3347" w14:textId="77777777">
            <w:pPr>
              <w:jc w:val="center"/>
              <w:rPr>
                <w:lang w:val="lv-LV"/>
              </w:rPr>
            </w:pPr>
            <w:r w:rsidRPr="00127D6A">
              <w:rPr>
                <w:lang w:val="lv-LV"/>
              </w:rPr>
              <w:t>Nr. P.k.</w:t>
            </w:r>
          </w:p>
        </w:tc>
        <w:tc>
          <w:tcPr>
            <w:tcW w:w="2846" w:type="dxa"/>
            <w:vAlign w:val="center"/>
          </w:tcPr>
          <w:p w:rsidRPr="00127D6A" w:rsidR="005125E2" w:rsidP="00A67A33" w:rsidRDefault="005125E2" w14:paraId="14AB01A3" w14:textId="77777777">
            <w:pPr>
              <w:jc w:val="center"/>
              <w:rPr>
                <w:lang w:val="lv-LV"/>
              </w:rPr>
            </w:pPr>
            <w:r w:rsidRPr="00127D6A">
              <w:rPr>
                <w:lang w:val="lv-LV"/>
              </w:rPr>
              <w:t>Saskaņošanai nosūtītā projekta redakcija (konkrēta punkta (panta) redakcija)</w:t>
            </w:r>
          </w:p>
        </w:tc>
        <w:tc>
          <w:tcPr>
            <w:tcW w:w="3770" w:type="dxa"/>
            <w:vAlign w:val="center"/>
          </w:tcPr>
          <w:p w:rsidRPr="00127D6A" w:rsidR="005125E2" w:rsidP="00A67A33" w:rsidRDefault="005125E2" w14:paraId="7F6A91B1" w14:textId="77777777">
            <w:pPr>
              <w:jc w:val="center"/>
              <w:rPr>
                <w:lang w:val="lv-LV"/>
              </w:rPr>
            </w:pPr>
            <w:r w:rsidRPr="00127D6A">
              <w:rPr>
                <w:lang w:val="lv-LV"/>
              </w:rPr>
              <w:t>Atzinumā norādītais ministrijas (citas institūcijas) iebildums par projekta konkrēto punktu (pantu)</w:t>
            </w:r>
          </w:p>
        </w:tc>
        <w:tc>
          <w:tcPr>
            <w:tcW w:w="2703" w:type="dxa"/>
            <w:vAlign w:val="center"/>
          </w:tcPr>
          <w:p w:rsidRPr="00127D6A" w:rsidR="005125E2" w:rsidP="00A67A33" w:rsidRDefault="005125E2" w14:paraId="36643E72" w14:textId="77777777">
            <w:pPr>
              <w:jc w:val="center"/>
              <w:rPr>
                <w:lang w:val="lv-LV"/>
              </w:rPr>
            </w:pPr>
            <w:r w:rsidRPr="00127D6A">
              <w:rPr>
                <w:lang w:val="lv-LV"/>
              </w:rPr>
              <w:t>Ministrijas (citas institūcijas) viedoklis par izteikto iebildumu (attiecīgi norādot, vai iebildums ir ņemts vērā, noraidīts vai panākta vienošanās starpinstitūciju sanāksmē)</w:t>
            </w:r>
          </w:p>
        </w:tc>
        <w:tc>
          <w:tcPr>
            <w:tcW w:w="2960" w:type="dxa"/>
            <w:vAlign w:val="center"/>
          </w:tcPr>
          <w:p w:rsidRPr="00127D6A" w:rsidR="005125E2" w:rsidP="00A67A33" w:rsidRDefault="005125E2" w14:paraId="3EBC5ABB" w14:textId="77777777">
            <w:pPr>
              <w:jc w:val="center"/>
              <w:rPr>
                <w:lang w:val="lv-LV"/>
              </w:rPr>
            </w:pPr>
            <w:r w:rsidRPr="00127D6A">
              <w:rPr>
                <w:lang w:val="lv-LV"/>
              </w:rPr>
              <w:t>Projekta attiecīgā punkta (panta) galīgā redakcija vai atsauce uz starpinstitūciju sanāksmes protokola punktu, kurā ir formulēta attiecīgā punkta (panta) redakcija vai atšķirīgie viedokļi par konkrēto punktu (pantu)</w:t>
            </w:r>
          </w:p>
        </w:tc>
      </w:tr>
      <w:tr w:rsidRPr="000B7922" w:rsidR="005C0604" w:rsidTr="00322FBF" w14:paraId="2FFF8A16" w14:textId="77777777">
        <w:trPr>
          <w:trHeight w:val="2455"/>
          <w:jc w:val="center"/>
        </w:trPr>
        <w:tc>
          <w:tcPr>
            <w:tcW w:w="977" w:type="dxa"/>
          </w:tcPr>
          <w:p w:rsidRPr="00127D6A" w:rsidR="005C0604" w:rsidP="005C0604" w:rsidRDefault="003369A8" w14:paraId="7D7E2C9C" w14:textId="77777777">
            <w:pPr>
              <w:jc w:val="both"/>
              <w:rPr>
                <w:lang w:val="lv-LV"/>
              </w:rPr>
            </w:pPr>
            <w:r w:rsidRPr="00127D6A">
              <w:rPr>
                <w:lang w:val="lv-LV"/>
              </w:rPr>
              <w:t>1.</w:t>
            </w:r>
          </w:p>
        </w:tc>
        <w:tc>
          <w:tcPr>
            <w:tcW w:w="2846" w:type="dxa"/>
          </w:tcPr>
          <w:p w:rsidRPr="00127D6A" w:rsidR="005C0604" w:rsidP="005C0604" w:rsidRDefault="005C0604" w14:paraId="6C826617" w14:textId="77777777">
            <w:pPr>
              <w:ind w:left="34" w:right="-6"/>
              <w:jc w:val="both"/>
              <w:rPr>
                <w:strike/>
                <w:lang w:val="lv-LV"/>
              </w:rPr>
            </w:pPr>
          </w:p>
        </w:tc>
        <w:tc>
          <w:tcPr>
            <w:tcW w:w="3770" w:type="dxa"/>
          </w:tcPr>
          <w:p w:rsidRPr="00127D6A" w:rsidR="00A557F2" w:rsidP="005C0604" w:rsidRDefault="005C0604" w14:paraId="7F36AAFC" w14:textId="0E4750F5">
            <w:pPr>
              <w:jc w:val="both"/>
              <w:rPr>
                <w:b/>
                <w:bCs/>
                <w:lang w:val="lv-LV"/>
              </w:rPr>
            </w:pPr>
            <w:r w:rsidRPr="00127D6A">
              <w:rPr>
                <w:b/>
                <w:bCs/>
                <w:lang w:val="lv-LV"/>
              </w:rPr>
              <w:t>Latvijas tirdzniecības un rūpniecības kamera (26.03.2020</w:t>
            </w:r>
            <w:r w:rsidR="00DD7D7A">
              <w:rPr>
                <w:b/>
                <w:bCs/>
                <w:lang w:val="lv-LV"/>
              </w:rPr>
              <w:t>.</w:t>
            </w:r>
            <w:r w:rsidRPr="00127D6A">
              <w:rPr>
                <w:b/>
                <w:bCs/>
                <w:lang w:val="lv-LV"/>
              </w:rPr>
              <w:t>)</w:t>
            </w:r>
          </w:p>
          <w:p w:rsidRPr="00127D6A" w:rsidR="005C0604" w:rsidP="005C0604" w:rsidRDefault="005C0604" w14:paraId="6DBB791D" w14:textId="77777777">
            <w:pPr>
              <w:jc w:val="both"/>
              <w:rPr>
                <w:lang w:val="lv-LV"/>
              </w:rPr>
            </w:pPr>
            <w:r w:rsidRPr="00127D6A">
              <w:rPr>
                <w:lang w:val="lv-LV"/>
              </w:rPr>
              <w:t xml:space="preserve">Direktīvas Nr. 2010/40/ES preambulas 5.punktā ir teikts “Progresam, kas panākts informācijas un sakaru tehnoloģiju piemērošanas jomā citos transporta veidos, tagad būtu jāatspoguļojas arī autotransporta nozares attīstībā, jo īpaši cenšoties nodrošināt plašāku autotransporta integrāciju ar citiem transporta veidiem.” Savukārt vienā no šīs direktīvas izrietošajām regulām Nr.2017/1926 preambulas 8.punktā ir norādīts kādi citi transporta veidi tiek domāti. “Šajā </w:t>
            </w:r>
            <w:r w:rsidRPr="00127D6A">
              <w:rPr>
                <w:lang w:val="lv-LV"/>
              </w:rPr>
              <w:lastRenderedPageBreak/>
              <w:t xml:space="preserve">regulā noteiktās specifikācijas būtu jāpiemēro visiem transporta veidiem Savienībā, piemēram, pēc saraksta kursējošam transportam (gaisa, dzelzceļa, tostarp ātrgaitas dzelzceļa, parastā dzelzceļa un vieglā dzelzceļa transports, tālsatiksmes autobusi, jūras transports, tostarp prāmji, metro, tramvajs, autobuss, trolejbuss, trošu ceļu transports), transportam pēc pieprasījuma (organizēts autobuss, organizēts prāmis, taksometrs, </w:t>
            </w:r>
            <w:proofErr w:type="spellStart"/>
            <w:r w:rsidRPr="00127D6A">
              <w:rPr>
                <w:lang w:val="lv-LV"/>
              </w:rPr>
              <w:t>kopbraukšana</w:t>
            </w:r>
            <w:proofErr w:type="spellEnd"/>
            <w:r w:rsidRPr="00127D6A">
              <w:rPr>
                <w:lang w:val="lv-LV"/>
              </w:rPr>
              <w:t xml:space="preserve">, automobiļu koplietojums, autonoma, velosipēdu koplietojums, </w:t>
            </w:r>
            <w:proofErr w:type="spellStart"/>
            <w:r w:rsidRPr="00127D6A">
              <w:rPr>
                <w:lang w:val="lv-LV"/>
              </w:rPr>
              <w:t>velonoma</w:t>
            </w:r>
            <w:proofErr w:type="spellEnd"/>
            <w:r w:rsidRPr="00127D6A">
              <w:rPr>
                <w:lang w:val="lv-LV"/>
              </w:rPr>
              <w:t>, specializētā transporta pakalpojumi cilvēkiem ar īpašām vajadzībām) un personīgajiem transportlīdzekļiem (automašīnas, motocikli, velosipēdi, iešana ar kājām). …“</w:t>
            </w:r>
          </w:p>
          <w:p w:rsidRPr="00127D6A" w:rsidR="005C0604" w:rsidP="005C0604" w:rsidRDefault="005C0604" w14:paraId="5A46C667" w14:textId="5CDCBDDD">
            <w:pPr>
              <w:jc w:val="both"/>
              <w:rPr>
                <w:lang w:val="lv-LV"/>
              </w:rPr>
            </w:pPr>
            <w:r w:rsidRPr="00127D6A">
              <w:rPr>
                <w:lang w:val="lv-LV"/>
              </w:rPr>
              <w:t xml:space="preserve">Ņemot vērā minēto, no Projekta nav saprotams, kā direktīvas un regulas mērķis tiks sasniegts, jo no aprakstītajām aktivitātēm nevar precīzi saprast vai un kā ir paredzēts integrēt visus (regulā paredzētos) transporta veidus. </w:t>
            </w:r>
          </w:p>
          <w:p w:rsidRPr="00127D6A" w:rsidR="005C0604" w:rsidP="005C0604" w:rsidRDefault="005C0604" w14:paraId="6836548D" w14:textId="77777777">
            <w:pPr>
              <w:jc w:val="both"/>
              <w:rPr>
                <w:b/>
                <w:bCs/>
                <w:lang w:val="lv-LV"/>
              </w:rPr>
            </w:pPr>
          </w:p>
        </w:tc>
        <w:tc>
          <w:tcPr>
            <w:tcW w:w="2703" w:type="dxa"/>
          </w:tcPr>
          <w:p w:rsidRPr="00127D6A" w:rsidR="00A557F2" w:rsidP="00E06917" w:rsidRDefault="00DD7D7A" w14:paraId="1AA63528" w14:textId="60F973CF">
            <w:pPr>
              <w:jc w:val="center"/>
              <w:rPr>
                <w:b/>
                <w:bCs/>
                <w:lang w:val="lv-LV"/>
              </w:rPr>
            </w:pPr>
            <w:r>
              <w:rPr>
                <w:b/>
                <w:bCs/>
                <w:lang w:val="lv-LV"/>
              </w:rPr>
              <w:lastRenderedPageBreak/>
              <w:t>Panākta vienošanās saskaņošanas laikā</w:t>
            </w:r>
            <w:r w:rsidRPr="00127D6A" w:rsidR="005C0604">
              <w:rPr>
                <w:b/>
                <w:bCs/>
                <w:lang w:val="lv-LV"/>
              </w:rPr>
              <w:t>.</w:t>
            </w:r>
          </w:p>
          <w:p w:rsidRPr="00127D6A" w:rsidR="005C0604" w:rsidP="005C0604" w:rsidRDefault="005C0604" w14:paraId="20FB64F2" w14:textId="28CB6C12">
            <w:pPr>
              <w:jc w:val="both"/>
              <w:rPr>
                <w:lang w:val="lv-LV"/>
              </w:rPr>
            </w:pPr>
            <w:r w:rsidRPr="00127D6A">
              <w:rPr>
                <w:lang w:val="lv-LV"/>
              </w:rPr>
              <w:t xml:space="preserve">Attiecībā uz jautājumu, vai un kā ir paredzēts integrēt visus (regulā paredzētos) transporta veidus, informējam, ka tiek plānots, ka atbilstoši Komisijas 2017.gada 31.maija Deleģētajai regulai Nr.2017/1926, ar ko papildina Eiropas Parlamenta un Padomes Direktīvu 2010/40/ES attiecībā uz ES mēroga multimodālu maršruta </w:t>
            </w:r>
            <w:r w:rsidRPr="00127D6A">
              <w:rPr>
                <w:lang w:val="lv-LV"/>
              </w:rPr>
              <w:lastRenderedPageBreak/>
              <w:t xml:space="preserve">informācijas pakalpojumu sniegšanu (turpmāk – Regula Nr.2017/1926), transporta nozares (valsts) piekļuves punktā (turpmāk – NPP) </w:t>
            </w:r>
            <w:r w:rsidR="000B7922">
              <w:rPr>
                <w:lang w:val="lv-LV"/>
              </w:rPr>
              <w:t xml:space="preserve">ir paredzēts </w:t>
            </w:r>
            <w:r w:rsidRPr="00127D6A">
              <w:rPr>
                <w:lang w:val="lv-LV"/>
              </w:rPr>
              <w:t xml:space="preserve">integrēt visus transporta veidus un ar tiem saistītos pieejamos mašīnlasāmā formātā Regulā Nr.2017/1926 paredzētos datus. </w:t>
            </w:r>
          </w:p>
          <w:p w:rsidRPr="00127D6A" w:rsidR="005C0604" w:rsidP="005C0604" w:rsidRDefault="005C0604" w14:paraId="675C5F2B" w14:textId="77777777">
            <w:pPr>
              <w:jc w:val="both"/>
              <w:rPr>
                <w:lang w:val="lv-LV"/>
              </w:rPr>
            </w:pPr>
          </w:p>
          <w:p w:rsidRPr="00127D6A" w:rsidR="005C0604" w:rsidP="005C0604" w:rsidRDefault="005C0604" w14:paraId="5DBBEADB" w14:textId="77777777">
            <w:pPr>
              <w:jc w:val="both"/>
              <w:rPr>
                <w:b/>
                <w:bCs/>
                <w:lang w:val="lv-LV"/>
              </w:rPr>
            </w:pPr>
          </w:p>
        </w:tc>
        <w:tc>
          <w:tcPr>
            <w:tcW w:w="2960" w:type="dxa"/>
          </w:tcPr>
          <w:p w:rsidRPr="00127D6A" w:rsidR="005C0604" w:rsidP="005C0604" w:rsidRDefault="005C0604" w14:paraId="0D2DC587" w14:textId="77777777">
            <w:pPr>
              <w:pStyle w:val="BodyText"/>
              <w:jc w:val="both"/>
              <w:rPr>
                <w:sz w:val="24"/>
              </w:rPr>
            </w:pPr>
          </w:p>
        </w:tc>
      </w:tr>
      <w:tr w:rsidRPr="000B7922" w:rsidR="005C0604" w:rsidTr="00322FBF" w14:paraId="40F8BE95" w14:textId="77777777">
        <w:trPr>
          <w:trHeight w:val="2455"/>
          <w:jc w:val="center"/>
        </w:trPr>
        <w:tc>
          <w:tcPr>
            <w:tcW w:w="977" w:type="dxa"/>
          </w:tcPr>
          <w:p w:rsidRPr="00127D6A" w:rsidR="005C0604" w:rsidP="005C0604" w:rsidRDefault="003369A8" w14:paraId="796130C0" w14:textId="77777777">
            <w:pPr>
              <w:jc w:val="both"/>
              <w:rPr>
                <w:lang w:val="lv-LV"/>
              </w:rPr>
            </w:pPr>
            <w:r w:rsidRPr="00127D6A">
              <w:rPr>
                <w:lang w:val="lv-LV"/>
              </w:rPr>
              <w:lastRenderedPageBreak/>
              <w:t>2.</w:t>
            </w:r>
          </w:p>
        </w:tc>
        <w:tc>
          <w:tcPr>
            <w:tcW w:w="2846" w:type="dxa"/>
          </w:tcPr>
          <w:p w:rsidRPr="00127D6A" w:rsidR="005C0604" w:rsidP="005C0604" w:rsidRDefault="005C0604" w14:paraId="20982FE3" w14:textId="77777777">
            <w:pPr>
              <w:ind w:left="34" w:right="-6"/>
              <w:jc w:val="both"/>
              <w:rPr>
                <w:strike/>
                <w:lang w:val="lv-LV"/>
              </w:rPr>
            </w:pPr>
          </w:p>
        </w:tc>
        <w:tc>
          <w:tcPr>
            <w:tcW w:w="3770" w:type="dxa"/>
          </w:tcPr>
          <w:p w:rsidRPr="00127D6A" w:rsidR="00A557F2" w:rsidP="005C0604" w:rsidRDefault="005C0604" w14:paraId="511F807E" w14:textId="1B6CB62E">
            <w:pPr>
              <w:jc w:val="both"/>
              <w:rPr>
                <w:b/>
                <w:bCs/>
                <w:lang w:val="lv-LV"/>
              </w:rPr>
            </w:pPr>
            <w:r w:rsidRPr="00127D6A">
              <w:rPr>
                <w:b/>
                <w:bCs/>
                <w:lang w:val="lv-LV"/>
              </w:rPr>
              <w:t>Latvijas tirdzniecības un rūpniecības kamera (26.03.2020</w:t>
            </w:r>
            <w:r w:rsidR="00A557F2">
              <w:rPr>
                <w:b/>
                <w:bCs/>
                <w:lang w:val="lv-LV"/>
              </w:rPr>
              <w:t>.</w:t>
            </w:r>
            <w:r w:rsidRPr="00127D6A">
              <w:rPr>
                <w:b/>
                <w:bCs/>
                <w:lang w:val="lv-LV"/>
              </w:rPr>
              <w:t>)</w:t>
            </w:r>
          </w:p>
          <w:p w:rsidRPr="00127D6A" w:rsidR="005C0604" w:rsidP="005C0604" w:rsidRDefault="005C0604" w14:paraId="6DF64C0C" w14:textId="77777777">
            <w:pPr>
              <w:jc w:val="both"/>
              <w:rPr>
                <w:lang w:val="lv-LV"/>
              </w:rPr>
            </w:pPr>
            <w:r w:rsidRPr="00127D6A">
              <w:rPr>
                <w:lang w:val="lv-LV"/>
              </w:rPr>
              <w:t>Projektā kā viena no divām īstenojamajām aktivitātēm ir “Projekts 1.1. Nacionālā piekļuves punkta izstrāde un ieviešana”. Tai pat laikā netiek izklāstīts vai visiem datu devējiem, kuri norādīti Projekta pielikumā būs paredzēta IS attīstība (jaunu vai esošu pilnveidošana) šo datu padošanas pienākuma nodrošināšanai.</w:t>
            </w:r>
          </w:p>
          <w:p w:rsidRPr="00127D6A" w:rsidR="005C0604" w:rsidP="005C0604" w:rsidRDefault="005C0604" w14:paraId="1CD05CBA" w14:textId="77777777">
            <w:pPr>
              <w:jc w:val="both"/>
              <w:rPr>
                <w:lang w:val="lv-LV"/>
              </w:rPr>
            </w:pPr>
            <w:r w:rsidRPr="00127D6A">
              <w:rPr>
                <w:lang w:val="lv-LV"/>
              </w:rPr>
              <w:t xml:space="preserve">Šo nepietiekami aptvertā mēroga risku apstiprina arī Projekta 5.punktā rakstītais, kur pie īstenojamajām aktivitātēm paredzēta valsts ceļu infrastruktūras pārvaldītāja valsts akciju sabiedrības “Latvijas Valsts ceļi” satiksmes informācijas centra infrastruktūras, aprīkojuma un spēju uzlabošana, bet nav paredzēts citu saistīto iestāžu infrastruktūras, aprīkojuma un spēju uzlabošana. Tā piemēram, Projekts 1.2. IS izstrāde un ieviešana ITS pakalpojumu sniegšanai (ar visām tā </w:t>
            </w:r>
            <w:proofErr w:type="spellStart"/>
            <w:r w:rsidRPr="00127D6A">
              <w:rPr>
                <w:lang w:val="lv-LV"/>
              </w:rPr>
              <w:t>apakšaktivitātēm</w:t>
            </w:r>
            <w:proofErr w:type="spellEnd"/>
            <w:r w:rsidRPr="00127D6A">
              <w:rPr>
                <w:lang w:val="lv-LV"/>
              </w:rPr>
              <w:t xml:space="preserve">: 1.2.1. IS izstrāde un ieviešana tiesībaizsardzības ITS pakalpojumu sniegšanai; 1.2.2. IS izveide sabiedriskā transporta pārvaldībai un ar maršruta plānošanu saistīto ITS pakalpojumu sniegšanai; 1.2.3. IS izveide ar infrastruktūras plānošanas un pārvaldības saistīto ITS pakalpojumu sniegšanai.), šobrīd </w:t>
            </w:r>
            <w:r w:rsidRPr="00127D6A">
              <w:rPr>
                <w:lang w:val="lv-LV"/>
              </w:rPr>
              <w:lastRenderedPageBreak/>
              <w:t xml:space="preserve">netiek paredzēts kā īstenojamais pasākums. </w:t>
            </w:r>
          </w:p>
          <w:p w:rsidRPr="00127D6A" w:rsidR="005C0604" w:rsidP="005C0604" w:rsidRDefault="005C0604" w14:paraId="0082027F" w14:textId="77777777">
            <w:pPr>
              <w:jc w:val="both"/>
              <w:rPr>
                <w:lang w:val="lv-LV"/>
              </w:rPr>
            </w:pPr>
          </w:p>
          <w:p w:rsidRPr="00127D6A" w:rsidR="005C0604" w:rsidP="005C0604" w:rsidRDefault="005C0604" w14:paraId="16A67B16" w14:textId="77777777">
            <w:pPr>
              <w:jc w:val="both"/>
              <w:rPr>
                <w:b/>
                <w:bCs/>
                <w:lang w:val="lv-LV"/>
              </w:rPr>
            </w:pPr>
          </w:p>
        </w:tc>
        <w:tc>
          <w:tcPr>
            <w:tcW w:w="2703" w:type="dxa"/>
          </w:tcPr>
          <w:p w:rsidR="00A557F2" w:rsidP="00E06917" w:rsidRDefault="000B7922" w14:paraId="63CD666E" w14:textId="3495D5F5">
            <w:pPr>
              <w:jc w:val="center"/>
              <w:rPr>
                <w:b/>
                <w:bCs/>
                <w:lang w:val="lv-LV"/>
              </w:rPr>
            </w:pPr>
            <w:r>
              <w:rPr>
                <w:b/>
                <w:bCs/>
                <w:lang w:val="lv-LV"/>
              </w:rPr>
              <w:lastRenderedPageBreak/>
              <w:t>Panākta vienošanās saskaņošanas laikā</w:t>
            </w:r>
            <w:r w:rsidRPr="00127D6A">
              <w:rPr>
                <w:b/>
                <w:bCs/>
                <w:lang w:val="lv-LV"/>
              </w:rPr>
              <w:t>.</w:t>
            </w:r>
          </w:p>
          <w:p w:rsidRPr="00127D6A" w:rsidR="005C0604" w:rsidP="005C0604" w:rsidRDefault="005C0604" w14:paraId="46930BAA" w14:textId="5B89E279">
            <w:pPr>
              <w:jc w:val="both"/>
              <w:rPr>
                <w:lang w:val="lv-LV"/>
              </w:rPr>
            </w:pPr>
            <w:r w:rsidRPr="00127D6A">
              <w:rPr>
                <w:lang w:val="lv-LV"/>
              </w:rPr>
              <w:t xml:space="preserve">Attiecībā uz jautājumu, vai visiem datu devējiem, kuri norādīti Projekta pielikumā būs paredzēta IS attīstība (jaunu vai esošu pilnveidošana) šo datu padošanas pienākuma nodrošināšanai, informējam, ka projekts 1.1. Nacionālā piekļuves punkta izstrāde un ieviešana neparedz informācijas sistēmu attīstību datu padošanas pienākuma nodrošināšanai, jo jau šobrīd iesaistītajām pusēm atbilstoši Regulai Nr.2017/1926  ir pienākums sniegt datus uz NPP noteiktā mašīnlasāmā formātā. Šis pienākums  izriet no Līguma par Eiropas Savienības darbību (LESD) 288. panta, kas nosaka, ka regulas ir </w:t>
            </w:r>
            <w:proofErr w:type="spellStart"/>
            <w:r w:rsidRPr="00127D6A">
              <w:rPr>
                <w:lang w:val="lv-LV"/>
              </w:rPr>
              <w:t>vispārpiemērojamas</w:t>
            </w:r>
            <w:proofErr w:type="spellEnd"/>
            <w:r w:rsidRPr="00127D6A">
              <w:rPr>
                <w:lang w:val="lv-LV"/>
              </w:rPr>
              <w:t>, tas nozīmē, ka regula kļūst par ES dalībvalsts</w:t>
            </w:r>
          </w:p>
          <w:p w:rsidRPr="00127D6A" w:rsidR="005C0604" w:rsidP="005C0604" w:rsidRDefault="005C0604" w14:paraId="12334A9F" w14:textId="77777777">
            <w:pPr>
              <w:jc w:val="both"/>
              <w:rPr>
                <w:b/>
                <w:bCs/>
                <w:lang w:val="lv-LV"/>
              </w:rPr>
            </w:pPr>
            <w:r w:rsidRPr="00127D6A">
              <w:rPr>
                <w:lang w:val="lv-LV"/>
              </w:rPr>
              <w:t xml:space="preserve">nacionālo tiesību kopuma daļu bez nacionālo tiesību starpniecības. Vēršam </w:t>
            </w:r>
            <w:r w:rsidRPr="00127D6A">
              <w:rPr>
                <w:lang w:val="lv-LV"/>
              </w:rPr>
              <w:lastRenderedPageBreak/>
              <w:t xml:space="preserve">uzmanību, ka Regula Nr.2017/1926 neuzliek par pienākumu radīt jaunus datus, datu sniegšanas prasība attiecas uz esošiem un </w:t>
            </w:r>
            <w:proofErr w:type="spellStart"/>
            <w:r w:rsidRPr="00127D6A">
              <w:rPr>
                <w:lang w:val="lv-LV"/>
              </w:rPr>
              <w:t>jaunieviešamiem</w:t>
            </w:r>
            <w:proofErr w:type="spellEnd"/>
            <w:r w:rsidRPr="00127D6A">
              <w:rPr>
                <w:lang w:val="lv-LV"/>
              </w:rPr>
              <w:t xml:space="preserve"> datiem. Skaidrojam, ka pirmais solis, lai nodrošinātu maršruta datu </w:t>
            </w:r>
            <w:proofErr w:type="spellStart"/>
            <w:r w:rsidRPr="00127D6A">
              <w:rPr>
                <w:lang w:val="lv-LV"/>
              </w:rPr>
              <w:t>atkalizmantošanu</w:t>
            </w:r>
            <w:proofErr w:type="spellEnd"/>
            <w:r w:rsidRPr="00127D6A">
              <w:rPr>
                <w:lang w:val="lv-LV"/>
              </w:rPr>
              <w:t xml:space="preserve">, ir paša NPP izveide, lai valstī būtu vienots kontaktpunkts, kur šos dažādos datus iesniegt. Šis fakts ir ziņojuma minētā projekta “1.1 Nacionālā piekļuves punkta izstrāde un ieviešana” pamatā. Veiktajā izpētē “Izpēte par inteliģento transporta sistēmu (ITS) ieviešanu Latvijas autotransporta jomā” ir identificēts, ka </w:t>
            </w:r>
            <w:proofErr w:type="spellStart"/>
            <w:r w:rsidRPr="00127D6A">
              <w:rPr>
                <w:lang w:val="lv-LV"/>
              </w:rPr>
              <w:t>praktiksi</w:t>
            </w:r>
            <w:proofErr w:type="spellEnd"/>
            <w:r w:rsidRPr="00127D6A">
              <w:rPr>
                <w:lang w:val="lv-LV"/>
              </w:rPr>
              <w:t xml:space="preserve"> visās Eiropas valstīs NPP funkciju nodrošina valsts ceļu administrācijas, šī iemesla dēļ tieši VAS “Latvijas Valsts ceļi” ir izvēlēta, lai izveidotu NPP un veiktu turpmāko NPP pārvaldīšanu. </w:t>
            </w:r>
          </w:p>
        </w:tc>
        <w:tc>
          <w:tcPr>
            <w:tcW w:w="2960" w:type="dxa"/>
          </w:tcPr>
          <w:p w:rsidRPr="00127D6A" w:rsidR="005C0604" w:rsidP="005C0604" w:rsidRDefault="005C0604" w14:paraId="54C26710" w14:textId="77777777">
            <w:pPr>
              <w:pStyle w:val="BodyText"/>
              <w:jc w:val="both"/>
              <w:rPr>
                <w:sz w:val="24"/>
              </w:rPr>
            </w:pPr>
          </w:p>
        </w:tc>
      </w:tr>
      <w:tr w:rsidRPr="000B7922" w:rsidR="005C0604" w:rsidTr="00322FBF" w14:paraId="7C2329E9" w14:textId="77777777">
        <w:trPr>
          <w:trHeight w:val="2455"/>
          <w:jc w:val="center"/>
        </w:trPr>
        <w:tc>
          <w:tcPr>
            <w:tcW w:w="977" w:type="dxa"/>
          </w:tcPr>
          <w:p w:rsidRPr="00127D6A" w:rsidR="005C0604" w:rsidP="005C0604" w:rsidRDefault="003369A8" w14:paraId="21B437F1" w14:textId="77777777">
            <w:pPr>
              <w:jc w:val="both"/>
              <w:rPr>
                <w:lang w:val="lv-LV"/>
              </w:rPr>
            </w:pPr>
            <w:r w:rsidRPr="00127D6A">
              <w:rPr>
                <w:lang w:val="lv-LV"/>
              </w:rPr>
              <w:lastRenderedPageBreak/>
              <w:t>3.</w:t>
            </w:r>
          </w:p>
        </w:tc>
        <w:tc>
          <w:tcPr>
            <w:tcW w:w="2846" w:type="dxa"/>
          </w:tcPr>
          <w:p w:rsidRPr="00127D6A" w:rsidR="005C0604" w:rsidP="005C0604" w:rsidRDefault="005C0604" w14:paraId="19D2DBEA" w14:textId="77777777">
            <w:pPr>
              <w:ind w:left="34" w:right="-6"/>
              <w:jc w:val="both"/>
              <w:rPr>
                <w:strike/>
                <w:lang w:val="lv-LV"/>
              </w:rPr>
            </w:pPr>
          </w:p>
        </w:tc>
        <w:tc>
          <w:tcPr>
            <w:tcW w:w="3770" w:type="dxa"/>
          </w:tcPr>
          <w:p w:rsidRPr="00E06917" w:rsidR="00A557F2" w:rsidP="005C0604" w:rsidRDefault="005C0604" w14:paraId="19C79A2A" w14:textId="733DEA46">
            <w:pPr>
              <w:jc w:val="both"/>
              <w:rPr>
                <w:b/>
                <w:bCs/>
                <w:lang w:val="lv-LV"/>
              </w:rPr>
            </w:pPr>
            <w:r w:rsidRPr="00127D6A">
              <w:rPr>
                <w:b/>
                <w:bCs/>
                <w:lang w:val="lv-LV"/>
              </w:rPr>
              <w:t>Latvijas tirdzniecības un rūpniecības kamera (26.03.2020</w:t>
            </w:r>
            <w:r w:rsidR="00A557F2">
              <w:rPr>
                <w:b/>
                <w:bCs/>
                <w:lang w:val="lv-LV"/>
              </w:rPr>
              <w:t>.</w:t>
            </w:r>
            <w:r w:rsidRPr="00127D6A">
              <w:rPr>
                <w:b/>
                <w:bCs/>
                <w:lang w:val="lv-LV"/>
              </w:rPr>
              <w:t>)</w:t>
            </w:r>
          </w:p>
          <w:p w:rsidRPr="00127D6A" w:rsidR="005C0604" w:rsidP="005C0604" w:rsidRDefault="005C0604" w14:paraId="6B809A30" w14:textId="77777777">
            <w:pPr>
              <w:jc w:val="both"/>
              <w:rPr>
                <w:lang w:val="lv-LV"/>
              </w:rPr>
            </w:pPr>
            <w:r w:rsidRPr="00127D6A">
              <w:rPr>
                <w:lang w:val="lv-LV"/>
              </w:rPr>
              <w:t>Pastāv risks ka projekta ietvaros tiks izveidots Nacionāls datu piekļuves punkts, bet šajā punktā nebūs izvietojamo datu.</w:t>
            </w:r>
          </w:p>
          <w:p w:rsidRPr="00127D6A" w:rsidR="005C0604" w:rsidP="005C0604" w:rsidRDefault="005C0604" w14:paraId="3FA81AB9" w14:textId="77777777">
            <w:pPr>
              <w:jc w:val="both"/>
              <w:rPr>
                <w:b/>
                <w:bCs/>
                <w:lang w:val="lv-LV"/>
              </w:rPr>
            </w:pPr>
            <w:r w:rsidRPr="00127D6A">
              <w:rPr>
                <w:lang w:val="lv-LV"/>
              </w:rPr>
              <w:t>Piemērs šim riskam ir atrodams Projekta pielikumā, kura 4.tabulas punktā  Nr. 2. (Dinamisko maršruta un satiksmes datu veidi) nevienā no pakalpojumiem (1.,2. un 3.līmeņa pakalpojums) nav norādīta par datu sniegšanu atbildīgā institūcija, kā arī nav identificētās un institūcijas, kurām SM ieskatā būtu jāsniedz dati.</w:t>
            </w:r>
          </w:p>
        </w:tc>
        <w:tc>
          <w:tcPr>
            <w:tcW w:w="2703" w:type="dxa"/>
          </w:tcPr>
          <w:p w:rsidR="00A557F2" w:rsidP="00E06917" w:rsidRDefault="000B7922" w14:paraId="42EDF0D0" w14:textId="29516A34">
            <w:pPr>
              <w:jc w:val="center"/>
              <w:rPr>
                <w:b/>
                <w:bCs/>
                <w:lang w:val="lv-LV"/>
              </w:rPr>
            </w:pPr>
            <w:r>
              <w:rPr>
                <w:b/>
                <w:bCs/>
                <w:lang w:val="lv-LV"/>
              </w:rPr>
              <w:t>Panākta vienošanās saskaņošanas laikā</w:t>
            </w:r>
            <w:r w:rsidRPr="00127D6A">
              <w:rPr>
                <w:b/>
                <w:bCs/>
                <w:lang w:val="lv-LV"/>
              </w:rPr>
              <w:t>.</w:t>
            </w:r>
          </w:p>
          <w:p w:rsidRPr="00127D6A" w:rsidR="005C0604" w:rsidP="005C0604" w:rsidRDefault="005C0604" w14:paraId="7BC963A6" w14:textId="5A99A473">
            <w:pPr>
              <w:jc w:val="both"/>
              <w:rPr>
                <w:lang w:val="lv-LV"/>
              </w:rPr>
            </w:pPr>
            <w:r w:rsidRPr="00127D6A">
              <w:rPr>
                <w:lang w:val="lv-LV"/>
              </w:rPr>
              <w:t xml:space="preserve">Attiecībā uz LTRK norādīto, ka pastāv risks ka projekta ietvaros tiks izveidots NPP, bet šajā punktā nebūs izvietojamo datu Satiksmes ministrija uzskata, ka nepastāv risks, ka izveidojot NPP nebūs tajā izvietojamo datu, jo jau šobrīd datu turētājiem ir pienākums ziņojuma 1.Pielikumā minētos datus sniegt mašīnlasāmā formātā NPP, kā arī LVC un VSIA “Autotransporta direkcija” rīcībā ir ievērojams apjoms datu, ko būtu iespējams ievietot NPP </w:t>
            </w:r>
            <w:proofErr w:type="spellStart"/>
            <w:r w:rsidRPr="00127D6A">
              <w:rPr>
                <w:lang w:val="lv-LV"/>
              </w:rPr>
              <w:t>atkalizmantošanai</w:t>
            </w:r>
            <w:proofErr w:type="spellEnd"/>
            <w:r w:rsidRPr="00127D6A">
              <w:rPr>
                <w:lang w:val="lv-LV"/>
              </w:rPr>
              <w:t xml:space="preserve"> mašīnlasāmā formātā. Šobrīd gan šie dati nav pieejami mašīnlasāmā formātā, kādi tie būtu jāsniedz NPP.</w:t>
            </w:r>
          </w:p>
          <w:p w:rsidRPr="00127D6A" w:rsidR="005C0604" w:rsidP="005C0604" w:rsidRDefault="005C0604" w14:paraId="7800C5AC" w14:textId="77777777">
            <w:pPr>
              <w:jc w:val="both"/>
              <w:rPr>
                <w:b/>
                <w:bCs/>
                <w:lang w:val="lv-LV"/>
              </w:rPr>
            </w:pPr>
            <w:r w:rsidRPr="00127D6A">
              <w:rPr>
                <w:lang w:val="lv-LV"/>
              </w:rPr>
              <w:t xml:space="preserve">Skaidrojam, ka konceptuālā ziņojuma 1. Pielikumā ir norādītas visas par datu sniegšanu atbildīgās institūcijas atbilstoši ITS Direktīvas izrietošajām Deleģētajām regulām. Ņemot vērā, ka dinamisko maršrutu un </w:t>
            </w:r>
            <w:r w:rsidRPr="00127D6A">
              <w:rPr>
                <w:lang w:val="lv-LV"/>
              </w:rPr>
              <w:lastRenderedPageBreak/>
              <w:t>satiksmes datu sniegšana ar NPP starpniecību saskaņā ar Regulas Nr.2017/1926 5. panta 1. punktu ir neobligāta, par atbildīgajām institūcijā Latvijas līmenī tiks lemts pēc NPP izveidošanas.</w:t>
            </w:r>
          </w:p>
        </w:tc>
        <w:tc>
          <w:tcPr>
            <w:tcW w:w="2960" w:type="dxa"/>
          </w:tcPr>
          <w:p w:rsidRPr="00127D6A" w:rsidR="005C0604" w:rsidP="005C0604" w:rsidRDefault="005C0604" w14:paraId="50AC46C1" w14:textId="77777777">
            <w:pPr>
              <w:pStyle w:val="BodyText"/>
              <w:jc w:val="both"/>
              <w:rPr>
                <w:sz w:val="24"/>
              </w:rPr>
            </w:pPr>
          </w:p>
        </w:tc>
      </w:tr>
      <w:tr w:rsidRPr="000B7922" w:rsidR="005C0604" w:rsidTr="00322FBF" w14:paraId="3443CA78" w14:textId="77777777">
        <w:trPr>
          <w:trHeight w:val="2455"/>
          <w:jc w:val="center"/>
        </w:trPr>
        <w:tc>
          <w:tcPr>
            <w:tcW w:w="977" w:type="dxa"/>
          </w:tcPr>
          <w:p w:rsidRPr="00127D6A" w:rsidR="005C0604" w:rsidP="005C0604" w:rsidRDefault="003369A8" w14:paraId="6C0BBAA4" w14:textId="77777777">
            <w:pPr>
              <w:jc w:val="both"/>
              <w:rPr>
                <w:lang w:val="lv-LV"/>
              </w:rPr>
            </w:pPr>
            <w:r w:rsidRPr="00127D6A">
              <w:rPr>
                <w:lang w:val="lv-LV"/>
              </w:rPr>
              <w:t>4.</w:t>
            </w:r>
          </w:p>
        </w:tc>
        <w:tc>
          <w:tcPr>
            <w:tcW w:w="2846" w:type="dxa"/>
          </w:tcPr>
          <w:p w:rsidRPr="00127D6A" w:rsidR="005C0604" w:rsidP="005C0604" w:rsidRDefault="005C0604" w14:paraId="19040E1B" w14:textId="77777777">
            <w:pPr>
              <w:ind w:left="34" w:right="-6"/>
              <w:jc w:val="both"/>
              <w:rPr>
                <w:strike/>
                <w:lang w:val="lv-LV"/>
              </w:rPr>
            </w:pPr>
          </w:p>
        </w:tc>
        <w:tc>
          <w:tcPr>
            <w:tcW w:w="3770" w:type="dxa"/>
          </w:tcPr>
          <w:p w:rsidRPr="00127D6A" w:rsidR="00A557F2" w:rsidP="005C0604" w:rsidRDefault="005C0604" w14:paraId="41E2FA11" w14:textId="33642096">
            <w:pPr>
              <w:jc w:val="both"/>
              <w:rPr>
                <w:b/>
                <w:bCs/>
                <w:lang w:val="lv-LV"/>
              </w:rPr>
            </w:pPr>
            <w:r w:rsidRPr="00127D6A">
              <w:rPr>
                <w:b/>
                <w:bCs/>
                <w:lang w:val="lv-LV"/>
              </w:rPr>
              <w:t>Latvijas tirdzniecības un rūpniecības kamera (26.03.2020</w:t>
            </w:r>
            <w:r w:rsidR="00A557F2">
              <w:rPr>
                <w:b/>
                <w:bCs/>
                <w:lang w:val="lv-LV"/>
              </w:rPr>
              <w:t>.</w:t>
            </w:r>
            <w:r w:rsidRPr="00127D6A">
              <w:rPr>
                <w:b/>
                <w:bCs/>
                <w:lang w:val="lv-LV"/>
              </w:rPr>
              <w:t>)</w:t>
            </w:r>
          </w:p>
          <w:p w:rsidRPr="00127D6A" w:rsidR="005C0604" w:rsidP="005C0604" w:rsidRDefault="005C0604" w14:paraId="034B0955" w14:textId="77777777">
            <w:pPr>
              <w:contextualSpacing/>
              <w:jc w:val="both"/>
              <w:rPr>
                <w:b/>
                <w:bCs/>
                <w:lang w:val="lv-LV"/>
              </w:rPr>
            </w:pPr>
            <w:r w:rsidRPr="00127D6A">
              <w:rPr>
                <w:rFonts w:cs="Calibri"/>
                <w:lang w:val="lv-LV"/>
              </w:rPr>
              <w:t>Situācija Latvijā apskatīta nepilnīgi. Projektā nav minēts par maršruta IS pakalpojumiem, kuri jau šobrīd pieejami Latvijas iedzīvotājiem, dažādās lietotnēs. Neesot šai informācijai, var uzskatīt ka īstenojamie pasākumi ir nepilnīgi, jo nav zināms vai tie ietver visus tos risinājumus, kādi ir nepieciešami šī brīža maršrutu pakalpojumu sniedzējiem (privātajiem uzņēmējiem, kuri jau sniedz dažādus informācijas pakalpojumus).</w:t>
            </w:r>
          </w:p>
        </w:tc>
        <w:tc>
          <w:tcPr>
            <w:tcW w:w="2703" w:type="dxa"/>
          </w:tcPr>
          <w:p w:rsidRPr="00127D6A" w:rsidR="00A557F2" w:rsidP="00E06917" w:rsidRDefault="005C0604" w14:paraId="096FC736" w14:textId="2342F036">
            <w:pPr>
              <w:jc w:val="center"/>
              <w:rPr>
                <w:b/>
                <w:bCs/>
                <w:lang w:val="lv-LV"/>
              </w:rPr>
            </w:pPr>
            <w:r w:rsidRPr="00127D6A">
              <w:rPr>
                <w:b/>
                <w:bCs/>
                <w:lang w:val="lv-LV"/>
              </w:rPr>
              <w:t>Iebildums</w:t>
            </w:r>
            <w:r w:rsidR="000B7922">
              <w:rPr>
                <w:b/>
                <w:bCs/>
                <w:lang w:val="lv-LV"/>
              </w:rPr>
              <w:t xml:space="preserve"> ir</w:t>
            </w:r>
            <w:r w:rsidRPr="00127D6A">
              <w:rPr>
                <w:b/>
                <w:bCs/>
                <w:lang w:val="lv-LV"/>
              </w:rPr>
              <w:t xml:space="preserve"> ņemts vērā.</w:t>
            </w:r>
          </w:p>
          <w:p w:rsidRPr="00127D6A" w:rsidR="005C0604" w:rsidP="005C0604" w:rsidRDefault="005C0604" w14:paraId="69AD1694" w14:textId="252E64C6">
            <w:pPr>
              <w:jc w:val="both"/>
              <w:rPr>
                <w:lang w:val="lv-LV"/>
              </w:rPr>
            </w:pPr>
            <w:r w:rsidRPr="00127D6A">
              <w:rPr>
                <w:lang w:val="lv-LV"/>
              </w:rPr>
              <w:t>Ir papildināta koncept</w:t>
            </w:r>
            <w:r w:rsidR="002F3F8B">
              <w:rPr>
                <w:lang w:val="lv-LV"/>
              </w:rPr>
              <w:t>u</w:t>
            </w:r>
            <w:r w:rsidRPr="00127D6A">
              <w:rPr>
                <w:lang w:val="lv-LV"/>
              </w:rPr>
              <w:t xml:space="preserve">ālā ziņojuma 2.5. apakšnodaļa ar informāciju par maršrutu informācijas sistēmām, kā arī konceptuālā ziņojuma 3.1. apakšnodaļa ar </w:t>
            </w:r>
            <w:r w:rsidRPr="00127D6A" w:rsidR="002F3F8B">
              <w:rPr>
                <w:lang w:val="lv-LV"/>
              </w:rPr>
              <w:t>inform</w:t>
            </w:r>
            <w:r w:rsidR="002F3F8B">
              <w:rPr>
                <w:lang w:val="lv-LV"/>
              </w:rPr>
              <w:t>ā</w:t>
            </w:r>
            <w:r w:rsidRPr="00127D6A" w:rsidR="002F3F8B">
              <w:rPr>
                <w:lang w:val="lv-LV"/>
              </w:rPr>
              <w:t>ciju</w:t>
            </w:r>
            <w:r w:rsidRPr="00127D6A">
              <w:rPr>
                <w:lang w:val="lv-LV"/>
              </w:rPr>
              <w:t>, kurā tiek skaidrots, ka NPP ir paredzēts integrēt visus Latvijā pieejamos mašīnlasāmā formātā statiskos maršruta un satiksmes datus un dinamiskos maršruta un satiksmes datus. Papildus vēršam uzmanību, ka atbi</w:t>
            </w:r>
            <w:r w:rsidRPr="00127D6A" w:rsidR="007C5A2A">
              <w:rPr>
                <w:lang w:val="lv-LV"/>
              </w:rPr>
              <w:t>ls</w:t>
            </w:r>
            <w:r w:rsidRPr="00127D6A">
              <w:rPr>
                <w:lang w:val="lv-LV"/>
              </w:rPr>
              <w:t>toši Regulas Nr.2017/1926 5. panta 1. punktam dinamisko maršruta un satiksmes datu sniegšana ar NPP starpniecību nav obligāta.</w:t>
            </w:r>
          </w:p>
          <w:p w:rsidRPr="00127D6A" w:rsidR="005C0604" w:rsidP="005C0604" w:rsidRDefault="005C0604" w14:paraId="3048272C" w14:textId="77777777">
            <w:pPr>
              <w:jc w:val="both"/>
              <w:rPr>
                <w:b/>
                <w:bCs/>
                <w:lang w:val="lv-LV"/>
              </w:rPr>
            </w:pPr>
          </w:p>
          <w:p w:rsidRPr="00127D6A" w:rsidR="005C0604" w:rsidP="005C0604" w:rsidRDefault="005C0604" w14:paraId="5B13A30B" w14:textId="77777777">
            <w:pPr>
              <w:jc w:val="both"/>
              <w:rPr>
                <w:b/>
                <w:bCs/>
                <w:lang w:val="lv-LV"/>
              </w:rPr>
            </w:pPr>
          </w:p>
        </w:tc>
        <w:tc>
          <w:tcPr>
            <w:tcW w:w="2960" w:type="dxa"/>
          </w:tcPr>
          <w:p w:rsidRPr="00127D6A" w:rsidR="005C0604" w:rsidP="005C0604" w:rsidRDefault="005C0604" w14:paraId="1B62B198" w14:textId="77777777">
            <w:pPr>
              <w:pStyle w:val="BodyText"/>
              <w:jc w:val="both"/>
              <w:rPr>
                <w:sz w:val="24"/>
              </w:rPr>
            </w:pPr>
            <w:r w:rsidRPr="00127D6A">
              <w:rPr>
                <w:sz w:val="24"/>
              </w:rPr>
              <w:t>Skatīt precizētā konceptuālā ziņojuma 2.5. un 3.1. apakšnodaļ</w:t>
            </w:r>
            <w:r w:rsidRPr="00127D6A" w:rsidR="007C5A2A">
              <w:rPr>
                <w:sz w:val="24"/>
              </w:rPr>
              <w:t>u</w:t>
            </w:r>
            <w:r w:rsidRPr="00127D6A">
              <w:rPr>
                <w:sz w:val="24"/>
              </w:rPr>
              <w:t>.</w:t>
            </w:r>
          </w:p>
        </w:tc>
      </w:tr>
      <w:tr w:rsidRPr="000B7922" w:rsidR="00EF027E" w:rsidTr="00322FBF" w14:paraId="1D1A0626" w14:textId="77777777">
        <w:trPr>
          <w:trHeight w:val="2455"/>
          <w:jc w:val="center"/>
        </w:trPr>
        <w:tc>
          <w:tcPr>
            <w:tcW w:w="977" w:type="dxa"/>
          </w:tcPr>
          <w:p w:rsidRPr="00127D6A" w:rsidR="00EF027E" w:rsidP="00EF027E" w:rsidRDefault="003369A8" w14:paraId="27BB248D" w14:textId="77777777">
            <w:pPr>
              <w:jc w:val="both"/>
              <w:rPr>
                <w:lang w:val="lv-LV"/>
              </w:rPr>
            </w:pPr>
            <w:r w:rsidRPr="00127D6A">
              <w:rPr>
                <w:lang w:val="lv-LV"/>
              </w:rPr>
              <w:lastRenderedPageBreak/>
              <w:t>5.</w:t>
            </w:r>
          </w:p>
        </w:tc>
        <w:tc>
          <w:tcPr>
            <w:tcW w:w="2846" w:type="dxa"/>
          </w:tcPr>
          <w:p w:rsidRPr="00127D6A" w:rsidR="00EF027E" w:rsidP="00EF027E" w:rsidRDefault="00EF027E" w14:paraId="51760F96" w14:textId="77777777">
            <w:pPr>
              <w:ind w:left="34" w:right="-6"/>
              <w:jc w:val="both"/>
              <w:rPr>
                <w:lang w:val="lv-LV"/>
              </w:rPr>
            </w:pPr>
          </w:p>
        </w:tc>
        <w:tc>
          <w:tcPr>
            <w:tcW w:w="3770" w:type="dxa"/>
          </w:tcPr>
          <w:p w:rsidRPr="00127D6A" w:rsidR="00E06917" w:rsidP="00EF027E" w:rsidRDefault="00EF027E" w14:paraId="737D573C" w14:textId="371364A0">
            <w:pPr>
              <w:jc w:val="both"/>
              <w:rPr>
                <w:b/>
                <w:bCs/>
                <w:lang w:val="lv-LV"/>
              </w:rPr>
            </w:pPr>
            <w:r w:rsidRPr="00127D6A">
              <w:rPr>
                <w:b/>
                <w:bCs/>
                <w:lang w:val="lv-LV"/>
              </w:rPr>
              <w:t>Latvijas tirdzniecības un rūpniecības kamera (26.03.2020</w:t>
            </w:r>
            <w:r w:rsidR="00E06917">
              <w:rPr>
                <w:b/>
                <w:bCs/>
                <w:lang w:val="lv-LV"/>
              </w:rPr>
              <w:t>.</w:t>
            </w:r>
            <w:r w:rsidRPr="00127D6A">
              <w:rPr>
                <w:b/>
                <w:bCs/>
                <w:lang w:val="lv-LV"/>
              </w:rPr>
              <w:t>)</w:t>
            </w:r>
          </w:p>
          <w:p w:rsidRPr="00127D6A" w:rsidR="00EF027E" w:rsidP="00EF027E" w:rsidRDefault="00EF027E" w14:paraId="058215AD" w14:textId="77777777">
            <w:pPr>
              <w:jc w:val="both"/>
              <w:rPr>
                <w:lang w:val="lv-LV"/>
              </w:rPr>
            </w:pPr>
            <w:r w:rsidRPr="00127D6A">
              <w:rPr>
                <w:lang w:val="lv-LV"/>
              </w:rPr>
              <w:t xml:space="preserve">Projekta 5.punktā paredzētā 10% rezerve 532’060 EUR apmērā ir nesamērīgi liela uz kopējo ziņojumā identificēto vajadzību fona. Neveidojot rezervi par šo finansējuma apmēru varētu realizēt citus Projektā norādītos projektus (pilnā vai daļējā apmērā). </w:t>
            </w:r>
          </w:p>
          <w:p w:rsidRPr="00127D6A" w:rsidR="00EF027E" w:rsidP="00EF027E" w:rsidRDefault="00EF027E" w14:paraId="6A863854" w14:textId="77777777">
            <w:pPr>
              <w:jc w:val="both"/>
              <w:rPr>
                <w:b/>
                <w:bCs/>
                <w:lang w:val="lv-LV"/>
              </w:rPr>
            </w:pPr>
          </w:p>
        </w:tc>
        <w:tc>
          <w:tcPr>
            <w:tcW w:w="2703" w:type="dxa"/>
          </w:tcPr>
          <w:p w:rsidR="00E06917" w:rsidP="00E06917" w:rsidRDefault="000B7922" w14:paraId="418D95B5" w14:textId="5A0619AA">
            <w:pPr>
              <w:jc w:val="center"/>
              <w:rPr>
                <w:b/>
                <w:bCs/>
                <w:lang w:val="lv-LV"/>
              </w:rPr>
            </w:pPr>
            <w:r>
              <w:rPr>
                <w:b/>
                <w:bCs/>
                <w:lang w:val="lv-LV"/>
              </w:rPr>
              <w:t>Panākta vienošanās saskaņošanas laikā</w:t>
            </w:r>
            <w:r w:rsidRPr="00127D6A">
              <w:rPr>
                <w:b/>
                <w:bCs/>
                <w:lang w:val="lv-LV"/>
              </w:rPr>
              <w:t>.</w:t>
            </w:r>
          </w:p>
          <w:p w:rsidRPr="00127D6A" w:rsidR="00EF027E" w:rsidP="00EF027E" w:rsidRDefault="00EF027E" w14:paraId="42637B2A" w14:textId="2A888632">
            <w:pPr>
              <w:jc w:val="both"/>
              <w:rPr>
                <w:lang w:val="lv-LV"/>
              </w:rPr>
            </w:pPr>
            <w:r w:rsidRPr="00127D6A">
              <w:rPr>
                <w:lang w:val="lv-LV"/>
              </w:rPr>
              <w:t>Attiecībā uz jautājumu par 10% rezervi, informējam, ka, ņemot vērā, ka Eiropā ir ļoti atšķirīga pieredze NPP izveidē un lielā</w:t>
            </w:r>
          </w:p>
          <w:p w:rsidRPr="00127D6A" w:rsidR="00EF027E" w:rsidP="00EF027E" w:rsidRDefault="00EF027E" w14:paraId="7D78C1E3" w14:textId="77777777">
            <w:pPr>
              <w:jc w:val="both"/>
              <w:rPr>
                <w:b/>
                <w:bCs/>
                <w:lang w:val="lv-LV"/>
              </w:rPr>
            </w:pPr>
            <w:r w:rsidRPr="00127D6A">
              <w:rPr>
                <w:lang w:val="lv-LV"/>
              </w:rPr>
              <w:t>ieviešanas izmaksu amplitūdā, Satiksmes ministrija uzskata, ka 10% rezerve ir pamatota, jo ar šo 10% rezervi Satiksmes ministrija minimizē iespējamo NPP ieviešanas publiskā iepirkuma risku, kas saistīts ar iespējamo sadārdzinājumu.</w:t>
            </w:r>
          </w:p>
        </w:tc>
        <w:tc>
          <w:tcPr>
            <w:tcW w:w="2960" w:type="dxa"/>
          </w:tcPr>
          <w:p w:rsidRPr="00127D6A" w:rsidR="00EF027E" w:rsidP="00EF027E" w:rsidRDefault="00EF027E" w14:paraId="1CB3142F" w14:textId="77777777">
            <w:pPr>
              <w:pStyle w:val="BodyText"/>
              <w:jc w:val="both"/>
              <w:rPr>
                <w:sz w:val="24"/>
              </w:rPr>
            </w:pPr>
          </w:p>
        </w:tc>
      </w:tr>
      <w:tr w:rsidRPr="000B7922" w:rsidR="00EF027E" w:rsidTr="00043FC1" w14:paraId="34FD6D66" w14:textId="77777777">
        <w:trPr>
          <w:trHeight w:val="132"/>
          <w:jc w:val="center"/>
        </w:trPr>
        <w:tc>
          <w:tcPr>
            <w:tcW w:w="977" w:type="dxa"/>
          </w:tcPr>
          <w:p w:rsidRPr="00127D6A" w:rsidR="00EF027E" w:rsidP="00EF027E" w:rsidRDefault="003369A8" w14:paraId="0A6AA6B1" w14:textId="77777777">
            <w:pPr>
              <w:jc w:val="both"/>
              <w:rPr>
                <w:lang w:val="lv-LV"/>
              </w:rPr>
            </w:pPr>
            <w:r w:rsidRPr="00127D6A">
              <w:rPr>
                <w:lang w:val="lv-LV"/>
              </w:rPr>
              <w:t>6.</w:t>
            </w:r>
          </w:p>
        </w:tc>
        <w:tc>
          <w:tcPr>
            <w:tcW w:w="2846" w:type="dxa"/>
          </w:tcPr>
          <w:p w:rsidRPr="00127D6A" w:rsidR="00EF027E" w:rsidP="00EF027E" w:rsidRDefault="00EF027E" w14:paraId="38898155" w14:textId="77777777">
            <w:pPr>
              <w:ind w:left="34" w:right="-6"/>
              <w:jc w:val="both"/>
              <w:rPr>
                <w:lang w:val="lv-LV"/>
              </w:rPr>
            </w:pPr>
          </w:p>
        </w:tc>
        <w:tc>
          <w:tcPr>
            <w:tcW w:w="3770" w:type="dxa"/>
          </w:tcPr>
          <w:p w:rsidRPr="00E06917" w:rsidR="00E06917" w:rsidP="00EF027E" w:rsidRDefault="00EF027E" w14:paraId="1F21928E" w14:textId="7E082E1B">
            <w:pPr>
              <w:jc w:val="both"/>
              <w:rPr>
                <w:b/>
                <w:bCs/>
                <w:lang w:val="lv-LV"/>
              </w:rPr>
            </w:pPr>
            <w:r w:rsidRPr="00127D6A">
              <w:rPr>
                <w:b/>
                <w:bCs/>
                <w:lang w:val="lv-LV"/>
              </w:rPr>
              <w:t>Latvijas tirdzniecības un rūpniecības kamera (26.03.2020</w:t>
            </w:r>
            <w:r w:rsidR="00E06917">
              <w:rPr>
                <w:b/>
                <w:bCs/>
                <w:lang w:val="lv-LV"/>
              </w:rPr>
              <w:t>.</w:t>
            </w:r>
            <w:r w:rsidRPr="00127D6A">
              <w:rPr>
                <w:b/>
                <w:bCs/>
                <w:lang w:val="lv-LV"/>
              </w:rPr>
              <w:t>)</w:t>
            </w:r>
          </w:p>
          <w:p w:rsidRPr="00127D6A" w:rsidR="00EF027E" w:rsidP="00EF027E" w:rsidRDefault="00EF027E" w14:paraId="67DF8085" w14:textId="77777777">
            <w:pPr>
              <w:jc w:val="both"/>
              <w:rPr>
                <w:b/>
                <w:bCs/>
                <w:lang w:val="lv-LV"/>
              </w:rPr>
            </w:pPr>
            <w:r w:rsidRPr="00127D6A">
              <w:rPr>
                <w:lang w:val="lv-LV"/>
              </w:rPr>
              <w:t xml:space="preserve">Papildus tam, gandrīz visiem identificētajiem ieviešamajiem projektiem nav izvērsta ietverto aktivitāšu apraksta, kas liedz novērtēt vai paredzētās izmaksas ir adekvātas. </w:t>
            </w:r>
          </w:p>
        </w:tc>
        <w:tc>
          <w:tcPr>
            <w:tcW w:w="2703" w:type="dxa"/>
          </w:tcPr>
          <w:p w:rsidRPr="00E06917" w:rsidR="00E06917" w:rsidP="00E06917" w:rsidRDefault="000B7922" w14:paraId="672D9EA9" w14:textId="1ADDB5CD">
            <w:pPr>
              <w:jc w:val="center"/>
              <w:rPr>
                <w:b/>
                <w:bCs/>
                <w:lang w:val="lv-LV"/>
              </w:rPr>
            </w:pPr>
            <w:r>
              <w:rPr>
                <w:b/>
                <w:bCs/>
                <w:lang w:val="lv-LV"/>
              </w:rPr>
              <w:t>Panākta vienošanās saskaņošanas laikā</w:t>
            </w:r>
            <w:r w:rsidRPr="00127D6A">
              <w:rPr>
                <w:b/>
                <w:bCs/>
                <w:lang w:val="lv-LV"/>
              </w:rPr>
              <w:t>.</w:t>
            </w:r>
          </w:p>
          <w:p w:rsidRPr="00127D6A" w:rsidR="00EF027E" w:rsidP="00EF027E" w:rsidRDefault="00EF027E" w14:paraId="6894DF6D" w14:textId="508ABE82">
            <w:pPr>
              <w:jc w:val="both"/>
              <w:rPr>
                <w:b/>
                <w:bCs/>
                <w:lang w:val="lv-LV"/>
              </w:rPr>
            </w:pPr>
            <w:r w:rsidRPr="00127D6A">
              <w:rPr>
                <w:lang w:val="lv-LV"/>
              </w:rPr>
              <w:t>Attiecībā uz LTRK norādīto, ka gandrīz visiem identificētajiem ieviešamajiem projektiem nav izvērsta ietverto aktivitāšu apraksta, kas liedz novērtēt</w:t>
            </w:r>
            <w:r w:rsidRPr="00127D6A" w:rsidR="00D0559C">
              <w:rPr>
                <w:lang w:val="lv-LV"/>
              </w:rPr>
              <w:t>,</w:t>
            </w:r>
            <w:r w:rsidRPr="00127D6A">
              <w:rPr>
                <w:lang w:val="lv-LV"/>
              </w:rPr>
              <w:t xml:space="preserve"> vai paredzētās izmaksas ir adekvātas, informējam, ka precīzas aktivitātes NPP izveidē un institucionālo spēju stiprināš</w:t>
            </w:r>
            <w:r w:rsidR="00CC1BD9">
              <w:rPr>
                <w:lang w:val="lv-LV"/>
              </w:rPr>
              <w:t>a</w:t>
            </w:r>
            <w:r w:rsidRPr="00127D6A">
              <w:rPr>
                <w:lang w:val="lv-LV"/>
              </w:rPr>
              <w:t xml:space="preserve">nai ITS pakalpojumu attīstībai un nodrošināšanai tiks </w:t>
            </w:r>
            <w:r w:rsidRPr="00127D6A">
              <w:rPr>
                <w:lang w:val="lv-LV"/>
              </w:rPr>
              <w:lastRenderedPageBreak/>
              <w:t xml:space="preserve">definētas konsultatīva pakalpojuma un NPP specifikāciju izstrādes rezultātā. </w:t>
            </w:r>
          </w:p>
        </w:tc>
        <w:tc>
          <w:tcPr>
            <w:tcW w:w="2960" w:type="dxa"/>
          </w:tcPr>
          <w:p w:rsidRPr="00127D6A" w:rsidR="00EF027E" w:rsidP="00EF027E" w:rsidRDefault="00EF027E" w14:paraId="324C5248" w14:textId="77777777">
            <w:pPr>
              <w:pStyle w:val="BodyText"/>
              <w:jc w:val="both"/>
              <w:rPr>
                <w:sz w:val="24"/>
              </w:rPr>
            </w:pPr>
          </w:p>
        </w:tc>
      </w:tr>
      <w:tr w:rsidRPr="000B7922" w:rsidR="00EF027E" w:rsidTr="00322FBF" w14:paraId="3A622E52" w14:textId="77777777">
        <w:trPr>
          <w:trHeight w:val="2455"/>
          <w:jc w:val="center"/>
        </w:trPr>
        <w:tc>
          <w:tcPr>
            <w:tcW w:w="977" w:type="dxa"/>
          </w:tcPr>
          <w:p w:rsidRPr="00127D6A" w:rsidR="00EF027E" w:rsidP="00EF027E" w:rsidRDefault="003369A8" w14:paraId="795AA257" w14:textId="77777777">
            <w:pPr>
              <w:jc w:val="both"/>
              <w:rPr>
                <w:lang w:val="lv-LV"/>
              </w:rPr>
            </w:pPr>
            <w:r w:rsidRPr="00127D6A">
              <w:rPr>
                <w:lang w:val="lv-LV"/>
              </w:rPr>
              <w:t>7.</w:t>
            </w:r>
          </w:p>
        </w:tc>
        <w:tc>
          <w:tcPr>
            <w:tcW w:w="2846" w:type="dxa"/>
          </w:tcPr>
          <w:p w:rsidRPr="00127D6A" w:rsidR="00EF027E" w:rsidP="00EF027E" w:rsidRDefault="00EF027E" w14:paraId="2512DDF7" w14:textId="77777777">
            <w:pPr>
              <w:ind w:left="34" w:right="-6"/>
              <w:jc w:val="both"/>
              <w:rPr>
                <w:lang w:val="lv-LV"/>
              </w:rPr>
            </w:pPr>
          </w:p>
        </w:tc>
        <w:tc>
          <w:tcPr>
            <w:tcW w:w="3770" w:type="dxa"/>
          </w:tcPr>
          <w:p w:rsidRPr="00E06917" w:rsidR="00E06917" w:rsidP="00EF027E" w:rsidRDefault="00EF027E" w14:paraId="168BDA6D" w14:textId="469433D7">
            <w:pPr>
              <w:jc w:val="both"/>
              <w:rPr>
                <w:b/>
                <w:bCs/>
                <w:lang w:val="lv-LV"/>
              </w:rPr>
            </w:pPr>
            <w:r w:rsidRPr="00127D6A">
              <w:rPr>
                <w:b/>
                <w:bCs/>
                <w:lang w:val="lv-LV"/>
              </w:rPr>
              <w:t>Latvijas tirdzniecības un rūpniecības kamera (26.03.2020</w:t>
            </w:r>
            <w:r w:rsidR="00E06917">
              <w:rPr>
                <w:b/>
                <w:bCs/>
                <w:lang w:val="lv-LV"/>
              </w:rPr>
              <w:t>.</w:t>
            </w:r>
            <w:r w:rsidRPr="00127D6A">
              <w:rPr>
                <w:b/>
                <w:bCs/>
                <w:lang w:val="lv-LV"/>
              </w:rPr>
              <w:t>)</w:t>
            </w:r>
          </w:p>
          <w:p w:rsidRPr="00127D6A" w:rsidR="00EF027E" w:rsidP="00EF027E" w:rsidRDefault="00EF027E" w14:paraId="4CD8D9CD" w14:textId="77777777">
            <w:pPr>
              <w:jc w:val="both"/>
              <w:rPr>
                <w:b/>
                <w:bCs/>
                <w:lang w:val="lv-LV"/>
              </w:rPr>
            </w:pPr>
            <w:r w:rsidRPr="00127D6A">
              <w:rPr>
                <w:lang w:val="lv-LV"/>
              </w:rPr>
              <w:t>Arī vienīgajam projektam (Projekts 3. Institucionālo spēju stiprināšana ITS pakalpojumu attīstībai un nodrošināšanai.), kuram ir norādītas paredzētās aktivitātes (kompetences nodrošināšana; NPP pārvaldītāja esošo telpu, esošo darbstaciju un programmnodrošinājuma uzlabošana), ir nepietiekams informācijas daudzums, kas ļautu novērtēt šajā projektā ietverto izmaksu pamatotību.</w:t>
            </w:r>
          </w:p>
        </w:tc>
        <w:tc>
          <w:tcPr>
            <w:tcW w:w="2703" w:type="dxa"/>
          </w:tcPr>
          <w:p w:rsidRPr="00127D6A" w:rsidR="00EF027E" w:rsidP="00EF027E" w:rsidRDefault="00EF027E" w14:paraId="362860B8" w14:textId="35A201D0">
            <w:pPr>
              <w:jc w:val="both"/>
              <w:rPr>
                <w:b/>
                <w:bCs/>
                <w:lang w:val="lv-LV"/>
              </w:rPr>
            </w:pPr>
            <w:r w:rsidRPr="00127D6A">
              <w:rPr>
                <w:b/>
                <w:bCs/>
                <w:lang w:val="lv-LV"/>
              </w:rPr>
              <w:t xml:space="preserve">Iebildums </w:t>
            </w:r>
            <w:r w:rsidR="000B7922">
              <w:rPr>
                <w:b/>
                <w:bCs/>
                <w:lang w:val="lv-LV"/>
              </w:rPr>
              <w:t xml:space="preserve">ir </w:t>
            </w:r>
            <w:r w:rsidRPr="00127D6A">
              <w:rPr>
                <w:b/>
                <w:bCs/>
                <w:lang w:val="lv-LV"/>
              </w:rPr>
              <w:t>ņemts vērā.</w:t>
            </w:r>
          </w:p>
          <w:p w:rsidRPr="00127D6A" w:rsidR="00EF027E" w:rsidP="00EF027E" w:rsidRDefault="00EF027E" w14:paraId="4613451D" w14:textId="77777777">
            <w:pPr>
              <w:jc w:val="both"/>
              <w:rPr>
                <w:b/>
                <w:bCs/>
                <w:lang w:val="lv-LV"/>
              </w:rPr>
            </w:pPr>
            <w:r w:rsidRPr="00127D6A">
              <w:rPr>
                <w:lang w:val="lv-LV"/>
              </w:rPr>
              <w:t>Attiecībā uz jautājumu par  Projektu 3. Institucionālo spēju stiprināšana ITS pakalpojumu attīstībai un nodrošināšanai skaidrojam, ka projekta 3. Institucionālo spēju stiprināšana ITS pakalpojumu attīstībai un nodrošināšanai ietvaros esošo telpu uzlabošana nav paredzēta. Šis precizējums iekļauts konceptuālā ziņojuma 3.3. apakšnodaļā.</w:t>
            </w:r>
          </w:p>
        </w:tc>
        <w:tc>
          <w:tcPr>
            <w:tcW w:w="2960" w:type="dxa"/>
          </w:tcPr>
          <w:p w:rsidRPr="00127D6A" w:rsidR="00EF027E" w:rsidP="00EF027E" w:rsidRDefault="00EF027E" w14:paraId="6C4F544E" w14:textId="77777777">
            <w:pPr>
              <w:pStyle w:val="BodyText"/>
              <w:jc w:val="both"/>
              <w:rPr>
                <w:sz w:val="24"/>
              </w:rPr>
            </w:pPr>
            <w:r w:rsidRPr="00127D6A">
              <w:rPr>
                <w:sz w:val="24"/>
              </w:rPr>
              <w:t>Skatīt precizētā konceptuālā ziņojuma 3.3. apakšnodaļu.</w:t>
            </w:r>
          </w:p>
        </w:tc>
      </w:tr>
      <w:tr w:rsidRPr="000B7922" w:rsidR="00A86FC8" w:rsidTr="00322FBF" w14:paraId="2FB7B12B" w14:textId="77777777">
        <w:trPr>
          <w:trHeight w:val="2455"/>
          <w:jc w:val="center"/>
        </w:trPr>
        <w:tc>
          <w:tcPr>
            <w:tcW w:w="977" w:type="dxa"/>
          </w:tcPr>
          <w:p w:rsidRPr="00127D6A" w:rsidR="00A86FC8" w:rsidP="00A86FC8" w:rsidRDefault="003369A8" w14:paraId="6397CE89" w14:textId="77777777">
            <w:pPr>
              <w:jc w:val="both"/>
              <w:rPr>
                <w:lang w:val="lv-LV"/>
              </w:rPr>
            </w:pPr>
            <w:r w:rsidRPr="00127D6A">
              <w:rPr>
                <w:lang w:val="lv-LV"/>
              </w:rPr>
              <w:t>8.</w:t>
            </w:r>
          </w:p>
        </w:tc>
        <w:tc>
          <w:tcPr>
            <w:tcW w:w="2846" w:type="dxa"/>
          </w:tcPr>
          <w:p w:rsidRPr="00127D6A" w:rsidR="00A86FC8" w:rsidP="00A86FC8" w:rsidRDefault="00A86FC8" w14:paraId="51DB5A4D" w14:textId="77777777">
            <w:pPr>
              <w:ind w:left="34" w:right="-6"/>
              <w:jc w:val="both"/>
              <w:rPr>
                <w:lang w:val="lv-LV"/>
              </w:rPr>
            </w:pPr>
          </w:p>
        </w:tc>
        <w:tc>
          <w:tcPr>
            <w:tcW w:w="3770" w:type="dxa"/>
          </w:tcPr>
          <w:p w:rsidRPr="00127D6A" w:rsidR="00A86FC8" w:rsidP="00A86FC8" w:rsidRDefault="00A86FC8" w14:paraId="67241177" w14:textId="3E95AC0D">
            <w:pPr>
              <w:jc w:val="both"/>
              <w:rPr>
                <w:b/>
                <w:bCs/>
                <w:lang w:val="lv-LV"/>
              </w:rPr>
            </w:pPr>
            <w:r w:rsidRPr="00127D6A">
              <w:rPr>
                <w:b/>
                <w:bCs/>
                <w:lang w:val="lv-LV"/>
              </w:rPr>
              <w:t>Latvijas tirdzniecības un rūpniecības kamera (26.03.2020</w:t>
            </w:r>
            <w:r w:rsidR="00E06917">
              <w:rPr>
                <w:b/>
                <w:bCs/>
                <w:lang w:val="lv-LV"/>
              </w:rPr>
              <w:t>.</w:t>
            </w:r>
            <w:r w:rsidRPr="00127D6A">
              <w:rPr>
                <w:b/>
                <w:bCs/>
                <w:lang w:val="lv-LV"/>
              </w:rPr>
              <w:t>)</w:t>
            </w:r>
          </w:p>
          <w:p w:rsidRPr="00127D6A" w:rsidR="00A86FC8" w:rsidP="00A86FC8" w:rsidRDefault="00A86FC8" w14:paraId="6DBEE5BC" w14:textId="77777777">
            <w:pPr>
              <w:contextualSpacing/>
              <w:jc w:val="both"/>
              <w:rPr>
                <w:rFonts w:cs="Calibri"/>
                <w:lang w:val="lv-LV"/>
              </w:rPr>
            </w:pPr>
            <w:r w:rsidRPr="00127D6A">
              <w:rPr>
                <w:rFonts w:cs="Calibri"/>
                <w:lang w:val="lv-LV"/>
              </w:rPr>
              <w:t xml:space="preserve">Projektā nav apskatītas vajadzību realizēšanas iespējamās alternatīvas. Regulas Nr.2017/1926 ievada 10.punktā ir ieteiktas izmantojamās pieejas un iespējamie risinājumi:  </w:t>
            </w:r>
          </w:p>
          <w:p w:rsidRPr="00E06917" w:rsidR="00A86FC8" w:rsidP="00A86FC8" w:rsidRDefault="00A86FC8" w14:paraId="4F803F87" w14:textId="77777777">
            <w:pPr>
              <w:contextualSpacing/>
              <w:jc w:val="both"/>
              <w:rPr>
                <w:rFonts w:cs="Calibri"/>
                <w:lang w:val="lv-LV"/>
              </w:rPr>
            </w:pPr>
            <w:r w:rsidRPr="00E06917">
              <w:rPr>
                <w:rFonts w:cs="Calibri"/>
                <w:lang w:val="lv-LV"/>
              </w:rPr>
              <w:t xml:space="preserve">“…Piekļuves punkts var būt, piemēram, datubāze, datu noliktava, datu tirgus, krātuve, reģistrs, tīmekļa portāls vai līdzīga lietotne atkarībā no datu veida. Dalībvalstīm būtu jāapsver iespēja sagrupēt esošos publiskos un privātos piekļuves punktus vienotā punktā, kas ļauj </w:t>
            </w:r>
            <w:r w:rsidRPr="00E06917">
              <w:rPr>
                <w:rFonts w:cs="Calibri"/>
                <w:lang w:val="lv-LV"/>
              </w:rPr>
              <w:lastRenderedPageBreak/>
              <w:t>piekļūt visu veidu attiecīgajiem pieejamajiem datiem, kuri ietilpst šo specifikāciju darbības jomā.”</w:t>
            </w:r>
          </w:p>
          <w:p w:rsidRPr="00127D6A" w:rsidR="00A86FC8" w:rsidP="00A86FC8" w:rsidRDefault="00A86FC8" w14:paraId="0611FCFB" w14:textId="77777777">
            <w:pPr>
              <w:jc w:val="both"/>
              <w:rPr>
                <w:b/>
                <w:bCs/>
                <w:lang w:val="lv-LV"/>
              </w:rPr>
            </w:pPr>
            <w:r w:rsidRPr="00E06917">
              <w:rPr>
                <w:rFonts w:cs="Calibri"/>
                <w:lang w:val="lv-LV"/>
              </w:rPr>
              <w:t>Neskatoties uz to, ka ar Nacionāla piekļuves punkta izveidi tiek realizēta rekomendācija par vienota punkta izveidi, Projektā</w:t>
            </w:r>
            <w:r w:rsidRPr="00127D6A">
              <w:rPr>
                <w:rFonts w:cs="Calibri"/>
                <w:lang w:val="lv-LV"/>
              </w:rPr>
              <w:t xml:space="preserve"> nav apskatīti iespējamie tehniskie risinājumi mērķa sasniegšanai un nav noteikts labākais risinājums Latvijas situācijā.</w:t>
            </w:r>
          </w:p>
        </w:tc>
        <w:tc>
          <w:tcPr>
            <w:tcW w:w="2703" w:type="dxa"/>
          </w:tcPr>
          <w:p w:rsidR="00E06917" w:rsidP="00E06917" w:rsidRDefault="000B7922" w14:paraId="19E5C701" w14:textId="77777777">
            <w:pPr>
              <w:jc w:val="center"/>
              <w:rPr>
                <w:b/>
                <w:bCs/>
                <w:lang w:val="lv-LV"/>
              </w:rPr>
            </w:pPr>
            <w:r>
              <w:rPr>
                <w:b/>
                <w:bCs/>
                <w:lang w:val="lv-LV"/>
              </w:rPr>
              <w:lastRenderedPageBreak/>
              <w:t>Panākta vienošanās saskaņošanas laikā</w:t>
            </w:r>
            <w:r w:rsidRPr="00127D6A">
              <w:rPr>
                <w:b/>
                <w:bCs/>
                <w:lang w:val="lv-LV"/>
              </w:rPr>
              <w:t>.</w:t>
            </w:r>
          </w:p>
          <w:p w:rsidRPr="00127D6A" w:rsidR="00A86FC8" w:rsidP="00A86FC8" w:rsidRDefault="00A86FC8" w14:paraId="044427E3" w14:textId="0EF64C9C">
            <w:pPr>
              <w:jc w:val="both"/>
              <w:rPr>
                <w:b/>
                <w:bCs/>
                <w:lang w:val="lv-LV"/>
              </w:rPr>
            </w:pPr>
            <w:r w:rsidRPr="00127D6A">
              <w:rPr>
                <w:lang w:val="lv-LV"/>
              </w:rPr>
              <w:t xml:space="preserve">Attiecībā uz jautājumu par iespējamajiem tehniskajiem risinājumiem mērķa sasniegšanai, informējam, ka NPP pats par sevi nav tehniskais risinājums, bet gan nodrošināta iespēja gan iesniegt satiksmes datus, gan tos bezmaksas visiem iegūt un izmantot, precīzs NPP tehniskais risinājums (datubāze, </w:t>
            </w:r>
            <w:r w:rsidRPr="00127D6A">
              <w:rPr>
                <w:lang w:val="lv-LV"/>
              </w:rPr>
              <w:lastRenderedPageBreak/>
              <w:t xml:space="preserve">datu noliktava, datu tirgus, krātuve, </w:t>
            </w:r>
            <w:proofErr w:type="spellStart"/>
            <w:r w:rsidRPr="00127D6A">
              <w:rPr>
                <w:lang w:val="lv-LV"/>
              </w:rPr>
              <w:t>reģists</w:t>
            </w:r>
            <w:proofErr w:type="spellEnd"/>
            <w:r w:rsidRPr="00127D6A">
              <w:rPr>
                <w:lang w:val="lv-LV"/>
              </w:rPr>
              <w:t xml:space="preserve"> vai līdzīga lietotne) tiks definēts konsultatīva pakalpojuma, NPP specifikāciju izstrādes un iepirkumu rezultātā, ievērtējot arī visas ar šiem pasākumiem saistītās izmaksas.  Papildus informējam, ka NPP iesniegtie dati būs pieejami bezmaksas arī </w:t>
            </w:r>
            <w:proofErr w:type="spellStart"/>
            <w:r w:rsidRPr="00127D6A">
              <w:rPr>
                <w:lang w:val="lv-LV"/>
              </w:rPr>
              <w:t>jaunizveidotā</w:t>
            </w:r>
            <w:proofErr w:type="spellEnd"/>
            <w:r w:rsidRPr="00127D6A">
              <w:rPr>
                <w:lang w:val="lv-LV"/>
              </w:rPr>
              <w:t xml:space="preserve"> publiskā tīmekļa portālā gan mašīnlasāmā formātā, gan daļa no tiem tiks vizualizēti interaktīvas kartes vai citādā veidā.</w:t>
            </w:r>
          </w:p>
        </w:tc>
        <w:tc>
          <w:tcPr>
            <w:tcW w:w="2960" w:type="dxa"/>
          </w:tcPr>
          <w:p w:rsidRPr="00127D6A" w:rsidR="00A86FC8" w:rsidP="00A86FC8" w:rsidRDefault="00A86FC8" w14:paraId="45BAF0E1" w14:textId="77777777">
            <w:pPr>
              <w:pStyle w:val="BodyText"/>
              <w:jc w:val="both"/>
              <w:rPr>
                <w:sz w:val="24"/>
              </w:rPr>
            </w:pPr>
          </w:p>
        </w:tc>
      </w:tr>
      <w:tr w:rsidRPr="000B7922" w:rsidR="00A86FC8" w:rsidTr="00322FBF" w14:paraId="71CFA656" w14:textId="77777777">
        <w:trPr>
          <w:trHeight w:val="611"/>
          <w:jc w:val="center"/>
        </w:trPr>
        <w:tc>
          <w:tcPr>
            <w:tcW w:w="977" w:type="dxa"/>
          </w:tcPr>
          <w:p w:rsidRPr="00127D6A" w:rsidR="00A86FC8" w:rsidP="00A86FC8" w:rsidRDefault="003369A8" w14:paraId="351498C3" w14:textId="77777777">
            <w:pPr>
              <w:jc w:val="both"/>
              <w:rPr>
                <w:lang w:val="lv-LV"/>
              </w:rPr>
            </w:pPr>
            <w:r w:rsidRPr="00127D6A">
              <w:rPr>
                <w:lang w:val="lv-LV"/>
              </w:rPr>
              <w:t>9.</w:t>
            </w:r>
          </w:p>
        </w:tc>
        <w:tc>
          <w:tcPr>
            <w:tcW w:w="2846" w:type="dxa"/>
          </w:tcPr>
          <w:p w:rsidRPr="00127D6A" w:rsidR="00A86FC8" w:rsidP="00A86FC8" w:rsidRDefault="00A86FC8" w14:paraId="72353805" w14:textId="77777777">
            <w:pPr>
              <w:ind w:left="34" w:right="-6"/>
              <w:jc w:val="both"/>
              <w:rPr>
                <w:lang w:val="lv-LV"/>
              </w:rPr>
            </w:pPr>
          </w:p>
        </w:tc>
        <w:tc>
          <w:tcPr>
            <w:tcW w:w="3770" w:type="dxa"/>
          </w:tcPr>
          <w:p w:rsidRPr="00E06917" w:rsidR="00A86FC8" w:rsidP="00A86FC8" w:rsidRDefault="00A86FC8" w14:paraId="7EB30715" w14:textId="5790D5E4">
            <w:pPr>
              <w:jc w:val="both"/>
              <w:rPr>
                <w:b/>
                <w:bCs/>
                <w:lang w:val="lv-LV"/>
              </w:rPr>
            </w:pPr>
            <w:r w:rsidRPr="00E06917">
              <w:rPr>
                <w:b/>
                <w:bCs/>
                <w:lang w:val="lv-LV"/>
              </w:rPr>
              <w:t>Latvijas tirdzniecības un rūpniecības kamera (26.03.2020</w:t>
            </w:r>
            <w:r w:rsidRPr="00E06917" w:rsidR="00E06917">
              <w:rPr>
                <w:b/>
                <w:bCs/>
                <w:lang w:val="lv-LV"/>
              </w:rPr>
              <w:t>.</w:t>
            </w:r>
            <w:r w:rsidRPr="00E06917">
              <w:rPr>
                <w:b/>
                <w:bCs/>
                <w:lang w:val="lv-LV"/>
              </w:rPr>
              <w:t>)</w:t>
            </w:r>
          </w:p>
          <w:p w:rsidRPr="00E06917" w:rsidR="00A86FC8" w:rsidP="00A86FC8" w:rsidRDefault="00A86FC8" w14:paraId="3523A6CB" w14:textId="77777777">
            <w:pPr>
              <w:contextualSpacing/>
              <w:jc w:val="both"/>
              <w:rPr>
                <w:rFonts w:cs="Calibri"/>
                <w:lang w:val="lv-LV"/>
              </w:rPr>
            </w:pPr>
            <w:r w:rsidRPr="00E06917">
              <w:rPr>
                <w:rFonts w:cs="Calibri"/>
                <w:lang w:val="lv-LV"/>
              </w:rPr>
              <w:t xml:space="preserve">Projektā nav apskatītas vajadzību realizēšanas iespējamās alternatīvas. Regulas Nr.2017/1926 ievada 10.punktā ir ieteiktas izmantojamās pieejas un iespējamie risinājumi:  </w:t>
            </w:r>
          </w:p>
          <w:p w:rsidRPr="00E06917" w:rsidR="00A86FC8" w:rsidP="00A86FC8" w:rsidRDefault="00A86FC8" w14:paraId="33C27E75" w14:textId="77777777">
            <w:pPr>
              <w:contextualSpacing/>
              <w:jc w:val="both"/>
              <w:rPr>
                <w:rFonts w:cs="Calibri"/>
                <w:lang w:val="lv-LV"/>
              </w:rPr>
            </w:pPr>
            <w:r w:rsidRPr="00E06917">
              <w:rPr>
                <w:rFonts w:cs="Calibri"/>
                <w:lang w:val="lv-LV"/>
              </w:rPr>
              <w:t xml:space="preserve">“…Piekļuves punkts var būt, piemēram, datubāze, datu noliktava, datu tirgus, krātuve, reģistrs, tīmekļa portāls vai līdzīga lietotne atkarībā no datu veida. Dalībvalstīm būtu jāapsver iespēja sagrupēt esošos publiskos un privātos piekļuves punktus vienotā punktā, kas ļauj piekļūt visu veidu attiecīgajiem </w:t>
            </w:r>
            <w:r w:rsidRPr="00E06917">
              <w:rPr>
                <w:rFonts w:cs="Calibri"/>
                <w:lang w:val="lv-LV"/>
              </w:rPr>
              <w:lastRenderedPageBreak/>
              <w:t>pieejamajiem datiem, kuri ietilpst šo specifikāciju darbības jomā.”</w:t>
            </w:r>
          </w:p>
          <w:p w:rsidRPr="00E06917" w:rsidR="00A86FC8" w:rsidP="00A86FC8" w:rsidRDefault="00A86FC8" w14:paraId="477A17A2" w14:textId="77777777">
            <w:pPr>
              <w:pStyle w:val="ListParagraph"/>
              <w:widowControl w:val="0"/>
              <w:tabs>
                <w:tab w:val="left" w:pos="851"/>
                <w:tab w:val="left" w:pos="993"/>
              </w:tabs>
              <w:ind w:left="0" w:firstLine="0"/>
              <w:rPr>
                <w:rFonts w:eastAsia="Times New Roman"/>
                <w:b/>
                <w:bCs/>
                <w:color w:val="000000"/>
                <w:lang w:eastAsia="lv-LV"/>
              </w:rPr>
            </w:pPr>
            <w:r w:rsidRPr="00E06917">
              <w:rPr>
                <w:rFonts w:cs="Calibri"/>
              </w:rPr>
              <w:t>Neskatoties uz to, ka ar Nacionāla piekļuves punkta izveidi tiek realizēta rekomendācija par vienota punkta izveidi, Projektā nav apskatīti iespējamie tehniskie risinājumi mērķa sasniegšanai un nav noteikts labākais risinājums Latvijas situācijā.</w:t>
            </w:r>
          </w:p>
        </w:tc>
        <w:tc>
          <w:tcPr>
            <w:tcW w:w="2703" w:type="dxa"/>
          </w:tcPr>
          <w:p w:rsidR="00E06917" w:rsidP="00E06917" w:rsidRDefault="000B7922" w14:paraId="12435AD6" w14:textId="77777777">
            <w:pPr>
              <w:jc w:val="center"/>
              <w:rPr>
                <w:b/>
                <w:bCs/>
                <w:lang w:val="lv-LV"/>
              </w:rPr>
            </w:pPr>
            <w:r>
              <w:rPr>
                <w:b/>
                <w:bCs/>
                <w:lang w:val="lv-LV"/>
              </w:rPr>
              <w:lastRenderedPageBreak/>
              <w:t>Panākta vienošanās saskaņošanas laikā</w:t>
            </w:r>
            <w:r w:rsidRPr="00127D6A">
              <w:rPr>
                <w:b/>
                <w:bCs/>
                <w:lang w:val="lv-LV"/>
              </w:rPr>
              <w:t>.</w:t>
            </w:r>
          </w:p>
          <w:p w:rsidRPr="00127D6A" w:rsidR="00A86FC8" w:rsidP="00A86FC8" w:rsidRDefault="00A86FC8" w14:paraId="2C22E81A" w14:textId="72B95AC0">
            <w:pPr>
              <w:jc w:val="both"/>
              <w:rPr>
                <w:b/>
                <w:bCs/>
                <w:lang w:val="lv-LV"/>
              </w:rPr>
            </w:pPr>
            <w:r w:rsidRPr="00127D6A">
              <w:rPr>
                <w:lang w:val="lv-LV"/>
              </w:rPr>
              <w:t xml:space="preserve">Attiecībā uz jautājumu par iespējamajiem tehniskajiem risinājumiem mērķa sasniegšanai, informējam, ka NPP pats par sevi nav tehniskais risinājums, bet gan nodrošināta iespēja gan iesniegt satiksmes datus, gan tos bezmaksas visiem iegūt un izmantot, precīzs NPP tehniskais risinājums (datubāze, datu noliktava, datu tirgus, krātuve, </w:t>
            </w:r>
            <w:proofErr w:type="spellStart"/>
            <w:r w:rsidRPr="00127D6A">
              <w:rPr>
                <w:lang w:val="lv-LV"/>
              </w:rPr>
              <w:t>reģists</w:t>
            </w:r>
            <w:proofErr w:type="spellEnd"/>
            <w:r w:rsidRPr="00127D6A">
              <w:rPr>
                <w:lang w:val="lv-LV"/>
              </w:rPr>
              <w:t xml:space="preserve"> vai </w:t>
            </w:r>
            <w:r w:rsidRPr="00127D6A">
              <w:rPr>
                <w:lang w:val="lv-LV"/>
              </w:rPr>
              <w:lastRenderedPageBreak/>
              <w:t xml:space="preserve">līdzīga lietotne)  tiks definēts konsultatīva pakalpojuma, NPP specifikāciju izstrādes un iepirkumu rezultātā, ievērtējot arī visas ar šiem pasākumiem saistītās izmaksas.  Papildus informējam, ka NPP iesniegtie dati būs pieejami bezmaksas arī </w:t>
            </w:r>
            <w:proofErr w:type="spellStart"/>
            <w:r w:rsidRPr="00127D6A">
              <w:rPr>
                <w:lang w:val="lv-LV"/>
              </w:rPr>
              <w:t>jaunizveidotā</w:t>
            </w:r>
            <w:proofErr w:type="spellEnd"/>
            <w:r w:rsidRPr="00127D6A">
              <w:rPr>
                <w:lang w:val="lv-LV"/>
              </w:rPr>
              <w:t xml:space="preserve"> publiskā tīmekļa portālā gan mašīnlasāmā formātā, gan daļa no tiem tiks vizualizēti interaktīvas kartes vai citādā veidā.</w:t>
            </w:r>
          </w:p>
        </w:tc>
        <w:tc>
          <w:tcPr>
            <w:tcW w:w="2960" w:type="dxa"/>
          </w:tcPr>
          <w:p w:rsidRPr="00127D6A" w:rsidR="00A86FC8" w:rsidP="00A86FC8" w:rsidRDefault="00A86FC8" w14:paraId="522F0B41" w14:textId="77777777">
            <w:pPr>
              <w:pStyle w:val="BodyText"/>
              <w:jc w:val="both"/>
              <w:rPr>
                <w:sz w:val="24"/>
              </w:rPr>
            </w:pPr>
          </w:p>
        </w:tc>
      </w:tr>
      <w:tr w:rsidRPr="000B7922" w:rsidR="00A86FC8" w:rsidTr="00322FBF" w14:paraId="6BF059F3" w14:textId="77777777">
        <w:trPr>
          <w:trHeight w:val="611"/>
          <w:jc w:val="center"/>
        </w:trPr>
        <w:tc>
          <w:tcPr>
            <w:tcW w:w="977" w:type="dxa"/>
          </w:tcPr>
          <w:p w:rsidRPr="00127D6A" w:rsidR="00A86FC8" w:rsidP="00A86FC8" w:rsidRDefault="003369A8" w14:paraId="462D1665" w14:textId="77777777">
            <w:pPr>
              <w:jc w:val="both"/>
              <w:rPr>
                <w:lang w:val="lv-LV"/>
              </w:rPr>
            </w:pPr>
            <w:r w:rsidRPr="00127D6A">
              <w:rPr>
                <w:lang w:val="lv-LV"/>
              </w:rPr>
              <w:t>10.</w:t>
            </w:r>
          </w:p>
        </w:tc>
        <w:tc>
          <w:tcPr>
            <w:tcW w:w="2846" w:type="dxa"/>
          </w:tcPr>
          <w:p w:rsidRPr="00127D6A" w:rsidR="00A86FC8" w:rsidP="00A86FC8" w:rsidRDefault="00A86FC8" w14:paraId="4AC102EC" w14:textId="77777777">
            <w:pPr>
              <w:ind w:left="34" w:right="-6"/>
              <w:jc w:val="both"/>
              <w:rPr>
                <w:lang w:val="lv-LV"/>
              </w:rPr>
            </w:pPr>
          </w:p>
        </w:tc>
        <w:tc>
          <w:tcPr>
            <w:tcW w:w="3770" w:type="dxa"/>
          </w:tcPr>
          <w:p w:rsidRPr="00127D6A" w:rsidR="00A86FC8" w:rsidP="00A86FC8" w:rsidRDefault="00A86FC8" w14:paraId="6999F697" w14:textId="4BDB6BAA">
            <w:pPr>
              <w:jc w:val="both"/>
              <w:rPr>
                <w:b/>
                <w:bCs/>
                <w:lang w:val="lv-LV"/>
              </w:rPr>
            </w:pPr>
            <w:r w:rsidRPr="00127D6A">
              <w:rPr>
                <w:b/>
                <w:bCs/>
                <w:lang w:val="lv-LV"/>
              </w:rPr>
              <w:t>Latvijas tirdzniecības un rūpniecības kamera (26.03.2020</w:t>
            </w:r>
            <w:r w:rsidR="00E06917">
              <w:rPr>
                <w:b/>
                <w:bCs/>
                <w:lang w:val="lv-LV"/>
              </w:rPr>
              <w:t>.</w:t>
            </w:r>
            <w:r w:rsidRPr="00127D6A">
              <w:rPr>
                <w:b/>
                <w:bCs/>
                <w:lang w:val="lv-LV"/>
              </w:rPr>
              <w:t>)</w:t>
            </w:r>
          </w:p>
          <w:p w:rsidRPr="00127D6A" w:rsidR="00A86FC8" w:rsidP="00A86FC8" w:rsidRDefault="00A86FC8" w14:paraId="5295FD69" w14:textId="77777777">
            <w:pPr>
              <w:pStyle w:val="ListParagraph"/>
              <w:widowControl w:val="0"/>
              <w:tabs>
                <w:tab w:val="left" w:pos="851"/>
                <w:tab w:val="left" w:pos="993"/>
              </w:tabs>
              <w:ind w:left="0" w:firstLine="0"/>
              <w:rPr>
                <w:rFonts w:eastAsia="Times New Roman"/>
                <w:b/>
                <w:bCs/>
                <w:color w:val="000000"/>
                <w:lang w:eastAsia="lv-LV"/>
              </w:rPr>
            </w:pPr>
            <w:r w:rsidRPr="00127D6A">
              <w:rPr>
                <w:rFonts w:cs="Calibri"/>
              </w:rPr>
              <w:t xml:space="preserve">Papildus tam jāņem vērā, ka Ministru kabineta 2018.gada 25.septembra noteikumu Nr.611 “Kārtībā, kādā iestādes ievieto informāciju internetā” 28.punkts nosaka, ka iestāde tās rīcībā esošos atvērtos datus mašīnlasāmā formā kopā ar metadatiem vai tikai datu kopas metadatus publicē Latvijas Atvērto datu portālā (https://data.gov.lv). Savukārt, šo noteikumu 33.punkts nosaka, ka Atvērtos ģeotelpiskos datus iestāde publicē valsts vienotajā ģeotelpiskās informācijas portālā (https://geolatvija.lv). Projektā nav atrodama informācija, kas pamatotu kāpēc šos MK noteikumus nevar </w:t>
            </w:r>
            <w:r w:rsidRPr="00127D6A">
              <w:rPr>
                <w:rFonts w:cs="Calibri"/>
              </w:rPr>
              <w:lastRenderedPageBreak/>
              <w:t xml:space="preserve">piemērot </w:t>
            </w:r>
            <w:proofErr w:type="spellStart"/>
            <w:r w:rsidRPr="00127D6A">
              <w:rPr>
                <w:rFonts w:cs="Calibri"/>
              </w:rPr>
              <w:t>intelektisko</w:t>
            </w:r>
            <w:proofErr w:type="spellEnd"/>
            <w:r w:rsidRPr="00127D6A">
              <w:rPr>
                <w:rFonts w:cs="Calibri"/>
              </w:rPr>
              <w:t xml:space="preserve"> transporta sistēmu ieviešanai, jo īpaši tāpēc, ka vairums sniedzamo datu būs ģeotelpiski.</w:t>
            </w:r>
          </w:p>
        </w:tc>
        <w:tc>
          <w:tcPr>
            <w:tcW w:w="2703" w:type="dxa"/>
          </w:tcPr>
          <w:p w:rsidR="00E06917" w:rsidP="00E06917" w:rsidRDefault="000B7922" w14:paraId="0AA7E942" w14:textId="77777777">
            <w:pPr>
              <w:jc w:val="center"/>
              <w:rPr>
                <w:b/>
                <w:bCs/>
                <w:lang w:val="lv-LV"/>
              </w:rPr>
            </w:pPr>
            <w:r>
              <w:rPr>
                <w:b/>
                <w:bCs/>
                <w:lang w:val="lv-LV"/>
              </w:rPr>
              <w:lastRenderedPageBreak/>
              <w:t>Panākta vienošanās saskaņošanas laikā</w:t>
            </w:r>
            <w:r w:rsidRPr="00127D6A">
              <w:rPr>
                <w:b/>
                <w:bCs/>
                <w:lang w:val="lv-LV"/>
              </w:rPr>
              <w:t>.</w:t>
            </w:r>
          </w:p>
          <w:p w:rsidRPr="00127D6A" w:rsidR="00A86FC8" w:rsidP="00A86FC8" w:rsidRDefault="00A86FC8" w14:paraId="080BC90F" w14:textId="3BBE3299">
            <w:pPr>
              <w:jc w:val="both"/>
              <w:rPr>
                <w:lang w:val="lv-LV"/>
              </w:rPr>
            </w:pPr>
            <w:r w:rsidRPr="00127D6A">
              <w:rPr>
                <w:lang w:val="lv-LV"/>
              </w:rPr>
              <w:t xml:space="preserve">Skaidrojam, ka šobrīd precīzs NPP tehniskais risinājums un iespējamā atrašanās vieta nav definēta. Precīzs NPP tehniskais risinājums un datu centra atrašanās vieta, no kurām viena iespējamā alternatīva ir arī NPP integrācija Latvijas Atvērto datu portāla arhitektūrā, tiks definēta konsultatīvā pakalpojuma, NPP specifikāciju izstrādes un iepirkumu rezultātā, ievērtējot arī visas ar šiem </w:t>
            </w:r>
            <w:r w:rsidRPr="00127D6A">
              <w:rPr>
                <w:lang w:val="lv-LV"/>
              </w:rPr>
              <w:lastRenderedPageBreak/>
              <w:t xml:space="preserve">pasākumiem saistītās izmaksas. Papildus skaidrojam, ka NPP atbilstoši ITS direktīvā un regulās noteiktajam ir jānodrošina ne tikai iestādes kompetencēs esošās informācijas pieejamību, bet arī citu institūciju, pakalpojumu vai infrastruktūras </w:t>
            </w:r>
            <w:proofErr w:type="spellStart"/>
            <w:r w:rsidRPr="00127D6A">
              <w:rPr>
                <w:lang w:val="lv-LV"/>
              </w:rPr>
              <w:t>apsaimniekotāju</w:t>
            </w:r>
            <w:proofErr w:type="spellEnd"/>
            <w:r w:rsidRPr="00127D6A">
              <w:rPr>
                <w:lang w:val="lv-LV"/>
              </w:rPr>
              <w:t xml:space="preserve"> rīcībā esošie satiksmes dati. Ņemot vērā, ka Satiksmes ministrija un tās kapitālsabiedrības nav vienīgie satiksmes datu turētāji valstī, Satiksmes ministrija nevar nodrošināt šo datu iesniegšanu Latvijas Atvērto datu portālā.</w:t>
            </w:r>
          </w:p>
          <w:p w:rsidRPr="00127D6A" w:rsidR="00A86FC8" w:rsidP="00A86FC8" w:rsidRDefault="00A86FC8" w14:paraId="472D0A6F" w14:textId="77777777">
            <w:pPr>
              <w:jc w:val="both"/>
              <w:rPr>
                <w:b/>
                <w:bCs/>
                <w:lang w:val="lv-LV"/>
              </w:rPr>
            </w:pPr>
            <w:r w:rsidRPr="00127D6A">
              <w:rPr>
                <w:lang w:val="lv-LV"/>
              </w:rPr>
              <w:t>Vēršam uzmanību uz to, ka jau šobrīd LVC un VSIA “Autotransporta direkcija” publicē dažādus rīcībā esošos datus Latvijas Atvērto datu portālā.</w:t>
            </w:r>
          </w:p>
        </w:tc>
        <w:tc>
          <w:tcPr>
            <w:tcW w:w="2960" w:type="dxa"/>
          </w:tcPr>
          <w:p w:rsidRPr="00127D6A" w:rsidR="00A86FC8" w:rsidP="00A86FC8" w:rsidRDefault="00A86FC8" w14:paraId="25F610D4" w14:textId="77777777">
            <w:pPr>
              <w:pStyle w:val="BodyText"/>
              <w:jc w:val="both"/>
              <w:rPr>
                <w:sz w:val="24"/>
              </w:rPr>
            </w:pPr>
          </w:p>
        </w:tc>
      </w:tr>
      <w:tr w:rsidRPr="00127D6A" w:rsidR="00A86FC8" w:rsidTr="00322FBF" w14:paraId="3F090E7B" w14:textId="77777777">
        <w:trPr>
          <w:trHeight w:val="611"/>
          <w:jc w:val="center"/>
        </w:trPr>
        <w:tc>
          <w:tcPr>
            <w:tcW w:w="977" w:type="dxa"/>
          </w:tcPr>
          <w:p w:rsidRPr="00127D6A" w:rsidR="00A86FC8" w:rsidP="00A86FC8" w:rsidRDefault="003369A8" w14:paraId="7EB79D4F" w14:textId="77777777">
            <w:pPr>
              <w:jc w:val="both"/>
              <w:rPr>
                <w:lang w:val="lv-LV"/>
              </w:rPr>
            </w:pPr>
            <w:r w:rsidRPr="00127D6A">
              <w:rPr>
                <w:lang w:val="lv-LV"/>
              </w:rPr>
              <w:t>11.</w:t>
            </w:r>
          </w:p>
        </w:tc>
        <w:tc>
          <w:tcPr>
            <w:tcW w:w="2846" w:type="dxa"/>
          </w:tcPr>
          <w:p w:rsidRPr="00127D6A" w:rsidR="00A86FC8" w:rsidP="00A86FC8" w:rsidRDefault="00E06917" w14:paraId="651ADE67" w14:textId="0E8EF77A">
            <w:pPr>
              <w:ind w:left="34" w:right="-6"/>
              <w:jc w:val="both"/>
              <w:rPr>
                <w:lang w:val="lv-LV"/>
              </w:rPr>
            </w:pPr>
            <w:r>
              <w:rPr>
                <w:lang w:val="lv-LV"/>
              </w:rPr>
              <w:t>Rīkojuma</w:t>
            </w:r>
            <w:r w:rsidRPr="00127D6A" w:rsidR="00A86FC8">
              <w:rPr>
                <w:lang w:val="lv-LV"/>
              </w:rPr>
              <w:t xml:space="preserve"> projekta 2. un 4. </w:t>
            </w:r>
            <w:r>
              <w:rPr>
                <w:lang w:val="lv-LV"/>
              </w:rPr>
              <w:t>p</w:t>
            </w:r>
            <w:r w:rsidRPr="00127D6A" w:rsidR="00A86FC8">
              <w:rPr>
                <w:lang w:val="lv-LV"/>
              </w:rPr>
              <w:t>unkts.</w:t>
            </w:r>
          </w:p>
        </w:tc>
        <w:tc>
          <w:tcPr>
            <w:tcW w:w="3770" w:type="dxa"/>
          </w:tcPr>
          <w:p w:rsidRPr="00127D6A" w:rsidR="00A86FC8" w:rsidP="00A86FC8" w:rsidRDefault="00A86FC8" w14:paraId="52D2F540" w14:textId="77777777">
            <w:pPr>
              <w:pStyle w:val="ListParagraph"/>
              <w:widowControl w:val="0"/>
              <w:tabs>
                <w:tab w:val="left" w:pos="851"/>
                <w:tab w:val="left" w:pos="993"/>
              </w:tabs>
              <w:ind w:left="0" w:firstLine="0"/>
              <w:rPr>
                <w:rFonts w:eastAsia="Times New Roman"/>
                <w:b/>
                <w:bCs/>
                <w:color w:val="000000"/>
                <w:lang w:eastAsia="lv-LV"/>
              </w:rPr>
            </w:pPr>
            <w:r w:rsidRPr="00127D6A">
              <w:rPr>
                <w:rFonts w:eastAsia="Times New Roman"/>
                <w:b/>
                <w:bCs/>
                <w:color w:val="000000"/>
                <w:lang w:eastAsia="lv-LV"/>
              </w:rPr>
              <w:t>Tieslietu ministrija (27.03.2020.)</w:t>
            </w:r>
          </w:p>
          <w:p w:rsidRPr="00127D6A" w:rsidR="00A86FC8" w:rsidP="00A86FC8" w:rsidRDefault="00A86FC8" w14:paraId="02177E4E" w14:textId="77777777">
            <w:pPr>
              <w:pStyle w:val="ListParagraph"/>
              <w:widowControl w:val="0"/>
              <w:tabs>
                <w:tab w:val="left" w:pos="851"/>
                <w:tab w:val="left" w:pos="993"/>
              </w:tabs>
              <w:ind w:left="0" w:firstLine="0"/>
              <w:rPr>
                <w:rFonts w:eastAsia="Times New Roman"/>
                <w:color w:val="000000"/>
                <w:lang w:eastAsia="lv-LV"/>
              </w:rPr>
            </w:pPr>
            <w:r w:rsidRPr="00127D6A">
              <w:rPr>
                <w:rFonts w:eastAsia="Times New Roman"/>
                <w:color w:val="000000"/>
                <w:lang w:eastAsia="lv-LV"/>
              </w:rPr>
              <w:t xml:space="preserve">Lūdzam precizēt </w:t>
            </w:r>
            <w:proofErr w:type="spellStart"/>
            <w:r w:rsidRPr="00127D6A">
              <w:rPr>
                <w:rFonts w:eastAsia="Times New Roman"/>
                <w:color w:val="000000"/>
                <w:lang w:eastAsia="lv-LV"/>
              </w:rPr>
              <w:t>protokollēmuma</w:t>
            </w:r>
            <w:proofErr w:type="spellEnd"/>
            <w:r w:rsidRPr="00127D6A">
              <w:rPr>
                <w:rFonts w:eastAsia="Times New Roman"/>
                <w:color w:val="000000"/>
                <w:lang w:eastAsia="lv-LV"/>
              </w:rPr>
              <w:t xml:space="preserve"> projekta 2. punktu, skaidri nosakot uzdevumu un tā adresātu, piemēram, uzdot Satiksmes ministrijai izstrādāt un satiksmes ministram iesniegt grozījumus Ministru kabineta 2003. </w:t>
            </w:r>
            <w:r w:rsidRPr="00127D6A">
              <w:rPr>
                <w:rFonts w:eastAsia="Times New Roman"/>
                <w:color w:val="000000"/>
                <w:lang w:eastAsia="lv-LV"/>
              </w:rPr>
              <w:lastRenderedPageBreak/>
              <w:t xml:space="preserve">gada 29. aprīļa noteikumos Nr. 242 “Satiksmes ministrijas nolikums”, nosakot Satiksmes ministriju par atbildīgo institūciju (..).  </w:t>
            </w:r>
          </w:p>
          <w:p w:rsidRPr="00127D6A" w:rsidR="00A86FC8" w:rsidP="00A86FC8" w:rsidRDefault="00A86FC8" w14:paraId="5A5538F2" w14:textId="77777777">
            <w:pPr>
              <w:pStyle w:val="ListParagraph"/>
              <w:tabs>
                <w:tab w:val="left" w:pos="851"/>
                <w:tab w:val="left" w:pos="993"/>
              </w:tabs>
              <w:ind w:left="0" w:firstLine="0"/>
              <w:rPr>
                <w:b/>
                <w:bCs/>
              </w:rPr>
            </w:pPr>
            <w:r w:rsidRPr="00127D6A">
              <w:rPr>
                <w:rFonts w:eastAsia="Times New Roman"/>
                <w:color w:val="000000"/>
                <w:lang w:eastAsia="lv-LV"/>
              </w:rPr>
              <w:t xml:space="preserve">Līdzīgi lūdzam precizēt </w:t>
            </w:r>
            <w:proofErr w:type="spellStart"/>
            <w:r w:rsidRPr="00127D6A">
              <w:rPr>
                <w:rFonts w:eastAsia="Times New Roman"/>
                <w:color w:val="000000"/>
                <w:lang w:eastAsia="lv-LV"/>
              </w:rPr>
              <w:t>protokollēmuma</w:t>
            </w:r>
            <w:proofErr w:type="spellEnd"/>
            <w:r w:rsidRPr="00127D6A">
              <w:rPr>
                <w:rFonts w:eastAsia="Times New Roman"/>
                <w:color w:val="000000"/>
                <w:lang w:eastAsia="lv-LV"/>
              </w:rPr>
              <w:t xml:space="preserve"> projekta 4. punktu, tai skaitā ņemot vērā, ka grozījumus likumā var veikt Saeima, nevis ministrija. </w:t>
            </w:r>
          </w:p>
        </w:tc>
        <w:tc>
          <w:tcPr>
            <w:tcW w:w="2703" w:type="dxa"/>
          </w:tcPr>
          <w:p w:rsidRPr="00127D6A" w:rsidR="00A86FC8" w:rsidP="00A86FC8" w:rsidRDefault="00A86FC8" w14:paraId="1276881E" w14:textId="02D8CBA3">
            <w:pPr>
              <w:jc w:val="both"/>
              <w:rPr>
                <w:b/>
                <w:bCs/>
                <w:lang w:val="lv-LV"/>
              </w:rPr>
            </w:pPr>
            <w:r w:rsidRPr="00127D6A">
              <w:rPr>
                <w:b/>
                <w:bCs/>
                <w:lang w:val="lv-LV"/>
              </w:rPr>
              <w:lastRenderedPageBreak/>
              <w:t xml:space="preserve">Iebildums </w:t>
            </w:r>
            <w:r w:rsidR="000B7922">
              <w:rPr>
                <w:b/>
                <w:bCs/>
                <w:lang w:val="lv-LV"/>
              </w:rPr>
              <w:t xml:space="preserve">ir </w:t>
            </w:r>
            <w:r w:rsidRPr="00127D6A">
              <w:rPr>
                <w:b/>
                <w:bCs/>
                <w:lang w:val="lv-LV"/>
              </w:rPr>
              <w:t>ņemts vērā.</w:t>
            </w:r>
          </w:p>
          <w:p w:rsidRPr="00127D6A" w:rsidR="00A86FC8" w:rsidP="00A86FC8" w:rsidRDefault="00A86FC8" w14:paraId="6850961A" w14:textId="1DB8C3D6">
            <w:pPr>
              <w:jc w:val="both"/>
              <w:rPr>
                <w:lang w:val="lv-LV"/>
              </w:rPr>
            </w:pPr>
          </w:p>
        </w:tc>
        <w:tc>
          <w:tcPr>
            <w:tcW w:w="2960" w:type="dxa"/>
          </w:tcPr>
          <w:p w:rsidRPr="00127D6A" w:rsidR="00A86FC8" w:rsidP="00A86FC8" w:rsidRDefault="00E06917" w14:paraId="769B4DEA" w14:textId="319AB0DE">
            <w:pPr>
              <w:pStyle w:val="BodyText"/>
              <w:jc w:val="both"/>
              <w:rPr>
                <w:sz w:val="24"/>
              </w:rPr>
            </w:pPr>
            <w:r>
              <w:rPr>
                <w:sz w:val="24"/>
              </w:rPr>
              <w:t>Pr</w:t>
            </w:r>
            <w:r w:rsidRPr="00127D6A" w:rsidR="00A86FC8">
              <w:rPr>
                <w:sz w:val="24"/>
              </w:rPr>
              <w:t>ecizēt</w:t>
            </w:r>
            <w:r>
              <w:rPr>
                <w:sz w:val="24"/>
              </w:rPr>
              <w:t>s</w:t>
            </w:r>
            <w:r w:rsidRPr="00127D6A" w:rsidR="00A86FC8">
              <w:rPr>
                <w:sz w:val="24"/>
              </w:rPr>
              <w:t xml:space="preserve"> rīkojuma projekta 2. un 4. punkt</w:t>
            </w:r>
            <w:r>
              <w:rPr>
                <w:sz w:val="24"/>
              </w:rPr>
              <w:t>s</w:t>
            </w:r>
            <w:r w:rsidRPr="00127D6A" w:rsidR="00A86FC8">
              <w:rPr>
                <w:sz w:val="24"/>
              </w:rPr>
              <w:t>.</w:t>
            </w:r>
          </w:p>
        </w:tc>
      </w:tr>
      <w:tr w:rsidRPr="000B7922" w:rsidR="00A86FC8" w:rsidTr="00322FBF" w14:paraId="36CCEADD" w14:textId="77777777">
        <w:trPr>
          <w:trHeight w:val="611"/>
          <w:jc w:val="center"/>
        </w:trPr>
        <w:tc>
          <w:tcPr>
            <w:tcW w:w="977" w:type="dxa"/>
          </w:tcPr>
          <w:p w:rsidRPr="00127D6A" w:rsidR="00A86FC8" w:rsidP="00A86FC8" w:rsidRDefault="003369A8" w14:paraId="597D63EB" w14:textId="77777777">
            <w:pPr>
              <w:jc w:val="both"/>
              <w:rPr>
                <w:lang w:val="lv-LV"/>
              </w:rPr>
            </w:pPr>
            <w:r w:rsidRPr="00127D6A">
              <w:rPr>
                <w:lang w:val="lv-LV"/>
              </w:rPr>
              <w:t>12.</w:t>
            </w:r>
          </w:p>
        </w:tc>
        <w:tc>
          <w:tcPr>
            <w:tcW w:w="2846" w:type="dxa"/>
          </w:tcPr>
          <w:p w:rsidRPr="00127D6A" w:rsidR="00A86FC8" w:rsidP="00A86FC8" w:rsidRDefault="00883492" w14:paraId="3A6F030A" w14:textId="4EEE2DF5">
            <w:pPr>
              <w:ind w:left="34" w:right="-6"/>
              <w:jc w:val="both"/>
              <w:rPr>
                <w:lang w:val="lv-LV"/>
              </w:rPr>
            </w:pPr>
            <w:r>
              <w:rPr>
                <w:lang w:val="lv-LV"/>
              </w:rPr>
              <w:t>Informatīv</w:t>
            </w:r>
            <w:r w:rsidR="00786126">
              <w:rPr>
                <w:lang w:val="lv-LV"/>
              </w:rPr>
              <w:t>ā</w:t>
            </w:r>
            <w:r w:rsidRPr="00127D6A" w:rsidR="00A86FC8">
              <w:rPr>
                <w:lang w:val="lv-LV"/>
              </w:rPr>
              <w:t xml:space="preserve"> ziņojuma 5.nodaļa.</w:t>
            </w:r>
          </w:p>
        </w:tc>
        <w:tc>
          <w:tcPr>
            <w:tcW w:w="3770" w:type="dxa"/>
          </w:tcPr>
          <w:p w:rsidRPr="00127D6A" w:rsidR="00A86FC8" w:rsidP="00A86FC8" w:rsidRDefault="00A86FC8" w14:paraId="4FD47A36" w14:textId="77777777">
            <w:pPr>
              <w:pStyle w:val="ListParagraph"/>
              <w:widowControl w:val="0"/>
              <w:tabs>
                <w:tab w:val="left" w:pos="851"/>
                <w:tab w:val="left" w:pos="993"/>
              </w:tabs>
              <w:ind w:left="0" w:firstLine="0"/>
              <w:rPr>
                <w:rFonts w:eastAsia="Times New Roman"/>
                <w:b/>
                <w:bCs/>
                <w:color w:val="000000"/>
                <w:lang w:eastAsia="lv-LV"/>
              </w:rPr>
            </w:pPr>
            <w:r w:rsidRPr="00127D6A">
              <w:rPr>
                <w:rFonts w:eastAsia="Times New Roman"/>
                <w:b/>
                <w:bCs/>
                <w:color w:val="000000"/>
                <w:lang w:eastAsia="lv-LV"/>
              </w:rPr>
              <w:t>Tieslietu ministrija (27.03.2020.)</w:t>
            </w:r>
          </w:p>
          <w:p w:rsidRPr="00127D6A" w:rsidR="00A86FC8" w:rsidP="00A86FC8" w:rsidRDefault="00A86FC8" w14:paraId="256152D2" w14:textId="77777777">
            <w:pPr>
              <w:pStyle w:val="ListParagraph"/>
              <w:widowControl w:val="0"/>
              <w:tabs>
                <w:tab w:val="left" w:pos="851"/>
                <w:tab w:val="left" w:pos="993"/>
              </w:tabs>
              <w:ind w:left="0" w:firstLine="0"/>
              <w:rPr>
                <w:rFonts w:eastAsia="Times New Roman"/>
                <w:b/>
                <w:bCs/>
                <w:color w:val="000000"/>
                <w:lang w:eastAsia="lv-LV"/>
              </w:rPr>
            </w:pPr>
            <w:r w:rsidRPr="00127D6A">
              <w:rPr>
                <w:color w:val="000000"/>
                <w:lang w:eastAsia="lv-LV"/>
              </w:rPr>
              <w:t>Ziņojuma 5. nodaļā (12. lpp.) norādīts, ka “tiek plānots, ka īstenojot šo projektu tiks izpildītas ITS Direktīvas, Regulu Nr. 886/2013, Nr. 885/2013, Nr. 2015/962 un Nr. 2017/1926 prasības”. Lūdzam precizēt minēto informāciju, ņemot vērā, ka ziņojuma 5. nodaļā (11. lpp.) minēti vairāki īstenojamie projekti, un būtu nepieciešams konkrētāk norādīt, kā tieši tiks īstenotas minēto Eiropas Savienības tiesību aktu prasības.</w:t>
            </w:r>
          </w:p>
        </w:tc>
        <w:tc>
          <w:tcPr>
            <w:tcW w:w="2703" w:type="dxa"/>
          </w:tcPr>
          <w:p w:rsidRPr="00127D6A" w:rsidR="00A86FC8" w:rsidP="00A86FC8" w:rsidRDefault="00A86FC8" w14:paraId="21B2F6AB" w14:textId="1A1B260B">
            <w:pPr>
              <w:jc w:val="both"/>
              <w:rPr>
                <w:b/>
                <w:bCs/>
                <w:lang w:val="lv-LV"/>
              </w:rPr>
            </w:pPr>
            <w:r w:rsidRPr="00127D6A">
              <w:rPr>
                <w:b/>
                <w:bCs/>
                <w:lang w:val="lv-LV"/>
              </w:rPr>
              <w:t>Iebildums</w:t>
            </w:r>
            <w:r w:rsidR="000B7922">
              <w:rPr>
                <w:b/>
                <w:bCs/>
                <w:lang w:val="lv-LV"/>
              </w:rPr>
              <w:t xml:space="preserve"> ir</w:t>
            </w:r>
            <w:r w:rsidRPr="00127D6A">
              <w:rPr>
                <w:b/>
                <w:bCs/>
                <w:lang w:val="lv-LV"/>
              </w:rPr>
              <w:t xml:space="preserve"> ņemts vērā.</w:t>
            </w:r>
          </w:p>
          <w:p w:rsidRPr="00127D6A" w:rsidR="00A86FC8" w:rsidP="00A86FC8" w:rsidRDefault="00A86FC8" w14:paraId="69ADB052" w14:textId="4AE412FC">
            <w:pPr>
              <w:jc w:val="both"/>
              <w:rPr>
                <w:lang w:val="lv-LV"/>
              </w:rPr>
            </w:pPr>
            <w:r w:rsidRPr="00127D6A">
              <w:rPr>
                <w:lang w:val="lv-LV"/>
              </w:rPr>
              <w:t>Precizēta 3.1. apakšnodaļa, norādot, konkrētus projektus (projektu 1.1., projektu 3.), kurus īstenojot</w:t>
            </w:r>
            <w:r w:rsidR="00883492">
              <w:rPr>
                <w:lang w:val="lv-LV"/>
              </w:rPr>
              <w:t>,</w:t>
            </w:r>
            <w:r w:rsidRPr="00127D6A">
              <w:rPr>
                <w:lang w:val="lv-LV"/>
              </w:rPr>
              <w:t xml:space="preserve"> </w:t>
            </w:r>
            <w:r w:rsidRPr="00127D6A" w:rsidR="00641B1A">
              <w:rPr>
                <w:lang w:val="lv-LV"/>
              </w:rPr>
              <w:t xml:space="preserve">tiks </w:t>
            </w:r>
            <w:r w:rsidRPr="00127D6A">
              <w:rPr>
                <w:lang w:val="lv-LV"/>
              </w:rPr>
              <w:t xml:space="preserve">izpildītas Deleģētās regulas. Kā arī </w:t>
            </w:r>
            <w:r w:rsidRPr="00127D6A" w:rsidR="00641B1A">
              <w:rPr>
                <w:lang w:val="lv-LV"/>
              </w:rPr>
              <w:t>skaidrojam</w:t>
            </w:r>
            <w:r w:rsidRPr="00127D6A">
              <w:rPr>
                <w:lang w:val="lv-LV"/>
              </w:rPr>
              <w:t xml:space="preserve">, ka, izveidojot NPP, tiks nodrošināta efektīva satiksmes, autoceļu, stāvlaukumu, maršrutu un ar satiksmes drošību saistītu datu pieejamība, datu apmaiņa, atkārtota izmantošana un to atjaunināšana, tādā veidā tiks izpildīta minētās Direktīvas un </w:t>
            </w:r>
            <w:proofErr w:type="spellStart"/>
            <w:r w:rsidRPr="00127D6A">
              <w:rPr>
                <w:lang w:val="lv-LV"/>
              </w:rPr>
              <w:t>Deleģeto</w:t>
            </w:r>
            <w:proofErr w:type="spellEnd"/>
            <w:r w:rsidRPr="00127D6A">
              <w:rPr>
                <w:lang w:val="lv-LV"/>
              </w:rPr>
              <w:t xml:space="preserve"> regulu prasības, kas aprakstītas ziņojuma 2.3.1., 2. 3.2., 2.3.3., 2.3.4.</w:t>
            </w:r>
            <w:r w:rsidR="00605C37">
              <w:rPr>
                <w:lang w:val="lv-LV"/>
              </w:rPr>
              <w:t xml:space="preserve"> un</w:t>
            </w:r>
            <w:r w:rsidRPr="00127D6A">
              <w:rPr>
                <w:lang w:val="lv-LV"/>
              </w:rPr>
              <w:t xml:space="preserve"> 2.3.5.</w:t>
            </w:r>
            <w:r w:rsidRPr="00127D6A" w:rsidR="00605C37">
              <w:rPr>
                <w:lang w:val="lv-LV"/>
              </w:rPr>
              <w:t xml:space="preserve"> apakšpunkt</w:t>
            </w:r>
            <w:r w:rsidR="00605C37">
              <w:rPr>
                <w:lang w:val="lv-LV"/>
              </w:rPr>
              <w:t>ā.</w:t>
            </w:r>
          </w:p>
        </w:tc>
        <w:tc>
          <w:tcPr>
            <w:tcW w:w="2960" w:type="dxa"/>
          </w:tcPr>
          <w:p w:rsidRPr="00127D6A" w:rsidR="00A86FC8" w:rsidP="00A86FC8" w:rsidRDefault="00F62E57" w14:paraId="47522E74" w14:textId="343FCD75">
            <w:pPr>
              <w:pStyle w:val="BodyText"/>
              <w:jc w:val="both"/>
              <w:rPr>
                <w:sz w:val="24"/>
              </w:rPr>
            </w:pPr>
            <w:r>
              <w:rPr>
                <w:sz w:val="24"/>
              </w:rPr>
              <w:t>Skatīt p</w:t>
            </w:r>
            <w:r w:rsidRPr="00127D6A" w:rsidR="00A86FC8">
              <w:rPr>
                <w:sz w:val="24"/>
              </w:rPr>
              <w:t>recizēt</w:t>
            </w:r>
            <w:r>
              <w:rPr>
                <w:sz w:val="24"/>
              </w:rPr>
              <w:t>ā</w:t>
            </w:r>
            <w:r w:rsidRPr="00127D6A" w:rsidR="00A86FC8">
              <w:rPr>
                <w:sz w:val="24"/>
              </w:rPr>
              <w:t xml:space="preserve"> konceptuālā ziņojuma 3.1. apakšnodaļ</w:t>
            </w:r>
            <w:r>
              <w:rPr>
                <w:sz w:val="24"/>
              </w:rPr>
              <w:t>u</w:t>
            </w:r>
            <w:r w:rsidRPr="00127D6A" w:rsidR="00A86FC8">
              <w:rPr>
                <w:sz w:val="24"/>
              </w:rPr>
              <w:t>.</w:t>
            </w:r>
          </w:p>
        </w:tc>
      </w:tr>
      <w:tr w:rsidRPr="000B7922" w:rsidR="00A86FC8" w:rsidTr="00322FBF" w14:paraId="010351B5" w14:textId="77777777">
        <w:trPr>
          <w:jc w:val="center"/>
        </w:trPr>
        <w:tc>
          <w:tcPr>
            <w:tcW w:w="977" w:type="dxa"/>
          </w:tcPr>
          <w:p w:rsidRPr="00127D6A" w:rsidR="00A86FC8" w:rsidP="00A86FC8" w:rsidRDefault="003369A8" w14:paraId="6E5AE824" w14:textId="77777777">
            <w:pPr>
              <w:jc w:val="both"/>
              <w:rPr>
                <w:lang w:val="lv-LV"/>
              </w:rPr>
            </w:pPr>
            <w:r w:rsidRPr="00127D6A">
              <w:rPr>
                <w:lang w:val="lv-LV"/>
              </w:rPr>
              <w:t>13.</w:t>
            </w:r>
          </w:p>
        </w:tc>
        <w:tc>
          <w:tcPr>
            <w:tcW w:w="2846" w:type="dxa"/>
          </w:tcPr>
          <w:p w:rsidRPr="00127D6A" w:rsidR="00A86FC8" w:rsidP="00883492" w:rsidRDefault="00A86FC8" w14:paraId="30888E56" w14:textId="77777777">
            <w:pPr>
              <w:jc w:val="both"/>
              <w:rPr>
                <w:lang w:val="lv-LV"/>
              </w:rPr>
            </w:pPr>
            <w:r w:rsidRPr="00127D6A">
              <w:rPr>
                <w:lang w:val="lv-LV"/>
              </w:rPr>
              <w:t>Informatīvā ziņojuma 1.1.2.4. apakšpunkts.</w:t>
            </w:r>
          </w:p>
        </w:tc>
        <w:tc>
          <w:tcPr>
            <w:tcW w:w="3770" w:type="dxa"/>
          </w:tcPr>
          <w:p w:rsidRPr="00127D6A" w:rsidR="00A86FC8" w:rsidP="00A86FC8" w:rsidRDefault="00A86FC8" w14:paraId="01C94A65" w14:textId="77777777">
            <w:pPr>
              <w:pStyle w:val="ListParagraph"/>
              <w:widowControl w:val="0"/>
              <w:tabs>
                <w:tab w:val="left" w:pos="851"/>
                <w:tab w:val="left" w:pos="993"/>
              </w:tabs>
              <w:ind w:left="0" w:firstLine="0"/>
              <w:rPr>
                <w:rFonts w:eastAsia="Times New Roman"/>
                <w:b/>
                <w:bCs/>
                <w:color w:val="000000"/>
                <w:lang w:eastAsia="lv-LV"/>
              </w:rPr>
            </w:pPr>
            <w:r w:rsidRPr="00127D6A">
              <w:rPr>
                <w:rFonts w:eastAsia="Times New Roman"/>
                <w:b/>
                <w:bCs/>
                <w:color w:val="000000"/>
                <w:lang w:eastAsia="lv-LV"/>
              </w:rPr>
              <w:t>Tieslietu ministrija (27.03.2020.)</w:t>
            </w:r>
          </w:p>
          <w:p w:rsidRPr="00127D6A" w:rsidR="00A86FC8" w:rsidP="00A86FC8" w:rsidRDefault="00A86FC8" w14:paraId="2237AD4E" w14:textId="77777777">
            <w:pPr>
              <w:pStyle w:val="NormalWeb"/>
              <w:spacing w:before="0" w:after="0"/>
              <w:jc w:val="both"/>
              <w:rPr>
                <w:rFonts w:ascii="Times New Roman" w:hAnsi="Times New Roman" w:cs="Times New Roman"/>
                <w:lang w:val="lv-LV"/>
              </w:rPr>
            </w:pPr>
            <w:r w:rsidRPr="00127D6A">
              <w:rPr>
                <w:rFonts w:ascii="Times New Roman" w:hAnsi="Times New Roman" w:cs="Times New Roman"/>
                <w:lang w:val="lv-LV"/>
              </w:rPr>
              <w:lastRenderedPageBreak/>
              <w:t>Ziņojuma 1.1.2.4.  apakšpunktā norādīts uz dalībvalstu rīcības brīvību Komisijas 2017. gada 31. maija Deleģētās regulas Nr. 2017/1926, ar ko papildina Eiropas Parlamenta un Padomes Direktīvu 2010/40/ES attiecībā uz ES mēroga multimodālu maršruta informācijas pakalpojumu sniegšanu (turpmāk – Regula Nr. 2017/1926) pielikuma 2. punkta piemērošanā. Lūdzam skaidrības nolūkos papildināt ziņojuma 1.1.2.4. apakšpunktu, norādot, vai un kādēļ Latvija plāno minēto rīcības brīvību izmantot/neizmantot.</w:t>
            </w:r>
          </w:p>
        </w:tc>
        <w:tc>
          <w:tcPr>
            <w:tcW w:w="2703" w:type="dxa"/>
          </w:tcPr>
          <w:p w:rsidRPr="00127D6A" w:rsidR="00A86FC8" w:rsidP="00A86FC8" w:rsidRDefault="00A86FC8" w14:paraId="4D004E0C" w14:textId="353EB600">
            <w:pPr>
              <w:jc w:val="both"/>
              <w:rPr>
                <w:b/>
                <w:bCs/>
                <w:lang w:val="lv-LV"/>
              </w:rPr>
            </w:pPr>
            <w:r w:rsidRPr="00127D6A">
              <w:rPr>
                <w:b/>
                <w:bCs/>
                <w:lang w:val="lv-LV"/>
              </w:rPr>
              <w:lastRenderedPageBreak/>
              <w:t xml:space="preserve">Iebildums </w:t>
            </w:r>
            <w:r w:rsidR="000B7922">
              <w:rPr>
                <w:b/>
                <w:bCs/>
                <w:lang w:val="lv-LV"/>
              </w:rPr>
              <w:t xml:space="preserve">ir </w:t>
            </w:r>
            <w:r w:rsidRPr="00127D6A">
              <w:rPr>
                <w:b/>
                <w:bCs/>
                <w:lang w:val="lv-LV"/>
              </w:rPr>
              <w:t>ņemts vērā.</w:t>
            </w:r>
          </w:p>
          <w:p w:rsidRPr="00127D6A" w:rsidR="00A86FC8" w:rsidP="00883492" w:rsidRDefault="00A86FC8" w14:paraId="7DCF7755" w14:textId="77777777">
            <w:pPr>
              <w:jc w:val="both"/>
              <w:rPr>
                <w:lang w:val="lv-LV"/>
              </w:rPr>
            </w:pPr>
          </w:p>
        </w:tc>
        <w:tc>
          <w:tcPr>
            <w:tcW w:w="2960" w:type="dxa"/>
          </w:tcPr>
          <w:p w:rsidRPr="00127D6A" w:rsidR="00A86FC8" w:rsidP="00A86FC8" w:rsidRDefault="00883492" w14:paraId="1B21F6BC" w14:textId="14DA1445">
            <w:pPr>
              <w:pStyle w:val="BodyText"/>
              <w:jc w:val="both"/>
              <w:rPr>
                <w:sz w:val="24"/>
              </w:rPr>
            </w:pPr>
            <w:r>
              <w:rPr>
                <w:sz w:val="24"/>
              </w:rPr>
              <w:t>Papildināta</w:t>
            </w:r>
            <w:r w:rsidRPr="00127D6A" w:rsidR="00A86FC8">
              <w:rPr>
                <w:sz w:val="24"/>
              </w:rPr>
              <w:t xml:space="preserve"> konceptuālā ziņojuma 3.1. apakšnodaļ</w:t>
            </w:r>
            <w:r>
              <w:rPr>
                <w:sz w:val="24"/>
              </w:rPr>
              <w:t>a</w:t>
            </w:r>
            <w:r w:rsidRPr="00127D6A" w:rsidR="00A86FC8">
              <w:rPr>
                <w:sz w:val="24"/>
              </w:rPr>
              <w:t>.</w:t>
            </w:r>
          </w:p>
        </w:tc>
      </w:tr>
      <w:tr w:rsidRPr="000B7922" w:rsidR="00A86FC8" w:rsidTr="00322FBF" w14:paraId="04248FB3" w14:textId="77777777">
        <w:trPr>
          <w:jc w:val="center"/>
        </w:trPr>
        <w:tc>
          <w:tcPr>
            <w:tcW w:w="977" w:type="dxa"/>
          </w:tcPr>
          <w:p w:rsidRPr="00127D6A" w:rsidR="00A86FC8" w:rsidP="00A86FC8" w:rsidRDefault="003369A8" w14:paraId="77624433" w14:textId="77777777">
            <w:pPr>
              <w:jc w:val="both"/>
              <w:rPr>
                <w:lang w:val="lv-LV"/>
              </w:rPr>
            </w:pPr>
            <w:r w:rsidRPr="00127D6A">
              <w:rPr>
                <w:lang w:val="lv-LV"/>
              </w:rPr>
              <w:t>14.</w:t>
            </w:r>
          </w:p>
        </w:tc>
        <w:tc>
          <w:tcPr>
            <w:tcW w:w="2846" w:type="dxa"/>
          </w:tcPr>
          <w:p w:rsidRPr="00127D6A" w:rsidR="00A86FC8" w:rsidP="00A86FC8" w:rsidRDefault="00A86FC8" w14:paraId="0FDF4241" w14:textId="77777777">
            <w:pPr>
              <w:ind w:left="34" w:right="-6"/>
              <w:jc w:val="both"/>
              <w:rPr>
                <w:lang w:val="lv-LV"/>
              </w:rPr>
            </w:pPr>
            <w:r w:rsidRPr="00127D6A">
              <w:rPr>
                <w:lang w:val="lv-LV"/>
              </w:rPr>
              <w:t>Informatīvā ziņojuma 5. un 6. nodaļa.</w:t>
            </w:r>
          </w:p>
        </w:tc>
        <w:tc>
          <w:tcPr>
            <w:tcW w:w="3770" w:type="dxa"/>
          </w:tcPr>
          <w:p w:rsidRPr="00127D6A" w:rsidR="00A86FC8" w:rsidP="00A86FC8" w:rsidRDefault="00A86FC8" w14:paraId="02FD8205" w14:textId="77777777">
            <w:pPr>
              <w:pStyle w:val="ListParagraph"/>
              <w:widowControl w:val="0"/>
              <w:tabs>
                <w:tab w:val="left" w:pos="851"/>
                <w:tab w:val="left" w:pos="993"/>
              </w:tabs>
              <w:ind w:left="0" w:firstLine="0"/>
              <w:rPr>
                <w:rFonts w:eastAsia="Times New Roman"/>
                <w:b/>
                <w:bCs/>
                <w:color w:val="000000"/>
                <w:lang w:eastAsia="lv-LV"/>
              </w:rPr>
            </w:pPr>
            <w:r w:rsidRPr="00127D6A">
              <w:rPr>
                <w:rFonts w:eastAsia="Times New Roman"/>
                <w:b/>
                <w:bCs/>
                <w:color w:val="000000"/>
                <w:lang w:eastAsia="lv-LV"/>
              </w:rPr>
              <w:t>Tieslietu ministrija (27.03.2020.)</w:t>
            </w:r>
          </w:p>
          <w:p w:rsidRPr="00127D6A" w:rsidR="00A86FC8" w:rsidP="00A86FC8" w:rsidRDefault="00A86FC8" w14:paraId="5271BB74" w14:textId="77777777">
            <w:pPr>
              <w:pStyle w:val="ListParagraph"/>
              <w:widowControl w:val="0"/>
              <w:tabs>
                <w:tab w:val="left" w:pos="851"/>
                <w:tab w:val="left" w:pos="993"/>
              </w:tabs>
              <w:ind w:left="0" w:firstLine="0"/>
              <w:rPr>
                <w:rFonts w:eastAsia="Times New Roman"/>
                <w:color w:val="000000"/>
                <w:lang w:eastAsia="lv-LV"/>
              </w:rPr>
            </w:pPr>
            <w:r w:rsidRPr="00127D6A">
              <w:rPr>
                <w:rFonts w:eastAsia="Times New Roman"/>
                <w:color w:val="000000"/>
                <w:lang w:eastAsia="lv-LV"/>
              </w:rPr>
              <w:t xml:space="preserve">Vēršam uzmanību, ka ziņojuma tekstā, kā arī pielikumā pievienotajās tabulās norādīti dažādi Regulas Nr. 2017/1926 un citu ziņojuma 1. nodaļā analizēto tieši piemērojamo Eiropas Savienības tiesību aktu ieviešanas pasākumi, kā arī to adresāti, tai skaitā pašvaldības un komersanti (privātpersonas). Vēršam uzmanību, ka informatīvais ziņojums, kā arī Ministru kabineta sēdes </w:t>
            </w:r>
            <w:proofErr w:type="spellStart"/>
            <w:r w:rsidRPr="00127D6A">
              <w:rPr>
                <w:rFonts w:eastAsia="Times New Roman"/>
                <w:color w:val="000000"/>
                <w:lang w:eastAsia="lv-LV"/>
              </w:rPr>
              <w:t>protokollēmums</w:t>
            </w:r>
            <w:proofErr w:type="spellEnd"/>
            <w:r w:rsidRPr="00127D6A">
              <w:rPr>
                <w:rFonts w:eastAsia="Times New Roman"/>
                <w:color w:val="000000"/>
                <w:lang w:eastAsia="lv-LV"/>
              </w:rPr>
              <w:t xml:space="preserve"> nav pietiekami mehānismi Eiropas Savienības tiesību aktu ieviešanai, ja nepieciešams tai skaitā noteikt pienākumus atvasinātām publiskajām personām un privātpersonām. Tāpat no ziņojuma 5. un 6. nodaļā minētās informācijas </w:t>
            </w:r>
            <w:r w:rsidRPr="00127D6A">
              <w:rPr>
                <w:rFonts w:eastAsia="Times New Roman"/>
                <w:color w:val="000000"/>
                <w:lang w:eastAsia="lv-LV"/>
              </w:rPr>
              <w:lastRenderedPageBreak/>
              <w:t xml:space="preserve">šobrīd nav viennozīmīgi saprotams, vai visi minētie regulu ieviešanas pasākumi tiks veikti ar ziņojumā minētajiem grozījumiem Ceļu satiksmes likumā. Proti, ziņojumā norādīts, ka ar grozījumiem Ceļu satiksmes likumā nepieciešams noteikt, ka kārtību, kādā dati sniedzami transporta nozares nacionālajā piekļuves punktā, nosaka Ministru kabinets, tomēr nav norādīts, ka tiks paredzēts pilnvarojums Ministru kabinetam noteikt, piemēram, par datu sniegšanu atbildīgās personas. </w:t>
            </w:r>
          </w:p>
          <w:p w:rsidRPr="00127D6A" w:rsidR="00A86FC8" w:rsidP="00A86FC8" w:rsidRDefault="00A86FC8" w14:paraId="70312F7A" w14:textId="77777777">
            <w:pPr>
              <w:pStyle w:val="ListParagraph"/>
              <w:widowControl w:val="0"/>
              <w:tabs>
                <w:tab w:val="left" w:pos="851"/>
                <w:tab w:val="left" w:pos="993"/>
              </w:tabs>
              <w:ind w:left="0" w:firstLine="0"/>
              <w:rPr>
                <w:b/>
                <w:bCs/>
              </w:rPr>
            </w:pPr>
            <w:r w:rsidRPr="00127D6A">
              <w:rPr>
                <w:rFonts w:eastAsia="Times New Roman"/>
                <w:color w:val="000000"/>
                <w:lang w:eastAsia="lv-LV"/>
              </w:rPr>
              <w:t>Ievērojot minēto, lūdzam skaidrot, kādā veidā (ar kādiem tiesiskajiem mehānismiem) tiks veikti ziņojumā minēto regulu ieviešanas pasākumi, un nepieciešamības gadījumā precizēt ziņojumu.</w:t>
            </w:r>
          </w:p>
        </w:tc>
        <w:tc>
          <w:tcPr>
            <w:tcW w:w="2703" w:type="dxa"/>
          </w:tcPr>
          <w:p w:rsidRPr="00127D6A" w:rsidR="00A86FC8" w:rsidP="00A86FC8" w:rsidRDefault="00A86FC8" w14:paraId="29F7401A" w14:textId="6E062327">
            <w:pPr>
              <w:jc w:val="both"/>
              <w:rPr>
                <w:b/>
                <w:bCs/>
                <w:lang w:val="lv-LV"/>
              </w:rPr>
            </w:pPr>
            <w:r w:rsidRPr="00127D6A">
              <w:rPr>
                <w:b/>
                <w:bCs/>
                <w:lang w:val="lv-LV"/>
              </w:rPr>
              <w:lastRenderedPageBreak/>
              <w:t xml:space="preserve">Iebildums </w:t>
            </w:r>
            <w:r w:rsidR="000B7922">
              <w:rPr>
                <w:b/>
                <w:bCs/>
                <w:lang w:val="lv-LV"/>
              </w:rPr>
              <w:t xml:space="preserve">ir </w:t>
            </w:r>
            <w:r w:rsidRPr="00127D6A">
              <w:rPr>
                <w:b/>
                <w:bCs/>
                <w:lang w:val="lv-LV"/>
              </w:rPr>
              <w:t>ņemts vērā.</w:t>
            </w:r>
          </w:p>
          <w:p w:rsidRPr="00127D6A" w:rsidR="00A86FC8" w:rsidP="00883492" w:rsidRDefault="00A86FC8" w14:paraId="25EED2FA" w14:textId="77777777">
            <w:pPr>
              <w:jc w:val="both"/>
              <w:rPr>
                <w:b/>
                <w:bCs/>
                <w:lang w:val="lv-LV"/>
              </w:rPr>
            </w:pPr>
          </w:p>
        </w:tc>
        <w:tc>
          <w:tcPr>
            <w:tcW w:w="2960" w:type="dxa"/>
          </w:tcPr>
          <w:p w:rsidRPr="00127D6A" w:rsidR="00883492" w:rsidP="00883492" w:rsidRDefault="00F62E57" w14:paraId="4258E702" w14:textId="09434BCD">
            <w:pPr>
              <w:jc w:val="both"/>
              <w:rPr>
                <w:lang w:val="lv-LV"/>
              </w:rPr>
            </w:pPr>
            <w:r>
              <w:rPr>
                <w:lang w:val="lv-LV"/>
              </w:rPr>
              <w:t>Skatīt p</w:t>
            </w:r>
            <w:r w:rsidRPr="00127D6A" w:rsidR="00883492">
              <w:rPr>
                <w:lang w:val="lv-LV"/>
              </w:rPr>
              <w:t>recizēt</w:t>
            </w:r>
            <w:r>
              <w:rPr>
                <w:lang w:val="lv-LV"/>
              </w:rPr>
              <w:t>ā</w:t>
            </w:r>
            <w:r w:rsidRPr="00127D6A" w:rsidR="00883492">
              <w:rPr>
                <w:lang w:val="lv-LV"/>
              </w:rPr>
              <w:t xml:space="preserve"> konceptuālā ziņojuma 3.1.1. apakš</w:t>
            </w:r>
            <w:r w:rsidR="00605C37">
              <w:rPr>
                <w:lang w:val="lv-LV"/>
              </w:rPr>
              <w:t>punktu</w:t>
            </w:r>
            <w:r w:rsidRPr="00127D6A" w:rsidR="00883492">
              <w:rPr>
                <w:lang w:val="lv-LV"/>
              </w:rPr>
              <w:t xml:space="preserve"> un 4. nodaļ</w:t>
            </w:r>
            <w:r>
              <w:rPr>
                <w:lang w:val="lv-LV"/>
              </w:rPr>
              <w:t>u</w:t>
            </w:r>
            <w:r w:rsidRPr="00127D6A" w:rsidR="00883492">
              <w:rPr>
                <w:lang w:val="lv-LV"/>
              </w:rPr>
              <w:t>.</w:t>
            </w:r>
          </w:p>
          <w:p w:rsidRPr="00127D6A" w:rsidR="00A86FC8" w:rsidP="00A86FC8" w:rsidRDefault="00A86FC8" w14:paraId="3631583F" w14:textId="77777777">
            <w:pPr>
              <w:pStyle w:val="BodyText"/>
              <w:jc w:val="both"/>
              <w:rPr>
                <w:sz w:val="24"/>
              </w:rPr>
            </w:pPr>
          </w:p>
          <w:p w:rsidRPr="00127D6A" w:rsidR="00A86FC8" w:rsidP="00A86FC8" w:rsidRDefault="00A86FC8" w14:paraId="1E1347AC" w14:textId="77777777">
            <w:pPr>
              <w:pStyle w:val="BodyText"/>
              <w:jc w:val="both"/>
              <w:rPr>
                <w:sz w:val="24"/>
              </w:rPr>
            </w:pPr>
          </w:p>
          <w:p w:rsidRPr="00127D6A" w:rsidR="00A86FC8" w:rsidP="00A86FC8" w:rsidRDefault="00A86FC8" w14:paraId="64B162B4" w14:textId="77777777">
            <w:pPr>
              <w:pStyle w:val="BodyText"/>
              <w:jc w:val="both"/>
              <w:rPr>
                <w:sz w:val="24"/>
              </w:rPr>
            </w:pPr>
          </w:p>
        </w:tc>
      </w:tr>
      <w:tr w:rsidRPr="000B7922" w:rsidR="0051761B" w:rsidTr="00322FBF" w14:paraId="047F1D2D" w14:textId="77777777">
        <w:trPr>
          <w:jc w:val="center"/>
        </w:trPr>
        <w:tc>
          <w:tcPr>
            <w:tcW w:w="977" w:type="dxa"/>
          </w:tcPr>
          <w:p w:rsidRPr="00127D6A" w:rsidR="0051761B" w:rsidP="0051761B" w:rsidRDefault="009527A6" w14:paraId="09A9869F" w14:textId="77777777">
            <w:pPr>
              <w:jc w:val="both"/>
              <w:rPr>
                <w:lang w:val="lv-LV"/>
              </w:rPr>
            </w:pPr>
            <w:r w:rsidRPr="00127D6A">
              <w:rPr>
                <w:lang w:val="lv-LV"/>
              </w:rPr>
              <w:t>15.</w:t>
            </w:r>
          </w:p>
        </w:tc>
        <w:tc>
          <w:tcPr>
            <w:tcW w:w="2846" w:type="dxa"/>
          </w:tcPr>
          <w:p w:rsidRPr="00127D6A" w:rsidR="0051761B" w:rsidP="0051761B" w:rsidRDefault="0051761B" w14:paraId="479E24E7" w14:textId="77777777">
            <w:pPr>
              <w:ind w:left="34" w:right="-6"/>
              <w:jc w:val="both"/>
              <w:rPr>
                <w:lang w:val="lv-LV"/>
              </w:rPr>
            </w:pPr>
          </w:p>
        </w:tc>
        <w:tc>
          <w:tcPr>
            <w:tcW w:w="3770" w:type="dxa"/>
          </w:tcPr>
          <w:p w:rsidRPr="00127D6A" w:rsidR="0051761B" w:rsidP="0051761B" w:rsidRDefault="0051761B" w14:paraId="18FA9307" w14:textId="77777777">
            <w:pPr>
              <w:jc w:val="both"/>
              <w:rPr>
                <w:b/>
                <w:lang w:val="lv-LV"/>
              </w:rPr>
            </w:pPr>
            <w:r w:rsidRPr="00127D6A">
              <w:rPr>
                <w:b/>
                <w:lang w:val="lv-LV"/>
              </w:rPr>
              <w:t>Vides aizsardzības un reģionālās attīstības ministrija (30.03.2020.)</w:t>
            </w:r>
          </w:p>
          <w:p w:rsidRPr="00127D6A" w:rsidR="0051761B" w:rsidP="0051761B" w:rsidRDefault="0051761B" w14:paraId="5FE7369A" w14:textId="77777777">
            <w:pPr>
              <w:pStyle w:val="ListParagraph"/>
              <w:widowControl w:val="0"/>
              <w:tabs>
                <w:tab w:val="left" w:pos="851"/>
                <w:tab w:val="left" w:pos="993"/>
              </w:tabs>
              <w:ind w:left="0" w:firstLine="0"/>
              <w:rPr>
                <w:rFonts w:eastAsia="Times New Roman"/>
                <w:b/>
                <w:bCs/>
                <w:color w:val="000000"/>
                <w:lang w:eastAsia="lv-LV"/>
              </w:rPr>
            </w:pPr>
            <w:r w:rsidRPr="00127D6A">
              <w:rPr>
                <w:bCs/>
              </w:rPr>
              <w:t xml:space="preserve">Aicinām iespēju izvērtēt </w:t>
            </w:r>
            <w:proofErr w:type="spellStart"/>
            <w:r w:rsidRPr="00127D6A">
              <w:rPr>
                <w:bCs/>
              </w:rPr>
              <w:t>Intelektiskas</w:t>
            </w:r>
            <w:proofErr w:type="spellEnd"/>
            <w:r w:rsidRPr="00127D6A">
              <w:rPr>
                <w:bCs/>
              </w:rPr>
              <w:t xml:space="preserve"> transporta sistēmās iekļaut arī pašvaldību ceļu un ielu datu iesniegšanu Latvijas valsts ceļiem elektroniski, tādā veidā sekmējot vienota valsts un pašvaldību ceļu tīkla izveidi Latvijā.</w:t>
            </w:r>
          </w:p>
        </w:tc>
        <w:tc>
          <w:tcPr>
            <w:tcW w:w="2703" w:type="dxa"/>
          </w:tcPr>
          <w:p w:rsidRPr="00127D6A" w:rsidR="0051761B" w:rsidP="00883492" w:rsidRDefault="000B7922" w14:paraId="4426A197" w14:textId="0D484A46">
            <w:pPr>
              <w:jc w:val="center"/>
              <w:rPr>
                <w:b/>
                <w:bCs/>
                <w:lang w:val="lv-LV"/>
              </w:rPr>
            </w:pPr>
            <w:r>
              <w:rPr>
                <w:b/>
                <w:bCs/>
                <w:lang w:val="lv-LV"/>
              </w:rPr>
              <w:t>Iebildums ir ņ</w:t>
            </w:r>
            <w:r w:rsidRPr="00127D6A" w:rsidR="0051761B">
              <w:rPr>
                <w:b/>
                <w:bCs/>
                <w:lang w:val="lv-LV"/>
              </w:rPr>
              <w:t>emts vērā.</w:t>
            </w:r>
          </w:p>
          <w:p w:rsidRPr="00F870CF" w:rsidR="0051761B" w:rsidP="0051761B" w:rsidRDefault="0051761B" w14:paraId="5F4D10DF" w14:textId="0745E8A5">
            <w:pPr>
              <w:jc w:val="both"/>
              <w:rPr>
                <w:lang w:val="lv-LV"/>
              </w:rPr>
            </w:pPr>
            <w:r w:rsidRPr="00127D6A">
              <w:rPr>
                <w:lang w:val="lv-LV"/>
              </w:rPr>
              <w:t>Papildināt</w:t>
            </w:r>
            <w:r w:rsidRPr="00127D6A" w:rsidR="00DF5E68">
              <w:rPr>
                <w:lang w:val="lv-LV"/>
              </w:rPr>
              <w:t>s</w:t>
            </w:r>
            <w:r w:rsidRPr="00127D6A">
              <w:rPr>
                <w:lang w:val="lv-LV"/>
              </w:rPr>
              <w:t xml:space="preserve"> </w:t>
            </w:r>
            <w:r w:rsidRPr="00127D6A" w:rsidR="00DF5E68">
              <w:rPr>
                <w:lang w:val="lv-LV"/>
              </w:rPr>
              <w:t>rīkojuma projekts ar uzdevumu 6.</w:t>
            </w:r>
            <w:r w:rsidRPr="00127D6A" w:rsidR="005E59D1">
              <w:rPr>
                <w:lang w:val="lv-LV"/>
              </w:rPr>
              <w:t> </w:t>
            </w:r>
            <w:r w:rsidRPr="00127D6A" w:rsidR="00DF5E68">
              <w:rPr>
                <w:lang w:val="lv-LV"/>
              </w:rPr>
              <w:t xml:space="preserve">Lai veicinātu datu par pašvaldību ceļiem un ielām iesniegšanu mašīnlasāmā formātā, Satiksmes ministrijai izstrādāt un satiksmes ministram līdz 2023. gada 31. decembrim iesniegt Ministru kabinetā grozījumus Ministru kabineta 2017. gada 27. </w:t>
            </w:r>
            <w:r w:rsidRPr="00127D6A" w:rsidR="00DF5E68">
              <w:rPr>
                <w:lang w:val="lv-LV"/>
              </w:rPr>
              <w:lastRenderedPageBreak/>
              <w:t>jūnija noteikumos Nr.361 “Pašvaldību ceļu un ielu reģistrācijas un uzskaites kārtība”, kā arī atti</w:t>
            </w:r>
            <w:r w:rsidRPr="00127D6A" w:rsidR="003377FB">
              <w:rPr>
                <w:lang w:val="lv-LV"/>
              </w:rPr>
              <w:t>e</w:t>
            </w:r>
            <w:r w:rsidRPr="00127D6A" w:rsidR="00DF5E68">
              <w:rPr>
                <w:lang w:val="lv-LV"/>
              </w:rPr>
              <w:t xml:space="preserve">cīgi papildināts </w:t>
            </w:r>
            <w:r w:rsidRPr="00127D6A" w:rsidR="00127D6A">
              <w:rPr>
                <w:lang w:val="lv-LV"/>
              </w:rPr>
              <w:t xml:space="preserve">konceptuālā </w:t>
            </w:r>
            <w:r w:rsidRPr="00127D6A" w:rsidR="00DF5E68">
              <w:rPr>
                <w:lang w:val="lv-LV"/>
              </w:rPr>
              <w:t>ziņojuma 3.1.1. apakšpunkts.</w:t>
            </w:r>
          </w:p>
        </w:tc>
        <w:tc>
          <w:tcPr>
            <w:tcW w:w="2960" w:type="dxa"/>
          </w:tcPr>
          <w:p w:rsidRPr="00127D6A" w:rsidR="0051761B" w:rsidP="0051761B" w:rsidRDefault="00F62E57" w14:paraId="2A8D2988" w14:textId="15E251DE">
            <w:pPr>
              <w:pStyle w:val="BodyText"/>
              <w:jc w:val="both"/>
              <w:rPr>
                <w:sz w:val="24"/>
              </w:rPr>
            </w:pPr>
            <w:r>
              <w:rPr>
                <w:sz w:val="24"/>
              </w:rPr>
              <w:lastRenderedPageBreak/>
              <w:t>Skatīt p</w:t>
            </w:r>
            <w:r w:rsidRPr="00127D6A" w:rsidR="00DF5E68">
              <w:rPr>
                <w:sz w:val="24"/>
              </w:rPr>
              <w:t>recizēt</w:t>
            </w:r>
            <w:r>
              <w:rPr>
                <w:sz w:val="24"/>
              </w:rPr>
              <w:t>ā</w:t>
            </w:r>
            <w:r w:rsidRPr="00127D6A" w:rsidR="00DF5E68">
              <w:rPr>
                <w:sz w:val="24"/>
              </w:rPr>
              <w:t xml:space="preserve"> rīkojuma projekta 6.punkt</w:t>
            </w:r>
            <w:r>
              <w:rPr>
                <w:sz w:val="24"/>
              </w:rPr>
              <w:t>u</w:t>
            </w:r>
            <w:r w:rsidRPr="00127D6A" w:rsidR="00DF5E68">
              <w:rPr>
                <w:sz w:val="24"/>
              </w:rPr>
              <w:t>, konceptuālā ziņojuma 3.1.1. apakšpunkt</w:t>
            </w:r>
            <w:r>
              <w:rPr>
                <w:sz w:val="24"/>
              </w:rPr>
              <w:t>u</w:t>
            </w:r>
            <w:r w:rsidRPr="00127D6A" w:rsidR="00DF5E68">
              <w:rPr>
                <w:sz w:val="24"/>
              </w:rPr>
              <w:t>.</w:t>
            </w:r>
          </w:p>
        </w:tc>
      </w:tr>
      <w:tr w:rsidRPr="000B7922" w:rsidR="005E59D1" w:rsidTr="00322FBF" w14:paraId="637FD039" w14:textId="77777777">
        <w:trPr>
          <w:trHeight w:val="85"/>
          <w:jc w:val="center"/>
        </w:trPr>
        <w:tc>
          <w:tcPr>
            <w:tcW w:w="977" w:type="dxa"/>
          </w:tcPr>
          <w:p w:rsidRPr="00127D6A" w:rsidR="005E59D1" w:rsidP="005E59D1" w:rsidRDefault="009527A6" w14:paraId="1B8F07DD" w14:textId="77777777">
            <w:pPr>
              <w:jc w:val="both"/>
              <w:rPr>
                <w:lang w:val="lv-LV"/>
              </w:rPr>
            </w:pPr>
            <w:r w:rsidRPr="00127D6A">
              <w:rPr>
                <w:lang w:val="lv-LV"/>
              </w:rPr>
              <w:t>16.</w:t>
            </w:r>
          </w:p>
        </w:tc>
        <w:tc>
          <w:tcPr>
            <w:tcW w:w="2846" w:type="dxa"/>
          </w:tcPr>
          <w:p w:rsidRPr="00127D6A" w:rsidR="005E59D1" w:rsidP="005E59D1" w:rsidRDefault="005E59D1" w14:paraId="592D6BD2" w14:textId="77777777">
            <w:pPr>
              <w:ind w:left="34" w:right="-6"/>
              <w:jc w:val="both"/>
              <w:rPr>
                <w:lang w:val="lv-LV"/>
              </w:rPr>
            </w:pPr>
          </w:p>
        </w:tc>
        <w:tc>
          <w:tcPr>
            <w:tcW w:w="3770" w:type="dxa"/>
          </w:tcPr>
          <w:p w:rsidRPr="00127D6A" w:rsidR="005E59D1" w:rsidP="005E59D1" w:rsidRDefault="005E59D1" w14:paraId="3E8E3C85" w14:textId="77777777">
            <w:pPr>
              <w:jc w:val="both"/>
              <w:rPr>
                <w:b/>
                <w:lang w:val="lv-LV"/>
              </w:rPr>
            </w:pPr>
            <w:r w:rsidRPr="00127D6A">
              <w:rPr>
                <w:b/>
                <w:lang w:val="lv-LV"/>
              </w:rPr>
              <w:t>Vides aizsardzības un reģionālās attīstības ministrija (30.03.2020.)</w:t>
            </w:r>
          </w:p>
          <w:p w:rsidRPr="00127D6A" w:rsidR="005E59D1" w:rsidP="005E59D1" w:rsidRDefault="005E59D1" w14:paraId="71B47D00" w14:textId="77777777">
            <w:pPr>
              <w:jc w:val="both"/>
              <w:rPr>
                <w:b/>
                <w:lang w:val="lv-LV"/>
              </w:rPr>
            </w:pPr>
            <w:r w:rsidRPr="00127D6A">
              <w:rPr>
                <w:bCs/>
                <w:lang w:val="lv-LV"/>
              </w:rPr>
              <w:t xml:space="preserve">Aicinām iespēju papildināt informatīvo ziņojumu un tā </w:t>
            </w:r>
            <w:proofErr w:type="spellStart"/>
            <w:r w:rsidRPr="00127D6A">
              <w:rPr>
                <w:bCs/>
                <w:lang w:val="lv-LV"/>
              </w:rPr>
              <w:t>prokollēmumu</w:t>
            </w:r>
            <w:proofErr w:type="spellEnd"/>
            <w:r w:rsidRPr="00127D6A">
              <w:rPr>
                <w:bCs/>
                <w:lang w:val="lv-LV"/>
              </w:rPr>
              <w:t xml:space="preserve"> ar uzdevumu SM veikt grozījumus Ministru kabineta 2017.gada noteikumu Nr.361 “Pašvaldību ceļu un ielu reģistrācijas un uzskaites kārtība” 5.punktā, nosakot, ka pašvaldībām informācija par reģistrējamiem ceļiem un ielām ir jāiesniedz mašīnlasāmā formātā.</w:t>
            </w:r>
          </w:p>
        </w:tc>
        <w:tc>
          <w:tcPr>
            <w:tcW w:w="2703" w:type="dxa"/>
          </w:tcPr>
          <w:p w:rsidRPr="00127D6A" w:rsidR="009527A6" w:rsidP="00F62E57" w:rsidRDefault="000B7922" w14:paraId="342C5C2A" w14:textId="71DA50FC">
            <w:pPr>
              <w:jc w:val="center"/>
              <w:rPr>
                <w:b/>
                <w:bCs/>
                <w:lang w:val="lv-LV"/>
              </w:rPr>
            </w:pPr>
            <w:r>
              <w:rPr>
                <w:b/>
                <w:bCs/>
                <w:lang w:val="lv-LV"/>
              </w:rPr>
              <w:t>Iebildums ir ņ</w:t>
            </w:r>
            <w:r w:rsidRPr="00127D6A" w:rsidR="009527A6">
              <w:rPr>
                <w:b/>
                <w:bCs/>
                <w:lang w:val="lv-LV"/>
              </w:rPr>
              <w:t>emts vērā.</w:t>
            </w:r>
          </w:p>
          <w:p w:rsidRPr="00127D6A" w:rsidR="005E59D1" w:rsidP="009527A6" w:rsidRDefault="009527A6" w14:paraId="24D89824" w14:textId="77777777">
            <w:pPr>
              <w:jc w:val="both"/>
              <w:rPr>
                <w:b/>
                <w:bCs/>
                <w:lang w:val="lv-LV"/>
              </w:rPr>
            </w:pPr>
            <w:r w:rsidRPr="00127D6A">
              <w:rPr>
                <w:lang w:val="lv-LV"/>
              </w:rPr>
              <w:t>Papildināts rīkojuma projekts ar uzdevumu 6. Lai veicinātu datu par pašvaldību ceļiem un ielām iesniegšanu mašīnlasāmā formātā, Satiksmes ministrijai izstrādāt un satiksmes ministram līdz 2023. gada 31. decembrim iesniegt Ministru kabinetā grozījumus Ministru kabineta 2017. gada 27. jūnija noteikumos Nr.361 “Pašvaldību ceļu un ielu reģistrācijas un uzskaites kārtība”, kā arī atti</w:t>
            </w:r>
            <w:r w:rsidRPr="00127D6A" w:rsidR="003377FB">
              <w:rPr>
                <w:lang w:val="lv-LV"/>
              </w:rPr>
              <w:t>e</w:t>
            </w:r>
            <w:r w:rsidRPr="00127D6A">
              <w:rPr>
                <w:lang w:val="lv-LV"/>
              </w:rPr>
              <w:t xml:space="preserve">cīgi papildināts </w:t>
            </w:r>
            <w:r w:rsidRPr="00127D6A" w:rsidR="00127D6A">
              <w:rPr>
                <w:lang w:val="lv-LV"/>
              </w:rPr>
              <w:t xml:space="preserve">konceptuālā </w:t>
            </w:r>
            <w:r w:rsidRPr="00127D6A">
              <w:rPr>
                <w:lang w:val="lv-LV"/>
              </w:rPr>
              <w:t>ziņojuma 3.1.1. apakšpunkts.</w:t>
            </w:r>
          </w:p>
        </w:tc>
        <w:tc>
          <w:tcPr>
            <w:tcW w:w="2960" w:type="dxa"/>
          </w:tcPr>
          <w:p w:rsidRPr="00127D6A" w:rsidR="005E59D1" w:rsidP="005E59D1" w:rsidRDefault="005E59D1" w14:paraId="24517199" w14:textId="31399A7C">
            <w:pPr>
              <w:pStyle w:val="BodyText"/>
              <w:jc w:val="both"/>
              <w:rPr>
                <w:sz w:val="24"/>
              </w:rPr>
            </w:pPr>
            <w:r w:rsidRPr="00127D6A">
              <w:rPr>
                <w:sz w:val="24"/>
              </w:rPr>
              <w:t xml:space="preserve">Skatīt precizētā rīkojuma projekta </w:t>
            </w:r>
            <w:r w:rsidR="00CC1BD9">
              <w:rPr>
                <w:sz w:val="24"/>
              </w:rPr>
              <w:t>5</w:t>
            </w:r>
            <w:r w:rsidRPr="00127D6A">
              <w:rPr>
                <w:sz w:val="24"/>
              </w:rPr>
              <w:t>. punktu, konceptuālā ziņojuma 3.1.1. apakšpunktu.</w:t>
            </w:r>
          </w:p>
        </w:tc>
      </w:tr>
      <w:tr w:rsidRPr="00127D6A" w:rsidR="0051761B" w:rsidTr="00322FBF" w14:paraId="4F3872C9" w14:textId="77777777">
        <w:trPr>
          <w:trHeight w:val="85"/>
          <w:jc w:val="center"/>
        </w:trPr>
        <w:tc>
          <w:tcPr>
            <w:tcW w:w="977" w:type="dxa"/>
          </w:tcPr>
          <w:p w:rsidRPr="00127D6A" w:rsidR="0051761B" w:rsidP="0051761B" w:rsidRDefault="0051761B" w14:paraId="39640C26" w14:textId="77777777">
            <w:pPr>
              <w:jc w:val="both"/>
              <w:rPr>
                <w:lang w:val="lv-LV"/>
              </w:rPr>
            </w:pPr>
            <w:r w:rsidRPr="00127D6A">
              <w:rPr>
                <w:lang w:val="lv-LV"/>
              </w:rPr>
              <w:t>1</w:t>
            </w:r>
            <w:r w:rsidRPr="00127D6A" w:rsidR="009527A6">
              <w:rPr>
                <w:lang w:val="lv-LV"/>
              </w:rPr>
              <w:t>7.</w:t>
            </w:r>
          </w:p>
        </w:tc>
        <w:tc>
          <w:tcPr>
            <w:tcW w:w="2846" w:type="dxa"/>
          </w:tcPr>
          <w:p w:rsidRPr="00127D6A" w:rsidR="0051761B" w:rsidP="0051761B" w:rsidRDefault="00F62E57" w14:paraId="4E32E7CB" w14:textId="6F34419B">
            <w:pPr>
              <w:ind w:left="34" w:right="-6"/>
              <w:jc w:val="both"/>
              <w:rPr>
                <w:lang w:val="lv-LV"/>
              </w:rPr>
            </w:pPr>
            <w:r w:rsidRPr="00F62E57">
              <w:rPr>
                <w:lang w:val="lv-LV"/>
              </w:rPr>
              <w:t xml:space="preserve">Informatīvais ziņojums </w:t>
            </w:r>
            <w:r>
              <w:rPr>
                <w:lang w:val="lv-LV"/>
              </w:rPr>
              <w:t>“</w:t>
            </w:r>
            <w:r w:rsidRPr="00F62E57">
              <w:rPr>
                <w:lang w:val="lv-LV"/>
              </w:rPr>
              <w:t xml:space="preserve">Par </w:t>
            </w:r>
            <w:proofErr w:type="spellStart"/>
            <w:r w:rsidRPr="00F62E57">
              <w:rPr>
                <w:lang w:val="lv-LV"/>
              </w:rPr>
              <w:t>intelektisko</w:t>
            </w:r>
            <w:proofErr w:type="spellEnd"/>
            <w:r w:rsidRPr="00F62E57">
              <w:rPr>
                <w:lang w:val="lv-LV"/>
              </w:rPr>
              <w:t xml:space="preserve"> transporta sistēmu ieviešanu Latvijas autotransporta jomā un to </w:t>
            </w:r>
            <w:proofErr w:type="spellStart"/>
            <w:r w:rsidRPr="00F62E57">
              <w:rPr>
                <w:lang w:val="lv-LV"/>
              </w:rPr>
              <w:t>saskarnēm</w:t>
            </w:r>
            <w:proofErr w:type="spellEnd"/>
            <w:r w:rsidRPr="00F62E57">
              <w:rPr>
                <w:lang w:val="lv-LV"/>
              </w:rPr>
              <w:t xml:space="preserve"> ar citiem transporta veidiem</w:t>
            </w:r>
            <w:r>
              <w:rPr>
                <w:lang w:val="lv-LV"/>
              </w:rPr>
              <w:t>”</w:t>
            </w:r>
          </w:p>
        </w:tc>
        <w:tc>
          <w:tcPr>
            <w:tcW w:w="3770" w:type="dxa"/>
          </w:tcPr>
          <w:p w:rsidRPr="00127D6A" w:rsidR="0051761B" w:rsidP="0051761B" w:rsidRDefault="0051761B" w14:paraId="11F3365C" w14:textId="77777777">
            <w:pPr>
              <w:jc w:val="both"/>
              <w:rPr>
                <w:b/>
                <w:lang w:val="lv-LV"/>
              </w:rPr>
            </w:pPr>
            <w:proofErr w:type="spellStart"/>
            <w:r w:rsidRPr="00127D6A">
              <w:rPr>
                <w:b/>
                <w:lang w:val="lv-LV"/>
              </w:rPr>
              <w:t>Pārresoru</w:t>
            </w:r>
            <w:proofErr w:type="spellEnd"/>
            <w:r w:rsidRPr="00127D6A">
              <w:rPr>
                <w:b/>
                <w:lang w:val="lv-LV"/>
              </w:rPr>
              <w:t xml:space="preserve"> koordinācijas centrs (30.03.2020.)</w:t>
            </w:r>
          </w:p>
          <w:p w:rsidRPr="00127D6A" w:rsidR="0051761B" w:rsidP="0051761B" w:rsidRDefault="0051761B" w14:paraId="3A791235" w14:textId="77777777">
            <w:pPr>
              <w:jc w:val="both"/>
              <w:rPr>
                <w:b/>
                <w:lang w:val="lv-LV"/>
              </w:rPr>
            </w:pPr>
            <w:r w:rsidRPr="00127D6A">
              <w:rPr>
                <w:bCs/>
                <w:lang w:val="lv-LV"/>
              </w:rPr>
              <w:t xml:space="preserve">Lūdzam mainīt izstrādātā dokumenta formu, izstrādājot to kā konceptuālo ziņojumu, ievērojot Ministru kabineta 2014.gada 2.decembra noteikumos Nr.737 “Attīstības </w:t>
            </w:r>
            <w:r w:rsidRPr="00127D6A">
              <w:rPr>
                <w:bCs/>
                <w:lang w:val="lv-LV"/>
              </w:rPr>
              <w:lastRenderedPageBreak/>
              <w:t>plānošanas dokumentu izstrādes un ietekmes izvērtēšanas noteikumi” (MK  noteikumi Nr.737) noteiktās prasības, tai skaitā izvērtējot piedāvātā risinājuma alternatīvas, kā arī risinājuma ietekmi uz valsts un pašvaldību budžetiem. Saskaņā ar MK noteikumu Nr.737 14.punktu konceptuālu ziņojumu izstrādā, ja nepieciešams izšķirties par rīcību iepriekš noteiktu nozaru politiku īstenošanā, un projekts satur jautājumus par jaunu izšķiršanos turpmākajai rīcībai iepriekš noteiktas politikas, ko nosaka ES regulas, īstenošanā.</w:t>
            </w:r>
          </w:p>
        </w:tc>
        <w:tc>
          <w:tcPr>
            <w:tcW w:w="2703" w:type="dxa"/>
          </w:tcPr>
          <w:p w:rsidRPr="00127D6A" w:rsidR="0051761B" w:rsidP="0051761B" w:rsidRDefault="0051761B" w14:paraId="51BC4A3A" w14:textId="09010554">
            <w:pPr>
              <w:jc w:val="both"/>
              <w:rPr>
                <w:b/>
                <w:bCs/>
                <w:lang w:val="lv-LV"/>
              </w:rPr>
            </w:pPr>
            <w:r w:rsidRPr="00127D6A">
              <w:rPr>
                <w:b/>
                <w:bCs/>
                <w:lang w:val="lv-LV"/>
              </w:rPr>
              <w:lastRenderedPageBreak/>
              <w:t xml:space="preserve">Iebildums </w:t>
            </w:r>
            <w:r w:rsidR="000B7922">
              <w:rPr>
                <w:b/>
                <w:bCs/>
                <w:lang w:val="lv-LV"/>
              </w:rPr>
              <w:t xml:space="preserve">ir </w:t>
            </w:r>
            <w:r w:rsidRPr="00127D6A">
              <w:rPr>
                <w:b/>
                <w:bCs/>
                <w:lang w:val="lv-LV"/>
              </w:rPr>
              <w:t>ņemts vērā.</w:t>
            </w:r>
          </w:p>
          <w:p w:rsidRPr="00127D6A" w:rsidR="0051761B" w:rsidP="0051761B" w:rsidRDefault="0051761B" w14:paraId="3F787E25" w14:textId="77777777">
            <w:pPr>
              <w:jc w:val="both"/>
              <w:rPr>
                <w:lang w:val="lv-LV"/>
              </w:rPr>
            </w:pPr>
          </w:p>
          <w:p w:rsidRPr="00127D6A" w:rsidR="0051761B" w:rsidP="0051761B" w:rsidRDefault="0051761B" w14:paraId="0C8C1A93" w14:textId="77777777">
            <w:pPr>
              <w:jc w:val="both"/>
              <w:rPr>
                <w:b/>
                <w:bCs/>
                <w:lang w:val="lv-LV"/>
              </w:rPr>
            </w:pPr>
          </w:p>
        </w:tc>
        <w:tc>
          <w:tcPr>
            <w:tcW w:w="2960" w:type="dxa"/>
          </w:tcPr>
          <w:p w:rsidRPr="00127D6A" w:rsidR="0051761B" w:rsidP="0051761B" w:rsidRDefault="00F62E57" w14:paraId="75E437AA" w14:textId="6E74C8C3">
            <w:pPr>
              <w:pStyle w:val="BodyText"/>
              <w:jc w:val="both"/>
              <w:rPr>
                <w:sz w:val="24"/>
              </w:rPr>
            </w:pPr>
            <w:r w:rsidRPr="00F62E57">
              <w:rPr>
                <w:sz w:val="24"/>
              </w:rPr>
              <w:t xml:space="preserve">Konceptuālais ziņojums “Par </w:t>
            </w:r>
            <w:proofErr w:type="spellStart"/>
            <w:r w:rsidRPr="00F62E57">
              <w:rPr>
                <w:sz w:val="24"/>
              </w:rPr>
              <w:t>intelektisko</w:t>
            </w:r>
            <w:proofErr w:type="spellEnd"/>
            <w:r w:rsidRPr="00F62E57">
              <w:rPr>
                <w:sz w:val="24"/>
              </w:rPr>
              <w:t xml:space="preserve"> transporta sistēmu ieviešanu Latvijas autotransporta jomā un to </w:t>
            </w:r>
            <w:proofErr w:type="spellStart"/>
            <w:r w:rsidRPr="00F62E57">
              <w:rPr>
                <w:sz w:val="24"/>
              </w:rPr>
              <w:t>saskarnēm</w:t>
            </w:r>
            <w:proofErr w:type="spellEnd"/>
            <w:r w:rsidRPr="00F62E57">
              <w:rPr>
                <w:sz w:val="24"/>
              </w:rPr>
              <w:t xml:space="preserve"> ar citiem transporta veidiem”</w:t>
            </w:r>
          </w:p>
        </w:tc>
      </w:tr>
      <w:tr w:rsidRPr="000B7922" w:rsidR="0051761B" w:rsidTr="00322FBF" w14:paraId="0B62F2FF" w14:textId="77777777">
        <w:trPr>
          <w:trHeight w:val="85"/>
          <w:jc w:val="center"/>
        </w:trPr>
        <w:tc>
          <w:tcPr>
            <w:tcW w:w="977" w:type="dxa"/>
          </w:tcPr>
          <w:p w:rsidRPr="00127D6A" w:rsidR="0051761B" w:rsidP="0051761B" w:rsidRDefault="0051761B" w14:paraId="439876F0" w14:textId="77777777">
            <w:pPr>
              <w:jc w:val="both"/>
              <w:rPr>
                <w:lang w:val="lv-LV"/>
              </w:rPr>
            </w:pPr>
            <w:r w:rsidRPr="00127D6A">
              <w:rPr>
                <w:lang w:val="lv-LV"/>
              </w:rPr>
              <w:t>1</w:t>
            </w:r>
            <w:r w:rsidRPr="00127D6A" w:rsidR="009527A6">
              <w:rPr>
                <w:lang w:val="lv-LV"/>
              </w:rPr>
              <w:t>8.</w:t>
            </w:r>
          </w:p>
        </w:tc>
        <w:tc>
          <w:tcPr>
            <w:tcW w:w="2846" w:type="dxa"/>
          </w:tcPr>
          <w:p w:rsidRPr="00127D6A" w:rsidR="0051761B" w:rsidP="0051761B" w:rsidRDefault="0051761B" w14:paraId="4B17C0EF" w14:textId="77777777">
            <w:pPr>
              <w:ind w:left="34" w:right="-6"/>
              <w:jc w:val="both"/>
              <w:rPr>
                <w:lang w:val="lv-LV"/>
              </w:rPr>
            </w:pPr>
          </w:p>
        </w:tc>
        <w:tc>
          <w:tcPr>
            <w:tcW w:w="3770" w:type="dxa"/>
          </w:tcPr>
          <w:p w:rsidRPr="00127D6A" w:rsidR="0051761B" w:rsidP="0051761B" w:rsidRDefault="0051761B" w14:paraId="6951724E" w14:textId="77777777">
            <w:pPr>
              <w:jc w:val="both"/>
              <w:rPr>
                <w:b/>
                <w:lang w:val="lv-LV"/>
              </w:rPr>
            </w:pPr>
            <w:proofErr w:type="spellStart"/>
            <w:r w:rsidRPr="00127D6A">
              <w:rPr>
                <w:b/>
                <w:lang w:val="lv-LV"/>
              </w:rPr>
              <w:t>Pārresoru</w:t>
            </w:r>
            <w:proofErr w:type="spellEnd"/>
            <w:r w:rsidRPr="00127D6A">
              <w:rPr>
                <w:b/>
                <w:lang w:val="lv-LV"/>
              </w:rPr>
              <w:t xml:space="preserve"> koordinācijas centrs (30.03.2020.)</w:t>
            </w:r>
          </w:p>
          <w:p w:rsidRPr="00127D6A" w:rsidR="0051761B" w:rsidP="0051761B" w:rsidRDefault="0051761B" w14:paraId="7964FF32" w14:textId="776D5A6C">
            <w:pPr>
              <w:jc w:val="both"/>
              <w:rPr>
                <w:bCs/>
                <w:lang w:val="lv-LV"/>
              </w:rPr>
            </w:pPr>
            <w:r w:rsidRPr="00127D6A">
              <w:rPr>
                <w:bCs/>
                <w:lang w:val="lv-LV"/>
              </w:rPr>
              <w:t xml:space="preserve">Lūdzam projektu  papildināt ar informāciju par paveikto katras Deleģētās regulas (Nr.885/2013; 886/2013; Nr.2015/962; Nr.2017/1926; Nr.305/2013) ieviešanā (pārņemšanā), ņemot vērā, ka trīs no projektā minētajām regulām ir jau ieviestas  un VAS “Latvijas valsts ceļi” jau pašlaik daļēji darbojas kā nacionālais piekļuves punkts un satiksmes statisko un dinamisko datu informācijas nodrošinātājs. </w:t>
            </w:r>
          </w:p>
          <w:p w:rsidRPr="00127D6A" w:rsidR="0051761B" w:rsidP="0051761B" w:rsidRDefault="0051761B" w14:paraId="329F15AE" w14:textId="77777777">
            <w:pPr>
              <w:jc w:val="both"/>
              <w:rPr>
                <w:b/>
                <w:lang w:val="lv-LV"/>
              </w:rPr>
            </w:pPr>
            <w:r w:rsidRPr="00127D6A">
              <w:rPr>
                <w:bCs/>
                <w:lang w:val="lv-LV"/>
              </w:rPr>
              <w:t xml:space="preserve">Lūdzam sniegt informāciju vai ir plānots veidot nacionālo piekļuves punktu (NPP) uz VAS “Latvijas valsts ceļi” esošas satiksmes informācijas centra  datu bāzes. </w:t>
            </w:r>
            <w:r w:rsidRPr="00127D6A">
              <w:rPr>
                <w:bCs/>
                <w:lang w:val="lv-LV"/>
              </w:rPr>
              <w:lastRenderedPageBreak/>
              <w:t>Papildus lūdzam sniegt informāciju, kuru prasību un kuru datu pieejamības ieviešana tiek kavēta, konkrēti norādot regulu prasību neizpildes apjomu pa datu veidiem, kas Latvijai noteiktā laika periodā ir  jāsasniedz.</w:t>
            </w:r>
          </w:p>
        </w:tc>
        <w:tc>
          <w:tcPr>
            <w:tcW w:w="2703" w:type="dxa"/>
          </w:tcPr>
          <w:p w:rsidR="00C50212" w:rsidP="00C50212" w:rsidRDefault="000B7922" w14:paraId="063D442E" w14:textId="77777777">
            <w:pPr>
              <w:jc w:val="center"/>
              <w:rPr>
                <w:b/>
                <w:bCs/>
                <w:lang w:val="lv-LV"/>
              </w:rPr>
            </w:pPr>
            <w:r>
              <w:rPr>
                <w:b/>
                <w:bCs/>
                <w:lang w:val="lv-LV"/>
              </w:rPr>
              <w:lastRenderedPageBreak/>
              <w:t>Panākta vienošanās saskaņošanas laikā</w:t>
            </w:r>
            <w:r w:rsidRPr="00127D6A">
              <w:rPr>
                <w:b/>
                <w:bCs/>
                <w:lang w:val="lv-LV"/>
              </w:rPr>
              <w:t>.</w:t>
            </w:r>
          </w:p>
          <w:p w:rsidRPr="00127D6A" w:rsidR="0051761B" w:rsidP="0051761B" w:rsidRDefault="0051761B" w14:paraId="18A47E9C" w14:textId="16B67982">
            <w:pPr>
              <w:jc w:val="both"/>
              <w:rPr>
                <w:lang w:val="lv-LV"/>
              </w:rPr>
            </w:pPr>
            <w:r w:rsidRPr="00127D6A">
              <w:rPr>
                <w:lang w:val="lv-LV"/>
              </w:rPr>
              <w:t xml:space="preserve">Attiecībā uz lūgumu papildināt projektu ar informāciju par paveikto katras Deleģētās regulas (Nr.885/2013; 886/2013; Nr.2015/962; Nr.2017/1926; Nr.305/2013) ieviešanā skaidrojam, ka vienīgā no minētajām regulām, kas Latvijā ieviesta, ir Regula Nr.305/2013. Šī regula atšķirībā no parējām regulām, kuru pamatā ir transporta nozares datu sniegšana, apmaiņa un </w:t>
            </w:r>
            <w:proofErr w:type="spellStart"/>
            <w:r w:rsidRPr="00127D6A">
              <w:rPr>
                <w:lang w:val="lv-LV"/>
              </w:rPr>
              <w:t>atkalizmantošana</w:t>
            </w:r>
            <w:proofErr w:type="spellEnd"/>
            <w:r w:rsidRPr="00127D6A">
              <w:rPr>
                <w:lang w:val="lv-LV"/>
              </w:rPr>
              <w:t xml:space="preserve"> ar NPP starpniecību, nosaka </w:t>
            </w:r>
            <w:r w:rsidRPr="00127D6A">
              <w:rPr>
                <w:lang w:val="lv-LV"/>
              </w:rPr>
              <w:lastRenderedPageBreak/>
              <w:t xml:space="preserve">specifikācijas ārkārtas izsaukumu centrāļu infrastruktūras modernizēšanai, kas ir jāveic </w:t>
            </w:r>
            <w:proofErr w:type="spellStart"/>
            <w:r w:rsidRPr="00127D6A">
              <w:rPr>
                <w:lang w:val="lv-LV"/>
              </w:rPr>
              <w:t>eZvana</w:t>
            </w:r>
            <w:proofErr w:type="spellEnd"/>
            <w:r w:rsidRPr="00127D6A">
              <w:rPr>
                <w:lang w:val="lv-LV"/>
              </w:rPr>
              <w:t xml:space="preserve"> izsaukumu pienācīgas saņemšanas un apstrādes nodrošināšanai, lai panāktu saskaņoti sniegta ES mēroga </w:t>
            </w:r>
            <w:proofErr w:type="spellStart"/>
            <w:r w:rsidRPr="00127D6A">
              <w:rPr>
                <w:lang w:val="lv-LV"/>
              </w:rPr>
              <w:t>eZvana</w:t>
            </w:r>
            <w:proofErr w:type="spellEnd"/>
            <w:r w:rsidRPr="00127D6A">
              <w:rPr>
                <w:lang w:val="lv-LV"/>
              </w:rPr>
              <w:t xml:space="preserve"> pakalpojuma savietojamību, </w:t>
            </w:r>
            <w:proofErr w:type="spellStart"/>
            <w:r w:rsidRPr="00127D6A">
              <w:rPr>
                <w:lang w:val="lv-LV"/>
              </w:rPr>
              <w:t>sadarbspēju</w:t>
            </w:r>
            <w:proofErr w:type="spellEnd"/>
            <w:r w:rsidRPr="00127D6A">
              <w:rPr>
                <w:lang w:val="lv-LV"/>
              </w:rPr>
              <w:t xml:space="preserve"> un nepārtrauktību. Valsts politiku </w:t>
            </w:r>
            <w:proofErr w:type="spellStart"/>
            <w:r w:rsidRPr="00127D6A">
              <w:rPr>
                <w:lang w:val="lv-LV"/>
              </w:rPr>
              <w:t>eZvana</w:t>
            </w:r>
            <w:proofErr w:type="spellEnd"/>
            <w:r w:rsidRPr="00127D6A">
              <w:rPr>
                <w:lang w:val="lv-LV"/>
              </w:rPr>
              <w:t xml:space="preserve"> jomā īsteno Valsts ugunsdzēsības un glābšanas dienests. Skaidrojam, ka LVC Satiksmes informācijas centru un tīmekļa vietni </w:t>
            </w:r>
            <w:hyperlink w:history="1" r:id="rId8">
              <w:r w:rsidRPr="00127D6A">
                <w:rPr>
                  <w:rStyle w:val="Hyperlink"/>
                  <w:lang w:val="lv-LV"/>
                </w:rPr>
                <w:t>www.lvceli.lv</w:t>
              </w:r>
            </w:hyperlink>
            <w:r w:rsidRPr="00127D6A">
              <w:rPr>
                <w:lang w:val="lv-LV"/>
              </w:rPr>
              <w:t xml:space="preserve"> šobrīd nevar </w:t>
            </w:r>
            <w:r w:rsidRPr="00127D6A" w:rsidR="00C50212">
              <w:rPr>
                <w:lang w:val="lv-LV"/>
              </w:rPr>
              <w:t>uzskatīt</w:t>
            </w:r>
            <w:r w:rsidRPr="00127D6A">
              <w:rPr>
                <w:lang w:val="lv-LV"/>
              </w:rPr>
              <w:t xml:space="preserve"> par pilnvērtīgu NPP, jo LVC savā tīmekļa vietnē atspoguļo tikai nelielu daļu no datiem, kas </w:t>
            </w:r>
            <w:r w:rsidRPr="00127D6A" w:rsidR="00C50212">
              <w:rPr>
                <w:lang w:val="lv-LV"/>
              </w:rPr>
              <w:t>atbilstoši</w:t>
            </w:r>
            <w:r w:rsidRPr="00127D6A">
              <w:rPr>
                <w:lang w:val="lv-LV"/>
              </w:rPr>
              <w:t xml:space="preserve"> ITS Direktīvas izrietošajām </w:t>
            </w:r>
            <w:r w:rsidRPr="00127D6A" w:rsidR="00C50212">
              <w:rPr>
                <w:lang w:val="lv-LV"/>
              </w:rPr>
              <w:t>deleģētajām</w:t>
            </w:r>
            <w:r w:rsidRPr="00127D6A">
              <w:rPr>
                <w:lang w:val="lv-LV"/>
              </w:rPr>
              <w:t xml:space="preserve"> regulām būtu </w:t>
            </w:r>
            <w:r w:rsidRPr="00127D6A" w:rsidR="00C50212">
              <w:rPr>
                <w:lang w:val="lv-LV"/>
              </w:rPr>
              <w:t>jāatspoguļo</w:t>
            </w:r>
            <w:r w:rsidRPr="00127D6A">
              <w:rPr>
                <w:lang w:val="lv-LV"/>
              </w:rPr>
              <w:t xml:space="preserve">, un nenodrošina šo datu </w:t>
            </w:r>
            <w:proofErr w:type="spellStart"/>
            <w:r w:rsidRPr="00127D6A">
              <w:rPr>
                <w:lang w:val="lv-LV"/>
              </w:rPr>
              <w:t>atkalizmantošanu</w:t>
            </w:r>
            <w:proofErr w:type="spellEnd"/>
            <w:r w:rsidRPr="00127D6A">
              <w:rPr>
                <w:lang w:val="lv-LV"/>
              </w:rPr>
              <w:t xml:space="preserve"> un pieejamību mašīnlasāmā formātā, tamdēļ nevar uzskatīt, ka ir ieviestas regulas Nr.885/2013, </w:t>
            </w:r>
            <w:r w:rsidRPr="00127D6A">
              <w:rPr>
                <w:lang w:val="lv-LV"/>
              </w:rPr>
              <w:lastRenderedPageBreak/>
              <w:t>886/2013, Nr.2015/962, Nr.2017/1926.</w:t>
            </w:r>
          </w:p>
          <w:p w:rsidRPr="00127D6A" w:rsidR="0051761B" w:rsidP="0051761B" w:rsidRDefault="0051761B" w14:paraId="7999DCB1" w14:textId="77777777">
            <w:pPr>
              <w:jc w:val="both"/>
              <w:rPr>
                <w:b/>
                <w:bCs/>
                <w:lang w:val="lv-LV"/>
              </w:rPr>
            </w:pPr>
            <w:r w:rsidRPr="00127D6A">
              <w:rPr>
                <w:lang w:val="lv-LV"/>
              </w:rPr>
              <w:t>Attiecībā uz jautājumu, vai ir plānots veidot NPP uz VAS “Latvijas valsts ceļi” esošas satiksmes informācijas centra (SIC) datu bāzes, informējam, ka tiek plānots NPP veidot uz SIC datu bāzes un tehniskā un cilvēkresursu nodrošinājuma pamata.</w:t>
            </w:r>
          </w:p>
        </w:tc>
        <w:tc>
          <w:tcPr>
            <w:tcW w:w="2960" w:type="dxa"/>
          </w:tcPr>
          <w:p w:rsidRPr="00127D6A" w:rsidR="0051761B" w:rsidP="0051761B" w:rsidRDefault="0051761B" w14:paraId="1EB47115" w14:textId="77777777">
            <w:pPr>
              <w:pStyle w:val="BodyText"/>
              <w:jc w:val="both"/>
              <w:rPr>
                <w:sz w:val="24"/>
              </w:rPr>
            </w:pPr>
          </w:p>
        </w:tc>
      </w:tr>
      <w:tr w:rsidRPr="000B7922" w:rsidR="0051761B" w:rsidTr="00322FBF" w14:paraId="7736C6F6" w14:textId="77777777">
        <w:trPr>
          <w:trHeight w:val="85"/>
          <w:jc w:val="center"/>
        </w:trPr>
        <w:tc>
          <w:tcPr>
            <w:tcW w:w="977" w:type="dxa"/>
          </w:tcPr>
          <w:p w:rsidRPr="00127D6A" w:rsidR="0051761B" w:rsidP="0051761B" w:rsidRDefault="0051761B" w14:paraId="6E10D53C" w14:textId="77777777">
            <w:pPr>
              <w:jc w:val="both"/>
              <w:rPr>
                <w:lang w:val="lv-LV"/>
              </w:rPr>
            </w:pPr>
            <w:r w:rsidRPr="00127D6A">
              <w:rPr>
                <w:lang w:val="lv-LV"/>
              </w:rPr>
              <w:lastRenderedPageBreak/>
              <w:t>1</w:t>
            </w:r>
            <w:r w:rsidRPr="00127D6A" w:rsidR="009527A6">
              <w:rPr>
                <w:lang w:val="lv-LV"/>
              </w:rPr>
              <w:t>9.</w:t>
            </w:r>
          </w:p>
        </w:tc>
        <w:tc>
          <w:tcPr>
            <w:tcW w:w="2846" w:type="dxa"/>
          </w:tcPr>
          <w:p w:rsidRPr="00127D6A" w:rsidR="0051761B" w:rsidP="0051761B" w:rsidRDefault="0051761B" w14:paraId="16D14C45" w14:textId="77777777">
            <w:pPr>
              <w:ind w:left="34" w:right="-6"/>
              <w:jc w:val="both"/>
              <w:rPr>
                <w:lang w:val="lv-LV"/>
              </w:rPr>
            </w:pPr>
          </w:p>
        </w:tc>
        <w:tc>
          <w:tcPr>
            <w:tcW w:w="3770" w:type="dxa"/>
          </w:tcPr>
          <w:p w:rsidRPr="00127D6A" w:rsidR="0051761B" w:rsidP="0051761B" w:rsidRDefault="0051761B" w14:paraId="7667B513" w14:textId="77777777">
            <w:pPr>
              <w:jc w:val="both"/>
              <w:rPr>
                <w:b/>
                <w:lang w:val="lv-LV"/>
              </w:rPr>
            </w:pPr>
            <w:proofErr w:type="spellStart"/>
            <w:r w:rsidRPr="00127D6A">
              <w:rPr>
                <w:b/>
                <w:lang w:val="lv-LV"/>
              </w:rPr>
              <w:t>Pārresoru</w:t>
            </w:r>
            <w:proofErr w:type="spellEnd"/>
            <w:r w:rsidRPr="00127D6A">
              <w:rPr>
                <w:b/>
                <w:lang w:val="lv-LV"/>
              </w:rPr>
              <w:t xml:space="preserve"> koordinācijas centrs (30.03.2020.)</w:t>
            </w:r>
          </w:p>
          <w:p w:rsidRPr="00127D6A" w:rsidR="0051761B" w:rsidP="0051761B" w:rsidRDefault="0051761B" w14:paraId="039A9B15" w14:textId="77777777">
            <w:pPr>
              <w:jc w:val="both"/>
              <w:rPr>
                <w:b/>
                <w:lang w:val="lv-LV"/>
              </w:rPr>
            </w:pPr>
            <w:r w:rsidRPr="00127D6A">
              <w:rPr>
                <w:bCs/>
                <w:lang w:val="lv-LV"/>
              </w:rPr>
              <w:t>Ņemot vērā, ka tiek plānots veidot NPP uz VAS “Latvijas valsts ceļi” esošas satiksmes informācijas centra  datu bāzes, lūdzam sniegt izvērstu pasākumu un to izmaksu aprakstu (tāmi), norādot  nepieciešamās informācijas tehnoloģiju infrastruktūras, licenču izmaksas un VAS “Latvijas valsts ceļi” satiksmes informācijas centra infrastruktūras, aprīkojuma un spēju uzlabošanas izmaksas, tai skaitā norādot tās atsevišķi katram NPP izveides posmam.</w:t>
            </w:r>
          </w:p>
        </w:tc>
        <w:tc>
          <w:tcPr>
            <w:tcW w:w="2703" w:type="dxa"/>
          </w:tcPr>
          <w:p w:rsidR="0023787F" w:rsidP="0023787F" w:rsidRDefault="000B7922" w14:paraId="401205B0" w14:textId="77777777">
            <w:pPr>
              <w:jc w:val="center"/>
              <w:rPr>
                <w:b/>
                <w:bCs/>
                <w:lang w:val="lv-LV"/>
              </w:rPr>
            </w:pPr>
            <w:r>
              <w:rPr>
                <w:b/>
                <w:bCs/>
                <w:lang w:val="lv-LV"/>
              </w:rPr>
              <w:t>Panākta vienošanās saskaņošanas laikā</w:t>
            </w:r>
            <w:r w:rsidRPr="00127D6A">
              <w:rPr>
                <w:b/>
                <w:bCs/>
                <w:lang w:val="lv-LV"/>
              </w:rPr>
              <w:t>.</w:t>
            </w:r>
          </w:p>
          <w:p w:rsidRPr="00127D6A" w:rsidR="0051761B" w:rsidP="0051761B" w:rsidRDefault="0051761B" w14:paraId="68B5DBA6" w14:textId="5FF11DD3">
            <w:pPr>
              <w:jc w:val="both"/>
              <w:rPr>
                <w:lang w:val="lv-LV"/>
              </w:rPr>
            </w:pPr>
            <w:r w:rsidRPr="00127D6A">
              <w:rPr>
                <w:lang w:val="lv-LV"/>
              </w:rPr>
              <w:t xml:space="preserve">Skaidrojam, ka pretēji citu valstu pieredzei, kur NPP ieviešana notikusi vairākos posmos, Latvijā NPP izveide tiek plānota vienā posmā un tamdēļ šobrīd nav iespējams sniegt informāciju par detalizētu izmaksu aprakstu.  Izvērsts pasākumu un to izmaksu apraksts tiks precizēts konsultatīva pakalpojuma un NPP specifikāciju izstrādes rezultātā, ņemot vērā arī visas ar šiem pasākumiem saistītās izmaksas. </w:t>
            </w:r>
          </w:p>
          <w:p w:rsidRPr="0023787F" w:rsidR="0051761B" w:rsidP="0051761B" w:rsidRDefault="0051761B" w14:paraId="7497EB89" w14:textId="29CBAD34">
            <w:pPr>
              <w:jc w:val="both"/>
              <w:rPr>
                <w:lang w:val="lv-LV"/>
              </w:rPr>
            </w:pPr>
            <w:r w:rsidRPr="00127D6A">
              <w:rPr>
                <w:lang w:val="lv-LV"/>
              </w:rPr>
              <w:t xml:space="preserve">Šī brīža aprēķini balstās uz izpēti ar nosaukumu “Izpēte par inteliģento </w:t>
            </w:r>
            <w:r w:rsidRPr="00127D6A">
              <w:rPr>
                <w:lang w:val="lv-LV"/>
              </w:rPr>
              <w:lastRenderedPageBreak/>
              <w:t xml:space="preserve">transporta sistēmu (ITS) ieviešanu Latvijas autotransporta jomā”, kas ir </w:t>
            </w:r>
            <w:r w:rsidRPr="00127D6A" w:rsidR="0023787F">
              <w:rPr>
                <w:lang w:val="lv-LV"/>
              </w:rPr>
              <w:t>pieejama</w:t>
            </w:r>
            <w:r w:rsidRPr="00127D6A">
              <w:rPr>
                <w:lang w:val="lv-LV"/>
              </w:rPr>
              <w:t xml:space="preserve">  </w:t>
            </w:r>
            <w:hyperlink w:history="1" r:id="rId9">
              <w:r w:rsidRPr="00127D6A">
                <w:rPr>
                  <w:rStyle w:val="Hyperlink"/>
                  <w:lang w:val="lv-LV"/>
                </w:rPr>
                <w:t>https://lvceli.lv/wp-content/uploads/2020/04/LV-ITS-Strategy-and-Action-Plan_2017.pdf</w:t>
              </w:r>
            </w:hyperlink>
            <w:r w:rsidRPr="00127D6A">
              <w:rPr>
                <w:lang w:val="lv-LV"/>
              </w:rPr>
              <w:t xml:space="preserve">. </w:t>
            </w:r>
          </w:p>
        </w:tc>
        <w:tc>
          <w:tcPr>
            <w:tcW w:w="2960" w:type="dxa"/>
          </w:tcPr>
          <w:p w:rsidRPr="00127D6A" w:rsidR="0051761B" w:rsidP="0051761B" w:rsidRDefault="0051761B" w14:paraId="0333D9CA" w14:textId="77777777">
            <w:pPr>
              <w:pStyle w:val="BodyText"/>
              <w:jc w:val="both"/>
              <w:rPr>
                <w:sz w:val="24"/>
              </w:rPr>
            </w:pPr>
          </w:p>
        </w:tc>
      </w:tr>
      <w:tr w:rsidRPr="000B7922" w:rsidR="0051761B" w:rsidTr="00322FBF" w14:paraId="2E4475F5" w14:textId="77777777">
        <w:trPr>
          <w:trHeight w:val="85"/>
          <w:jc w:val="center"/>
        </w:trPr>
        <w:tc>
          <w:tcPr>
            <w:tcW w:w="977" w:type="dxa"/>
          </w:tcPr>
          <w:p w:rsidRPr="00127D6A" w:rsidR="0051761B" w:rsidP="0051761B" w:rsidRDefault="009527A6" w14:paraId="0B7BCE7F" w14:textId="77777777">
            <w:pPr>
              <w:jc w:val="both"/>
              <w:rPr>
                <w:lang w:val="lv-LV"/>
              </w:rPr>
            </w:pPr>
            <w:r w:rsidRPr="00127D6A">
              <w:rPr>
                <w:lang w:val="lv-LV"/>
              </w:rPr>
              <w:t>20.</w:t>
            </w:r>
          </w:p>
        </w:tc>
        <w:tc>
          <w:tcPr>
            <w:tcW w:w="2846" w:type="dxa"/>
          </w:tcPr>
          <w:p w:rsidRPr="00127D6A" w:rsidR="0051761B" w:rsidP="0051761B" w:rsidRDefault="0051761B" w14:paraId="27ADA3BF" w14:textId="77777777">
            <w:pPr>
              <w:ind w:left="34" w:right="-6"/>
              <w:jc w:val="both"/>
              <w:rPr>
                <w:lang w:val="lv-LV"/>
              </w:rPr>
            </w:pPr>
          </w:p>
        </w:tc>
        <w:tc>
          <w:tcPr>
            <w:tcW w:w="3770" w:type="dxa"/>
          </w:tcPr>
          <w:p w:rsidRPr="00127D6A" w:rsidR="0051761B" w:rsidP="0051761B" w:rsidRDefault="0051761B" w14:paraId="4B6FA669" w14:textId="77777777">
            <w:pPr>
              <w:jc w:val="both"/>
              <w:rPr>
                <w:b/>
                <w:lang w:val="lv-LV"/>
              </w:rPr>
            </w:pPr>
            <w:proofErr w:type="spellStart"/>
            <w:r w:rsidRPr="00127D6A">
              <w:rPr>
                <w:b/>
                <w:lang w:val="lv-LV"/>
              </w:rPr>
              <w:t>Pārresoru</w:t>
            </w:r>
            <w:proofErr w:type="spellEnd"/>
            <w:r w:rsidRPr="00127D6A">
              <w:rPr>
                <w:b/>
                <w:lang w:val="lv-LV"/>
              </w:rPr>
              <w:t xml:space="preserve"> koordinācijas centrs (30.03.2020.)</w:t>
            </w:r>
          </w:p>
          <w:p w:rsidRPr="00127D6A" w:rsidR="0051761B" w:rsidP="0051761B" w:rsidRDefault="0051761B" w14:paraId="154FE3B0" w14:textId="77777777">
            <w:pPr>
              <w:jc w:val="both"/>
              <w:rPr>
                <w:bCs/>
                <w:lang w:val="lv-LV"/>
              </w:rPr>
            </w:pPr>
            <w:r w:rsidRPr="00127D6A">
              <w:rPr>
                <w:bCs/>
                <w:lang w:val="lv-LV"/>
              </w:rPr>
              <w:t xml:space="preserve">Ņemot vērā, ka projekta 1.lpp. norādīts “[..] ja Latvija tuvākajā laikā neizveidos transporta nozares informācijas nacionālo (valsts) piekļuves punktu, tad Eiropas Komisija var vērsties pret Latviju, uzsākot pārkāpuma procedūru, kas var rezultēties arī ar finansiālām sankcijām soda un kavējumu naudu izpratnē (sākot ar vairākiem simtiem līdz pat tūkstošiem eiro”, lūdzam projektā norādīt konkrētu laika periodu (datumu vai gadu), kurā ir jābūt ieviestām regulās noteiktajām prasībām par transporta nozares informācijas NPP izveidi. Papildu norādām, ka regula  Nr.2017/1926 ļauj valstīm veidot arī kopīgus piekļuves punktus, tāpēc aicinām papildināt ziņojumu ar informāciju par to, vai šāda iespēja ir tikusi izvērtēta un, ja jā, par šī </w:t>
            </w:r>
            <w:proofErr w:type="spellStart"/>
            <w:r w:rsidRPr="00127D6A">
              <w:rPr>
                <w:bCs/>
                <w:lang w:val="lv-LV"/>
              </w:rPr>
              <w:t>izvērtējuma</w:t>
            </w:r>
            <w:proofErr w:type="spellEnd"/>
            <w:r w:rsidRPr="00127D6A">
              <w:rPr>
                <w:bCs/>
                <w:lang w:val="lv-LV"/>
              </w:rPr>
              <w:t xml:space="preserve"> rezultātiem</w:t>
            </w:r>
          </w:p>
        </w:tc>
        <w:tc>
          <w:tcPr>
            <w:tcW w:w="2703" w:type="dxa"/>
          </w:tcPr>
          <w:p w:rsidRPr="00127D6A" w:rsidR="0051761B" w:rsidP="0051761B" w:rsidRDefault="0051761B" w14:paraId="34DE8CBD" w14:textId="7FD9BA0F">
            <w:pPr>
              <w:jc w:val="both"/>
              <w:rPr>
                <w:b/>
                <w:bCs/>
                <w:lang w:val="lv-LV"/>
              </w:rPr>
            </w:pPr>
            <w:r w:rsidRPr="00127D6A">
              <w:rPr>
                <w:b/>
                <w:bCs/>
                <w:lang w:val="lv-LV"/>
              </w:rPr>
              <w:t xml:space="preserve">Iebildums </w:t>
            </w:r>
            <w:r w:rsidR="000B7922">
              <w:rPr>
                <w:b/>
                <w:bCs/>
                <w:lang w:val="lv-LV"/>
              </w:rPr>
              <w:t xml:space="preserve">ir </w:t>
            </w:r>
            <w:r w:rsidRPr="00127D6A">
              <w:rPr>
                <w:b/>
                <w:bCs/>
                <w:lang w:val="lv-LV"/>
              </w:rPr>
              <w:t>ņemts vērā.</w:t>
            </w:r>
          </w:p>
          <w:p w:rsidRPr="00127D6A" w:rsidR="0051761B" w:rsidP="0051761B" w:rsidRDefault="0051761B" w14:paraId="58C9F22B" w14:textId="5587939E">
            <w:pPr>
              <w:jc w:val="both"/>
              <w:rPr>
                <w:lang w:val="lv-LV"/>
              </w:rPr>
            </w:pPr>
            <w:r w:rsidRPr="00127D6A">
              <w:rPr>
                <w:lang w:val="lv-LV"/>
              </w:rPr>
              <w:t xml:space="preserve">Visas ITS direktīvas izrietošās </w:t>
            </w:r>
            <w:r w:rsidRPr="00127D6A" w:rsidR="0023787F">
              <w:rPr>
                <w:lang w:val="lv-LV"/>
              </w:rPr>
              <w:t>deleģētās</w:t>
            </w:r>
            <w:r w:rsidRPr="00127D6A">
              <w:rPr>
                <w:lang w:val="lv-LV"/>
              </w:rPr>
              <w:t xml:space="preserve"> regulas ir stājušās spēkā. Ziņojuma  1.1.2.1., 1.1.2.2., 1.1.2.3., 1.1.2.4</w:t>
            </w:r>
            <w:r w:rsidR="00F870CF">
              <w:rPr>
                <w:lang w:val="lv-LV"/>
              </w:rPr>
              <w:t xml:space="preserve"> un</w:t>
            </w:r>
            <w:r w:rsidRPr="00127D6A">
              <w:rPr>
                <w:lang w:val="lv-LV"/>
              </w:rPr>
              <w:t xml:space="preserve"> 1.1.2.5</w:t>
            </w:r>
            <w:r w:rsidR="00F870CF">
              <w:rPr>
                <w:lang w:val="lv-LV"/>
              </w:rPr>
              <w:t>.</w:t>
            </w:r>
            <w:r w:rsidRPr="00127D6A" w:rsidR="00F870CF">
              <w:rPr>
                <w:lang w:val="lv-LV"/>
              </w:rPr>
              <w:t xml:space="preserve"> apakšpunkt</w:t>
            </w:r>
            <w:r w:rsidR="00F870CF">
              <w:rPr>
                <w:lang w:val="lv-LV"/>
              </w:rPr>
              <w:t>s</w:t>
            </w:r>
            <w:r w:rsidRPr="00127D6A" w:rsidR="00493B30">
              <w:rPr>
                <w:lang w:val="lv-LV"/>
              </w:rPr>
              <w:t xml:space="preserve"> (konceptuālā ziņojuma 2.3.1., 2.3.2., 2.3.3., 2.3.4.</w:t>
            </w:r>
            <w:r w:rsidR="00F870CF">
              <w:rPr>
                <w:lang w:val="lv-LV"/>
              </w:rPr>
              <w:t xml:space="preserve"> un</w:t>
            </w:r>
            <w:r w:rsidRPr="00127D6A" w:rsidR="00493B30">
              <w:rPr>
                <w:lang w:val="lv-LV"/>
              </w:rPr>
              <w:t xml:space="preserve"> 2.3.5</w:t>
            </w:r>
            <w:r w:rsidR="00F870CF">
              <w:rPr>
                <w:lang w:val="lv-LV"/>
              </w:rPr>
              <w:t>.</w:t>
            </w:r>
            <w:r w:rsidRPr="00127D6A" w:rsidR="00F870CF">
              <w:rPr>
                <w:lang w:val="lv-LV"/>
              </w:rPr>
              <w:t xml:space="preserve"> apakšpunkt</w:t>
            </w:r>
            <w:r w:rsidR="00F870CF">
              <w:rPr>
                <w:lang w:val="lv-LV"/>
              </w:rPr>
              <w:t>s</w:t>
            </w:r>
            <w:r w:rsidRPr="00127D6A" w:rsidR="00493B30">
              <w:rPr>
                <w:lang w:val="lv-LV"/>
              </w:rPr>
              <w:t>)</w:t>
            </w:r>
            <w:r w:rsidRPr="00127D6A">
              <w:rPr>
                <w:lang w:val="lv-LV"/>
              </w:rPr>
              <w:t xml:space="preserve"> ir papildināti ar informāciju par deleģēto regulu </w:t>
            </w:r>
            <w:r w:rsidRPr="00127D6A" w:rsidR="002E4130">
              <w:rPr>
                <w:lang w:val="lv-LV"/>
              </w:rPr>
              <w:t xml:space="preserve">stāšanās </w:t>
            </w:r>
            <w:r w:rsidRPr="00127D6A">
              <w:rPr>
                <w:lang w:val="lv-LV"/>
              </w:rPr>
              <w:t xml:space="preserve">spēkā datumiem.   Kā jau </w:t>
            </w:r>
            <w:r w:rsidRPr="00127D6A" w:rsidR="00043FC1">
              <w:rPr>
                <w:lang w:val="lv-LV"/>
              </w:rPr>
              <w:t xml:space="preserve">konceptuālā ziņojuma 2.2. apakšpunktā </w:t>
            </w:r>
            <w:r w:rsidRPr="00127D6A">
              <w:rPr>
                <w:lang w:val="lv-LV"/>
              </w:rPr>
              <w:t xml:space="preserve">skaidrots – ITS Direktīvas 5. pants noteic, ka dalībvalstis veic vajadzīgos pasākumus, lai nodrošinātu, ka specifikācijas, ko EK pieņēmusi saskaņā ar šo direktīvu un saskaņā ar šīs direktīvas izklāstītajiem principiem, piemēro ITS lietotnēm un pakalpojumiem, kad tie </w:t>
            </w:r>
            <w:r w:rsidRPr="00127D6A">
              <w:rPr>
                <w:lang w:val="lv-LV"/>
              </w:rPr>
              <w:lastRenderedPageBreak/>
              <w:t>tiek ieviesti. Tajā pašā laikā dalībvalstīm tiek atstātas tiesības lemt par šo lietotņu un pakalpojumu ieviešanu savā teritorijā. Ņemot vērā, ka industrija izrāda vēlmi radīt ITS pakalpojumus un lietotnes, NPP izveide ir kļuvusi neizbēgama, jo tā esamība ir priekšnosacījums ITS pakalpojumu izveidei. Šobrīd praktiski visas Eiropas Savienības valstis ir jau izveidojušas vai notiek darbs pie NPP izveidošanas. Precīzs NPP tehniskais risinājums un atrašanās vieta  tiks definēta konsultatīva pakalpojuma, NPP specifikāciju izstrādes un iepirkumu rezultātā, ievērtējot arī visas ar šiem pasākumiem saistītās izmaksas un iespējas sadarbībai ar kaimiņvalstīm.</w:t>
            </w:r>
          </w:p>
        </w:tc>
        <w:tc>
          <w:tcPr>
            <w:tcW w:w="2960" w:type="dxa"/>
          </w:tcPr>
          <w:p w:rsidRPr="00127D6A" w:rsidR="0051761B" w:rsidP="0051761B" w:rsidRDefault="0051761B" w14:paraId="565C4EB6" w14:textId="38D08010">
            <w:pPr>
              <w:pStyle w:val="BodyText"/>
              <w:jc w:val="both"/>
              <w:rPr>
                <w:sz w:val="24"/>
              </w:rPr>
            </w:pPr>
            <w:r w:rsidRPr="00127D6A">
              <w:rPr>
                <w:sz w:val="24"/>
              </w:rPr>
              <w:lastRenderedPageBreak/>
              <w:t>Skatīt precizētā konceptuālā ziņojuma 2.3.1., 2.3.2., 2.3.3., 2.3.4.</w:t>
            </w:r>
            <w:r w:rsidR="0023787F">
              <w:rPr>
                <w:sz w:val="24"/>
              </w:rPr>
              <w:t xml:space="preserve"> un</w:t>
            </w:r>
            <w:r w:rsidRPr="00127D6A">
              <w:rPr>
                <w:sz w:val="24"/>
              </w:rPr>
              <w:t xml:space="preserve"> 2.3.5.</w:t>
            </w:r>
            <w:r w:rsidRPr="00127D6A" w:rsidR="0023787F">
              <w:rPr>
                <w:sz w:val="24"/>
              </w:rPr>
              <w:t xml:space="preserve"> apakšpunktu</w:t>
            </w:r>
            <w:r w:rsidR="0023787F">
              <w:rPr>
                <w:sz w:val="24"/>
              </w:rPr>
              <w:t>.</w:t>
            </w:r>
          </w:p>
        </w:tc>
      </w:tr>
      <w:tr w:rsidRPr="00127D6A" w:rsidR="0051761B" w:rsidTr="00322FBF" w14:paraId="7B18FBB5" w14:textId="77777777">
        <w:trPr>
          <w:trHeight w:val="85"/>
          <w:jc w:val="center"/>
        </w:trPr>
        <w:tc>
          <w:tcPr>
            <w:tcW w:w="977" w:type="dxa"/>
          </w:tcPr>
          <w:p w:rsidRPr="00127D6A" w:rsidR="0051761B" w:rsidP="0051761B" w:rsidRDefault="009527A6" w14:paraId="136E09AE" w14:textId="77777777">
            <w:pPr>
              <w:jc w:val="both"/>
              <w:rPr>
                <w:lang w:val="lv-LV"/>
              </w:rPr>
            </w:pPr>
            <w:r w:rsidRPr="00127D6A">
              <w:rPr>
                <w:lang w:val="lv-LV"/>
              </w:rPr>
              <w:t>21.</w:t>
            </w:r>
          </w:p>
        </w:tc>
        <w:tc>
          <w:tcPr>
            <w:tcW w:w="2846" w:type="dxa"/>
          </w:tcPr>
          <w:p w:rsidRPr="00127D6A" w:rsidR="0051761B" w:rsidP="0051761B" w:rsidRDefault="0051761B" w14:paraId="7F760B3C" w14:textId="77777777">
            <w:pPr>
              <w:ind w:left="34" w:right="-6"/>
              <w:jc w:val="both"/>
              <w:rPr>
                <w:lang w:val="lv-LV"/>
              </w:rPr>
            </w:pPr>
            <w:r w:rsidRPr="00127D6A">
              <w:rPr>
                <w:lang w:val="lv-LV"/>
              </w:rPr>
              <w:t>Informatīvā ziņojuma 3. nodaļa (10. lappuse).</w:t>
            </w:r>
          </w:p>
        </w:tc>
        <w:tc>
          <w:tcPr>
            <w:tcW w:w="3770" w:type="dxa"/>
          </w:tcPr>
          <w:p w:rsidRPr="00127D6A" w:rsidR="0051761B" w:rsidP="0051761B" w:rsidRDefault="0051761B" w14:paraId="6E99F162" w14:textId="77777777">
            <w:pPr>
              <w:jc w:val="both"/>
              <w:rPr>
                <w:b/>
                <w:lang w:val="lv-LV"/>
              </w:rPr>
            </w:pPr>
            <w:proofErr w:type="spellStart"/>
            <w:r w:rsidRPr="00127D6A">
              <w:rPr>
                <w:b/>
                <w:lang w:val="lv-LV"/>
              </w:rPr>
              <w:t>Pārresoru</w:t>
            </w:r>
            <w:proofErr w:type="spellEnd"/>
            <w:r w:rsidRPr="00127D6A">
              <w:rPr>
                <w:b/>
                <w:lang w:val="lv-LV"/>
              </w:rPr>
              <w:t xml:space="preserve"> koordinācijas centrs (30.03.2020.)</w:t>
            </w:r>
          </w:p>
          <w:p w:rsidRPr="00127D6A" w:rsidR="0051761B" w:rsidP="0051761B" w:rsidRDefault="0051761B" w14:paraId="22CE2EB8" w14:textId="77777777">
            <w:pPr>
              <w:jc w:val="both"/>
              <w:rPr>
                <w:bCs/>
                <w:lang w:val="lv-LV"/>
              </w:rPr>
            </w:pPr>
            <w:r w:rsidRPr="00127D6A">
              <w:rPr>
                <w:bCs/>
                <w:lang w:val="lv-LV"/>
              </w:rPr>
              <w:t xml:space="preserve">Lūdzam norādīt avotu, kur ir iespējams iepazīties ar projekta 10.lp. minēto “Izpēti par inteliģento </w:t>
            </w:r>
            <w:r w:rsidRPr="00127D6A">
              <w:rPr>
                <w:bCs/>
                <w:lang w:val="lv-LV"/>
              </w:rPr>
              <w:lastRenderedPageBreak/>
              <w:t>transporta sistēmu (ITS) ieviešanu Latvijas autotransporta jomā”, kuras ietvaros ir izstrādāta Latvijas ITS stratēģija, un uz kuru tiek balstīti projekta 4.sadaļā norādītie risinājumi un to izmaksas.</w:t>
            </w:r>
          </w:p>
        </w:tc>
        <w:tc>
          <w:tcPr>
            <w:tcW w:w="2703" w:type="dxa"/>
          </w:tcPr>
          <w:p w:rsidRPr="00127D6A" w:rsidR="0051761B" w:rsidP="0051761B" w:rsidRDefault="0051761B" w14:paraId="5AE314E5" w14:textId="325FFAD7">
            <w:pPr>
              <w:jc w:val="both"/>
              <w:rPr>
                <w:b/>
                <w:bCs/>
                <w:lang w:val="lv-LV"/>
              </w:rPr>
            </w:pPr>
            <w:r w:rsidRPr="00127D6A">
              <w:rPr>
                <w:b/>
                <w:bCs/>
                <w:lang w:val="lv-LV"/>
              </w:rPr>
              <w:lastRenderedPageBreak/>
              <w:t xml:space="preserve">Iebildums </w:t>
            </w:r>
            <w:r w:rsidR="000B7922">
              <w:rPr>
                <w:b/>
                <w:bCs/>
                <w:lang w:val="lv-LV"/>
              </w:rPr>
              <w:t xml:space="preserve">ir </w:t>
            </w:r>
            <w:r w:rsidRPr="00127D6A">
              <w:rPr>
                <w:b/>
                <w:bCs/>
                <w:lang w:val="lv-LV"/>
              </w:rPr>
              <w:t>ņemts vērā.</w:t>
            </w:r>
          </w:p>
          <w:p w:rsidRPr="00127D6A" w:rsidR="0051761B" w:rsidP="0051761B" w:rsidRDefault="0051761B" w14:paraId="54A57D0B" w14:textId="77777777">
            <w:pPr>
              <w:jc w:val="both"/>
              <w:rPr>
                <w:lang w:val="lv-LV"/>
              </w:rPr>
            </w:pPr>
            <w:r w:rsidRPr="00127D6A">
              <w:rPr>
                <w:lang w:val="lv-LV"/>
              </w:rPr>
              <w:t>Konceptuālā ziņojuma 3. lappusē ir pievienota saite uz izpēti.</w:t>
            </w:r>
          </w:p>
        </w:tc>
        <w:tc>
          <w:tcPr>
            <w:tcW w:w="2960" w:type="dxa"/>
          </w:tcPr>
          <w:p w:rsidRPr="00127D6A" w:rsidR="0051761B" w:rsidP="0051761B" w:rsidRDefault="0051761B" w14:paraId="6BBADF64" w14:textId="77777777">
            <w:pPr>
              <w:pStyle w:val="BodyText"/>
              <w:jc w:val="both"/>
              <w:rPr>
                <w:sz w:val="24"/>
              </w:rPr>
            </w:pPr>
            <w:r w:rsidRPr="00127D6A">
              <w:rPr>
                <w:sz w:val="24"/>
              </w:rPr>
              <w:t>Skatīt konceptuālā ziņojuma 3. lappusi.</w:t>
            </w:r>
          </w:p>
        </w:tc>
      </w:tr>
      <w:tr w:rsidRPr="00127D6A" w:rsidR="0051761B" w:rsidTr="00322FBF" w14:paraId="51A0AC4E" w14:textId="77777777">
        <w:trPr>
          <w:trHeight w:val="85"/>
          <w:jc w:val="center"/>
        </w:trPr>
        <w:tc>
          <w:tcPr>
            <w:tcW w:w="977" w:type="dxa"/>
          </w:tcPr>
          <w:p w:rsidRPr="00127D6A" w:rsidR="0051761B" w:rsidP="0051761B" w:rsidRDefault="0051761B" w14:paraId="087D3CAD" w14:textId="77777777">
            <w:pPr>
              <w:jc w:val="both"/>
              <w:rPr>
                <w:lang w:val="lv-LV"/>
              </w:rPr>
            </w:pPr>
            <w:r w:rsidRPr="00127D6A">
              <w:rPr>
                <w:lang w:val="lv-LV"/>
              </w:rPr>
              <w:t>2</w:t>
            </w:r>
            <w:r w:rsidRPr="00127D6A" w:rsidR="009527A6">
              <w:rPr>
                <w:lang w:val="lv-LV"/>
              </w:rPr>
              <w:t>2.</w:t>
            </w:r>
          </w:p>
        </w:tc>
        <w:tc>
          <w:tcPr>
            <w:tcW w:w="2846" w:type="dxa"/>
          </w:tcPr>
          <w:p w:rsidRPr="00127D6A" w:rsidR="0051761B" w:rsidP="0051761B" w:rsidRDefault="0051761B" w14:paraId="478D7E4E" w14:textId="77777777">
            <w:pPr>
              <w:ind w:left="34" w:right="-6"/>
              <w:jc w:val="both"/>
              <w:rPr>
                <w:lang w:val="lv-LV"/>
              </w:rPr>
            </w:pPr>
            <w:r w:rsidRPr="00127D6A">
              <w:rPr>
                <w:lang w:val="lv-LV"/>
              </w:rPr>
              <w:t>Informatīvā ziņojuma 3. nodaļa (9. lappuse).</w:t>
            </w:r>
          </w:p>
        </w:tc>
        <w:tc>
          <w:tcPr>
            <w:tcW w:w="3770" w:type="dxa"/>
          </w:tcPr>
          <w:p w:rsidRPr="00127D6A" w:rsidR="0051761B" w:rsidP="0051761B" w:rsidRDefault="0051761B" w14:paraId="1A335ECA" w14:textId="77777777">
            <w:pPr>
              <w:jc w:val="both"/>
              <w:rPr>
                <w:b/>
                <w:lang w:val="lv-LV"/>
              </w:rPr>
            </w:pPr>
            <w:proofErr w:type="spellStart"/>
            <w:r w:rsidRPr="00127D6A">
              <w:rPr>
                <w:b/>
                <w:lang w:val="lv-LV"/>
              </w:rPr>
              <w:t>Pārresoru</w:t>
            </w:r>
            <w:proofErr w:type="spellEnd"/>
            <w:r w:rsidRPr="00127D6A">
              <w:rPr>
                <w:b/>
                <w:lang w:val="lv-LV"/>
              </w:rPr>
              <w:t xml:space="preserve"> koordinācijas centrs (30.03.2020.)</w:t>
            </w:r>
          </w:p>
          <w:p w:rsidRPr="00127D6A" w:rsidR="0051761B" w:rsidP="0051761B" w:rsidRDefault="0051761B" w14:paraId="3FC826CD" w14:textId="77777777">
            <w:pPr>
              <w:jc w:val="both"/>
              <w:rPr>
                <w:bCs/>
                <w:lang w:val="lv-LV"/>
              </w:rPr>
            </w:pPr>
            <w:r w:rsidRPr="00127D6A">
              <w:rPr>
                <w:bCs/>
                <w:lang w:val="lv-LV"/>
              </w:rPr>
              <w:t>Projekta 9.lpp. minēts, ka līdz šim “[..] iniciatīvas īstenotas bez specifiska finansējuma tieši viedajām tehnoloģijām transporta nozarē. [..] tas apgrūtina paveikto darbu un kopējo investīciju ITS jomā novērtēšanu. Kā arī nav vērtēti projektu un/vai pamatdarbības funkciju panākumu rādītāji”. Lūdzam skaidrot, kā minēto situāciju plānots uzlabot ar piedāvāto risinājumu – transporta nozares informācijas NPP izveidi.</w:t>
            </w:r>
          </w:p>
          <w:p w:rsidRPr="00127D6A" w:rsidR="0051761B" w:rsidP="0051761B" w:rsidRDefault="0051761B" w14:paraId="7C8561E2" w14:textId="77777777">
            <w:pPr>
              <w:jc w:val="both"/>
              <w:rPr>
                <w:bCs/>
                <w:lang w:val="lv-LV"/>
              </w:rPr>
            </w:pPr>
          </w:p>
          <w:p w:rsidRPr="00127D6A" w:rsidR="0051761B" w:rsidP="0051761B" w:rsidRDefault="0051761B" w14:paraId="24090C05" w14:textId="77777777">
            <w:pPr>
              <w:jc w:val="both"/>
              <w:rPr>
                <w:b/>
                <w:lang w:val="lv-LV"/>
              </w:rPr>
            </w:pPr>
          </w:p>
        </w:tc>
        <w:tc>
          <w:tcPr>
            <w:tcW w:w="2703" w:type="dxa"/>
          </w:tcPr>
          <w:p w:rsidRPr="00127D6A" w:rsidR="0051761B" w:rsidP="0051761B" w:rsidRDefault="0051761B" w14:paraId="0A1EEB78" w14:textId="4F749A44">
            <w:pPr>
              <w:jc w:val="both"/>
              <w:rPr>
                <w:b/>
                <w:bCs/>
                <w:lang w:val="lv-LV"/>
              </w:rPr>
            </w:pPr>
            <w:r w:rsidRPr="00127D6A">
              <w:rPr>
                <w:b/>
                <w:bCs/>
                <w:lang w:val="lv-LV"/>
              </w:rPr>
              <w:t>Iebildums</w:t>
            </w:r>
            <w:r w:rsidR="000B7922">
              <w:rPr>
                <w:b/>
                <w:bCs/>
                <w:lang w:val="lv-LV"/>
              </w:rPr>
              <w:t xml:space="preserve"> ir</w:t>
            </w:r>
            <w:r w:rsidRPr="00127D6A">
              <w:rPr>
                <w:b/>
                <w:bCs/>
                <w:lang w:val="lv-LV"/>
              </w:rPr>
              <w:t xml:space="preserve"> ņemts vērā.</w:t>
            </w:r>
          </w:p>
          <w:p w:rsidRPr="00127D6A" w:rsidR="0051761B" w:rsidP="0051761B" w:rsidRDefault="0051761B" w14:paraId="5F3C114A" w14:textId="77777777">
            <w:pPr>
              <w:jc w:val="both"/>
              <w:rPr>
                <w:b/>
                <w:bCs/>
                <w:lang w:val="lv-LV"/>
              </w:rPr>
            </w:pPr>
            <w:r w:rsidRPr="00127D6A">
              <w:rPr>
                <w:lang w:val="lv-LV"/>
              </w:rPr>
              <w:t>Skaidrojam, ka</w:t>
            </w:r>
            <w:r w:rsidRPr="00127D6A">
              <w:rPr>
                <w:b/>
                <w:bCs/>
                <w:lang w:val="lv-LV"/>
              </w:rPr>
              <w:t xml:space="preserve"> </w:t>
            </w:r>
            <w:r w:rsidRPr="00127D6A">
              <w:rPr>
                <w:lang w:val="lv-LV"/>
              </w:rPr>
              <w:t xml:space="preserve">NPP ir tehnisks risinājums un pirmais solis veiksmīgai ITS risinājumu ieviešanai, nevis politikas plānošanas rīks. NPP izveide risina satiksmes datu </w:t>
            </w:r>
            <w:proofErr w:type="spellStart"/>
            <w:r w:rsidRPr="00127D6A">
              <w:rPr>
                <w:lang w:val="lv-LV"/>
              </w:rPr>
              <w:t>atkalizmantošanas</w:t>
            </w:r>
            <w:proofErr w:type="spellEnd"/>
            <w:r w:rsidRPr="00127D6A">
              <w:rPr>
                <w:lang w:val="lv-LV"/>
              </w:rPr>
              <w:t xml:space="preserve"> nodrošināšanu, taču nerisina problēmu, ka ITS iniciatīvas Latvijā līdz šim īstenotas bez specifiska finansējuma tieši viedajām tehnoloģijām transporta nozarē, tās Latvijā īstenotas tikai kā satiksmes drošību uzlabojošu pasākumu sastāvdaļa.  Tika precizēts konceptuālā ziņojuma 2.5. apakšnodaļa.</w:t>
            </w:r>
          </w:p>
        </w:tc>
        <w:tc>
          <w:tcPr>
            <w:tcW w:w="2960" w:type="dxa"/>
          </w:tcPr>
          <w:p w:rsidRPr="00127D6A" w:rsidR="0051761B" w:rsidP="0051761B" w:rsidRDefault="0051761B" w14:paraId="1E7034A7" w14:textId="77777777">
            <w:pPr>
              <w:pStyle w:val="BodyText"/>
              <w:jc w:val="both"/>
              <w:rPr>
                <w:sz w:val="24"/>
              </w:rPr>
            </w:pPr>
            <w:r w:rsidRPr="00127D6A">
              <w:rPr>
                <w:sz w:val="24"/>
              </w:rPr>
              <w:t>Skatīt konceptuālā ziņojuma 2.5. apakšnodaļu.</w:t>
            </w:r>
          </w:p>
        </w:tc>
      </w:tr>
      <w:tr w:rsidRPr="000B7922" w:rsidR="0051761B" w:rsidTr="00322FBF" w14:paraId="3BF0197C" w14:textId="77777777">
        <w:trPr>
          <w:trHeight w:val="85"/>
          <w:jc w:val="center"/>
        </w:trPr>
        <w:tc>
          <w:tcPr>
            <w:tcW w:w="977" w:type="dxa"/>
          </w:tcPr>
          <w:p w:rsidRPr="00127D6A" w:rsidR="0051761B" w:rsidP="0051761B" w:rsidRDefault="0051761B" w14:paraId="1BFF0AAC" w14:textId="77777777">
            <w:pPr>
              <w:jc w:val="both"/>
              <w:rPr>
                <w:lang w:val="lv-LV"/>
              </w:rPr>
            </w:pPr>
            <w:r w:rsidRPr="00127D6A">
              <w:rPr>
                <w:lang w:val="lv-LV"/>
              </w:rPr>
              <w:t>2</w:t>
            </w:r>
            <w:r w:rsidRPr="00127D6A" w:rsidR="009527A6">
              <w:rPr>
                <w:lang w:val="lv-LV"/>
              </w:rPr>
              <w:t>3.</w:t>
            </w:r>
          </w:p>
        </w:tc>
        <w:tc>
          <w:tcPr>
            <w:tcW w:w="2846" w:type="dxa"/>
          </w:tcPr>
          <w:p w:rsidRPr="00127D6A" w:rsidR="0051761B" w:rsidP="0051761B" w:rsidRDefault="0051761B" w14:paraId="22493643" w14:textId="77777777">
            <w:pPr>
              <w:ind w:left="34" w:right="-6"/>
              <w:jc w:val="both"/>
              <w:rPr>
                <w:lang w:val="lv-LV"/>
              </w:rPr>
            </w:pPr>
          </w:p>
        </w:tc>
        <w:tc>
          <w:tcPr>
            <w:tcW w:w="3770" w:type="dxa"/>
          </w:tcPr>
          <w:p w:rsidRPr="00127D6A" w:rsidR="0051761B" w:rsidP="0051761B" w:rsidRDefault="0051761B" w14:paraId="6DB370A5" w14:textId="77777777">
            <w:pPr>
              <w:jc w:val="both"/>
              <w:rPr>
                <w:b/>
                <w:lang w:val="lv-LV"/>
              </w:rPr>
            </w:pPr>
            <w:proofErr w:type="spellStart"/>
            <w:r w:rsidRPr="00127D6A">
              <w:rPr>
                <w:b/>
                <w:lang w:val="lv-LV"/>
              </w:rPr>
              <w:t>Pārresoru</w:t>
            </w:r>
            <w:proofErr w:type="spellEnd"/>
            <w:r w:rsidRPr="00127D6A">
              <w:rPr>
                <w:b/>
                <w:lang w:val="lv-LV"/>
              </w:rPr>
              <w:t xml:space="preserve"> koordinācijas centrs (30.03.2020.)</w:t>
            </w:r>
          </w:p>
          <w:p w:rsidRPr="00127D6A" w:rsidR="0051761B" w:rsidP="0051761B" w:rsidRDefault="0051761B" w14:paraId="17F54EA6" w14:textId="77777777">
            <w:pPr>
              <w:jc w:val="both"/>
              <w:rPr>
                <w:b/>
                <w:lang w:val="lv-LV"/>
              </w:rPr>
            </w:pPr>
            <w:r w:rsidRPr="00127D6A">
              <w:rPr>
                <w:bCs/>
                <w:lang w:val="lv-LV"/>
              </w:rPr>
              <w:t xml:space="preserve">Lūdzam papildināt projektu, norādot konkrētus/izmērāmus sasniedzamos rezultātus, kas ļautu novērtēt ITS ieviešanas efektivitāti, kā arī iespējamo pozitīvo ietekmi uz </w:t>
            </w:r>
            <w:r w:rsidRPr="00127D6A">
              <w:rPr>
                <w:bCs/>
                <w:lang w:val="lv-LV"/>
              </w:rPr>
              <w:lastRenderedPageBreak/>
              <w:t>tautsaimniecību, salīdzinājumā ar esošo situāciju.</w:t>
            </w:r>
          </w:p>
        </w:tc>
        <w:tc>
          <w:tcPr>
            <w:tcW w:w="2703" w:type="dxa"/>
          </w:tcPr>
          <w:p w:rsidRPr="00127D6A" w:rsidR="0051761B" w:rsidP="0051761B" w:rsidRDefault="0051761B" w14:paraId="38D6EE94" w14:textId="6B8F1F0B">
            <w:pPr>
              <w:jc w:val="both"/>
              <w:rPr>
                <w:b/>
                <w:bCs/>
                <w:lang w:val="lv-LV"/>
              </w:rPr>
            </w:pPr>
            <w:r w:rsidRPr="00127D6A">
              <w:rPr>
                <w:b/>
                <w:bCs/>
                <w:lang w:val="lv-LV"/>
              </w:rPr>
              <w:lastRenderedPageBreak/>
              <w:t>Iebildums</w:t>
            </w:r>
            <w:r w:rsidR="000B7922">
              <w:rPr>
                <w:b/>
                <w:bCs/>
                <w:lang w:val="lv-LV"/>
              </w:rPr>
              <w:t xml:space="preserve"> ir</w:t>
            </w:r>
            <w:r w:rsidRPr="00127D6A">
              <w:rPr>
                <w:b/>
                <w:bCs/>
                <w:lang w:val="lv-LV"/>
              </w:rPr>
              <w:t xml:space="preserve"> ņemts vērā.</w:t>
            </w:r>
          </w:p>
          <w:p w:rsidRPr="00127D6A" w:rsidR="0051761B" w:rsidP="0051761B" w:rsidRDefault="0051761B" w14:paraId="288B670E" w14:textId="27C726B7">
            <w:pPr>
              <w:jc w:val="both"/>
              <w:rPr>
                <w:b/>
                <w:bCs/>
                <w:lang w:val="lv-LV"/>
              </w:rPr>
            </w:pPr>
            <w:r w:rsidRPr="00127D6A">
              <w:rPr>
                <w:lang w:val="lv-LV"/>
              </w:rPr>
              <w:t>Papildināts konceptuālais ziņojums ar 3.1.2</w:t>
            </w:r>
            <w:r w:rsidRPr="00127D6A" w:rsidR="00F870CF">
              <w:rPr>
                <w:lang w:val="lv-LV"/>
              </w:rPr>
              <w:t xml:space="preserve"> apakšnodaļu</w:t>
            </w:r>
            <w:r w:rsidRPr="00127D6A">
              <w:rPr>
                <w:lang w:val="lv-LV"/>
              </w:rPr>
              <w:t xml:space="preserve">. NPP izveides rezultatīvie rādītāji., kā arī </w:t>
            </w:r>
            <w:r w:rsidRPr="00127D6A" w:rsidR="00F870CF">
              <w:rPr>
                <w:lang w:val="lv-LV"/>
              </w:rPr>
              <w:t xml:space="preserve">3.1.3. </w:t>
            </w:r>
            <w:r w:rsidRPr="00127D6A">
              <w:rPr>
                <w:lang w:val="lv-LV"/>
              </w:rPr>
              <w:t xml:space="preserve">ar apakšnodaļu NPP </w:t>
            </w:r>
            <w:r w:rsidRPr="00127D6A">
              <w:rPr>
                <w:lang w:val="lv-LV"/>
              </w:rPr>
              <w:lastRenderedPageBreak/>
              <w:t>izveides iespējamais</w:t>
            </w:r>
            <w:r w:rsidRPr="00127D6A" w:rsidR="00493B30">
              <w:rPr>
                <w:lang w:val="lv-LV"/>
              </w:rPr>
              <w:t xml:space="preserve"> </w:t>
            </w:r>
            <w:r w:rsidRPr="00127D6A">
              <w:rPr>
                <w:lang w:val="lv-LV"/>
              </w:rPr>
              <w:t xml:space="preserve">sociālekonomiskais ieguvums, kā arī ziņojuma projekta 3.1. apakšnodaļā uzskaitīti paredzamie uzlabojumi: “Uzlabojoties iepriekšminēto datu apritei, šajās jomās attīstīsies </w:t>
            </w:r>
            <w:proofErr w:type="spellStart"/>
            <w:r w:rsidRPr="00127D6A">
              <w:rPr>
                <w:lang w:val="lv-LV"/>
              </w:rPr>
              <w:t>intelektisko</w:t>
            </w:r>
            <w:proofErr w:type="spellEnd"/>
            <w:r w:rsidRPr="00127D6A">
              <w:rPr>
                <w:lang w:val="lv-LV"/>
              </w:rPr>
              <w:t xml:space="preserve"> transporta sistēmu lietotnes un pakalpojumi, kas savukārt uzlabos ceļu satiksmes drošību, braukšanas komfortu, samazinās ceļu satiksmes dalībnieku laiku ceļā, veidos autotransporta ekspluatācijas izmaksu ietaupījumu, samazinās siltumnīcas efektu izraisošo gāzu emisijas un gaisa piesārņojumu, tādejādi sniedzot ieguldījumu pārejā uz </w:t>
            </w:r>
            <w:proofErr w:type="spellStart"/>
            <w:r w:rsidRPr="00127D6A">
              <w:rPr>
                <w:lang w:val="lv-LV"/>
              </w:rPr>
              <w:t>klimatneitrālu</w:t>
            </w:r>
            <w:proofErr w:type="spellEnd"/>
            <w:r w:rsidRPr="00127D6A">
              <w:rPr>
                <w:lang w:val="lv-LV"/>
              </w:rPr>
              <w:t xml:space="preserve"> ekonomiku”. </w:t>
            </w:r>
          </w:p>
        </w:tc>
        <w:tc>
          <w:tcPr>
            <w:tcW w:w="2960" w:type="dxa"/>
          </w:tcPr>
          <w:p w:rsidRPr="00127D6A" w:rsidR="0051761B" w:rsidP="0051761B" w:rsidRDefault="0051761B" w14:paraId="06FD3BE9" w14:textId="77777777">
            <w:pPr>
              <w:pStyle w:val="BodyText"/>
              <w:jc w:val="both"/>
              <w:rPr>
                <w:sz w:val="24"/>
              </w:rPr>
            </w:pPr>
            <w:r w:rsidRPr="00127D6A">
              <w:rPr>
                <w:sz w:val="24"/>
              </w:rPr>
              <w:lastRenderedPageBreak/>
              <w:t xml:space="preserve">Skatīt konceptuālā ziņojuma </w:t>
            </w:r>
            <w:r w:rsidRPr="00127D6A" w:rsidR="00043FC1">
              <w:rPr>
                <w:sz w:val="24"/>
              </w:rPr>
              <w:t xml:space="preserve">3.1, </w:t>
            </w:r>
            <w:r w:rsidRPr="00127D6A">
              <w:rPr>
                <w:sz w:val="24"/>
              </w:rPr>
              <w:t>3.1.2. un 3.1.3. apakšnodaļu.</w:t>
            </w:r>
          </w:p>
        </w:tc>
      </w:tr>
      <w:tr w:rsidRPr="000B7922" w:rsidR="0051761B" w:rsidTr="00322FBF" w14:paraId="2FBC4990" w14:textId="77777777">
        <w:trPr>
          <w:trHeight w:val="85"/>
          <w:jc w:val="center"/>
        </w:trPr>
        <w:tc>
          <w:tcPr>
            <w:tcW w:w="977" w:type="dxa"/>
          </w:tcPr>
          <w:p w:rsidRPr="00127D6A" w:rsidR="0051761B" w:rsidP="0051761B" w:rsidRDefault="0051761B" w14:paraId="050E7A99" w14:textId="77777777">
            <w:pPr>
              <w:jc w:val="both"/>
              <w:rPr>
                <w:lang w:val="lv-LV"/>
              </w:rPr>
            </w:pPr>
            <w:r w:rsidRPr="00127D6A">
              <w:rPr>
                <w:lang w:val="lv-LV"/>
              </w:rPr>
              <w:t>2</w:t>
            </w:r>
            <w:r w:rsidRPr="00127D6A" w:rsidR="009527A6">
              <w:rPr>
                <w:lang w:val="lv-LV"/>
              </w:rPr>
              <w:t>4.</w:t>
            </w:r>
          </w:p>
        </w:tc>
        <w:tc>
          <w:tcPr>
            <w:tcW w:w="2846" w:type="dxa"/>
          </w:tcPr>
          <w:p w:rsidRPr="00127D6A" w:rsidR="0051761B" w:rsidP="0051761B" w:rsidRDefault="0051761B" w14:paraId="1781FD2D" w14:textId="77777777">
            <w:pPr>
              <w:ind w:left="34" w:right="-6"/>
              <w:jc w:val="both"/>
              <w:rPr>
                <w:lang w:val="lv-LV"/>
              </w:rPr>
            </w:pPr>
          </w:p>
        </w:tc>
        <w:tc>
          <w:tcPr>
            <w:tcW w:w="3770" w:type="dxa"/>
          </w:tcPr>
          <w:p w:rsidRPr="00127D6A" w:rsidR="0051761B" w:rsidP="0051761B" w:rsidRDefault="0051761B" w14:paraId="70DA66A9" w14:textId="77777777">
            <w:pPr>
              <w:jc w:val="both"/>
              <w:rPr>
                <w:b/>
                <w:lang w:val="lv-LV"/>
              </w:rPr>
            </w:pPr>
            <w:proofErr w:type="spellStart"/>
            <w:r w:rsidRPr="00127D6A">
              <w:rPr>
                <w:b/>
                <w:lang w:val="lv-LV"/>
              </w:rPr>
              <w:t>Pārresoru</w:t>
            </w:r>
            <w:proofErr w:type="spellEnd"/>
            <w:r w:rsidRPr="00127D6A">
              <w:rPr>
                <w:b/>
                <w:lang w:val="lv-LV"/>
              </w:rPr>
              <w:t xml:space="preserve"> koordinācijas centrs (30.03.2020.)</w:t>
            </w:r>
          </w:p>
          <w:p w:rsidRPr="00127D6A" w:rsidR="0051761B" w:rsidP="0051761B" w:rsidRDefault="0051761B" w14:paraId="05A14DE5" w14:textId="77777777">
            <w:pPr>
              <w:jc w:val="both"/>
              <w:rPr>
                <w:b/>
                <w:lang w:val="lv-LV"/>
              </w:rPr>
            </w:pPr>
            <w:r w:rsidRPr="00127D6A">
              <w:rPr>
                <w:bCs/>
                <w:lang w:val="lv-LV"/>
              </w:rPr>
              <w:t>Lūdzam papildināt projektu, sniedzot precīzu informāciju par plānotajiem grozījumiem Ceļu satiksmes likumā, indikatīvi novērtējot administratīvā sloga un izmaksu pieaugumu, kā arī ietekmi uz tautsaimniecību.</w:t>
            </w:r>
          </w:p>
        </w:tc>
        <w:tc>
          <w:tcPr>
            <w:tcW w:w="2703" w:type="dxa"/>
          </w:tcPr>
          <w:p w:rsidRPr="00127D6A" w:rsidR="0051761B" w:rsidP="0051761B" w:rsidRDefault="0051761B" w14:paraId="1835FE45" w14:textId="4B0D95E8">
            <w:pPr>
              <w:jc w:val="both"/>
              <w:rPr>
                <w:b/>
                <w:bCs/>
                <w:lang w:val="lv-LV"/>
              </w:rPr>
            </w:pPr>
            <w:r w:rsidRPr="00127D6A">
              <w:rPr>
                <w:b/>
                <w:bCs/>
                <w:lang w:val="lv-LV"/>
              </w:rPr>
              <w:t>Iebildums</w:t>
            </w:r>
            <w:r w:rsidR="000B7922">
              <w:rPr>
                <w:b/>
                <w:bCs/>
                <w:lang w:val="lv-LV"/>
              </w:rPr>
              <w:t xml:space="preserve"> ir</w:t>
            </w:r>
            <w:r w:rsidRPr="00127D6A">
              <w:rPr>
                <w:b/>
                <w:bCs/>
                <w:lang w:val="lv-LV"/>
              </w:rPr>
              <w:t xml:space="preserve"> ņemts vērā.</w:t>
            </w:r>
          </w:p>
          <w:p w:rsidRPr="00127D6A" w:rsidR="0051761B" w:rsidP="0051761B" w:rsidRDefault="0051761B" w14:paraId="6A6859C2" w14:textId="6583DE5F">
            <w:pPr>
              <w:jc w:val="both"/>
              <w:rPr>
                <w:b/>
                <w:bCs/>
                <w:lang w:val="lv-LV"/>
              </w:rPr>
            </w:pPr>
            <w:r w:rsidRPr="00127D6A">
              <w:rPr>
                <w:lang w:val="lv-LV"/>
              </w:rPr>
              <w:t xml:space="preserve">Papildināts konceptuālais ziņojums ar apakšnodaļu 3.1.3. NPP izveides iespējamais </w:t>
            </w:r>
            <w:proofErr w:type="spellStart"/>
            <w:r w:rsidRPr="00127D6A">
              <w:rPr>
                <w:lang w:val="lv-LV"/>
              </w:rPr>
              <w:t>sociāleknomiskais</w:t>
            </w:r>
            <w:proofErr w:type="spellEnd"/>
            <w:r w:rsidRPr="00127D6A">
              <w:rPr>
                <w:lang w:val="lv-LV"/>
              </w:rPr>
              <w:t xml:space="preserve"> ieguvums un apakšnodaļu 3.3. NPP izveides </w:t>
            </w:r>
            <w:r w:rsidRPr="00127D6A" w:rsidR="00C30311">
              <w:rPr>
                <w:lang w:val="lv-LV"/>
              </w:rPr>
              <w:t>ietekme</w:t>
            </w:r>
            <w:r w:rsidRPr="00127D6A">
              <w:rPr>
                <w:lang w:val="lv-LV"/>
              </w:rPr>
              <w:t xml:space="preserve"> uz valsts budžetu. 3.1.1. </w:t>
            </w:r>
            <w:r w:rsidRPr="00127D6A">
              <w:rPr>
                <w:lang w:val="lv-LV"/>
              </w:rPr>
              <w:lastRenderedPageBreak/>
              <w:t xml:space="preserve">apakšnodaļā papildus informācijai par to, ka  ar grozījumiem Ceļu satiksmes likumā tiks noteikti pienākumi datu sniegšanai NPP, tiek skaidrots arī, ka lielāka daļa pienākumu (sniegt datus NPP, ja tādi institūcijai ir pieejami mašīnlasāmā formātā) jau noteiktas ITS Direktīvas izrietošajās </w:t>
            </w:r>
            <w:r w:rsidRPr="00127D6A" w:rsidR="00C30311">
              <w:rPr>
                <w:lang w:val="lv-LV"/>
              </w:rPr>
              <w:t>deleģētājās</w:t>
            </w:r>
            <w:r w:rsidRPr="00127D6A">
              <w:rPr>
                <w:lang w:val="lv-LV"/>
              </w:rPr>
              <w:t xml:space="preserve"> regulās atbilstoši LESD 288. pantam, kas nosaka, ka regulas ir </w:t>
            </w:r>
            <w:proofErr w:type="spellStart"/>
            <w:r w:rsidRPr="00127D6A">
              <w:rPr>
                <w:lang w:val="lv-LV"/>
              </w:rPr>
              <w:t>vispārpiemērojamas</w:t>
            </w:r>
            <w:proofErr w:type="spellEnd"/>
            <w:r w:rsidRPr="00127D6A">
              <w:rPr>
                <w:lang w:val="lv-LV"/>
              </w:rPr>
              <w:t>, tas nozīmē, ka regula kļūst par ES dalībvalsts nacionālo tiesību kopuma daļu bez nacionālo tiesību starpniecības. Vēl precīzāk definēt pienākumus ārpus ITS Direktīvas izrietošo Deleģēto regulu tvēruma, būs iespējams pēc konsultatīvā pakalpojuma un NPP specifikāciju izstrādes.</w:t>
            </w:r>
          </w:p>
        </w:tc>
        <w:tc>
          <w:tcPr>
            <w:tcW w:w="2960" w:type="dxa"/>
          </w:tcPr>
          <w:p w:rsidRPr="00127D6A" w:rsidR="0051761B" w:rsidP="0051761B" w:rsidRDefault="0051761B" w14:paraId="40484643" w14:textId="77777777">
            <w:pPr>
              <w:pStyle w:val="BodyText"/>
              <w:jc w:val="both"/>
              <w:rPr>
                <w:sz w:val="24"/>
              </w:rPr>
            </w:pPr>
            <w:r w:rsidRPr="00127D6A">
              <w:rPr>
                <w:sz w:val="24"/>
              </w:rPr>
              <w:lastRenderedPageBreak/>
              <w:t>Skatīt konceptuālā ziņojuma 3.1.1., 3.1.3. un 3.3. apakšnodaļu.</w:t>
            </w:r>
          </w:p>
        </w:tc>
      </w:tr>
      <w:tr w:rsidRPr="00127D6A" w:rsidR="0051761B" w:rsidTr="00322FBF" w14:paraId="0B14089B" w14:textId="77777777">
        <w:trPr>
          <w:trHeight w:val="85"/>
          <w:jc w:val="center"/>
        </w:trPr>
        <w:tc>
          <w:tcPr>
            <w:tcW w:w="977" w:type="dxa"/>
          </w:tcPr>
          <w:p w:rsidRPr="00127D6A" w:rsidR="0051761B" w:rsidP="0051761B" w:rsidRDefault="0051761B" w14:paraId="655EEF41" w14:textId="77777777">
            <w:pPr>
              <w:jc w:val="both"/>
              <w:rPr>
                <w:lang w:val="lv-LV"/>
              </w:rPr>
            </w:pPr>
            <w:r w:rsidRPr="00127D6A">
              <w:rPr>
                <w:lang w:val="lv-LV"/>
              </w:rPr>
              <w:t>2</w:t>
            </w:r>
            <w:r w:rsidRPr="00127D6A" w:rsidR="009527A6">
              <w:rPr>
                <w:lang w:val="lv-LV"/>
              </w:rPr>
              <w:t>5.</w:t>
            </w:r>
          </w:p>
        </w:tc>
        <w:tc>
          <w:tcPr>
            <w:tcW w:w="2846" w:type="dxa"/>
          </w:tcPr>
          <w:p w:rsidRPr="00127D6A" w:rsidR="0051761B" w:rsidP="0051761B" w:rsidRDefault="0051761B" w14:paraId="060D7792" w14:textId="77777777">
            <w:pPr>
              <w:ind w:left="34" w:right="-6"/>
              <w:jc w:val="both"/>
              <w:rPr>
                <w:lang w:val="lv-LV"/>
              </w:rPr>
            </w:pPr>
            <w:proofErr w:type="spellStart"/>
            <w:r w:rsidRPr="00127D6A">
              <w:rPr>
                <w:lang w:val="lv-LV"/>
              </w:rPr>
              <w:t>Protokollēmuma</w:t>
            </w:r>
            <w:proofErr w:type="spellEnd"/>
            <w:r w:rsidRPr="00127D6A">
              <w:rPr>
                <w:lang w:val="lv-LV"/>
              </w:rPr>
              <w:t xml:space="preserve"> 5. punkts</w:t>
            </w:r>
          </w:p>
        </w:tc>
        <w:tc>
          <w:tcPr>
            <w:tcW w:w="3770" w:type="dxa"/>
          </w:tcPr>
          <w:p w:rsidRPr="00127D6A" w:rsidR="0051761B" w:rsidP="0051761B" w:rsidRDefault="0051761B" w14:paraId="4DB0BF2E" w14:textId="77777777">
            <w:pPr>
              <w:jc w:val="both"/>
              <w:rPr>
                <w:b/>
                <w:lang w:val="lv-LV"/>
              </w:rPr>
            </w:pPr>
            <w:proofErr w:type="spellStart"/>
            <w:r w:rsidRPr="00127D6A">
              <w:rPr>
                <w:b/>
                <w:lang w:val="lv-LV"/>
              </w:rPr>
              <w:t>Pārresoru</w:t>
            </w:r>
            <w:proofErr w:type="spellEnd"/>
            <w:r w:rsidRPr="00127D6A">
              <w:rPr>
                <w:b/>
                <w:lang w:val="lv-LV"/>
              </w:rPr>
              <w:t xml:space="preserve"> koordinācijas centrs (30.03.2020.)</w:t>
            </w:r>
          </w:p>
          <w:p w:rsidRPr="00127D6A" w:rsidR="0051761B" w:rsidP="0051761B" w:rsidRDefault="0051761B" w14:paraId="10A328D2" w14:textId="77777777">
            <w:pPr>
              <w:jc w:val="both"/>
              <w:rPr>
                <w:b/>
                <w:lang w:val="lv-LV"/>
              </w:rPr>
            </w:pPr>
            <w:r w:rsidRPr="00127D6A">
              <w:rPr>
                <w:bCs/>
                <w:lang w:val="lv-LV"/>
              </w:rPr>
              <w:t xml:space="preserve">Lūdzam svītrot MK sēdes </w:t>
            </w:r>
            <w:proofErr w:type="spellStart"/>
            <w:r w:rsidRPr="00127D6A">
              <w:rPr>
                <w:bCs/>
                <w:lang w:val="lv-LV"/>
              </w:rPr>
              <w:t>protokollēmuma</w:t>
            </w:r>
            <w:proofErr w:type="spellEnd"/>
            <w:r w:rsidRPr="00127D6A">
              <w:rPr>
                <w:bCs/>
                <w:lang w:val="lv-LV"/>
              </w:rPr>
              <w:t xml:space="preserve"> 5.punktu un papildināt projektu ar informāciju par transporta nozares informācijas </w:t>
            </w:r>
            <w:r w:rsidRPr="00127D6A">
              <w:rPr>
                <w:bCs/>
                <w:lang w:val="lv-LV"/>
              </w:rPr>
              <w:lastRenderedPageBreak/>
              <w:t>nacionālā (valsts) piekļuves punkta uzturēšanai nepieciešamo finansējumu. Uzskatām, ka piedāvājot MK pieņemt lēmumu par papildus budžeta finansējuma izlietojumu, ir jāsniedz pilnīga informācija, vienlaikus norādot riskus un iespējamās alternatīvas budžeta nepietiekamības apstākļos.</w:t>
            </w:r>
          </w:p>
        </w:tc>
        <w:tc>
          <w:tcPr>
            <w:tcW w:w="2703" w:type="dxa"/>
          </w:tcPr>
          <w:p w:rsidRPr="00127D6A" w:rsidR="0051761B" w:rsidP="0051761B" w:rsidRDefault="0051761B" w14:paraId="5E61C359" w14:textId="6184D38A">
            <w:pPr>
              <w:jc w:val="both"/>
              <w:rPr>
                <w:b/>
                <w:bCs/>
                <w:lang w:val="lv-LV"/>
              </w:rPr>
            </w:pPr>
            <w:r w:rsidRPr="00127D6A">
              <w:rPr>
                <w:b/>
                <w:bCs/>
                <w:lang w:val="lv-LV"/>
              </w:rPr>
              <w:lastRenderedPageBreak/>
              <w:t>Iebildums</w:t>
            </w:r>
            <w:r w:rsidR="000B7922">
              <w:rPr>
                <w:b/>
                <w:bCs/>
                <w:lang w:val="lv-LV"/>
              </w:rPr>
              <w:t xml:space="preserve"> ir</w:t>
            </w:r>
            <w:r w:rsidRPr="00127D6A">
              <w:rPr>
                <w:b/>
                <w:bCs/>
                <w:lang w:val="lv-LV"/>
              </w:rPr>
              <w:t xml:space="preserve"> ņemts vērā.</w:t>
            </w:r>
          </w:p>
          <w:p w:rsidRPr="00127D6A" w:rsidR="0051761B" w:rsidP="0051761B" w:rsidRDefault="0051761B" w14:paraId="67901CF9" w14:textId="77777777">
            <w:pPr>
              <w:jc w:val="both"/>
              <w:rPr>
                <w:b/>
                <w:bCs/>
                <w:lang w:val="lv-LV"/>
              </w:rPr>
            </w:pPr>
            <w:r w:rsidRPr="00127D6A">
              <w:rPr>
                <w:lang w:val="lv-LV"/>
              </w:rPr>
              <w:t xml:space="preserve">Konceptuālā ziņojuma 3.3. apakšnodaļā jau šobrīd ir sniegta informācija par indikatīvām NPP </w:t>
            </w:r>
            <w:r w:rsidRPr="00127D6A">
              <w:rPr>
                <w:lang w:val="lv-LV"/>
              </w:rPr>
              <w:lastRenderedPageBreak/>
              <w:t xml:space="preserve">uzturēšanas izmaksām, kas sastāda 10% gadā no sistēmas kapitālieguldījuma izmaksām, tas ir aptuveni 532 060,00 </w:t>
            </w:r>
            <w:proofErr w:type="spellStart"/>
            <w:r w:rsidRPr="00127D6A">
              <w:rPr>
                <w:lang w:val="lv-LV"/>
              </w:rPr>
              <w:t>euro</w:t>
            </w:r>
            <w:proofErr w:type="spellEnd"/>
            <w:r w:rsidRPr="00127D6A">
              <w:rPr>
                <w:lang w:val="lv-LV"/>
              </w:rPr>
              <w:t xml:space="preserve"> gadā. Konceptuālā ziņojuma 3.3. apakšnodaļa tika papildināta ar informāciju, ka izmaksas </w:t>
            </w:r>
            <w:bookmarkStart w:name="_Hlk39502130" w:id="1"/>
            <w:r w:rsidRPr="00127D6A">
              <w:rPr>
                <w:lang w:val="lv-LV"/>
              </w:rPr>
              <w:t xml:space="preserve">tiks precizētas konsultatīvā pakalpojuma un NPP specifikāciju izstrādes rezultātā, ievērtējot arī visas ar šiem pasākumiem saistītās izmaksas. </w:t>
            </w:r>
            <w:bookmarkEnd w:id="1"/>
          </w:p>
        </w:tc>
        <w:tc>
          <w:tcPr>
            <w:tcW w:w="2960" w:type="dxa"/>
          </w:tcPr>
          <w:p w:rsidRPr="00127D6A" w:rsidR="0051761B" w:rsidP="0051761B" w:rsidRDefault="0051761B" w14:paraId="1EB46F06" w14:textId="77777777">
            <w:pPr>
              <w:pStyle w:val="BodyText"/>
              <w:jc w:val="both"/>
              <w:rPr>
                <w:sz w:val="24"/>
              </w:rPr>
            </w:pPr>
            <w:r w:rsidRPr="00127D6A">
              <w:rPr>
                <w:sz w:val="24"/>
              </w:rPr>
              <w:lastRenderedPageBreak/>
              <w:t>Precizēta konceptuālā ziņojuma 3.3. apakšnodaļa.</w:t>
            </w:r>
          </w:p>
        </w:tc>
      </w:tr>
      <w:tr w:rsidRPr="00127D6A" w:rsidR="0051761B" w:rsidTr="00322FBF" w14:paraId="23EAD950" w14:textId="77777777">
        <w:trPr>
          <w:trHeight w:val="85"/>
          <w:jc w:val="center"/>
        </w:trPr>
        <w:tc>
          <w:tcPr>
            <w:tcW w:w="977" w:type="dxa"/>
          </w:tcPr>
          <w:p w:rsidRPr="00127D6A" w:rsidR="0051761B" w:rsidP="0051761B" w:rsidRDefault="0051761B" w14:paraId="1A9AEA78" w14:textId="77777777">
            <w:pPr>
              <w:jc w:val="both"/>
              <w:rPr>
                <w:lang w:val="lv-LV"/>
              </w:rPr>
            </w:pPr>
            <w:r w:rsidRPr="00127D6A">
              <w:rPr>
                <w:lang w:val="lv-LV"/>
              </w:rPr>
              <w:t>2</w:t>
            </w:r>
            <w:r w:rsidRPr="00127D6A" w:rsidR="009527A6">
              <w:rPr>
                <w:lang w:val="lv-LV"/>
              </w:rPr>
              <w:t>6.</w:t>
            </w:r>
          </w:p>
        </w:tc>
        <w:tc>
          <w:tcPr>
            <w:tcW w:w="2846" w:type="dxa"/>
          </w:tcPr>
          <w:p w:rsidRPr="00127D6A" w:rsidR="0051761B" w:rsidP="0051761B" w:rsidRDefault="0051761B" w14:paraId="4421ADFF" w14:textId="77777777">
            <w:pPr>
              <w:ind w:left="34" w:right="-6"/>
              <w:jc w:val="both"/>
              <w:rPr>
                <w:lang w:val="lv-LV"/>
              </w:rPr>
            </w:pPr>
          </w:p>
        </w:tc>
        <w:tc>
          <w:tcPr>
            <w:tcW w:w="3770" w:type="dxa"/>
          </w:tcPr>
          <w:p w:rsidRPr="00127D6A" w:rsidR="0051761B" w:rsidP="0051761B" w:rsidRDefault="0051761B" w14:paraId="5B1CF683" w14:textId="77777777">
            <w:pPr>
              <w:jc w:val="both"/>
              <w:rPr>
                <w:b/>
                <w:lang w:val="lv-LV"/>
              </w:rPr>
            </w:pPr>
            <w:proofErr w:type="spellStart"/>
            <w:r w:rsidRPr="00127D6A">
              <w:rPr>
                <w:b/>
                <w:lang w:val="lv-LV"/>
              </w:rPr>
              <w:t>Pārresoru</w:t>
            </w:r>
            <w:proofErr w:type="spellEnd"/>
            <w:r w:rsidRPr="00127D6A">
              <w:rPr>
                <w:b/>
                <w:lang w:val="lv-LV"/>
              </w:rPr>
              <w:t xml:space="preserve"> koordinācijas centrs (30.03.2020.)</w:t>
            </w:r>
          </w:p>
          <w:p w:rsidRPr="00127D6A" w:rsidR="0051761B" w:rsidP="0051761B" w:rsidRDefault="0051761B" w14:paraId="0129E87E" w14:textId="77777777">
            <w:pPr>
              <w:jc w:val="both"/>
              <w:rPr>
                <w:bCs/>
                <w:lang w:val="lv-LV"/>
              </w:rPr>
            </w:pPr>
            <w:r w:rsidRPr="00127D6A">
              <w:rPr>
                <w:bCs/>
                <w:lang w:val="lv-LV"/>
              </w:rPr>
              <w:t>Lūdzam izvērtēt iespēju ziņojuma nosaukumā un ziņojuma tekstā lietot terminu “inteliģentās transporta sistēmas”, kā tas ir darīts oficiālajā 2010.gada 7.jūlija Direktīvas 2010/40/ES tulkojumā.</w:t>
            </w:r>
          </w:p>
        </w:tc>
        <w:tc>
          <w:tcPr>
            <w:tcW w:w="2703" w:type="dxa"/>
          </w:tcPr>
          <w:p w:rsidR="00C30311" w:rsidP="00C30311" w:rsidRDefault="000B7922" w14:paraId="2C6AC5EF" w14:textId="77777777">
            <w:pPr>
              <w:jc w:val="center"/>
              <w:rPr>
                <w:b/>
                <w:bCs/>
                <w:lang w:val="lv-LV"/>
              </w:rPr>
            </w:pPr>
            <w:r>
              <w:rPr>
                <w:b/>
                <w:bCs/>
                <w:lang w:val="lv-LV"/>
              </w:rPr>
              <w:t>Panākta vienošanās saskaņošanas laikā</w:t>
            </w:r>
            <w:r w:rsidRPr="00127D6A">
              <w:rPr>
                <w:b/>
                <w:bCs/>
                <w:lang w:val="lv-LV"/>
              </w:rPr>
              <w:t>.</w:t>
            </w:r>
          </w:p>
          <w:p w:rsidRPr="00C30311" w:rsidR="0051761B" w:rsidP="0051761B" w:rsidRDefault="0051761B" w14:paraId="02716EF9" w14:textId="17383C44">
            <w:pPr>
              <w:jc w:val="both"/>
              <w:rPr>
                <w:lang w:val="lv-LV"/>
              </w:rPr>
            </w:pPr>
            <w:r w:rsidRPr="00127D6A">
              <w:rPr>
                <w:lang w:val="lv-LV"/>
              </w:rPr>
              <w:t>Satiksmes ministrija ir izvērtējusi termina “</w:t>
            </w:r>
            <w:proofErr w:type="spellStart"/>
            <w:r w:rsidRPr="00127D6A">
              <w:rPr>
                <w:lang w:val="lv-LV"/>
              </w:rPr>
              <w:t>intelektiskas</w:t>
            </w:r>
            <w:proofErr w:type="spellEnd"/>
            <w:r w:rsidRPr="00127D6A">
              <w:rPr>
                <w:lang w:val="lv-LV"/>
              </w:rPr>
              <w:t xml:space="preserve"> transporta sistēmas” vietā lietot terminu “inteliģentas transporta sistēmas”, un nolemj pieturēties pie Valsts valodas centra norādījumiem lietot terminu “</w:t>
            </w:r>
            <w:proofErr w:type="spellStart"/>
            <w:r w:rsidRPr="00127D6A">
              <w:rPr>
                <w:lang w:val="lv-LV"/>
              </w:rPr>
              <w:t>intelektiskas</w:t>
            </w:r>
            <w:proofErr w:type="spellEnd"/>
            <w:r w:rsidRPr="00127D6A">
              <w:rPr>
                <w:lang w:val="lv-LV"/>
              </w:rPr>
              <w:t xml:space="preserve"> transporta sistēmas”.</w:t>
            </w:r>
          </w:p>
        </w:tc>
        <w:tc>
          <w:tcPr>
            <w:tcW w:w="2960" w:type="dxa"/>
          </w:tcPr>
          <w:p w:rsidRPr="00127D6A" w:rsidR="0051761B" w:rsidP="0051761B" w:rsidRDefault="0051761B" w14:paraId="54BAF8E2" w14:textId="77777777">
            <w:pPr>
              <w:pStyle w:val="BodyText"/>
              <w:jc w:val="both"/>
              <w:rPr>
                <w:sz w:val="24"/>
              </w:rPr>
            </w:pPr>
          </w:p>
        </w:tc>
      </w:tr>
      <w:tr w:rsidRPr="000B7922" w:rsidR="0051761B" w:rsidTr="00322FBF" w14:paraId="673065BA" w14:textId="77777777">
        <w:trPr>
          <w:trHeight w:val="85"/>
          <w:jc w:val="center"/>
        </w:trPr>
        <w:tc>
          <w:tcPr>
            <w:tcW w:w="977" w:type="dxa"/>
          </w:tcPr>
          <w:p w:rsidRPr="00127D6A" w:rsidR="0051761B" w:rsidP="0051761B" w:rsidRDefault="0051761B" w14:paraId="039F8910" w14:textId="77777777">
            <w:pPr>
              <w:jc w:val="both"/>
              <w:rPr>
                <w:lang w:val="lv-LV"/>
              </w:rPr>
            </w:pPr>
            <w:r w:rsidRPr="00127D6A">
              <w:rPr>
                <w:lang w:val="lv-LV"/>
              </w:rPr>
              <w:t>2</w:t>
            </w:r>
            <w:r w:rsidRPr="00127D6A" w:rsidR="009527A6">
              <w:rPr>
                <w:lang w:val="lv-LV"/>
              </w:rPr>
              <w:t>7.</w:t>
            </w:r>
          </w:p>
        </w:tc>
        <w:tc>
          <w:tcPr>
            <w:tcW w:w="2846" w:type="dxa"/>
          </w:tcPr>
          <w:p w:rsidRPr="00127D6A" w:rsidR="0051761B" w:rsidP="0051761B" w:rsidRDefault="0051761B" w14:paraId="1A59EABB" w14:textId="77777777">
            <w:pPr>
              <w:ind w:left="34" w:right="-6"/>
              <w:jc w:val="both"/>
              <w:rPr>
                <w:lang w:val="lv-LV"/>
              </w:rPr>
            </w:pPr>
            <w:r w:rsidRPr="00127D6A">
              <w:rPr>
                <w:lang w:val="lv-LV"/>
              </w:rPr>
              <w:t>Informatīvā ziņojuma 3. nodaļa (9. lappuse 4. rindkopa)</w:t>
            </w:r>
          </w:p>
        </w:tc>
        <w:tc>
          <w:tcPr>
            <w:tcW w:w="3770" w:type="dxa"/>
          </w:tcPr>
          <w:p w:rsidRPr="00127D6A" w:rsidR="0051761B" w:rsidP="0051761B" w:rsidRDefault="0051761B" w14:paraId="068EB917" w14:textId="77777777">
            <w:pPr>
              <w:jc w:val="both"/>
              <w:rPr>
                <w:b/>
                <w:lang w:val="lv-LV"/>
              </w:rPr>
            </w:pPr>
            <w:proofErr w:type="spellStart"/>
            <w:r w:rsidRPr="00127D6A">
              <w:rPr>
                <w:b/>
                <w:lang w:val="lv-LV"/>
              </w:rPr>
              <w:t>Iekšlietu</w:t>
            </w:r>
            <w:proofErr w:type="spellEnd"/>
            <w:r w:rsidRPr="00127D6A">
              <w:rPr>
                <w:b/>
                <w:lang w:val="lv-LV"/>
              </w:rPr>
              <w:t xml:space="preserve"> ministrija (02.04.2020.)</w:t>
            </w:r>
          </w:p>
          <w:p w:rsidRPr="00127D6A" w:rsidR="0051761B" w:rsidP="0051761B" w:rsidRDefault="0051761B" w14:paraId="2C5F60D4" w14:textId="77777777">
            <w:pPr>
              <w:jc w:val="both"/>
              <w:rPr>
                <w:bCs/>
                <w:lang w:val="lv-LV"/>
              </w:rPr>
            </w:pPr>
            <w:r w:rsidRPr="00127D6A">
              <w:rPr>
                <w:bCs/>
                <w:lang w:val="lv-LV"/>
              </w:rPr>
              <w:t xml:space="preserve">Ziņojuma projekta 3. sadaļā “Situācija Latvijā” (9. lappuse, 4. rindkopa) norādīts, ka kopš 2016. gada Latvijā tiek īstenots stacionāro </w:t>
            </w:r>
            <w:proofErr w:type="spellStart"/>
            <w:r w:rsidRPr="00127D6A">
              <w:rPr>
                <w:bCs/>
                <w:lang w:val="lv-LV"/>
              </w:rPr>
              <w:t>fotoradaru</w:t>
            </w:r>
            <w:proofErr w:type="spellEnd"/>
            <w:r w:rsidRPr="00127D6A">
              <w:rPr>
                <w:bCs/>
                <w:lang w:val="lv-LV"/>
              </w:rPr>
              <w:t xml:space="preserve"> uzstādīšanas </w:t>
            </w:r>
            <w:r w:rsidRPr="00127D6A">
              <w:rPr>
                <w:bCs/>
                <w:lang w:val="lv-LV"/>
              </w:rPr>
              <w:lastRenderedPageBreak/>
              <w:t xml:space="preserve">un uzturēšanas projekts, kura ietvaros ir uzstādīti 100 stacionārie </w:t>
            </w:r>
            <w:proofErr w:type="spellStart"/>
            <w:r w:rsidRPr="00127D6A">
              <w:rPr>
                <w:bCs/>
                <w:lang w:val="lv-LV"/>
              </w:rPr>
              <w:t>fotoradari</w:t>
            </w:r>
            <w:proofErr w:type="spellEnd"/>
            <w:r w:rsidRPr="00127D6A">
              <w:rPr>
                <w:bCs/>
                <w:lang w:val="lv-LV"/>
              </w:rPr>
              <w:t xml:space="preserve">. Šie stacionārie </w:t>
            </w:r>
            <w:proofErr w:type="spellStart"/>
            <w:r w:rsidRPr="00127D6A">
              <w:rPr>
                <w:bCs/>
                <w:lang w:val="lv-LV"/>
              </w:rPr>
              <w:t>fotoradari</w:t>
            </w:r>
            <w:proofErr w:type="spellEnd"/>
            <w:r w:rsidRPr="00127D6A">
              <w:rPr>
                <w:bCs/>
                <w:lang w:val="lv-LV"/>
              </w:rPr>
              <w:t xml:space="preserve"> veic ne tikai atļautā braukšanas ātruma pārkāpumu kontroli, bet arī veic sauszemes transportlīdzekļu īpašnieku civiltiesiskās atbildības obligātās apdrošināšanas esamības kontroli, tehniskās apskates derīguma kontroli un autoceļu lietošanas nodevas samaksas kontroli.</w:t>
            </w:r>
          </w:p>
          <w:p w:rsidRPr="00127D6A" w:rsidR="0051761B" w:rsidP="0051761B" w:rsidRDefault="0051761B" w14:paraId="621264B4" w14:textId="77777777">
            <w:pPr>
              <w:jc w:val="both"/>
              <w:rPr>
                <w:bCs/>
                <w:lang w:val="lv-LV"/>
              </w:rPr>
            </w:pPr>
            <w:proofErr w:type="spellStart"/>
            <w:r w:rsidRPr="00127D6A">
              <w:rPr>
                <w:bCs/>
                <w:lang w:val="lv-LV"/>
              </w:rPr>
              <w:t>Iekšlietu</w:t>
            </w:r>
            <w:proofErr w:type="spellEnd"/>
            <w:r w:rsidRPr="00127D6A">
              <w:rPr>
                <w:bCs/>
                <w:lang w:val="lv-LV"/>
              </w:rPr>
              <w:t xml:space="preserve"> ministrijas ieskatā minētā informācija nav korekta, jo stacionārie </w:t>
            </w:r>
            <w:proofErr w:type="spellStart"/>
            <w:r w:rsidRPr="00127D6A">
              <w:rPr>
                <w:bCs/>
                <w:lang w:val="lv-LV"/>
              </w:rPr>
              <w:t>fotoradari</w:t>
            </w:r>
            <w:proofErr w:type="spellEnd"/>
            <w:r w:rsidRPr="00127D6A">
              <w:rPr>
                <w:bCs/>
                <w:lang w:val="lv-LV"/>
              </w:rPr>
              <w:t xml:space="preserve"> veic tikai atļautā braukšanas ātruma kontroli. Gadījumos, kad tiek konstatēts atļautā braukšanas ātruma pārkāpums, informācijas sistēmās tiek pārbaudīts vai attiecīgajam transportlīdzeklim ir spēkā esoša sauszemes transportlīdzekļu īpašnieku civiltiesiskās atbildības obligātā apdrošināšanas polise, tehniskā apskate (atļauja piedalīties ceļu satiksmē) un samaksāta autoceļu lietošanas nodeva.</w:t>
            </w:r>
          </w:p>
          <w:p w:rsidRPr="00127D6A" w:rsidR="0051761B" w:rsidP="0051761B" w:rsidRDefault="0051761B" w14:paraId="76AE365D" w14:textId="77777777">
            <w:pPr>
              <w:jc w:val="both"/>
              <w:rPr>
                <w:bCs/>
                <w:lang w:val="lv-LV"/>
              </w:rPr>
            </w:pPr>
            <w:r w:rsidRPr="00127D6A">
              <w:rPr>
                <w:bCs/>
                <w:lang w:val="lv-LV"/>
              </w:rPr>
              <w:t xml:space="preserve">Papildus vēršam uzmanību, ka valsts akciju sabiedrība “Latvijas Valsts ceļi” 2017.–2018. gadā realizēja autoceļu nodevas samaksas kontroles pilotprojektu, uzstādot vairākās vietās uz valsts galvenajiem autoceļiem tehniskos līdzekļus autoceļu nodevas samaksas kontrolei. </w:t>
            </w:r>
          </w:p>
          <w:p w:rsidRPr="00127D6A" w:rsidR="0051761B" w:rsidP="0051761B" w:rsidRDefault="0051761B" w14:paraId="146879FC" w14:textId="77777777">
            <w:pPr>
              <w:jc w:val="both"/>
              <w:rPr>
                <w:bCs/>
                <w:lang w:val="lv-LV"/>
              </w:rPr>
            </w:pPr>
            <w:r w:rsidRPr="00127D6A">
              <w:rPr>
                <w:bCs/>
                <w:lang w:val="lv-LV"/>
              </w:rPr>
              <w:lastRenderedPageBreak/>
              <w:t>Ievērojot minēto, lūdzam precizēt attiecīgo informāciju.</w:t>
            </w:r>
          </w:p>
        </w:tc>
        <w:tc>
          <w:tcPr>
            <w:tcW w:w="2703" w:type="dxa"/>
          </w:tcPr>
          <w:p w:rsidRPr="00127D6A" w:rsidR="0051761B" w:rsidP="0051761B" w:rsidRDefault="0051761B" w14:paraId="071C771E" w14:textId="1174B141">
            <w:pPr>
              <w:jc w:val="both"/>
              <w:rPr>
                <w:b/>
                <w:bCs/>
                <w:lang w:val="lv-LV"/>
              </w:rPr>
            </w:pPr>
            <w:r w:rsidRPr="00127D6A">
              <w:rPr>
                <w:b/>
                <w:bCs/>
                <w:lang w:val="lv-LV"/>
              </w:rPr>
              <w:lastRenderedPageBreak/>
              <w:t>Iebildums</w:t>
            </w:r>
            <w:r w:rsidR="000B7922">
              <w:rPr>
                <w:b/>
                <w:bCs/>
                <w:lang w:val="lv-LV"/>
              </w:rPr>
              <w:t xml:space="preserve"> ir</w:t>
            </w:r>
            <w:r w:rsidRPr="00127D6A">
              <w:rPr>
                <w:b/>
                <w:bCs/>
                <w:lang w:val="lv-LV"/>
              </w:rPr>
              <w:t xml:space="preserve"> ņemts vērā.</w:t>
            </w:r>
          </w:p>
          <w:p w:rsidRPr="00127D6A" w:rsidR="0051761B" w:rsidP="0051761B" w:rsidRDefault="0051761B" w14:paraId="6A1260B6" w14:textId="5D113679">
            <w:pPr>
              <w:jc w:val="both"/>
              <w:rPr>
                <w:highlight w:val="green"/>
                <w:lang w:val="lv-LV"/>
              </w:rPr>
            </w:pPr>
            <w:r w:rsidRPr="00127D6A">
              <w:rPr>
                <w:lang w:val="lv-LV"/>
              </w:rPr>
              <w:t xml:space="preserve">Precizēta un papildināta konceptuālā ziņojuma 2.5. apakšnodaļa par ITS tehniskajiem </w:t>
            </w:r>
            <w:r w:rsidRPr="00127D6A" w:rsidR="00C30311">
              <w:rPr>
                <w:lang w:val="lv-LV"/>
              </w:rPr>
              <w:t>līdzekļiem</w:t>
            </w:r>
            <w:r w:rsidRPr="00127D6A">
              <w:rPr>
                <w:lang w:val="lv-LV"/>
              </w:rPr>
              <w:t xml:space="preserve"> </w:t>
            </w:r>
            <w:r w:rsidRPr="00127D6A">
              <w:rPr>
                <w:lang w:val="lv-LV"/>
              </w:rPr>
              <w:lastRenderedPageBreak/>
              <w:t xml:space="preserve">pārkāpumu kontroles veikšanai. </w:t>
            </w:r>
          </w:p>
        </w:tc>
        <w:tc>
          <w:tcPr>
            <w:tcW w:w="2960" w:type="dxa"/>
          </w:tcPr>
          <w:p w:rsidRPr="00127D6A" w:rsidR="0051761B" w:rsidP="0051761B" w:rsidRDefault="0051761B" w14:paraId="5E150367" w14:textId="2FBCB864">
            <w:pPr>
              <w:pStyle w:val="BodyText"/>
              <w:jc w:val="both"/>
              <w:rPr>
                <w:sz w:val="24"/>
              </w:rPr>
            </w:pPr>
            <w:r w:rsidRPr="00127D6A">
              <w:rPr>
                <w:sz w:val="24"/>
              </w:rPr>
              <w:lastRenderedPageBreak/>
              <w:t>Precizētā un pa</w:t>
            </w:r>
            <w:r w:rsidR="00B1760F">
              <w:rPr>
                <w:sz w:val="24"/>
              </w:rPr>
              <w:t>p</w:t>
            </w:r>
            <w:r w:rsidRPr="00127D6A">
              <w:rPr>
                <w:sz w:val="24"/>
              </w:rPr>
              <w:t>ildinātā konceptuālā ziņojuma 2.5. apakšnodaļa.</w:t>
            </w:r>
          </w:p>
        </w:tc>
      </w:tr>
      <w:tr w:rsidRPr="000B7922" w:rsidR="0051761B" w:rsidTr="00322FBF" w14:paraId="1DADCD5C" w14:textId="77777777">
        <w:trPr>
          <w:trHeight w:val="85"/>
          <w:jc w:val="center"/>
        </w:trPr>
        <w:tc>
          <w:tcPr>
            <w:tcW w:w="977" w:type="dxa"/>
          </w:tcPr>
          <w:p w:rsidRPr="00127D6A" w:rsidR="0051761B" w:rsidP="0051761B" w:rsidRDefault="0051761B" w14:paraId="46BB6C35" w14:textId="77777777">
            <w:pPr>
              <w:jc w:val="both"/>
              <w:rPr>
                <w:lang w:val="lv-LV"/>
              </w:rPr>
            </w:pPr>
            <w:r w:rsidRPr="00127D6A">
              <w:rPr>
                <w:lang w:val="lv-LV"/>
              </w:rPr>
              <w:lastRenderedPageBreak/>
              <w:t>2</w:t>
            </w:r>
            <w:r w:rsidRPr="00127D6A" w:rsidR="009527A6">
              <w:rPr>
                <w:lang w:val="lv-LV"/>
              </w:rPr>
              <w:t>8.</w:t>
            </w:r>
          </w:p>
        </w:tc>
        <w:tc>
          <w:tcPr>
            <w:tcW w:w="2846" w:type="dxa"/>
          </w:tcPr>
          <w:p w:rsidRPr="00127D6A" w:rsidR="0051761B" w:rsidP="0051761B" w:rsidRDefault="0051761B" w14:paraId="1F330CB7" w14:textId="77777777">
            <w:pPr>
              <w:ind w:left="34" w:right="-6"/>
              <w:jc w:val="both"/>
              <w:rPr>
                <w:lang w:val="lv-LV"/>
              </w:rPr>
            </w:pPr>
            <w:r w:rsidRPr="00127D6A">
              <w:rPr>
                <w:lang w:val="lv-LV"/>
              </w:rPr>
              <w:t>Informatīvā ziņojuma 1. Pielikuma 3. tabulas 3. punkta e) apakšpunkts.</w:t>
            </w:r>
          </w:p>
        </w:tc>
        <w:tc>
          <w:tcPr>
            <w:tcW w:w="3770" w:type="dxa"/>
          </w:tcPr>
          <w:p w:rsidRPr="00127D6A" w:rsidR="0051761B" w:rsidP="0051761B" w:rsidRDefault="0051761B" w14:paraId="047B8BB2" w14:textId="77777777">
            <w:pPr>
              <w:jc w:val="both"/>
              <w:rPr>
                <w:b/>
                <w:lang w:val="lv-LV"/>
              </w:rPr>
            </w:pPr>
            <w:proofErr w:type="spellStart"/>
            <w:r w:rsidRPr="00127D6A">
              <w:rPr>
                <w:b/>
                <w:lang w:val="lv-LV"/>
              </w:rPr>
              <w:t>Iekšlietu</w:t>
            </w:r>
            <w:proofErr w:type="spellEnd"/>
            <w:r w:rsidRPr="00127D6A">
              <w:rPr>
                <w:b/>
                <w:lang w:val="lv-LV"/>
              </w:rPr>
              <w:t xml:space="preserve"> ministrija (02.04.2020.)</w:t>
            </w:r>
          </w:p>
          <w:p w:rsidRPr="00127D6A" w:rsidR="0051761B" w:rsidP="0051761B" w:rsidRDefault="0051761B" w14:paraId="12AADC85" w14:textId="77777777">
            <w:pPr>
              <w:jc w:val="both"/>
              <w:rPr>
                <w:bCs/>
                <w:lang w:val="lv-LV"/>
              </w:rPr>
            </w:pPr>
            <w:r w:rsidRPr="00127D6A">
              <w:rPr>
                <w:bCs/>
                <w:lang w:val="lv-LV"/>
              </w:rPr>
              <w:t xml:space="preserve">Ziņojuma projekta Pielikuma 3.tabulas 3.punkta e) apakšpunkta (gaidīšanas laiks </w:t>
            </w:r>
            <w:proofErr w:type="spellStart"/>
            <w:r w:rsidRPr="00127D6A">
              <w:rPr>
                <w:bCs/>
                <w:lang w:val="lv-LV"/>
              </w:rPr>
              <w:t>robežšķērsošanas</w:t>
            </w:r>
            <w:proofErr w:type="spellEnd"/>
            <w:r w:rsidRPr="00127D6A">
              <w:rPr>
                <w:bCs/>
                <w:lang w:val="lv-LV"/>
              </w:rPr>
              <w:t xml:space="preserve"> vietās ar dalībvalstīm, kas nav ES dalībvalsts) 3. kolonnā kā institūcija, kurai Satiksmes ministrijas ieskatā būtu jāsniedz dati, ir norādīta </w:t>
            </w:r>
            <w:proofErr w:type="spellStart"/>
            <w:r w:rsidRPr="00127D6A">
              <w:rPr>
                <w:bCs/>
                <w:lang w:val="lv-LV"/>
              </w:rPr>
              <w:t>Iekšlietu</w:t>
            </w:r>
            <w:proofErr w:type="spellEnd"/>
            <w:r w:rsidRPr="00127D6A">
              <w:rPr>
                <w:bCs/>
                <w:lang w:val="lv-LV"/>
              </w:rPr>
              <w:t xml:space="preserve"> ministrija (IeM).</w:t>
            </w:r>
          </w:p>
          <w:p w:rsidRPr="00127D6A" w:rsidR="0051761B" w:rsidP="0051761B" w:rsidRDefault="0051761B" w14:paraId="3FDA9E47" w14:textId="77777777">
            <w:pPr>
              <w:jc w:val="both"/>
              <w:rPr>
                <w:bCs/>
                <w:lang w:val="lv-LV"/>
              </w:rPr>
            </w:pPr>
            <w:r w:rsidRPr="00127D6A">
              <w:rPr>
                <w:bCs/>
                <w:lang w:val="lv-LV"/>
              </w:rPr>
              <w:t>Vēršam uzmanību, ka šobrīd Valsts robežsardzes tīmekļa vietnē  ir pieejama informācija par vieglo un kravas automašīnu rindu (transportlīdzekļu skaits) līdz valsts robežai, bet Valsts ieņēmumu dienesta tīmekļa vietnē  ir pieejama informācija par vieglo un kravas automobiļu rindas paredzamo gaidīšanas ilgumu (laiku).</w:t>
            </w:r>
          </w:p>
          <w:p w:rsidRPr="00127D6A" w:rsidR="0051761B" w:rsidP="0051761B" w:rsidRDefault="0051761B" w14:paraId="40F6D9F7" w14:textId="77777777">
            <w:pPr>
              <w:jc w:val="both"/>
              <w:rPr>
                <w:bCs/>
                <w:lang w:val="lv-LV"/>
              </w:rPr>
            </w:pPr>
            <w:r w:rsidRPr="00127D6A">
              <w:rPr>
                <w:bCs/>
                <w:lang w:val="lv-LV"/>
              </w:rPr>
              <w:t xml:space="preserve"> Ievērojot minēto, lūdzam e) apakšpunktā kā atbildīgo institūciju norādīt Valsts ieņēmumu dienestu (VID).</w:t>
            </w:r>
          </w:p>
        </w:tc>
        <w:tc>
          <w:tcPr>
            <w:tcW w:w="2703" w:type="dxa"/>
          </w:tcPr>
          <w:p w:rsidRPr="00127D6A" w:rsidR="0051761B" w:rsidP="0051761B" w:rsidRDefault="0051761B" w14:paraId="5914C035" w14:textId="0C744907">
            <w:pPr>
              <w:jc w:val="both"/>
              <w:rPr>
                <w:b/>
                <w:bCs/>
                <w:lang w:val="lv-LV"/>
              </w:rPr>
            </w:pPr>
            <w:r w:rsidRPr="00127D6A">
              <w:rPr>
                <w:b/>
                <w:bCs/>
                <w:lang w:val="lv-LV"/>
              </w:rPr>
              <w:t xml:space="preserve">Iebildums </w:t>
            </w:r>
            <w:r w:rsidR="000B7922">
              <w:rPr>
                <w:b/>
                <w:bCs/>
                <w:lang w:val="lv-LV"/>
              </w:rPr>
              <w:t xml:space="preserve">ir </w:t>
            </w:r>
            <w:r w:rsidRPr="00127D6A">
              <w:rPr>
                <w:b/>
                <w:bCs/>
                <w:lang w:val="lv-LV"/>
              </w:rPr>
              <w:t>ņemts vērā.</w:t>
            </w:r>
          </w:p>
          <w:p w:rsidRPr="00127D6A" w:rsidR="0051761B" w:rsidP="0051761B" w:rsidRDefault="0051761B" w14:paraId="0C1E852D" w14:textId="0914F0B7">
            <w:pPr>
              <w:jc w:val="both"/>
              <w:rPr>
                <w:lang w:val="lv-LV"/>
              </w:rPr>
            </w:pPr>
            <w:r w:rsidRPr="00127D6A">
              <w:rPr>
                <w:lang w:val="lv-LV"/>
              </w:rPr>
              <w:t xml:space="preserve">Precizēts konceptuālā ziņojuma </w:t>
            </w:r>
            <w:r w:rsidRPr="00127D6A" w:rsidR="000E76F4">
              <w:rPr>
                <w:lang w:val="lv-LV"/>
              </w:rPr>
              <w:t>p</w:t>
            </w:r>
            <w:r w:rsidRPr="00127D6A">
              <w:rPr>
                <w:lang w:val="lv-LV"/>
              </w:rPr>
              <w:t>ielikuma 3.</w:t>
            </w:r>
            <w:r w:rsidR="000B7922">
              <w:rPr>
                <w:lang w:val="lv-LV"/>
              </w:rPr>
              <w:t> </w:t>
            </w:r>
            <w:r w:rsidRPr="00127D6A">
              <w:rPr>
                <w:lang w:val="lv-LV"/>
              </w:rPr>
              <w:t>tabulas 3. punkta e) apakšpunkts.</w:t>
            </w:r>
          </w:p>
        </w:tc>
        <w:tc>
          <w:tcPr>
            <w:tcW w:w="2960" w:type="dxa"/>
          </w:tcPr>
          <w:p w:rsidRPr="00127D6A" w:rsidR="0051761B" w:rsidP="0051761B" w:rsidRDefault="0051761B" w14:paraId="09E7D39C" w14:textId="77777777">
            <w:pPr>
              <w:pStyle w:val="BodyText"/>
              <w:jc w:val="both"/>
              <w:rPr>
                <w:sz w:val="24"/>
              </w:rPr>
            </w:pPr>
            <w:r w:rsidRPr="00127D6A">
              <w:rPr>
                <w:sz w:val="24"/>
              </w:rPr>
              <w:t>Precizēts ko</w:t>
            </w:r>
            <w:r w:rsidR="007313F7">
              <w:rPr>
                <w:sz w:val="24"/>
              </w:rPr>
              <w:t>n</w:t>
            </w:r>
            <w:r w:rsidRPr="00127D6A">
              <w:rPr>
                <w:sz w:val="24"/>
              </w:rPr>
              <w:t xml:space="preserve">ceptuālā ziņojuma </w:t>
            </w:r>
            <w:r w:rsidRPr="00127D6A" w:rsidR="000E76F4">
              <w:rPr>
                <w:sz w:val="24"/>
              </w:rPr>
              <w:t>p</w:t>
            </w:r>
            <w:r w:rsidRPr="00127D6A">
              <w:rPr>
                <w:sz w:val="24"/>
              </w:rPr>
              <w:t>ielikuma 3. tabulas 3. punkta e) apakšpunkts.</w:t>
            </w:r>
          </w:p>
        </w:tc>
      </w:tr>
      <w:tr w:rsidRPr="000B7922" w:rsidR="00044D91" w:rsidTr="00322FBF" w14:paraId="7085EA6C" w14:textId="77777777">
        <w:trPr>
          <w:trHeight w:val="85"/>
          <w:jc w:val="center"/>
        </w:trPr>
        <w:tc>
          <w:tcPr>
            <w:tcW w:w="977" w:type="dxa"/>
          </w:tcPr>
          <w:p w:rsidRPr="00127D6A" w:rsidR="00044D91" w:rsidP="0051761B" w:rsidRDefault="00342C7D" w14:paraId="2FABF30D" w14:textId="7C138D43">
            <w:pPr>
              <w:jc w:val="both"/>
              <w:rPr>
                <w:lang w:val="lv-LV"/>
              </w:rPr>
            </w:pPr>
            <w:r>
              <w:rPr>
                <w:lang w:val="lv-LV"/>
              </w:rPr>
              <w:t>29.</w:t>
            </w:r>
          </w:p>
        </w:tc>
        <w:tc>
          <w:tcPr>
            <w:tcW w:w="2846" w:type="dxa"/>
          </w:tcPr>
          <w:p w:rsidRPr="00127D6A" w:rsidR="00044D91" w:rsidP="0051761B" w:rsidRDefault="007442EB" w14:paraId="72980F23" w14:textId="24852571">
            <w:pPr>
              <w:ind w:left="34" w:right="-6"/>
              <w:jc w:val="both"/>
              <w:rPr>
                <w:lang w:val="lv-LV"/>
              </w:rPr>
            </w:pPr>
            <w:r>
              <w:rPr>
                <w:lang w:val="lv-LV"/>
              </w:rPr>
              <w:t>Konceptuālā ziņojuma 3.3.3. apakšnodaļa</w:t>
            </w:r>
            <w:r w:rsidR="00C30311">
              <w:rPr>
                <w:lang w:val="lv-LV"/>
              </w:rPr>
              <w:t>.</w:t>
            </w:r>
          </w:p>
        </w:tc>
        <w:tc>
          <w:tcPr>
            <w:tcW w:w="3770" w:type="dxa"/>
          </w:tcPr>
          <w:p w:rsidR="00044D91" w:rsidP="0051761B" w:rsidRDefault="00044D91" w14:paraId="4E89B49D" w14:textId="77777777">
            <w:pPr>
              <w:jc w:val="both"/>
              <w:rPr>
                <w:b/>
                <w:lang w:val="lv-LV"/>
              </w:rPr>
            </w:pPr>
            <w:r>
              <w:rPr>
                <w:b/>
                <w:lang w:val="lv-LV"/>
              </w:rPr>
              <w:t>Finanšu ministrija (15.05.2020.)</w:t>
            </w:r>
          </w:p>
          <w:p w:rsidR="00044D91" w:rsidP="00044D91" w:rsidRDefault="00044D91" w14:paraId="13E2D177" w14:textId="77777777">
            <w:pPr>
              <w:pStyle w:val="ListParagraph"/>
              <w:numPr>
                <w:ilvl w:val="0"/>
                <w:numId w:val="11"/>
              </w:numPr>
              <w:ind w:left="0" w:firstLine="426"/>
              <w:contextualSpacing w:val="0"/>
              <w:rPr>
                <w:lang w:eastAsia="lv-LV"/>
              </w:rPr>
            </w:pPr>
            <w:r>
              <w:t xml:space="preserve">Ziņojuma 3.3.3.sadaļā “Ietekmes uz valsts budžetu kopsavilkums” (turpmāk – 3.3.3.sadaļa) norādīta informācija, ka transporta nozares informācijas nacionālā (valsts) piekļuves punkta izveidei (turpmāk – NPP) nepieciešami papildu valsts budžeta līdzekļi Satiksmes ministrijas </w:t>
            </w:r>
            <w:r w:rsidRPr="00C510D6">
              <w:t xml:space="preserve">apakšprogrammā 23.07.00 “Valsts </w:t>
            </w:r>
            <w:r w:rsidRPr="00C510D6">
              <w:lastRenderedPageBreak/>
              <w:t>autoceļu pārvaldīšana”.</w:t>
            </w:r>
            <w:r>
              <w:t xml:space="preserve"> Norādām, ka Eiropas Savienības fondu finansēto projektu finansējums ministriju budžetos tiek plānots Eiropas Savienības politiku instrumentu un pārējās ārvalstu finanšu palīdzības līdzfinansēto projektu un pasākumu īstenošanai paredzētajās programmās/apakšprogrammās, savukārt, ja projekts netiek finansēts Eiropas Savienības fondu projektu ietvaros, tad jautājums par tā īstenošanai nepieciešamo finansējumu ir izskatāms valsts budžeta likumprojekta sagatavošanas procesā. </w:t>
            </w:r>
          </w:p>
          <w:p w:rsidRPr="00127D6A" w:rsidR="00044D91" w:rsidP="00342C7D" w:rsidRDefault="00044D91" w14:paraId="7F8FFE60" w14:textId="4FB95513">
            <w:pPr>
              <w:pStyle w:val="ListParagraph"/>
              <w:ind w:left="0" w:firstLine="426"/>
              <w:rPr>
                <w:b/>
              </w:rPr>
            </w:pPr>
            <w:r>
              <w:t xml:space="preserve">Ņemot vērā iepriekš minēto, lūdzam precizēt ziņojuma 3.3.3.sadaļā sniegto informāciju, proti, ja grozījumi Darbības programmā tiks apstiprināti, tad projekta īstenošanai nepieciešamie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 savukārt alternatīvajā versijā, ja NPP netiktu īstenots kā Eiropas Savienības fondu projekts, tad jautājums par NPP īstenošanai nepieciešamo finansējumu būtu </w:t>
            </w:r>
            <w:r>
              <w:lastRenderedPageBreak/>
              <w:t xml:space="preserve">skatāms MK gadskārtējā valsts budžeta likumprojekta un vidējā termiņa budžeta ietvara likumprojekta sagatavošanas un izskatīšanas procesā kopā ar visu ministriju un citu centrālo valsts iestāžu iesniegtajiem prioritāro pasākumu pieteikumiem atbilstoši valsts budžeta finansiālajām iespējām. Attiecīgi, ievērojot to, ka ziņojumā kā atbalstāmais variants tiek virzīts Eiropas Savienības fondu finansētā projekta īstenošana, lūdzam precizēt arī ziņojuma 2.tabulā “Kopsavilkums par nepieciešamo valsts budžeta finansējumu” (turpmāk -  2.tabula) sniegto informāciju, norādot, ka papildu valsts budžeta finansējums nepieciešams tikai NPP projekta uzturēšanai. </w:t>
            </w:r>
          </w:p>
        </w:tc>
        <w:tc>
          <w:tcPr>
            <w:tcW w:w="2703" w:type="dxa"/>
          </w:tcPr>
          <w:p w:rsidRPr="00127D6A" w:rsidR="00044D91" w:rsidP="0051761B" w:rsidRDefault="007313F7" w14:paraId="521EB61D" w14:textId="7863B78A">
            <w:pPr>
              <w:jc w:val="both"/>
              <w:rPr>
                <w:b/>
                <w:bCs/>
                <w:lang w:val="lv-LV"/>
              </w:rPr>
            </w:pPr>
            <w:r>
              <w:rPr>
                <w:b/>
                <w:bCs/>
                <w:lang w:val="lv-LV"/>
              </w:rPr>
              <w:lastRenderedPageBreak/>
              <w:t xml:space="preserve">Iebildums </w:t>
            </w:r>
            <w:r w:rsidR="000B7922">
              <w:rPr>
                <w:b/>
                <w:bCs/>
                <w:lang w:val="lv-LV"/>
              </w:rPr>
              <w:t xml:space="preserve">ir </w:t>
            </w:r>
            <w:r>
              <w:rPr>
                <w:b/>
                <w:bCs/>
                <w:lang w:val="lv-LV"/>
              </w:rPr>
              <w:t>ņemts vērā.</w:t>
            </w:r>
            <w:r w:rsidR="00370475">
              <w:rPr>
                <w:lang w:val="lv-LV"/>
              </w:rPr>
              <w:t>.</w:t>
            </w:r>
          </w:p>
        </w:tc>
        <w:tc>
          <w:tcPr>
            <w:tcW w:w="2960" w:type="dxa"/>
          </w:tcPr>
          <w:p w:rsidRPr="00127D6A" w:rsidR="00044D91" w:rsidP="0051761B" w:rsidRDefault="00370475" w14:paraId="7F3D5F82" w14:textId="56212105">
            <w:pPr>
              <w:pStyle w:val="BodyText"/>
              <w:jc w:val="both"/>
              <w:rPr>
                <w:sz w:val="24"/>
              </w:rPr>
            </w:pPr>
            <w:r>
              <w:rPr>
                <w:sz w:val="24"/>
              </w:rPr>
              <w:t xml:space="preserve">Precizēta </w:t>
            </w:r>
            <w:r w:rsidRPr="00370475">
              <w:rPr>
                <w:sz w:val="24"/>
              </w:rPr>
              <w:t xml:space="preserve">konceptuālā ziņojuma 3.3.1., 3.3.3. </w:t>
            </w:r>
            <w:r w:rsidRPr="00370475" w:rsidR="00C30311">
              <w:rPr>
                <w:sz w:val="24"/>
              </w:rPr>
              <w:t xml:space="preserve">apakšnodaļa </w:t>
            </w:r>
            <w:r w:rsidRPr="00370475">
              <w:rPr>
                <w:sz w:val="24"/>
              </w:rPr>
              <w:t>un 2. tabula.</w:t>
            </w:r>
          </w:p>
        </w:tc>
      </w:tr>
      <w:tr w:rsidRPr="00341E47" w:rsidR="00342C7D" w:rsidTr="00322FBF" w14:paraId="481946C7" w14:textId="77777777">
        <w:trPr>
          <w:trHeight w:val="85"/>
          <w:jc w:val="center"/>
        </w:trPr>
        <w:tc>
          <w:tcPr>
            <w:tcW w:w="977" w:type="dxa"/>
          </w:tcPr>
          <w:p w:rsidRPr="00127D6A" w:rsidR="00342C7D" w:rsidP="0051761B" w:rsidRDefault="00342C7D" w14:paraId="2576694F" w14:textId="1E376F66">
            <w:pPr>
              <w:jc w:val="both"/>
              <w:rPr>
                <w:lang w:val="lv-LV"/>
              </w:rPr>
            </w:pPr>
            <w:r>
              <w:rPr>
                <w:lang w:val="lv-LV"/>
              </w:rPr>
              <w:lastRenderedPageBreak/>
              <w:t>30.</w:t>
            </w:r>
          </w:p>
        </w:tc>
        <w:tc>
          <w:tcPr>
            <w:tcW w:w="2846" w:type="dxa"/>
          </w:tcPr>
          <w:p w:rsidR="00342C7D" w:rsidP="0051761B" w:rsidRDefault="00341E47" w14:paraId="4AB2D503" w14:textId="7EB1AEE0">
            <w:pPr>
              <w:ind w:left="34" w:right="-6"/>
              <w:jc w:val="both"/>
              <w:rPr>
                <w:lang w:val="lv-LV"/>
              </w:rPr>
            </w:pPr>
            <w:r>
              <w:rPr>
                <w:lang w:val="lv-LV"/>
              </w:rPr>
              <w:t>Konceptuālā ziņojuma 3.3.3. apakšnodaļa</w:t>
            </w:r>
            <w:r w:rsidR="00C510D6">
              <w:rPr>
                <w:lang w:val="lv-LV"/>
              </w:rPr>
              <w:t>.</w:t>
            </w:r>
          </w:p>
        </w:tc>
        <w:tc>
          <w:tcPr>
            <w:tcW w:w="3770" w:type="dxa"/>
          </w:tcPr>
          <w:p w:rsidR="00341E47" w:rsidP="00341E47" w:rsidRDefault="00341E47" w14:paraId="226F13FB" w14:textId="77777777">
            <w:pPr>
              <w:jc w:val="both"/>
              <w:rPr>
                <w:b/>
                <w:lang w:val="lv-LV"/>
              </w:rPr>
            </w:pPr>
            <w:r>
              <w:rPr>
                <w:b/>
                <w:lang w:val="lv-LV"/>
              </w:rPr>
              <w:t>Finanšu ministrija (15.05.2020.)</w:t>
            </w:r>
          </w:p>
          <w:p w:rsidRPr="00341E47" w:rsidR="00342C7D" w:rsidP="0051761B" w:rsidRDefault="00341E47" w14:paraId="49A2C1B6" w14:textId="5163A0B0">
            <w:pPr>
              <w:jc w:val="both"/>
              <w:rPr>
                <w:bCs/>
                <w:lang w:val="lv-LV"/>
              </w:rPr>
            </w:pPr>
            <w:r w:rsidRPr="00341E47">
              <w:rPr>
                <w:bCs/>
                <w:lang w:val="lv-LV"/>
              </w:rPr>
              <w:t xml:space="preserve">Ziņojumā minēts, ka NPP sistēmas uzturēšanai papildus nepieciešams finansējums aptuveni 588 235 </w:t>
            </w:r>
            <w:proofErr w:type="spellStart"/>
            <w:r w:rsidRPr="00341E47">
              <w:rPr>
                <w:bCs/>
                <w:lang w:val="lv-LV"/>
              </w:rPr>
              <w:t>euro</w:t>
            </w:r>
            <w:proofErr w:type="spellEnd"/>
            <w:r w:rsidRPr="00341E47">
              <w:rPr>
                <w:bCs/>
                <w:lang w:val="lv-LV"/>
              </w:rPr>
              <w:t xml:space="preserve"> gadā. Lūdzam papildināt ziņojuma 3.3.3.sadaļas trešo rindkopu ar informāciju, norādot gadu, ar kuru plānotas uzturēšanas izmaksas, kā arī, ievērojot, ka projekta īstenotājs nav valsts budžeta iestāde, bet valsts kapitālsabiedrība, papildināt ar pamatojumu, kāpēc tās būtu piešķiramas no valsts budžeta, piemēram, skaidrot sasaisti ar deleģētās funkcijas izpildi, un </w:t>
            </w:r>
            <w:r w:rsidRPr="00341E47">
              <w:rPr>
                <w:bCs/>
                <w:lang w:val="lv-LV"/>
              </w:rPr>
              <w:lastRenderedPageBreak/>
              <w:t>pievienot norādi, ka tās tiks pieprasītas normatīvajos aktos noteiktajā kārtībā.</w:t>
            </w:r>
          </w:p>
        </w:tc>
        <w:tc>
          <w:tcPr>
            <w:tcW w:w="2703" w:type="dxa"/>
          </w:tcPr>
          <w:p w:rsidR="00342C7D" w:rsidP="0051761B" w:rsidRDefault="00341E47" w14:paraId="0255F57B" w14:textId="42BCAF64">
            <w:pPr>
              <w:jc w:val="both"/>
              <w:rPr>
                <w:b/>
                <w:bCs/>
                <w:lang w:val="lv-LV"/>
              </w:rPr>
            </w:pPr>
            <w:r>
              <w:rPr>
                <w:b/>
                <w:bCs/>
                <w:lang w:val="lv-LV"/>
              </w:rPr>
              <w:lastRenderedPageBreak/>
              <w:t xml:space="preserve">Iebildums </w:t>
            </w:r>
            <w:r w:rsidR="000B7922">
              <w:rPr>
                <w:b/>
                <w:bCs/>
                <w:lang w:val="lv-LV"/>
              </w:rPr>
              <w:t xml:space="preserve">ir </w:t>
            </w:r>
            <w:r>
              <w:rPr>
                <w:b/>
                <w:bCs/>
                <w:lang w:val="lv-LV"/>
              </w:rPr>
              <w:t>ņemts vērā.</w:t>
            </w:r>
          </w:p>
          <w:p w:rsidRPr="00341E47" w:rsidR="00341E47" w:rsidP="0051761B" w:rsidRDefault="00341E47" w14:paraId="03EE32FF" w14:textId="5C7E91F1">
            <w:pPr>
              <w:jc w:val="both"/>
              <w:rPr>
                <w:lang w:val="lv-LV"/>
              </w:rPr>
            </w:pPr>
          </w:p>
        </w:tc>
        <w:tc>
          <w:tcPr>
            <w:tcW w:w="2960" w:type="dxa"/>
          </w:tcPr>
          <w:p w:rsidR="00342C7D" w:rsidP="0051761B" w:rsidRDefault="00341E47" w14:paraId="642705E0" w14:textId="04F0BB19">
            <w:pPr>
              <w:pStyle w:val="BodyText"/>
              <w:jc w:val="both"/>
              <w:rPr>
                <w:sz w:val="24"/>
              </w:rPr>
            </w:pPr>
            <w:r>
              <w:rPr>
                <w:sz w:val="24"/>
              </w:rPr>
              <w:t>Papildināta konceptuālā ziņojuma 3.3.3. apakšnodaļa.</w:t>
            </w:r>
          </w:p>
        </w:tc>
      </w:tr>
      <w:tr w:rsidRPr="00A70154" w:rsidR="00341E47" w:rsidTr="00322FBF" w14:paraId="15721290" w14:textId="77777777">
        <w:trPr>
          <w:trHeight w:val="85"/>
          <w:jc w:val="center"/>
        </w:trPr>
        <w:tc>
          <w:tcPr>
            <w:tcW w:w="977" w:type="dxa"/>
          </w:tcPr>
          <w:p w:rsidR="00341E47" w:rsidP="0051761B" w:rsidRDefault="00341E47" w14:paraId="014B4511" w14:textId="49DF9AD6">
            <w:pPr>
              <w:jc w:val="both"/>
              <w:rPr>
                <w:lang w:val="lv-LV"/>
              </w:rPr>
            </w:pPr>
            <w:r>
              <w:rPr>
                <w:lang w:val="lv-LV"/>
              </w:rPr>
              <w:t>31.</w:t>
            </w:r>
          </w:p>
        </w:tc>
        <w:tc>
          <w:tcPr>
            <w:tcW w:w="2846" w:type="dxa"/>
          </w:tcPr>
          <w:p w:rsidR="00341E47" w:rsidP="0051761B" w:rsidRDefault="003448C0" w14:paraId="3FA5451D" w14:textId="7EDA8728">
            <w:pPr>
              <w:ind w:left="34" w:right="-6"/>
              <w:jc w:val="both"/>
              <w:rPr>
                <w:lang w:val="lv-LV"/>
              </w:rPr>
            </w:pPr>
            <w:r>
              <w:rPr>
                <w:lang w:val="lv-LV"/>
              </w:rPr>
              <w:t>Konceptuālā ziņojuma 2. tabula</w:t>
            </w:r>
          </w:p>
        </w:tc>
        <w:tc>
          <w:tcPr>
            <w:tcW w:w="3770" w:type="dxa"/>
          </w:tcPr>
          <w:p w:rsidR="003448C0" w:rsidP="003448C0" w:rsidRDefault="003448C0" w14:paraId="01F5114D" w14:textId="77777777">
            <w:pPr>
              <w:jc w:val="both"/>
              <w:rPr>
                <w:b/>
                <w:lang w:val="lv-LV"/>
              </w:rPr>
            </w:pPr>
            <w:r>
              <w:rPr>
                <w:b/>
                <w:lang w:val="lv-LV"/>
              </w:rPr>
              <w:t>Finanšu ministrija (15.05.2020.)</w:t>
            </w:r>
          </w:p>
          <w:p w:rsidRPr="00C510D6" w:rsidR="00341E47" w:rsidP="00341E47" w:rsidRDefault="00A70154" w14:paraId="42593C42" w14:textId="5ECA5C3B">
            <w:pPr>
              <w:jc w:val="both"/>
              <w:rPr>
                <w:lang w:val="lv-LV"/>
              </w:rPr>
            </w:pPr>
            <w:r w:rsidRPr="000C798A">
              <w:rPr>
                <w:lang w:val="lv-LV"/>
              </w:rPr>
              <w:t xml:space="preserve">Ievērojot, ka vidēja termiņa budžeta likums šobrīd ir spēkā 2020., 2021. un 2022.gadam, lūdzam ziņojuma 2.tabulā n gadu norādīt kā 2020.gadu, attiecīgi n+1 gadu norādot kā 2021.gadu, n+2 – 2022.gadu un n+3 – 2023.gadu, kā arī 2.tabulas 3.ailē norādīt tikai budžeta apakšprogrammas kodu un nosaukumu. </w:t>
            </w:r>
          </w:p>
        </w:tc>
        <w:tc>
          <w:tcPr>
            <w:tcW w:w="2703" w:type="dxa"/>
          </w:tcPr>
          <w:p w:rsidRPr="003448C0" w:rsidR="00341E47" w:rsidP="0051761B" w:rsidRDefault="003448C0" w14:paraId="3141E70A" w14:textId="4C7DC581">
            <w:pPr>
              <w:jc w:val="both"/>
              <w:rPr>
                <w:b/>
                <w:bCs/>
                <w:lang w:val="lv-LV"/>
              </w:rPr>
            </w:pPr>
            <w:r w:rsidRPr="003448C0">
              <w:rPr>
                <w:b/>
                <w:bCs/>
                <w:lang w:val="lv-LV"/>
              </w:rPr>
              <w:t xml:space="preserve">Iebildums </w:t>
            </w:r>
            <w:r w:rsidR="000B7922">
              <w:rPr>
                <w:b/>
                <w:bCs/>
                <w:lang w:val="lv-LV"/>
              </w:rPr>
              <w:t xml:space="preserve">ir </w:t>
            </w:r>
            <w:r w:rsidRPr="003448C0">
              <w:rPr>
                <w:b/>
                <w:bCs/>
                <w:lang w:val="lv-LV"/>
              </w:rPr>
              <w:t>ņemts vērā.</w:t>
            </w:r>
          </w:p>
          <w:p w:rsidRPr="003448C0" w:rsidR="003448C0" w:rsidP="0051761B" w:rsidRDefault="003448C0" w14:paraId="7469834B" w14:textId="018ECFE6">
            <w:pPr>
              <w:jc w:val="both"/>
              <w:rPr>
                <w:lang w:val="lv-LV"/>
              </w:rPr>
            </w:pPr>
          </w:p>
        </w:tc>
        <w:tc>
          <w:tcPr>
            <w:tcW w:w="2960" w:type="dxa"/>
          </w:tcPr>
          <w:p w:rsidRPr="003448C0" w:rsidR="00341E47" w:rsidP="0051761B" w:rsidRDefault="003448C0" w14:paraId="0EDED3DA" w14:textId="0A4DE3FB">
            <w:pPr>
              <w:pStyle w:val="BodyText"/>
              <w:jc w:val="both"/>
              <w:rPr>
                <w:sz w:val="24"/>
              </w:rPr>
            </w:pPr>
            <w:r w:rsidRPr="003448C0">
              <w:rPr>
                <w:sz w:val="24"/>
              </w:rPr>
              <w:t>Precizētā konceptuālā ziņojuma 2. tabula.</w:t>
            </w:r>
          </w:p>
        </w:tc>
      </w:tr>
      <w:tr w:rsidRPr="000B7922" w:rsidR="00387A1F" w:rsidTr="00322FBF" w14:paraId="768AC896" w14:textId="77777777">
        <w:trPr>
          <w:trHeight w:val="85"/>
          <w:jc w:val="center"/>
        </w:trPr>
        <w:tc>
          <w:tcPr>
            <w:tcW w:w="977" w:type="dxa"/>
          </w:tcPr>
          <w:p w:rsidR="00387A1F" w:rsidP="0051761B" w:rsidRDefault="00387A1F" w14:paraId="1A0913CD" w14:textId="05F0CA10">
            <w:pPr>
              <w:jc w:val="both"/>
              <w:rPr>
                <w:lang w:val="lv-LV"/>
              </w:rPr>
            </w:pPr>
            <w:r>
              <w:rPr>
                <w:lang w:val="lv-LV"/>
              </w:rPr>
              <w:t>32.</w:t>
            </w:r>
          </w:p>
        </w:tc>
        <w:tc>
          <w:tcPr>
            <w:tcW w:w="2846" w:type="dxa"/>
          </w:tcPr>
          <w:p w:rsidR="00387A1F" w:rsidP="0051761B" w:rsidRDefault="00C73EB6" w14:paraId="69495DD0" w14:textId="474222E1">
            <w:pPr>
              <w:ind w:left="34" w:right="-6"/>
              <w:jc w:val="both"/>
              <w:rPr>
                <w:lang w:val="lv-LV"/>
              </w:rPr>
            </w:pPr>
            <w:r>
              <w:rPr>
                <w:lang w:val="lv-LV"/>
              </w:rPr>
              <w:t xml:space="preserve">Rīkojuma projekta 3. punkts, konceptuālā ziņojuma </w:t>
            </w:r>
            <w:r w:rsidR="00387A1F">
              <w:rPr>
                <w:lang w:val="lv-LV"/>
              </w:rPr>
              <w:t xml:space="preserve"> </w:t>
            </w:r>
            <w:r>
              <w:rPr>
                <w:lang w:val="lv-LV"/>
              </w:rPr>
              <w:t>4. nodaļas 2. punkts</w:t>
            </w:r>
          </w:p>
        </w:tc>
        <w:tc>
          <w:tcPr>
            <w:tcW w:w="3770" w:type="dxa"/>
          </w:tcPr>
          <w:p w:rsidR="00387A1F" w:rsidP="00387A1F" w:rsidRDefault="00387A1F" w14:paraId="7A80E740" w14:textId="2FE03FC5">
            <w:pPr>
              <w:jc w:val="both"/>
              <w:rPr>
                <w:b/>
                <w:lang w:val="lv-LV"/>
              </w:rPr>
            </w:pPr>
            <w:r w:rsidRPr="0065255C">
              <w:rPr>
                <w:b/>
                <w:lang w:val="lv-LV"/>
              </w:rPr>
              <w:t>Finanšu ministrija (28.05.2020.)</w:t>
            </w:r>
          </w:p>
          <w:p w:rsidRPr="00C73EB6" w:rsidR="00387A1F" w:rsidP="003448C0" w:rsidRDefault="00C73EB6" w14:paraId="3EA0D333" w14:textId="5A020E08">
            <w:pPr>
              <w:jc w:val="both"/>
              <w:rPr>
                <w:bCs/>
                <w:lang w:val="lv-LV"/>
              </w:rPr>
            </w:pPr>
            <w:r w:rsidRPr="00C73EB6">
              <w:rPr>
                <w:bCs/>
                <w:lang w:val="lv-LV"/>
              </w:rPr>
              <w:t xml:space="preserve">Lūdzam svītrot MK rīkojuma projekta 3.punktu, ņemot vērā, ka tajā noteiktais ir pretrunā MK 2014.gada 16.decembra noteikumiem Nr.784 “Kārtība, kādā Eiropas Savienības struktūrfondu un Kohēzijas fonda vadībā iesaistītās institūcijas nodrošina plānošanas dokumentu sagatavošanu un šo fondu ieviešanu 2014.–2020.gada plānošanas periodā”, kas regulē Eiropas Savienības struktūrfondu un Kohēzijas fondu (turpmāk – ES fondi) projektu vērtēšanu, apstiprināšanu un līgumu slēgšanu noteiktā kārtībā. Attiecīgi ES fondu projektam finansējums tiks piešķirts noteiktā kārtībā, secīgi izstrādājot MK noteikumus par ES fondu specifiskā atbalsta mērķa īstenošanu, tai skaitā paredzot pieejamo ES </w:t>
            </w:r>
            <w:r w:rsidRPr="00C73EB6">
              <w:rPr>
                <w:bCs/>
                <w:lang w:val="lv-LV"/>
              </w:rPr>
              <w:lastRenderedPageBreak/>
              <w:t>fondu finansējumu un nacionālo līdzfinansējumu, izstrādājot projektu iesniegumu vērtēšanas dokumentāciju, veicot projektu iesniegumu atlasi un atbilstoši projektu iesniegumu atlases rezultātiem, noraidot vai apstiprinot projektu un slēdzot līgumu par projekta īstenošanu. Ņemot vērā minēto Centrālā finanšu un līgumu aģentūra (turpmāk – CFLA) kā sadarbības iestāde ES fondu finansējumu var piešķirt tikai gadījumā, ja projekta iesniedzējs ievēro visas ar atlases norisi noteiktās prasības un pirms to izpildes noteiktā kārtībā un apjomā nav atbalstāms jau MK līmenī noteikt pienākumu CFLA piešķirt konkrētu projekta īstenošanai paredzētu finansējumu. Attiecīgi aicinām precizēt arī ziņojumu, svītrojot šo punktu 4.sadaļā “Iespējamā turpmākā rīcība”.</w:t>
            </w:r>
          </w:p>
        </w:tc>
        <w:tc>
          <w:tcPr>
            <w:tcW w:w="2703" w:type="dxa"/>
          </w:tcPr>
          <w:p w:rsidRPr="00B1760F" w:rsidR="00387A1F" w:rsidP="0051761B" w:rsidRDefault="00457EEB" w14:paraId="3FBFBF05" w14:textId="14412DB0">
            <w:pPr>
              <w:jc w:val="both"/>
              <w:rPr>
                <w:lang w:val="lv-LV"/>
              </w:rPr>
            </w:pPr>
            <w:r w:rsidRPr="003448C0">
              <w:rPr>
                <w:b/>
                <w:bCs/>
                <w:lang w:val="lv-LV"/>
              </w:rPr>
              <w:lastRenderedPageBreak/>
              <w:t xml:space="preserve">Iebildums </w:t>
            </w:r>
            <w:r w:rsidR="000B7922">
              <w:rPr>
                <w:b/>
                <w:bCs/>
                <w:lang w:val="lv-LV"/>
              </w:rPr>
              <w:t xml:space="preserve">ir </w:t>
            </w:r>
            <w:r w:rsidRPr="003448C0">
              <w:rPr>
                <w:b/>
                <w:bCs/>
                <w:lang w:val="lv-LV"/>
              </w:rPr>
              <w:t>ņemts vērā</w:t>
            </w:r>
            <w:r w:rsidR="00B1760F">
              <w:rPr>
                <w:b/>
                <w:bCs/>
                <w:lang w:val="lv-LV"/>
              </w:rPr>
              <w:t xml:space="preserve">. </w:t>
            </w:r>
          </w:p>
          <w:p w:rsidRPr="003448C0" w:rsidR="00B1760F" w:rsidP="0051761B" w:rsidRDefault="00B1760F" w14:paraId="3AD30ED0" w14:textId="19816FC4">
            <w:pPr>
              <w:jc w:val="both"/>
              <w:rPr>
                <w:b/>
                <w:bCs/>
                <w:lang w:val="lv-LV"/>
              </w:rPr>
            </w:pPr>
          </w:p>
        </w:tc>
        <w:tc>
          <w:tcPr>
            <w:tcW w:w="2960" w:type="dxa"/>
          </w:tcPr>
          <w:p w:rsidRPr="00B1760F" w:rsidR="00387A1F" w:rsidP="0051761B" w:rsidRDefault="00B1760F" w14:paraId="4DEC1FBF" w14:textId="35CC475B">
            <w:pPr>
              <w:pStyle w:val="BodyText"/>
              <w:jc w:val="both"/>
              <w:rPr>
                <w:sz w:val="24"/>
              </w:rPr>
            </w:pPr>
            <w:r w:rsidRPr="00B1760F">
              <w:rPr>
                <w:sz w:val="24"/>
              </w:rPr>
              <w:t>Svītrots rīkojuma projekta 3.</w:t>
            </w:r>
            <w:r>
              <w:rPr>
                <w:sz w:val="24"/>
              </w:rPr>
              <w:t> </w:t>
            </w:r>
            <w:r w:rsidRPr="00B1760F">
              <w:rPr>
                <w:sz w:val="24"/>
              </w:rPr>
              <w:t>punkts un konceptuālā z</w:t>
            </w:r>
            <w:r>
              <w:rPr>
                <w:sz w:val="24"/>
              </w:rPr>
              <w:t>i</w:t>
            </w:r>
            <w:r w:rsidRPr="00B1760F">
              <w:rPr>
                <w:sz w:val="24"/>
              </w:rPr>
              <w:t>ņojuma 4. nodaļas 2.</w:t>
            </w:r>
            <w:r w:rsidR="00270BF0">
              <w:rPr>
                <w:sz w:val="24"/>
              </w:rPr>
              <w:t> </w:t>
            </w:r>
            <w:r w:rsidRPr="00B1760F">
              <w:rPr>
                <w:sz w:val="24"/>
              </w:rPr>
              <w:t>punkts.</w:t>
            </w:r>
          </w:p>
        </w:tc>
      </w:tr>
    </w:tbl>
    <w:p w:rsidRPr="00127D6A" w:rsidR="006B446A" w:rsidP="0098106E" w:rsidRDefault="006B446A" w14:paraId="5C7F1629" w14:textId="77777777">
      <w:pPr>
        <w:jc w:val="both"/>
        <w:rPr>
          <w:lang w:val="lv-LV"/>
        </w:rPr>
      </w:pPr>
    </w:p>
    <w:p w:rsidRPr="00127D6A" w:rsidR="002C370A" w:rsidP="008E0356" w:rsidRDefault="002C370A" w14:paraId="12821683" w14:textId="77777777">
      <w:pPr>
        <w:spacing w:before="120"/>
        <w:ind w:left="720" w:firstLine="720"/>
        <w:jc w:val="both"/>
        <w:rPr>
          <w:lang w:val="lv-LV"/>
        </w:rPr>
      </w:pPr>
      <w:r w:rsidRPr="00127D6A">
        <w:rPr>
          <w:lang w:val="lv-LV"/>
        </w:rPr>
        <w:t xml:space="preserve">Atbildīgā amatpersona </w:t>
      </w:r>
      <w:r w:rsidRPr="00127D6A">
        <w:rPr>
          <w:lang w:val="lv-LV"/>
        </w:rPr>
        <w:tab/>
      </w:r>
      <w:r w:rsidRPr="00127D6A" w:rsidR="008E0356">
        <w:rPr>
          <w:lang w:val="lv-LV"/>
        </w:rPr>
        <w:tab/>
      </w:r>
      <w:r w:rsidRPr="00127D6A" w:rsidR="008E0356">
        <w:rPr>
          <w:lang w:val="lv-LV"/>
        </w:rPr>
        <w:tab/>
      </w:r>
      <w:r w:rsidRPr="00127D6A" w:rsidR="008E0356">
        <w:rPr>
          <w:lang w:val="lv-LV"/>
        </w:rPr>
        <w:tab/>
      </w:r>
      <w:r w:rsidRPr="00127D6A" w:rsidR="008E0356">
        <w:rPr>
          <w:lang w:val="lv-LV"/>
        </w:rPr>
        <w:tab/>
      </w:r>
      <w:r w:rsidRPr="00127D6A" w:rsidR="008E0356">
        <w:rPr>
          <w:lang w:val="lv-LV"/>
        </w:rPr>
        <w:tab/>
      </w:r>
      <w:r w:rsidRPr="00127D6A" w:rsidR="008E0356">
        <w:rPr>
          <w:lang w:val="lv-LV"/>
        </w:rPr>
        <w:tab/>
      </w:r>
      <w:r w:rsidRPr="00127D6A" w:rsidR="008E0356">
        <w:rPr>
          <w:lang w:val="lv-LV"/>
        </w:rPr>
        <w:tab/>
      </w:r>
      <w:r w:rsidRPr="00127D6A" w:rsidR="008E0356">
        <w:rPr>
          <w:lang w:val="lv-LV"/>
        </w:rPr>
        <w:tab/>
      </w:r>
      <w:r w:rsidRPr="00127D6A" w:rsidR="00266444">
        <w:rPr>
          <w:lang w:val="lv-LV"/>
        </w:rPr>
        <w:t>T</w:t>
      </w:r>
      <w:r w:rsidRPr="00127D6A" w:rsidR="008E0356">
        <w:rPr>
          <w:lang w:val="lv-LV"/>
        </w:rPr>
        <w:t>. </w:t>
      </w:r>
      <w:r w:rsidRPr="00127D6A" w:rsidR="00266444">
        <w:rPr>
          <w:lang w:val="lv-LV"/>
        </w:rPr>
        <w:t>Vectirāns</w:t>
      </w:r>
      <w:r w:rsidRPr="00127D6A">
        <w:rPr>
          <w:lang w:val="lv-LV"/>
        </w:rPr>
        <w:tab/>
      </w:r>
      <w:r w:rsidRPr="00127D6A">
        <w:rPr>
          <w:lang w:val="lv-LV"/>
        </w:rPr>
        <w:tab/>
      </w:r>
      <w:r w:rsidRPr="00127D6A">
        <w:rPr>
          <w:lang w:val="lv-LV"/>
        </w:rPr>
        <w:tab/>
      </w:r>
      <w:r w:rsidRPr="00127D6A">
        <w:rPr>
          <w:lang w:val="lv-LV"/>
        </w:rPr>
        <w:tab/>
      </w:r>
      <w:r w:rsidRPr="00127D6A">
        <w:rPr>
          <w:lang w:val="lv-LV"/>
        </w:rPr>
        <w:tab/>
      </w:r>
      <w:r w:rsidRPr="00127D6A">
        <w:rPr>
          <w:lang w:val="lv-LV"/>
        </w:rPr>
        <w:tab/>
      </w:r>
      <w:r w:rsidRPr="00127D6A">
        <w:rPr>
          <w:lang w:val="lv-LV"/>
        </w:rPr>
        <w:tab/>
      </w:r>
      <w:r w:rsidRPr="00127D6A">
        <w:rPr>
          <w:lang w:val="lv-LV"/>
        </w:rPr>
        <w:tab/>
      </w:r>
      <w:r w:rsidRPr="00127D6A">
        <w:rPr>
          <w:lang w:val="lv-LV"/>
        </w:rPr>
        <w:tab/>
      </w:r>
    </w:p>
    <w:sectPr w:rsidRPr="00127D6A" w:rsidR="002C370A" w:rsidSect="001E54A5">
      <w:headerReference w:type="even" r:id="rId10"/>
      <w:headerReference w:type="default" r:id="rId11"/>
      <w:footerReference w:type="default" r:id="rId12"/>
      <w:footerReference w:type="first" r:id="rId13"/>
      <w:pgSz w:w="15840" w:h="12240" w:orient="landscape" w:code="1"/>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DFA4F" w14:textId="77777777" w:rsidR="003D5A72" w:rsidRDefault="003D5A72">
      <w:r>
        <w:separator/>
      </w:r>
    </w:p>
  </w:endnote>
  <w:endnote w:type="continuationSeparator" w:id="0">
    <w:p w14:paraId="57BF1F6C" w14:textId="77777777" w:rsidR="003D5A72" w:rsidRDefault="003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C908" w14:textId="0F62763B" w:rsidR="008E0356" w:rsidRPr="008E0356" w:rsidRDefault="008E0356" w:rsidP="008E0356">
    <w:pPr>
      <w:jc w:val="both"/>
      <w:rPr>
        <w:vanish/>
        <w:sz w:val="20"/>
        <w:lang w:val="lv-LV"/>
      </w:rPr>
    </w:pPr>
    <w:r>
      <w:rPr>
        <w:sz w:val="20"/>
        <w:lang w:val="lv-LV"/>
      </w:rPr>
      <w:t>SMizz_</w:t>
    </w:r>
    <w:r w:rsidR="00AB024A">
      <w:rPr>
        <w:sz w:val="20"/>
        <w:lang w:val="lv-LV"/>
      </w:rPr>
      <w:t>2</w:t>
    </w:r>
    <w:r w:rsidR="00457EEB">
      <w:rPr>
        <w:sz w:val="20"/>
        <w:lang w:val="lv-LV"/>
      </w:rPr>
      <w:t>8</w:t>
    </w:r>
    <w:r w:rsidR="00276290">
      <w:rPr>
        <w:sz w:val="20"/>
        <w:lang w:val="lv-LV"/>
      </w:rPr>
      <w:t>0520</w:t>
    </w:r>
    <w:r w:rsidR="004E6AAE">
      <w:rPr>
        <w:sz w:val="20"/>
        <w:lang w:val="lv-LV"/>
      </w:rPr>
      <w:t>_ITS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D501" w14:textId="7B4B6AB8" w:rsidR="0074449C" w:rsidRPr="00266444" w:rsidRDefault="00266444" w:rsidP="00266444">
    <w:pPr>
      <w:pStyle w:val="Footer"/>
    </w:pPr>
    <w:r w:rsidRPr="00266444">
      <w:rPr>
        <w:sz w:val="20"/>
        <w:lang w:val="lv-LV"/>
      </w:rPr>
      <w:t>SMizz_</w:t>
    </w:r>
    <w:r w:rsidR="00AB024A">
      <w:rPr>
        <w:sz w:val="20"/>
        <w:lang w:val="lv-LV"/>
      </w:rPr>
      <w:t>2</w:t>
    </w:r>
    <w:r w:rsidR="00457EEB">
      <w:rPr>
        <w:sz w:val="20"/>
        <w:lang w:val="lv-LV"/>
      </w:rPr>
      <w:t>8</w:t>
    </w:r>
    <w:r w:rsidR="00811FC4">
      <w:rPr>
        <w:sz w:val="20"/>
        <w:lang w:val="lv-LV"/>
      </w:rPr>
      <w:t>0520</w:t>
    </w:r>
    <w:r w:rsidRPr="00266444">
      <w:rPr>
        <w:sz w:val="20"/>
        <w:lang w:val="lv-LV"/>
      </w:rPr>
      <w:t>_</w:t>
    </w:r>
    <w:r w:rsidR="004E6AAE">
      <w:rPr>
        <w:sz w:val="20"/>
        <w:lang w:val="lv-LV"/>
      </w:rPr>
      <w:t>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3A0C" w14:textId="77777777" w:rsidR="003D5A72" w:rsidRDefault="003D5A72">
      <w:r>
        <w:separator/>
      </w:r>
    </w:p>
  </w:footnote>
  <w:footnote w:type="continuationSeparator" w:id="0">
    <w:p w14:paraId="16986E46" w14:textId="77777777" w:rsidR="003D5A72" w:rsidRDefault="003D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5A15200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9C" w:rsidRDefault="0074449C" w14:paraId="777A02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0D9DEEE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FAB">
      <w:rPr>
        <w:rStyle w:val="PageNumber"/>
        <w:noProof/>
      </w:rPr>
      <w:t>2</w:t>
    </w:r>
    <w:r>
      <w:rPr>
        <w:rStyle w:val="PageNumber"/>
      </w:rPr>
      <w:fldChar w:fldCharType="end"/>
    </w:r>
  </w:p>
  <w:p w:rsidR="0074449C" w:rsidRDefault="0074449C" w14:paraId="7EE325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09B"/>
    <w:multiLevelType w:val="hybridMultilevel"/>
    <w:tmpl w:val="0CD81F9A"/>
    <w:lvl w:ilvl="0" w:tplc="08AC2A8E">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A10E41"/>
    <w:multiLevelType w:val="hybridMultilevel"/>
    <w:tmpl w:val="72BE7EDA"/>
    <w:lvl w:ilvl="0" w:tplc="4636F5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C32327"/>
    <w:multiLevelType w:val="hybridMultilevel"/>
    <w:tmpl w:val="95E62C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8096F12"/>
    <w:multiLevelType w:val="hybridMultilevel"/>
    <w:tmpl w:val="6CBCF2B8"/>
    <w:lvl w:ilvl="0" w:tplc="77A6AB0C">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2D1B3A"/>
    <w:multiLevelType w:val="hybridMultilevel"/>
    <w:tmpl w:val="601EE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006AFC"/>
    <w:multiLevelType w:val="hybridMultilevel"/>
    <w:tmpl w:val="6A84A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C435D2"/>
    <w:multiLevelType w:val="hybridMultilevel"/>
    <w:tmpl w:val="6CBCF2B8"/>
    <w:lvl w:ilvl="0" w:tplc="77A6AB0C">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26301F1"/>
    <w:multiLevelType w:val="hybridMultilevel"/>
    <w:tmpl w:val="95E62C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17D640D"/>
    <w:multiLevelType w:val="singleLevel"/>
    <w:tmpl w:val="045C92B0"/>
    <w:lvl w:ilvl="0">
      <w:start w:val="1"/>
      <w:numFmt w:val="upperRoman"/>
      <w:pStyle w:val="Heading5"/>
      <w:lvlText w:val="%1."/>
      <w:lvlJc w:val="left"/>
      <w:pPr>
        <w:tabs>
          <w:tab w:val="num" w:pos="720"/>
        </w:tabs>
        <w:ind w:left="720" w:hanging="720"/>
      </w:pPr>
      <w:rPr>
        <w:rFonts w:hint="default"/>
      </w:rPr>
    </w:lvl>
  </w:abstractNum>
  <w:abstractNum w:abstractNumId="9" w15:restartNumberingAfterBreak="0">
    <w:nsid w:val="67002A07"/>
    <w:multiLevelType w:val="hybridMultilevel"/>
    <w:tmpl w:val="5DFC22D2"/>
    <w:lvl w:ilvl="0" w:tplc="79A2B7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327763"/>
    <w:multiLevelType w:val="hybridMultilevel"/>
    <w:tmpl w:val="6CBCF2B8"/>
    <w:lvl w:ilvl="0" w:tplc="77A6AB0C">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6"/>
  </w:num>
  <w:num w:numId="8">
    <w:abstractNumId w:val="10"/>
  </w:num>
  <w:num w:numId="9">
    <w:abstractNumId w:val="4"/>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34"/>
    <w:rsid w:val="00001E69"/>
    <w:rsid w:val="00002DA3"/>
    <w:rsid w:val="000049E2"/>
    <w:rsid w:val="00005EB9"/>
    <w:rsid w:val="000061A8"/>
    <w:rsid w:val="000069F2"/>
    <w:rsid w:val="000072CF"/>
    <w:rsid w:val="000073B2"/>
    <w:rsid w:val="0000779C"/>
    <w:rsid w:val="00007ECC"/>
    <w:rsid w:val="00011828"/>
    <w:rsid w:val="000138FD"/>
    <w:rsid w:val="00013ADE"/>
    <w:rsid w:val="0001567E"/>
    <w:rsid w:val="000158EE"/>
    <w:rsid w:val="00015E75"/>
    <w:rsid w:val="00015EE9"/>
    <w:rsid w:val="000161DD"/>
    <w:rsid w:val="00016784"/>
    <w:rsid w:val="00016DC1"/>
    <w:rsid w:val="000171BD"/>
    <w:rsid w:val="000213CB"/>
    <w:rsid w:val="000217C4"/>
    <w:rsid w:val="00021C4C"/>
    <w:rsid w:val="00022692"/>
    <w:rsid w:val="00022F85"/>
    <w:rsid w:val="000240BD"/>
    <w:rsid w:val="00025068"/>
    <w:rsid w:val="000251C3"/>
    <w:rsid w:val="00026862"/>
    <w:rsid w:val="00027356"/>
    <w:rsid w:val="0002778C"/>
    <w:rsid w:val="00027BE9"/>
    <w:rsid w:val="00030F74"/>
    <w:rsid w:val="00031275"/>
    <w:rsid w:val="000315EE"/>
    <w:rsid w:val="0003171B"/>
    <w:rsid w:val="0003547A"/>
    <w:rsid w:val="000369B7"/>
    <w:rsid w:val="00036C7B"/>
    <w:rsid w:val="00037DF6"/>
    <w:rsid w:val="00040753"/>
    <w:rsid w:val="000439B9"/>
    <w:rsid w:val="00043FC1"/>
    <w:rsid w:val="00044D91"/>
    <w:rsid w:val="00044E64"/>
    <w:rsid w:val="00045944"/>
    <w:rsid w:val="0004689A"/>
    <w:rsid w:val="00046FFA"/>
    <w:rsid w:val="00050D38"/>
    <w:rsid w:val="000539A8"/>
    <w:rsid w:val="000548CF"/>
    <w:rsid w:val="00055672"/>
    <w:rsid w:val="00061166"/>
    <w:rsid w:val="000616DF"/>
    <w:rsid w:val="00061C76"/>
    <w:rsid w:val="0006231B"/>
    <w:rsid w:val="00062372"/>
    <w:rsid w:val="00062827"/>
    <w:rsid w:val="00062BEF"/>
    <w:rsid w:val="00063A49"/>
    <w:rsid w:val="00065E02"/>
    <w:rsid w:val="00066482"/>
    <w:rsid w:val="000667D5"/>
    <w:rsid w:val="00066CBC"/>
    <w:rsid w:val="000675BC"/>
    <w:rsid w:val="000706E8"/>
    <w:rsid w:val="0007170F"/>
    <w:rsid w:val="000727B8"/>
    <w:rsid w:val="00072BD7"/>
    <w:rsid w:val="0007515F"/>
    <w:rsid w:val="000758FB"/>
    <w:rsid w:val="00076531"/>
    <w:rsid w:val="00076564"/>
    <w:rsid w:val="00077457"/>
    <w:rsid w:val="00077750"/>
    <w:rsid w:val="00077BDE"/>
    <w:rsid w:val="00080F9C"/>
    <w:rsid w:val="0008126D"/>
    <w:rsid w:val="0008197D"/>
    <w:rsid w:val="00081EC4"/>
    <w:rsid w:val="00082162"/>
    <w:rsid w:val="00083374"/>
    <w:rsid w:val="00083660"/>
    <w:rsid w:val="000836DF"/>
    <w:rsid w:val="00083A7E"/>
    <w:rsid w:val="000856AF"/>
    <w:rsid w:val="00086ADF"/>
    <w:rsid w:val="000873C4"/>
    <w:rsid w:val="00087E01"/>
    <w:rsid w:val="00091E96"/>
    <w:rsid w:val="0009216D"/>
    <w:rsid w:val="00092645"/>
    <w:rsid w:val="00092753"/>
    <w:rsid w:val="00092995"/>
    <w:rsid w:val="0009338C"/>
    <w:rsid w:val="00093503"/>
    <w:rsid w:val="00094C6B"/>
    <w:rsid w:val="00094CAC"/>
    <w:rsid w:val="0009712F"/>
    <w:rsid w:val="00097167"/>
    <w:rsid w:val="0009725F"/>
    <w:rsid w:val="000A0FE9"/>
    <w:rsid w:val="000A1BBF"/>
    <w:rsid w:val="000A2723"/>
    <w:rsid w:val="000A3833"/>
    <w:rsid w:val="000A3E4F"/>
    <w:rsid w:val="000A65C7"/>
    <w:rsid w:val="000A6C7C"/>
    <w:rsid w:val="000A6FB6"/>
    <w:rsid w:val="000A7C29"/>
    <w:rsid w:val="000B0891"/>
    <w:rsid w:val="000B08B6"/>
    <w:rsid w:val="000B1B13"/>
    <w:rsid w:val="000B25A6"/>
    <w:rsid w:val="000B2E7D"/>
    <w:rsid w:val="000B3677"/>
    <w:rsid w:val="000B3917"/>
    <w:rsid w:val="000B3B2F"/>
    <w:rsid w:val="000B5840"/>
    <w:rsid w:val="000B75FF"/>
    <w:rsid w:val="000B7922"/>
    <w:rsid w:val="000C1386"/>
    <w:rsid w:val="000C1CB5"/>
    <w:rsid w:val="000C2ED9"/>
    <w:rsid w:val="000C3947"/>
    <w:rsid w:val="000C3CC7"/>
    <w:rsid w:val="000C5AF0"/>
    <w:rsid w:val="000C6339"/>
    <w:rsid w:val="000C6371"/>
    <w:rsid w:val="000C797D"/>
    <w:rsid w:val="000C798A"/>
    <w:rsid w:val="000C7B30"/>
    <w:rsid w:val="000D02BF"/>
    <w:rsid w:val="000D1C65"/>
    <w:rsid w:val="000D2A20"/>
    <w:rsid w:val="000D3AB2"/>
    <w:rsid w:val="000D52C3"/>
    <w:rsid w:val="000D5973"/>
    <w:rsid w:val="000D6ADC"/>
    <w:rsid w:val="000D6B3B"/>
    <w:rsid w:val="000D6B5E"/>
    <w:rsid w:val="000E0CB3"/>
    <w:rsid w:val="000E1305"/>
    <w:rsid w:val="000E1A5D"/>
    <w:rsid w:val="000E3610"/>
    <w:rsid w:val="000E3E6E"/>
    <w:rsid w:val="000E5E36"/>
    <w:rsid w:val="000E76F4"/>
    <w:rsid w:val="000F028E"/>
    <w:rsid w:val="000F075B"/>
    <w:rsid w:val="000F14F5"/>
    <w:rsid w:val="000F2389"/>
    <w:rsid w:val="000F4108"/>
    <w:rsid w:val="000F4130"/>
    <w:rsid w:val="000F46B6"/>
    <w:rsid w:val="000F4EE2"/>
    <w:rsid w:val="000F53D2"/>
    <w:rsid w:val="000F56D9"/>
    <w:rsid w:val="000F5BD0"/>
    <w:rsid w:val="000F67A8"/>
    <w:rsid w:val="000F6A40"/>
    <w:rsid w:val="000F73D9"/>
    <w:rsid w:val="000F7C52"/>
    <w:rsid w:val="0010052D"/>
    <w:rsid w:val="0010074C"/>
    <w:rsid w:val="00100F28"/>
    <w:rsid w:val="001029E3"/>
    <w:rsid w:val="001043D2"/>
    <w:rsid w:val="0010518A"/>
    <w:rsid w:val="001053C0"/>
    <w:rsid w:val="00105CB8"/>
    <w:rsid w:val="00106133"/>
    <w:rsid w:val="0010689F"/>
    <w:rsid w:val="00112030"/>
    <w:rsid w:val="00112B80"/>
    <w:rsid w:val="001147C3"/>
    <w:rsid w:val="001158C3"/>
    <w:rsid w:val="00115A7A"/>
    <w:rsid w:val="00116212"/>
    <w:rsid w:val="001165F3"/>
    <w:rsid w:val="00124F1A"/>
    <w:rsid w:val="001251D9"/>
    <w:rsid w:val="001262F5"/>
    <w:rsid w:val="0012747E"/>
    <w:rsid w:val="0012774C"/>
    <w:rsid w:val="00127D6A"/>
    <w:rsid w:val="00130EFE"/>
    <w:rsid w:val="001311C6"/>
    <w:rsid w:val="001316A1"/>
    <w:rsid w:val="00131CB2"/>
    <w:rsid w:val="001338FC"/>
    <w:rsid w:val="00133AA8"/>
    <w:rsid w:val="00133AB5"/>
    <w:rsid w:val="00133B6B"/>
    <w:rsid w:val="0013554D"/>
    <w:rsid w:val="00136162"/>
    <w:rsid w:val="00140679"/>
    <w:rsid w:val="0014088D"/>
    <w:rsid w:val="00140A4D"/>
    <w:rsid w:val="0014113B"/>
    <w:rsid w:val="001412DC"/>
    <w:rsid w:val="00141A8A"/>
    <w:rsid w:val="00142346"/>
    <w:rsid w:val="00142677"/>
    <w:rsid w:val="0014499F"/>
    <w:rsid w:val="00144F03"/>
    <w:rsid w:val="00146B10"/>
    <w:rsid w:val="00146E29"/>
    <w:rsid w:val="00151201"/>
    <w:rsid w:val="001536A1"/>
    <w:rsid w:val="00155BF2"/>
    <w:rsid w:val="001575BC"/>
    <w:rsid w:val="001619A3"/>
    <w:rsid w:val="00161E46"/>
    <w:rsid w:val="0016233A"/>
    <w:rsid w:val="00163252"/>
    <w:rsid w:val="001638F1"/>
    <w:rsid w:val="00165938"/>
    <w:rsid w:val="0016630E"/>
    <w:rsid w:val="001667CA"/>
    <w:rsid w:val="00166F13"/>
    <w:rsid w:val="00170655"/>
    <w:rsid w:val="00172A95"/>
    <w:rsid w:val="00173A3C"/>
    <w:rsid w:val="00173F04"/>
    <w:rsid w:val="00174CCA"/>
    <w:rsid w:val="00174D93"/>
    <w:rsid w:val="00176FE1"/>
    <w:rsid w:val="001778C7"/>
    <w:rsid w:val="001801FE"/>
    <w:rsid w:val="00180495"/>
    <w:rsid w:val="00181586"/>
    <w:rsid w:val="00181FC8"/>
    <w:rsid w:val="00182511"/>
    <w:rsid w:val="00182945"/>
    <w:rsid w:val="001833D1"/>
    <w:rsid w:val="001857DF"/>
    <w:rsid w:val="00185A3F"/>
    <w:rsid w:val="00186B07"/>
    <w:rsid w:val="00187239"/>
    <w:rsid w:val="00187598"/>
    <w:rsid w:val="0018765D"/>
    <w:rsid w:val="00190A8A"/>
    <w:rsid w:val="00191248"/>
    <w:rsid w:val="00192957"/>
    <w:rsid w:val="001947FF"/>
    <w:rsid w:val="00195308"/>
    <w:rsid w:val="0019541B"/>
    <w:rsid w:val="00195DEB"/>
    <w:rsid w:val="00196681"/>
    <w:rsid w:val="0019684F"/>
    <w:rsid w:val="00196904"/>
    <w:rsid w:val="001970D2"/>
    <w:rsid w:val="00197DC5"/>
    <w:rsid w:val="001A1DF0"/>
    <w:rsid w:val="001A1F88"/>
    <w:rsid w:val="001A23E5"/>
    <w:rsid w:val="001A3DD2"/>
    <w:rsid w:val="001A48EF"/>
    <w:rsid w:val="001A5881"/>
    <w:rsid w:val="001A6E38"/>
    <w:rsid w:val="001B0A81"/>
    <w:rsid w:val="001B2DEF"/>
    <w:rsid w:val="001B3388"/>
    <w:rsid w:val="001B37AE"/>
    <w:rsid w:val="001B4BF7"/>
    <w:rsid w:val="001B5DD1"/>
    <w:rsid w:val="001B68CB"/>
    <w:rsid w:val="001B718F"/>
    <w:rsid w:val="001B73C4"/>
    <w:rsid w:val="001B7657"/>
    <w:rsid w:val="001B7D3B"/>
    <w:rsid w:val="001C0D98"/>
    <w:rsid w:val="001C13F5"/>
    <w:rsid w:val="001C2AC5"/>
    <w:rsid w:val="001C41A9"/>
    <w:rsid w:val="001C42D0"/>
    <w:rsid w:val="001C7056"/>
    <w:rsid w:val="001C7F1D"/>
    <w:rsid w:val="001D0E81"/>
    <w:rsid w:val="001D310F"/>
    <w:rsid w:val="001D397A"/>
    <w:rsid w:val="001D462F"/>
    <w:rsid w:val="001D4656"/>
    <w:rsid w:val="001D48D3"/>
    <w:rsid w:val="001D5342"/>
    <w:rsid w:val="001D5989"/>
    <w:rsid w:val="001D5AA1"/>
    <w:rsid w:val="001D7366"/>
    <w:rsid w:val="001D7C67"/>
    <w:rsid w:val="001E0E18"/>
    <w:rsid w:val="001E1142"/>
    <w:rsid w:val="001E36A5"/>
    <w:rsid w:val="001E54A5"/>
    <w:rsid w:val="001E6870"/>
    <w:rsid w:val="001E7ED5"/>
    <w:rsid w:val="001F12E0"/>
    <w:rsid w:val="001F2945"/>
    <w:rsid w:val="001F3AF9"/>
    <w:rsid w:val="001F4823"/>
    <w:rsid w:val="001F5CE5"/>
    <w:rsid w:val="001F7382"/>
    <w:rsid w:val="001F77C0"/>
    <w:rsid w:val="001F77FF"/>
    <w:rsid w:val="00200725"/>
    <w:rsid w:val="00200EC1"/>
    <w:rsid w:val="00201233"/>
    <w:rsid w:val="00201D2E"/>
    <w:rsid w:val="00201E4B"/>
    <w:rsid w:val="0020265A"/>
    <w:rsid w:val="00202674"/>
    <w:rsid w:val="00205767"/>
    <w:rsid w:val="0020605C"/>
    <w:rsid w:val="00206602"/>
    <w:rsid w:val="002073E5"/>
    <w:rsid w:val="0020798C"/>
    <w:rsid w:val="00207AFA"/>
    <w:rsid w:val="00210515"/>
    <w:rsid w:val="00210758"/>
    <w:rsid w:val="00210D87"/>
    <w:rsid w:val="00211210"/>
    <w:rsid w:val="00212F76"/>
    <w:rsid w:val="002131C2"/>
    <w:rsid w:val="002135B5"/>
    <w:rsid w:val="002136E8"/>
    <w:rsid w:val="00214201"/>
    <w:rsid w:val="0021440A"/>
    <w:rsid w:val="00214990"/>
    <w:rsid w:val="00214EBC"/>
    <w:rsid w:val="0021601C"/>
    <w:rsid w:val="00216135"/>
    <w:rsid w:val="0021662A"/>
    <w:rsid w:val="00216CA9"/>
    <w:rsid w:val="00221209"/>
    <w:rsid w:val="00221470"/>
    <w:rsid w:val="00222F52"/>
    <w:rsid w:val="002242D3"/>
    <w:rsid w:val="0022441E"/>
    <w:rsid w:val="00225130"/>
    <w:rsid w:val="002268C2"/>
    <w:rsid w:val="00226F4F"/>
    <w:rsid w:val="0022769D"/>
    <w:rsid w:val="00230022"/>
    <w:rsid w:val="0023421D"/>
    <w:rsid w:val="00234576"/>
    <w:rsid w:val="00234C80"/>
    <w:rsid w:val="00236201"/>
    <w:rsid w:val="002367A6"/>
    <w:rsid w:val="00236D5A"/>
    <w:rsid w:val="0023787F"/>
    <w:rsid w:val="002419BD"/>
    <w:rsid w:val="00242B3F"/>
    <w:rsid w:val="00242E76"/>
    <w:rsid w:val="00244124"/>
    <w:rsid w:val="002442DC"/>
    <w:rsid w:val="00244BAB"/>
    <w:rsid w:val="00244CBD"/>
    <w:rsid w:val="00244D5B"/>
    <w:rsid w:val="002461CA"/>
    <w:rsid w:val="0024658B"/>
    <w:rsid w:val="002504D9"/>
    <w:rsid w:val="00251AAD"/>
    <w:rsid w:val="002524CE"/>
    <w:rsid w:val="00252A8E"/>
    <w:rsid w:val="00252B93"/>
    <w:rsid w:val="0025394F"/>
    <w:rsid w:val="00253981"/>
    <w:rsid w:val="002547F4"/>
    <w:rsid w:val="00254931"/>
    <w:rsid w:val="002554CE"/>
    <w:rsid w:val="002558A8"/>
    <w:rsid w:val="0025634E"/>
    <w:rsid w:val="0026192A"/>
    <w:rsid w:val="00263349"/>
    <w:rsid w:val="00265778"/>
    <w:rsid w:val="00266444"/>
    <w:rsid w:val="00266D56"/>
    <w:rsid w:val="00267A28"/>
    <w:rsid w:val="00267A67"/>
    <w:rsid w:val="00270782"/>
    <w:rsid w:val="00270BF0"/>
    <w:rsid w:val="00272998"/>
    <w:rsid w:val="00273469"/>
    <w:rsid w:val="00273E4B"/>
    <w:rsid w:val="00274C93"/>
    <w:rsid w:val="00274F39"/>
    <w:rsid w:val="00276290"/>
    <w:rsid w:val="00276737"/>
    <w:rsid w:val="00276F0D"/>
    <w:rsid w:val="00277415"/>
    <w:rsid w:val="00280758"/>
    <w:rsid w:val="002808A5"/>
    <w:rsid w:val="002813EC"/>
    <w:rsid w:val="002816A2"/>
    <w:rsid w:val="00282A6C"/>
    <w:rsid w:val="002838AB"/>
    <w:rsid w:val="0028497C"/>
    <w:rsid w:val="00284EA1"/>
    <w:rsid w:val="00286217"/>
    <w:rsid w:val="002876A0"/>
    <w:rsid w:val="00290062"/>
    <w:rsid w:val="00290511"/>
    <w:rsid w:val="00290CE5"/>
    <w:rsid w:val="00291FBB"/>
    <w:rsid w:val="00294048"/>
    <w:rsid w:val="00294410"/>
    <w:rsid w:val="0029454A"/>
    <w:rsid w:val="00297F96"/>
    <w:rsid w:val="002A0D69"/>
    <w:rsid w:val="002A1A51"/>
    <w:rsid w:val="002A1EF3"/>
    <w:rsid w:val="002A2041"/>
    <w:rsid w:val="002A2172"/>
    <w:rsid w:val="002A3A12"/>
    <w:rsid w:val="002A4BBE"/>
    <w:rsid w:val="002A4DAF"/>
    <w:rsid w:val="002A571F"/>
    <w:rsid w:val="002A668C"/>
    <w:rsid w:val="002B01CE"/>
    <w:rsid w:val="002B0273"/>
    <w:rsid w:val="002B27C5"/>
    <w:rsid w:val="002B2F51"/>
    <w:rsid w:val="002B3372"/>
    <w:rsid w:val="002B46C8"/>
    <w:rsid w:val="002B6233"/>
    <w:rsid w:val="002B682A"/>
    <w:rsid w:val="002B6A20"/>
    <w:rsid w:val="002B7FF9"/>
    <w:rsid w:val="002C0B1B"/>
    <w:rsid w:val="002C1C70"/>
    <w:rsid w:val="002C2569"/>
    <w:rsid w:val="002C27AC"/>
    <w:rsid w:val="002C2A68"/>
    <w:rsid w:val="002C370A"/>
    <w:rsid w:val="002C40D3"/>
    <w:rsid w:val="002C4300"/>
    <w:rsid w:val="002C5C33"/>
    <w:rsid w:val="002C7454"/>
    <w:rsid w:val="002D066E"/>
    <w:rsid w:val="002D1924"/>
    <w:rsid w:val="002D1C36"/>
    <w:rsid w:val="002D1DED"/>
    <w:rsid w:val="002D2C88"/>
    <w:rsid w:val="002D2FAE"/>
    <w:rsid w:val="002D323F"/>
    <w:rsid w:val="002D5A62"/>
    <w:rsid w:val="002D5F72"/>
    <w:rsid w:val="002D6192"/>
    <w:rsid w:val="002D6564"/>
    <w:rsid w:val="002D67D7"/>
    <w:rsid w:val="002E01D9"/>
    <w:rsid w:val="002E0A44"/>
    <w:rsid w:val="002E19D6"/>
    <w:rsid w:val="002E2101"/>
    <w:rsid w:val="002E235A"/>
    <w:rsid w:val="002E27FA"/>
    <w:rsid w:val="002E386B"/>
    <w:rsid w:val="002E4130"/>
    <w:rsid w:val="002E5EAD"/>
    <w:rsid w:val="002F2A5B"/>
    <w:rsid w:val="002F3F8B"/>
    <w:rsid w:val="002F45AB"/>
    <w:rsid w:val="002F6114"/>
    <w:rsid w:val="002F67B4"/>
    <w:rsid w:val="002F6DB0"/>
    <w:rsid w:val="00301452"/>
    <w:rsid w:val="00302A13"/>
    <w:rsid w:val="00303AA3"/>
    <w:rsid w:val="00306125"/>
    <w:rsid w:val="00306D46"/>
    <w:rsid w:val="00307AFF"/>
    <w:rsid w:val="00310C00"/>
    <w:rsid w:val="00312E2C"/>
    <w:rsid w:val="003133BB"/>
    <w:rsid w:val="0031500D"/>
    <w:rsid w:val="00315962"/>
    <w:rsid w:val="00316309"/>
    <w:rsid w:val="00316C4D"/>
    <w:rsid w:val="003179D1"/>
    <w:rsid w:val="0032191B"/>
    <w:rsid w:val="00321DAC"/>
    <w:rsid w:val="00322A45"/>
    <w:rsid w:val="00322FBF"/>
    <w:rsid w:val="0032336E"/>
    <w:rsid w:val="003241C8"/>
    <w:rsid w:val="003248F3"/>
    <w:rsid w:val="0032579A"/>
    <w:rsid w:val="0032700F"/>
    <w:rsid w:val="00327C8E"/>
    <w:rsid w:val="0033041D"/>
    <w:rsid w:val="00330B07"/>
    <w:rsid w:val="00331DF6"/>
    <w:rsid w:val="00332F46"/>
    <w:rsid w:val="00333906"/>
    <w:rsid w:val="00333EF1"/>
    <w:rsid w:val="003340E8"/>
    <w:rsid w:val="003351BC"/>
    <w:rsid w:val="00335EF2"/>
    <w:rsid w:val="00335F6F"/>
    <w:rsid w:val="0033657B"/>
    <w:rsid w:val="00336857"/>
    <w:rsid w:val="003368A0"/>
    <w:rsid w:val="003369A8"/>
    <w:rsid w:val="00337751"/>
    <w:rsid w:val="003377FB"/>
    <w:rsid w:val="00340FD0"/>
    <w:rsid w:val="00341E47"/>
    <w:rsid w:val="00342138"/>
    <w:rsid w:val="00342664"/>
    <w:rsid w:val="00342C5A"/>
    <w:rsid w:val="00342C7D"/>
    <w:rsid w:val="003431B6"/>
    <w:rsid w:val="003448C0"/>
    <w:rsid w:val="0034497D"/>
    <w:rsid w:val="00346ED6"/>
    <w:rsid w:val="0034745B"/>
    <w:rsid w:val="003505D4"/>
    <w:rsid w:val="0035066B"/>
    <w:rsid w:val="00351ABF"/>
    <w:rsid w:val="00351E03"/>
    <w:rsid w:val="003522AB"/>
    <w:rsid w:val="00355BA6"/>
    <w:rsid w:val="00356159"/>
    <w:rsid w:val="0035689D"/>
    <w:rsid w:val="00357715"/>
    <w:rsid w:val="00360678"/>
    <w:rsid w:val="0036070B"/>
    <w:rsid w:val="00360C1F"/>
    <w:rsid w:val="0036213A"/>
    <w:rsid w:val="00363178"/>
    <w:rsid w:val="00363ADF"/>
    <w:rsid w:val="00363BC3"/>
    <w:rsid w:val="0036411A"/>
    <w:rsid w:val="00364823"/>
    <w:rsid w:val="00365F64"/>
    <w:rsid w:val="00366631"/>
    <w:rsid w:val="00370475"/>
    <w:rsid w:val="003707E0"/>
    <w:rsid w:val="00371AAD"/>
    <w:rsid w:val="00372290"/>
    <w:rsid w:val="003723C5"/>
    <w:rsid w:val="00373152"/>
    <w:rsid w:val="00373A82"/>
    <w:rsid w:val="0037571E"/>
    <w:rsid w:val="0037603D"/>
    <w:rsid w:val="003768AD"/>
    <w:rsid w:val="00376A6A"/>
    <w:rsid w:val="00376FDD"/>
    <w:rsid w:val="00377B70"/>
    <w:rsid w:val="00377DC3"/>
    <w:rsid w:val="00380BAC"/>
    <w:rsid w:val="003810DC"/>
    <w:rsid w:val="00384C66"/>
    <w:rsid w:val="00384DBD"/>
    <w:rsid w:val="00385041"/>
    <w:rsid w:val="0038672B"/>
    <w:rsid w:val="003868F0"/>
    <w:rsid w:val="00386E0A"/>
    <w:rsid w:val="00387A1F"/>
    <w:rsid w:val="00387EC1"/>
    <w:rsid w:val="00391691"/>
    <w:rsid w:val="00391767"/>
    <w:rsid w:val="003937F7"/>
    <w:rsid w:val="0039451D"/>
    <w:rsid w:val="003959AD"/>
    <w:rsid w:val="00396099"/>
    <w:rsid w:val="00396E75"/>
    <w:rsid w:val="00397B84"/>
    <w:rsid w:val="00397C3C"/>
    <w:rsid w:val="003A0187"/>
    <w:rsid w:val="003A12EE"/>
    <w:rsid w:val="003A3522"/>
    <w:rsid w:val="003A3640"/>
    <w:rsid w:val="003A4360"/>
    <w:rsid w:val="003B1879"/>
    <w:rsid w:val="003B2A66"/>
    <w:rsid w:val="003B3A05"/>
    <w:rsid w:val="003B5919"/>
    <w:rsid w:val="003B7A3E"/>
    <w:rsid w:val="003B7B3F"/>
    <w:rsid w:val="003C0502"/>
    <w:rsid w:val="003C1064"/>
    <w:rsid w:val="003C1419"/>
    <w:rsid w:val="003C1D42"/>
    <w:rsid w:val="003C1F72"/>
    <w:rsid w:val="003C2B35"/>
    <w:rsid w:val="003C301B"/>
    <w:rsid w:val="003C3134"/>
    <w:rsid w:val="003C600E"/>
    <w:rsid w:val="003C67BC"/>
    <w:rsid w:val="003C7227"/>
    <w:rsid w:val="003D1372"/>
    <w:rsid w:val="003D5A72"/>
    <w:rsid w:val="003D6316"/>
    <w:rsid w:val="003D6FC8"/>
    <w:rsid w:val="003D7379"/>
    <w:rsid w:val="003D7FEF"/>
    <w:rsid w:val="003E1A8B"/>
    <w:rsid w:val="003E256A"/>
    <w:rsid w:val="003E3721"/>
    <w:rsid w:val="003E3976"/>
    <w:rsid w:val="003E4467"/>
    <w:rsid w:val="003E5B2B"/>
    <w:rsid w:val="003E5EEB"/>
    <w:rsid w:val="003E6141"/>
    <w:rsid w:val="003E695D"/>
    <w:rsid w:val="003F2B27"/>
    <w:rsid w:val="003F452E"/>
    <w:rsid w:val="003F51CD"/>
    <w:rsid w:val="003F66B4"/>
    <w:rsid w:val="003F7680"/>
    <w:rsid w:val="003F7C08"/>
    <w:rsid w:val="0040362B"/>
    <w:rsid w:val="00404BB9"/>
    <w:rsid w:val="00406474"/>
    <w:rsid w:val="0040687C"/>
    <w:rsid w:val="00407F98"/>
    <w:rsid w:val="004118B0"/>
    <w:rsid w:val="00414FAE"/>
    <w:rsid w:val="00415914"/>
    <w:rsid w:val="00416FA4"/>
    <w:rsid w:val="00417DDE"/>
    <w:rsid w:val="00417ECE"/>
    <w:rsid w:val="00422242"/>
    <w:rsid w:val="00422F37"/>
    <w:rsid w:val="00424A88"/>
    <w:rsid w:val="00424C56"/>
    <w:rsid w:val="00424F4F"/>
    <w:rsid w:val="00425A54"/>
    <w:rsid w:val="00426410"/>
    <w:rsid w:val="00431FC7"/>
    <w:rsid w:val="004346B0"/>
    <w:rsid w:val="004347F9"/>
    <w:rsid w:val="0043576B"/>
    <w:rsid w:val="00435AF1"/>
    <w:rsid w:val="004418BA"/>
    <w:rsid w:val="004427D6"/>
    <w:rsid w:val="00444B4D"/>
    <w:rsid w:val="00444BF6"/>
    <w:rsid w:val="00445AA3"/>
    <w:rsid w:val="004476B5"/>
    <w:rsid w:val="0044774B"/>
    <w:rsid w:val="004500D2"/>
    <w:rsid w:val="00450820"/>
    <w:rsid w:val="0045552D"/>
    <w:rsid w:val="00456A8E"/>
    <w:rsid w:val="00457C29"/>
    <w:rsid w:val="00457D6A"/>
    <w:rsid w:val="00457EEB"/>
    <w:rsid w:val="00461360"/>
    <w:rsid w:val="004615D9"/>
    <w:rsid w:val="00461D82"/>
    <w:rsid w:val="0046232D"/>
    <w:rsid w:val="004627C5"/>
    <w:rsid w:val="004628ED"/>
    <w:rsid w:val="00462AFF"/>
    <w:rsid w:val="004665D7"/>
    <w:rsid w:val="00466822"/>
    <w:rsid w:val="00467F75"/>
    <w:rsid w:val="00470180"/>
    <w:rsid w:val="004734A2"/>
    <w:rsid w:val="00473B78"/>
    <w:rsid w:val="00474603"/>
    <w:rsid w:val="00475ED7"/>
    <w:rsid w:val="00477DE3"/>
    <w:rsid w:val="00480E44"/>
    <w:rsid w:val="004821B6"/>
    <w:rsid w:val="00482361"/>
    <w:rsid w:val="004834BE"/>
    <w:rsid w:val="00484F1A"/>
    <w:rsid w:val="004850B0"/>
    <w:rsid w:val="00485CF4"/>
    <w:rsid w:val="00485D59"/>
    <w:rsid w:val="0048747B"/>
    <w:rsid w:val="0048766F"/>
    <w:rsid w:val="00491769"/>
    <w:rsid w:val="0049304D"/>
    <w:rsid w:val="00493107"/>
    <w:rsid w:val="00493B30"/>
    <w:rsid w:val="004940C5"/>
    <w:rsid w:val="004955E0"/>
    <w:rsid w:val="004960C7"/>
    <w:rsid w:val="0049626D"/>
    <w:rsid w:val="004967EE"/>
    <w:rsid w:val="004975AB"/>
    <w:rsid w:val="00497F21"/>
    <w:rsid w:val="004A0E27"/>
    <w:rsid w:val="004A2B5C"/>
    <w:rsid w:val="004A3213"/>
    <w:rsid w:val="004A44E9"/>
    <w:rsid w:val="004A66F7"/>
    <w:rsid w:val="004B103D"/>
    <w:rsid w:val="004B110A"/>
    <w:rsid w:val="004B1978"/>
    <w:rsid w:val="004B2685"/>
    <w:rsid w:val="004B2D73"/>
    <w:rsid w:val="004B2D86"/>
    <w:rsid w:val="004B30D2"/>
    <w:rsid w:val="004B39C7"/>
    <w:rsid w:val="004B5474"/>
    <w:rsid w:val="004B7953"/>
    <w:rsid w:val="004C0BBE"/>
    <w:rsid w:val="004C322C"/>
    <w:rsid w:val="004C37DA"/>
    <w:rsid w:val="004C3888"/>
    <w:rsid w:val="004C410F"/>
    <w:rsid w:val="004C4272"/>
    <w:rsid w:val="004C42B1"/>
    <w:rsid w:val="004C54D7"/>
    <w:rsid w:val="004C58F9"/>
    <w:rsid w:val="004C5CE5"/>
    <w:rsid w:val="004C5E5C"/>
    <w:rsid w:val="004C5EC2"/>
    <w:rsid w:val="004C6800"/>
    <w:rsid w:val="004D079F"/>
    <w:rsid w:val="004D0A3C"/>
    <w:rsid w:val="004D1021"/>
    <w:rsid w:val="004D1BEF"/>
    <w:rsid w:val="004D2F25"/>
    <w:rsid w:val="004D31D3"/>
    <w:rsid w:val="004D3363"/>
    <w:rsid w:val="004D54A5"/>
    <w:rsid w:val="004D5F16"/>
    <w:rsid w:val="004D6354"/>
    <w:rsid w:val="004D6EF1"/>
    <w:rsid w:val="004D76BD"/>
    <w:rsid w:val="004E14AA"/>
    <w:rsid w:val="004E17BA"/>
    <w:rsid w:val="004E2569"/>
    <w:rsid w:val="004E3697"/>
    <w:rsid w:val="004E4595"/>
    <w:rsid w:val="004E5257"/>
    <w:rsid w:val="004E5F9A"/>
    <w:rsid w:val="004E698E"/>
    <w:rsid w:val="004E6AAE"/>
    <w:rsid w:val="004E7DB9"/>
    <w:rsid w:val="004F006B"/>
    <w:rsid w:val="004F019C"/>
    <w:rsid w:val="004F07DC"/>
    <w:rsid w:val="004F0EE6"/>
    <w:rsid w:val="004F1345"/>
    <w:rsid w:val="004F2369"/>
    <w:rsid w:val="004F37B7"/>
    <w:rsid w:val="004F61D4"/>
    <w:rsid w:val="004F677D"/>
    <w:rsid w:val="004F74FF"/>
    <w:rsid w:val="0050061F"/>
    <w:rsid w:val="00501757"/>
    <w:rsid w:val="005017C2"/>
    <w:rsid w:val="0050184D"/>
    <w:rsid w:val="005022D1"/>
    <w:rsid w:val="00502356"/>
    <w:rsid w:val="00503243"/>
    <w:rsid w:val="00503C1B"/>
    <w:rsid w:val="0050746A"/>
    <w:rsid w:val="00507634"/>
    <w:rsid w:val="00507DD8"/>
    <w:rsid w:val="00510196"/>
    <w:rsid w:val="005110DA"/>
    <w:rsid w:val="005120C9"/>
    <w:rsid w:val="005125E2"/>
    <w:rsid w:val="00512F74"/>
    <w:rsid w:val="00513F0C"/>
    <w:rsid w:val="00515E92"/>
    <w:rsid w:val="00516D9E"/>
    <w:rsid w:val="0051761B"/>
    <w:rsid w:val="005215A3"/>
    <w:rsid w:val="00522C05"/>
    <w:rsid w:val="005249BA"/>
    <w:rsid w:val="00524EF3"/>
    <w:rsid w:val="00524F85"/>
    <w:rsid w:val="00525297"/>
    <w:rsid w:val="005276A7"/>
    <w:rsid w:val="00527FC4"/>
    <w:rsid w:val="00530AB5"/>
    <w:rsid w:val="00530F7F"/>
    <w:rsid w:val="00531C85"/>
    <w:rsid w:val="00535810"/>
    <w:rsid w:val="005366BF"/>
    <w:rsid w:val="00537314"/>
    <w:rsid w:val="00537646"/>
    <w:rsid w:val="00541171"/>
    <w:rsid w:val="005420B1"/>
    <w:rsid w:val="0054298D"/>
    <w:rsid w:val="00542E3D"/>
    <w:rsid w:val="00543349"/>
    <w:rsid w:val="00543411"/>
    <w:rsid w:val="00545D78"/>
    <w:rsid w:val="00545E25"/>
    <w:rsid w:val="00546B91"/>
    <w:rsid w:val="00546F13"/>
    <w:rsid w:val="00547270"/>
    <w:rsid w:val="00547521"/>
    <w:rsid w:val="00551F02"/>
    <w:rsid w:val="005539C9"/>
    <w:rsid w:val="005544E6"/>
    <w:rsid w:val="0055506A"/>
    <w:rsid w:val="00555184"/>
    <w:rsid w:val="0055546A"/>
    <w:rsid w:val="005565A0"/>
    <w:rsid w:val="00560643"/>
    <w:rsid w:val="00560E3A"/>
    <w:rsid w:val="005610E4"/>
    <w:rsid w:val="005611A5"/>
    <w:rsid w:val="0056457C"/>
    <w:rsid w:val="005655F7"/>
    <w:rsid w:val="00565F15"/>
    <w:rsid w:val="005665C2"/>
    <w:rsid w:val="00570EB6"/>
    <w:rsid w:val="005712F0"/>
    <w:rsid w:val="00571EE2"/>
    <w:rsid w:val="005726EE"/>
    <w:rsid w:val="00573FCF"/>
    <w:rsid w:val="00575306"/>
    <w:rsid w:val="005779A3"/>
    <w:rsid w:val="00581FEE"/>
    <w:rsid w:val="00582B68"/>
    <w:rsid w:val="00583F10"/>
    <w:rsid w:val="005847FF"/>
    <w:rsid w:val="0058563F"/>
    <w:rsid w:val="00587153"/>
    <w:rsid w:val="00587437"/>
    <w:rsid w:val="005879D0"/>
    <w:rsid w:val="00587F56"/>
    <w:rsid w:val="0059004E"/>
    <w:rsid w:val="005938AE"/>
    <w:rsid w:val="00594071"/>
    <w:rsid w:val="00594F84"/>
    <w:rsid w:val="00595D91"/>
    <w:rsid w:val="00596C8F"/>
    <w:rsid w:val="005A0578"/>
    <w:rsid w:val="005A0DA1"/>
    <w:rsid w:val="005A0FBB"/>
    <w:rsid w:val="005A14CA"/>
    <w:rsid w:val="005A14D3"/>
    <w:rsid w:val="005A437C"/>
    <w:rsid w:val="005A55A7"/>
    <w:rsid w:val="005A68B6"/>
    <w:rsid w:val="005A69CF"/>
    <w:rsid w:val="005A753D"/>
    <w:rsid w:val="005B0C04"/>
    <w:rsid w:val="005B3766"/>
    <w:rsid w:val="005B3BF2"/>
    <w:rsid w:val="005B3C27"/>
    <w:rsid w:val="005B4418"/>
    <w:rsid w:val="005B4ACF"/>
    <w:rsid w:val="005B6B79"/>
    <w:rsid w:val="005B75C8"/>
    <w:rsid w:val="005B79E9"/>
    <w:rsid w:val="005B7EE8"/>
    <w:rsid w:val="005C0604"/>
    <w:rsid w:val="005C0A6A"/>
    <w:rsid w:val="005C16F8"/>
    <w:rsid w:val="005C213D"/>
    <w:rsid w:val="005C23A8"/>
    <w:rsid w:val="005C4D9B"/>
    <w:rsid w:val="005C4E2B"/>
    <w:rsid w:val="005C5E66"/>
    <w:rsid w:val="005C6648"/>
    <w:rsid w:val="005C786A"/>
    <w:rsid w:val="005D00CC"/>
    <w:rsid w:val="005D1545"/>
    <w:rsid w:val="005D1695"/>
    <w:rsid w:val="005D2316"/>
    <w:rsid w:val="005D2804"/>
    <w:rsid w:val="005D55A2"/>
    <w:rsid w:val="005D5A39"/>
    <w:rsid w:val="005D5DF1"/>
    <w:rsid w:val="005E0E15"/>
    <w:rsid w:val="005E1EFB"/>
    <w:rsid w:val="005E2E04"/>
    <w:rsid w:val="005E3808"/>
    <w:rsid w:val="005E59D1"/>
    <w:rsid w:val="005E622B"/>
    <w:rsid w:val="005E67A3"/>
    <w:rsid w:val="005E6A32"/>
    <w:rsid w:val="005E6AD7"/>
    <w:rsid w:val="005E7C34"/>
    <w:rsid w:val="005F0591"/>
    <w:rsid w:val="005F10DA"/>
    <w:rsid w:val="005F1421"/>
    <w:rsid w:val="005F1A91"/>
    <w:rsid w:val="005F3961"/>
    <w:rsid w:val="005F40FA"/>
    <w:rsid w:val="005F43CA"/>
    <w:rsid w:val="00600F34"/>
    <w:rsid w:val="006019BB"/>
    <w:rsid w:val="00602923"/>
    <w:rsid w:val="0060387D"/>
    <w:rsid w:val="006050DB"/>
    <w:rsid w:val="0060537C"/>
    <w:rsid w:val="00605C37"/>
    <w:rsid w:val="00606BC4"/>
    <w:rsid w:val="00610C03"/>
    <w:rsid w:val="006111CF"/>
    <w:rsid w:val="00612716"/>
    <w:rsid w:val="00612C6A"/>
    <w:rsid w:val="0061322C"/>
    <w:rsid w:val="00613352"/>
    <w:rsid w:val="006135EB"/>
    <w:rsid w:val="00615613"/>
    <w:rsid w:val="006170C7"/>
    <w:rsid w:val="006215BF"/>
    <w:rsid w:val="0062220E"/>
    <w:rsid w:val="006246DD"/>
    <w:rsid w:val="006265EB"/>
    <w:rsid w:val="00626E63"/>
    <w:rsid w:val="00627D37"/>
    <w:rsid w:val="00631E58"/>
    <w:rsid w:val="00632EC4"/>
    <w:rsid w:val="00633D1E"/>
    <w:rsid w:val="00634A65"/>
    <w:rsid w:val="006354B9"/>
    <w:rsid w:val="00635EA6"/>
    <w:rsid w:val="006365BA"/>
    <w:rsid w:val="006366D2"/>
    <w:rsid w:val="00636B6A"/>
    <w:rsid w:val="00636D57"/>
    <w:rsid w:val="00636D92"/>
    <w:rsid w:val="0064039E"/>
    <w:rsid w:val="00641241"/>
    <w:rsid w:val="00641B1A"/>
    <w:rsid w:val="00641F88"/>
    <w:rsid w:val="00642078"/>
    <w:rsid w:val="00642FC0"/>
    <w:rsid w:val="00644EB1"/>
    <w:rsid w:val="00644EEE"/>
    <w:rsid w:val="00645192"/>
    <w:rsid w:val="00645D90"/>
    <w:rsid w:val="006462D6"/>
    <w:rsid w:val="00646539"/>
    <w:rsid w:val="00650D61"/>
    <w:rsid w:val="00651048"/>
    <w:rsid w:val="00651B08"/>
    <w:rsid w:val="00652002"/>
    <w:rsid w:val="00652145"/>
    <w:rsid w:val="006524BB"/>
    <w:rsid w:val="0065255C"/>
    <w:rsid w:val="00653977"/>
    <w:rsid w:val="00654C06"/>
    <w:rsid w:val="00654F51"/>
    <w:rsid w:val="00654FBF"/>
    <w:rsid w:val="00655E34"/>
    <w:rsid w:val="00656590"/>
    <w:rsid w:val="00656955"/>
    <w:rsid w:val="00657786"/>
    <w:rsid w:val="00657D98"/>
    <w:rsid w:val="0066068B"/>
    <w:rsid w:val="00660851"/>
    <w:rsid w:val="00661F9D"/>
    <w:rsid w:val="00662B87"/>
    <w:rsid w:val="00662F93"/>
    <w:rsid w:val="0066364D"/>
    <w:rsid w:val="00665DF2"/>
    <w:rsid w:val="00672258"/>
    <w:rsid w:val="006749E6"/>
    <w:rsid w:val="00674DCA"/>
    <w:rsid w:val="0067736F"/>
    <w:rsid w:val="00677582"/>
    <w:rsid w:val="00680840"/>
    <w:rsid w:val="00681082"/>
    <w:rsid w:val="00681158"/>
    <w:rsid w:val="00681532"/>
    <w:rsid w:val="00681EF3"/>
    <w:rsid w:val="0068357E"/>
    <w:rsid w:val="00685BC6"/>
    <w:rsid w:val="0068777C"/>
    <w:rsid w:val="006908D4"/>
    <w:rsid w:val="0069091E"/>
    <w:rsid w:val="00691B33"/>
    <w:rsid w:val="006925F7"/>
    <w:rsid w:val="00693444"/>
    <w:rsid w:val="00694455"/>
    <w:rsid w:val="00694593"/>
    <w:rsid w:val="00694EAE"/>
    <w:rsid w:val="00695569"/>
    <w:rsid w:val="00695613"/>
    <w:rsid w:val="00696FF1"/>
    <w:rsid w:val="00697712"/>
    <w:rsid w:val="00697968"/>
    <w:rsid w:val="006A0BD2"/>
    <w:rsid w:val="006A27F8"/>
    <w:rsid w:val="006A3809"/>
    <w:rsid w:val="006A446E"/>
    <w:rsid w:val="006A4752"/>
    <w:rsid w:val="006A59EA"/>
    <w:rsid w:val="006B0362"/>
    <w:rsid w:val="006B07D3"/>
    <w:rsid w:val="006B0850"/>
    <w:rsid w:val="006B3166"/>
    <w:rsid w:val="006B334E"/>
    <w:rsid w:val="006B3F78"/>
    <w:rsid w:val="006B4123"/>
    <w:rsid w:val="006B446A"/>
    <w:rsid w:val="006B6A5C"/>
    <w:rsid w:val="006B7548"/>
    <w:rsid w:val="006C1336"/>
    <w:rsid w:val="006C13B9"/>
    <w:rsid w:val="006C259F"/>
    <w:rsid w:val="006C3096"/>
    <w:rsid w:val="006C33AC"/>
    <w:rsid w:val="006C4387"/>
    <w:rsid w:val="006C4492"/>
    <w:rsid w:val="006C46B3"/>
    <w:rsid w:val="006C4D45"/>
    <w:rsid w:val="006C4F61"/>
    <w:rsid w:val="006C5389"/>
    <w:rsid w:val="006C6491"/>
    <w:rsid w:val="006C6721"/>
    <w:rsid w:val="006C743E"/>
    <w:rsid w:val="006C7AE6"/>
    <w:rsid w:val="006C7D72"/>
    <w:rsid w:val="006D03D9"/>
    <w:rsid w:val="006D20E5"/>
    <w:rsid w:val="006D2A25"/>
    <w:rsid w:val="006D395F"/>
    <w:rsid w:val="006D3EFD"/>
    <w:rsid w:val="006D4500"/>
    <w:rsid w:val="006D4D44"/>
    <w:rsid w:val="006D506C"/>
    <w:rsid w:val="006D5432"/>
    <w:rsid w:val="006E0EF8"/>
    <w:rsid w:val="006E165D"/>
    <w:rsid w:val="006E18E2"/>
    <w:rsid w:val="006E19BC"/>
    <w:rsid w:val="006E1BFC"/>
    <w:rsid w:val="006E46F2"/>
    <w:rsid w:val="006E58E6"/>
    <w:rsid w:val="006E5904"/>
    <w:rsid w:val="006E5C48"/>
    <w:rsid w:val="006E5FD7"/>
    <w:rsid w:val="006E61D5"/>
    <w:rsid w:val="006E6D9D"/>
    <w:rsid w:val="006E6DE8"/>
    <w:rsid w:val="006E6E38"/>
    <w:rsid w:val="006E73E4"/>
    <w:rsid w:val="006F0721"/>
    <w:rsid w:val="006F0E57"/>
    <w:rsid w:val="006F1AD4"/>
    <w:rsid w:val="006F1D7D"/>
    <w:rsid w:val="006F1E11"/>
    <w:rsid w:val="006F2741"/>
    <w:rsid w:val="006F2757"/>
    <w:rsid w:val="006F2FAB"/>
    <w:rsid w:val="006F3B0D"/>
    <w:rsid w:val="006F450C"/>
    <w:rsid w:val="006F4B46"/>
    <w:rsid w:val="006F70F7"/>
    <w:rsid w:val="00701174"/>
    <w:rsid w:val="007015B1"/>
    <w:rsid w:val="007035A4"/>
    <w:rsid w:val="00703691"/>
    <w:rsid w:val="007036C2"/>
    <w:rsid w:val="00703AA3"/>
    <w:rsid w:val="00704457"/>
    <w:rsid w:val="00704D3D"/>
    <w:rsid w:val="00704D40"/>
    <w:rsid w:val="007052AB"/>
    <w:rsid w:val="007064C5"/>
    <w:rsid w:val="00707A5E"/>
    <w:rsid w:val="007104F2"/>
    <w:rsid w:val="0071185C"/>
    <w:rsid w:val="00711A9C"/>
    <w:rsid w:val="00712633"/>
    <w:rsid w:val="00712A3E"/>
    <w:rsid w:val="00714A4A"/>
    <w:rsid w:val="00716D65"/>
    <w:rsid w:val="007174BA"/>
    <w:rsid w:val="00717550"/>
    <w:rsid w:val="00722C17"/>
    <w:rsid w:val="00725305"/>
    <w:rsid w:val="007265E4"/>
    <w:rsid w:val="0072757B"/>
    <w:rsid w:val="0072789D"/>
    <w:rsid w:val="00727B3D"/>
    <w:rsid w:val="00730874"/>
    <w:rsid w:val="007313F7"/>
    <w:rsid w:val="0073178F"/>
    <w:rsid w:val="007342C4"/>
    <w:rsid w:val="00734CD6"/>
    <w:rsid w:val="00735F88"/>
    <w:rsid w:val="00736D11"/>
    <w:rsid w:val="00740C8F"/>
    <w:rsid w:val="00741C83"/>
    <w:rsid w:val="00741FAF"/>
    <w:rsid w:val="00742FE7"/>
    <w:rsid w:val="007442EB"/>
    <w:rsid w:val="0074449C"/>
    <w:rsid w:val="00744F9C"/>
    <w:rsid w:val="007455FE"/>
    <w:rsid w:val="00746785"/>
    <w:rsid w:val="00747141"/>
    <w:rsid w:val="0074799C"/>
    <w:rsid w:val="0075051D"/>
    <w:rsid w:val="0075239F"/>
    <w:rsid w:val="0075336B"/>
    <w:rsid w:val="00755677"/>
    <w:rsid w:val="007572DF"/>
    <w:rsid w:val="00760437"/>
    <w:rsid w:val="0076257D"/>
    <w:rsid w:val="00762C37"/>
    <w:rsid w:val="0076352B"/>
    <w:rsid w:val="0076369E"/>
    <w:rsid w:val="00763E84"/>
    <w:rsid w:val="00764B66"/>
    <w:rsid w:val="00764F0C"/>
    <w:rsid w:val="00765208"/>
    <w:rsid w:val="00766175"/>
    <w:rsid w:val="00766215"/>
    <w:rsid w:val="0076691F"/>
    <w:rsid w:val="00767106"/>
    <w:rsid w:val="00767797"/>
    <w:rsid w:val="007711C5"/>
    <w:rsid w:val="007718A5"/>
    <w:rsid w:val="007732E4"/>
    <w:rsid w:val="0077395D"/>
    <w:rsid w:val="007760EB"/>
    <w:rsid w:val="00776BE2"/>
    <w:rsid w:val="0077752C"/>
    <w:rsid w:val="00777539"/>
    <w:rsid w:val="00777D32"/>
    <w:rsid w:val="00781145"/>
    <w:rsid w:val="00781375"/>
    <w:rsid w:val="00781452"/>
    <w:rsid w:val="007829BB"/>
    <w:rsid w:val="007829F4"/>
    <w:rsid w:val="00782D2F"/>
    <w:rsid w:val="00782D8D"/>
    <w:rsid w:val="0078305F"/>
    <w:rsid w:val="0078331D"/>
    <w:rsid w:val="00785F5C"/>
    <w:rsid w:val="00786126"/>
    <w:rsid w:val="007861C8"/>
    <w:rsid w:val="0079012A"/>
    <w:rsid w:val="00792018"/>
    <w:rsid w:val="00792096"/>
    <w:rsid w:val="007924B9"/>
    <w:rsid w:val="00793E9C"/>
    <w:rsid w:val="00794290"/>
    <w:rsid w:val="00794454"/>
    <w:rsid w:val="00794BFF"/>
    <w:rsid w:val="007959FE"/>
    <w:rsid w:val="00795F3E"/>
    <w:rsid w:val="00796F30"/>
    <w:rsid w:val="0079735F"/>
    <w:rsid w:val="007A0DFD"/>
    <w:rsid w:val="007A1A3A"/>
    <w:rsid w:val="007A1B93"/>
    <w:rsid w:val="007A3709"/>
    <w:rsid w:val="007A7BD9"/>
    <w:rsid w:val="007B004D"/>
    <w:rsid w:val="007B01B0"/>
    <w:rsid w:val="007B0C05"/>
    <w:rsid w:val="007B0DB9"/>
    <w:rsid w:val="007B1252"/>
    <w:rsid w:val="007B1A5B"/>
    <w:rsid w:val="007B1CB4"/>
    <w:rsid w:val="007B1F34"/>
    <w:rsid w:val="007B3180"/>
    <w:rsid w:val="007B3F81"/>
    <w:rsid w:val="007B4924"/>
    <w:rsid w:val="007B53D7"/>
    <w:rsid w:val="007B62A4"/>
    <w:rsid w:val="007B73A6"/>
    <w:rsid w:val="007B7592"/>
    <w:rsid w:val="007B7ACA"/>
    <w:rsid w:val="007C1FF7"/>
    <w:rsid w:val="007C34E6"/>
    <w:rsid w:val="007C3A04"/>
    <w:rsid w:val="007C4AAF"/>
    <w:rsid w:val="007C5501"/>
    <w:rsid w:val="007C5A2A"/>
    <w:rsid w:val="007C60DD"/>
    <w:rsid w:val="007C614C"/>
    <w:rsid w:val="007C6686"/>
    <w:rsid w:val="007C6687"/>
    <w:rsid w:val="007C69F7"/>
    <w:rsid w:val="007C738B"/>
    <w:rsid w:val="007D0621"/>
    <w:rsid w:val="007D1D57"/>
    <w:rsid w:val="007D1F5E"/>
    <w:rsid w:val="007D211B"/>
    <w:rsid w:val="007D4771"/>
    <w:rsid w:val="007D49ED"/>
    <w:rsid w:val="007D4D54"/>
    <w:rsid w:val="007D56D6"/>
    <w:rsid w:val="007D69EF"/>
    <w:rsid w:val="007D6C65"/>
    <w:rsid w:val="007E0510"/>
    <w:rsid w:val="007E11E0"/>
    <w:rsid w:val="007E1E9B"/>
    <w:rsid w:val="007E31CF"/>
    <w:rsid w:val="007E3719"/>
    <w:rsid w:val="007E4C20"/>
    <w:rsid w:val="007E5A25"/>
    <w:rsid w:val="007E5ABC"/>
    <w:rsid w:val="007E60F1"/>
    <w:rsid w:val="007E61DB"/>
    <w:rsid w:val="007E7ED4"/>
    <w:rsid w:val="007F00BB"/>
    <w:rsid w:val="007F04E4"/>
    <w:rsid w:val="007F07E6"/>
    <w:rsid w:val="007F0F37"/>
    <w:rsid w:val="007F205B"/>
    <w:rsid w:val="007F2413"/>
    <w:rsid w:val="007F6A8F"/>
    <w:rsid w:val="007F71CA"/>
    <w:rsid w:val="007F7672"/>
    <w:rsid w:val="00800EED"/>
    <w:rsid w:val="008015EA"/>
    <w:rsid w:val="00805239"/>
    <w:rsid w:val="00805C3C"/>
    <w:rsid w:val="008062B8"/>
    <w:rsid w:val="008076DE"/>
    <w:rsid w:val="00811401"/>
    <w:rsid w:val="00811FC4"/>
    <w:rsid w:val="00812428"/>
    <w:rsid w:val="008126FF"/>
    <w:rsid w:val="008133CD"/>
    <w:rsid w:val="008139DF"/>
    <w:rsid w:val="00813F04"/>
    <w:rsid w:val="00814AAF"/>
    <w:rsid w:val="0081590D"/>
    <w:rsid w:val="00817088"/>
    <w:rsid w:val="008200A9"/>
    <w:rsid w:val="008209EB"/>
    <w:rsid w:val="00821646"/>
    <w:rsid w:val="00821A23"/>
    <w:rsid w:val="00822D4E"/>
    <w:rsid w:val="00822FD1"/>
    <w:rsid w:val="008239F4"/>
    <w:rsid w:val="0082560F"/>
    <w:rsid w:val="00827FF2"/>
    <w:rsid w:val="00830C6A"/>
    <w:rsid w:val="00831B0F"/>
    <w:rsid w:val="00831F69"/>
    <w:rsid w:val="00834C6F"/>
    <w:rsid w:val="0083598A"/>
    <w:rsid w:val="00840A25"/>
    <w:rsid w:val="00841024"/>
    <w:rsid w:val="00841F03"/>
    <w:rsid w:val="0084205A"/>
    <w:rsid w:val="008426F2"/>
    <w:rsid w:val="00842774"/>
    <w:rsid w:val="00843D96"/>
    <w:rsid w:val="00844690"/>
    <w:rsid w:val="00844D9B"/>
    <w:rsid w:val="008450A5"/>
    <w:rsid w:val="008464BB"/>
    <w:rsid w:val="00847145"/>
    <w:rsid w:val="00850570"/>
    <w:rsid w:val="00852BD0"/>
    <w:rsid w:val="00853056"/>
    <w:rsid w:val="00853D1C"/>
    <w:rsid w:val="00855261"/>
    <w:rsid w:val="0085550F"/>
    <w:rsid w:val="00855937"/>
    <w:rsid w:val="00856310"/>
    <w:rsid w:val="00856390"/>
    <w:rsid w:val="0085650F"/>
    <w:rsid w:val="00856D21"/>
    <w:rsid w:val="00857C55"/>
    <w:rsid w:val="0086002F"/>
    <w:rsid w:val="008606C1"/>
    <w:rsid w:val="008611D4"/>
    <w:rsid w:val="0086123E"/>
    <w:rsid w:val="00861469"/>
    <w:rsid w:val="00862A75"/>
    <w:rsid w:val="0086365A"/>
    <w:rsid w:val="00863B09"/>
    <w:rsid w:val="00863B13"/>
    <w:rsid w:val="008646A6"/>
    <w:rsid w:val="00864CE7"/>
    <w:rsid w:val="00864EB4"/>
    <w:rsid w:val="00864FD4"/>
    <w:rsid w:val="00865353"/>
    <w:rsid w:val="008674F9"/>
    <w:rsid w:val="008723F8"/>
    <w:rsid w:val="00873AB5"/>
    <w:rsid w:val="008741E6"/>
    <w:rsid w:val="00874A6A"/>
    <w:rsid w:val="00876DB2"/>
    <w:rsid w:val="00877ADB"/>
    <w:rsid w:val="00877D80"/>
    <w:rsid w:val="008818BE"/>
    <w:rsid w:val="0088195E"/>
    <w:rsid w:val="00882C01"/>
    <w:rsid w:val="00883255"/>
    <w:rsid w:val="00883492"/>
    <w:rsid w:val="00884A4B"/>
    <w:rsid w:val="00884ADF"/>
    <w:rsid w:val="0088622E"/>
    <w:rsid w:val="008879E3"/>
    <w:rsid w:val="00887D6E"/>
    <w:rsid w:val="0089012E"/>
    <w:rsid w:val="00890199"/>
    <w:rsid w:val="00892166"/>
    <w:rsid w:val="00892207"/>
    <w:rsid w:val="008928F3"/>
    <w:rsid w:val="00893582"/>
    <w:rsid w:val="0089381A"/>
    <w:rsid w:val="00894133"/>
    <w:rsid w:val="0089427A"/>
    <w:rsid w:val="008946E0"/>
    <w:rsid w:val="00894F47"/>
    <w:rsid w:val="0089588E"/>
    <w:rsid w:val="008976C4"/>
    <w:rsid w:val="00897BEF"/>
    <w:rsid w:val="00897F97"/>
    <w:rsid w:val="008A052A"/>
    <w:rsid w:val="008A1967"/>
    <w:rsid w:val="008A1E4D"/>
    <w:rsid w:val="008A2D0A"/>
    <w:rsid w:val="008A2DB0"/>
    <w:rsid w:val="008A37B1"/>
    <w:rsid w:val="008A37EC"/>
    <w:rsid w:val="008A39D1"/>
    <w:rsid w:val="008A3F82"/>
    <w:rsid w:val="008A5A9D"/>
    <w:rsid w:val="008A6041"/>
    <w:rsid w:val="008B4696"/>
    <w:rsid w:val="008B67FB"/>
    <w:rsid w:val="008B73FA"/>
    <w:rsid w:val="008C058C"/>
    <w:rsid w:val="008C150D"/>
    <w:rsid w:val="008C2C46"/>
    <w:rsid w:val="008C31AF"/>
    <w:rsid w:val="008C3E4E"/>
    <w:rsid w:val="008C41CE"/>
    <w:rsid w:val="008C4DFF"/>
    <w:rsid w:val="008D0BFF"/>
    <w:rsid w:val="008D1851"/>
    <w:rsid w:val="008D1899"/>
    <w:rsid w:val="008D34C6"/>
    <w:rsid w:val="008D4C17"/>
    <w:rsid w:val="008D59CC"/>
    <w:rsid w:val="008D6DED"/>
    <w:rsid w:val="008D710C"/>
    <w:rsid w:val="008D7926"/>
    <w:rsid w:val="008E0356"/>
    <w:rsid w:val="008E05C9"/>
    <w:rsid w:val="008E550A"/>
    <w:rsid w:val="008E5E4D"/>
    <w:rsid w:val="008E632D"/>
    <w:rsid w:val="008E725A"/>
    <w:rsid w:val="008F074D"/>
    <w:rsid w:val="008F0C7C"/>
    <w:rsid w:val="008F324C"/>
    <w:rsid w:val="008F387C"/>
    <w:rsid w:val="008F4F35"/>
    <w:rsid w:val="008F5CA1"/>
    <w:rsid w:val="008F621A"/>
    <w:rsid w:val="008F6E01"/>
    <w:rsid w:val="00901074"/>
    <w:rsid w:val="009017B0"/>
    <w:rsid w:val="00904B4A"/>
    <w:rsid w:val="00905084"/>
    <w:rsid w:val="0090517C"/>
    <w:rsid w:val="00905ABB"/>
    <w:rsid w:val="009072B8"/>
    <w:rsid w:val="00910202"/>
    <w:rsid w:val="00910B94"/>
    <w:rsid w:val="00911481"/>
    <w:rsid w:val="0091242B"/>
    <w:rsid w:val="0091302C"/>
    <w:rsid w:val="00913793"/>
    <w:rsid w:val="00914F2E"/>
    <w:rsid w:val="00915643"/>
    <w:rsid w:val="00915AB1"/>
    <w:rsid w:val="0091713B"/>
    <w:rsid w:val="00917B4E"/>
    <w:rsid w:val="00920348"/>
    <w:rsid w:val="00921182"/>
    <w:rsid w:val="009212C9"/>
    <w:rsid w:val="0092212C"/>
    <w:rsid w:val="00923AF0"/>
    <w:rsid w:val="00925171"/>
    <w:rsid w:val="00925393"/>
    <w:rsid w:val="00925DB3"/>
    <w:rsid w:val="00925FEE"/>
    <w:rsid w:val="009316AF"/>
    <w:rsid w:val="009319F7"/>
    <w:rsid w:val="00932E3E"/>
    <w:rsid w:val="0093481D"/>
    <w:rsid w:val="009367A3"/>
    <w:rsid w:val="009379E3"/>
    <w:rsid w:val="009406CE"/>
    <w:rsid w:val="00943AEA"/>
    <w:rsid w:val="00943E5D"/>
    <w:rsid w:val="0094403B"/>
    <w:rsid w:val="0094437C"/>
    <w:rsid w:val="00945594"/>
    <w:rsid w:val="009455BF"/>
    <w:rsid w:val="00945FB0"/>
    <w:rsid w:val="00946225"/>
    <w:rsid w:val="00947CF9"/>
    <w:rsid w:val="009505F2"/>
    <w:rsid w:val="009507BE"/>
    <w:rsid w:val="00950877"/>
    <w:rsid w:val="009527A6"/>
    <w:rsid w:val="009534F8"/>
    <w:rsid w:val="009537BA"/>
    <w:rsid w:val="0095440B"/>
    <w:rsid w:val="009553C9"/>
    <w:rsid w:val="009556BF"/>
    <w:rsid w:val="00956F1E"/>
    <w:rsid w:val="00957953"/>
    <w:rsid w:val="00957E13"/>
    <w:rsid w:val="009604BE"/>
    <w:rsid w:val="00960E85"/>
    <w:rsid w:val="00961347"/>
    <w:rsid w:val="0096189A"/>
    <w:rsid w:val="00961FCA"/>
    <w:rsid w:val="00962266"/>
    <w:rsid w:val="00963709"/>
    <w:rsid w:val="009637FC"/>
    <w:rsid w:val="00963F86"/>
    <w:rsid w:val="00964D3B"/>
    <w:rsid w:val="0096570E"/>
    <w:rsid w:val="00965856"/>
    <w:rsid w:val="00965FB7"/>
    <w:rsid w:val="00966686"/>
    <w:rsid w:val="009671A4"/>
    <w:rsid w:val="00967A26"/>
    <w:rsid w:val="00971427"/>
    <w:rsid w:val="00971FBE"/>
    <w:rsid w:val="00972E5C"/>
    <w:rsid w:val="009765F5"/>
    <w:rsid w:val="00977477"/>
    <w:rsid w:val="00980386"/>
    <w:rsid w:val="009804E7"/>
    <w:rsid w:val="0098106E"/>
    <w:rsid w:val="009810F0"/>
    <w:rsid w:val="009836A8"/>
    <w:rsid w:val="009839EA"/>
    <w:rsid w:val="009845F3"/>
    <w:rsid w:val="00984964"/>
    <w:rsid w:val="00985052"/>
    <w:rsid w:val="00986006"/>
    <w:rsid w:val="0098612D"/>
    <w:rsid w:val="00986D4D"/>
    <w:rsid w:val="009877E5"/>
    <w:rsid w:val="009907E7"/>
    <w:rsid w:val="009909A4"/>
    <w:rsid w:val="00992334"/>
    <w:rsid w:val="009934D7"/>
    <w:rsid w:val="00993584"/>
    <w:rsid w:val="009936D0"/>
    <w:rsid w:val="00994005"/>
    <w:rsid w:val="0099542A"/>
    <w:rsid w:val="00995B96"/>
    <w:rsid w:val="00995C9D"/>
    <w:rsid w:val="00996F06"/>
    <w:rsid w:val="00996F49"/>
    <w:rsid w:val="00997A6D"/>
    <w:rsid w:val="009A00C1"/>
    <w:rsid w:val="009A1D30"/>
    <w:rsid w:val="009A3A3E"/>
    <w:rsid w:val="009A6372"/>
    <w:rsid w:val="009A6C3B"/>
    <w:rsid w:val="009A7506"/>
    <w:rsid w:val="009B049B"/>
    <w:rsid w:val="009B0FA0"/>
    <w:rsid w:val="009B1092"/>
    <w:rsid w:val="009B2D8C"/>
    <w:rsid w:val="009B4133"/>
    <w:rsid w:val="009B52EA"/>
    <w:rsid w:val="009B70B6"/>
    <w:rsid w:val="009C14F4"/>
    <w:rsid w:val="009C244E"/>
    <w:rsid w:val="009C3F5D"/>
    <w:rsid w:val="009C430F"/>
    <w:rsid w:val="009C49F1"/>
    <w:rsid w:val="009C79E6"/>
    <w:rsid w:val="009C7A8E"/>
    <w:rsid w:val="009C7F69"/>
    <w:rsid w:val="009D272F"/>
    <w:rsid w:val="009D3331"/>
    <w:rsid w:val="009D477B"/>
    <w:rsid w:val="009D4E2E"/>
    <w:rsid w:val="009E0CD1"/>
    <w:rsid w:val="009E2749"/>
    <w:rsid w:val="009E3125"/>
    <w:rsid w:val="009E3F9E"/>
    <w:rsid w:val="009E408B"/>
    <w:rsid w:val="009E4653"/>
    <w:rsid w:val="009E71E7"/>
    <w:rsid w:val="009F0CAA"/>
    <w:rsid w:val="009F1AE2"/>
    <w:rsid w:val="009F2345"/>
    <w:rsid w:val="009F2AE9"/>
    <w:rsid w:val="009F2CB2"/>
    <w:rsid w:val="009F2CCC"/>
    <w:rsid w:val="009F4D16"/>
    <w:rsid w:val="00A000FB"/>
    <w:rsid w:val="00A006C0"/>
    <w:rsid w:val="00A021ED"/>
    <w:rsid w:val="00A0287E"/>
    <w:rsid w:val="00A02F0D"/>
    <w:rsid w:val="00A03655"/>
    <w:rsid w:val="00A05B97"/>
    <w:rsid w:val="00A06779"/>
    <w:rsid w:val="00A074AA"/>
    <w:rsid w:val="00A07AB7"/>
    <w:rsid w:val="00A10446"/>
    <w:rsid w:val="00A1109E"/>
    <w:rsid w:val="00A125A1"/>
    <w:rsid w:val="00A126AF"/>
    <w:rsid w:val="00A13E35"/>
    <w:rsid w:val="00A20A07"/>
    <w:rsid w:val="00A20BFC"/>
    <w:rsid w:val="00A21D67"/>
    <w:rsid w:val="00A2321C"/>
    <w:rsid w:val="00A2423B"/>
    <w:rsid w:val="00A2469A"/>
    <w:rsid w:val="00A25FFB"/>
    <w:rsid w:val="00A273C5"/>
    <w:rsid w:val="00A27FAB"/>
    <w:rsid w:val="00A328D4"/>
    <w:rsid w:val="00A32CAE"/>
    <w:rsid w:val="00A35782"/>
    <w:rsid w:val="00A36AF6"/>
    <w:rsid w:val="00A36FAC"/>
    <w:rsid w:val="00A37238"/>
    <w:rsid w:val="00A41779"/>
    <w:rsid w:val="00A4392C"/>
    <w:rsid w:val="00A4475D"/>
    <w:rsid w:val="00A453F5"/>
    <w:rsid w:val="00A454B9"/>
    <w:rsid w:val="00A45C34"/>
    <w:rsid w:val="00A50006"/>
    <w:rsid w:val="00A51EAA"/>
    <w:rsid w:val="00A528ED"/>
    <w:rsid w:val="00A536F0"/>
    <w:rsid w:val="00A53A33"/>
    <w:rsid w:val="00A54333"/>
    <w:rsid w:val="00A5556A"/>
    <w:rsid w:val="00A557F2"/>
    <w:rsid w:val="00A56552"/>
    <w:rsid w:val="00A572E0"/>
    <w:rsid w:val="00A57BEB"/>
    <w:rsid w:val="00A6099A"/>
    <w:rsid w:val="00A60CBD"/>
    <w:rsid w:val="00A6131C"/>
    <w:rsid w:val="00A61A62"/>
    <w:rsid w:val="00A6204D"/>
    <w:rsid w:val="00A62779"/>
    <w:rsid w:val="00A63D16"/>
    <w:rsid w:val="00A646ED"/>
    <w:rsid w:val="00A64CD8"/>
    <w:rsid w:val="00A6505D"/>
    <w:rsid w:val="00A67A33"/>
    <w:rsid w:val="00A67F87"/>
    <w:rsid w:val="00A70154"/>
    <w:rsid w:val="00A71184"/>
    <w:rsid w:val="00A7163B"/>
    <w:rsid w:val="00A72149"/>
    <w:rsid w:val="00A72730"/>
    <w:rsid w:val="00A732C9"/>
    <w:rsid w:val="00A74829"/>
    <w:rsid w:val="00A74DE6"/>
    <w:rsid w:val="00A75825"/>
    <w:rsid w:val="00A76304"/>
    <w:rsid w:val="00A77F87"/>
    <w:rsid w:val="00A814E0"/>
    <w:rsid w:val="00A81FA0"/>
    <w:rsid w:val="00A82D65"/>
    <w:rsid w:val="00A83E2E"/>
    <w:rsid w:val="00A8417C"/>
    <w:rsid w:val="00A849CF"/>
    <w:rsid w:val="00A85B88"/>
    <w:rsid w:val="00A86FC8"/>
    <w:rsid w:val="00A87A00"/>
    <w:rsid w:val="00A90698"/>
    <w:rsid w:val="00A931CE"/>
    <w:rsid w:val="00A9431B"/>
    <w:rsid w:val="00A943A3"/>
    <w:rsid w:val="00A94DD6"/>
    <w:rsid w:val="00A95E40"/>
    <w:rsid w:val="00A96BD4"/>
    <w:rsid w:val="00A96DA0"/>
    <w:rsid w:val="00A96E36"/>
    <w:rsid w:val="00A97190"/>
    <w:rsid w:val="00AA02CD"/>
    <w:rsid w:val="00AA378E"/>
    <w:rsid w:val="00AA535C"/>
    <w:rsid w:val="00AA5F14"/>
    <w:rsid w:val="00AA682F"/>
    <w:rsid w:val="00AB024A"/>
    <w:rsid w:val="00AB1056"/>
    <w:rsid w:val="00AB1A45"/>
    <w:rsid w:val="00AB38A7"/>
    <w:rsid w:val="00AB50A7"/>
    <w:rsid w:val="00AB6BEB"/>
    <w:rsid w:val="00AC0099"/>
    <w:rsid w:val="00AC0DB1"/>
    <w:rsid w:val="00AC25C3"/>
    <w:rsid w:val="00AD0BEE"/>
    <w:rsid w:val="00AD21EA"/>
    <w:rsid w:val="00AD354F"/>
    <w:rsid w:val="00AD42F9"/>
    <w:rsid w:val="00AD677E"/>
    <w:rsid w:val="00AE4423"/>
    <w:rsid w:val="00AE72C0"/>
    <w:rsid w:val="00AF0A67"/>
    <w:rsid w:val="00AF1D71"/>
    <w:rsid w:val="00AF2A4D"/>
    <w:rsid w:val="00AF403F"/>
    <w:rsid w:val="00AF47BF"/>
    <w:rsid w:val="00AF667D"/>
    <w:rsid w:val="00B007B9"/>
    <w:rsid w:val="00B00D26"/>
    <w:rsid w:val="00B01CFB"/>
    <w:rsid w:val="00B024EA"/>
    <w:rsid w:val="00B03D14"/>
    <w:rsid w:val="00B0453E"/>
    <w:rsid w:val="00B047AA"/>
    <w:rsid w:val="00B05BD4"/>
    <w:rsid w:val="00B0681D"/>
    <w:rsid w:val="00B06BBE"/>
    <w:rsid w:val="00B07370"/>
    <w:rsid w:val="00B07532"/>
    <w:rsid w:val="00B07842"/>
    <w:rsid w:val="00B07BEE"/>
    <w:rsid w:val="00B07DA0"/>
    <w:rsid w:val="00B11961"/>
    <w:rsid w:val="00B11AA3"/>
    <w:rsid w:val="00B11BDA"/>
    <w:rsid w:val="00B12DB5"/>
    <w:rsid w:val="00B13582"/>
    <w:rsid w:val="00B140B8"/>
    <w:rsid w:val="00B1760F"/>
    <w:rsid w:val="00B20274"/>
    <w:rsid w:val="00B22561"/>
    <w:rsid w:val="00B22D23"/>
    <w:rsid w:val="00B23A07"/>
    <w:rsid w:val="00B23ACA"/>
    <w:rsid w:val="00B25248"/>
    <w:rsid w:val="00B255E4"/>
    <w:rsid w:val="00B27EB5"/>
    <w:rsid w:val="00B300FA"/>
    <w:rsid w:val="00B3056D"/>
    <w:rsid w:val="00B346BD"/>
    <w:rsid w:val="00B34B7D"/>
    <w:rsid w:val="00B35538"/>
    <w:rsid w:val="00B359FA"/>
    <w:rsid w:val="00B35BAD"/>
    <w:rsid w:val="00B35CD5"/>
    <w:rsid w:val="00B35D05"/>
    <w:rsid w:val="00B35D23"/>
    <w:rsid w:val="00B4016F"/>
    <w:rsid w:val="00B40217"/>
    <w:rsid w:val="00B413F2"/>
    <w:rsid w:val="00B41888"/>
    <w:rsid w:val="00B42B33"/>
    <w:rsid w:val="00B42CDE"/>
    <w:rsid w:val="00B46391"/>
    <w:rsid w:val="00B477A8"/>
    <w:rsid w:val="00B521DF"/>
    <w:rsid w:val="00B52B32"/>
    <w:rsid w:val="00B53468"/>
    <w:rsid w:val="00B545E8"/>
    <w:rsid w:val="00B55435"/>
    <w:rsid w:val="00B55AED"/>
    <w:rsid w:val="00B5697F"/>
    <w:rsid w:val="00B57FF3"/>
    <w:rsid w:val="00B605EF"/>
    <w:rsid w:val="00B65CCF"/>
    <w:rsid w:val="00B673E5"/>
    <w:rsid w:val="00B70C52"/>
    <w:rsid w:val="00B71583"/>
    <w:rsid w:val="00B722C4"/>
    <w:rsid w:val="00B72641"/>
    <w:rsid w:val="00B728B1"/>
    <w:rsid w:val="00B72A5E"/>
    <w:rsid w:val="00B72B97"/>
    <w:rsid w:val="00B73A09"/>
    <w:rsid w:val="00B7505C"/>
    <w:rsid w:val="00B80433"/>
    <w:rsid w:val="00B80B8E"/>
    <w:rsid w:val="00B80FC8"/>
    <w:rsid w:val="00B83796"/>
    <w:rsid w:val="00B839AE"/>
    <w:rsid w:val="00B84751"/>
    <w:rsid w:val="00B84F65"/>
    <w:rsid w:val="00B85C19"/>
    <w:rsid w:val="00B870A7"/>
    <w:rsid w:val="00B87395"/>
    <w:rsid w:val="00B878D1"/>
    <w:rsid w:val="00B9074F"/>
    <w:rsid w:val="00B90982"/>
    <w:rsid w:val="00B90ADE"/>
    <w:rsid w:val="00B927AC"/>
    <w:rsid w:val="00B93A7B"/>
    <w:rsid w:val="00B94354"/>
    <w:rsid w:val="00B947A4"/>
    <w:rsid w:val="00B96D43"/>
    <w:rsid w:val="00B9740B"/>
    <w:rsid w:val="00B97534"/>
    <w:rsid w:val="00BA0085"/>
    <w:rsid w:val="00BA108B"/>
    <w:rsid w:val="00BA1337"/>
    <w:rsid w:val="00BA1359"/>
    <w:rsid w:val="00BA33BB"/>
    <w:rsid w:val="00BA4D8B"/>
    <w:rsid w:val="00BA588A"/>
    <w:rsid w:val="00BA5C22"/>
    <w:rsid w:val="00BA703A"/>
    <w:rsid w:val="00BA75C0"/>
    <w:rsid w:val="00BA79CA"/>
    <w:rsid w:val="00BB01AD"/>
    <w:rsid w:val="00BB155A"/>
    <w:rsid w:val="00BB2169"/>
    <w:rsid w:val="00BB2949"/>
    <w:rsid w:val="00BB3629"/>
    <w:rsid w:val="00BB43A9"/>
    <w:rsid w:val="00BB4F1E"/>
    <w:rsid w:val="00BB5A33"/>
    <w:rsid w:val="00BB5CF6"/>
    <w:rsid w:val="00BB63FA"/>
    <w:rsid w:val="00BB7717"/>
    <w:rsid w:val="00BC0DDC"/>
    <w:rsid w:val="00BC2E13"/>
    <w:rsid w:val="00BC3827"/>
    <w:rsid w:val="00BC4AFA"/>
    <w:rsid w:val="00BC4E14"/>
    <w:rsid w:val="00BC5286"/>
    <w:rsid w:val="00BC7074"/>
    <w:rsid w:val="00BC7698"/>
    <w:rsid w:val="00BD021C"/>
    <w:rsid w:val="00BD1A17"/>
    <w:rsid w:val="00BD2BF0"/>
    <w:rsid w:val="00BD3BC9"/>
    <w:rsid w:val="00BD484D"/>
    <w:rsid w:val="00BD591C"/>
    <w:rsid w:val="00BE2182"/>
    <w:rsid w:val="00BE3DFB"/>
    <w:rsid w:val="00BE5E19"/>
    <w:rsid w:val="00BE5EE1"/>
    <w:rsid w:val="00BE6FD0"/>
    <w:rsid w:val="00BE79E3"/>
    <w:rsid w:val="00BF0106"/>
    <w:rsid w:val="00BF0DF5"/>
    <w:rsid w:val="00BF2025"/>
    <w:rsid w:val="00BF2D80"/>
    <w:rsid w:val="00BF459C"/>
    <w:rsid w:val="00BF4D39"/>
    <w:rsid w:val="00BF5BCF"/>
    <w:rsid w:val="00BF690A"/>
    <w:rsid w:val="00C00B81"/>
    <w:rsid w:val="00C00E07"/>
    <w:rsid w:val="00C0142B"/>
    <w:rsid w:val="00C02FD4"/>
    <w:rsid w:val="00C044EA"/>
    <w:rsid w:val="00C04650"/>
    <w:rsid w:val="00C05108"/>
    <w:rsid w:val="00C059B4"/>
    <w:rsid w:val="00C07CDD"/>
    <w:rsid w:val="00C10586"/>
    <w:rsid w:val="00C1124B"/>
    <w:rsid w:val="00C11F30"/>
    <w:rsid w:val="00C128CE"/>
    <w:rsid w:val="00C12E24"/>
    <w:rsid w:val="00C12E73"/>
    <w:rsid w:val="00C136D4"/>
    <w:rsid w:val="00C1645B"/>
    <w:rsid w:val="00C20272"/>
    <w:rsid w:val="00C21D82"/>
    <w:rsid w:val="00C23D6D"/>
    <w:rsid w:val="00C23F2E"/>
    <w:rsid w:val="00C23F65"/>
    <w:rsid w:val="00C24541"/>
    <w:rsid w:val="00C246DF"/>
    <w:rsid w:val="00C25732"/>
    <w:rsid w:val="00C25C7D"/>
    <w:rsid w:val="00C2626C"/>
    <w:rsid w:val="00C265C8"/>
    <w:rsid w:val="00C27326"/>
    <w:rsid w:val="00C30256"/>
    <w:rsid w:val="00C30311"/>
    <w:rsid w:val="00C311F6"/>
    <w:rsid w:val="00C314F4"/>
    <w:rsid w:val="00C31723"/>
    <w:rsid w:val="00C32E93"/>
    <w:rsid w:val="00C3336C"/>
    <w:rsid w:val="00C33889"/>
    <w:rsid w:val="00C34B0C"/>
    <w:rsid w:val="00C34F55"/>
    <w:rsid w:val="00C36DDA"/>
    <w:rsid w:val="00C37B44"/>
    <w:rsid w:val="00C408BD"/>
    <w:rsid w:val="00C40C03"/>
    <w:rsid w:val="00C41A3D"/>
    <w:rsid w:val="00C41DF0"/>
    <w:rsid w:val="00C430A9"/>
    <w:rsid w:val="00C441B5"/>
    <w:rsid w:val="00C4577C"/>
    <w:rsid w:val="00C46C80"/>
    <w:rsid w:val="00C470F2"/>
    <w:rsid w:val="00C47679"/>
    <w:rsid w:val="00C500B9"/>
    <w:rsid w:val="00C50212"/>
    <w:rsid w:val="00C510D6"/>
    <w:rsid w:val="00C51840"/>
    <w:rsid w:val="00C51955"/>
    <w:rsid w:val="00C5223D"/>
    <w:rsid w:val="00C524C3"/>
    <w:rsid w:val="00C54D4B"/>
    <w:rsid w:val="00C55313"/>
    <w:rsid w:val="00C56A30"/>
    <w:rsid w:val="00C57013"/>
    <w:rsid w:val="00C57BC0"/>
    <w:rsid w:val="00C604CF"/>
    <w:rsid w:val="00C6076D"/>
    <w:rsid w:val="00C6097B"/>
    <w:rsid w:val="00C60C03"/>
    <w:rsid w:val="00C60D0E"/>
    <w:rsid w:val="00C6247E"/>
    <w:rsid w:val="00C62E4D"/>
    <w:rsid w:val="00C644F7"/>
    <w:rsid w:val="00C645F0"/>
    <w:rsid w:val="00C64EA1"/>
    <w:rsid w:val="00C651CD"/>
    <w:rsid w:val="00C657E7"/>
    <w:rsid w:val="00C65B31"/>
    <w:rsid w:val="00C65F83"/>
    <w:rsid w:val="00C66108"/>
    <w:rsid w:val="00C7117D"/>
    <w:rsid w:val="00C71316"/>
    <w:rsid w:val="00C713E4"/>
    <w:rsid w:val="00C72858"/>
    <w:rsid w:val="00C72A5C"/>
    <w:rsid w:val="00C73EB6"/>
    <w:rsid w:val="00C74288"/>
    <w:rsid w:val="00C74C22"/>
    <w:rsid w:val="00C75768"/>
    <w:rsid w:val="00C7670B"/>
    <w:rsid w:val="00C769CD"/>
    <w:rsid w:val="00C76CFB"/>
    <w:rsid w:val="00C77DC7"/>
    <w:rsid w:val="00C80CE6"/>
    <w:rsid w:val="00C811DB"/>
    <w:rsid w:val="00C81B00"/>
    <w:rsid w:val="00C82E81"/>
    <w:rsid w:val="00C83B13"/>
    <w:rsid w:val="00C83B3B"/>
    <w:rsid w:val="00C85E6E"/>
    <w:rsid w:val="00C8665A"/>
    <w:rsid w:val="00C873B5"/>
    <w:rsid w:val="00C87F40"/>
    <w:rsid w:val="00C90B24"/>
    <w:rsid w:val="00C916D3"/>
    <w:rsid w:val="00C935CC"/>
    <w:rsid w:val="00C93925"/>
    <w:rsid w:val="00C93F46"/>
    <w:rsid w:val="00C949B9"/>
    <w:rsid w:val="00C96983"/>
    <w:rsid w:val="00C978F1"/>
    <w:rsid w:val="00CA0677"/>
    <w:rsid w:val="00CA0E6A"/>
    <w:rsid w:val="00CA142D"/>
    <w:rsid w:val="00CA18B3"/>
    <w:rsid w:val="00CA2ED5"/>
    <w:rsid w:val="00CA5368"/>
    <w:rsid w:val="00CA57A7"/>
    <w:rsid w:val="00CA67A8"/>
    <w:rsid w:val="00CA6B15"/>
    <w:rsid w:val="00CA737D"/>
    <w:rsid w:val="00CA761B"/>
    <w:rsid w:val="00CB140C"/>
    <w:rsid w:val="00CB2272"/>
    <w:rsid w:val="00CB280E"/>
    <w:rsid w:val="00CB2AA4"/>
    <w:rsid w:val="00CB4189"/>
    <w:rsid w:val="00CB5CB5"/>
    <w:rsid w:val="00CB71C6"/>
    <w:rsid w:val="00CB7368"/>
    <w:rsid w:val="00CC01FB"/>
    <w:rsid w:val="00CC0C4A"/>
    <w:rsid w:val="00CC0EED"/>
    <w:rsid w:val="00CC1BD9"/>
    <w:rsid w:val="00CC216D"/>
    <w:rsid w:val="00CC3C2F"/>
    <w:rsid w:val="00CC3D53"/>
    <w:rsid w:val="00CC450E"/>
    <w:rsid w:val="00CC4A6C"/>
    <w:rsid w:val="00CC6A0E"/>
    <w:rsid w:val="00CC7859"/>
    <w:rsid w:val="00CD1007"/>
    <w:rsid w:val="00CD1716"/>
    <w:rsid w:val="00CD2DE4"/>
    <w:rsid w:val="00CD2F5A"/>
    <w:rsid w:val="00CD3597"/>
    <w:rsid w:val="00CD3C25"/>
    <w:rsid w:val="00CD4A8F"/>
    <w:rsid w:val="00CD4BFD"/>
    <w:rsid w:val="00CD528F"/>
    <w:rsid w:val="00CD6AEE"/>
    <w:rsid w:val="00CE0B7D"/>
    <w:rsid w:val="00CE15E2"/>
    <w:rsid w:val="00CE22C5"/>
    <w:rsid w:val="00CE3028"/>
    <w:rsid w:val="00CE4EA5"/>
    <w:rsid w:val="00CE599B"/>
    <w:rsid w:val="00CE6B6A"/>
    <w:rsid w:val="00CE7C43"/>
    <w:rsid w:val="00CE7E20"/>
    <w:rsid w:val="00CF0484"/>
    <w:rsid w:val="00CF22D0"/>
    <w:rsid w:val="00CF2FE8"/>
    <w:rsid w:val="00CF3052"/>
    <w:rsid w:val="00CF3176"/>
    <w:rsid w:val="00CF55B4"/>
    <w:rsid w:val="00CF72A8"/>
    <w:rsid w:val="00D01B30"/>
    <w:rsid w:val="00D0379B"/>
    <w:rsid w:val="00D0559C"/>
    <w:rsid w:val="00D056A7"/>
    <w:rsid w:val="00D06043"/>
    <w:rsid w:val="00D0672B"/>
    <w:rsid w:val="00D10666"/>
    <w:rsid w:val="00D10A96"/>
    <w:rsid w:val="00D10B21"/>
    <w:rsid w:val="00D10F52"/>
    <w:rsid w:val="00D11A01"/>
    <w:rsid w:val="00D11DDC"/>
    <w:rsid w:val="00D1257E"/>
    <w:rsid w:val="00D1267C"/>
    <w:rsid w:val="00D12B7F"/>
    <w:rsid w:val="00D1344C"/>
    <w:rsid w:val="00D153B0"/>
    <w:rsid w:val="00D16773"/>
    <w:rsid w:val="00D21C30"/>
    <w:rsid w:val="00D21E57"/>
    <w:rsid w:val="00D23377"/>
    <w:rsid w:val="00D234CE"/>
    <w:rsid w:val="00D24865"/>
    <w:rsid w:val="00D24A4C"/>
    <w:rsid w:val="00D26A76"/>
    <w:rsid w:val="00D323A5"/>
    <w:rsid w:val="00D32E94"/>
    <w:rsid w:val="00D330D2"/>
    <w:rsid w:val="00D34832"/>
    <w:rsid w:val="00D34FAA"/>
    <w:rsid w:val="00D3779A"/>
    <w:rsid w:val="00D40051"/>
    <w:rsid w:val="00D40FED"/>
    <w:rsid w:val="00D41A36"/>
    <w:rsid w:val="00D44F6D"/>
    <w:rsid w:val="00D47AF9"/>
    <w:rsid w:val="00D47CA3"/>
    <w:rsid w:val="00D512C5"/>
    <w:rsid w:val="00D5169A"/>
    <w:rsid w:val="00D51766"/>
    <w:rsid w:val="00D51AAB"/>
    <w:rsid w:val="00D52EDE"/>
    <w:rsid w:val="00D5457A"/>
    <w:rsid w:val="00D567E9"/>
    <w:rsid w:val="00D57E1A"/>
    <w:rsid w:val="00D60AA2"/>
    <w:rsid w:val="00D6266C"/>
    <w:rsid w:val="00D62922"/>
    <w:rsid w:val="00D62FEB"/>
    <w:rsid w:val="00D6346B"/>
    <w:rsid w:val="00D63736"/>
    <w:rsid w:val="00D63E9F"/>
    <w:rsid w:val="00D646A9"/>
    <w:rsid w:val="00D64865"/>
    <w:rsid w:val="00D65D81"/>
    <w:rsid w:val="00D663D7"/>
    <w:rsid w:val="00D6721D"/>
    <w:rsid w:val="00D675C8"/>
    <w:rsid w:val="00D7086E"/>
    <w:rsid w:val="00D71688"/>
    <w:rsid w:val="00D71B79"/>
    <w:rsid w:val="00D73C00"/>
    <w:rsid w:val="00D73F8C"/>
    <w:rsid w:val="00D7414F"/>
    <w:rsid w:val="00D74156"/>
    <w:rsid w:val="00D7431D"/>
    <w:rsid w:val="00D753D4"/>
    <w:rsid w:val="00D75A5F"/>
    <w:rsid w:val="00D76C0A"/>
    <w:rsid w:val="00D77695"/>
    <w:rsid w:val="00D80D9B"/>
    <w:rsid w:val="00D81196"/>
    <w:rsid w:val="00D81A89"/>
    <w:rsid w:val="00D83C56"/>
    <w:rsid w:val="00D858A7"/>
    <w:rsid w:val="00D86710"/>
    <w:rsid w:val="00D8681D"/>
    <w:rsid w:val="00D86F32"/>
    <w:rsid w:val="00D87388"/>
    <w:rsid w:val="00D879BB"/>
    <w:rsid w:val="00D87D1B"/>
    <w:rsid w:val="00D902B1"/>
    <w:rsid w:val="00D91DEE"/>
    <w:rsid w:val="00D93E12"/>
    <w:rsid w:val="00D93E9F"/>
    <w:rsid w:val="00D96092"/>
    <w:rsid w:val="00D961E7"/>
    <w:rsid w:val="00D971E8"/>
    <w:rsid w:val="00D97AC8"/>
    <w:rsid w:val="00DA2383"/>
    <w:rsid w:val="00DA2D18"/>
    <w:rsid w:val="00DA4F9A"/>
    <w:rsid w:val="00DA5039"/>
    <w:rsid w:val="00DA6B90"/>
    <w:rsid w:val="00DB23B0"/>
    <w:rsid w:val="00DB27D9"/>
    <w:rsid w:val="00DB2E97"/>
    <w:rsid w:val="00DB30BB"/>
    <w:rsid w:val="00DB37DE"/>
    <w:rsid w:val="00DB4152"/>
    <w:rsid w:val="00DB5BEA"/>
    <w:rsid w:val="00DB6D22"/>
    <w:rsid w:val="00DB7D7A"/>
    <w:rsid w:val="00DC0617"/>
    <w:rsid w:val="00DC0898"/>
    <w:rsid w:val="00DC172E"/>
    <w:rsid w:val="00DC4871"/>
    <w:rsid w:val="00DD04CB"/>
    <w:rsid w:val="00DD056A"/>
    <w:rsid w:val="00DD05EC"/>
    <w:rsid w:val="00DD1510"/>
    <w:rsid w:val="00DD179C"/>
    <w:rsid w:val="00DD3789"/>
    <w:rsid w:val="00DD3F18"/>
    <w:rsid w:val="00DD50B9"/>
    <w:rsid w:val="00DD5BA3"/>
    <w:rsid w:val="00DD5C2D"/>
    <w:rsid w:val="00DD5D59"/>
    <w:rsid w:val="00DD5F3E"/>
    <w:rsid w:val="00DD7D7A"/>
    <w:rsid w:val="00DE036A"/>
    <w:rsid w:val="00DE0EF8"/>
    <w:rsid w:val="00DE3B88"/>
    <w:rsid w:val="00DE5F64"/>
    <w:rsid w:val="00DF0787"/>
    <w:rsid w:val="00DF207C"/>
    <w:rsid w:val="00DF2395"/>
    <w:rsid w:val="00DF2CE4"/>
    <w:rsid w:val="00DF3673"/>
    <w:rsid w:val="00DF4083"/>
    <w:rsid w:val="00DF419D"/>
    <w:rsid w:val="00DF4D9D"/>
    <w:rsid w:val="00DF53B5"/>
    <w:rsid w:val="00DF5E68"/>
    <w:rsid w:val="00DF7A94"/>
    <w:rsid w:val="00DF7BE1"/>
    <w:rsid w:val="00E00BAC"/>
    <w:rsid w:val="00E023E9"/>
    <w:rsid w:val="00E046C3"/>
    <w:rsid w:val="00E04A5C"/>
    <w:rsid w:val="00E05019"/>
    <w:rsid w:val="00E058C5"/>
    <w:rsid w:val="00E06917"/>
    <w:rsid w:val="00E06D33"/>
    <w:rsid w:val="00E07774"/>
    <w:rsid w:val="00E078A3"/>
    <w:rsid w:val="00E07C74"/>
    <w:rsid w:val="00E07D55"/>
    <w:rsid w:val="00E100C7"/>
    <w:rsid w:val="00E10F49"/>
    <w:rsid w:val="00E1144E"/>
    <w:rsid w:val="00E12633"/>
    <w:rsid w:val="00E13D95"/>
    <w:rsid w:val="00E14640"/>
    <w:rsid w:val="00E1538A"/>
    <w:rsid w:val="00E16275"/>
    <w:rsid w:val="00E1725A"/>
    <w:rsid w:val="00E175C1"/>
    <w:rsid w:val="00E2000D"/>
    <w:rsid w:val="00E21060"/>
    <w:rsid w:val="00E21946"/>
    <w:rsid w:val="00E219D7"/>
    <w:rsid w:val="00E2208B"/>
    <w:rsid w:val="00E25C91"/>
    <w:rsid w:val="00E26250"/>
    <w:rsid w:val="00E2660C"/>
    <w:rsid w:val="00E27441"/>
    <w:rsid w:val="00E30790"/>
    <w:rsid w:val="00E316A6"/>
    <w:rsid w:val="00E318A8"/>
    <w:rsid w:val="00E319AC"/>
    <w:rsid w:val="00E31D10"/>
    <w:rsid w:val="00E32DC3"/>
    <w:rsid w:val="00E3400B"/>
    <w:rsid w:val="00E34524"/>
    <w:rsid w:val="00E34ACF"/>
    <w:rsid w:val="00E34DC4"/>
    <w:rsid w:val="00E352F9"/>
    <w:rsid w:val="00E35358"/>
    <w:rsid w:val="00E35B61"/>
    <w:rsid w:val="00E40BEA"/>
    <w:rsid w:val="00E41825"/>
    <w:rsid w:val="00E43045"/>
    <w:rsid w:val="00E44797"/>
    <w:rsid w:val="00E45033"/>
    <w:rsid w:val="00E456B4"/>
    <w:rsid w:val="00E5532E"/>
    <w:rsid w:val="00E554F6"/>
    <w:rsid w:val="00E56026"/>
    <w:rsid w:val="00E56CFB"/>
    <w:rsid w:val="00E56FDC"/>
    <w:rsid w:val="00E57867"/>
    <w:rsid w:val="00E60DAC"/>
    <w:rsid w:val="00E616FE"/>
    <w:rsid w:val="00E6193A"/>
    <w:rsid w:val="00E623B4"/>
    <w:rsid w:val="00E62818"/>
    <w:rsid w:val="00E62A34"/>
    <w:rsid w:val="00E62B84"/>
    <w:rsid w:val="00E64C63"/>
    <w:rsid w:val="00E6512C"/>
    <w:rsid w:val="00E65F70"/>
    <w:rsid w:val="00E66B22"/>
    <w:rsid w:val="00E70E08"/>
    <w:rsid w:val="00E7145C"/>
    <w:rsid w:val="00E73C3D"/>
    <w:rsid w:val="00E74D61"/>
    <w:rsid w:val="00E778C2"/>
    <w:rsid w:val="00E80328"/>
    <w:rsid w:val="00E80AE3"/>
    <w:rsid w:val="00E82F9E"/>
    <w:rsid w:val="00E837F0"/>
    <w:rsid w:val="00E84F79"/>
    <w:rsid w:val="00E84FBE"/>
    <w:rsid w:val="00E85128"/>
    <w:rsid w:val="00E8652B"/>
    <w:rsid w:val="00E866D5"/>
    <w:rsid w:val="00E8777D"/>
    <w:rsid w:val="00E87B5C"/>
    <w:rsid w:val="00E87CE4"/>
    <w:rsid w:val="00E87D0C"/>
    <w:rsid w:val="00E91346"/>
    <w:rsid w:val="00E91967"/>
    <w:rsid w:val="00E91A1B"/>
    <w:rsid w:val="00E92672"/>
    <w:rsid w:val="00E92C74"/>
    <w:rsid w:val="00E9313F"/>
    <w:rsid w:val="00E937EC"/>
    <w:rsid w:val="00E93D9E"/>
    <w:rsid w:val="00E951E3"/>
    <w:rsid w:val="00E95409"/>
    <w:rsid w:val="00E97563"/>
    <w:rsid w:val="00EA072B"/>
    <w:rsid w:val="00EA243D"/>
    <w:rsid w:val="00EA36D9"/>
    <w:rsid w:val="00EA3934"/>
    <w:rsid w:val="00EA3E09"/>
    <w:rsid w:val="00EA3FF4"/>
    <w:rsid w:val="00EA4FC7"/>
    <w:rsid w:val="00EA5260"/>
    <w:rsid w:val="00EA5D04"/>
    <w:rsid w:val="00EA78F2"/>
    <w:rsid w:val="00EA7E37"/>
    <w:rsid w:val="00EB100A"/>
    <w:rsid w:val="00EB2D5D"/>
    <w:rsid w:val="00EB37DD"/>
    <w:rsid w:val="00EB454F"/>
    <w:rsid w:val="00EB50FF"/>
    <w:rsid w:val="00EB777E"/>
    <w:rsid w:val="00EB7BF3"/>
    <w:rsid w:val="00EB7F3A"/>
    <w:rsid w:val="00EC0565"/>
    <w:rsid w:val="00EC1694"/>
    <w:rsid w:val="00EC7918"/>
    <w:rsid w:val="00ED00E6"/>
    <w:rsid w:val="00ED04FA"/>
    <w:rsid w:val="00ED0988"/>
    <w:rsid w:val="00ED2089"/>
    <w:rsid w:val="00ED23DE"/>
    <w:rsid w:val="00ED4534"/>
    <w:rsid w:val="00ED4E3B"/>
    <w:rsid w:val="00ED4F63"/>
    <w:rsid w:val="00ED5A62"/>
    <w:rsid w:val="00EE0DE4"/>
    <w:rsid w:val="00EE1178"/>
    <w:rsid w:val="00EE1273"/>
    <w:rsid w:val="00EE1A3C"/>
    <w:rsid w:val="00EE1BB2"/>
    <w:rsid w:val="00EE3377"/>
    <w:rsid w:val="00EE43C2"/>
    <w:rsid w:val="00EE4C48"/>
    <w:rsid w:val="00EE623C"/>
    <w:rsid w:val="00EF027E"/>
    <w:rsid w:val="00EF098C"/>
    <w:rsid w:val="00EF27DD"/>
    <w:rsid w:val="00EF4327"/>
    <w:rsid w:val="00EF4453"/>
    <w:rsid w:val="00EF5A2B"/>
    <w:rsid w:val="00EF69E7"/>
    <w:rsid w:val="00F00388"/>
    <w:rsid w:val="00F00947"/>
    <w:rsid w:val="00F024CD"/>
    <w:rsid w:val="00F036AF"/>
    <w:rsid w:val="00F037EA"/>
    <w:rsid w:val="00F05B3F"/>
    <w:rsid w:val="00F074CE"/>
    <w:rsid w:val="00F105E5"/>
    <w:rsid w:val="00F125E6"/>
    <w:rsid w:val="00F12C05"/>
    <w:rsid w:val="00F13020"/>
    <w:rsid w:val="00F13F5C"/>
    <w:rsid w:val="00F14567"/>
    <w:rsid w:val="00F21C40"/>
    <w:rsid w:val="00F21E92"/>
    <w:rsid w:val="00F231EB"/>
    <w:rsid w:val="00F23A55"/>
    <w:rsid w:val="00F23B79"/>
    <w:rsid w:val="00F2419E"/>
    <w:rsid w:val="00F24C8C"/>
    <w:rsid w:val="00F27240"/>
    <w:rsid w:val="00F272EB"/>
    <w:rsid w:val="00F30517"/>
    <w:rsid w:val="00F313A9"/>
    <w:rsid w:val="00F32D9C"/>
    <w:rsid w:val="00F339C6"/>
    <w:rsid w:val="00F34BFB"/>
    <w:rsid w:val="00F35E21"/>
    <w:rsid w:val="00F36660"/>
    <w:rsid w:val="00F414DF"/>
    <w:rsid w:val="00F41CDE"/>
    <w:rsid w:val="00F41D97"/>
    <w:rsid w:val="00F42964"/>
    <w:rsid w:val="00F46954"/>
    <w:rsid w:val="00F46A7C"/>
    <w:rsid w:val="00F46C23"/>
    <w:rsid w:val="00F471B4"/>
    <w:rsid w:val="00F47A66"/>
    <w:rsid w:val="00F47E9D"/>
    <w:rsid w:val="00F504C4"/>
    <w:rsid w:val="00F50D35"/>
    <w:rsid w:val="00F51672"/>
    <w:rsid w:val="00F5183B"/>
    <w:rsid w:val="00F5254E"/>
    <w:rsid w:val="00F528C2"/>
    <w:rsid w:val="00F537BE"/>
    <w:rsid w:val="00F5390B"/>
    <w:rsid w:val="00F53DF3"/>
    <w:rsid w:val="00F60C50"/>
    <w:rsid w:val="00F62E57"/>
    <w:rsid w:val="00F63439"/>
    <w:rsid w:val="00F6397F"/>
    <w:rsid w:val="00F647F6"/>
    <w:rsid w:val="00F64CF6"/>
    <w:rsid w:val="00F651DF"/>
    <w:rsid w:val="00F65ADF"/>
    <w:rsid w:val="00F65AEE"/>
    <w:rsid w:val="00F65C29"/>
    <w:rsid w:val="00F6641E"/>
    <w:rsid w:val="00F66EEE"/>
    <w:rsid w:val="00F67185"/>
    <w:rsid w:val="00F70FB7"/>
    <w:rsid w:val="00F710C4"/>
    <w:rsid w:val="00F7140E"/>
    <w:rsid w:val="00F7144F"/>
    <w:rsid w:val="00F71C2A"/>
    <w:rsid w:val="00F71CCE"/>
    <w:rsid w:val="00F72200"/>
    <w:rsid w:val="00F74197"/>
    <w:rsid w:val="00F752F7"/>
    <w:rsid w:val="00F76B99"/>
    <w:rsid w:val="00F76E2E"/>
    <w:rsid w:val="00F801E5"/>
    <w:rsid w:val="00F80268"/>
    <w:rsid w:val="00F8095C"/>
    <w:rsid w:val="00F80D3E"/>
    <w:rsid w:val="00F835D2"/>
    <w:rsid w:val="00F84391"/>
    <w:rsid w:val="00F8441F"/>
    <w:rsid w:val="00F84BC8"/>
    <w:rsid w:val="00F84D35"/>
    <w:rsid w:val="00F856B5"/>
    <w:rsid w:val="00F86ABC"/>
    <w:rsid w:val="00F86C0C"/>
    <w:rsid w:val="00F870CF"/>
    <w:rsid w:val="00F87DBC"/>
    <w:rsid w:val="00F87E29"/>
    <w:rsid w:val="00F90542"/>
    <w:rsid w:val="00F918EF"/>
    <w:rsid w:val="00F921A1"/>
    <w:rsid w:val="00F9241D"/>
    <w:rsid w:val="00F9398D"/>
    <w:rsid w:val="00F951DA"/>
    <w:rsid w:val="00F965F6"/>
    <w:rsid w:val="00F96BF6"/>
    <w:rsid w:val="00F96C95"/>
    <w:rsid w:val="00F97513"/>
    <w:rsid w:val="00F97C6C"/>
    <w:rsid w:val="00FA01BA"/>
    <w:rsid w:val="00FA04C9"/>
    <w:rsid w:val="00FA1354"/>
    <w:rsid w:val="00FA1557"/>
    <w:rsid w:val="00FA33F2"/>
    <w:rsid w:val="00FA7A61"/>
    <w:rsid w:val="00FB1118"/>
    <w:rsid w:val="00FB3618"/>
    <w:rsid w:val="00FB3CFB"/>
    <w:rsid w:val="00FB453C"/>
    <w:rsid w:val="00FB5EE1"/>
    <w:rsid w:val="00FB604D"/>
    <w:rsid w:val="00FB6290"/>
    <w:rsid w:val="00FB6FCC"/>
    <w:rsid w:val="00FC0E84"/>
    <w:rsid w:val="00FC1126"/>
    <w:rsid w:val="00FC2373"/>
    <w:rsid w:val="00FC2B82"/>
    <w:rsid w:val="00FC2D1F"/>
    <w:rsid w:val="00FC4AB7"/>
    <w:rsid w:val="00FD0382"/>
    <w:rsid w:val="00FD0809"/>
    <w:rsid w:val="00FD0D9A"/>
    <w:rsid w:val="00FD206C"/>
    <w:rsid w:val="00FD274C"/>
    <w:rsid w:val="00FD2E03"/>
    <w:rsid w:val="00FD323E"/>
    <w:rsid w:val="00FD3D9C"/>
    <w:rsid w:val="00FD5E47"/>
    <w:rsid w:val="00FD78EC"/>
    <w:rsid w:val="00FE0D90"/>
    <w:rsid w:val="00FE201D"/>
    <w:rsid w:val="00FE2623"/>
    <w:rsid w:val="00FE3231"/>
    <w:rsid w:val="00FE3BF7"/>
    <w:rsid w:val="00FE4E48"/>
    <w:rsid w:val="00FE6D3C"/>
    <w:rsid w:val="00FE7238"/>
    <w:rsid w:val="00FE7695"/>
    <w:rsid w:val="00FF07E3"/>
    <w:rsid w:val="00FF12BF"/>
    <w:rsid w:val="00FF1309"/>
    <w:rsid w:val="00FF13C3"/>
    <w:rsid w:val="00FF1B69"/>
    <w:rsid w:val="00FF333C"/>
    <w:rsid w:val="00FF3F7D"/>
    <w:rsid w:val="00FF54A1"/>
    <w:rsid w:val="00FF5D44"/>
    <w:rsid w:val="00FF6B08"/>
    <w:rsid w:val="00FF76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305C2C"/>
  <w15:chartTrackingRefBased/>
  <w15:docId w15:val="{6D50F420-D287-4AF0-83B3-465B2162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E84"/>
    <w:rPr>
      <w:sz w:val="24"/>
      <w:szCs w:val="24"/>
      <w:lang w:val="en-US" w:eastAsia="en-US"/>
    </w:rPr>
  </w:style>
  <w:style w:type="paragraph" w:styleId="Heading1">
    <w:name w:val="heading 1"/>
    <w:basedOn w:val="Normal"/>
    <w:next w:val="Normal"/>
    <w:qFormat/>
    <w:pPr>
      <w:keepNext/>
      <w:jc w:val="both"/>
      <w:outlineLvl w:val="0"/>
    </w:pPr>
    <w:rPr>
      <w:b/>
      <w:bCs/>
      <w:sz w:val="28"/>
      <w:lang w:val="lv-LV"/>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num" w:pos="720"/>
      </w:tabs>
      <w:ind w:left="720" w:hanging="720"/>
      <w:outlineLvl w:val="2"/>
    </w:pPr>
    <w:rPr>
      <w:b/>
      <w:bCs/>
      <w:sz w:val="32"/>
      <w:szCs w:val="20"/>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numPr>
        <w:numId w:val="1"/>
      </w:numPr>
      <w:outlineLvl w:val="4"/>
    </w:pPr>
    <w:rPr>
      <w:b/>
      <w:bCs/>
      <w:sz w:val="28"/>
      <w:szCs w:val="20"/>
      <w:lang w:val="lv-LV"/>
    </w:rPr>
  </w:style>
  <w:style w:type="paragraph" w:styleId="Heading6">
    <w:name w:val="heading 6"/>
    <w:basedOn w:val="Normal"/>
    <w:next w:val="Normal"/>
    <w:qFormat/>
    <w:pPr>
      <w:keepNext/>
      <w:jc w:val="center"/>
      <w:outlineLvl w:val="5"/>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sz w:val="28"/>
      <w:lang w:val="lv-LV"/>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pPr>
      <w:ind w:firstLine="720"/>
      <w:jc w:val="both"/>
    </w:pPr>
    <w:rPr>
      <w:sz w:val="28"/>
      <w:lang w:val="lv-LV"/>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jc w:val="both"/>
    </w:pPr>
    <w:rPr>
      <w:sz w:val="28"/>
      <w:lang w:val="lv-LV"/>
    </w:rPr>
  </w:style>
  <w:style w:type="paragraph" w:styleId="BodyTextIndent">
    <w:name w:val="Body Text Indent"/>
    <w:basedOn w:val="Normal"/>
    <w:pPr>
      <w:ind w:firstLine="567"/>
      <w:jc w:val="both"/>
    </w:pPr>
    <w:rPr>
      <w:sz w:val="28"/>
      <w:lang w:val="lv-LV"/>
    </w:rPr>
  </w:style>
  <w:style w:type="paragraph" w:styleId="BodyTextIndent2">
    <w:name w:val="Body Text Indent 2"/>
    <w:basedOn w:val="Normal"/>
    <w:pPr>
      <w:tabs>
        <w:tab w:val="left" w:pos="-22"/>
      </w:tabs>
      <w:spacing w:before="120"/>
      <w:ind w:left="-22"/>
      <w:jc w:val="both"/>
    </w:pPr>
    <w:rPr>
      <w:sz w:val="28"/>
      <w:lang w:val="lv-LV"/>
    </w:rPr>
  </w:style>
  <w:style w:type="paragraph" w:styleId="BodyText3">
    <w:name w:val="Body Text 3"/>
    <w:basedOn w:val="Normal"/>
    <w:pPr>
      <w:jc w:val="both"/>
    </w:pPr>
    <w:rPr>
      <w:b/>
      <w:bCs/>
      <w:sz w:val="28"/>
      <w:szCs w:val="28"/>
      <w:lang w:val="lv-LV"/>
    </w:rPr>
  </w:style>
  <w:style w:type="paragraph" w:customStyle="1" w:styleId="naisf">
    <w:name w:val="naisf"/>
    <w:basedOn w:val="Normal"/>
    <w:pPr>
      <w:spacing w:before="100" w:beforeAutospacing="1" w:after="100" w:afterAutospacing="1"/>
      <w:jc w:val="both"/>
    </w:pPr>
    <w:rPr>
      <w:rFonts w:ascii="Arial Unicode MS" w:eastAsia="Arial Unicode MS" w:hAnsi="Arial Unicode MS"/>
      <w:lang w:val="en-GB"/>
    </w:rPr>
  </w:style>
  <w:style w:type="paragraph" w:styleId="Title">
    <w:name w:val="Title"/>
    <w:basedOn w:val="Normal"/>
    <w:qFormat/>
    <w:pPr>
      <w:jc w:val="center"/>
    </w:pPr>
    <w:rPr>
      <w:b/>
      <w:bCs/>
      <w:sz w:val="28"/>
      <w:lang w:val="lv-LV"/>
    </w:rPr>
  </w:style>
  <w:style w:type="paragraph" w:styleId="Subtitle">
    <w:name w:val="Subtitle"/>
    <w:basedOn w:val="Normal"/>
    <w:next w:val="Normal"/>
    <w:qFormat/>
    <w:pPr>
      <w:keepNext/>
      <w:keepLines/>
      <w:widowControl w:val="0"/>
      <w:suppressAutoHyphens/>
      <w:spacing w:before="600" w:after="600"/>
      <w:ind w:right="4820"/>
    </w:pPr>
    <w:rPr>
      <w:b/>
      <w:sz w:val="26"/>
      <w:szCs w:val="20"/>
      <w:lang w:val="en-AU"/>
    </w:rPr>
  </w:style>
  <w:style w:type="paragraph" w:customStyle="1" w:styleId="Subtitle14pt">
    <w:name w:val="Subtitle + 14 pt"/>
    <w:aliases w:val="Not Bold,Justified,First line:  1,27 cm,Right:  0 cm,Be..."/>
    <w:basedOn w:val="Subtitle"/>
    <w:pPr>
      <w:spacing w:before="120" w:after="120"/>
      <w:ind w:right="0" w:firstLine="720"/>
      <w:jc w:val="both"/>
    </w:pPr>
    <w:rPr>
      <w:b w:val="0"/>
      <w:sz w:val="28"/>
      <w:lang w:val="lv-LV"/>
    </w:rPr>
  </w:style>
  <w:style w:type="paragraph" w:styleId="BalloonText">
    <w:name w:val="Balloon Text"/>
    <w:basedOn w:val="Normal"/>
    <w:semiHidden/>
    <w:rsid w:val="00363178"/>
    <w:rPr>
      <w:rFonts w:ascii="Tahoma" w:hAnsi="Tahoma" w:cs="Tahoma"/>
      <w:sz w:val="16"/>
      <w:szCs w:val="16"/>
    </w:rPr>
  </w:style>
  <w:style w:type="paragraph" w:customStyle="1" w:styleId="naislab">
    <w:name w:val="naislab"/>
    <w:basedOn w:val="Normal"/>
    <w:rsid w:val="009A3A3E"/>
    <w:pPr>
      <w:spacing w:before="100" w:beforeAutospacing="1" w:after="100" w:afterAutospacing="1"/>
    </w:pPr>
    <w:rPr>
      <w:lang w:val="lv-LV" w:eastAsia="lv-LV"/>
    </w:rPr>
  </w:style>
  <w:style w:type="paragraph" w:customStyle="1" w:styleId="NormalWeb4Char">
    <w:name w:val="Normal (Web)4 Char"/>
    <w:basedOn w:val="Normal"/>
    <w:link w:val="NormalWeb4CharChar"/>
    <w:rsid w:val="000069F2"/>
    <w:rPr>
      <w:rFonts w:ascii="Tahoma" w:hAnsi="Tahoma" w:cs="Tahoma"/>
      <w:color w:val="2D2F30"/>
      <w:sz w:val="17"/>
      <w:szCs w:val="17"/>
      <w:lang w:val="lv-LV" w:eastAsia="lv-LV"/>
    </w:rPr>
  </w:style>
  <w:style w:type="character" w:customStyle="1" w:styleId="NormalWeb4CharChar">
    <w:name w:val="Normal (Web)4 Char Char"/>
    <w:link w:val="NormalWeb4Char"/>
    <w:rsid w:val="000069F2"/>
    <w:rPr>
      <w:rFonts w:ascii="Tahoma" w:hAnsi="Tahoma" w:cs="Tahoma"/>
      <w:color w:val="2D2F30"/>
      <w:sz w:val="17"/>
      <w:szCs w:val="17"/>
      <w:lang w:val="lv-LV" w:eastAsia="lv-LV" w:bidi="ar-SA"/>
    </w:rPr>
  </w:style>
  <w:style w:type="paragraph" w:customStyle="1" w:styleId="Rakstz">
    <w:name w:val="Rakstz."/>
    <w:basedOn w:val="Normal"/>
    <w:rsid w:val="00B9074F"/>
    <w:rPr>
      <w:lang w:val="pl-PL" w:eastAsia="pl-PL"/>
    </w:rPr>
  </w:style>
  <w:style w:type="character" w:styleId="Hyperlink">
    <w:name w:val="Hyperlink"/>
    <w:uiPriority w:val="99"/>
    <w:rsid w:val="007B3F81"/>
    <w:rPr>
      <w:color w:val="0000FF"/>
      <w:u w:val="single"/>
    </w:rPr>
  </w:style>
  <w:style w:type="character" w:styleId="Strong">
    <w:name w:val="Strong"/>
    <w:qFormat/>
    <w:rsid w:val="000D6ADC"/>
    <w:rPr>
      <w:b/>
      <w:bCs/>
    </w:rPr>
  </w:style>
  <w:style w:type="paragraph" w:customStyle="1" w:styleId="RakstzCharCharRakstzCharCharRakstzCharCharRakstz">
    <w:name w:val="Rakstz. Char Char Rakstz. Char Char Rakstz. Char Char Rakstz."/>
    <w:basedOn w:val="Normal"/>
    <w:rsid w:val="008976C4"/>
    <w:pPr>
      <w:spacing w:after="160" w:line="240" w:lineRule="exact"/>
    </w:pPr>
    <w:rPr>
      <w:rFonts w:ascii="Tahoma" w:hAnsi="Tahoma"/>
      <w:sz w:val="20"/>
      <w:szCs w:val="20"/>
    </w:rPr>
  </w:style>
  <w:style w:type="paragraph" w:customStyle="1" w:styleId="ColorfulList-Accent11">
    <w:name w:val="Colorful List - Accent 11"/>
    <w:basedOn w:val="Normal"/>
    <w:qFormat/>
    <w:rsid w:val="002A4DAF"/>
    <w:pPr>
      <w:ind w:left="720"/>
    </w:pPr>
    <w:rPr>
      <w:lang w:val="lv-LV" w:eastAsia="lv-LV"/>
    </w:rPr>
  </w:style>
  <w:style w:type="paragraph" w:customStyle="1" w:styleId="naiskr">
    <w:name w:val="naiskr"/>
    <w:basedOn w:val="Normal"/>
    <w:rsid w:val="007104F2"/>
    <w:pPr>
      <w:spacing w:before="100" w:beforeAutospacing="1" w:after="100" w:afterAutospacing="1"/>
    </w:pPr>
    <w:rPr>
      <w:lang w:val="lv-LV" w:eastAsia="lv-LV"/>
    </w:rPr>
  </w:style>
  <w:style w:type="paragraph" w:customStyle="1" w:styleId="naisnod">
    <w:name w:val="naisnod"/>
    <w:basedOn w:val="Normal"/>
    <w:rsid w:val="00A5556A"/>
    <w:pPr>
      <w:spacing w:before="100" w:beforeAutospacing="1" w:after="100" w:afterAutospacing="1"/>
    </w:pPr>
    <w:rPr>
      <w:lang w:val="lv-LV" w:eastAsia="lv-LV"/>
    </w:rPr>
  </w:style>
  <w:style w:type="paragraph" w:customStyle="1" w:styleId="Default">
    <w:name w:val="Default"/>
    <w:rsid w:val="00E100C7"/>
    <w:pPr>
      <w:autoSpaceDE w:val="0"/>
      <w:autoSpaceDN w:val="0"/>
      <w:adjustRightInd w:val="0"/>
    </w:pPr>
    <w:rPr>
      <w:color w:val="000000"/>
      <w:sz w:val="24"/>
      <w:szCs w:val="24"/>
    </w:rPr>
  </w:style>
  <w:style w:type="paragraph" w:customStyle="1" w:styleId="MediumGrid21">
    <w:name w:val="Medium Grid 21"/>
    <w:uiPriority w:val="1"/>
    <w:qFormat/>
    <w:rsid w:val="0088195E"/>
    <w:rPr>
      <w:rFonts w:ascii="Calibri" w:eastAsia="Calibri" w:hAnsi="Calibri"/>
      <w:sz w:val="22"/>
      <w:szCs w:val="22"/>
      <w:lang w:eastAsia="en-US"/>
    </w:rPr>
  </w:style>
  <w:style w:type="paragraph" w:styleId="ListParagraph">
    <w:name w:val="List Paragraph"/>
    <w:aliases w:val="2"/>
    <w:basedOn w:val="Normal"/>
    <w:link w:val="ListParagraphChar"/>
    <w:uiPriority w:val="34"/>
    <w:qFormat/>
    <w:rsid w:val="002813EC"/>
    <w:pPr>
      <w:ind w:left="720" w:firstLine="425"/>
      <w:contextualSpacing/>
      <w:jc w:val="both"/>
    </w:pPr>
    <w:rPr>
      <w:rFonts w:eastAsia="Calibri"/>
      <w:lang w:val="lv-LV"/>
    </w:rPr>
  </w:style>
  <w:style w:type="paragraph" w:styleId="NoSpacing">
    <w:name w:val="No Spacing"/>
    <w:uiPriority w:val="1"/>
    <w:qFormat/>
    <w:rsid w:val="008674F9"/>
    <w:rPr>
      <w:rFonts w:ascii="Calibri" w:eastAsia="Calibri" w:hAnsi="Calibri"/>
      <w:sz w:val="22"/>
      <w:szCs w:val="22"/>
      <w:lang w:eastAsia="en-US"/>
    </w:rPr>
  </w:style>
  <w:style w:type="character" w:customStyle="1" w:styleId="ListParagraphChar">
    <w:name w:val="List Paragraph Char"/>
    <w:aliases w:val="2 Char"/>
    <w:link w:val="ListParagraph"/>
    <w:uiPriority w:val="99"/>
    <w:locked/>
    <w:rsid w:val="000616DF"/>
    <w:rPr>
      <w:rFonts w:eastAsia="Calibri"/>
      <w:sz w:val="24"/>
      <w:szCs w:val="24"/>
      <w:lang w:eastAsia="en-US"/>
    </w:rPr>
  </w:style>
  <w:style w:type="paragraph" w:customStyle="1" w:styleId="tv213">
    <w:name w:val="tv213"/>
    <w:basedOn w:val="Normal"/>
    <w:rsid w:val="00F9398D"/>
    <w:pPr>
      <w:spacing w:before="100" w:beforeAutospacing="1" w:after="100" w:afterAutospacing="1"/>
    </w:pPr>
    <w:rPr>
      <w:lang w:val="lv-LV" w:eastAsia="lv-LV"/>
    </w:rPr>
  </w:style>
  <w:style w:type="paragraph" w:customStyle="1" w:styleId="naisc">
    <w:name w:val="naisc"/>
    <w:basedOn w:val="Normal"/>
    <w:rsid w:val="00BA5C22"/>
    <w:pPr>
      <w:spacing w:before="75" w:after="75"/>
      <w:jc w:val="center"/>
    </w:pPr>
    <w:rPr>
      <w:lang w:val="lv-LV" w:eastAsia="lv-LV"/>
    </w:rPr>
  </w:style>
  <w:style w:type="character" w:styleId="CommentReference">
    <w:name w:val="annotation reference"/>
    <w:rsid w:val="003A12EE"/>
    <w:rPr>
      <w:sz w:val="16"/>
      <w:szCs w:val="16"/>
    </w:rPr>
  </w:style>
  <w:style w:type="paragraph" w:styleId="CommentText">
    <w:name w:val="annotation text"/>
    <w:basedOn w:val="Normal"/>
    <w:link w:val="CommentTextChar"/>
    <w:rsid w:val="003A12EE"/>
    <w:rPr>
      <w:sz w:val="20"/>
      <w:szCs w:val="20"/>
      <w:lang w:val="en-AU"/>
    </w:rPr>
  </w:style>
  <w:style w:type="character" w:customStyle="1" w:styleId="CommentTextChar">
    <w:name w:val="Comment Text Char"/>
    <w:link w:val="CommentText"/>
    <w:rsid w:val="003A12EE"/>
    <w:rPr>
      <w:lang w:val="en-AU" w:eastAsia="en-US"/>
    </w:rPr>
  </w:style>
  <w:style w:type="character" w:customStyle="1" w:styleId="BodyTextChar">
    <w:name w:val="Body Text Char"/>
    <w:link w:val="BodyText"/>
    <w:rsid w:val="00E1538A"/>
    <w:rPr>
      <w:sz w:val="28"/>
      <w:szCs w:val="24"/>
      <w:lang w:eastAsia="en-US"/>
    </w:rPr>
  </w:style>
  <w:style w:type="paragraph" w:styleId="FootnoteText">
    <w:name w:val="footnote text"/>
    <w:basedOn w:val="Normal"/>
    <w:link w:val="FootnoteTextChar"/>
    <w:rsid w:val="004B2D86"/>
    <w:pPr>
      <w:jc w:val="both"/>
    </w:pPr>
    <w:rPr>
      <w:sz w:val="20"/>
      <w:szCs w:val="20"/>
      <w:lang w:val="lv-LV"/>
    </w:rPr>
  </w:style>
  <w:style w:type="character" w:customStyle="1" w:styleId="FootnoteTextChar">
    <w:name w:val="Footnote Text Char"/>
    <w:link w:val="FootnoteText"/>
    <w:rsid w:val="004B2D86"/>
    <w:rPr>
      <w:lang w:eastAsia="en-US"/>
    </w:rPr>
  </w:style>
  <w:style w:type="character" w:styleId="FootnoteReference">
    <w:name w:val="footnote reference"/>
    <w:rsid w:val="004B2D86"/>
    <w:rPr>
      <w:rFonts w:ascii="Times New Roman" w:hAnsi="Times New Roman"/>
      <w:vertAlign w:val="superscript"/>
    </w:rPr>
  </w:style>
  <w:style w:type="paragraph" w:styleId="CommentSubject">
    <w:name w:val="annotation subject"/>
    <w:basedOn w:val="CommentText"/>
    <w:next w:val="CommentText"/>
    <w:link w:val="CommentSubjectChar"/>
    <w:rsid w:val="00D0379B"/>
    <w:rPr>
      <w:b/>
      <w:bCs/>
      <w:lang w:val="en-US"/>
    </w:rPr>
  </w:style>
  <w:style w:type="character" w:customStyle="1" w:styleId="CommentSubjectChar">
    <w:name w:val="Comment Subject Char"/>
    <w:link w:val="CommentSubject"/>
    <w:rsid w:val="00D0379B"/>
    <w:rPr>
      <w:b/>
      <w:bCs/>
      <w:lang w:val="en-US" w:eastAsia="en-US"/>
    </w:rPr>
  </w:style>
  <w:style w:type="paragraph" w:styleId="Revision">
    <w:name w:val="Revision"/>
    <w:hidden/>
    <w:uiPriority w:val="99"/>
    <w:semiHidden/>
    <w:rsid w:val="00E00BAC"/>
    <w:rPr>
      <w:sz w:val="24"/>
      <w:szCs w:val="24"/>
      <w:lang w:val="en-US" w:eastAsia="en-US"/>
    </w:rPr>
  </w:style>
  <w:style w:type="table" w:styleId="TableGrid">
    <w:name w:val="Table Grid"/>
    <w:basedOn w:val="TableNormal"/>
    <w:rsid w:val="00A0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6721D"/>
    <w:rPr>
      <w:color w:val="954F72"/>
      <w:u w:val="single"/>
    </w:rPr>
  </w:style>
  <w:style w:type="character" w:styleId="UnresolvedMention">
    <w:name w:val="Unresolved Mention"/>
    <w:uiPriority w:val="99"/>
    <w:semiHidden/>
    <w:unhideWhenUsed/>
    <w:rsid w:val="00D87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1246">
      <w:bodyDiv w:val="1"/>
      <w:marLeft w:val="0"/>
      <w:marRight w:val="0"/>
      <w:marTop w:val="0"/>
      <w:marBottom w:val="0"/>
      <w:divBdr>
        <w:top w:val="none" w:sz="0" w:space="0" w:color="auto"/>
        <w:left w:val="none" w:sz="0" w:space="0" w:color="auto"/>
        <w:bottom w:val="none" w:sz="0" w:space="0" w:color="auto"/>
        <w:right w:val="none" w:sz="0" w:space="0" w:color="auto"/>
      </w:divBdr>
    </w:div>
    <w:div w:id="74280847">
      <w:bodyDiv w:val="1"/>
      <w:marLeft w:val="0"/>
      <w:marRight w:val="0"/>
      <w:marTop w:val="0"/>
      <w:marBottom w:val="0"/>
      <w:divBdr>
        <w:top w:val="none" w:sz="0" w:space="0" w:color="auto"/>
        <w:left w:val="none" w:sz="0" w:space="0" w:color="auto"/>
        <w:bottom w:val="none" w:sz="0" w:space="0" w:color="auto"/>
        <w:right w:val="none" w:sz="0" w:space="0" w:color="auto"/>
      </w:divBdr>
    </w:div>
    <w:div w:id="74978739">
      <w:bodyDiv w:val="1"/>
      <w:marLeft w:val="0"/>
      <w:marRight w:val="0"/>
      <w:marTop w:val="0"/>
      <w:marBottom w:val="0"/>
      <w:divBdr>
        <w:top w:val="none" w:sz="0" w:space="0" w:color="auto"/>
        <w:left w:val="none" w:sz="0" w:space="0" w:color="auto"/>
        <w:bottom w:val="none" w:sz="0" w:space="0" w:color="auto"/>
        <w:right w:val="none" w:sz="0" w:space="0" w:color="auto"/>
      </w:divBdr>
    </w:div>
    <w:div w:id="86536530">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
    <w:div w:id="87436080">
      <w:bodyDiv w:val="1"/>
      <w:marLeft w:val="0"/>
      <w:marRight w:val="0"/>
      <w:marTop w:val="0"/>
      <w:marBottom w:val="0"/>
      <w:divBdr>
        <w:top w:val="none" w:sz="0" w:space="0" w:color="auto"/>
        <w:left w:val="none" w:sz="0" w:space="0" w:color="auto"/>
        <w:bottom w:val="none" w:sz="0" w:space="0" w:color="auto"/>
        <w:right w:val="none" w:sz="0" w:space="0" w:color="auto"/>
      </w:divBdr>
    </w:div>
    <w:div w:id="148257380">
      <w:bodyDiv w:val="1"/>
      <w:marLeft w:val="0"/>
      <w:marRight w:val="0"/>
      <w:marTop w:val="0"/>
      <w:marBottom w:val="0"/>
      <w:divBdr>
        <w:top w:val="none" w:sz="0" w:space="0" w:color="auto"/>
        <w:left w:val="none" w:sz="0" w:space="0" w:color="auto"/>
        <w:bottom w:val="none" w:sz="0" w:space="0" w:color="auto"/>
        <w:right w:val="none" w:sz="0" w:space="0" w:color="auto"/>
      </w:divBdr>
    </w:div>
    <w:div w:id="383139584">
      <w:bodyDiv w:val="1"/>
      <w:marLeft w:val="0"/>
      <w:marRight w:val="0"/>
      <w:marTop w:val="0"/>
      <w:marBottom w:val="0"/>
      <w:divBdr>
        <w:top w:val="none" w:sz="0" w:space="0" w:color="auto"/>
        <w:left w:val="none" w:sz="0" w:space="0" w:color="auto"/>
        <w:bottom w:val="none" w:sz="0" w:space="0" w:color="auto"/>
        <w:right w:val="none" w:sz="0" w:space="0" w:color="auto"/>
      </w:divBdr>
    </w:div>
    <w:div w:id="529295005">
      <w:bodyDiv w:val="1"/>
      <w:marLeft w:val="0"/>
      <w:marRight w:val="0"/>
      <w:marTop w:val="0"/>
      <w:marBottom w:val="0"/>
      <w:divBdr>
        <w:top w:val="none" w:sz="0" w:space="0" w:color="auto"/>
        <w:left w:val="none" w:sz="0" w:space="0" w:color="auto"/>
        <w:bottom w:val="none" w:sz="0" w:space="0" w:color="auto"/>
        <w:right w:val="none" w:sz="0" w:space="0" w:color="auto"/>
      </w:divBdr>
    </w:div>
    <w:div w:id="551891057">
      <w:bodyDiv w:val="1"/>
      <w:marLeft w:val="0"/>
      <w:marRight w:val="0"/>
      <w:marTop w:val="0"/>
      <w:marBottom w:val="0"/>
      <w:divBdr>
        <w:top w:val="none" w:sz="0" w:space="0" w:color="auto"/>
        <w:left w:val="none" w:sz="0" w:space="0" w:color="auto"/>
        <w:bottom w:val="none" w:sz="0" w:space="0" w:color="auto"/>
        <w:right w:val="none" w:sz="0" w:space="0" w:color="auto"/>
      </w:divBdr>
    </w:div>
    <w:div w:id="564412013">
      <w:bodyDiv w:val="1"/>
      <w:marLeft w:val="0"/>
      <w:marRight w:val="0"/>
      <w:marTop w:val="0"/>
      <w:marBottom w:val="0"/>
      <w:divBdr>
        <w:top w:val="none" w:sz="0" w:space="0" w:color="auto"/>
        <w:left w:val="none" w:sz="0" w:space="0" w:color="auto"/>
        <w:bottom w:val="none" w:sz="0" w:space="0" w:color="auto"/>
        <w:right w:val="none" w:sz="0" w:space="0" w:color="auto"/>
      </w:divBdr>
    </w:div>
    <w:div w:id="724178844">
      <w:bodyDiv w:val="1"/>
      <w:marLeft w:val="0"/>
      <w:marRight w:val="0"/>
      <w:marTop w:val="0"/>
      <w:marBottom w:val="0"/>
      <w:divBdr>
        <w:top w:val="none" w:sz="0" w:space="0" w:color="auto"/>
        <w:left w:val="none" w:sz="0" w:space="0" w:color="auto"/>
        <w:bottom w:val="none" w:sz="0" w:space="0" w:color="auto"/>
        <w:right w:val="none" w:sz="0" w:space="0" w:color="auto"/>
      </w:divBdr>
    </w:div>
    <w:div w:id="819230039">
      <w:bodyDiv w:val="1"/>
      <w:marLeft w:val="0"/>
      <w:marRight w:val="0"/>
      <w:marTop w:val="0"/>
      <w:marBottom w:val="0"/>
      <w:divBdr>
        <w:top w:val="none" w:sz="0" w:space="0" w:color="auto"/>
        <w:left w:val="none" w:sz="0" w:space="0" w:color="auto"/>
        <w:bottom w:val="none" w:sz="0" w:space="0" w:color="auto"/>
        <w:right w:val="none" w:sz="0" w:space="0" w:color="auto"/>
      </w:divBdr>
    </w:div>
    <w:div w:id="1008407677">
      <w:bodyDiv w:val="1"/>
      <w:marLeft w:val="0"/>
      <w:marRight w:val="0"/>
      <w:marTop w:val="0"/>
      <w:marBottom w:val="0"/>
      <w:divBdr>
        <w:top w:val="none" w:sz="0" w:space="0" w:color="auto"/>
        <w:left w:val="none" w:sz="0" w:space="0" w:color="auto"/>
        <w:bottom w:val="none" w:sz="0" w:space="0" w:color="auto"/>
        <w:right w:val="none" w:sz="0" w:space="0" w:color="auto"/>
      </w:divBdr>
    </w:div>
    <w:div w:id="1018778239">
      <w:bodyDiv w:val="1"/>
      <w:marLeft w:val="0"/>
      <w:marRight w:val="0"/>
      <w:marTop w:val="0"/>
      <w:marBottom w:val="0"/>
      <w:divBdr>
        <w:top w:val="none" w:sz="0" w:space="0" w:color="auto"/>
        <w:left w:val="none" w:sz="0" w:space="0" w:color="auto"/>
        <w:bottom w:val="none" w:sz="0" w:space="0" w:color="auto"/>
        <w:right w:val="none" w:sz="0" w:space="0" w:color="auto"/>
      </w:divBdr>
    </w:div>
    <w:div w:id="1116290976">
      <w:bodyDiv w:val="1"/>
      <w:marLeft w:val="0"/>
      <w:marRight w:val="0"/>
      <w:marTop w:val="0"/>
      <w:marBottom w:val="0"/>
      <w:divBdr>
        <w:top w:val="none" w:sz="0" w:space="0" w:color="auto"/>
        <w:left w:val="none" w:sz="0" w:space="0" w:color="auto"/>
        <w:bottom w:val="none" w:sz="0" w:space="0" w:color="auto"/>
        <w:right w:val="none" w:sz="0" w:space="0" w:color="auto"/>
      </w:divBdr>
    </w:div>
    <w:div w:id="1125467380">
      <w:bodyDiv w:val="1"/>
      <w:marLeft w:val="0"/>
      <w:marRight w:val="0"/>
      <w:marTop w:val="0"/>
      <w:marBottom w:val="0"/>
      <w:divBdr>
        <w:top w:val="none" w:sz="0" w:space="0" w:color="auto"/>
        <w:left w:val="none" w:sz="0" w:space="0" w:color="auto"/>
        <w:bottom w:val="none" w:sz="0" w:space="0" w:color="auto"/>
        <w:right w:val="none" w:sz="0" w:space="0" w:color="auto"/>
      </w:divBdr>
    </w:div>
    <w:div w:id="1143111434">
      <w:bodyDiv w:val="1"/>
      <w:marLeft w:val="0"/>
      <w:marRight w:val="0"/>
      <w:marTop w:val="0"/>
      <w:marBottom w:val="0"/>
      <w:divBdr>
        <w:top w:val="none" w:sz="0" w:space="0" w:color="auto"/>
        <w:left w:val="none" w:sz="0" w:space="0" w:color="auto"/>
        <w:bottom w:val="none" w:sz="0" w:space="0" w:color="auto"/>
        <w:right w:val="none" w:sz="0" w:space="0" w:color="auto"/>
      </w:divBdr>
    </w:div>
    <w:div w:id="1143155073">
      <w:bodyDiv w:val="1"/>
      <w:marLeft w:val="0"/>
      <w:marRight w:val="0"/>
      <w:marTop w:val="0"/>
      <w:marBottom w:val="0"/>
      <w:divBdr>
        <w:top w:val="none" w:sz="0" w:space="0" w:color="auto"/>
        <w:left w:val="none" w:sz="0" w:space="0" w:color="auto"/>
        <w:bottom w:val="none" w:sz="0" w:space="0" w:color="auto"/>
        <w:right w:val="none" w:sz="0" w:space="0" w:color="auto"/>
      </w:divBdr>
    </w:div>
    <w:div w:id="1198785515">
      <w:bodyDiv w:val="1"/>
      <w:marLeft w:val="0"/>
      <w:marRight w:val="0"/>
      <w:marTop w:val="0"/>
      <w:marBottom w:val="0"/>
      <w:divBdr>
        <w:top w:val="none" w:sz="0" w:space="0" w:color="auto"/>
        <w:left w:val="none" w:sz="0" w:space="0" w:color="auto"/>
        <w:bottom w:val="none" w:sz="0" w:space="0" w:color="auto"/>
        <w:right w:val="none" w:sz="0" w:space="0" w:color="auto"/>
      </w:divBdr>
    </w:div>
    <w:div w:id="1203058847">
      <w:bodyDiv w:val="1"/>
      <w:marLeft w:val="0"/>
      <w:marRight w:val="0"/>
      <w:marTop w:val="0"/>
      <w:marBottom w:val="0"/>
      <w:divBdr>
        <w:top w:val="none" w:sz="0" w:space="0" w:color="auto"/>
        <w:left w:val="none" w:sz="0" w:space="0" w:color="auto"/>
        <w:bottom w:val="none" w:sz="0" w:space="0" w:color="auto"/>
        <w:right w:val="none" w:sz="0" w:space="0" w:color="auto"/>
      </w:divBdr>
    </w:div>
    <w:div w:id="1413313571">
      <w:bodyDiv w:val="1"/>
      <w:marLeft w:val="0"/>
      <w:marRight w:val="0"/>
      <w:marTop w:val="0"/>
      <w:marBottom w:val="0"/>
      <w:divBdr>
        <w:top w:val="none" w:sz="0" w:space="0" w:color="auto"/>
        <w:left w:val="none" w:sz="0" w:space="0" w:color="auto"/>
        <w:bottom w:val="none" w:sz="0" w:space="0" w:color="auto"/>
        <w:right w:val="none" w:sz="0" w:space="0" w:color="auto"/>
      </w:divBdr>
    </w:div>
    <w:div w:id="1421371480">
      <w:bodyDiv w:val="1"/>
      <w:marLeft w:val="0"/>
      <w:marRight w:val="0"/>
      <w:marTop w:val="0"/>
      <w:marBottom w:val="0"/>
      <w:divBdr>
        <w:top w:val="none" w:sz="0" w:space="0" w:color="auto"/>
        <w:left w:val="none" w:sz="0" w:space="0" w:color="auto"/>
        <w:bottom w:val="none" w:sz="0" w:space="0" w:color="auto"/>
        <w:right w:val="none" w:sz="0" w:space="0" w:color="auto"/>
      </w:divBdr>
    </w:div>
    <w:div w:id="1523202225">
      <w:bodyDiv w:val="1"/>
      <w:marLeft w:val="0"/>
      <w:marRight w:val="0"/>
      <w:marTop w:val="0"/>
      <w:marBottom w:val="0"/>
      <w:divBdr>
        <w:top w:val="none" w:sz="0" w:space="0" w:color="auto"/>
        <w:left w:val="none" w:sz="0" w:space="0" w:color="auto"/>
        <w:bottom w:val="none" w:sz="0" w:space="0" w:color="auto"/>
        <w:right w:val="none" w:sz="0" w:space="0" w:color="auto"/>
      </w:divBdr>
    </w:div>
    <w:div w:id="1746996302">
      <w:bodyDiv w:val="1"/>
      <w:marLeft w:val="0"/>
      <w:marRight w:val="0"/>
      <w:marTop w:val="0"/>
      <w:marBottom w:val="0"/>
      <w:divBdr>
        <w:top w:val="none" w:sz="0" w:space="0" w:color="auto"/>
        <w:left w:val="none" w:sz="0" w:space="0" w:color="auto"/>
        <w:bottom w:val="none" w:sz="0" w:space="0" w:color="auto"/>
        <w:right w:val="none" w:sz="0" w:space="0" w:color="auto"/>
      </w:divBdr>
    </w:div>
    <w:div w:id="1800412624">
      <w:bodyDiv w:val="1"/>
      <w:marLeft w:val="0"/>
      <w:marRight w:val="0"/>
      <w:marTop w:val="0"/>
      <w:marBottom w:val="0"/>
      <w:divBdr>
        <w:top w:val="none" w:sz="0" w:space="0" w:color="auto"/>
        <w:left w:val="none" w:sz="0" w:space="0" w:color="auto"/>
        <w:bottom w:val="none" w:sz="0" w:space="0" w:color="auto"/>
        <w:right w:val="none" w:sz="0" w:space="0" w:color="auto"/>
      </w:divBdr>
    </w:div>
    <w:div w:id="1816409585">
      <w:bodyDiv w:val="1"/>
      <w:marLeft w:val="0"/>
      <w:marRight w:val="0"/>
      <w:marTop w:val="0"/>
      <w:marBottom w:val="0"/>
      <w:divBdr>
        <w:top w:val="none" w:sz="0" w:space="0" w:color="auto"/>
        <w:left w:val="none" w:sz="0" w:space="0" w:color="auto"/>
        <w:bottom w:val="none" w:sz="0" w:space="0" w:color="auto"/>
        <w:right w:val="none" w:sz="0" w:space="0" w:color="auto"/>
      </w:divBdr>
    </w:div>
    <w:div w:id="1820002598">
      <w:bodyDiv w:val="1"/>
      <w:marLeft w:val="0"/>
      <w:marRight w:val="0"/>
      <w:marTop w:val="0"/>
      <w:marBottom w:val="0"/>
      <w:divBdr>
        <w:top w:val="none" w:sz="0" w:space="0" w:color="auto"/>
        <w:left w:val="none" w:sz="0" w:space="0" w:color="auto"/>
        <w:bottom w:val="none" w:sz="0" w:space="0" w:color="auto"/>
        <w:right w:val="none" w:sz="0" w:space="0" w:color="auto"/>
      </w:divBdr>
    </w:div>
    <w:div w:id="1841003097">
      <w:bodyDiv w:val="1"/>
      <w:marLeft w:val="0"/>
      <w:marRight w:val="0"/>
      <w:marTop w:val="0"/>
      <w:marBottom w:val="0"/>
      <w:divBdr>
        <w:top w:val="none" w:sz="0" w:space="0" w:color="auto"/>
        <w:left w:val="none" w:sz="0" w:space="0" w:color="auto"/>
        <w:bottom w:val="none" w:sz="0" w:space="0" w:color="auto"/>
        <w:right w:val="none" w:sz="0" w:space="0" w:color="auto"/>
      </w:divBdr>
    </w:div>
    <w:div w:id="1923484808">
      <w:bodyDiv w:val="1"/>
      <w:marLeft w:val="0"/>
      <w:marRight w:val="0"/>
      <w:marTop w:val="0"/>
      <w:marBottom w:val="0"/>
      <w:divBdr>
        <w:top w:val="none" w:sz="0" w:space="0" w:color="auto"/>
        <w:left w:val="none" w:sz="0" w:space="0" w:color="auto"/>
        <w:bottom w:val="none" w:sz="0" w:space="0" w:color="auto"/>
        <w:right w:val="none" w:sz="0" w:space="0" w:color="auto"/>
      </w:divBdr>
    </w:div>
    <w:div w:id="1932273849">
      <w:bodyDiv w:val="1"/>
      <w:marLeft w:val="0"/>
      <w:marRight w:val="0"/>
      <w:marTop w:val="0"/>
      <w:marBottom w:val="0"/>
      <w:divBdr>
        <w:top w:val="none" w:sz="0" w:space="0" w:color="auto"/>
        <w:left w:val="none" w:sz="0" w:space="0" w:color="auto"/>
        <w:bottom w:val="none" w:sz="0" w:space="0" w:color="auto"/>
        <w:right w:val="none" w:sz="0" w:space="0" w:color="auto"/>
      </w:divBdr>
    </w:div>
    <w:div w:id="1964581895">
      <w:bodyDiv w:val="1"/>
      <w:marLeft w:val="0"/>
      <w:marRight w:val="0"/>
      <w:marTop w:val="0"/>
      <w:marBottom w:val="0"/>
      <w:divBdr>
        <w:top w:val="none" w:sz="0" w:space="0" w:color="auto"/>
        <w:left w:val="none" w:sz="0" w:space="0" w:color="auto"/>
        <w:bottom w:val="none" w:sz="0" w:space="0" w:color="auto"/>
        <w:right w:val="none" w:sz="0" w:space="0" w:color="auto"/>
      </w:divBdr>
    </w:div>
    <w:div w:id="1967588420">
      <w:bodyDiv w:val="1"/>
      <w:marLeft w:val="0"/>
      <w:marRight w:val="0"/>
      <w:marTop w:val="0"/>
      <w:marBottom w:val="0"/>
      <w:divBdr>
        <w:top w:val="none" w:sz="0" w:space="0" w:color="auto"/>
        <w:left w:val="none" w:sz="0" w:space="0" w:color="auto"/>
        <w:bottom w:val="none" w:sz="0" w:space="0" w:color="auto"/>
        <w:right w:val="none" w:sz="0" w:space="0" w:color="auto"/>
      </w:divBdr>
    </w:div>
    <w:div w:id="2028436547">
      <w:bodyDiv w:val="1"/>
      <w:marLeft w:val="0"/>
      <w:marRight w:val="0"/>
      <w:marTop w:val="0"/>
      <w:marBottom w:val="0"/>
      <w:divBdr>
        <w:top w:val="none" w:sz="0" w:space="0" w:color="auto"/>
        <w:left w:val="none" w:sz="0" w:space="0" w:color="auto"/>
        <w:bottom w:val="none" w:sz="0" w:space="0" w:color="auto"/>
        <w:right w:val="none" w:sz="0" w:space="0" w:color="auto"/>
      </w:divBdr>
      <w:divsChild>
        <w:div w:id="1876383870">
          <w:marLeft w:val="0"/>
          <w:marRight w:val="0"/>
          <w:marTop w:val="0"/>
          <w:marBottom w:val="0"/>
          <w:divBdr>
            <w:top w:val="none" w:sz="0" w:space="0" w:color="auto"/>
            <w:left w:val="none" w:sz="0" w:space="0" w:color="auto"/>
            <w:bottom w:val="none" w:sz="0" w:space="0" w:color="auto"/>
            <w:right w:val="none" w:sz="0" w:space="0" w:color="auto"/>
          </w:divBdr>
          <w:divsChild>
            <w:div w:id="252594597">
              <w:marLeft w:val="0"/>
              <w:marRight w:val="0"/>
              <w:marTop w:val="0"/>
              <w:marBottom w:val="0"/>
              <w:divBdr>
                <w:top w:val="none" w:sz="0" w:space="0" w:color="auto"/>
                <w:left w:val="none" w:sz="0" w:space="0" w:color="auto"/>
                <w:bottom w:val="none" w:sz="0" w:space="0" w:color="auto"/>
                <w:right w:val="none" w:sz="0" w:space="0" w:color="auto"/>
              </w:divBdr>
              <w:divsChild>
                <w:div w:id="1630864491">
                  <w:marLeft w:val="0"/>
                  <w:marRight w:val="0"/>
                  <w:marTop w:val="0"/>
                  <w:marBottom w:val="0"/>
                  <w:divBdr>
                    <w:top w:val="none" w:sz="0" w:space="0" w:color="auto"/>
                    <w:left w:val="none" w:sz="0" w:space="0" w:color="auto"/>
                    <w:bottom w:val="none" w:sz="0" w:space="0" w:color="auto"/>
                    <w:right w:val="none" w:sz="0" w:space="0" w:color="auto"/>
                  </w:divBdr>
                  <w:divsChild>
                    <w:div w:id="374428967">
                      <w:marLeft w:val="0"/>
                      <w:marRight w:val="0"/>
                      <w:marTop w:val="0"/>
                      <w:marBottom w:val="0"/>
                      <w:divBdr>
                        <w:top w:val="none" w:sz="0" w:space="0" w:color="auto"/>
                        <w:left w:val="none" w:sz="0" w:space="0" w:color="auto"/>
                        <w:bottom w:val="none" w:sz="0" w:space="0" w:color="auto"/>
                        <w:right w:val="none" w:sz="0" w:space="0" w:color="auto"/>
                      </w:divBdr>
                      <w:divsChild>
                        <w:div w:id="671107726">
                          <w:marLeft w:val="0"/>
                          <w:marRight w:val="0"/>
                          <w:marTop w:val="0"/>
                          <w:marBottom w:val="0"/>
                          <w:divBdr>
                            <w:top w:val="none" w:sz="0" w:space="0" w:color="auto"/>
                            <w:left w:val="none" w:sz="0" w:space="0" w:color="auto"/>
                            <w:bottom w:val="none" w:sz="0" w:space="0" w:color="auto"/>
                            <w:right w:val="none" w:sz="0" w:space="0" w:color="auto"/>
                          </w:divBdr>
                          <w:divsChild>
                            <w:div w:id="5459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25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cel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vceli.lv/wp-content/uploads/2020/04/LV-ITS-Strategy-and-Action-Plan_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2C48-1EF2-439D-A09F-BAFD9FD2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31</Pages>
  <Words>5219</Words>
  <Characters>37496</Characters>
  <Application>Microsoft Office Word</Application>
  <DocSecurity>0</DocSecurity>
  <Lines>312</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Ministru kabineta noteikumu projekts „Grozījumi Ministru kabineta 2010.gada 30.novembra noteikumos Nr.1080 „Transportlīdzekļu reģistrācijas noteikumi"”</vt:lpstr>
    </vt:vector>
  </TitlesOfParts>
  <Company>Satiksmes ministrija</Company>
  <LinksUpToDate>false</LinksUpToDate>
  <CharactersWithSpaces>42630</CharactersWithSpaces>
  <SharedDoc>false</SharedDoc>
  <HLinks>
    <vt:vector size="12" baseType="variant">
      <vt:variant>
        <vt:i4>6029437</vt:i4>
      </vt:variant>
      <vt:variant>
        <vt:i4>3</vt:i4>
      </vt:variant>
      <vt:variant>
        <vt:i4>0</vt:i4>
      </vt:variant>
      <vt:variant>
        <vt:i4>5</vt:i4>
      </vt:variant>
      <vt:variant>
        <vt:lpwstr>https://lvceli.lv/wp-content/uploads/2020/04/LV-ITS-Strategy-and-Action-Plan_2017.pdf</vt:lpwstr>
      </vt:variant>
      <vt:variant>
        <vt:lpwstr/>
      </vt:variant>
      <vt:variant>
        <vt:i4>1048646</vt:i4>
      </vt:variant>
      <vt:variant>
        <vt:i4>0</vt:i4>
      </vt:variant>
      <vt:variant>
        <vt:i4>0</vt:i4>
      </vt:variant>
      <vt:variant>
        <vt:i4>5</vt:i4>
      </vt:variant>
      <vt:variant>
        <vt:lpwstr>http://www.lvceli.lv/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Edgars.Leonovs@sam.gov.lv</dc:creator>
  <cp:keywords>Izziņa</cp:keywords>
  <dc:description/>
  <cp:lastModifiedBy>Baiba Jirgena</cp:lastModifiedBy>
  <cp:revision>32</cp:revision>
  <cp:lastPrinted>2020-05-11T08:45:00Z</cp:lastPrinted>
  <dcterms:created xsi:type="dcterms:W3CDTF">2020-05-18T13:42:00Z</dcterms:created>
  <dcterms:modified xsi:type="dcterms:W3CDTF">2020-06-01T13:08:00Z</dcterms:modified>
</cp:coreProperties>
</file>