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00EE2960" w:rsidP="00B22351" w:rsidRDefault="00B22351" w14:paraId="10B60B39" w14:textId="27E060D5">
      <w:pPr>
        <w:jc w:val="center"/>
        <w:rPr>
          <w:b/>
          <w:sz w:val="28"/>
          <w:szCs w:val="28"/>
        </w:rPr>
      </w:pPr>
      <w:r>
        <w:rPr>
          <w:b/>
          <w:sz w:val="28"/>
          <w:szCs w:val="28"/>
        </w:rPr>
        <w:t>“</w:t>
      </w:r>
      <w:r w:rsidRPr="00B22351">
        <w:rPr>
          <w:b/>
          <w:sz w:val="28"/>
          <w:szCs w:val="28"/>
        </w:rPr>
        <w:t>Par nekustamā īpašuma “Lidosta “Rīga””, Mārupes novadā, pirkšanu</w:t>
      </w:r>
    </w:p>
    <w:p w:rsidRPr="00AE76EB" w:rsidR="000A531F" w:rsidP="00B22351" w:rsidRDefault="00B22351" w14:paraId="458B585A" w14:textId="0BDE894B">
      <w:pPr>
        <w:jc w:val="center"/>
        <w:rPr>
          <w:b/>
          <w:sz w:val="28"/>
          <w:szCs w:val="28"/>
        </w:rPr>
      </w:pPr>
      <w:r w:rsidRPr="00B22351">
        <w:rPr>
          <w:b/>
          <w:sz w:val="28"/>
          <w:szCs w:val="28"/>
        </w:rPr>
        <w:t xml:space="preserve">“Eiropas standarta platuma 1435 mm dzelzceļa līnijas izbūve Rail </w:t>
      </w:r>
      <w:proofErr w:type="spellStart"/>
      <w:r w:rsidRPr="00B22351">
        <w:rPr>
          <w:b/>
          <w:sz w:val="28"/>
          <w:szCs w:val="28"/>
        </w:rPr>
        <w:t>Baltica</w:t>
      </w:r>
      <w:proofErr w:type="spellEnd"/>
      <w:r w:rsidRPr="00B22351">
        <w:rPr>
          <w:b/>
          <w:sz w:val="28"/>
          <w:szCs w:val="28"/>
        </w:rPr>
        <w:t xml:space="preserve"> koridorā caur Igauniju, Latviju un Lietuvu” </w:t>
      </w:r>
      <w:r w:rsidR="00EE2960">
        <w:rPr>
          <w:b/>
          <w:sz w:val="28"/>
          <w:szCs w:val="28"/>
        </w:rPr>
        <w:t xml:space="preserve">būvniecības projekta </w:t>
      </w:r>
      <w:r w:rsidRPr="00B22351">
        <w:rPr>
          <w:b/>
          <w:sz w:val="28"/>
          <w:szCs w:val="28"/>
        </w:rPr>
        <w:t>īstenošanai</w:t>
      </w:r>
      <w:r w:rsidR="00AE547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48E08758">
            <w:r w:rsidRPr="003E112E">
              <w:t xml:space="preserve"> </w:t>
            </w:r>
            <w:r w:rsidR="00D201AD">
              <w:t xml:space="preserve">2020.gada </w:t>
            </w:r>
            <w:r w:rsidR="00B22351">
              <w:t xml:space="preserve"> </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095F7F75">
            <w:pPr>
              <w:ind w:left="72"/>
            </w:pPr>
            <w:r w:rsidRPr="003A7944">
              <w:t>Tieslietu ministrija</w:t>
            </w:r>
            <w:r w:rsidR="00B22351">
              <w:t>,</w:t>
            </w:r>
            <w:r w:rsidRPr="003A7944" w:rsidR="00B22351">
              <w:t xml:space="preserve"> Finanšu ministrija</w:t>
            </w:r>
            <w:r w:rsidR="00B22351">
              <w:t>.</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5EB40055">
            <w:pPr>
              <w:ind w:left="72"/>
            </w:pP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B409F8A">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93548F3">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D47019" w:rsidRDefault="00B14512" w14:paraId="5244CE31" w14:textId="544160C8">
            <w:r>
              <w:t>Finanšu ministrija</w:t>
            </w:r>
            <w:r w:rsidR="00DC002D">
              <w:t>.</w:t>
            </w:r>
          </w:p>
          <w:p w:rsidRPr="003A7944" w:rsidR="005C709A" w:rsidP="00D47019" w:rsidRDefault="005C709A" w14:paraId="11A709A3" w14:textId="6B2AAD06">
            <w:r>
              <w:t>Tieslietu ministrija</w:t>
            </w:r>
            <w:r w:rsidR="00B22351">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AE76EB" w:rsidP="00C37E05" w:rsidRDefault="00AE76EB" w14:paraId="797CA628" w14:textId="77777777">
      <w:pPr>
        <w:pStyle w:val="naisf"/>
        <w:spacing w:before="0" w:after="0"/>
        <w:ind w:firstLine="0"/>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155"/>
        <w:gridCol w:w="4536"/>
        <w:gridCol w:w="2410"/>
        <w:gridCol w:w="4398"/>
      </w:tblGrid>
      <w:tr w:rsidR="005D403F" w:rsidTr="00AE48F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155"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536"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410"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4398"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AE48FF" w14:paraId="4254AEA4" w14:textId="77777777">
        <w:tc>
          <w:tcPr>
            <w:tcW w:w="675" w:type="dxa"/>
          </w:tcPr>
          <w:p w:rsidR="005D403F" w:rsidP="005D403F" w:rsidRDefault="00E25641" w14:paraId="2DF49046" w14:textId="5946DD99">
            <w:pPr>
              <w:pStyle w:val="naisf"/>
              <w:spacing w:before="0" w:after="0"/>
              <w:ind w:firstLine="0"/>
              <w:jc w:val="center"/>
            </w:pPr>
            <w:r>
              <w:t>1.</w:t>
            </w:r>
          </w:p>
        </w:tc>
        <w:tc>
          <w:tcPr>
            <w:tcW w:w="2155" w:type="dxa"/>
          </w:tcPr>
          <w:p w:rsidR="00491E1F" w:rsidP="00491E1F" w:rsidRDefault="009315E4" w14:paraId="1A4FA300" w14:textId="2BA24B31">
            <w:pPr>
              <w:jc w:val="both"/>
              <w:rPr>
                <w:lang w:eastAsia="ko-KR"/>
              </w:rPr>
            </w:pPr>
            <w:r>
              <w:rPr>
                <w:lang w:eastAsia="ko-KR"/>
              </w:rPr>
              <w:t>R</w:t>
            </w:r>
            <w:r w:rsidRPr="009315E4">
              <w:rPr>
                <w:lang w:eastAsia="ko-KR"/>
              </w:rPr>
              <w:t>īkojuma projekta anotācijas I sadaļas 2.punkts</w:t>
            </w:r>
            <w:r>
              <w:rPr>
                <w:lang w:eastAsia="ko-KR"/>
              </w:rPr>
              <w:t>.</w:t>
            </w:r>
          </w:p>
        </w:tc>
        <w:tc>
          <w:tcPr>
            <w:tcW w:w="4536" w:type="dxa"/>
          </w:tcPr>
          <w:p w:rsidR="00624DC9" w:rsidP="0056113B" w:rsidRDefault="007C6433" w14:paraId="373A603C" w14:textId="77777777">
            <w:pPr>
              <w:widowControl w:val="0"/>
              <w:jc w:val="center"/>
              <w:rPr>
                <w:b/>
                <w:bCs/>
              </w:rPr>
            </w:pPr>
            <w:r w:rsidRPr="00AE17A7">
              <w:rPr>
                <w:b/>
                <w:bCs/>
              </w:rPr>
              <w:t>Finanšu ministrija</w:t>
            </w:r>
          </w:p>
          <w:p w:rsidR="005C709A" w:rsidP="005C709A" w:rsidRDefault="00624DC9" w14:paraId="67695579" w14:textId="56CE392D">
            <w:pPr>
              <w:widowControl w:val="0"/>
              <w:jc w:val="both"/>
            </w:pPr>
            <w:r>
              <w:t>(</w:t>
            </w:r>
            <w:r w:rsidR="007C6433">
              <w:t>2020.gada 27.aprīļa atzinums Nr.12/A-7/2297</w:t>
            </w:r>
            <w:r>
              <w:t>)</w:t>
            </w:r>
          </w:p>
          <w:p w:rsidR="00AE17A7" w:rsidP="00AE17A7" w:rsidRDefault="00AE17A7" w14:paraId="154210B9" w14:textId="77777777">
            <w:pPr>
              <w:widowControl w:val="0"/>
              <w:jc w:val="both"/>
            </w:pPr>
            <w:r>
              <w:t xml:space="preserve">Saskaņā ar Rīgas rajona tiesas Mārupes novada zemesgrāmatas nodalījuma Nr.887 ierakstiem nekustamais īpašums (kadastrs Nr.8076 502 0002) “Lidosta “Rīga””, Mārupes novadā, 02.05.1997. ierakstīts uz valsts vārda Satiksmes ministrijas personā. </w:t>
            </w:r>
          </w:p>
          <w:p w:rsidR="00AE17A7" w:rsidP="00AE17A7" w:rsidRDefault="00AE17A7" w14:paraId="2288424E" w14:textId="77777777">
            <w:pPr>
              <w:widowControl w:val="0"/>
              <w:jc w:val="both"/>
            </w:pPr>
            <w:r>
              <w:t xml:space="preserve">Uz Satiksmes ministrijas 02.04.1997. rīkojuma Nr.30 un 01.01.1997. nododamā nekustamā īpašuma saraksta pamata 18.09.1997. nostiprinātas īpašuma tiesības VAS “Latvijas Gaisa Satiksme”. No minētajiem ierakstiem nav skaidrs tiesiskais pamats īpašuma tiesību pārejai. </w:t>
            </w:r>
          </w:p>
          <w:p w:rsidRPr="00B14512" w:rsidR="00AE17A7" w:rsidP="00AE17A7" w:rsidRDefault="00AE17A7" w14:paraId="724A8C63" w14:textId="60646D8C">
            <w:pPr>
              <w:widowControl w:val="0"/>
              <w:jc w:val="both"/>
            </w:pPr>
            <w:r>
              <w:t xml:space="preserve">Lūdzam, izvērtējot VAS “Latvijas Gaisa Satiksme” īpašuma tiesību iegūšanas pamatu, anotāciju papildināt ar detalizētu </w:t>
            </w:r>
            <w:proofErr w:type="spellStart"/>
            <w:r>
              <w:t>izvērtējumu</w:t>
            </w:r>
            <w:proofErr w:type="spellEnd"/>
            <w:r>
              <w:t xml:space="preserve"> iespējamiem citiem rīcības virzieniem, tostarp vērtējot VAS “Latvijas Gaisa Satiksme” pamatkapitāla samazināšanas iespējas, ja nekustamo īpašumu valsts kapitālsabiedrība ieguvusi pamatkapitāla </w:t>
            </w:r>
            <w:r>
              <w:lastRenderedPageBreak/>
              <w:t>palielināšanas ceļā.</w:t>
            </w:r>
          </w:p>
        </w:tc>
        <w:tc>
          <w:tcPr>
            <w:tcW w:w="2410" w:type="dxa"/>
          </w:tcPr>
          <w:p w:rsidR="00624DC9" w:rsidP="00624DC9" w:rsidRDefault="00AE17A7" w14:paraId="483AE230" w14:textId="77777777">
            <w:pPr>
              <w:pStyle w:val="naisf"/>
              <w:spacing w:before="0" w:after="0"/>
              <w:ind w:firstLine="0"/>
              <w:jc w:val="center"/>
              <w:rPr>
                <w:b/>
                <w:bCs/>
              </w:rPr>
            </w:pPr>
            <w:r>
              <w:rPr>
                <w:b/>
                <w:bCs/>
              </w:rPr>
              <w:lastRenderedPageBreak/>
              <w:t>Iebildums ir ņemts vērā.</w:t>
            </w:r>
          </w:p>
          <w:p w:rsidRPr="007F5237" w:rsidR="00955F6B" w:rsidP="00D47019" w:rsidRDefault="00AE17A7" w14:paraId="4F11965E" w14:textId="72B01097">
            <w:pPr>
              <w:pStyle w:val="naisf"/>
              <w:spacing w:before="0" w:after="0"/>
              <w:ind w:firstLine="0"/>
              <w:rPr>
                <w:b/>
                <w:bCs/>
              </w:rPr>
            </w:pPr>
            <w:r>
              <w:rPr>
                <w:b/>
                <w:bCs/>
              </w:rPr>
              <w:t xml:space="preserve"> </w:t>
            </w:r>
          </w:p>
        </w:tc>
        <w:tc>
          <w:tcPr>
            <w:tcW w:w="4398" w:type="dxa"/>
          </w:tcPr>
          <w:p w:rsidRPr="00EE2960" w:rsidR="00972C39" w:rsidP="002C47B5" w:rsidRDefault="00624DC9" w14:paraId="1F25683B" w14:textId="7AC2F4E7">
            <w:pPr>
              <w:jc w:val="both"/>
              <w:rPr>
                <w:bCs/>
              </w:rPr>
            </w:pPr>
            <w:r>
              <w:t>P</w:t>
            </w:r>
            <w:r w:rsidRPr="00624DC9">
              <w:t>apildināt</w:t>
            </w:r>
            <w:r>
              <w:t>s rīkojuma projekta</w:t>
            </w:r>
            <w:r w:rsidRPr="00624DC9">
              <w:t xml:space="preserve"> </w:t>
            </w:r>
            <w:r>
              <w:rPr>
                <w:bCs/>
              </w:rPr>
              <w:t>a</w:t>
            </w:r>
            <w:r w:rsidRPr="00EE2960" w:rsidR="00AE17A7">
              <w:rPr>
                <w:bCs/>
              </w:rPr>
              <w:t>notācijas I sadaļas 2.punkts</w:t>
            </w:r>
            <w:r w:rsidR="00AA7590">
              <w:rPr>
                <w:bCs/>
              </w:rPr>
              <w:t>:</w:t>
            </w:r>
          </w:p>
          <w:p w:rsidRPr="00EE2960" w:rsidR="00E25641" w:rsidP="00E25641" w:rsidRDefault="00AA7590" w14:paraId="07321D50" w14:textId="4DF56CC8">
            <w:pPr>
              <w:jc w:val="both"/>
              <w:rPr>
                <w:bCs/>
                <w:u w:val="single"/>
              </w:rPr>
            </w:pPr>
            <w:r>
              <w:rPr>
                <w:bCs/>
                <w:u w:val="single"/>
              </w:rPr>
              <w:t>“</w:t>
            </w:r>
            <w:r w:rsidRPr="00EE2960" w:rsidR="00E25641">
              <w:rPr>
                <w:bCs/>
                <w:u w:val="single"/>
              </w:rPr>
              <w:t>Valsts akciju sabiedrības “Latvijas Gaisa satiksme” īpašuma tiesību iegūšanas pamata vērtējums.</w:t>
            </w:r>
          </w:p>
          <w:p w:rsidR="00624DC9" w:rsidP="00E25641" w:rsidRDefault="00624DC9" w14:paraId="37DDC5D1" w14:textId="47935D04">
            <w:pPr>
              <w:jc w:val="both"/>
              <w:rPr>
                <w:bCs/>
              </w:rPr>
            </w:pPr>
            <w:r w:rsidRPr="00624DC9">
              <w:rPr>
                <w:bCs/>
              </w:rPr>
              <w:t>Būvju īpašums ir ierakstīts Rīgas rajona tiesas Mārupes novada zemesgrāmatas nodalījumā Nr.887, uz kuru īpašuma tiesības, pamatojoties uz Satiksmes ministrijas 1997.gada 2.aprīļa rīkojumu Nr.30 “Par Latvijas Republikas gaisa telpas izmantošanas un gaisa satiksmes organizēšanas valsts uzņēmuma “Latvijas gaisa satiksme” pārveidošanu par Latvijas Republikas gaisa telpas izmantošanas un gaisa satiksmes organizēšanas valsts akciju sabiedrību “Latvijas gaisa satiksme”” (turpmāk – rīkojums Nr.30) un 1997.gada 1.janvār</w:t>
            </w:r>
            <w:r>
              <w:rPr>
                <w:bCs/>
              </w:rPr>
              <w:t>a</w:t>
            </w:r>
            <w:r w:rsidRPr="00624DC9">
              <w:rPr>
                <w:bCs/>
              </w:rPr>
              <w:t xml:space="preserve"> nododamā nekustamā īpašuma sarakstu, ir nostiprinātas valsts akciju sabiedrībai “Latvijas gaisa satiksme” (turpmāk – LGS).</w:t>
            </w:r>
          </w:p>
          <w:p w:rsidR="00923BDC" w:rsidP="00E25641" w:rsidRDefault="00923BDC" w14:paraId="219C0E86" w14:textId="77777777">
            <w:pPr>
              <w:jc w:val="both"/>
              <w:rPr>
                <w:rFonts w:eastAsia="Calibri"/>
                <w:bCs/>
              </w:rPr>
            </w:pPr>
            <w:r w:rsidRPr="00923BDC">
              <w:rPr>
                <w:rFonts w:eastAsia="Calibri"/>
                <w:bCs/>
              </w:rPr>
              <w:t xml:space="preserve">Rīkojuma Nr.30 izdošanas un tam pievienotā minētā nododamā nekustamā </w:t>
            </w:r>
            <w:r w:rsidRPr="00923BDC">
              <w:rPr>
                <w:rFonts w:eastAsia="Calibri"/>
                <w:bCs/>
              </w:rPr>
              <w:lastRenderedPageBreak/>
              <w:t>īpašuma saraksta sastādīšanas pamats ir Latvijas Republikas 1990.gada 26.septembra likuma “Par uzņēmējdarbību” 35.pants un Latvijas Republikas 1996.gada 8.jūlija likuma “Par valsts un pašvaldību uzņēmumu pārveidošanu statūtsabiedrībās” 5.pants.</w:t>
            </w:r>
          </w:p>
          <w:p w:rsidRPr="00EE2960" w:rsidR="00E25641" w:rsidP="00E25641" w:rsidRDefault="00E25641" w14:paraId="067A9DD8" w14:textId="474495B4">
            <w:pPr>
              <w:jc w:val="both"/>
              <w:rPr>
                <w:rFonts w:eastAsia="Calibri"/>
                <w:bCs/>
              </w:rPr>
            </w:pPr>
            <w:r w:rsidRPr="00EE2960">
              <w:rPr>
                <w:rFonts w:eastAsia="Calibri"/>
                <w:bCs/>
              </w:rPr>
              <w:t xml:space="preserve">  </w:t>
            </w:r>
            <w:r w:rsidRPr="00815741" w:rsidR="00815741">
              <w:rPr>
                <w:rFonts w:eastAsia="Calibri"/>
                <w:bCs/>
              </w:rPr>
              <w:t>Papildus ir izdots Satiksmes ministrijas 1997.gada 5.jūnija rīkojums Nr. 56 “Par pārvaldes un revīzijas institūciju iecelšanu un dokumentu apstiprināšanu”.</w:t>
            </w:r>
          </w:p>
          <w:p w:rsidRPr="00EE2960" w:rsidR="00E25641" w:rsidP="00E25641" w:rsidRDefault="00E25641" w14:paraId="29061CE5" w14:textId="7B6435EC">
            <w:pPr>
              <w:jc w:val="both"/>
              <w:rPr>
                <w:bCs/>
              </w:rPr>
            </w:pPr>
            <w:r w:rsidRPr="00EE2960">
              <w:rPr>
                <w:bCs/>
              </w:rPr>
              <w:t xml:space="preserve">   Likuma “Par valsts un pašvaldību uzņēmumu pārveidošanu statūtsabiedrībās” 5.pants noteica lēmuma par valsts uzņēmuma pārveidošanu statūtsabiedrībā pieņemšanas kārtību. Savukārt šā likuma 6.pants noteica, ka</w:t>
            </w:r>
            <w:r w:rsidR="007E30D2">
              <w:rPr>
                <w:bCs/>
              </w:rPr>
              <w:t>,</w:t>
            </w:r>
            <w:r w:rsidRPr="00EE2960">
              <w:rPr>
                <w:bCs/>
              </w:rPr>
              <w:t xml:space="preserve"> pārveidojot valsts un pašvaldības uzņēmumu valsts statūtsabiedrībās, tās pamatkapitāla lielumu nosaka šādi: aprēķina valsts vai pašvaldības uzņēmuma aktīvus. Tos veido: pamatlīdzekļi bilances vērtībā, apgrozāmie līdzekļi faktiskajās iegādes cenās, nepabeigto celtniecības objektu un neuzsākto iekārtu vērtība, naudas līdzekļi, ieskaitot vērtspapīrus, citiem aizdotie līdzekļi. Kapitāla daļu nominālvērtības kopsummai jāatbilst pamatkapitāla lielumam.  </w:t>
            </w:r>
          </w:p>
          <w:p w:rsidRPr="00EE2960" w:rsidR="00E25641" w:rsidP="00E25641" w:rsidRDefault="00E25641" w14:paraId="6A8F4439" w14:textId="77777777">
            <w:pPr>
              <w:jc w:val="both"/>
              <w:rPr>
                <w:bCs/>
              </w:rPr>
            </w:pPr>
            <w:r w:rsidRPr="00EE2960">
              <w:rPr>
                <w:bCs/>
              </w:rPr>
              <w:t xml:space="preserve">  Ministru kabineta 1996.gada 10.aprīļa noteikumu Nr.142 “Noteikumi par valsts un pašvaldību uzņēmumu pārveidošanu </w:t>
            </w:r>
            <w:r w:rsidRPr="00EE2960">
              <w:rPr>
                <w:bCs/>
              </w:rPr>
              <w:lastRenderedPageBreak/>
              <w:t xml:space="preserve">statūtsabiedrībās” 5.punkts noteica, ka visas ķermeniskas lietas, intelektuālais īpašums un vērtspapīri, kuru vērtība tiek iekļauta statūtsabiedrības pamatkapitāla vērtībā šo noteikumu 8.punktā noteiktajā kārtībā, pēc tam, kad statūtsabiedrība ir reģistrēta Uzņēmumu reģistrā, kļūst pat </w:t>
            </w:r>
            <w:proofErr w:type="spellStart"/>
            <w:r w:rsidRPr="00EE2960">
              <w:rPr>
                <w:bCs/>
              </w:rPr>
              <w:t>jaunizveidotās</w:t>
            </w:r>
            <w:proofErr w:type="spellEnd"/>
            <w:r w:rsidRPr="00EE2960">
              <w:rPr>
                <w:bCs/>
              </w:rPr>
              <w:t xml:space="preserve"> statūtsabiedrības īpašumu.</w:t>
            </w:r>
          </w:p>
          <w:p w:rsidRPr="00EE2960" w:rsidR="00E25641" w:rsidP="00E25641" w:rsidRDefault="00E25641" w14:paraId="1539200B" w14:textId="134E5D18">
            <w:pPr>
              <w:jc w:val="both"/>
              <w:rPr>
                <w:bCs/>
              </w:rPr>
            </w:pPr>
            <w:r w:rsidRPr="00EE2960">
              <w:rPr>
                <w:bCs/>
              </w:rPr>
              <w:t xml:space="preserve">   Līdz ar to secināms, ka LGS īpašuma tiesības uz mantiskajām vērtībām nosaka fakts par šo vērtību un mantas iekļaušanu pamatkapitālā.</w:t>
            </w:r>
          </w:p>
          <w:p w:rsidRPr="00EE2960" w:rsidR="00E25641" w:rsidP="00E25641" w:rsidRDefault="00E25641" w14:paraId="40561306" w14:textId="41249496">
            <w:pPr>
              <w:jc w:val="both"/>
              <w:rPr>
                <w:bCs/>
              </w:rPr>
            </w:pPr>
          </w:p>
          <w:p w:rsidRPr="00EE2960" w:rsidR="00E25641" w:rsidP="00E25641" w:rsidRDefault="00E25641" w14:paraId="48FB9FB2" w14:textId="77777777">
            <w:pPr>
              <w:jc w:val="both"/>
              <w:rPr>
                <w:rFonts w:eastAsia="Calibri"/>
                <w:bCs/>
                <w:u w:val="single"/>
              </w:rPr>
            </w:pPr>
            <w:r w:rsidRPr="00EE2960">
              <w:rPr>
                <w:rFonts w:eastAsia="Calibri"/>
                <w:bCs/>
                <w:u w:val="single"/>
              </w:rPr>
              <w:t>Par LGS pamatkapitāla samazināšanas iespēju.</w:t>
            </w:r>
          </w:p>
          <w:p w:rsidRPr="00EE2960" w:rsidR="00E25641" w:rsidP="00E25641" w:rsidRDefault="00E25641" w14:paraId="782A54D0" w14:textId="60F644FD">
            <w:pPr>
              <w:jc w:val="both"/>
              <w:rPr>
                <w:rFonts w:eastAsia="Calibri"/>
                <w:bCs/>
              </w:rPr>
            </w:pPr>
            <w:r w:rsidRPr="00EE2960">
              <w:rPr>
                <w:rFonts w:eastAsia="Calibri"/>
                <w:bCs/>
              </w:rPr>
              <w:t xml:space="preserve">  Tā kā Pasaules Veselības organizācija saskaņā ar 2020.gada 11.marta paziņojumu ir pasludinājusi, ka Covid-19 ir sasniegusi pandēmijas apmērus, atbilstoši Ministru kabineta  2020.gada 12.marta rīkojumam Nr.103 </w:t>
            </w:r>
            <w:r w:rsidR="00AA7590">
              <w:rPr>
                <w:rFonts w:eastAsia="Calibri"/>
                <w:bCs/>
              </w:rPr>
              <w:t>“</w:t>
            </w:r>
            <w:r w:rsidRPr="00EE2960">
              <w:rPr>
                <w:rFonts w:eastAsia="Calibri"/>
                <w:bCs/>
              </w:rPr>
              <w:t xml:space="preserve">Par ārkārtējās situācijas izsludināšanu” visā valsts teritorijā tika izsludināta ārkārtēja situācija ar mērķi ierobežot Covid-19 izplatību ārkārtējās situācijas spēkā esamības laikā, tostarp ar 2020.gada 17.martu tika aizliegti starptautiskie pasažieru pārvadājumi caur lidostām, izņemot pasažieru pārvadājumus ar valsts gaisa kuģiem un militāro transportu. Tāpat arī citās valstīs atcelti vai noteikti starptautiskie pasažieru pārvadājumu ierobežojumi, kas būtiski </w:t>
            </w:r>
            <w:r w:rsidRPr="00EE2960">
              <w:rPr>
                <w:rFonts w:eastAsia="Calibri"/>
                <w:bCs/>
              </w:rPr>
              <w:lastRenderedPageBreak/>
              <w:t>samazināja gaisa satiksmes plūsmu Rīgas lidojumu informācijas rajonā. LGS ir noteikusi virkni ierobežojumu, lai ieekonomētu finanšu līdzekļus, tostarp</w:t>
            </w:r>
            <w:r w:rsidR="007E30D2">
              <w:rPr>
                <w:rFonts w:eastAsia="Calibri"/>
                <w:bCs/>
              </w:rPr>
              <w:t xml:space="preserve"> samazinātu</w:t>
            </w:r>
            <w:r w:rsidRPr="00EE2960">
              <w:rPr>
                <w:rFonts w:eastAsia="Calibri"/>
                <w:bCs/>
              </w:rPr>
              <w:t xml:space="preserve"> administrācijas, meteoroloģiskās un citas saimnieciskās darbības izmaksas. </w:t>
            </w:r>
          </w:p>
          <w:p w:rsidRPr="00EE2960" w:rsidR="00E25641" w:rsidP="00E25641" w:rsidRDefault="00E25641" w14:paraId="0B04B803" w14:textId="77777777">
            <w:pPr>
              <w:jc w:val="both"/>
              <w:rPr>
                <w:rFonts w:eastAsia="Calibri"/>
                <w:bCs/>
              </w:rPr>
            </w:pPr>
            <w:r w:rsidRPr="00EE2960">
              <w:rPr>
                <w:rFonts w:eastAsia="Calibri"/>
                <w:bCs/>
              </w:rPr>
              <w:t xml:space="preserve">    Ievērojot prognozēto uzsākto izmaksu samazināšanas plānu ietekmi, lai nodrošinātu ekonomiskās krīzes pārvarēšanu un ekonomiskās situācijas stabilizēšanu nozarē, atbilstoši Ministru kabineta 2020. gada 25. marta rīkojumam Nr.120 “Par valsts akciju sabiedrības "Latvijas gaisa satiksme" pamatkapitāla palielināšanu” tika atbalstīta LGS pamatkapitāla palielināšana, ieguldot tajā finanšu līdzekļus. </w:t>
            </w:r>
          </w:p>
          <w:p w:rsidRPr="00EE2960" w:rsidR="00E25641" w:rsidP="00E25641" w:rsidRDefault="00E25641" w14:paraId="4F13F5B9" w14:textId="77777777">
            <w:pPr>
              <w:jc w:val="both"/>
              <w:rPr>
                <w:rFonts w:eastAsia="Calibri"/>
                <w:bCs/>
              </w:rPr>
            </w:pPr>
            <w:r w:rsidRPr="00EE2960">
              <w:rPr>
                <w:rFonts w:eastAsia="Calibri"/>
                <w:bCs/>
              </w:rPr>
              <w:t xml:space="preserve">   LGS ir pienākums nodrošināt likumā “Par aviāciju” un saistītajos normatīvajos aktos valsts uzdotos uzdevumus arī ārkārtējas situācijas apstākļos, nodrošinot valsts attīstības un drošības interešu īstenošanu, veicot aeronavigācijas pakalpojumu sniegšanu un Latvijas Republikas gaisa telpas kontroli. Tādējādi arī šī segmenta darbībai, jo īpaši krīzes apstākļos, ir būtiski nodrošināt aeronavigācijas infrastruktūras darbību un pakalpojuma sniegšanu ar atbilstošu drošuma līmeni. </w:t>
            </w:r>
          </w:p>
          <w:p w:rsidRPr="00EE2960" w:rsidR="00E25641" w:rsidP="002C47B5" w:rsidRDefault="00E25641" w14:paraId="2BB4635D" w14:textId="6339C103">
            <w:pPr>
              <w:jc w:val="both"/>
              <w:rPr>
                <w:rFonts w:eastAsia="Calibri"/>
                <w:bCs/>
              </w:rPr>
            </w:pPr>
            <w:r w:rsidRPr="00EE2960">
              <w:rPr>
                <w:rFonts w:eastAsia="Calibri"/>
                <w:bCs/>
              </w:rPr>
              <w:t xml:space="preserve">   Līdz ar to nebūtu pamatoti samazināt LGS pamatkapitālu, jo šajā ārkārtējā situācijā </w:t>
            </w:r>
            <w:r w:rsidRPr="00EE2960">
              <w:rPr>
                <w:rFonts w:eastAsia="Calibri"/>
                <w:bCs/>
              </w:rPr>
              <w:lastRenderedPageBreak/>
              <w:t>šāda rīcība ir īpaši bīstama un pakļauta finansiāliem riskiem.</w:t>
            </w:r>
            <w:r w:rsidR="00AA7590">
              <w:rPr>
                <w:rFonts w:eastAsia="Calibri"/>
                <w:bCs/>
              </w:rPr>
              <w:t>”</w:t>
            </w:r>
          </w:p>
        </w:tc>
      </w:tr>
      <w:tr w:rsidR="001914B9" w:rsidTr="00AE48FF" w14:paraId="031ABAFE" w14:textId="77777777">
        <w:tc>
          <w:tcPr>
            <w:tcW w:w="675" w:type="dxa"/>
          </w:tcPr>
          <w:p w:rsidR="001914B9" w:rsidP="005D403F" w:rsidRDefault="00E25641" w14:paraId="45BCAAD6" w14:textId="732957CF">
            <w:pPr>
              <w:pStyle w:val="naisf"/>
              <w:spacing w:before="0" w:after="0"/>
              <w:ind w:firstLine="0"/>
              <w:jc w:val="center"/>
            </w:pPr>
            <w:r>
              <w:lastRenderedPageBreak/>
              <w:t>2.</w:t>
            </w:r>
          </w:p>
        </w:tc>
        <w:tc>
          <w:tcPr>
            <w:tcW w:w="2155" w:type="dxa"/>
          </w:tcPr>
          <w:p w:rsidRPr="00BB085E" w:rsidR="00EC74F1" w:rsidP="004021B9" w:rsidRDefault="00EC74F1" w14:paraId="71F2A4BD" w14:textId="2199A59C">
            <w:pPr>
              <w:jc w:val="both"/>
              <w:rPr>
                <w:szCs w:val="28"/>
              </w:rPr>
            </w:pPr>
          </w:p>
        </w:tc>
        <w:tc>
          <w:tcPr>
            <w:tcW w:w="4536" w:type="dxa"/>
          </w:tcPr>
          <w:p w:rsidR="0056113B" w:rsidP="0056113B" w:rsidRDefault="009311FB" w14:paraId="72914F62" w14:textId="77777777">
            <w:pPr>
              <w:jc w:val="center"/>
              <w:rPr>
                <w:b/>
                <w:bCs/>
                <w:lang w:eastAsia="en-US"/>
              </w:rPr>
            </w:pPr>
            <w:r w:rsidRPr="009311FB">
              <w:rPr>
                <w:b/>
                <w:bCs/>
                <w:lang w:eastAsia="en-US"/>
              </w:rPr>
              <w:t>Tieslietu ministrija</w:t>
            </w:r>
          </w:p>
          <w:p w:rsidR="009311FB" w:rsidP="007A6F0F" w:rsidRDefault="0056113B" w14:paraId="62482702" w14:textId="3B12CDB4">
            <w:pPr>
              <w:jc w:val="both"/>
              <w:rPr>
                <w:lang w:eastAsia="en-US"/>
              </w:rPr>
            </w:pPr>
            <w:r>
              <w:rPr>
                <w:lang w:eastAsia="en-US"/>
              </w:rPr>
              <w:t>(</w:t>
            </w:r>
            <w:r w:rsidR="009311FB">
              <w:rPr>
                <w:lang w:eastAsia="en-US"/>
              </w:rPr>
              <w:t>2020.gada 6.maija atzinums Nr.1-9.1/454</w:t>
            </w:r>
            <w:r>
              <w:rPr>
                <w:lang w:eastAsia="en-US"/>
              </w:rPr>
              <w:t>)</w:t>
            </w:r>
          </w:p>
          <w:p w:rsidR="009315E4" w:rsidP="007A6F0F" w:rsidRDefault="009315E4" w14:paraId="5B6A4D5A" w14:textId="77777777">
            <w:pPr>
              <w:jc w:val="both"/>
              <w:rPr>
                <w:lang w:eastAsia="en-US"/>
              </w:rPr>
            </w:pPr>
          </w:p>
          <w:p w:rsidRPr="00BA5981" w:rsidR="0099571E" w:rsidP="007A6F0F" w:rsidRDefault="009311FB" w14:paraId="0E3C08C4" w14:textId="050D6AAC">
            <w:pPr>
              <w:jc w:val="both"/>
              <w:rPr>
                <w:lang w:eastAsia="en-US"/>
              </w:rPr>
            </w:pPr>
            <w:r w:rsidRPr="009311FB">
              <w:rPr>
                <w:lang w:eastAsia="en-US"/>
              </w:rPr>
              <w:t>1. No rīkojuma projektam pievienotās Rīgas rajona tiesas Zemesgrāmatu nodaļas Mārupes novada zemesgrāmatas nodalījuma Nr. 887 izdrukas redzams, ka atsavināmā nekustamā īpašuma “Lidosta ”Rīga””, Mārupes novadā (turpmāk – Nekustamais īpašums) sastāvā ir administratīvā ēka un divas garāžas. Savukārt ar rīkojuma projektu paredzēts atsavināt administratīvo ēku un vienu garāžu. Lūdzam skaidrot minēto.</w:t>
            </w:r>
          </w:p>
        </w:tc>
        <w:tc>
          <w:tcPr>
            <w:tcW w:w="2410" w:type="dxa"/>
          </w:tcPr>
          <w:p w:rsidR="001914B9" w:rsidP="009315E4" w:rsidRDefault="009311FB" w14:paraId="5C26D26C" w14:textId="1826632B">
            <w:pPr>
              <w:pStyle w:val="naisf"/>
              <w:spacing w:before="0" w:after="0"/>
              <w:ind w:firstLine="0"/>
              <w:jc w:val="center"/>
              <w:rPr>
                <w:rFonts w:eastAsia="Calibri"/>
                <w:b/>
                <w:lang w:eastAsia="en-US"/>
              </w:rPr>
            </w:pPr>
            <w:r>
              <w:rPr>
                <w:rFonts w:eastAsia="Calibri"/>
                <w:b/>
                <w:lang w:eastAsia="en-US"/>
              </w:rPr>
              <w:t>Iebildums ir ņemts vērā.</w:t>
            </w:r>
          </w:p>
          <w:p w:rsidRPr="0023290D" w:rsidR="0023290D" w:rsidP="00FE5C77" w:rsidRDefault="0023290D" w14:paraId="3247B2CD" w14:textId="3A0DEA30">
            <w:pPr>
              <w:pStyle w:val="naisf"/>
              <w:spacing w:before="0" w:after="0"/>
              <w:ind w:firstLine="0"/>
              <w:rPr>
                <w:rFonts w:eastAsia="Calibri"/>
                <w:bCs/>
                <w:lang w:eastAsia="en-US"/>
              </w:rPr>
            </w:pPr>
          </w:p>
        </w:tc>
        <w:tc>
          <w:tcPr>
            <w:tcW w:w="4398" w:type="dxa"/>
          </w:tcPr>
          <w:p w:rsidRPr="00EC74F1" w:rsidR="00EC74F1" w:rsidP="007A6F0F" w:rsidRDefault="007E30D2" w14:paraId="24AFB0B4" w14:textId="4DBA0F97">
            <w:pPr>
              <w:jc w:val="both"/>
              <w:rPr>
                <w:iCs/>
                <w:color w:val="000000"/>
              </w:rPr>
            </w:pPr>
            <w:r w:rsidRPr="0023290D">
              <w:rPr>
                <w:rFonts w:eastAsia="Calibri"/>
                <w:bCs/>
                <w:lang w:eastAsia="en-US"/>
              </w:rPr>
              <w:t>P</w:t>
            </w:r>
            <w:r>
              <w:rPr>
                <w:rFonts w:eastAsia="Calibri"/>
                <w:bCs/>
                <w:lang w:eastAsia="en-US"/>
              </w:rPr>
              <w:t>askaidrojošajiem dokumentiem p</w:t>
            </w:r>
            <w:r w:rsidRPr="0023290D">
              <w:rPr>
                <w:rFonts w:eastAsia="Calibri"/>
                <w:bCs/>
                <w:lang w:eastAsia="en-US"/>
              </w:rPr>
              <w:t>ievienota jauna Rīgas rajona tiesas Mārupes novada zemesgrāmatas nodalījuma Nr.887 izdruka, kurā redzams, ka saskaņā ar zemesgrāmatas tiesneša 25.11.2019. lēmumu ir precizēts Būvju īpašuma sastāvs atbilstoši faktiskajai situācijai dabā.</w:t>
            </w:r>
          </w:p>
        </w:tc>
      </w:tr>
      <w:tr w:rsidR="00385EC6" w:rsidTr="00AE48FF" w14:paraId="380CD09A" w14:textId="77777777">
        <w:tc>
          <w:tcPr>
            <w:tcW w:w="675" w:type="dxa"/>
          </w:tcPr>
          <w:p w:rsidR="00385EC6" w:rsidP="005D403F" w:rsidRDefault="0023290D" w14:paraId="69365FE0" w14:textId="531E4D9A">
            <w:pPr>
              <w:pStyle w:val="naisf"/>
              <w:spacing w:before="0" w:after="0"/>
              <w:ind w:firstLine="0"/>
              <w:jc w:val="center"/>
            </w:pPr>
            <w:r>
              <w:t>3.</w:t>
            </w:r>
          </w:p>
        </w:tc>
        <w:tc>
          <w:tcPr>
            <w:tcW w:w="2155" w:type="dxa"/>
          </w:tcPr>
          <w:p w:rsidR="00385EC6" w:rsidP="004021B9" w:rsidRDefault="008B35AE" w14:paraId="6608F302" w14:textId="74F12A85">
            <w:pPr>
              <w:jc w:val="both"/>
              <w:rPr>
                <w:szCs w:val="28"/>
              </w:rPr>
            </w:pPr>
            <w:r>
              <w:rPr>
                <w:szCs w:val="28"/>
              </w:rPr>
              <w:t>R</w:t>
            </w:r>
            <w:r w:rsidRPr="008B35AE">
              <w:rPr>
                <w:szCs w:val="28"/>
              </w:rPr>
              <w:t>īkojuma projekta anotācijas I sadaļas 2.punkts</w:t>
            </w:r>
            <w:r>
              <w:rPr>
                <w:szCs w:val="28"/>
              </w:rPr>
              <w:t>.</w:t>
            </w:r>
          </w:p>
        </w:tc>
        <w:tc>
          <w:tcPr>
            <w:tcW w:w="4536" w:type="dxa"/>
          </w:tcPr>
          <w:p w:rsidR="00791EC7" w:rsidP="008B35AE" w:rsidRDefault="0023290D" w14:paraId="39B67153" w14:textId="77777777">
            <w:pPr>
              <w:jc w:val="center"/>
              <w:rPr>
                <w:b/>
                <w:bCs/>
                <w:lang w:eastAsia="en-US"/>
              </w:rPr>
            </w:pPr>
            <w:r w:rsidRPr="0023290D">
              <w:rPr>
                <w:b/>
                <w:bCs/>
                <w:lang w:eastAsia="en-US"/>
              </w:rPr>
              <w:t>Tieslietu ministrija</w:t>
            </w:r>
          </w:p>
          <w:p w:rsidR="00385EC6" w:rsidP="00385EC6" w:rsidRDefault="00791EC7" w14:paraId="61CD015C" w14:textId="298CC127">
            <w:pPr>
              <w:jc w:val="both"/>
              <w:rPr>
                <w:lang w:eastAsia="en-US"/>
              </w:rPr>
            </w:pPr>
            <w:r>
              <w:rPr>
                <w:lang w:eastAsia="en-US"/>
              </w:rPr>
              <w:t>(</w:t>
            </w:r>
            <w:r w:rsidRPr="0023290D" w:rsidR="0023290D">
              <w:rPr>
                <w:lang w:eastAsia="en-US"/>
              </w:rPr>
              <w:t>2020.gada 6.maija atzinums Nr.1-9.1/454</w:t>
            </w:r>
            <w:r>
              <w:rPr>
                <w:lang w:eastAsia="en-US"/>
              </w:rPr>
              <w:t>)</w:t>
            </w:r>
          </w:p>
          <w:p w:rsidR="00791EC7" w:rsidP="00385EC6" w:rsidRDefault="00791EC7" w14:paraId="17DAC498" w14:textId="77777777">
            <w:pPr>
              <w:jc w:val="both"/>
              <w:rPr>
                <w:lang w:eastAsia="en-US"/>
              </w:rPr>
            </w:pPr>
          </w:p>
          <w:p w:rsidRPr="007A6F0F" w:rsidR="0023290D" w:rsidP="00385EC6" w:rsidRDefault="0023290D" w14:paraId="005F7D61" w14:textId="3AFACD2D">
            <w:pPr>
              <w:jc w:val="both"/>
              <w:rPr>
                <w:b/>
                <w:bCs/>
                <w:lang w:eastAsia="en-US"/>
              </w:rPr>
            </w:pPr>
            <w:r w:rsidRPr="0023290D">
              <w:rPr>
                <w:lang w:eastAsia="en-US"/>
              </w:rPr>
              <w:t>2. Anotācijā minēts, ka zaudējumi, kas minēti a), b), c) un e) apakšpunktā un ir saistīti ar nomas attiecību izbeigšanu, ir ņemti vērā,  nosakot taisnīgas atlīdzības apmēru, ievērojot to, ka atlīdzības apmērs ir noteikts, izmantojot ienākumu pieejas diskontēšanas metodi, kuras ietvaros ir ņemti vērā noslēgtie nomas līgumi. Saskaņā ar Sabiedrības vajadzībām nepieciešamā nekustamā īpašuma atsavināšanas likumu (turpmāk - Atsavināšanas likums) taisnīgo atlīdzību veido ne</w:t>
            </w:r>
            <w:r w:rsidRPr="0023290D">
              <w:rPr>
                <w:b/>
                <w:bCs/>
                <w:lang w:eastAsia="en-US"/>
              </w:rPr>
              <w:t xml:space="preserve"> </w:t>
            </w:r>
            <w:r w:rsidRPr="0023290D">
              <w:rPr>
                <w:lang w:eastAsia="en-US"/>
              </w:rPr>
              <w:t xml:space="preserve">tikai nekustamā īpašuma tirgus vērtība, bet arī zaudējumi, kas nekustamā īpašuma īpašniekam rodas saistībā ar viņa </w:t>
            </w:r>
            <w:r w:rsidRPr="0023290D">
              <w:rPr>
                <w:lang w:eastAsia="en-US"/>
              </w:rPr>
              <w:lastRenderedPageBreak/>
              <w:t>nekustamā īpašuma atsavināšanu, un, ja šādi zaudējumi tiek konstatēti, tie ir jāatlīdzina, tikai tad ir uzskatāms, ka nekustamā īpašuma īpašnieks saņēmis taisnīgu atlīdzību. Ņemot vērā minēto, skaidrības labad lūdzam papildināt anotāciju ar Nekustamā īpašuma vērtējumā minēto informāciju, proti, ka “</w:t>
            </w:r>
            <w:r w:rsidRPr="00A5604E">
              <w:rPr>
                <w:lang w:eastAsia="en-US"/>
              </w:rPr>
              <w:t>negūtie ieņēmumi no noslēgtiem nomas līgumiem ietverti nekustamā īpašuma vērtībā un nav papildus aprēķināmi”, kā arī precizējot, ka ienākumu pieejas diskontēšanas metode izmantota Nekustamā īpašuma tirgus vērtības noteikšanai, nevis nosakot atlīdzības apmēru.</w:t>
            </w:r>
            <w:r w:rsidRPr="0023290D">
              <w:rPr>
                <w:b/>
                <w:bCs/>
                <w:lang w:eastAsia="en-US"/>
              </w:rPr>
              <w:t xml:space="preserve"> </w:t>
            </w:r>
            <w:r w:rsidRPr="0023290D">
              <w:rPr>
                <w:lang w:eastAsia="en-US"/>
              </w:rPr>
              <w:t>Papildus lūdzam arī papildināt anotāciju ar informāciju par to, kādēļ zaudējumu atlīdzība par pārvietošanas darbiem, kas saistīti ar  struktūrvienības “Aeronavigācijas informācijas</w:t>
            </w:r>
            <w:r w:rsidRPr="0023290D">
              <w:rPr>
                <w:b/>
                <w:bCs/>
                <w:lang w:eastAsia="en-US"/>
              </w:rPr>
              <w:t xml:space="preserve"> </w:t>
            </w:r>
            <w:r w:rsidRPr="0023290D">
              <w:rPr>
                <w:lang w:eastAsia="en-US"/>
              </w:rPr>
              <w:t xml:space="preserve">daļa” funkcionēšanai nepieciešamās infrastruktūras pārcelšanu un ierīkošanu (pārvietojamo kabeļu demontēšanu un pārcelšanu uz jauno projektējamo skapi) netiek ietverta taisnīgajā atlīdzībā, </w:t>
            </w:r>
            <w:r w:rsidRPr="00A5604E">
              <w:rPr>
                <w:lang w:eastAsia="en-US"/>
              </w:rPr>
              <w:t>līdzīgi kā tas skaidrots Nekustamā īpašuma novērtējuma 38. un 39. lpp.</w:t>
            </w:r>
          </w:p>
        </w:tc>
        <w:tc>
          <w:tcPr>
            <w:tcW w:w="2410" w:type="dxa"/>
          </w:tcPr>
          <w:p w:rsidRPr="00407875" w:rsidR="006C4AF1" w:rsidP="00791EC7" w:rsidRDefault="00407875" w14:paraId="6A59AA0F" w14:textId="6641E242">
            <w:pPr>
              <w:pStyle w:val="naisf"/>
              <w:spacing w:before="0" w:after="0"/>
              <w:ind w:firstLine="0"/>
              <w:jc w:val="center"/>
              <w:rPr>
                <w:rFonts w:eastAsia="Calibri"/>
                <w:b/>
                <w:lang w:eastAsia="en-US"/>
              </w:rPr>
            </w:pPr>
            <w:r w:rsidRPr="00407875">
              <w:rPr>
                <w:rFonts w:eastAsia="Calibri"/>
                <w:b/>
                <w:lang w:eastAsia="en-US"/>
              </w:rPr>
              <w:lastRenderedPageBreak/>
              <w:t>Iebildums ir ņemts vērā.</w:t>
            </w:r>
          </w:p>
        </w:tc>
        <w:tc>
          <w:tcPr>
            <w:tcW w:w="4398" w:type="dxa"/>
          </w:tcPr>
          <w:p w:rsidR="00791EC7" w:rsidP="00407875" w:rsidRDefault="00791EC7" w14:paraId="1127F0CE" w14:textId="77777777">
            <w:pPr>
              <w:jc w:val="both"/>
              <w:rPr>
                <w:iCs/>
                <w:color w:val="000000"/>
              </w:rPr>
            </w:pPr>
            <w:r w:rsidRPr="00791EC7">
              <w:rPr>
                <w:iCs/>
                <w:color w:val="000000"/>
              </w:rPr>
              <w:t>Papildināts rīkojuma projekta anotācijas I sadaļas 2.punkts:</w:t>
            </w:r>
          </w:p>
          <w:p w:rsidRPr="000D672D" w:rsidR="00407875" w:rsidP="00407875" w:rsidRDefault="00791EC7" w14:paraId="19E9D9D8" w14:textId="7174BDB5">
            <w:pPr>
              <w:jc w:val="both"/>
              <w:rPr>
                <w:iCs/>
                <w:color w:val="000000"/>
              </w:rPr>
            </w:pPr>
            <w:r>
              <w:rPr>
                <w:iCs/>
                <w:color w:val="000000"/>
              </w:rPr>
              <w:t>“</w:t>
            </w:r>
            <w:r w:rsidRPr="000D672D" w:rsidR="00407875">
              <w:rPr>
                <w:iCs/>
                <w:color w:val="000000"/>
              </w:rPr>
              <w:t xml:space="preserve">Zaudējumi par negūtiem ieņēmumiem no noslēgtiem nomas līgumiem, konferenču/sanāksmju telpu nomu, auto novietnēm 45 automašīnām un par 35 automašīnu stāvvietu zaudējumu ir ietverti nekustamā īpašuma vērtībā un papildus nav aprēķināmi. </w:t>
            </w:r>
          </w:p>
          <w:p w:rsidRPr="000D672D" w:rsidR="00407875" w:rsidP="00407875" w:rsidRDefault="00407875" w14:paraId="3B56F99A" w14:textId="77777777">
            <w:pPr>
              <w:jc w:val="both"/>
              <w:rPr>
                <w:iCs/>
                <w:color w:val="000000"/>
              </w:rPr>
            </w:pPr>
            <w:r w:rsidRPr="000D672D">
              <w:rPr>
                <w:iCs/>
                <w:color w:val="000000"/>
              </w:rPr>
              <w:t xml:space="preserve">  Par izdevumiem, kas saistīti ar VAS “Latvijas gaisa satiksme” struktūrvienības “Aeronavigācijas informācijas daļa” pārvietošanu uz citām telpām, darba telpu ierīkošanu un infrastruktūras pārvietošanu, vērtējuma sagatavošanas laikā nav precīzas informācijas un pamatojuma to aprēķināšanai. Kompensācija ir paredzama </w:t>
            </w:r>
            <w:r w:rsidRPr="000D672D">
              <w:rPr>
                <w:iCs/>
                <w:color w:val="000000"/>
              </w:rPr>
              <w:lastRenderedPageBreak/>
              <w:t>pēc tam, kad būs precīzi zināmas izmaksas, kas saistītas ar šo pasākumu kopumu.</w:t>
            </w:r>
          </w:p>
          <w:p w:rsidRPr="000D672D" w:rsidR="00407875" w:rsidP="00407875" w:rsidRDefault="00407875" w14:paraId="12B26363" w14:textId="77777777">
            <w:pPr>
              <w:jc w:val="both"/>
              <w:rPr>
                <w:iCs/>
                <w:color w:val="000000"/>
              </w:rPr>
            </w:pPr>
            <w:r w:rsidRPr="000D672D">
              <w:rPr>
                <w:iCs/>
                <w:color w:val="000000"/>
              </w:rPr>
              <w:t xml:space="preserve">  Šajā pasākumu kopumā ietilpstošie darbi ir iedalāmi:</w:t>
            </w:r>
          </w:p>
          <w:p w:rsidRPr="000D672D" w:rsidR="00407875" w:rsidP="00407875" w:rsidRDefault="00407875" w14:paraId="609B89A8" w14:textId="77777777">
            <w:pPr>
              <w:jc w:val="both"/>
              <w:rPr>
                <w:iCs/>
                <w:color w:val="000000"/>
              </w:rPr>
            </w:pPr>
            <w:r w:rsidRPr="000D672D">
              <w:rPr>
                <w:iCs/>
                <w:color w:val="000000"/>
              </w:rPr>
              <w:t>-</w:t>
            </w:r>
            <w:r w:rsidRPr="000D672D">
              <w:rPr>
                <w:iCs/>
                <w:color w:val="000000"/>
              </w:rPr>
              <w:tab/>
              <w:t>uzdevumā, kas paredz esošās sakaru infrastruktūras maģistrālo kabeļu vadu pārvietošanu, tostarp projektēšanas un pārbūves darbus līdz Īpašuma sastāvā esošās administratīvās ēkas nojaukšanai;</w:t>
            </w:r>
          </w:p>
          <w:p w:rsidRPr="000D672D" w:rsidR="00407875" w:rsidP="00407875" w:rsidRDefault="00407875" w14:paraId="49FCD0D1" w14:textId="77777777">
            <w:pPr>
              <w:jc w:val="both"/>
              <w:rPr>
                <w:iCs/>
                <w:color w:val="000000"/>
              </w:rPr>
            </w:pPr>
            <w:r w:rsidRPr="000D672D">
              <w:rPr>
                <w:iCs/>
                <w:color w:val="000000"/>
              </w:rPr>
              <w:t>-</w:t>
            </w:r>
            <w:r w:rsidRPr="000D672D">
              <w:rPr>
                <w:iCs/>
                <w:color w:val="000000"/>
              </w:rPr>
              <w:tab/>
              <w:t>uzdevumā, kas paredz Īpašuma sastāvā esošajā administratīvajā ēkā izvietotās struktūrvienības pārvietošanu, tostarp tās funkcionēšanai nepieciešamās infrastruktūras pārcelšanu un ierīkošanu.</w:t>
            </w:r>
          </w:p>
          <w:p w:rsidRPr="000D672D" w:rsidR="00407875" w:rsidP="00407875" w:rsidRDefault="00407875" w14:paraId="02E3B327" w14:textId="6231AC9C">
            <w:pPr>
              <w:jc w:val="both"/>
              <w:rPr>
                <w:iCs/>
                <w:color w:val="000000"/>
              </w:rPr>
            </w:pPr>
            <w:r w:rsidRPr="000D672D">
              <w:rPr>
                <w:iCs/>
                <w:color w:val="000000"/>
              </w:rPr>
              <w:t xml:space="preserve">  </w:t>
            </w:r>
            <w:r w:rsidR="002B3EE0">
              <w:rPr>
                <w:iCs/>
                <w:color w:val="000000"/>
              </w:rPr>
              <w:t>Sabiedrība ar ierobežotu atbildību “Eiropas dzelzceļa līnijas”</w:t>
            </w:r>
            <w:r w:rsidRPr="000D672D">
              <w:rPr>
                <w:iCs/>
                <w:color w:val="000000"/>
              </w:rPr>
              <w:t xml:space="preserve"> ir nolēmusi maģistrālo tranzīta kabeļu saglabāšanu pirms Īpašuma sastāvā esošās administratīvās ēkas nojaukšanas, veikt būvprojekta “Rail </w:t>
            </w:r>
            <w:proofErr w:type="spellStart"/>
            <w:r w:rsidRPr="000D672D">
              <w:rPr>
                <w:iCs/>
                <w:color w:val="000000"/>
              </w:rPr>
              <w:t>Baltica</w:t>
            </w:r>
            <w:proofErr w:type="spellEnd"/>
            <w:r w:rsidRPr="000D672D">
              <w:rPr>
                <w:iCs/>
                <w:color w:val="000000"/>
              </w:rPr>
              <w:t xml:space="preserve"> VAS “Starptautiskā lidosta “Rīga”” dzelzceļa stacijas, saistītās infrastruktūras un estakādes būvprojekts. II kārta: posms no stacijas “Starptautiskā lidosta “Rīga” līdz </w:t>
            </w:r>
            <w:proofErr w:type="spellStart"/>
            <w:r w:rsidRPr="000D672D">
              <w:rPr>
                <w:iCs/>
                <w:color w:val="000000"/>
              </w:rPr>
              <w:t>Dzirnieku</w:t>
            </w:r>
            <w:proofErr w:type="spellEnd"/>
            <w:r w:rsidRPr="000D672D">
              <w:rPr>
                <w:iCs/>
                <w:color w:val="000000"/>
              </w:rPr>
              <w:t xml:space="preserve"> ielai Mārupes novadā”” īstenošanas laikā par minētā būvprojekta ieviesēja līdzekļiem saskaņā ar Likuma 24.pantu. </w:t>
            </w:r>
          </w:p>
          <w:p w:rsidRPr="000D672D" w:rsidR="00407875" w:rsidP="00407875" w:rsidRDefault="00407875" w14:paraId="745C8EBF" w14:textId="77777777">
            <w:pPr>
              <w:jc w:val="both"/>
              <w:rPr>
                <w:iCs/>
                <w:color w:val="000000"/>
              </w:rPr>
            </w:pPr>
            <w:r w:rsidRPr="000D672D">
              <w:rPr>
                <w:iCs/>
                <w:color w:val="000000"/>
              </w:rPr>
              <w:t xml:space="preserve"> Savukārt darbus, kurus nodrošinās VAS “Latvijas gaisa satiksme” un kas ir saistīti ar struktūrvienības “Aeronavigācijas informācijas daļa” funkcionēšanai </w:t>
            </w:r>
            <w:r w:rsidRPr="000D672D">
              <w:rPr>
                <w:iCs/>
                <w:color w:val="000000"/>
              </w:rPr>
              <w:lastRenderedPageBreak/>
              <w:t>nepieciešamās infrastruktūras pārcelšanu un ierīkošanu (pārvietojamo kabeļu demontēšanu un pārcelšanu uz jauno projektējamo skapi), atzīt par kompensējamiem to faktiskajā un saskaņā ar Civillikumu pierādītajā apmērā, ievērojot Ministru kabineta 2011.gada 15.marta noteikumu Nr.204 “Kārtība, kādā nosaka taisnīgu atlīdzību par sabiedrības vajadzībām atsavināmo nekustamo īpašumu” 2.punktu.</w:t>
            </w:r>
          </w:p>
          <w:p w:rsidRPr="000D672D" w:rsidR="00407875" w:rsidP="00407875" w:rsidRDefault="00407875" w14:paraId="1DDD1C58" w14:textId="77777777">
            <w:pPr>
              <w:jc w:val="both"/>
              <w:rPr>
                <w:iCs/>
                <w:color w:val="000000"/>
              </w:rPr>
            </w:pPr>
            <w:r w:rsidRPr="000D672D">
              <w:rPr>
                <w:iCs/>
                <w:color w:val="000000"/>
              </w:rPr>
              <w:t xml:space="preserve">  Zaudējumi par negūtiem ieņēmumiem saskaņā ar nomas tiesisko attiecību pārtraukšanu ar valsts aģentūru “Civilās aviācijas aģentūra” un Īpašuma uzturēšanas izdevumu pieaugumu nav atzīstami par atlīdzināmiem, pamatojoties uz apstākļiem, ka Īpašniece nav iesniegusi pierādījumus, lai atbilstoši Civillikumā un Sabiedrības vajadzībām nepieciešamā nekustamā īpašuma atsavināšanas likumā noteiktajam pierādītu zaudējumu pamatotību.</w:t>
            </w:r>
          </w:p>
          <w:p w:rsidRPr="000D672D" w:rsidR="00407875" w:rsidP="00407875" w:rsidRDefault="00407875" w14:paraId="51029EA7" w14:textId="77777777">
            <w:pPr>
              <w:jc w:val="both"/>
              <w:rPr>
                <w:iCs/>
                <w:color w:val="000000"/>
              </w:rPr>
            </w:pPr>
            <w:r w:rsidRPr="000D672D">
              <w:rPr>
                <w:iCs/>
                <w:color w:val="000000"/>
              </w:rPr>
              <w:t xml:space="preserve">  Savukārt Būvju īpašuma pārvaldīšanas un apsaimniekošanas izdevumi izriet no īpašnieka pienākuma rūpēties par īpašuma saglabāšanu un uzturēšanu.</w:t>
            </w:r>
          </w:p>
          <w:p w:rsidRPr="000D672D" w:rsidR="00AE48FF" w:rsidP="00407875" w:rsidRDefault="00AE48FF" w14:paraId="0CDDE7A8" w14:textId="626413E1">
            <w:pPr>
              <w:jc w:val="both"/>
              <w:rPr>
                <w:iCs/>
                <w:color w:val="000000"/>
              </w:rPr>
            </w:pPr>
            <w:r w:rsidRPr="000D672D">
              <w:rPr>
                <w:iCs/>
                <w:color w:val="000000"/>
              </w:rPr>
              <w:t xml:space="preserve">   Tādējādi ir izvērtēti visi </w:t>
            </w:r>
            <w:r w:rsidR="00791EC7">
              <w:rPr>
                <w:iCs/>
                <w:color w:val="000000"/>
              </w:rPr>
              <w:t>Ī</w:t>
            </w:r>
            <w:r w:rsidRPr="000D672D">
              <w:rPr>
                <w:iCs/>
                <w:color w:val="000000"/>
              </w:rPr>
              <w:t>pašnie</w:t>
            </w:r>
            <w:r w:rsidR="00791EC7">
              <w:rPr>
                <w:iCs/>
                <w:color w:val="000000"/>
              </w:rPr>
              <w:t>ces</w:t>
            </w:r>
            <w:r w:rsidRPr="000D672D">
              <w:rPr>
                <w:iCs/>
                <w:color w:val="000000"/>
              </w:rPr>
              <w:t xml:space="preserve"> pieteiktie zaudējumi.</w:t>
            </w:r>
            <w:r w:rsidR="00E90D64">
              <w:rPr>
                <w:iCs/>
                <w:color w:val="000000"/>
              </w:rPr>
              <w:t>”</w:t>
            </w:r>
          </w:p>
        </w:tc>
      </w:tr>
      <w:tr w:rsidR="005F3CFA" w:rsidTr="00AE48FF" w14:paraId="1830B944" w14:textId="77777777">
        <w:tc>
          <w:tcPr>
            <w:tcW w:w="675" w:type="dxa"/>
          </w:tcPr>
          <w:p w:rsidR="005F3CFA" w:rsidP="005D403F" w:rsidRDefault="00AE48FF" w14:paraId="18E197E6" w14:textId="0BD96FF5">
            <w:pPr>
              <w:pStyle w:val="naisf"/>
              <w:spacing w:before="0" w:after="0"/>
              <w:ind w:firstLine="0"/>
              <w:jc w:val="center"/>
            </w:pPr>
            <w:r>
              <w:lastRenderedPageBreak/>
              <w:t>4.</w:t>
            </w:r>
          </w:p>
        </w:tc>
        <w:tc>
          <w:tcPr>
            <w:tcW w:w="2155" w:type="dxa"/>
          </w:tcPr>
          <w:p w:rsidR="005F3CFA" w:rsidP="004021B9" w:rsidRDefault="008B35AE" w14:paraId="218D1851" w14:textId="30175EB7">
            <w:pPr>
              <w:jc w:val="both"/>
              <w:rPr>
                <w:szCs w:val="28"/>
              </w:rPr>
            </w:pPr>
            <w:r w:rsidRPr="008B35AE">
              <w:rPr>
                <w:szCs w:val="28"/>
              </w:rPr>
              <w:t>Rīkojuma projekta anotācijas I sadaļas 2.punkts.</w:t>
            </w:r>
          </w:p>
        </w:tc>
        <w:tc>
          <w:tcPr>
            <w:tcW w:w="4536" w:type="dxa"/>
          </w:tcPr>
          <w:p w:rsidR="007A1E70" w:rsidP="007A1E70" w:rsidRDefault="00AE48FF" w14:paraId="627E536C" w14:textId="4B288666">
            <w:pPr>
              <w:jc w:val="center"/>
              <w:rPr>
                <w:lang w:eastAsia="en-US"/>
              </w:rPr>
            </w:pPr>
            <w:r w:rsidRPr="00AE48FF">
              <w:rPr>
                <w:b/>
                <w:bCs/>
                <w:lang w:eastAsia="en-US"/>
              </w:rPr>
              <w:t>Tieslietu ministrija</w:t>
            </w:r>
          </w:p>
          <w:p w:rsidR="005F3CFA" w:rsidP="007A6F0F" w:rsidRDefault="008B35AE" w14:paraId="2551D5FA" w14:textId="065AC0EB">
            <w:pPr>
              <w:jc w:val="both"/>
              <w:rPr>
                <w:lang w:eastAsia="en-US"/>
              </w:rPr>
            </w:pPr>
            <w:r>
              <w:rPr>
                <w:lang w:eastAsia="en-US"/>
              </w:rPr>
              <w:t>(</w:t>
            </w:r>
            <w:r w:rsidRPr="00AE48FF" w:rsidR="00AE48FF">
              <w:rPr>
                <w:lang w:eastAsia="en-US"/>
              </w:rPr>
              <w:t>2020.gada 6.maija atzinums Nr.1-9.1/454</w:t>
            </w:r>
            <w:r>
              <w:rPr>
                <w:lang w:eastAsia="en-US"/>
              </w:rPr>
              <w:t>)</w:t>
            </w:r>
          </w:p>
          <w:p w:rsidR="00273047" w:rsidP="007A6F0F" w:rsidRDefault="00273047" w14:paraId="62A7B82F" w14:textId="77777777">
            <w:pPr>
              <w:jc w:val="both"/>
              <w:rPr>
                <w:lang w:eastAsia="en-US"/>
              </w:rPr>
            </w:pPr>
          </w:p>
          <w:p w:rsidR="00AE48FF" w:rsidP="00AE48FF" w:rsidRDefault="00273047" w14:paraId="36A54359" w14:textId="7B97B72A">
            <w:pPr>
              <w:jc w:val="both"/>
              <w:rPr>
                <w:lang w:eastAsia="en-US"/>
              </w:rPr>
            </w:pPr>
            <w:r>
              <w:rPr>
                <w:lang w:eastAsia="en-US"/>
              </w:rPr>
              <w:lastRenderedPageBreak/>
              <w:t>3</w:t>
            </w:r>
            <w:r w:rsidR="00AE48FF">
              <w:rPr>
                <w:lang w:eastAsia="en-US"/>
              </w:rPr>
              <w:t xml:space="preserve">.    Anotācijā ir norādīts, ka īpašniece ir pieteikusi zaudējumus par a) negūtiem ieņēmumiem no noslēgtiem nomas līgumiem; b) konferenču/sanāksmju telpu nomu, auto novietnēm 45 automašīnām; c) 35 automašīnu stāvvietu zaudējumu; d) izdevumiem, kas saistīti ar VAS “Latvijas gaisa satiksme” struktūrvienības “Aeronavigācijas informācijas daļa” pārvietošanu uz citām telpām, darba telpu ierīkošanu un infrastruktūras pārvietošanu, norādot uz nepieciešamību nosacījumus, kas saistīti ar šo zaudējumu atlīdzības kompensāciju ietvert Īpašuma pirkuma-pārdevuma līgumā un arī institūciju lēmumos; e) negūtiem ieņēmumiem saskaņā ar nomas tiesisko attiecību pārtraukšanu ar valsts aģentūru “Civilās aviācijas aģentūra” un Īpašuma uzturēšanas izdevumu pieaugumu. Anotācijā arī norādīts, ka zaudējumi, kas minēti a), b), c) un e) apakšpunktā un ir saistīti ar nomas attiecību izbeigšanu, ir ņemti vērā,  nosakot taisnīgas atlīdzības apmēru, ievērojot to, ka atlīdzības apmērs ir noteikts, izmantojot ienākumu pieejas diskontēšanas metodi, kuras ietvaros ir ņemti vērā noslēgtie nomas līgumi. </w:t>
            </w:r>
          </w:p>
          <w:p w:rsidRPr="005F3CFA" w:rsidR="00AE48FF" w:rsidP="00AE48FF" w:rsidRDefault="00AE48FF" w14:paraId="3CEA9306" w14:textId="7D156C32">
            <w:pPr>
              <w:jc w:val="both"/>
              <w:rPr>
                <w:lang w:eastAsia="en-US"/>
              </w:rPr>
            </w:pPr>
            <w:r>
              <w:rPr>
                <w:lang w:eastAsia="en-US"/>
              </w:rPr>
              <w:t xml:space="preserve">Saistībā ar augstāk minēto, lūdzam izvērtēt nepieciešamību precizēt anotāciju attiecībā uz secinājumiem par zaudējumiem, ko pieteikusi Nekustamā īpašuma īpašniece, jo no anotācijas nav skaidrs, piemēram, kas </w:t>
            </w:r>
            <w:r>
              <w:rPr>
                <w:lang w:eastAsia="en-US"/>
              </w:rPr>
              <w:lastRenderedPageBreak/>
              <w:t xml:space="preserve">domāts ar b) punktā minētajiem zaudējumiem par konferenču/sanāksmju telpu nomu – vai tie ir tie paši zaudējumi, kurus Nekustamā īpašuma īpašnieks pieteicis rīkojuma projektam pielikumā pievienotajā 02.03.2018. vēstulē Nr.03/151, un kas saistīti ar nepieciešamību turpmāk nomāt atbilstošas sanāksmju/konferenču telpas apmācības procesa nepārtrauktības nodrošināšanai (saskaņā ar VAS “Latvijas gaisa satiksme” sniegto informāciju 19.04.2018. vēstulē Nr. 03/277 tā ir sertificēta mācību organizācija). Ja anotācijā b) apakšpunktā minēti tieši šie pieteiktie zaudējumi, tad Tieslietu ministrijas ieskatā nevar secināt, ka b) apakšpunktā minētie zaudējumi ir attiecināmi uz nomas attiecību izbeigšanu, tieši pretēji – tie būtu saistāmi ar nepieciešamību nodibināt jaunas nomas tiesiskās attiecības nākotnē. Tāpat arī savā 13.07.2018. vēstulē Nr.03/450 Nekustamā īpašuma īpašnieks ir norādījis uz zaudējumiem, kas saistīti ar nepieciešamību nomāt papildus autostāvvietas. Tieslietu ministrijas ieskatā ir nodalāmi tie Nekustamā īpašuma īpašnieka pieteiktie zaudējumi, kuri saistīti ar negūtajiem ieņēmumiem no noslēgtiem nomas līgumiem, no tiem pieteiktajiem zaudējumiem, kuri saistīti ar izdevumiem, kas nepieciešami Nekustamā īpašuma īpašnieka darbības nodrošināšanai pēc Nekustamā īpašuma atsavināšanas. Tieslietu ministrijas ieskatā anotācija būtu </w:t>
            </w:r>
            <w:r>
              <w:rPr>
                <w:lang w:eastAsia="en-US"/>
              </w:rPr>
              <w:lastRenderedPageBreak/>
              <w:t>jāprecizē, lai būtu skaidrs, ka  atsavināšanas procesā ir izvērtēti visi Nekustamā īpašuma īpašnieces pieteiktie zaudējumi.</w:t>
            </w:r>
          </w:p>
        </w:tc>
        <w:tc>
          <w:tcPr>
            <w:tcW w:w="2410" w:type="dxa"/>
          </w:tcPr>
          <w:p w:rsidRPr="00AE48FF" w:rsidR="005F3CFA" w:rsidP="008B35AE" w:rsidRDefault="00AE48FF" w14:paraId="0E171E7B" w14:textId="25C9A89F">
            <w:pPr>
              <w:pStyle w:val="naisf"/>
              <w:spacing w:before="0" w:after="0"/>
              <w:ind w:firstLine="0"/>
              <w:jc w:val="center"/>
              <w:rPr>
                <w:rFonts w:eastAsia="Calibri"/>
                <w:b/>
                <w:lang w:eastAsia="en-US"/>
              </w:rPr>
            </w:pPr>
            <w:r w:rsidRPr="00AE48FF">
              <w:rPr>
                <w:rFonts w:eastAsia="Calibri"/>
                <w:b/>
                <w:lang w:eastAsia="en-US"/>
              </w:rPr>
              <w:lastRenderedPageBreak/>
              <w:t xml:space="preserve">Iebildums ir ņemts vērā. </w:t>
            </w:r>
          </w:p>
        </w:tc>
        <w:tc>
          <w:tcPr>
            <w:tcW w:w="4398" w:type="dxa"/>
          </w:tcPr>
          <w:p w:rsidR="005F3CFA" w:rsidP="007F0A92" w:rsidRDefault="008B35AE" w14:paraId="27F90B3C" w14:textId="2C36F408">
            <w:pPr>
              <w:jc w:val="both"/>
              <w:rPr>
                <w:iCs/>
                <w:color w:val="000000"/>
              </w:rPr>
            </w:pPr>
            <w:r>
              <w:rPr>
                <w:iCs/>
                <w:color w:val="000000"/>
              </w:rPr>
              <w:t>S</w:t>
            </w:r>
            <w:r w:rsidR="00AE48FF">
              <w:rPr>
                <w:iCs/>
                <w:color w:val="000000"/>
              </w:rPr>
              <w:t>katīt izziņas 3.punktu.</w:t>
            </w:r>
          </w:p>
        </w:tc>
      </w:tr>
      <w:tr w:rsidR="00AE48FF" w:rsidTr="00AE48FF" w14:paraId="03F8A24F" w14:textId="77777777">
        <w:tc>
          <w:tcPr>
            <w:tcW w:w="675" w:type="dxa"/>
          </w:tcPr>
          <w:p w:rsidR="00AE48FF" w:rsidP="005D403F" w:rsidRDefault="00AE48FF" w14:paraId="65AC01EB" w14:textId="249E14C3">
            <w:pPr>
              <w:pStyle w:val="naisf"/>
              <w:spacing w:before="0" w:after="0"/>
              <w:ind w:firstLine="0"/>
              <w:jc w:val="center"/>
            </w:pPr>
            <w:r>
              <w:lastRenderedPageBreak/>
              <w:t>5.</w:t>
            </w:r>
          </w:p>
        </w:tc>
        <w:tc>
          <w:tcPr>
            <w:tcW w:w="2155" w:type="dxa"/>
          </w:tcPr>
          <w:p w:rsidR="00AE48FF" w:rsidP="004021B9" w:rsidRDefault="00AD7E28" w14:paraId="12D28238" w14:textId="36394870">
            <w:pPr>
              <w:jc w:val="both"/>
              <w:rPr>
                <w:szCs w:val="28"/>
              </w:rPr>
            </w:pPr>
            <w:r>
              <w:rPr>
                <w:szCs w:val="28"/>
              </w:rPr>
              <w:t xml:space="preserve">Rīkojuma un </w:t>
            </w:r>
            <w:proofErr w:type="spellStart"/>
            <w:r>
              <w:rPr>
                <w:szCs w:val="28"/>
              </w:rPr>
              <w:t>protokollēmuma</w:t>
            </w:r>
            <w:proofErr w:type="spellEnd"/>
            <w:r>
              <w:rPr>
                <w:szCs w:val="28"/>
              </w:rPr>
              <w:t xml:space="preserve"> projekts.</w:t>
            </w:r>
          </w:p>
        </w:tc>
        <w:tc>
          <w:tcPr>
            <w:tcW w:w="4536" w:type="dxa"/>
          </w:tcPr>
          <w:p w:rsidR="00D75C69" w:rsidP="00D75C69" w:rsidRDefault="00AE48FF" w14:paraId="146904ED" w14:textId="77777777">
            <w:pPr>
              <w:jc w:val="center"/>
              <w:rPr>
                <w:b/>
                <w:bCs/>
                <w:lang w:eastAsia="en-US"/>
              </w:rPr>
            </w:pPr>
            <w:r w:rsidRPr="00AE48FF">
              <w:rPr>
                <w:b/>
                <w:bCs/>
                <w:lang w:eastAsia="en-US"/>
              </w:rPr>
              <w:t>Finanšu ministrija</w:t>
            </w:r>
          </w:p>
          <w:p w:rsidR="00AE48FF" w:rsidP="007A6F0F" w:rsidRDefault="00D75C69" w14:paraId="106D7FEA" w14:textId="496B47C5">
            <w:pPr>
              <w:jc w:val="both"/>
              <w:rPr>
                <w:lang w:eastAsia="en-US"/>
              </w:rPr>
            </w:pPr>
            <w:r>
              <w:rPr>
                <w:lang w:eastAsia="en-US"/>
              </w:rPr>
              <w:t>(</w:t>
            </w:r>
            <w:r w:rsidRPr="00AE48FF" w:rsidR="00AE48FF">
              <w:rPr>
                <w:lang w:eastAsia="en-US"/>
              </w:rPr>
              <w:t>2020.gada 27.aprīļa atzinums Nr.12/A-7/2297</w:t>
            </w:r>
            <w:r w:rsidR="00AE48FF">
              <w:rPr>
                <w:lang w:eastAsia="en-US"/>
              </w:rPr>
              <w:t>)</w:t>
            </w:r>
            <w:r w:rsidRPr="00AE48FF" w:rsidR="00AE48FF">
              <w:rPr>
                <w:lang w:eastAsia="en-US"/>
              </w:rPr>
              <w:t>.</w:t>
            </w:r>
          </w:p>
          <w:p w:rsidR="00D75C69" w:rsidP="007A6F0F" w:rsidRDefault="00D75C69" w14:paraId="33AD2875" w14:textId="77777777">
            <w:pPr>
              <w:jc w:val="both"/>
              <w:rPr>
                <w:lang w:eastAsia="en-US"/>
              </w:rPr>
            </w:pPr>
          </w:p>
          <w:p w:rsidRPr="00AE48FF" w:rsidR="00AE48FF" w:rsidP="007A6F0F" w:rsidRDefault="00AE48FF" w14:paraId="30DA5CC3" w14:textId="1E53D05F">
            <w:pPr>
              <w:jc w:val="both"/>
              <w:rPr>
                <w:lang w:eastAsia="en-US"/>
              </w:rPr>
            </w:pPr>
            <w:r w:rsidRPr="00AE48FF">
              <w:rPr>
                <w:lang w:eastAsia="en-US"/>
              </w:rPr>
              <w:t xml:space="preserve">Rīkojuma projektā, </w:t>
            </w:r>
            <w:proofErr w:type="spellStart"/>
            <w:r w:rsidRPr="00AE48FF">
              <w:rPr>
                <w:lang w:eastAsia="en-US"/>
              </w:rPr>
              <w:t>protokollēmumā</w:t>
            </w:r>
            <w:proofErr w:type="spellEnd"/>
            <w:r w:rsidRPr="00AE48FF">
              <w:rPr>
                <w:lang w:eastAsia="en-US"/>
              </w:rPr>
              <w:t xml:space="preserve"> un anotācijā ir norādīti administratīvās ēkas (būves kadastra apzīmējums 8076 002 005 0008) un garāžas (būves kadastra apzīmējums 8076 002 005 0009) kadastra apzīmējumi. Lūdzam attiecīgi precizēt būvju kadastra apzīmējumus, norādot attiecīgos apzīmējumus: 8076 002 0050 008 un 8076 002 0050 009.</w:t>
            </w:r>
          </w:p>
        </w:tc>
        <w:tc>
          <w:tcPr>
            <w:tcW w:w="2410" w:type="dxa"/>
          </w:tcPr>
          <w:p w:rsidR="00D75C69" w:rsidP="00D75C69" w:rsidRDefault="00AE48FF" w14:paraId="46922D5B" w14:textId="4E9CC595">
            <w:pPr>
              <w:pStyle w:val="naisf"/>
              <w:spacing w:before="0" w:after="0"/>
              <w:ind w:firstLine="0"/>
              <w:jc w:val="center"/>
              <w:rPr>
                <w:rFonts w:eastAsia="Calibri"/>
                <w:b/>
                <w:lang w:eastAsia="en-US"/>
              </w:rPr>
            </w:pPr>
            <w:r>
              <w:rPr>
                <w:rFonts w:eastAsia="Calibri"/>
                <w:b/>
                <w:lang w:eastAsia="en-US"/>
              </w:rPr>
              <w:t>Priekšlikums ir ņemts vērā.</w:t>
            </w:r>
          </w:p>
          <w:p w:rsidR="00AD7E28" w:rsidP="00D75C69" w:rsidRDefault="00AD7E28" w14:paraId="6F54B73F" w14:textId="77777777">
            <w:pPr>
              <w:pStyle w:val="naisf"/>
              <w:spacing w:before="0" w:after="0"/>
              <w:ind w:firstLine="0"/>
              <w:jc w:val="center"/>
              <w:rPr>
                <w:rFonts w:eastAsia="Calibri"/>
                <w:b/>
                <w:lang w:eastAsia="en-US"/>
              </w:rPr>
            </w:pPr>
          </w:p>
          <w:p w:rsidRPr="00AD7E28" w:rsidR="00AE48FF" w:rsidP="002D3C34" w:rsidRDefault="00AE48FF" w14:paraId="44256414" w14:textId="07AE58D2">
            <w:pPr>
              <w:pStyle w:val="naisf"/>
              <w:spacing w:before="0" w:after="0"/>
              <w:ind w:firstLine="0"/>
              <w:rPr>
                <w:rFonts w:eastAsia="Calibri"/>
                <w:bCs/>
                <w:lang w:eastAsia="en-US"/>
              </w:rPr>
            </w:pPr>
            <w:r w:rsidRPr="00AD7E28">
              <w:rPr>
                <w:rFonts w:eastAsia="Calibri"/>
                <w:bCs/>
                <w:lang w:eastAsia="en-US"/>
              </w:rPr>
              <w:t xml:space="preserve">Attiecīgi precizēts rīkojuma un </w:t>
            </w:r>
            <w:proofErr w:type="spellStart"/>
            <w:r w:rsidRPr="00AD7E28">
              <w:rPr>
                <w:rFonts w:eastAsia="Calibri"/>
                <w:bCs/>
                <w:lang w:eastAsia="en-US"/>
              </w:rPr>
              <w:t>protokollēmuma</w:t>
            </w:r>
            <w:proofErr w:type="spellEnd"/>
            <w:r w:rsidRPr="00AD7E28">
              <w:rPr>
                <w:rFonts w:eastAsia="Calibri"/>
                <w:bCs/>
                <w:lang w:eastAsia="en-US"/>
              </w:rPr>
              <w:t xml:space="preserve"> projekts.</w:t>
            </w:r>
          </w:p>
        </w:tc>
        <w:tc>
          <w:tcPr>
            <w:tcW w:w="4398" w:type="dxa"/>
          </w:tcPr>
          <w:p w:rsidR="00AE48FF" w:rsidP="007F0A92" w:rsidRDefault="00AE48FF" w14:paraId="697D38CB" w14:textId="77777777">
            <w:pPr>
              <w:jc w:val="both"/>
              <w:rPr>
                <w:iCs/>
                <w:color w:val="000000"/>
              </w:rPr>
            </w:pPr>
          </w:p>
        </w:tc>
      </w:tr>
    </w:tbl>
    <w:p w:rsidR="00AD7E28" w:rsidP="000A531F" w:rsidRDefault="00AD7E28" w14:paraId="450EFAEE" w14:textId="77777777">
      <w:pPr>
        <w:jc w:val="both"/>
      </w:pPr>
    </w:p>
    <w:p w:rsidRPr="00EA0FF1" w:rsidR="000A531F" w:rsidP="000A531F" w:rsidRDefault="000A531F" w14:paraId="53C4EB95" w14:textId="2006EF1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03B230B8" w:rsidR="00FC51C5" w:rsidRPr="00FC51C5" w:rsidRDefault="008D3595" w:rsidP="00FC51C5">
    <w:pPr>
      <w:jc w:val="both"/>
      <w:rPr>
        <w:bCs/>
        <w:sz w:val="20"/>
        <w:szCs w:val="20"/>
        <w:lang w:eastAsia="ko-KR"/>
      </w:rPr>
    </w:pPr>
    <w:r>
      <w:rPr>
        <w:sz w:val="20"/>
        <w:szCs w:val="20"/>
      </w:rPr>
      <w:t>SMi</w:t>
    </w:r>
    <w:r w:rsidR="00AA30C8">
      <w:rPr>
        <w:sz w:val="20"/>
        <w:szCs w:val="20"/>
      </w:rPr>
      <w:t>zz_</w:t>
    </w:r>
    <w:r w:rsidR="005C709A">
      <w:rPr>
        <w:sz w:val="20"/>
        <w:szCs w:val="20"/>
      </w:rPr>
      <w:t>0104</w:t>
    </w:r>
    <w:r w:rsidR="00AE76EB">
      <w:rPr>
        <w:sz w:val="20"/>
        <w:szCs w:val="20"/>
      </w:rPr>
      <w:t>20</w:t>
    </w:r>
    <w:r w:rsidR="005F437F">
      <w:rPr>
        <w:sz w:val="20"/>
        <w:szCs w:val="20"/>
      </w:rPr>
      <w:t>_</w:t>
    </w:r>
    <w:r w:rsidR="00290A24">
      <w:rPr>
        <w:sz w:val="20"/>
        <w:szCs w:val="20"/>
      </w:rPr>
      <w:t>VSS</w:t>
    </w:r>
    <w:r w:rsidR="00D7217B">
      <w:rPr>
        <w:sz w:val="20"/>
        <w:szCs w:val="20"/>
      </w:rPr>
      <w:t>19</w:t>
    </w:r>
    <w:r w:rsidR="005C709A">
      <w:rPr>
        <w:sz w:val="20"/>
        <w:szCs w:val="20"/>
      </w:rPr>
      <w:t>3</w:t>
    </w:r>
  </w:p>
  <w:p w14:paraId="0E9B010F" w14:textId="77777777" w:rsidR="00013AD7" w:rsidRPr="00570BB9" w:rsidRDefault="007E30D2"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52021F47" w:rsidR="00EA4FB1" w:rsidRPr="00FC51C5" w:rsidRDefault="008D3595" w:rsidP="00EA4FB1">
    <w:pPr>
      <w:jc w:val="both"/>
      <w:rPr>
        <w:bCs/>
        <w:sz w:val="20"/>
        <w:szCs w:val="20"/>
        <w:lang w:eastAsia="ko-KR"/>
      </w:rPr>
    </w:pPr>
    <w:r>
      <w:rPr>
        <w:sz w:val="20"/>
        <w:szCs w:val="20"/>
      </w:rPr>
      <w:t>SMi</w:t>
    </w:r>
    <w:r w:rsidR="00E9372F">
      <w:rPr>
        <w:sz w:val="20"/>
        <w:szCs w:val="20"/>
      </w:rPr>
      <w:t>zz_</w:t>
    </w:r>
    <w:r w:rsidR="00E24DB9">
      <w:rPr>
        <w:sz w:val="20"/>
        <w:szCs w:val="20"/>
      </w:rPr>
      <w:t>290520</w:t>
    </w:r>
    <w:r w:rsidR="005F437F">
      <w:rPr>
        <w:sz w:val="20"/>
        <w:szCs w:val="20"/>
      </w:rPr>
      <w:t>_</w:t>
    </w:r>
    <w:r w:rsidR="00E15A76">
      <w:rPr>
        <w:sz w:val="20"/>
        <w:szCs w:val="20"/>
      </w:rPr>
      <w:t>VSS</w:t>
    </w:r>
    <w:r w:rsidR="00C37E05">
      <w:rPr>
        <w:sz w:val="20"/>
        <w:szCs w:val="20"/>
      </w:rPr>
      <w:t>_316</w:t>
    </w:r>
  </w:p>
  <w:p w14:paraId="71D70F49" w14:textId="77777777" w:rsidR="00E65AF3" w:rsidRPr="00E15A76" w:rsidRDefault="00E65AF3" w:rsidP="00E65AF3">
    <w:pPr>
      <w:jc w:val="both"/>
      <w:rPr>
        <w:bCs/>
        <w:sz w:val="20"/>
        <w:szCs w:val="20"/>
      </w:rPr>
    </w:pPr>
  </w:p>
  <w:p w14:paraId="627254F6" w14:textId="77777777" w:rsidR="00013AD7" w:rsidRPr="0022701B" w:rsidRDefault="007E30D2"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7E30D2"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7E30D2"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1A2B"/>
    <w:rsid w:val="00036659"/>
    <w:rsid w:val="000367EF"/>
    <w:rsid w:val="0004179C"/>
    <w:rsid w:val="00054FE8"/>
    <w:rsid w:val="0006139E"/>
    <w:rsid w:val="00070584"/>
    <w:rsid w:val="000A39DD"/>
    <w:rsid w:val="000A531F"/>
    <w:rsid w:val="000B045E"/>
    <w:rsid w:val="000B5ECF"/>
    <w:rsid w:val="000D672D"/>
    <w:rsid w:val="00120A54"/>
    <w:rsid w:val="0013486B"/>
    <w:rsid w:val="001616A0"/>
    <w:rsid w:val="00161C98"/>
    <w:rsid w:val="00185895"/>
    <w:rsid w:val="001914B9"/>
    <w:rsid w:val="001B0C1E"/>
    <w:rsid w:val="001B4F15"/>
    <w:rsid w:val="001E1A14"/>
    <w:rsid w:val="001E350D"/>
    <w:rsid w:val="001E4E30"/>
    <w:rsid w:val="001F380D"/>
    <w:rsid w:val="001F5E0D"/>
    <w:rsid w:val="00203435"/>
    <w:rsid w:val="00212734"/>
    <w:rsid w:val="00212D1C"/>
    <w:rsid w:val="0021718F"/>
    <w:rsid w:val="002230AC"/>
    <w:rsid w:val="0023290D"/>
    <w:rsid w:val="00236459"/>
    <w:rsid w:val="00251198"/>
    <w:rsid w:val="00264C2F"/>
    <w:rsid w:val="00270D5D"/>
    <w:rsid w:val="002710B5"/>
    <w:rsid w:val="00273047"/>
    <w:rsid w:val="00283C11"/>
    <w:rsid w:val="00287A40"/>
    <w:rsid w:val="00290A24"/>
    <w:rsid w:val="002B3EE0"/>
    <w:rsid w:val="002C47B5"/>
    <w:rsid w:val="002D3C34"/>
    <w:rsid w:val="002D588B"/>
    <w:rsid w:val="002D7A98"/>
    <w:rsid w:val="002E51C4"/>
    <w:rsid w:val="00302611"/>
    <w:rsid w:val="00304936"/>
    <w:rsid w:val="00307E7E"/>
    <w:rsid w:val="003101D8"/>
    <w:rsid w:val="0032398D"/>
    <w:rsid w:val="00326543"/>
    <w:rsid w:val="003501C0"/>
    <w:rsid w:val="00380B98"/>
    <w:rsid w:val="00385EC6"/>
    <w:rsid w:val="00390339"/>
    <w:rsid w:val="003C1E3D"/>
    <w:rsid w:val="003D2373"/>
    <w:rsid w:val="003D37F3"/>
    <w:rsid w:val="003E112E"/>
    <w:rsid w:val="004021B9"/>
    <w:rsid w:val="00405454"/>
    <w:rsid w:val="00407875"/>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97DB8"/>
    <w:rsid w:val="004A3325"/>
    <w:rsid w:val="004A3842"/>
    <w:rsid w:val="004A4217"/>
    <w:rsid w:val="004D3C94"/>
    <w:rsid w:val="004F65A9"/>
    <w:rsid w:val="005023AC"/>
    <w:rsid w:val="00511A74"/>
    <w:rsid w:val="00517539"/>
    <w:rsid w:val="00523477"/>
    <w:rsid w:val="0053729A"/>
    <w:rsid w:val="00546049"/>
    <w:rsid w:val="00557845"/>
    <w:rsid w:val="00557BA5"/>
    <w:rsid w:val="0056113B"/>
    <w:rsid w:val="005617F5"/>
    <w:rsid w:val="00562EF2"/>
    <w:rsid w:val="0057339C"/>
    <w:rsid w:val="005776CA"/>
    <w:rsid w:val="00580CD2"/>
    <w:rsid w:val="005A5CE7"/>
    <w:rsid w:val="005B5C10"/>
    <w:rsid w:val="005C28F5"/>
    <w:rsid w:val="005C709A"/>
    <w:rsid w:val="005D403F"/>
    <w:rsid w:val="005F3723"/>
    <w:rsid w:val="005F3CFA"/>
    <w:rsid w:val="005F437F"/>
    <w:rsid w:val="005F4B79"/>
    <w:rsid w:val="00602FC3"/>
    <w:rsid w:val="00606571"/>
    <w:rsid w:val="00624DC9"/>
    <w:rsid w:val="00640D28"/>
    <w:rsid w:val="006523CA"/>
    <w:rsid w:val="006854E4"/>
    <w:rsid w:val="00693260"/>
    <w:rsid w:val="006B04E7"/>
    <w:rsid w:val="006B3025"/>
    <w:rsid w:val="006C196E"/>
    <w:rsid w:val="006C4AF1"/>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91EC7"/>
    <w:rsid w:val="007A1E70"/>
    <w:rsid w:val="007A38FD"/>
    <w:rsid w:val="007A5ECF"/>
    <w:rsid w:val="007A67A2"/>
    <w:rsid w:val="007A6F0F"/>
    <w:rsid w:val="007B0C72"/>
    <w:rsid w:val="007C21FF"/>
    <w:rsid w:val="007C24D1"/>
    <w:rsid w:val="007C6433"/>
    <w:rsid w:val="007D3819"/>
    <w:rsid w:val="007E2611"/>
    <w:rsid w:val="007E30D2"/>
    <w:rsid w:val="007F0A92"/>
    <w:rsid w:val="007F39E0"/>
    <w:rsid w:val="007F5214"/>
    <w:rsid w:val="007F5237"/>
    <w:rsid w:val="007F7190"/>
    <w:rsid w:val="008138C6"/>
    <w:rsid w:val="00815741"/>
    <w:rsid w:val="00840AC1"/>
    <w:rsid w:val="008454B7"/>
    <w:rsid w:val="00845C31"/>
    <w:rsid w:val="00857BEB"/>
    <w:rsid w:val="00861F81"/>
    <w:rsid w:val="00863A75"/>
    <w:rsid w:val="008655DA"/>
    <w:rsid w:val="00887A13"/>
    <w:rsid w:val="008973CB"/>
    <w:rsid w:val="008A3BA3"/>
    <w:rsid w:val="008B1CF5"/>
    <w:rsid w:val="008B35AE"/>
    <w:rsid w:val="008C2198"/>
    <w:rsid w:val="008C7596"/>
    <w:rsid w:val="008D3595"/>
    <w:rsid w:val="008D74D3"/>
    <w:rsid w:val="008D7795"/>
    <w:rsid w:val="008E5699"/>
    <w:rsid w:val="008F7CBE"/>
    <w:rsid w:val="0090000D"/>
    <w:rsid w:val="00906110"/>
    <w:rsid w:val="0091003F"/>
    <w:rsid w:val="00923BDC"/>
    <w:rsid w:val="00930695"/>
    <w:rsid w:val="009311FB"/>
    <w:rsid w:val="009315E4"/>
    <w:rsid w:val="00940187"/>
    <w:rsid w:val="0094059F"/>
    <w:rsid w:val="00955F6B"/>
    <w:rsid w:val="009637BC"/>
    <w:rsid w:val="009702A1"/>
    <w:rsid w:val="00971B02"/>
    <w:rsid w:val="00972C39"/>
    <w:rsid w:val="00974FA1"/>
    <w:rsid w:val="00975516"/>
    <w:rsid w:val="00977DFB"/>
    <w:rsid w:val="009903D9"/>
    <w:rsid w:val="0099571E"/>
    <w:rsid w:val="009D0DE2"/>
    <w:rsid w:val="009D6B36"/>
    <w:rsid w:val="009E765A"/>
    <w:rsid w:val="009E7D11"/>
    <w:rsid w:val="00A15FF0"/>
    <w:rsid w:val="00A34347"/>
    <w:rsid w:val="00A36F3C"/>
    <w:rsid w:val="00A5604E"/>
    <w:rsid w:val="00A60614"/>
    <w:rsid w:val="00A67E47"/>
    <w:rsid w:val="00A91A94"/>
    <w:rsid w:val="00AA30C8"/>
    <w:rsid w:val="00AA4796"/>
    <w:rsid w:val="00AA6CE9"/>
    <w:rsid w:val="00AA7590"/>
    <w:rsid w:val="00AB2D31"/>
    <w:rsid w:val="00AC59EC"/>
    <w:rsid w:val="00AD0322"/>
    <w:rsid w:val="00AD080E"/>
    <w:rsid w:val="00AD3972"/>
    <w:rsid w:val="00AD6446"/>
    <w:rsid w:val="00AD7E28"/>
    <w:rsid w:val="00AE17A7"/>
    <w:rsid w:val="00AE48FF"/>
    <w:rsid w:val="00AE5478"/>
    <w:rsid w:val="00AE76EB"/>
    <w:rsid w:val="00AF7C82"/>
    <w:rsid w:val="00B13F24"/>
    <w:rsid w:val="00B14512"/>
    <w:rsid w:val="00B22351"/>
    <w:rsid w:val="00B33DAC"/>
    <w:rsid w:val="00B44F89"/>
    <w:rsid w:val="00B45DE0"/>
    <w:rsid w:val="00B641E0"/>
    <w:rsid w:val="00B65773"/>
    <w:rsid w:val="00B87422"/>
    <w:rsid w:val="00B90BD6"/>
    <w:rsid w:val="00B93C32"/>
    <w:rsid w:val="00BA5981"/>
    <w:rsid w:val="00BA5B5C"/>
    <w:rsid w:val="00BB085E"/>
    <w:rsid w:val="00BB5CE6"/>
    <w:rsid w:val="00BC0E1F"/>
    <w:rsid w:val="00BF46D9"/>
    <w:rsid w:val="00BF56C6"/>
    <w:rsid w:val="00C00E70"/>
    <w:rsid w:val="00C03748"/>
    <w:rsid w:val="00C24317"/>
    <w:rsid w:val="00C319A3"/>
    <w:rsid w:val="00C37E05"/>
    <w:rsid w:val="00C53E62"/>
    <w:rsid w:val="00C708D6"/>
    <w:rsid w:val="00C73711"/>
    <w:rsid w:val="00C759D4"/>
    <w:rsid w:val="00C77313"/>
    <w:rsid w:val="00C80A32"/>
    <w:rsid w:val="00C908F5"/>
    <w:rsid w:val="00CA0484"/>
    <w:rsid w:val="00CA590E"/>
    <w:rsid w:val="00CC0355"/>
    <w:rsid w:val="00CD3D34"/>
    <w:rsid w:val="00CD59D2"/>
    <w:rsid w:val="00CF228A"/>
    <w:rsid w:val="00D17E2B"/>
    <w:rsid w:val="00D201AD"/>
    <w:rsid w:val="00D47019"/>
    <w:rsid w:val="00D55FAD"/>
    <w:rsid w:val="00D56DC4"/>
    <w:rsid w:val="00D66F4C"/>
    <w:rsid w:val="00D7217B"/>
    <w:rsid w:val="00D75C69"/>
    <w:rsid w:val="00D84BD2"/>
    <w:rsid w:val="00DA2FA4"/>
    <w:rsid w:val="00DA5A2A"/>
    <w:rsid w:val="00DC002D"/>
    <w:rsid w:val="00DC28A7"/>
    <w:rsid w:val="00DF3EEC"/>
    <w:rsid w:val="00DF59E7"/>
    <w:rsid w:val="00DF5CFC"/>
    <w:rsid w:val="00E15A76"/>
    <w:rsid w:val="00E24DB9"/>
    <w:rsid w:val="00E25641"/>
    <w:rsid w:val="00E41B15"/>
    <w:rsid w:val="00E51EB0"/>
    <w:rsid w:val="00E65AF3"/>
    <w:rsid w:val="00E90C3C"/>
    <w:rsid w:val="00E90D64"/>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E2960"/>
    <w:rsid w:val="00EE477A"/>
    <w:rsid w:val="00EE4B10"/>
    <w:rsid w:val="00EE7A2F"/>
    <w:rsid w:val="00EF21E1"/>
    <w:rsid w:val="00F07B97"/>
    <w:rsid w:val="00F13F94"/>
    <w:rsid w:val="00F34D14"/>
    <w:rsid w:val="00F5533C"/>
    <w:rsid w:val="00F57C7D"/>
    <w:rsid w:val="00F62623"/>
    <w:rsid w:val="00F6373F"/>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56113B"/>
    <w:rPr>
      <w:sz w:val="20"/>
      <w:szCs w:val="20"/>
    </w:rPr>
  </w:style>
  <w:style w:type="character" w:customStyle="1" w:styleId="CommentTextChar">
    <w:name w:val="Comment Text Char"/>
    <w:basedOn w:val="DefaultParagraphFont"/>
    <w:link w:val="CommentText"/>
    <w:uiPriority w:val="99"/>
    <w:semiHidden/>
    <w:rsid w:val="005611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6113B"/>
    <w:rPr>
      <w:b/>
      <w:bCs/>
    </w:rPr>
  </w:style>
  <w:style w:type="character" w:customStyle="1" w:styleId="CommentSubjectChar">
    <w:name w:val="Comment Subject Char"/>
    <w:basedOn w:val="CommentTextChar"/>
    <w:link w:val="CommentSubject"/>
    <w:uiPriority w:val="99"/>
    <w:semiHidden/>
    <w:rsid w:val="0056113B"/>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85E1-C3C3-4252-B535-BF8EBD73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10371</Words>
  <Characters>5913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Par nekustamā īpašuma "Lidosta "Rīga"", Mārupes nov. pirkšanu "Eiropas standarta platuma 1435 mm dzelzceļa līnijas izbūve Rail Baltica koridorā caur Igauniju, Latviju un Lietuvu” būvniecības projekta īstenošanai</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"Lidosta "Rīga"", Mārupes nov. pirkšanu "Eiropas standarta platuma 1435 mm dzelzceļa līnijas izbūve Rail Baltica koridorā caur Igauniju, Latviju un Lietuvu” būvniecības projekta īstenošanai</dc:title>
  <dc:creator>Sandra.Silina@sam.gov.lv;Satiksmes ministrijas Juridiskā departamenta Nekustamo īpašumu nodaļas vecākā referente;tālr. 67028031;SIA "Eiropas dzelzceļa līnijas" Nekustamā īpašuma atsavināšanas departamenta nekustamā īpašuma speciāliste Dace Pelne;68806209;dace.pelne@edzl.lv</dc:creator>
  <cp:keywords>MK rīkojuma projekts</cp:keywords>
  <dc:description>dace.pelne@edzl.lv, 68806209; sandra.silina@sam.gov.lv, 67028031</dc:description>
  <cp:lastModifiedBy>Baiba Jirgena</cp:lastModifiedBy>
  <cp:revision>58</cp:revision>
  <cp:lastPrinted>2018-07-23T10:08:00Z</cp:lastPrinted>
  <dcterms:created xsi:type="dcterms:W3CDTF">2019-12-09T14:00:00Z</dcterms:created>
  <dcterms:modified xsi:type="dcterms:W3CDTF">2020-06-17T06:59:00Z</dcterms:modified>
</cp:coreProperties>
</file>