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086445" w:rsidRPr="00F631E5" w14:paraId="3171AA01" w14:textId="77777777" w:rsidTr="00885D66">
        <w:trPr>
          <w:tblCellSpacing w:w="0" w:type="dxa"/>
          <w:jc w:val="center"/>
        </w:trPr>
        <w:tc>
          <w:tcPr>
            <w:tcW w:w="10185" w:type="dxa"/>
          </w:tcPr>
          <w:p w14:paraId="1BCC8F0F" w14:textId="77777777" w:rsidR="000B228E" w:rsidRPr="00F631E5" w:rsidRDefault="00EB2EDA" w:rsidP="006854E5">
            <w:pPr>
              <w:pStyle w:val="naisc"/>
              <w:spacing w:before="0" w:after="0"/>
            </w:pPr>
            <w:smartTag w:uri="schemas-tilde-lv/tildestengine" w:element="veidnes">
              <w:smartTagPr>
                <w:attr w:name="text" w:val="Izziņa"/>
                <w:attr w:name="baseform" w:val="Izziņa"/>
                <w:attr w:name="id" w:val="-1"/>
              </w:smartTagPr>
              <w:r w:rsidRPr="00F631E5">
                <w:t>Izziņa</w:t>
              </w:r>
            </w:smartTag>
            <w:r w:rsidRPr="00F631E5">
              <w:t xml:space="preserve"> par atzinumos sniegtajiem iebildumiem</w:t>
            </w:r>
          </w:p>
          <w:p w14:paraId="6575A7A7" w14:textId="77777777" w:rsidR="00EB2EDA" w:rsidRPr="00F631E5" w:rsidRDefault="00A55033" w:rsidP="006854E5">
            <w:pPr>
              <w:pStyle w:val="naisc"/>
              <w:spacing w:before="0" w:after="0"/>
              <w:rPr>
                <w:rFonts w:eastAsia="Calibri"/>
                <w:b/>
                <w:lang w:eastAsia="en-US"/>
              </w:rPr>
            </w:pPr>
            <w:sdt>
              <w:sdtPr>
                <w:rPr>
                  <w:b/>
                  <w:bCs/>
                </w:rPr>
                <w:id w:val="729447185"/>
                <w:placeholder>
                  <w:docPart w:val="68DA1E8384A24213B032AA2598BC73F2"/>
                </w:placeholder>
              </w:sdtPr>
              <w:sdtEndPr/>
              <w:sdtContent>
                <w:r w:rsidR="000B228E" w:rsidRPr="00F631E5">
                  <w:rPr>
                    <w:b/>
                    <w:bCs/>
                  </w:rPr>
                  <w:t>Ministru kabineta noteikumu</w:t>
                </w:r>
              </w:sdtContent>
            </w:sdt>
            <w:r w:rsidR="000B228E" w:rsidRPr="00F631E5">
              <w:rPr>
                <w:b/>
                <w:bCs/>
              </w:rPr>
              <w:t xml:space="preserve"> “</w:t>
            </w:r>
            <w:r w:rsidR="000B228E" w:rsidRPr="00F631E5">
              <w:rPr>
                <w:rFonts w:eastAsia="Calibri"/>
                <w:b/>
                <w:lang w:eastAsia="en-US"/>
              </w:rPr>
              <w:t>Grozījumi Ministru kabineta 2017. gada 28. februāra noteikumos Nr.108 “Publisko elektronisko iepirkumu noteikumi”” projekts</w:t>
            </w:r>
          </w:p>
          <w:p w14:paraId="1198E40E" w14:textId="77777777" w:rsidR="00FD08B1" w:rsidRPr="00F631E5" w:rsidRDefault="00FD08B1" w:rsidP="006854E5">
            <w:pPr>
              <w:pStyle w:val="naisc"/>
              <w:spacing w:before="0" w:after="0"/>
            </w:pPr>
          </w:p>
        </w:tc>
      </w:tr>
    </w:tbl>
    <w:p w14:paraId="6DAE0C28" w14:textId="292FA84D" w:rsidR="00EB2EDA" w:rsidRPr="00F631E5" w:rsidRDefault="00EB2EDA" w:rsidP="00FD08B1">
      <w:pPr>
        <w:pStyle w:val="naisnod"/>
        <w:numPr>
          <w:ilvl w:val="0"/>
          <w:numId w:val="16"/>
        </w:numPr>
        <w:spacing w:before="0" w:after="0"/>
      </w:pPr>
      <w:r w:rsidRPr="00F631E5">
        <w:t>Jautājumi, par kuriem saskaņošanā vienošanās nav panākta</w:t>
      </w: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747"/>
        <w:gridCol w:w="3976"/>
        <w:gridCol w:w="2761"/>
        <w:gridCol w:w="2126"/>
        <w:gridCol w:w="2513"/>
      </w:tblGrid>
      <w:tr w:rsidR="00086445" w:rsidRPr="00F631E5" w14:paraId="54D6AD2A" w14:textId="77777777" w:rsidTr="00CA4B5E">
        <w:trPr>
          <w:jc w:val="center"/>
        </w:trPr>
        <w:tc>
          <w:tcPr>
            <w:tcW w:w="576" w:type="dxa"/>
          </w:tcPr>
          <w:p w14:paraId="49155809" w14:textId="77777777" w:rsidR="00EB2EDA" w:rsidRPr="00F631E5" w:rsidRDefault="00EB2EDA" w:rsidP="006854E5">
            <w:pPr>
              <w:jc w:val="center"/>
            </w:pPr>
            <w:r w:rsidRPr="00F631E5">
              <w:t>Nr.</w:t>
            </w:r>
          </w:p>
          <w:p w14:paraId="52DF34B3" w14:textId="77777777" w:rsidR="00EB2EDA" w:rsidRPr="00F631E5" w:rsidRDefault="00EB2EDA" w:rsidP="006854E5">
            <w:pPr>
              <w:jc w:val="center"/>
            </w:pPr>
            <w:r w:rsidRPr="00F631E5">
              <w:t>p.k.</w:t>
            </w:r>
          </w:p>
        </w:tc>
        <w:tc>
          <w:tcPr>
            <w:tcW w:w="2747" w:type="dxa"/>
          </w:tcPr>
          <w:p w14:paraId="57F5924A" w14:textId="77777777" w:rsidR="00EB2EDA" w:rsidRPr="00F631E5" w:rsidRDefault="00EB2EDA" w:rsidP="006854E5">
            <w:pPr>
              <w:jc w:val="center"/>
            </w:pPr>
            <w:r w:rsidRPr="00F631E5">
              <w:t>Saskaņošanai nosūtītā projekta redakcija (konkrēta punkta (panta) redakcija)</w:t>
            </w:r>
          </w:p>
        </w:tc>
        <w:tc>
          <w:tcPr>
            <w:tcW w:w="3976" w:type="dxa"/>
          </w:tcPr>
          <w:p w14:paraId="02FA03DE" w14:textId="58892AF8" w:rsidR="00EB2EDA" w:rsidRPr="00F631E5" w:rsidRDefault="002F42B3" w:rsidP="006854E5">
            <w:pPr>
              <w:jc w:val="center"/>
            </w:pPr>
            <w:r w:rsidRPr="00F631E5">
              <w:t>Atzinumā norādītais ministrijas (citas institūcijas) iebildums, kā arī saskaņošanā papildus izteiktais iebildums par projekta konkrēto punktu (pantu)</w:t>
            </w:r>
          </w:p>
          <w:p w14:paraId="4C730D1A" w14:textId="77777777" w:rsidR="005603FD" w:rsidRPr="00F631E5" w:rsidRDefault="005603FD" w:rsidP="006854E5">
            <w:pPr>
              <w:jc w:val="center"/>
            </w:pPr>
          </w:p>
        </w:tc>
        <w:tc>
          <w:tcPr>
            <w:tcW w:w="2761" w:type="dxa"/>
          </w:tcPr>
          <w:p w14:paraId="74CA73CA" w14:textId="77777777" w:rsidR="00EB2EDA" w:rsidRPr="00F631E5" w:rsidRDefault="00EB2EDA" w:rsidP="006854E5">
            <w:pPr>
              <w:pStyle w:val="naisc"/>
              <w:spacing w:before="0" w:after="0"/>
            </w:pPr>
            <w:r w:rsidRPr="00F631E5">
              <w:t>Atbildīgās ministrijas pamatojums iebilduma noraidījumam</w:t>
            </w:r>
          </w:p>
        </w:tc>
        <w:tc>
          <w:tcPr>
            <w:tcW w:w="2126" w:type="dxa"/>
          </w:tcPr>
          <w:p w14:paraId="15C8F8F5" w14:textId="77777777" w:rsidR="00EB2EDA" w:rsidRPr="00F631E5" w:rsidRDefault="00EB2EDA" w:rsidP="006854E5">
            <w:pPr>
              <w:pStyle w:val="naisc"/>
              <w:spacing w:before="0" w:after="0"/>
            </w:pPr>
            <w:r w:rsidRPr="00F631E5">
              <w:t>Atzinuma sniedzēja uzturētais iebildums, ja tas atšķiras no atzinumā norādītā iebilduma pamatojuma</w:t>
            </w:r>
          </w:p>
        </w:tc>
        <w:tc>
          <w:tcPr>
            <w:tcW w:w="2513" w:type="dxa"/>
          </w:tcPr>
          <w:p w14:paraId="5A038A1F" w14:textId="77777777" w:rsidR="00EB2EDA" w:rsidRPr="00F631E5" w:rsidRDefault="00EB2EDA" w:rsidP="006854E5">
            <w:pPr>
              <w:tabs>
                <w:tab w:val="left" w:pos="1483"/>
              </w:tabs>
              <w:jc w:val="center"/>
            </w:pPr>
            <w:r w:rsidRPr="00F631E5">
              <w:t>Projekta attiecīgā punkta (panta) galīgā redakcija</w:t>
            </w:r>
          </w:p>
        </w:tc>
      </w:tr>
      <w:tr w:rsidR="00086445" w:rsidRPr="00F631E5" w14:paraId="7A6A7B5C" w14:textId="77777777" w:rsidTr="00CA4B5E">
        <w:trPr>
          <w:jc w:val="center"/>
        </w:trPr>
        <w:tc>
          <w:tcPr>
            <w:tcW w:w="576" w:type="dxa"/>
          </w:tcPr>
          <w:p w14:paraId="4ABDFF4C" w14:textId="77777777" w:rsidR="00EB2EDA" w:rsidRPr="00F631E5" w:rsidRDefault="00EB2EDA" w:rsidP="006854E5">
            <w:pPr>
              <w:tabs>
                <w:tab w:val="left" w:pos="71"/>
                <w:tab w:val="left" w:pos="360"/>
              </w:tabs>
              <w:jc w:val="center"/>
            </w:pPr>
            <w:r w:rsidRPr="00F631E5">
              <w:t>1.</w:t>
            </w:r>
          </w:p>
        </w:tc>
        <w:tc>
          <w:tcPr>
            <w:tcW w:w="2747" w:type="dxa"/>
          </w:tcPr>
          <w:p w14:paraId="75F7D4AF" w14:textId="77777777" w:rsidR="00EB2EDA" w:rsidRPr="00F631E5" w:rsidRDefault="00EB2EDA" w:rsidP="006854E5">
            <w:pPr>
              <w:pStyle w:val="Default"/>
              <w:ind w:firstLine="199"/>
              <w:jc w:val="center"/>
              <w:rPr>
                <w:color w:val="auto"/>
              </w:rPr>
            </w:pPr>
            <w:r w:rsidRPr="00F631E5">
              <w:rPr>
                <w:color w:val="auto"/>
              </w:rPr>
              <w:t>2.</w:t>
            </w:r>
          </w:p>
        </w:tc>
        <w:tc>
          <w:tcPr>
            <w:tcW w:w="3976" w:type="dxa"/>
          </w:tcPr>
          <w:p w14:paraId="3FA721C1" w14:textId="77777777" w:rsidR="00EB2EDA" w:rsidRPr="00F631E5" w:rsidRDefault="00EB2EDA" w:rsidP="006854E5">
            <w:pPr>
              <w:pStyle w:val="NoSpacing"/>
              <w:ind w:firstLine="82"/>
              <w:jc w:val="center"/>
              <w:rPr>
                <w:rFonts w:eastAsia="Times New Roman"/>
                <w:sz w:val="24"/>
                <w:szCs w:val="24"/>
                <w:lang w:eastAsia="lv-LV"/>
              </w:rPr>
            </w:pPr>
            <w:r w:rsidRPr="00F631E5">
              <w:rPr>
                <w:rFonts w:eastAsia="Times New Roman"/>
                <w:sz w:val="24"/>
                <w:szCs w:val="24"/>
                <w:lang w:eastAsia="lv-LV"/>
              </w:rPr>
              <w:t>3.</w:t>
            </w:r>
          </w:p>
        </w:tc>
        <w:tc>
          <w:tcPr>
            <w:tcW w:w="2761" w:type="dxa"/>
          </w:tcPr>
          <w:p w14:paraId="09C6BD69" w14:textId="77777777" w:rsidR="00EB2EDA" w:rsidRPr="00F631E5" w:rsidRDefault="00EB2EDA" w:rsidP="006854E5">
            <w:pPr>
              <w:jc w:val="center"/>
            </w:pPr>
            <w:r w:rsidRPr="00F631E5">
              <w:t>4.</w:t>
            </w:r>
          </w:p>
        </w:tc>
        <w:tc>
          <w:tcPr>
            <w:tcW w:w="2126" w:type="dxa"/>
          </w:tcPr>
          <w:p w14:paraId="285D25E2" w14:textId="77777777" w:rsidR="00EB2EDA" w:rsidRPr="00F631E5" w:rsidRDefault="00EB2EDA" w:rsidP="006854E5">
            <w:pPr>
              <w:jc w:val="center"/>
            </w:pPr>
            <w:r w:rsidRPr="00F631E5">
              <w:t>5.</w:t>
            </w:r>
          </w:p>
        </w:tc>
        <w:tc>
          <w:tcPr>
            <w:tcW w:w="2513" w:type="dxa"/>
          </w:tcPr>
          <w:p w14:paraId="1883268C" w14:textId="77777777" w:rsidR="00EB2EDA" w:rsidRPr="00F631E5" w:rsidRDefault="00EB2EDA" w:rsidP="006854E5">
            <w:pPr>
              <w:pStyle w:val="Default"/>
              <w:ind w:firstLine="199"/>
              <w:jc w:val="center"/>
              <w:rPr>
                <w:color w:val="auto"/>
              </w:rPr>
            </w:pPr>
            <w:r w:rsidRPr="00F631E5">
              <w:rPr>
                <w:color w:val="auto"/>
              </w:rPr>
              <w:t>6.</w:t>
            </w:r>
          </w:p>
        </w:tc>
      </w:tr>
    </w:tbl>
    <w:p w14:paraId="7BEADEB1" w14:textId="77777777" w:rsidR="00FD08B1" w:rsidRPr="00F631E5" w:rsidRDefault="00FD08B1" w:rsidP="006854E5">
      <w:pPr>
        <w:pStyle w:val="naiskr"/>
        <w:spacing w:before="0" w:after="0"/>
        <w:ind w:firstLine="180"/>
      </w:pPr>
    </w:p>
    <w:p w14:paraId="0E274CD5" w14:textId="2F6DCDF9" w:rsidR="00EB2EDA" w:rsidRPr="00F631E5" w:rsidRDefault="00EB2EDA" w:rsidP="006854E5">
      <w:pPr>
        <w:pStyle w:val="naiskr"/>
        <w:spacing w:before="0" w:after="0"/>
        <w:ind w:firstLine="180"/>
      </w:pPr>
      <w:r w:rsidRPr="00F631E5">
        <w:t>Informācija par starpministriju (starpinstitūciju) sanāksmi vai elektronisko saskaņošanu </w:t>
      </w:r>
    </w:p>
    <w:p w14:paraId="22839A88" w14:textId="77777777" w:rsidR="00FA5097" w:rsidRPr="00F631E5" w:rsidRDefault="00FA5097" w:rsidP="006854E5">
      <w:pPr>
        <w:pStyle w:val="naiskr"/>
        <w:spacing w:before="0" w:after="0"/>
        <w:ind w:firstLine="180"/>
      </w:pPr>
    </w:p>
    <w:tbl>
      <w:tblPr>
        <w:tblW w:w="12960" w:type="dxa"/>
        <w:tblCellSpacing w:w="0" w:type="dxa"/>
        <w:tblInd w:w="180" w:type="dxa"/>
        <w:tblCellMar>
          <w:left w:w="0" w:type="dxa"/>
          <w:right w:w="0" w:type="dxa"/>
        </w:tblCellMar>
        <w:tblLook w:val="0000" w:firstRow="0" w:lastRow="0" w:firstColumn="0" w:lastColumn="0" w:noHBand="0" w:noVBand="0"/>
      </w:tblPr>
      <w:tblGrid>
        <w:gridCol w:w="2520"/>
        <w:gridCol w:w="10440"/>
      </w:tblGrid>
      <w:tr w:rsidR="00086445" w:rsidRPr="00F631E5" w14:paraId="1F5AEE57" w14:textId="77777777" w:rsidTr="00885D66">
        <w:trPr>
          <w:tblCellSpacing w:w="0" w:type="dxa"/>
        </w:trPr>
        <w:tc>
          <w:tcPr>
            <w:tcW w:w="2520" w:type="dxa"/>
          </w:tcPr>
          <w:p w14:paraId="14BB3922" w14:textId="72EC0B76" w:rsidR="00EB2EDA" w:rsidRPr="00F631E5" w:rsidRDefault="00EB2EDA" w:rsidP="006854E5">
            <w:pPr>
              <w:pStyle w:val="naiskr"/>
              <w:spacing w:before="0" w:after="0"/>
            </w:pPr>
            <w:r w:rsidRPr="00F631E5">
              <w:t>Datums</w:t>
            </w:r>
            <w:r w:rsidR="00A37727" w:rsidRPr="00F631E5">
              <w:t>:</w:t>
            </w:r>
          </w:p>
        </w:tc>
        <w:tc>
          <w:tcPr>
            <w:tcW w:w="10440" w:type="dxa"/>
            <w:tcBorders>
              <w:top w:val="nil"/>
              <w:left w:val="nil"/>
              <w:bottom w:val="single" w:sz="8" w:space="0" w:color="000000"/>
              <w:right w:val="nil"/>
            </w:tcBorders>
          </w:tcPr>
          <w:p w14:paraId="4F3787F0" w14:textId="77777777" w:rsidR="00E87B45" w:rsidRDefault="00FA5097" w:rsidP="00A37727">
            <w:pPr>
              <w:pStyle w:val="naisf"/>
              <w:spacing w:before="0" w:after="0"/>
              <w:ind w:firstLine="0"/>
            </w:pPr>
            <w:r w:rsidRPr="00F631E5">
              <w:t>10.03.2020. – starpinstitūciju sanāksme</w:t>
            </w:r>
            <w:r w:rsidR="00F631E5">
              <w:t>,</w:t>
            </w:r>
          </w:p>
          <w:p w14:paraId="6D8B9834" w14:textId="14181B11" w:rsidR="00F631E5" w:rsidRPr="00F631E5" w:rsidRDefault="00F631E5" w:rsidP="00A37727">
            <w:pPr>
              <w:pStyle w:val="naisf"/>
              <w:spacing w:before="0" w:after="0"/>
              <w:ind w:firstLine="0"/>
            </w:pPr>
            <w:r>
              <w:t>12.05.2020. – elektroniskā saskaņošana.</w:t>
            </w:r>
          </w:p>
        </w:tc>
      </w:tr>
      <w:tr w:rsidR="00FC2EAA" w:rsidRPr="00F631E5" w14:paraId="052116D6" w14:textId="77777777" w:rsidTr="00885D66">
        <w:trPr>
          <w:tblCellSpacing w:w="0" w:type="dxa"/>
        </w:trPr>
        <w:tc>
          <w:tcPr>
            <w:tcW w:w="2520" w:type="dxa"/>
            <w:vAlign w:val="center"/>
          </w:tcPr>
          <w:p w14:paraId="7E76455C" w14:textId="1AA37A03" w:rsidR="00EB2EDA" w:rsidRPr="00F631E5" w:rsidRDefault="00EB2EDA" w:rsidP="006854E5">
            <w:pPr>
              <w:pStyle w:val="naiskr"/>
              <w:spacing w:before="0" w:after="0"/>
            </w:pPr>
            <w:r w:rsidRPr="00F631E5">
              <w:t>Saskaņošanas dalībnieki</w:t>
            </w:r>
            <w:r w:rsidR="00A37727" w:rsidRPr="00F631E5">
              <w:t>:</w:t>
            </w:r>
          </w:p>
        </w:tc>
        <w:tc>
          <w:tcPr>
            <w:tcW w:w="10440" w:type="dxa"/>
            <w:vAlign w:val="center"/>
          </w:tcPr>
          <w:p w14:paraId="09A7D3F6" w14:textId="77777777" w:rsidR="0034254F" w:rsidRPr="00F631E5" w:rsidRDefault="0034254F" w:rsidP="0034254F"/>
          <w:p w14:paraId="4119FFA1" w14:textId="77777777" w:rsidR="0034254F" w:rsidRPr="00F631E5" w:rsidRDefault="0034254F" w:rsidP="0034254F"/>
          <w:p w14:paraId="06C5F4DE" w14:textId="77777777" w:rsidR="0034254F" w:rsidRPr="00F631E5" w:rsidRDefault="0034254F" w:rsidP="0034254F"/>
          <w:p w14:paraId="794774F8" w14:textId="02E6BEEE" w:rsidR="0034254F" w:rsidRPr="00F631E5" w:rsidRDefault="0034254F" w:rsidP="0034254F">
            <w:r w:rsidRPr="00F631E5">
              <w:t>Visas ministrijas</w:t>
            </w:r>
            <w:r w:rsidR="00087B2B" w:rsidRPr="00F631E5">
              <w:t>,</w:t>
            </w:r>
            <w:r w:rsidRPr="00F631E5">
              <w:t xml:space="preserve"> Valsts kanceleja,</w:t>
            </w:r>
            <w:r w:rsidR="00087B2B" w:rsidRPr="00F631E5">
              <w:t xml:space="preserve"> </w:t>
            </w:r>
            <w:r w:rsidR="006D45DB" w:rsidRPr="00F631E5">
              <w:t xml:space="preserve">Korupcijas novēršanas un apkarošanas birojs, </w:t>
            </w:r>
            <w:r w:rsidRPr="00F631E5">
              <w:t xml:space="preserve">Latvijas Pašvaldību savienība, Latvijas Darba devēju konfederācija, Latvijas Brīvo arodbiedrību savienība, </w:t>
            </w:r>
            <w:r w:rsidR="000D288A" w:rsidRPr="00F631E5">
              <w:t>Latvijas Informācijas un komunikācijas tehnoloģiju asoci</w:t>
            </w:r>
            <w:r w:rsidR="00620EB3" w:rsidRPr="00F631E5">
              <w:t>ācija</w:t>
            </w:r>
            <w:r w:rsidR="0062241A" w:rsidRPr="00F631E5">
              <w:t xml:space="preserve"> (turpmāk – LIKTA)</w:t>
            </w:r>
            <w:r w:rsidR="00620EB3" w:rsidRPr="00F631E5">
              <w:t>,</w:t>
            </w:r>
            <w:r w:rsidR="00087B2B" w:rsidRPr="00F631E5">
              <w:t xml:space="preserve"> Latvijas tirdzniecības un rūpniecības kamera</w:t>
            </w:r>
            <w:r w:rsidR="0062241A" w:rsidRPr="00F631E5">
              <w:t xml:space="preserve"> (turpmāk – LTRK)</w:t>
            </w:r>
            <w:r w:rsidRPr="00F631E5">
              <w:t>, biedrība “Reģionālo attīstības centru apvienība”.</w:t>
            </w:r>
          </w:p>
          <w:p w14:paraId="1A4FDEBF" w14:textId="0E68C99F" w:rsidR="00EB2EDA" w:rsidRPr="00F631E5" w:rsidRDefault="00EB2EDA" w:rsidP="00A37727">
            <w:pPr>
              <w:pStyle w:val="naisf"/>
              <w:spacing w:before="0" w:after="0"/>
              <w:ind w:firstLine="0"/>
            </w:pPr>
          </w:p>
        </w:tc>
      </w:tr>
    </w:tbl>
    <w:p w14:paraId="727A4767" w14:textId="77777777" w:rsidR="0034254F" w:rsidRPr="00F631E5" w:rsidRDefault="0034254F" w:rsidP="006854E5"/>
    <w:tbl>
      <w:tblPr>
        <w:tblW w:w="12645" w:type="dxa"/>
        <w:tblCellSpacing w:w="0" w:type="dxa"/>
        <w:tblInd w:w="180" w:type="dxa"/>
        <w:tblCellMar>
          <w:left w:w="0" w:type="dxa"/>
          <w:right w:w="0" w:type="dxa"/>
        </w:tblCellMar>
        <w:tblLook w:val="0000" w:firstRow="0" w:lastRow="0" w:firstColumn="0" w:lastColumn="0" w:noHBand="0" w:noVBand="0"/>
      </w:tblPr>
      <w:tblGrid>
        <w:gridCol w:w="12645"/>
      </w:tblGrid>
      <w:tr w:rsidR="00620EB3" w:rsidRPr="00F631E5" w14:paraId="36A33E91" w14:textId="77777777" w:rsidTr="00C925BE">
        <w:trPr>
          <w:tblCellSpacing w:w="0" w:type="dxa"/>
        </w:trPr>
        <w:tc>
          <w:tcPr>
            <w:tcW w:w="12645" w:type="dxa"/>
          </w:tcPr>
          <w:p w14:paraId="7A8DBC52" w14:textId="77777777" w:rsidR="003B6F1E" w:rsidRPr="00F631E5" w:rsidRDefault="00620EB3" w:rsidP="00477DF2">
            <w:pPr>
              <w:pStyle w:val="naiskr"/>
              <w:spacing w:before="0" w:after="0"/>
            </w:pPr>
            <w:r w:rsidRPr="00F631E5">
              <w:t>Saskaņošanas dalībnieki izskatīja šādu ministriju (citu institūciju) iebildumus:</w:t>
            </w:r>
          </w:p>
          <w:p w14:paraId="31D0E9B9" w14:textId="2A7E82BD" w:rsidR="00620EB3" w:rsidRPr="00F631E5" w:rsidRDefault="00620EB3" w:rsidP="00477DF2">
            <w:pPr>
              <w:pStyle w:val="naiskr"/>
              <w:spacing w:before="0" w:after="0"/>
            </w:pPr>
            <w:r w:rsidRPr="00F631E5">
              <w:t xml:space="preserve">Tieslietu ministrija, Finanšu ministrija, </w:t>
            </w:r>
            <w:r w:rsidR="0062241A" w:rsidRPr="00F631E5">
              <w:t>LIKTA, LTRK.</w:t>
            </w:r>
          </w:p>
        </w:tc>
      </w:tr>
    </w:tbl>
    <w:p w14:paraId="0B6C721A" w14:textId="77777777" w:rsidR="0034254F" w:rsidRPr="00F631E5" w:rsidRDefault="0034254F" w:rsidP="006854E5">
      <w:pPr>
        <w:pStyle w:val="naisnod"/>
        <w:spacing w:before="0" w:after="0"/>
      </w:pPr>
    </w:p>
    <w:p w14:paraId="7B8FFAFE" w14:textId="77777777" w:rsidR="0034254F" w:rsidRPr="00F631E5" w:rsidRDefault="0034254F" w:rsidP="006854E5">
      <w:pPr>
        <w:pStyle w:val="naisnod"/>
        <w:spacing w:before="0" w:after="0"/>
      </w:pPr>
    </w:p>
    <w:p w14:paraId="21968EDB" w14:textId="5A61F8BB" w:rsidR="00EB2EDA" w:rsidRPr="00F631E5" w:rsidRDefault="00EB2EDA" w:rsidP="006854E5">
      <w:pPr>
        <w:pStyle w:val="naisnod"/>
        <w:spacing w:before="0" w:after="0"/>
      </w:pPr>
      <w:r w:rsidRPr="00F631E5">
        <w:t>II. Jautājumi, par kuriem saskaņošanā vienošanās ir panākta</w:t>
      </w:r>
    </w:p>
    <w:tbl>
      <w:tblPr>
        <w:tblW w:w="546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566"/>
        <w:gridCol w:w="4348"/>
        <w:gridCol w:w="2819"/>
        <w:gridCol w:w="3495"/>
      </w:tblGrid>
      <w:tr w:rsidR="008E101D" w:rsidRPr="00F631E5" w14:paraId="2ACA45A6" w14:textId="77777777" w:rsidTr="00CC394E">
        <w:tc>
          <w:tcPr>
            <w:tcW w:w="200" w:type="pct"/>
          </w:tcPr>
          <w:p w14:paraId="27F33EB4" w14:textId="77777777" w:rsidR="00EB2EDA" w:rsidRPr="00F631E5" w:rsidRDefault="00EB2EDA" w:rsidP="006854E5">
            <w:pPr>
              <w:jc w:val="center"/>
            </w:pPr>
            <w:r w:rsidRPr="00F631E5">
              <w:t>Nr.</w:t>
            </w:r>
          </w:p>
          <w:p w14:paraId="39B93C62" w14:textId="77777777" w:rsidR="00EB2EDA" w:rsidRPr="00F631E5" w:rsidRDefault="00EB2EDA" w:rsidP="006854E5">
            <w:pPr>
              <w:jc w:val="center"/>
            </w:pPr>
            <w:r w:rsidRPr="00F631E5">
              <w:t>p.k.</w:t>
            </w:r>
          </w:p>
        </w:tc>
        <w:tc>
          <w:tcPr>
            <w:tcW w:w="1203" w:type="pct"/>
          </w:tcPr>
          <w:p w14:paraId="124E4FE6" w14:textId="77777777" w:rsidR="00EB2EDA" w:rsidRPr="00F631E5" w:rsidRDefault="00EB2EDA" w:rsidP="006854E5">
            <w:pPr>
              <w:jc w:val="center"/>
            </w:pPr>
            <w:r w:rsidRPr="00F631E5">
              <w:t>Saskaņošanai nosūtītā projekta redakcija (konkrēta punkta (panta) redakcija)</w:t>
            </w:r>
          </w:p>
        </w:tc>
        <w:tc>
          <w:tcPr>
            <w:tcW w:w="1467" w:type="pct"/>
          </w:tcPr>
          <w:p w14:paraId="615BEB4B" w14:textId="0BD83DD8" w:rsidR="00E91574" w:rsidRPr="00F631E5" w:rsidRDefault="00EB2EDA" w:rsidP="006854E5">
            <w:pPr>
              <w:jc w:val="both"/>
            </w:pPr>
            <w:r w:rsidRPr="00F631E5">
              <w:t>Atzinumā norādītais ministrijas (citas institūcijas) iebildums, kā arī saskaņošanā papildus izteiktais iebildums par projekta konkrēto punktu (pantu)</w:t>
            </w:r>
          </w:p>
          <w:p w14:paraId="01C9407E" w14:textId="77777777" w:rsidR="00EB2EDA" w:rsidRPr="00F631E5" w:rsidRDefault="00EB2EDA" w:rsidP="00E91574">
            <w:pPr>
              <w:jc w:val="center"/>
            </w:pPr>
          </w:p>
        </w:tc>
        <w:tc>
          <w:tcPr>
            <w:tcW w:w="951" w:type="pct"/>
          </w:tcPr>
          <w:p w14:paraId="1E5E73B1" w14:textId="77777777" w:rsidR="00EB2EDA" w:rsidRPr="00F631E5" w:rsidRDefault="00EB2EDA" w:rsidP="006854E5">
            <w:pPr>
              <w:jc w:val="both"/>
            </w:pPr>
            <w:r w:rsidRPr="00F631E5">
              <w:t xml:space="preserve">Atbildīgās ministrijas norāde par to, ka iebildums ir ņemts vērā, vai informācija par </w:t>
            </w:r>
            <w:r w:rsidRPr="00F631E5">
              <w:lastRenderedPageBreak/>
              <w:t>saskaņošanā panākto alternatīvo risinājumu</w:t>
            </w:r>
          </w:p>
        </w:tc>
        <w:tc>
          <w:tcPr>
            <w:tcW w:w="1179" w:type="pct"/>
          </w:tcPr>
          <w:p w14:paraId="2888FFCE" w14:textId="77777777" w:rsidR="00EB2EDA" w:rsidRPr="00F631E5" w:rsidRDefault="00EB2EDA" w:rsidP="006854E5">
            <w:pPr>
              <w:jc w:val="center"/>
            </w:pPr>
            <w:r w:rsidRPr="00F631E5">
              <w:lastRenderedPageBreak/>
              <w:t>Projekta attiecīgā punkta (panta) galīgā redakcija</w:t>
            </w:r>
          </w:p>
        </w:tc>
      </w:tr>
      <w:tr w:rsidR="008E101D" w:rsidRPr="00F631E5" w14:paraId="2B27F4D1" w14:textId="77777777" w:rsidTr="00CC394E">
        <w:tc>
          <w:tcPr>
            <w:tcW w:w="200" w:type="pct"/>
          </w:tcPr>
          <w:p w14:paraId="2CDEB38B" w14:textId="77777777" w:rsidR="00B71F67" w:rsidRPr="00F631E5" w:rsidRDefault="00651D54" w:rsidP="006854E5">
            <w:r w:rsidRPr="00F631E5">
              <w:t>1.</w:t>
            </w:r>
          </w:p>
          <w:p w14:paraId="769AA4D9" w14:textId="77777777" w:rsidR="00B71F67" w:rsidRPr="00F631E5" w:rsidRDefault="00B71F67" w:rsidP="006854E5"/>
        </w:tc>
        <w:tc>
          <w:tcPr>
            <w:tcW w:w="1203" w:type="pct"/>
          </w:tcPr>
          <w:p w14:paraId="2D30C96A" w14:textId="0D612698" w:rsidR="004508ED" w:rsidRPr="00F631E5" w:rsidRDefault="00DD0D0E" w:rsidP="006854E5">
            <w:r w:rsidRPr="00F631E5">
              <w:rPr>
                <w:rFonts w:eastAsia="Calibri"/>
                <w:bCs/>
                <w:lang w:eastAsia="en-US"/>
              </w:rPr>
              <w:t>Ministru kabineta 2017. gada 28. februāra noteikumu Nr.</w:t>
            </w:r>
            <w:r w:rsidR="00195C1E">
              <w:rPr>
                <w:rFonts w:eastAsia="Calibri"/>
                <w:bCs/>
                <w:lang w:eastAsia="en-US"/>
              </w:rPr>
              <w:t> </w:t>
            </w:r>
            <w:r w:rsidRPr="00F631E5">
              <w:rPr>
                <w:rFonts w:eastAsia="Calibri"/>
                <w:bCs/>
                <w:lang w:eastAsia="en-US"/>
              </w:rPr>
              <w:t xml:space="preserve">108 “Publisko elektronisko iepirkumu noteikumi” (turpmāk – </w:t>
            </w:r>
            <w:r w:rsidR="006D357A" w:rsidRPr="00F631E5">
              <w:rPr>
                <w:bCs/>
              </w:rPr>
              <w:t>Noteikum</w:t>
            </w:r>
            <w:r w:rsidRPr="00F631E5">
              <w:rPr>
                <w:bCs/>
              </w:rPr>
              <w:t xml:space="preserve">i) </w:t>
            </w:r>
            <w:r w:rsidR="006D357A" w:rsidRPr="00F631E5">
              <w:rPr>
                <w:bCs/>
              </w:rPr>
              <w:t>28.1., 32.2.1. un 32.2.2. apakšpunkt</w:t>
            </w:r>
            <w:r w:rsidRPr="00F631E5">
              <w:rPr>
                <w:bCs/>
              </w:rPr>
              <w:t>s</w:t>
            </w:r>
            <w:r w:rsidR="006D357A" w:rsidRPr="00F631E5">
              <w:rPr>
                <w:bCs/>
              </w:rPr>
              <w:t>, 7., 8.pielikum</w:t>
            </w:r>
            <w:r w:rsidRPr="00F631E5">
              <w:rPr>
                <w:bCs/>
              </w:rPr>
              <w:t>s</w:t>
            </w:r>
            <w:r w:rsidR="006D357A" w:rsidRPr="00F631E5">
              <w:rPr>
                <w:bCs/>
              </w:rPr>
              <w:t>.</w:t>
            </w:r>
          </w:p>
        </w:tc>
        <w:tc>
          <w:tcPr>
            <w:tcW w:w="1467" w:type="pct"/>
            <w:shd w:val="clear" w:color="auto" w:fill="auto"/>
          </w:tcPr>
          <w:p w14:paraId="38CBED85" w14:textId="77777777" w:rsidR="00B71F67" w:rsidRPr="00F631E5" w:rsidRDefault="00DF5513" w:rsidP="006854E5">
            <w:pPr>
              <w:widowControl w:val="0"/>
              <w:ind w:firstLine="709"/>
              <w:rPr>
                <w:b/>
              </w:rPr>
            </w:pPr>
            <w:r w:rsidRPr="00F631E5">
              <w:rPr>
                <w:b/>
              </w:rPr>
              <w:t>Tieslietu ministrija</w:t>
            </w:r>
          </w:p>
          <w:p w14:paraId="795F2A66" w14:textId="529FBAB3" w:rsidR="00DF5513" w:rsidRPr="00F631E5" w:rsidRDefault="00DF5513" w:rsidP="00477DF2">
            <w:pPr>
              <w:widowControl w:val="0"/>
              <w:ind w:firstLine="720"/>
              <w:jc w:val="both"/>
            </w:pPr>
            <w:r w:rsidRPr="00F631E5">
              <w:rPr>
                <w:rFonts w:eastAsia="Calibri"/>
                <w:lang w:eastAsia="en-US"/>
              </w:rPr>
              <w:t xml:space="preserve">1. Projekta anotācijā tiek norādīts, ka </w:t>
            </w:r>
            <w:bookmarkStart w:id="0" w:name="_Hlk31105542"/>
            <w:r w:rsidRPr="00F631E5">
              <w:rPr>
                <w:lang w:eastAsia="en-US"/>
              </w:rPr>
              <w:t xml:space="preserve">Ministru kabineta </w:t>
            </w:r>
            <w:r w:rsidRPr="00F631E5">
              <w:rPr>
                <w:rFonts w:eastAsia="Calibri"/>
                <w:lang w:eastAsia="en-US"/>
              </w:rPr>
              <w:t>2017. gada 28. februāra noteikumu Nr.108 “Publisko elektronisko iepirkumu noteikumi</w:t>
            </w:r>
            <w:r w:rsidRPr="00F631E5">
              <w:rPr>
                <w:lang w:eastAsia="en-US"/>
              </w:rPr>
              <w:t xml:space="preserve">”” </w:t>
            </w:r>
            <w:bookmarkEnd w:id="0"/>
            <w:r w:rsidRPr="00F631E5">
              <w:rPr>
                <w:lang w:eastAsia="en-US"/>
              </w:rPr>
              <w:t xml:space="preserve">(turpmāk – noteikumi) </w:t>
            </w:r>
            <w:r w:rsidRPr="00F631E5">
              <w:rPr>
                <w:rFonts w:eastAsia="Calibri"/>
                <w:lang w:eastAsia="en-US"/>
              </w:rPr>
              <w:t xml:space="preserve">grozījumi tiek veikti saistībā ar normatīvā regulējuma izmaiņām par administratīvo atbildību, kad 2020. gada 1. jūlijā spēkā stāsies Administratīvās atbildības likums, administratīvos pārkāpumus un sodus par tiem noteiks nozaru likumi, bet Latvijas Administratīvo pārkāpumu kodekss (turpmāk – LAPK) zaudēs spēku. Vēršam uzmanību, ka projekts ir nepilnīgs, jo arī noteikumu 28.1., 32.2.1. un 32.2.2. apakšpunkts, 7. un 8. pielikums paredz ārējo atsauci uz LAPK, kura būtu jāsaglabā tiesisko seku konstatēšanai par izdarītajiem administratīvajiem pārkāpumiem arī pēc 2020. gada 1. jūlija, bet neparedz atsauci uz likumiem, kuros administratīvie pārkāpumi tiks paredzēti pēc 2020. gada 1. jūlija, proti, Darba likums, Imigrācijas likums, likums “Par nodokļiem un nodevām”. Ievērojot minēto, Tieslietu ministrija piedāvā noteikumu 28.1., 32.2.1. un 32.2.2. apakšpunktā atteikties no dažādu likumu uzskaitījuma, saglabājot iekšējo atsauci uz noteikumu 12. pielikumā paredzētajiem pārkāpumiem. Savukārt noteikumu 7. un 8. pielikumā, kur šobrīd likumu uzskaitījuma norāde ir informatīva un </w:t>
            </w:r>
            <w:r w:rsidRPr="00F631E5">
              <w:rPr>
                <w:rFonts w:eastAsia="Calibri"/>
                <w:lang w:eastAsia="en-US"/>
              </w:rPr>
              <w:lastRenderedPageBreak/>
              <w:t xml:space="preserve">paredzēta veidlapas atvieglotai aizpildīšanai, piedāvājam izteikt vispārīgi, piemēram, “likuma norma, ar kuru piemērots sods”. </w:t>
            </w:r>
          </w:p>
        </w:tc>
        <w:tc>
          <w:tcPr>
            <w:tcW w:w="951" w:type="pct"/>
            <w:shd w:val="clear" w:color="auto" w:fill="auto"/>
          </w:tcPr>
          <w:p w14:paraId="1F691242" w14:textId="77777777" w:rsidR="009A55FF" w:rsidRPr="00F631E5" w:rsidRDefault="009329F2" w:rsidP="006854E5">
            <w:pPr>
              <w:rPr>
                <w:b/>
              </w:rPr>
            </w:pPr>
            <w:r w:rsidRPr="00F631E5">
              <w:rPr>
                <w:b/>
              </w:rPr>
              <w:lastRenderedPageBreak/>
              <w:t>Ņemts vērā</w:t>
            </w:r>
          </w:p>
          <w:p w14:paraId="4761C25D" w14:textId="77777777" w:rsidR="00302F43" w:rsidRPr="00F631E5" w:rsidRDefault="00302F43" w:rsidP="006854E5">
            <w:r w:rsidRPr="00F631E5">
              <w:t xml:space="preserve">Projekts precizēts, </w:t>
            </w:r>
          </w:p>
          <w:p w14:paraId="6B45549E" w14:textId="77777777" w:rsidR="00302F43" w:rsidRPr="00F631E5" w:rsidRDefault="00302F43" w:rsidP="00302F43">
            <w:r w:rsidRPr="00F631E5">
              <w:t>28.1., 32.2.1. un 32.2.2. apakšpunktā izslēgts dažādu likumu uzskaitījums, saglabājot iekšējo atsauci uz noteikumu 12. pielikumā paredzētajiem pārkāpumiem.</w:t>
            </w:r>
          </w:p>
          <w:p w14:paraId="7DC2D0D3" w14:textId="77777777" w:rsidR="00302F43" w:rsidRPr="00F631E5" w:rsidRDefault="00302F43" w:rsidP="00302F43"/>
          <w:p w14:paraId="29C750AB" w14:textId="435478DE" w:rsidR="00302F43" w:rsidRPr="00F631E5" w:rsidRDefault="004B02B7" w:rsidP="004B02B7">
            <w:pPr>
              <w:rPr>
                <w:b/>
              </w:rPr>
            </w:pPr>
            <w:r w:rsidRPr="00F631E5">
              <w:t>N</w:t>
            </w:r>
            <w:r w:rsidR="00302F43" w:rsidRPr="00F631E5">
              <w:t>oteikumu 7. un 8. pielikumā</w:t>
            </w:r>
            <w:r w:rsidRPr="00F631E5">
              <w:t xml:space="preserve"> norādīts vispārīgs tiesību aktu  formulējums.</w:t>
            </w:r>
          </w:p>
        </w:tc>
        <w:tc>
          <w:tcPr>
            <w:tcW w:w="1179" w:type="pct"/>
          </w:tcPr>
          <w:p w14:paraId="76EC46CE" w14:textId="40E4320E" w:rsidR="00302F43" w:rsidRPr="00F631E5" w:rsidRDefault="00A55033" w:rsidP="00DD0D0E">
            <w:pPr>
              <w:pStyle w:val="naisc"/>
              <w:spacing w:before="0" w:after="0"/>
              <w:jc w:val="left"/>
            </w:pPr>
            <w:sdt>
              <w:sdtPr>
                <w:id w:val="-1893957386"/>
                <w:placeholder>
                  <w:docPart w:val="54496EB6DB034C84B25C08D4EB987E81"/>
                </w:placeholder>
              </w:sdtPr>
              <w:sdtEndPr/>
              <w:sdtContent>
                <w:r w:rsidR="00DD0D0E" w:rsidRPr="00F631E5">
                  <w:t>Ministru kabineta noteikumu</w:t>
                </w:r>
              </w:sdtContent>
            </w:sdt>
            <w:r w:rsidR="00DD0D0E" w:rsidRPr="00F631E5">
              <w:t xml:space="preserve"> “</w:t>
            </w:r>
            <w:r w:rsidR="00DD0D0E" w:rsidRPr="00F631E5">
              <w:rPr>
                <w:rFonts w:eastAsia="Calibri"/>
                <w:lang w:eastAsia="en-US"/>
              </w:rPr>
              <w:t>Grozījumi Ministru kabineta 2017. gada 28. februāra noteikumos Nr.</w:t>
            </w:r>
            <w:r w:rsidR="00195C1E">
              <w:rPr>
                <w:rFonts w:eastAsia="Calibri"/>
                <w:lang w:eastAsia="en-US"/>
              </w:rPr>
              <w:t> </w:t>
            </w:r>
            <w:r w:rsidR="00DD0D0E" w:rsidRPr="00F631E5">
              <w:rPr>
                <w:rFonts w:eastAsia="Calibri"/>
                <w:lang w:eastAsia="en-US"/>
              </w:rPr>
              <w:t>108 “Publisko elektronisko iepirkumu noteikumi”” projekts (turpmāk – Projekts)</w:t>
            </w:r>
            <w:r w:rsidR="00302F43" w:rsidRPr="00F631E5">
              <w:t>:</w:t>
            </w:r>
          </w:p>
          <w:p w14:paraId="4BFE85F7" w14:textId="77777777" w:rsidR="00DD0D0E" w:rsidRPr="00F631E5" w:rsidRDefault="00DD0D0E" w:rsidP="00DD0D0E">
            <w:pPr>
              <w:pStyle w:val="naisc"/>
              <w:spacing w:before="0" w:after="0"/>
              <w:jc w:val="left"/>
            </w:pPr>
          </w:p>
          <w:p w14:paraId="3038DB36" w14:textId="4E88A254" w:rsidR="00302F43" w:rsidRPr="00F631E5" w:rsidRDefault="00DD0D0E" w:rsidP="00EB2149">
            <w:r w:rsidRPr="00F631E5">
              <w:t>2</w:t>
            </w:r>
            <w:r w:rsidR="00703DA4" w:rsidRPr="00F631E5">
              <w:t xml:space="preserve">. </w:t>
            </w:r>
            <w:r w:rsidR="00302F43" w:rsidRPr="00F631E5">
              <w:t>Svītrot 28.1., 32.2.1. un 32.2.2. apakšpunktā vārdus:</w:t>
            </w:r>
          </w:p>
          <w:p w14:paraId="4987F207" w14:textId="77777777" w:rsidR="00302F43" w:rsidRPr="00F631E5" w:rsidRDefault="00302F43" w:rsidP="00EB2149"/>
          <w:p w14:paraId="57A48422" w14:textId="7A50437C" w:rsidR="00302F43" w:rsidRPr="00F631E5" w:rsidRDefault="00302F43" w:rsidP="00EB2149">
            <w:r w:rsidRPr="00F631E5">
              <w:t>“Krimināllikuma, Konkurences likuma un Latvijas Administratīvo pārkāpumu kodeksa”</w:t>
            </w:r>
            <w:r w:rsidR="00703DA4" w:rsidRPr="00F631E5">
              <w:t>;</w:t>
            </w:r>
          </w:p>
          <w:p w14:paraId="70C07932" w14:textId="77777777" w:rsidR="003D4D94" w:rsidRPr="00F631E5" w:rsidRDefault="003D4D94" w:rsidP="00EB2149"/>
          <w:p w14:paraId="4D8E932C" w14:textId="688D6AC1" w:rsidR="00673290" w:rsidRPr="00F631E5" w:rsidRDefault="00A455B7" w:rsidP="00DD0D0E">
            <w:pPr>
              <w:spacing w:after="120"/>
              <w:jc w:val="both"/>
              <w:rPr>
                <w:rFonts w:eastAsia="Calibri"/>
                <w:shd w:val="clear" w:color="auto" w:fill="FFFFFF"/>
                <w:lang w:eastAsia="en-US"/>
              </w:rPr>
            </w:pPr>
            <w:r w:rsidRPr="00F631E5">
              <w:rPr>
                <w:rFonts w:eastAsia="Calibri"/>
                <w:shd w:val="clear" w:color="auto" w:fill="FFFFFF"/>
                <w:lang w:eastAsia="en-US"/>
              </w:rPr>
              <w:t>6</w:t>
            </w:r>
            <w:r w:rsidR="00673290" w:rsidRPr="00F631E5">
              <w:rPr>
                <w:rFonts w:eastAsia="Calibri"/>
                <w:shd w:val="clear" w:color="auto" w:fill="FFFFFF"/>
                <w:lang w:eastAsia="en-US"/>
              </w:rPr>
              <w:t xml:space="preserve">. aizstāt </w:t>
            </w:r>
            <w:r w:rsidR="00673290" w:rsidRPr="00F631E5">
              <w:t xml:space="preserve">7. pielikumā  vārdus </w:t>
            </w:r>
            <w:r w:rsidR="00673290" w:rsidRPr="00F631E5">
              <w:rPr>
                <w:shd w:val="clear" w:color="auto" w:fill="FFFFFF"/>
              </w:rPr>
              <w:t>&lt;*</w:t>
            </w:r>
            <w:r w:rsidR="00673290" w:rsidRPr="00F631E5">
              <w:rPr>
                <w:i/>
                <w:iCs/>
                <w:shd w:val="clear" w:color="auto" w:fill="FFFFFF"/>
              </w:rPr>
              <w:t xml:space="preserve">&lt;Krimināllikums pants/daļa/punkts&gt; un/vai &lt;Latvijas Administratīvo pārkāpumu kodekss pants/daļa/punkts&gt;&gt; ar vārdiem </w:t>
            </w:r>
            <w:r w:rsidR="00673290" w:rsidRPr="00F631E5">
              <w:rPr>
                <w:shd w:val="clear" w:color="auto" w:fill="FFFFFF"/>
              </w:rPr>
              <w:t>&lt;*</w:t>
            </w:r>
            <w:r w:rsidR="00673290" w:rsidRPr="00F631E5">
              <w:rPr>
                <w:i/>
                <w:iCs/>
                <w:shd w:val="clear" w:color="auto" w:fill="FFFFFF"/>
              </w:rPr>
              <w:t>viens vai vairāki tiesību akti  &lt;likums pants/daļa/punkts&gt;&gt;;</w:t>
            </w:r>
          </w:p>
          <w:p w14:paraId="71B0D021" w14:textId="4247BD68" w:rsidR="00673290" w:rsidRPr="00F631E5" w:rsidRDefault="00A455B7" w:rsidP="00DD0D0E">
            <w:pPr>
              <w:spacing w:after="120"/>
              <w:jc w:val="both"/>
            </w:pPr>
            <w:r w:rsidRPr="00F631E5">
              <w:t>7</w:t>
            </w:r>
            <w:r w:rsidR="00673290" w:rsidRPr="00F631E5">
              <w:t>. 8. pielikumā:</w:t>
            </w:r>
          </w:p>
          <w:p w14:paraId="272D7754" w14:textId="2F84CC4F" w:rsidR="00673290" w:rsidRPr="00F631E5" w:rsidRDefault="00A455B7" w:rsidP="00DD0D0E">
            <w:pPr>
              <w:spacing w:after="120"/>
              <w:jc w:val="both"/>
              <w:rPr>
                <w:rFonts w:eastAsia="Calibri"/>
                <w:shd w:val="clear" w:color="auto" w:fill="FFFFFF"/>
                <w:lang w:eastAsia="en-US"/>
              </w:rPr>
            </w:pPr>
            <w:r w:rsidRPr="00F631E5">
              <w:t>7</w:t>
            </w:r>
            <w:r w:rsidR="00673290" w:rsidRPr="00F631E5">
              <w:t>.1. aizstāt vārdus</w:t>
            </w:r>
            <w:r w:rsidR="00673290" w:rsidRPr="00F631E5">
              <w:rPr>
                <w:i/>
                <w:iCs/>
              </w:rPr>
              <w:t xml:space="preserve">&lt;Krimināllikums pants/daļa/punkts&gt; un/vai &lt;Latvijas Administratīvo pārkāpumu kodekss pants/daļa/punkts&gt; ar </w:t>
            </w:r>
            <w:r w:rsidR="00673290" w:rsidRPr="00F631E5">
              <w:rPr>
                <w:i/>
                <w:iCs/>
                <w:shd w:val="clear" w:color="auto" w:fill="FFFFFF"/>
              </w:rPr>
              <w:t>&lt;viens vai vairāki tiesību akti  &lt;likums pants/daļa/punkts&gt;&gt;;</w:t>
            </w:r>
          </w:p>
          <w:p w14:paraId="1C8B682B" w14:textId="2750E764" w:rsidR="00302F43" w:rsidRPr="00F631E5" w:rsidRDefault="00A455B7" w:rsidP="00477DF2">
            <w:pPr>
              <w:spacing w:after="120"/>
              <w:ind w:firstLine="284"/>
              <w:jc w:val="both"/>
            </w:pPr>
            <w:r w:rsidRPr="00F631E5">
              <w:rPr>
                <w:rFonts w:eastAsia="Calibri"/>
                <w:shd w:val="clear" w:color="auto" w:fill="FFFFFF"/>
                <w:lang w:eastAsia="en-US"/>
              </w:rPr>
              <w:lastRenderedPageBreak/>
              <w:t>7</w:t>
            </w:r>
            <w:r w:rsidR="00673290" w:rsidRPr="00F631E5">
              <w:rPr>
                <w:rFonts w:eastAsia="Calibri"/>
                <w:shd w:val="clear" w:color="auto" w:fill="FFFFFF"/>
                <w:lang w:eastAsia="en-US"/>
              </w:rPr>
              <w:t xml:space="preserve">.2. </w:t>
            </w:r>
            <w:r w:rsidR="00673290" w:rsidRPr="00F631E5">
              <w:rPr>
                <w:shd w:val="clear" w:color="auto" w:fill="FFFFFF"/>
              </w:rPr>
              <w:t xml:space="preserve">aizstāt vārdus </w:t>
            </w:r>
            <w:r w:rsidR="00673290" w:rsidRPr="00F631E5">
              <w:rPr>
                <w:i/>
                <w:iCs/>
                <w:shd w:val="clear" w:color="auto" w:fill="FFFFFF"/>
              </w:rPr>
              <w:t>&lt;Viens no šādiem tiesību aktiem: Krimināllikums, Latvijas Administratīvo pārkāpumu kodekss vai Konkurences likums&gt; ar vārdiem &lt;likuma nosaukums&gt;;</w:t>
            </w:r>
          </w:p>
        </w:tc>
      </w:tr>
      <w:tr w:rsidR="00DF5513" w:rsidRPr="00F631E5" w14:paraId="5223261B" w14:textId="77777777" w:rsidTr="00CC394E">
        <w:tc>
          <w:tcPr>
            <w:tcW w:w="200" w:type="pct"/>
          </w:tcPr>
          <w:p w14:paraId="7F6931EA" w14:textId="103E852E" w:rsidR="00DF5513" w:rsidRPr="00F631E5" w:rsidRDefault="005E0DED" w:rsidP="006854E5">
            <w:r w:rsidRPr="00F631E5">
              <w:lastRenderedPageBreak/>
              <w:t>2.</w:t>
            </w:r>
          </w:p>
        </w:tc>
        <w:tc>
          <w:tcPr>
            <w:tcW w:w="1203" w:type="pct"/>
          </w:tcPr>
          <w:p w14:paraId="3A07E86F" w14:textId="4A1241F1" w:rsidR="00620EB3" w:rsidRPr="00F631E5" w:rsidRDefault="00DD0D0E" w:rsidP="006854E5">
            <w:r w:rsidRPr="00F631E5">
              <w:t>Noteikumi</w:t>
            </w:r>
            <w:r w:rsidR="00620EB3" w:rsidRPr="00F631E5">
              <w:t>:</w:t>
            </w:r>
          </w:p>
          <w:p w14:paraId="01ACCDBB" w14:textId="7FAF6531" w:rsidR="00DF5513" w:rsidRPr="00F631E5" w:rsidRDefault="00620EB3" w:rsidP="006854E5">
            <w:r w:rsidRPr="00F631E5">
              <w:t xml:space="preserve">“3.14. </w:t>
            </w:r>
            <w:r w:rsidR="00DD0D0E" w:rsidRPr="00F631E5">
              <w:t>izvērtē un sniedz atzinumu par privātpersonas pieteikumu un piedāvājumu iesniegšanas tiešsaistes sistēmas atbilstību šo noteikumu 5. nodaļā minētajām drošības un tehniskajām prasībām.”</w:t>
            </w:r>
          </w:p>
        </w:tc>
        <w:tc>
          <w:tcPr>
            <w:tcW w:w="1467" w:type="pct"/>
          </w:tcPr>
          <w:p w14:paraId="1F28F420" w14:textId="77777777" w:rsidR="00D90F7C" w:rsidRPr="00F631E5" w:rsidRDefault="00D90F7C" w:rsidP="00D90F7C">
            <w:pPr>
              <w:widowControl w:val="0"/>
              <w:ind w:firstLine="709"/>
              <w:rPr>
                <w:b/>
              </w:rPr>
            </w:pPr>
            <w:r w:rsidRPr="00F631E5">
              <w:rPr>
                <w:b/>
              </w:rPr>
              <w:t>Tieslietu ministrija</w:t>
            </w:r>
          </w:p>
          <w:p w14:paraId="2979A962" w14:textId="77777777" w:rsidR="00DF5513" w:rsidRPr="00F631E5" w:rsidRDefault="00DF5513" w:rsidP="00DF5513">
            <w:pPr>
              <w:widowControl w:val="0"/>
              <w:ind w:firstLine="720"/>
              <w:jc w:val="both"/>
              <w:rPr>
                <w:rFonts w:eastAsia="Calibri"/>
                <w:lang w:eastAsia="en-US"/>
              </w:rPr>
            </w:pPr>
            <w:r w:rsidRPr="00F631E5">
              <w:rPr>
                <w:rFonts w:eastAsia="Calibri"/>
                <w:lang w:eastAsia="en-US"/>
              </w:rPr>
              <w:t xml:space="preserve">2. Projekta 5. punkts paredz papildināt noteikumus ar 3.14. apakšpunktu, bet projekta anotācijā par šādu grozījumu informācija netiek sniegta. Vēršam uzmanību, ka pašlaik spēkā esošajos noteikumos jau ir 3.14. apakšpunkts, kurš paredz aģentūras kompetenci izvērtēt un sniegt atzinumu par privātpersonas pieteikumu un piedāvājumu iesniegšanas tiešsaistes sistēmas atbilstību šo noteikumu 5. nodaļā minētajām drošības un tehniskajām prasībām. Ievērojot minēto, nepieciešams precizēt grozījuma numerāciju, vai arī, ja noteikumus </w:t>
            </w:r>
            <w:bookmarkStart w:id="1" w:name="OLE_LINK7"/>
            <w:r w:rsidRPr="00F631E5">
              <w:rPr>
                <w:rFonts w:eastAsia="Calibri"/>
                <w:lang w:eastAsia="en-US"/>
              </w:rPr>
              <w:t xml:space="preserve">3.14. apakšpunktā </w:t>
            </w:r>
            <w:bookmarkEnd w:id="1"/>
            <w:r w:rsidRPr="00F631E5">
              <w:rPr>
                <w:rFonts w:eastAsia="Calibri"/>
                <w:lang w:eastAsia="en-US"/>
              </w:rPr>
              <w:t xml:space="preserve">esošais regulējums ir zaudējis aktualitāti, noteikumu 3.14. apakšpunktu var izteikt jaunā redakcijā. </w:t>
            </w:r>
          </w:p>
          <w:p w14:paraId="5D5D2BD0" w14:textId="77777777" w:rsidR="00DF5513" w:rsidRPr="00F631E5" w:rsidRDefault="00DF5513" w:rsidP="006854E5">
            <w:pPr>
              <w:widowControl w:val="0"/>
              <w:ind w:firstLine="709"/>
            </w:pPr>
          </w:p>
        </w:tc>
        <w:tc>
          <w:tcPr>
            <w:tcW w:w="951" w:type="pct"/>
          </w:tcPr>
          <w:p w14:paraId="13CDDC6C" w14:textId="77777777" w:rsidR="00DF5513" w:rsidRPr="00F631E5" w:rsidRDefault="00620EB3" w:rsidP="006854E5">
            <w:pPr>
              <w:rPr>
                <w:b/>
              </w:rPr>
            </w:pPr>
            <w:r w:rsidRPr="00F631E5">
              <w:rPr>
                <w:b/>
              </w:rPr>
              <w:t>Ņemts vērā</w:t>
            </w:r>
          </w:p>
          <w:p w14:paraId="5A66C333" w14:textId="62FDA879" w:rsidR="00620EB3" w:rsidRPr="00F631E5" w:rsidRDefault="00620EB3" w:rsidP="006854E5">
            <w:r w:rsidRPr="00F631E5">
              <w:t>Precizēta Projekta apakšpunktu numerācija</w:t>
            </w:r>
            <w:r w:rsidR="00DD0D0E" w:rsidRPr="00F631E5">
              <w:t>, esošais Noteikumu 3.14.apakšpunkts tiek saglabāts.</w:t>
            </w:r>
          </w:p>
        </w:tc>
        <w:tc>
          <w:tcPr>
            <w:tcW w:w="1179" w:type="pct"/>
          </w:tcPr>
          <w:p w14:paraId="34151D38" w14:textId="5E9713AD" w:rsidR="00620EB3" w:rsidRPr="00F631E5" w:rsidRDefault="00195C1E" w:rsidP="00EB2149">
            <w:r w:rsidRPr="00F631E5">
              <w:t>Projekt</w:t>
            </w:r>
            <w:r>
              <w:t>a 1.4. apakšpunkts</w:t>
            </w:r>
            <w:r w:rsidR="00180BFC" w:rsidRPr="00F631E5">
              <w:t>:</w:t>
            </w:r>
          </w:p>
          <w:p w14:paraId="335B56F1" w14:textId="38F7C1AD" w:rsidR="00620EB3" w:rsidRPr="00F631E5" w:rsidRDefault="00620EB3" w:rsidP="00EB2149">
            <w:r w:rsidRPr="00F631E5">
              <w:t>“3.15. izlases kārtībā veic atbilstības un kvalitātes pārbaudes precēm un pakalpojumiem, kas piedāvāti e-pasūtījumu apakšsistēmā vai piegādāti e-pasūtījumu apakšsistēmā slēgtajos darījumos Aģentūras noslēgto vispārīgo vienošanos ietvaros un privāto tiesību jomā piemēro piegādātājiem vispārīgajā vienošanās paredzētos ierobežojumus vai soda sankcijas par vispārīgās vienošanās noteikumu pārkāpumiem.”;</w:t>
            </w:r>
          </w:p>
        </w:tc>
      </w:tr>
      <w:tr w:rsidR="00DF5513" w:rsidRPr="00F631E5" w14:paraId="71CF9A36" w14:textId="77777777" w:rsidTr="00CC394E">
        <w:tc>
          <w:tcPr>
            <w:tcW w:w="200" w:type="pct"/>
          </w:tcPr>
          <w:p w14:paraId="4B6995FE" w14:textId="1E5930FE" w:rsidR="00DF5513" w:rsidRPr="00F631E5" w:rsidRDefault="005E0DED" w:rsidP="006854E5">
            <w:r w:rsidRPr="00F631E5">
              <w:t>3.</w:t>
            </w:r>
          </w:p>
        </w:tc>
        <w:tc>
          <w:tcPr>
            <w:tcW w:w="1203" w:type="pct"/>
          </w:tcPr>
          <w:p w14:paraId="08A34CDC" w14:textId="73562B1F" w:rsidR="009B0B16" w:rsidRPr="00F631E5" w:rsidRDefault="009B0B16" w:rsidP="009B0B16">
            <w:r w:rsidRPr="00F631E5">
              <w:t>Projekts:</w:t>
            </w:r>
          </w:p>
          <w:p w14:paraId="4BC12F69" w14:textId="77777777" w:rsidR="009B0B16" w:rsidRPr="00F631E5" w:rsidRDefault="009B0B16" w:rsidP="009B0B16"/>
          <w:p w14:paraId="72C80633" w14:textId="41FC5706" w:rsidR="009B0B16" w:rsidRPr="00F631E5" w:rsidRDefault="009B0B16" w:rsidP="009B0B16">
            <w:r w:rsidRPr="00F631E5">
              <w:t>7.</w:t>
            </w:r>
            <w:r w:rsidRPr="00F631E5">
              <w:tab/>
              <w:t>papildināt noteikumus ar jaunu 4.3. apakšnodaļu šādā redakcijā:</w:t>
            </w:r>
          </w:p>
          <w:p w14:paraId="7EA2D952" w14:textId="77777777" w:rsidR="009B0B16" w:rsidRPr="00F631E5" w:rsidRDefault="009B0B16" w:rsidP="009B0B16">
            <w:r w:rsidRPr="00F631E5">
              <w:t>“4.3. E-iepirkumu procesa uzraudzība,</w:t>
            </w:r>
          </w:p>
          <w:p w14:paraId="4273F933" w14:textId="77777777" w:rsidR="00DF5513" w:rsidRPr="00F631E5" w:rsidRDefault="009B0B16" w:rsidP="009B0B16">
            <w:r w:rsidRPr="00F631E5">
              <w:t>pasūtījumu pārtraukšana un piegādātāju darbības ierobežojumi</w:t>
            </w:r>
          </w:p>
          <w:p w14:paraId="116314F5" w14:textId="77777777" w:rsidR="009B0B16" w:rsidRPr="00F631E5" w:rsidRDefault="009B0B16" w:rsidP="009B0B16"/>
          <w:p w14:paraId="7CD0A788" w14:textId="77777777" w:rsidR="009B0B16" w:rsidRPr="00F631E5" w:rsidRDefault="009B0B16" w:rsidP="009B0B16">
            <w:r w:rsidRPr="00F631E5">
              <w:t>44</w:t>
            </w:r>
            <w:r w:rsidRPr="00F631E5">
              <w:rPr>
                <w:vertAlign w:val="superscript"/>
              </w:rPr>
              <w:t>7</w:t>
            </w:r>
            <w:r w:rsidRPr="00F631E5">
              <w:t>.</w:t>
            </w:r>
            <w:r w:rsidRPr="00F631E5">
              <w:tab/>
              <w:t xml:space="preserve">Centralizēto iepirkumu institūcija par konstatētajiem vispārīgās vienošanās pārkāpumiem vispārīgajās vienošanās noteiktajā kārtībā un gadījumos ar lēmumu privāto tiesību jomā var ierobežot piegādātāja tiesības šīs vispārīgās vienošanās ietvaros piedāvāt preces vai pakalpojumus e-pasūtījumu apakšsistēmā, kā arī apturēt vai izbeigt vispārīgo vienošanos attiecībā pret konkrēto piegādātāju. </w:t>
            </w:r>
          </w:p>
          <w:p w14:paraId="6BB81812" w14:textId="77777777" w:rsidR="009B0B16" w:rsidRPr="00F631E5" w:rsidRDefault="009B0B16" w:rsidP="009B0B16"/>
          <w:p w14:paraId="49FA1FEA" w14:textId="77777777" w:rsidR="009B0B16" w:rsidRPr="00F631E5" w:rsidRDefault="009B0B16" w:rsidP="009B0B16">
            <w:r w:rsidRPr="00F631E5">
              <w:t>44</w:t>
            </w:r>
            <w:r w:rsidRPr="00F631E5">
              <w:rPr>
                <w:vertAlign w:val="superscript"/>
              </w:rPr>
              <w:t>8</w:t>
            </w:r>
            <w:r w:rsidRPr="00F631E5">
              <w:t>.</w:t>
            </w:r>
            <w:r w:rsidRPr="00F631E5">
              <w:tab/>
              <w:t>Lēmumu par šo noteikumu 44.</w:t>
            </w:r>
            <w:r w:rsidRPr="00F631E5">
              <w:rPr>
                <w:vertAlign w:val="superscript"/>
              </w:rPr>
              <w:t>7</w:t>
            </w:r>
            <w:r w:rsidRPr="00F631E5">
              <w:t xml:space="preserve"> punktā minēto ierobežojumu piemērošanu vai vispārīgās vienošanās apturēšanu vai izbeigšanu centralizēto iepirkumu institūcija pieņem mēneša laikā no pārkāpuma konstatēšanas dienas. Ja objektīvu iemeslu dēļ mēneša termiņu nav iespējams ievērot, centralizēto iepirkumu institūcija to var pagarināt vēl par mēnesi, par to paziņojot piegādātājam.</w:t>
            </w:r>
          </w:p>
          <w:p w14:paraId="2CAC03C5" w14:textId="45C5A28F" w:rsidR="009B0B16" w:rsidRPr="00F631E5" w:rsidRDefault="009B0B16" w:rsidP="009B0B16"/>
        </w:tc>
        <w:tc>
          <w:tcPr>
            <w:tcW w:w="1467" w:type="pct"/>
          </w:tcPr>
          <w:p w14:paraId="67138E6C" w14:textId="77777777" w:rsidR="00D90F7C" w:rsidRPr="00F631E5" w:rsidRDefault="00D90F7C" w:rsidP="00D90F7C">
            <w:pPr>
              <w:widowControl w:val="0"/>
              <w:ind w:firstLine="709"/>
              <w:rPr>
                <w:b/>
              </w:rPr>
            </w:pPr>
            <w:r w:rsidRPr="00F631E5">
              <w:rPr>
                <w:b/>
              </w:rPr>
              <w:lastRenderedPageBreak/>
              <w:t>Tieslietu ministrija</w:t>
            </w:r>
          </w:p>
          <w:p w14:paraId="445BEE05" w14:textId="77777777" w:rsidR="00DF5513" w:rsidRPr="00F631E5" w:rsidRDefault="00DF5513" w:rsidP="00DF5513">
            <w:pPr>
              <w:widowControl w:val="0"/>
              <w:ind w:firstLine="720"/>
              <w:jc w:val="both"/>
              <w:rPr>
                <w:rFonts w:eastAsia="Calibri"/>
                <w:lang w:eastAsia="en-US"/>
              </w:rPr>
            </w:pPr>
            <w:r w:rsidRPr="00F631E5">
              <w:rPr>
                <w:rFonts w:eastAsia="Calibri"/>
                <w:lang w:eastAsia="en-US"/>
              </w:rPr>
              <w:t xml:space="preserve">3. Projekta 7. punktā paredzēto noteikumu </w:t>
            </w:r>
            <w:bookmarkStart w:id="2" w:name="_Hlk31882700"/>
            <w:r w:rsidRPr="00F631E5">
              <w:rPr>
                <w:rFonts w:eastAsia="Calibri"/>
                <w:lang w:eastAsia="en-US"/>
              </w:rPr>
              <w:t xml:space="preserve">jauno 4.3. apakšnodaļas </w:t>
            </w:r>
            <w:bookmarkEnd w:id="2"/>
            <w:r w:rsidRPr="00F631E5">
              <w:rPr>
                <w:rFonts w:eastAsia="Calibri"/>
                <w:lang w:eastAsia="en-US"/>
              </w:rPr>
              <w:t xml:space="preserve">nosaukumu un saturu nepieciešams papildus izvērtēt un precizēt. Vēršam uzmanību, ka </w:t>
            </w:r>
            <w:bookmarkStart w:id="3" w:name="_Hlk31882100"/>
            <w:r w:rsidRPr="00F631E5">
              <w:rPr>
                <w:rFonts w:eastAsia="Calibri"/>
                <w:lang w:eastAsia="en-US"/>
              </w:rPr>
              <w:t>Publisko iepirkumu likums vai citi likumi</w:t>
            </w:r>
            <w:bookmarkEnd w:id="3"/>
            <w:r w:rsidRPr="00F631E5">
              <w:rPr>
                <w:rFonts w:eastAsia="Calibri"/>
                <w:lang w:eastAsia="en-US"/>
              </w:rPr>
              <w:t xml:space="preserve">, uz kuru pamata ir izdoti šie noteikumi, neparedz pilnvarojumu Ministru kabinetam veidot regulējumu par </w:t>
            </w:r>
            <w:r w:rsidRPr="00F631E5">
              <w:rPr>
                <w:rFonts w:eastAsia="Calibri"/>
                <w:lang w:eastAsia="en-US"/>
              </w:rPr>
              <w:lastRenderedPageBreak/>
              <w:t>centralizēto iepirkumu institūcijas kompetenci veikt uzraudzību par centralizētajiem elektroniskajiem iepirkumiem. Centralizēto iepirkumu institūcija saskaņā ar Publisko iepirkumu likumu un citiem likumiem pilda likumā paredzēto pasūtītāja kompetenci. Tādējādi pretendentu izslēgšana vai līguma pārtraukšana varēs notikt saskaņā ar likumos noteikto regulējumu un šīs darbības nevar uzskatīt par uzraudzību. Ievērojot minēto, piedāvājam projektā redakcionāli precizēt jauno 4.3. apakšnodaļu, kā arī izslēgt normas, kas dublē likumā noteikto regulējumu par pasūtītāja kompetenci, piemēram, nodaļā paredzēto 44</w:t>
            </w:r>
            <w:r w:rsidRPr="00F631E5">
              <w:rPr>
                <w:rFonts w:eastAsia="Calibri"/>
                <w:vertAlign w:val="superscript"/>
                <w:lang w:eastAsia="en-US"/>
              </w:rPr>
              <w:t>7</w:t>
            </w:r>
            <w:r w:rsidRPr="00F631E5">
              <w:rPr>
                <w:rFonts w:eastAsia="Calibri"/>
                <w:lang w:eastAsia="en-US"/>
              </w:rPr>
              <w:t xml:space="preserve">.punktu. </w:t>
            </w:r>
          </w:p>
          <w:p w14:paraId="5E1975E1" w14:textId="77777777" w:rsidR="00DF5513" w:rsidRPr="00F631E5" w:rsidRDefault="00DF5513" w:rsidP="00DF5513">
            <w:pPr>
              <w:widowControl w:val="0"/>
              <w:ind w:firstLine="720"/>
              <w:jc w:val="both"/>
              <w:rPr>
                <w:rFonts w:eastAsia="Calibri"/>
                <w:lang w:eastAsia="en-US"/>
              </w:rPr>
            </w:pPr>
          </w:p>
        </w:tc>
        <w:tc>
          <w:tcPr>
            <w:tcW w:w="951" w:type="pct"/>
          </w:tcPr>
          <w:p w14:paraId="3399C932" w14:textId="77777777" w:rsidR="00DF5513" w:rsidRPr="00F631E5" w:rsidRDefault="003D4D94" w:rsidP="006854E5">
            <w:pPr>
              <w:rPr>
                <w:b/>
              </w:rPr>
            </w:pPr>
            <w:r w:rsidRPr="00F631E5">
              <w:rPr>
                <w:b/>
              </w:rPr>
              <w:lastRenderedPageBreak/>
              <w:t>Ņemts vērā</w:t>
            </w:r>
          </w:p>
          <w:p w14:paraId="11CC265D" w14:textId="44B4BCD2" w:rsidR="003D4D94" w:rsidRPr="00F631E5" w:rsidRDefault="003D4D94" w:rsidP="006854E5">
            <w:r w:rsidRPr="00F631E5">
              <w:t>Projekts redakcionāli precizēts, izslēgtas normas, kas dublē pasūtītāja kompetences regulējumu.</w:t>
            </w:r>
          </w:p>
        </w:tc>
        <w:tc>
          <w:tcPr>
            <w:tcW w:w="1179" w:type="pct"/>
          </w:tcPr>
          <w:p w14:paraId="2DEA7144" w14:textId="77777777" w:rsidR="00143BFE" w:rsidRPr="00F631E5" w:rsidRDefault="00143BFE" w:rsidP="00143BFE">
            <w:r w:rsidRPr="00F631E5">
              <w:t>Projekts:</w:t>
            </w:r>
          </w:p>
          <w:p w14:paraId="2EE6D066" w14:textId="0ED9A7C6" w:rsidR="00143BFE" w:rsidRPr="00F631E5" w:rsidRDefault="00DD0D0E" w:rsidP="00143BFE">
            <w:r w:rsidRPr="00F631E5">
              <w:t>4</w:t>
            </w:r>
            <w:r w:rsidR="00143BFE" w:rsidRPr="00F631E5">
              <w:t>. papildināt noteikumus ar jaunu 4.3. apakšnodaļu šādā redakcijā:</w:t>
            </w:r>
          </w:p>
          <w:p w14:paraId="617B5FF3" w14:textId="77777777" w:rsidR="00143BFE" w:rsidRPr="00F631E5" w:rsidRDefault="00143BFE" w:rsidP="00143BFE"/>
          <w:p w14:paraId="78273814" w14:textId="76DCE072" w:rsidR="00143BFE" w:rsidRPr="00F631E5" w:rsidRDefault="00143BFE" w:rsidP="00143BFE">
            <w:r w:rsidRPr="00F631E5">
              <w:t>“4.3. Centralizēto iepirkumu institūciju sniegto pakalpojumu izmantošanas nosacījumi</w:t>
            </w:r>
            <w:r w:rsidR="00DE183D">
              <w:t xml:space="preserve"> […]”</w:t>
            </w:r>
          </w:p>
          <w:p w14:paraId="5FE8674B" w14:textId="4C5C0186" w:rsidR="00DF5513" w:rsidRPr="00F631E5" w:rsidRDefault="00DF5513" w:rsidP="00EB2149"/>
        </w:tc>
      </w:tr>
      <w:tr w:rsidR="00DF5513" w:rsidRPr="00F631E5" w14:paraId="5FD01BFE" w14:textId="77777777" w:rsidTr="00CC394E">
        <w:tc>
          <w:tcPr>
            <w:tcW w:w="200" w:type="pct"/>
          </w:tcPr>
          <w:p w14:paraId="33D22473" w14:textId="2DC86506" w:rsidR="00DF5513" w:rsidRPr="00F631E5" w:rsidRDefault="005E0DED" w:rsidP="006854E5">
            <w:r w:rsidRPr="00F631E5">
              <w:t>4.</w:t>
            </w:r>
          </w:p>
        </w:tc>
        <w:tc>
          <w:tcPr>
            <w:tcW w:w="1203" w:type="pct"/>
          </w:tcPr>
          <w:p w14:paraId="38935846" w14:textId="57E6ACB5" w:rsidR="00DF5513" w:rsidRPr="00F631E5" w:rsidRDefault="0037611C" w:rsidP="006854E5">
            <w:r w:rsidRPr="00F631E5">
              <w:t>Sk. Projekta 8.punktu.</w:t>
            </w:r>
          </w:p>
          <w:p w14:paraId="1FCD2F2A" w14:textId="77777777" w:rsidR="0037611C" w:rsidRPr="00F631E5" w:rsidRDefault="0037611C" w:rsidP="006854E5"/>
        </w:tc>
        <w:tc>
          <w:tcPr>
            <w:tcW w:w="1467" w:type="pct"/>
          </w:tcPr>
          <w:p w14:paraId="19D3CC02" w14:textId="77777777" w:rsidR="00D90F7C" w:rsidRPr="00F631E5" w:rsidRDefault="00D90F7C" w:rsidP="00D90F7C">
            <w:pPr>
              <w:widowControl w:val="0"/>
              <w:ind w:firstLine="709"/>
              <w:rPr>
                <w:b/>
              </w:rPr>
            </w:pPr>
            <w:r w:rsidRPr="00F631E5">
              <w:rPr>
                <w:b/>
              </w:rPr>
              <w:t>Tieslietu ministrija</w:t>
            </w:r>
          </w:p>
          <w:p w14:paraId="13C2041C" w14:textId="77777777" w:rsidR="00DF5513" w:rsidRPr="00F631E5" w:rsidRDefault="00DF5513" w:rsidP="00DF5513">
            <w:pPr>
              <w:widowControl w:val="0"/>
              <w:ind w:firstLine="720"/>
              <w:jc w:val="both"/>
              <w:rPr>
                <w:rFonts w:eastAsia="Calibri"/>
                <w:lang w:eastAsia="en-US"/>
              </w:rPr>
            </w:pPr>
            <w:r w:rsidRPr="00F631E5">
              <w:rPr>
                <w:rFonts w:eastAsia="Calibri"/>
                <w:lang w:eastAsia="en-US"/>
              </w:rPr>
              <w:t xml:space="preserve">4. Projekta 8. punktā paredzētos grozījumus noteikumu 12. pielikumā nepieciešams papildus izvērtēt un precizēt. Vēršam uzmanību, ka pielikumā esošais LAPK pantu uzskaitījums nepieciešams pārejas periodā, kamēr LAPK </w:t>
            </w:r>
            <w:r w:rsidRPr="00F631E5">
              <w:rPr>
                <w:rFonts w:eastAsia="Calibri"/>
                <w:lang w:eastAsia="en-US"/>
              </w:rPr>
              <w:lastRenderedPageBreak/>
              <w:t xml:space="preserve">administratīvais sods radīs tiesiskas sekas un ietekmēs pretendenta tiesības piedalīties iepirkumos. Ievērojot minēto, noteikumu 12. pielikumu piedāvājam veidot ar piezīmi par LAPK pantu piemērošanu par pārkāpumiem, kuri izdarīti līdz 2020. gada 1. jūlijam, bet kuru izpilde un sodāmības dzēšana notiks saskaņā ar Administratīvās atbildības likumu. Nobeigumā norādām, ka projektā pielikuma tabulās nepieciešams precizēt likuma “Par nodokļiem un nodevām” panta norādi, aizstājot skaitli “126” ar skaitli “142”, jo minētā likuma grozījumu pieņemšanas procesā Saeimā tika mainīta administratīvo pārkāpumu nodaļas pantu numerācija. </w:t>
            </w:r>
          </w:p>
          <w:p w14:paraId="1D971A81" w14:textId="77777777" w:rsidR="00DF5513" w:rsidRPr="00F631E5" w:rsidRDefault="00DF5513" w:rsidP="00DF5513">
            <w:pPr>
              <w:widowControl w:val="0"/>
              <w:ind w:firstLine="720"/>
              <w:jc w:val="both"/>
              <w:rPr>
                <w:rFonts w:eastAsia="Calibri"/>
                <w:lang w:eastAsia="en-US"/>
              </w:rPr>
            </w:pPr>
          </w:p>
        </w:tc>
        <w:tc>
          <w:tcPr>
            <w:tcW w:w="951" w:type="pct"/>
          </w:tcPr>
          <w:p w14:paraId="48E07BD6" w14:textId="537742F5" w:rsidR="00DF5513" w:rsidRPr="00F631E5" w:rsidRDefault="005E0DED" w:rsidP="006854E5">
            <w:pPr>
              <w:rPr>
                <w:b/>
              </w:rPr>
            </w:pPr>
            <w:r w:rsidRPr="00F631E5">
              <w:rPr>
                <w:b/>
              </w:rPr>
              <w:lastRenderedPageBreak/>
              <w:t>Ņemts vērā</w:t>
            </w:r>
          </w:p>
        </w:tc>
        <w:tc>
          <w:tcPr>
            <w:tcW w:w="1179" w:type="pct"/>
          </w:tcPr>
          <w:p w14:paraId="233B6865" w14:textId="5DBE1D13" w:rsidR="0037611C" w:rsidRPr="00F631E5" w:rsidRDefault="0037611C" w:rsidP="0037611C">
            <w:r w:rsidRPr="00F631E5">
              <w:t xml:space="preserve">Projekta </w:t>
            </w:r>
            <w:r w:rsidR="00A455B7" w:rsidRPr="00F631E5">
              <w:t>8</w:t>
            </w:r>
            <w:r w:rsidRPr="00F631E5">
              <w:t>.</w:t>
            </w:r>
            <w:r w:rsidR="00195C1E">
              <w:t> </w:t>
            </w:r>
            <w:r w:rsidRPr="00F631E5">
              <w:t>punkts:</w:t>
            </w:r>
          </w:p>
          <w:p w14:paraId="2F526160" w14:textId="1F1C0FCD" w:rsidR="0037611C" w:rsidRPr="00F631E5" w:rsidRDefault="0037611C" w:rsidP="0037611C">
            <w:r w:rsidRPr="00F631E5">
              <w:t>[….]</w:t>
            </w:r>
          </w:p>
          <w:p w14:paraId="38B26BE8" w14:textId="77777777" w:rsidR="0037611C" w:rsidRPr="00F631E5" w:rsidRDefault="0037611C" w:rsidP="0037611C">
            <w:r w:rsidRPr="00F631E5">
              <w:t xml:space="preserve">*Tiek piemērots par pārkāpumiem, kuri izdarīti līdz 2020. gada 1. jūlijam, bet kuru izpilde un sodāmības dzēšana </w:t>
            </w:r>
            <w:r w:rsidRPr="00F631E5">
              <w:lastRenderedPageBreak/>
              <w:t>notiek saskaņā ar Administratīvās atbildības likumu.</w:t>
            </w:r>
          </w:p>
          <w:p w14:paraId="54A50843" w14:textId="77777777" w:rsidR="0037611C" w:rsidRPr="00F631E5" w:rsidRDefault="0037611C" w:rsidP="0037611C"/>
          <w:p w14:paraId="15FE8DC5" w14:textId="77777777" w:rsidR="0037611C" w:rsidRPr="00F631E5" w:rsidRDefault="0037611C" w:rsidP="0037611C"/>
          <w:p w14:paraId="66FBAAB0" w14:textId="322609FB" w:rsidR="00DF5513" w:rsidRPr="00F631E5" w:rsidRDefault="00DF5513" w:rsidP="0037611C"/>
        </w:tc>
      </w:tr>
      <w:tr w:rsidR="00DF5513" w:rsidRPr="00F631E5" w14:paraId="50933499" w14:textId="77777777" w:rsidTr="00CC394E">
        <w:tc>
          <w:tcPr>
            <w:tcW w:w="200" w:type="pct"/>
          </w:tcPr>
          <w:p w14:paraId="398101A5" w14:textId="07AE48E7" w:rsidR="00DF5513" w:rsidRPr="00F631E5" w:rsidRDefault="005E0DED" w:rsidP="006854E5">
            <w:r w:rsidRPr="00F631E5">
              <w:lastRenderedPageBreak/>
              <w:t>5.</w:t>
            </w:r>
          </w:p>
        </w:tc>
        <w:tc>
          <w:tcPr>
            <w:tcW w:w="1203" w:type="pct"/>
          </w:tcPr>
          <w:p w14:paraId="5623C8BB" w14:textId="634586D5" w:rsidR="000D0521" w:rsidRPr="00F631E5" w:rsidRDefault="000D0521" w:rsidP="000D0521">
            <w:r w:rsidRPr="00F631E5">
              <w:t>Projekt</w:t>
            </w:r>
            <w:r w:rsidR="00A06F72" w:rsidRPr="00F631E5">
              <w:t>s</w:t>
            </w:r>
            <w:r w:rsidRPr="00F631E5">
              <w:t>:</w:t>
            </w:r>
          </w:p>
          <w:p w14:paraId="4C45665F" w14:textId="13CA4FB7" w:rsidR="000D0521" w:rsidRPr="00F631E5" w:rsidRDefault="000D0521" w:rsidP="000D0521">
            <w:r w:rsidRPr="00F631E5">
              <w:t>9.</w:t>
            </w:r>
            <w:r w:rsidRPr="00F631E5">
              <w:tab/>
              <w:t>papildināt pārejas noteikumus ar 79.</w:t>
            </w:r>
            <w:r w:rsidRPr="00F631E5">
              <w:rPr>
                <w:vertAlign w:val="superscript"/>
              </w:rPr>
              <w:t>5</w:t>
            </w:r>
            <w:r w:rsidRPr="00F631E5">
              <w:t xml:space="preserve"> punktu šādā redakcijā:</w:t>
            </w:r>
          </w:p>
          <w:p w14:paraId="1D752853" w14:textId="77777777" w:rsidR="000D0521" w:rsidRPr="00F631E5" w:rsidRDefault="000D0521" w:rsidP="000D0521"/>
          <w:p w14:paraId="2528E146" w14:textId="3298BB84" w:rsidR="00DF5513" w:rsidRPr="00F631E5" w:rsidRDefault="000D0521" w:rsidP="000D0521">
            <w:r w:rsidRPr="00F631E5">
              <w:t>“79.</w:t>
            </w:r>
            <w:r w:rsidRPr="00F631E5">
              <w:rPr>
                <w:vertAlign w:val="superscript"/>
              </w:rPr>
              <w:t>5</w:t>
            </w:r>
            <w:r w:rsidRPr="00F631E5">
              <w:t xml:space="preserve"> Grozījums šo noteikumu 12.pielikuma 3.punktā, kas paredz papildināt pārbaudāmās tiesību normas ar Darba likuma, likuma “Par nodokļiem un nodevām” un Imigrācijas likuma pantiem, un 12.pielikuma piezīme stājas spēkā 2020. gada 1. jūlijā.”.</w:t>
            </w:r>
          </w:p>
        </w:tc>
        <w:tc>
          <w:tcPr>
            <w:tcW w:w="1467" w:type="pct"/>
          </w:tcPr>
          <w:p w14:paraId="38BCE5A5" w14:textId="77777777" w:rsidR="00D90F7C" w:rsidRPr="00F631E5" w:rsidRDefault="00D90F7C" w:rsidP="00D90F7C">
            <w:pPr>
              <w:widowControl w:val="0"/>
              <w:ind w:firstLine="709"/>
              <w:rPr>
                <w:b/>
              </w:rPr>
            </w:pPr>
            <w:r w:rsidRPr="00F631E5">
              <w:rPr>
                <w:b/>
              </w:rPr>
              <w:t>Tieslietu ministrija</w:t>
            </w:r>
          </w:p>
          <w:p w14:paraId="0295ABCF" w14:textId="77777777" w:rsidR="00DF5513" w:rsidRPr="00F631E5" w:rsidRDefault="00DF5513" w:rsidP="00DF5513">
            <w:pPr>
              <w:widowControl w:val="0"/>
              <w:ind w:firstLine="720"/>
              <w:jc w:val="both"/>
              <w:rPr>
                <w:rFonts w:eastAsia="Calibri"/>
                <w:lang w:eastAsia="en-US"/>
              </w:rPr>
            </w:pPr>
            <w:r w:rsidRPr="00F631E5">
              <w:rPr>
                <w:rFonts w:eastAsia="Calibri"/>
                <w:lang w:eastAsia="en-US"/>
              </w:rPr>
              <w:t>5. Projekta 9. punktā paredzēto grozījumu noteikumu nodaļā “Noslēguma jautājumi” nepieciešams precizēt. Vēršam uzmanību, ka pārejas noteikumi ir likumos, nevis Ministru kabineta noteikumos. Piedāvājam minētā grozījuma ievaddaļu izteikt šādi – “Papildināt noteikumus ar 79.</w:t>
            </w:r>
            <w:r w:rsidRPr="00F631E5">
              <w:rPr>
                <w:rFonts w:eastAsia="Calibri"/>
                <w:vertAlign w:val="superscript"/>
                <w:lang w:eastAsia="en-US"/>
              </w:rPr>
              <w:t>5</w:t>
            </w:r>
            <w:r w:rsidRPr="00F631E5">
              <w:rPr>
                <w:rFonts w:eastAsia="Calibri"/>
                <w:lang w:eastAsia="en-US"/>
              </w:rPr>
              <w:t xml:space="preserve"> punktu … ”, jo punkta kārtas numurs noteikumos to konsolidācijas procesā nepārprotami norādīs par normas atrašanos </w:t>
            </w:r>
            <w:bookmarkStart w:id="4" w:name="_Hlk31105853"/>
            <w:r w:rsidRPr="00F631E5">
              <w:rPr>
                <w:rFonts w:eastAsia="Calibri"/>
                <w:lang w:eastAsia="en-US"/>
              </w:rPr>
              <w:t>noteikumu nodaļā “Noslēguma jautājumi”</w:t>
            </w:r>
            <w:bookmarkEnd w:id="4"/>
            <w:r w:rsidRPr="00F631E5">
              <w:rPr>
                <w:rFonts w:eastAsia="Calibri"/>
                <w:lang w:eastAsia="en-US"/>
              </w:rPr>
              <w:t xml:space="preserve">. Vienlaikus šajā normā nepieciešams iekļaut visus grozījumus, kuriem jāstājas spēkā 2020. gada 1. jūlijā, proti, šī atzinuma 1. un 3. iebildumā norādītos. Nobeigumā vēlamies norādīt, ka </w:t>
            </w:r>
            <w:r w:rsidRPr="00F631E5">
              <w:rPr>
                <w:lang w:eastAsia="en-US"/>
              </w:rPr>
              <w:t xml:space="preserve">Ministru kabineta </w:t>
            </w:r>
            <w:r w:rsidRPr="00F631E5">
              <w:rPr>
                <w:rFonts w:eastAsia="Calibri"/>
                <w:lang w:eastAsia="en-US"/>
              </w:rPr>
              <w:t xml:space="preserve">2009. gada 3. februāra noteikumu Nr.108 “Normatīvo aktu projektu </w:t>
            </w:r>
            <w:r w:rsidRPr="00F631E5">
              <w:rPr>
                <w:rFonts w:eastAsia="Calibri"/>
                <w:lang w:eastAsia="en-US"/>
              </w:rPr>
              <w:lastRenderedPageBreak/>
              <w:t>sagatavošanas noteikumi</w:t>
            </w:r>
            <w:r w:rsidRPr="00F631E5">
              <w:rPr>
                <w:lang w:eastAsia="en-US"/>
              </w:rPr>
              <w:t xml:space="preserve">” 142. punkts paredz, ka grozījumu noteikumu projekta normas raksta atbilstoši grozāmo vienību secībai noteikumos, kurās izdara grozījumus. Ievērojot minēto, grozījumi </w:t>
            </w:r>
            <w:r w:rsidRPr="00F631E5">
              <w:rPr>
                <w:rFonts w:eastAsia="Calibri"/>
                <w:lang w:eastAsia="en-US"/>
              </w:rPr>
              <w:t xml:space="preserve">noteikumu nodaļā “Noslēguma jautājumi” ir jāizdara pirms grozījumiem noteikumu pielikumos. </w:t>
            </w:r>
          </w:p>
          <w:p w14:paraId="2C56F51A" w14:textId="77777777" w:rsidR="00DF5513" w:rsidRPr="00F631E5" w:rsidRDefault="00DF5513" w:rsidP="00DF5513">
            <w:pPr>
              <w:widowControl w:val="0"/>
              <w:ind w:firstLine="720"/>
              <w:jc w:val="both"/>
              <w:rPr>
                <w:rFonts w:eastAsia="Calibri"/>
                <w:lang w:eastAsia="en-US"/>
              </w:rPr>
            </w:pPr>
          </w:p>
        </w:tc>
        <w:tc>
          <w:tcPr>
            <w:tcW w:w="951" w:type="pct"/>
          </w:tcPr>
          <w:p w14:paraId="1F05A28A" w14:textId="1EF6B885" w:rsidR="00DF5513" w:rsidRPr="00F631E5" w:rsidRDefault="0037611C" w:rsidP="006854E5">
            <w:r w:rsidRPr="00F631E5">
              <w:rPr>
                <w:b/>
              </w:rPr>
              <w:lastRenderedPageBreak/>
              <w:t>Ņemts vērā</w:t>
            </w:r>
          </w:p>
        </w:tc>
        <w:tc>
          <w:tcPr>
            <w:tcW w:w="1179" w:type="pct"/>
          </w:tcPr>
          <w:p w14:paraId="0522122B" w14:textId="2797E78F" w:rsidR="000D0521" w:rsidRPr="00F631E5" w:rsidRDefault="000D0521" w:rsidP="000D0521">
            <w:r w:rsidRPr="00F631E5">
              <w:t>Projekt</w:t>
            </w:r>
            <w:r w:rsidR="00A06F72" w:rsidRPr="00F631E5">
              <w:t>s:</w:t>
            </w:r>
          </w:p>
          <w:p w14:paraId="6E27C164" w14:textId="48B258E2" w:rsidR="000D0521" w:rsidRPr="00F631E5" w:rsidRDefault="00A06F72" w:rsidP="000D0521">
            <w:r w:rsidRPr="00F631E5">
              <w:t xml:space="preserve">5. </w:t>
            </w:r>
            <w:r w:rsidR="000D0521" w:rsidRPr="00F631E5">
              <w:t>Papildināt ar 79.</w:t>
            </w:r>
            <w:r w:rsidR="000D0521" w:rsidRPr="00F631E5">
              <w:rPr>
                <w:vertAlign w:val="superscript"/>
              </w:rPr>
              <w:t>5</w:t>
            </w:r>
            <w:r w:rsidR="000D0521" w:rsidRPr="00F631E5">
              <w:t xml:space="preserve"> punktu šādā redakcijā:</w:t>
            </w:r>
          </w:p>
          <w:p w14:paraId="0633096D" w14:textId="77777777" w:rsidR="000D0521" w:rsidRPr="00F631E5" w:rsidRDefault="000D0521" w:rsidP="000D0521"/>
          <w:p w14:paraId="36395589" w14:textId="1EC44D78" w:rsidR="00DF5513" w:rsidRPr="00F631E5" w:rsidRDefault="000D0521" w:rsidP="000D0521">
            <w:r w:rsidRPr="00F631E5">
              <w:t>“79.</w:t>
            </w:r>
            <w:r w:rsidRPr="00F631E5">
              <w:rPr>
                <w:vertAlign w:val="superscript"/>
              </w:rPr>
              <w:t>5</w:t>
            </w:r>
            <w:r w:rsidRPr="00F631E5">
              <w:t xml:space="preserve"> Grozījums šo noteikumu 12.pielikuma 3.punktā, kas paredz papildināt pārbaudāmās tiesību normas ar Darba likuma, likuma “Par nodokļiem un nodevām” un Imigrācijas likuma pantiem, un 12.pielikuma piezīme, kas nosaka Latvijas Administratīvo pārkāpumu kodeksa piemērošanas kārtību, stājas spēkā 2020. gada 1. jūlijā.”.</w:t>
            </w:r>
          </w:p>
        </w:tc>
      </w:tr>
      <w:tr w:rsidR="00D90F7C" w:rsidRPr="00F631E5" w14:paraId="4B77F0C4" w14:textId="77777777" w:rsidTr="00CC394E">
        <w:tc>
          <w:tcPr>
            <w:tcW w:w="200" w:type="pct"/>
          </w:tcPr>
          <w:p w14:paraId="0BECEAEA" w14:textId="73ADBEC9" w:rsidR="00D90F7C" w:rsidRPr="00F631E5" w:rsidRDefault="00087B2B" w:rsidP="006854E5">
            <w:r w:rsidRPr="00F631E5">
              <w:t>6.</w:t>
            </w:r>
          </w:p>
        </w:tc>
        <w:tc>
          <w:tcPr>
            <w:tcW w:w="1203" w:type="pct"/>
          </w:tcPr>
          <w:p w14:paraId="40C53C56" w14:textId="32FE4AF5" w:rsidR="009B0B16" w:rsidRPr="00F631E5" w:rsidRDefault="009B0B16" w:rsidP="009B0B16">
            <w:r w:rsidRPr="00F631E5">
              <w:t>Projekt</w:t>
            </w:r>
            <w:r w:rsidR="008170FE" w:rsidRPr="00F631E5">
              <w:t xml:space="preserve">a </w:t>
            </w:r>
            <w:r w:rsidR="00D47C35" w:rsidRPr="00F631E5">
              <w:t>6</w:t>
            </w:r>
            <w:r w:rsidR="008170FE" w:rsidRPr="00F631E5">
              <w:t>.punkts</w:t>
            </w:r>
            <w:r w:rsidRPr="00F631E5">
              <w:t>:</w:t>
            </w:r>
          </w:p>
          <w:p w14:paraId="7E66C16A" w14:textId="77777777" w:rsidR="009B0B16" w:rsidRPr="00F631E5" w:rsidRDefault="009B0B16" w:rsidP="009B0B16"/>
          <w:p w14:paraId="21836607" w14:textId="69A87393" w:rsidR="009B0B16" w:rsidRPr="00F631E5" w:rsidRDefault="009B0B16" w:rsidP="009B0B16">
            <w:r w:rsidRPr="00F631E5">
              <w:t>“44.</w:t>
            </w:r>
            <w:r w:rsidRPr="00F631E5">
              <w:rPr>
                <w:vertAlign w:val="superscript"/>
              </w:rPr>
              <w:t>1</w:t>
            </w:r>
            <w:r w:rsidRPr="00F631E5">
              <w:t xml:space="preserve"> Ja nav konkurences tehnisku iemeslu vai izņēmuma tiesību dēļ un piegādes vai pakalpojumus nodrošina tikai viens piegādātājs vai nepieciešamas papildu piegādes no sākotnējā preču piegādātāja (ražotāja), lai papildinātu vai daļēji nomainītu pasūtītāja vai sabiedrisko pakalpojumu sniedzēja rīcībā jau esošu tehnisko risinājumu vai iekārtas, pasūtītājs vai sabiedrisko pakalpojumu sniedzējs, pamatojot nepieciešamību, ir tiesīgs izveidot pasūtījumu, kurā ir prece vai pakalpojums, kuru attiecīgās preču vai pakalpojumu grupas ietvaros piedāvā tikai viens piegādātājs vai kura tehniskā specifikācija ir saistīta ar konkrētu ražotāju vai tirdzniecības marku, ja šāda iespēja attiecīgajai preču vai pakalpojumu grupai paredzēta centralizēto iepirkumu institūcijas </w:t>
            </w:r>
            <w:r w:rsidRPr="00F631E5">
              <w:lastRenderedPageBreak/>
              <w:t>rīkotās centralizētās iepirkuma procedūras dokumentācijā.”;</w:t>
            </w:r>
          </w:p>
          <w:p w14:paraId="1AFCBE8B" w14:textId="04AC1435" w:rsidR="00D90F7C" w:rsidRPr="00F631E5" w:rsidRDefault="009B0B16" w:rsidP="009B0B16">
            <w:r w:rsidRPr="00F631E5">
              <w:t>44.</w:t>
            </w:r>
            <w:r w:rsidRPr="00F631E5">
              <w:rPr>
                <w:vertAlign w:val="superscript"/>
              </w:rPr>
              <w:t>3</w:t>
            </w:r>
            <w:r w:rsidRPr="00F631E5">
              <w:t xml:space="preserve"> Veidojot šo noteikumu 44. vai 44</w:t>
            </w:r>
            <w:r w:rsidRPr="00F631E5">
              <w:rPr>
                <w:vertAlign w:val="superscript"/>
              </w:rPr>
              <w:t>1</w:t>
            </w:r>
            <w:r w:rsidRPr="00F631E5">
              <w:t>. punktā minēto pasūtījumu, pasūtītājs vai sabiedrisko pakalpojumu sniedzējs preču vai pakalpojumu pirkuma pieprasījumam pievieno esošās situācijas aprakstu un skaidrojumu kas pamatoto šādas konkrētā piegādātāja piedāvātās preces vai pakalpojuma iegādes nepieciešamību vai iepērkamo preču vai pakalpojumu savstarpējās saderības nepieciešamību, jo īpaši saistībā ar esošā risinājuma aizstāšanas iespējamajām izmaksām un to samērīgumu un iegūstamā risinājuma uzturēšanu un ekspluatāciju.”</w:t>
            </w:r>
          </w:p>
        </w:tc>
        <w:tc>
          <w:tcPr>
            <w:tcW w:w="1467" w:type="pct"/>
          </w:tcPr>
          <w:p w14:paraId="140F1F61" w14:textId="27549BDE" w:rsidR="00D90F7C" w:rsidRPr="00F631E5" w:rsidRDefault="00D90F7C" w:rsidP="00D90F7C">
            <w:pPr>
              <w:jc w:val="both"/>
              <w:rPr>
                <w:b/>
                <w:lang w:eastAsia="en-US"/>
              </w:rPr>
            </w:pPr>
            <w:r w:rsidRPr="00F631E5">
              <w:rPr>
                <w:b/>
                <w:lang w:eastAsia="en-US"/>
              </w:rPr>
              <w:lastRenderedPageBreak/>
              <w:t>Finanšu ministrija</w:t>
            </w:r>
          </w:p>
          <w:p w14:paraId="04C4D0DE" w14:textId="77777777" w:rsidR="00D90F7C" w:rsidRPr="00F631E5" w:rsidRDefault="00D90F7C" w:rsidP="00D90F7C">
            <w:pPr>
              <w:jc w:val="both"/>
              <w:rPr>
                <w:lang w:eastAsia="en-US"/>
              </w:rPr>
            </w:pPr>
            <w:r w:rsidRPr="00F631E5">
              <w:rPr>
                <w:lang w:eastAsia="en-US"/>
              </w:rPr>
              <w:t>Nav atbalstāma noteikumu projekta 6.punktā paredzētā Ministru kabineta 2017.gada 28.februāra noteikumu Nr.108 “Publisko elektronisko iepirkumu noteikumi” (turpmāk – Noteikumi) 4.2.apakšnodaļas papildināšana ar 44.</w:t>
            </w:r>
            <w:r w:rsidRPr="00F631E5">
              <w:rPr>
                <w:vertAlign w:val="superscript"/>
                <w:lang w:eastAsia="en-US"/>
              </w:rPr>
              <w:t>1</w:t>
            </w:r>
            <w:r w:rsidRPr="00F631E5">
              <w:rPr>
                <w:lang w:eastAsia="en-US"/>
              </w:rPr>
              <w:t>, 44.</w:t>
            </w:r>
            <w:r w:rsidRPr="00F631E5">
              <w:rPr>
                <w:vertAlign w:val="superscript"/>
                <w:lang w:eastAsia="en-US"/>
              </w:rPr>
              <w:t>2</w:t>
            </w:r>
            <w:r w:rsidRPr="00F631E5">
              <w:rPr>
                <w:lang w:eastAsia="en-US"/>
              </w:rPr>
              <w:t>, 44.</w:t>
            </w:r>
            <w:r w:rsidRPr="00F631E5">
              <w:rPr>
                <w:vertAlign w:val="superscript"/>
                <w:lang w:eastAsia="en-US"/>
              </w:rPr>
              <w:t>3</w:t>
            </w:r>
            <w:r w:rsidRPr="00F631E5">
              <w:rPr>
                <w:lang w:eastAsia="en-US"/>
              </w:rPr>
              <w:t>, 44.</w:t>
            </w:r>
            <w:r w:rsidRPr="00F631E5">
              <w:rPr>
                <w:vertAlign w:val="superscript"/>
                <w:lang w:eastAsia="en-US"/>
              </w:rPr>
              <w:t>4</w:t>
            </w:r>
            <w:r w:rsidRPr="00F631E5">
              <w:rPr>
                <w:lang w:eastAsia="en-US"/>
              </w:rPr>
              <w:t> punktiem un attiecīgi saistītajiem punktiem jaunajā Noteikumu 4.3.apakšnodaļā. Finanšu ministrijas ieskatā, minētais regulējums pašreizējā redakcijā nav atbilstošs Publisko iepirkumu likuma (turpmāk – PIL) 56.panta regulējumam, jo PIL 56.panta sestā daļa nosaka, ka līgumi vispārīgās vienošanās ietvaros ir slēdzami saskaņā ar vispārīgās vienošanās noteikumiem, bet 44.</w:t>
            </w:r>
            <w:r w:rsidRPr="00F631E5">
              <w:rPr>
                <w:vertAlign w:val="superscript"/>
                <w:lang w:eastAsia="en-US"/>
              </w:rPr>
              <w:t xml:space="preserve">1 </w:t>
            </w:r>
            <w:r w:rsidRPr="00F631E5">
              <w:rPr>
                <w:lang w:eastAsia="en-US"/>
              </w:rPr>
              <w:t>punktā paredzētās pasūtītāju un sabiedrisko pakalpojumu sniedzēju tiesības izveidot pasūtījumu par preci vai pakalpojumu, kura tehniskā specifikācija ir saistīta ar konkrētu ražotāju vai tirdzniecības marku, ir pretrunā ar šiem nosacījumiem.</w:t>
            </w:r>
          </w:p>
          <w:p w14:paraId="0D8D8C40" w14:textId="77777777" w:rsidR="00D90F7C" w:rsidRPr="00F631E5" w:rsidRDefault="00D90F7C" w:rsidP="00D90F7C">
            <w:pPr>
              <w:ind w:firstLine="720"/>
              <w:jc w:val="both"/>
              <w:rPr>
                <w:lang w:eastAsia="en-US"/>
              </w:rPr>
            </w:pPr>
            <w:r w:rsidRPr="00F631E5">
              <w:rPr>
                <w:lang w:eastAsia="en-US"/>
              </w:rPr>
              <w:t>Turklāt plānotais Noteikumu 44.</w:t>
            </w:r>
            <w:r w:rsidRPr="00F631E5">
              <w:rPr>
                <w:vertAlign w:val="superscript"/>
                <w:lang w:eastAsia="en-US"/>
              </w:rPr>
              <w:t>1</w:t>
            </w:r>
            <w:r w:rsidRPr="00F631E5">
              <w:rPr>
                <w:lang w:eastAsia="en-US"/>
              </w:rPr>
              <w:t xml:space="preserve"> punkts faktiski ir PIL 8.panta septītās daļas 2.punkta b) apakšpunktā un 8.panta septītās daļas 5.punktā ietvertais </w:t>
            </w:r>
            <w:r w:rsidRPr="00F631E5">
              <w:rPr>
                <w:lang w:eastAsia="en-US"/>
              </w:rPr>
              <w:lastRenderedPageBreak/>
              <w:t>regulējums attiecībā uz sarunu procedūras piemērošanu, vienlaikus neatbilstot visiem sarunu procedūru regulējošajiem noteikumiem PIL, piemēram, nenosakot PIL 8.panta astotajā daļā paredzēto pasūtītāja pienākumu izvērtēt alternatīvos risinājumus. Līdz ar to pastāv risks, ka e-pasūtījumu apakšsistēma var tikt izmantota, lai nepamatoti piemērotu sarunu procedūras noteikumus un iegādātos konkrētu ražotāju vai tirdzniecības markas preces vai pakalpojumus.</w:t>
            </w:r>
          </w:p>
          <w:p w14:paraId="0A4A1E30" w14:textId="77777777" w:rsidR="00D90F7C" w:rsidRPr="00F631E5" w:rsidRDefault="00D90F7C" w:rsidP="00D90F7C">
            <w:pPr>
              <w:ind w:firstLine="720"/>
              <w:jc w:val="both"/>
              <w:rPr>
                <w:lang w:eastAsia="en-US"/>
              </w:rPr>
            </w:pPr>
            <w:r w:rsidRPr="00F631E5">
              <w:rPr>
                <w:lang w:eastAsia="en-US"/>
              </w:rPr>
              <w:t>Vienlaikus plānotais regulējums Noteikumu 44.</w:t>
            </w:r>
            <w:r w:rsidRPr="00F631E5">
              <w:rPr>
                <w:vertAlign w:val="superscript"/>
                <w:lang w:eastAsia="en-US"/>
              </w:rPr>
              <w:t>2</w:t>
            </w:r>
            <w:r w:rsidRPr="00F631E5">
              <w:rPr>
                <w:lang w:eastAsia="en-US"/>
              </w:rPr>
              <w:t>, 44.</w:t>
            </w:r>
            <w:r w:rsidRPr="00F631E5">
              <w:rPr>
                <w:vertAlign w:val="superscript"/>
                <w:lang w:eastAsia="en-US"/>
              </w:rPr>
              <w:t>3</w:t>
            </w:r>
            <w:r w:rsidRPr="00F631E5">
              <w:rPr>
                <w:lang w:eastAsia="en-US"/>
              </w:rPr>
              <w:t> punktos paredz pasūtītājiem un sabiedrisko pakalpojumu sniedzējiem, veidojot Noteikumu 39.punktā minēto pasūtījumu, pievienot detalizētu darījuma izpildes informāciju un, veidojot Noteikumu 44. un 44.</w:t>
            </w:r>
            <w:r w:rsidRPr="00F631E5">
              <w:rPr>
                <w:vertAlign w:val="superscript"/>
                <w:lang w:eastAsia="en-US"/>
              </w:rPr>
              <w:t>1</w:t>
            </w:r>
            <w:r w:rsidRPr="00F631E5">
              <w:rPr>
                <w:lang w:eastAsia="en-US"/>
              </w:rPr>
              <w:t> punktā minēto pasūtījumu, pievienot skaidrojumu ar attiecīgu pamatojumu. Lai arī no plānotā Noteikumu 44.</w:t>
            </w:r>
            <w:r w:rsidRPr="00F631E5">
              <w:rPr>
                <w:vertAlign w:val="superscript"/>
                <w:lang w:eastAsia="en-US"/>
              </w:rPr>
              <w:t>5</w:t>
            </w:r>
            <w:r w:rsidRPr="00F631E5">
              <w:rPr>
                <w:lang w:eastAsia="en-US"/>
              </w:rPr>
              <w:t xml:space="preserve"> un 44.</w:t>
            </w:r>
            <w:r w:rsidRPr="00F631E5">
              <w:rPr>
                <w:vertAlign w:val="superscript"/>
                <w:lang w:eastAsia="en-US"/>
              </w:rPr>
              <w:t>6</w:t>
            </w:r>
            <w:r w:rsidRPr="00F631E5">
              <w:rPr>
                <w:lang w:eastAsia="en-US"/>
              </w:rPr>
              <w:t> punkta izriet, ka noteiktos gadījumos (bet ne visos) centralizēto iepirkumu institūcija vērtēs pievienoto informāciju un pamatojumu un pieņems attiecīgu lēmumu, rodas šaubas par to, cik šāda pārbaude, īpaši attiecībā uz pievienotā pamatojuma pārbaudi, būs detalizēta un efektīva, lai attiecīgās informācijas sniegšana nebūtu tikai formāla prasība.</w:t>
            </w:r>
          </w:p>
          <w:p w14:paraId="5874CDFC" w14:textId="77777777" w:rsidR="00D90F7C" w:rsidRPr="00F631E5" w:rsidRDefault="00D90F7C" w:rsidP="00D90F7C">
            <w:pPr>
              <w:jc w:val="both"/>
              <w:rPr>
                <w:lang w:eastAsia="en-US"/>
              </w:rPr>
            </w:pPr>
          </w:p>
          <w:p w14:paraId="6D26A26D" w14:textId="77777777" w:rsidR="00D90F7C" w:rsidRPr="00F631E5" w:rsidRDefault="00D90F7C" w:rsidP="00D90F7C">
            <w:pPr>
              <w:widowControl w:val="0"/>
              <w:ind w:firstLine="709"/>
              <w:rPr>
                <w:b/>
              </w:rPr>
            </w:pPr>
          </w:p>
        </w:tc>
        <w:tc>
          <w:tcPr>
            <w:tcW w:w="951" w:type="pct"/>
          </w:tcPr>
          <w:p w14:paraId="3ACFAE13" w14:textId="69B7632A" w:rsidR="00D90F7C" w:rsidRPr="00F631E5" w:rsidRDefault="00852CF2" w:rsidP="006854E5">
            <w:pPr>
              <w:rPr>
                <w:b/>
                <w:bCs/>
              </w:rPr>
            </w:pPr>
            <w:r w:rsidRPr="00F631E5">
              <w:rPr>
                <w:b/>
                <w:bCs/>
              </w:rPr>
              <w:lastRenderedPageBreak/>
              <w:t>Ņ</w:t>
            </w:r>
            <w:r w:rsidR="009B0B16" w:rsidRPr="00F631E5">
              <w:rPr>
                <w:b/>
                <w:bCs/>
              </w:rPr>
              <w:t>emts vērā</w:t>
            </w:r>
          </w:p>
          <w:p w14:paraId="3B642876" w14:textId="29E0018C" w:rsidR="000A075C" w:rsidRPr="00F631E5" w:rsidRDefault="000A075C" w:rsidP="006854E5">
            <w:r w:rsidRPr="00F631E5">
              <w:t>Panākta vienošanās saskaņošanas ietvaros.</w:t>
            </w:r>
          </w:p>
          <w:p w14:paraId="11A81DFF" w14:textId="77777777" w:rsidR="000A075C" w:rsidRPr="00F631E5" w:rsidRDefault="000A075C" w:rsidP="006854E5">
            <w:pPr>
              <w:rPr>
                <w:b/>
                <w:bCs/>
              </w:rPr>
            </w:pPr>
          </w:p>
          <w:p w14:paraId="7E3217D2" w14:textId="2F3CD440" w:rsidR="00FA5097" w:rsidRPr="00F631E5" w:rsidRDefault="00FA5097" w:rsidP="006854E5">
            <w:r w:rsidRPr="00F631E5">
              <w:t xml:space="preserve">Precizēti </w:t>
            </w:r>
            <w:r w:rsidR="00241C18" w:rsidRPr="00F631E5">
              <w:t>N</w:t>
            </w:r>
            <w:r w:rsidRPr="00F631E5">
              <w:t>oteikumi un papildināta anotācija.</w:t>
            </w:r>
          </w:p>
        </w:tc>
        <w:tc>
          <w:tcPr>
            <w:tcW w:w="1179" w:type="pct"/>
          </w:tcPr>
          <w:p w14:paraId="3A0FA1FD" w14:textId="10388EB4" w:rsidR="00D90F7C" w:rsidRPr="00F631E5" w:rsidRDefault="009B0B16" w:rsidP="00EB2149">
            <w:r w:rsidRPr="00F631E5">
              <w:t>Projekt</w:t>
            </w:r>
            <w:r w:rsidR="008170FE" w:rsidRPr="00F631E5">
              <w:t>a 3.punkts</w:t>
            </w:r>
            <w:r w:rsidRPr="00F631E5">
              <w:t>:</w:t>
            </w:r>
          </w:p>
          <w:p w14:paraId="4666A3A3" w14:textId="77777777" w:rsidR="00B30A48" w:rsidRPr="00F631E5" w:rsidRDefault="00B30A48" w:rsidP="00EB2149"/>
          <w:p w14:paraId="04D5EC7F" w14:textId="1B03BDD5" w:rsidR="00B30A48" w:rsidRPr="00F631E5" w:rsidRDefault="004A3B71" w:rsidP="00B30A48">
            <w:r w:rsidRPr="00F631E5">
              <w:t>44.</w:t>
            </w:r>
            <w:r w:rsidRPr="00F631E5">
              <w:rPr>
                <w:vertAlign w:val="superscript"/>
              </w:rPr>
              <w:t>2</w:t>
            </w:r>
            <w:r w:rsidRPr="00F631E5">
              <w:tab/>
              <w:t xml:space="preserve">Veidojot šo noteikumu </w:t>
            </w:r>
            <w:r w:rsidRPr="00F631E5">
              <w:rPr>
                <w:shd w:val="clear" w:color="auto" w:fill="FFFFFF"/>
              </w:rPr>
              <w:t xml:space="preserve">44. punktā minēto pasūtījumu, vai tādu pasūtījumu, kurā ir prece vai pakalpojums, kuru attiecīgās preču vai pakalpojumu grupas ietvaros piedāvā tikai viens piegādātājs vai kura tehniskā specifikācija ir saistīta ar konkrētu ražotāju vai tirdzniecības marku, pasūtītājs vai sabiedrisko pakalpojumu </w:t>
            </w:r>
            <w:r w:rsidRPr="00F631E5">
              <w:t>sniedzējs preču vai pakalpojumu</w:t>
            </w:r>
            <w:r w:rsidRPr="00F631E5">
              <w:rPr>
                <w:shd w:val="clear" w:color="auto" w:fill="FFFFFF"/>
              </w:rPr>
              <w:t xml:space="preserve"> pirkuma pieprasījumam pievieno esošās situācijas aprakstu, alternatīvu vai aizstājošu risinājumu neesamības izvērtējumu un skaidrojumu, kas pamatoto šādas preces vai pakalpojuma iegādes nepieciešamību vai iepērkamo preču vai pakalpojumu savstarpējās saderības nepieciešamību, jo īpaši saistībā ar esošā risinājuma aizstāšanas iespējamajām izmaksām un to </w:t>
            </w:r>
            <w:r w:rsidRPr="00F631E5">
              <w:rPr>
                <w:shd w:val="clear" w:color="auto" w:fill="FFFFFF"/>
              </w:rPr>
              <w:lastRenderedPageBreak/>
              <w:t>samērīgumu un iegūstamā risinājuma uzturēšanu un ekspluatāciju</w:t>
            </w:r>
            <w:r w:rsidR="00CB425D" w:rsidRPr="00F631E5">
              <w:rPr>
                <w:shd w:val="clear" w:color="auto" w:fill="FFFFFF"/>
              </w:rPr>
              <w:t xml:space="preserve">. </w:t>
            </w:r>
            <w:r w:rsidR="00424203" w:rsidRPr="00F631E5">
              <w:rPr>
                <w:shd w:val="clear" w:color="auto" w:fill="FFFFFF"/>
              </w:rPr>
              <w:t xml:space="preserve">Šajā punktā minētā informācija </w:t>
            </w:r>
            <w:r w:rsidR="00FA5097" w:rsidRPr="00F631E5">
              <w:rPr>
                <w:shd w:val="clear" w:color="auto" w:fill="FFFFFF"/>
              </w:rPr>
              <w:t>e-</w:t>
            </w:r>
            <w:r w:rsidR="00424203" w:rsidRPr="00F631E5">
              <w:rPr>
                <w:shd w:val="clear" w:color="auto" w:fill="FFFFFF"/>
              </w:rPr>
              <w:t xml:space="preserve"> iepirkumu sistēmā ir pieejama visiem aktīvajiem attiecīgās preču vai pakalpojumu grupas piegādātājiem ne mazāk kā trīs darbdienas pēc e-pasūtījumu apakšsistēmas nosūtītā paziņojuma par pasūtījumu.</w:t>
            </w:r>
            <w:r w:rsidRPr="00F631E5">
              <w:rPr>
                <w:shd w:val="clear" w:color="auto" w:fill="FFFFFF"/>
              </w:rPr>
              <w:t>”</w:t>
            </w:r>
            <w:r w:rsidRPr="00F631E5">
              <w:t xml:space="preserve"> </w:t>
            </w:r>
          </w:p>
          <w:p w14:paraId="7996496D" w14:textId="77777777" w:rsidR="00FA5097" w:rsidRPr="00F631E5" w:rsidRDefault="00FA5097" w:rsidP="00B30A48"/>
          <w:p w14:paraId="38EFAFFC" w14:textId="2FCB1BFD" w:rsidR="00FA5097" w:rsidRPr="00F631E5" w:rsidRDefault="00FA5097" w:rsidP="00B30A48">
            <w:r w:rsidRPr="00F631E5">
              <w:t>Anotācijas I. sadaļas 2.punkts:</w:t>
            </w:r>
          </w:p>
          <w:p w14:paraId="6FE0DF71" w14:textId="77777777" w:rsidR="00FA5097" w:rsidRPr="00F631E5" w:rsidRDefault="00FA5097" w:rsidP="00FA5097">
            <w:pPr>
              <w:jc w:val="both"/>
              <w:rPr>
                <w:bCs/>
                <w:lang w:eastAsia="en-US"/>
              </w:rPr>
            </w:pPr>
            <w:r w:rsidRPr="00F631E5">
              <w:t>[…]</w:t>
            </w:r>
            <w:r w:rsidRPr="00F631E5">
              <w:rPr>
                <w:bCs/>
                <w:lang w:eastAsia="en-US"/>
              </w:rPr>
              <w:t xml:space="preserve">Vienlaikus uzsverams, ka, lai arī Noteikumos tiek pastiprināta EIS e-pasūtījumu apakšsistēmā veicamo speciālo darījumu uzraudzības kārtība, tostarp paredzot publicēt šādu darījumu izvēles pamatojošo dokumentāciju, primāri pienākums un atbildība konkrētā situācijā izvērtēt tādu pasūtījumu veikšanas pamatotību, kurā ir prece vai pakalpojums, kuru attiecīgās preču vai pakalpojumu grupas ietvaros piedāvā tikai viens piegādātājs vai kura tehniskā specifikācija ir saistīta ar konkrētu ražotāju vai tirdzniecības marku, joprojām gulstas uz pasūtītāju un sabiedrisko pakalpojumu sniedzēju,  un šādi pasūtījumi ir pieļaujami, ja tas ir bijis paredzēts vispārīgo vienošanos noteikumos. </w:t>
            </w:r>
          </w:p>
          <w:p w14:paraId="62C8C69A" w14:textId="38F6D1F1" w:rsidR="00FA5097" w:rsidRPr="00F631E5" w:rsidRDefault="00FA5097" w:rsidP="00B30A48"/>
        </w:tc>
      </w:tr>
      <w:tr w:rsidR="00191A76" w:rsidRPr="00F631E5" w14:paraId="6077EE14" w14:textId="77777777" w:rsidTr="00CC394E">
        <w:tc>
          <w:tcPr>
            <w:tcW w:w="200" w:type="pct"/>
          </w:tcPr>
          <w:p w14:paraId="53C075FA" w14:textId="39ED3A2F" w:rsidR="00191A76" w:rsidRPr="00F631E5" w:rsidRDefault="00087B2B" w:rsidP="006854E5">
            <w:r w:rsidRPr="00F631E5">
              <w:lastRenderedPageBreak/>
              <w:t>7.</w:t>
            </w:r>
          </w:p>
        </w:tc>
        <w:tc>
          <w:tcPr>
            <w:tcW w:w="1203" w:type="pct"/>
          </w:tcPr>
          <w:p w14:paraId="6CA32B05" w14:textId="77777777" w:rsidR="009C686F" w:rsidRDefault="009C686F" w:rsidP="009C686F">
            <w:pPr>
              <w:spacing w:before="240" w:after="120"/>
              <w:jc w:val="both"/>
              <w:rPr>
                <w:rFonts w:eastAsia="Calibri"/>
                <w:shd w:val="clear" w:color="auto" w:fill="FFFFFF"/>
                <w:lang w:eastAsia="en-US"/>
              </w:rPr>
            </w:pPr>
            <w:r>
              <w:rPr>
                <w:rFonts w:eastAsia="Calibri"/>
                <w:shd w:val="clear" w:color="auto" w:fill="FFFFFF"/>
                <w:lang w:eastAsia="en-US"/>
              </w:rPr>
              <w:t xml:space="preserve">Projekta 3.punkts: </w:t>
            </w:r>
          </w:p>
          <w:p w14:paraId="35AF1DA6" w14:textId="774D542D" w:rsidR="009C686F" w:rsidRPr="009C686F" w:rsidRDefault="009C686F" w:rsidP="009C686F">
            <w:pPr>
              <w:spacing w:before="240" w:after="120"/>
              <w:jc w:val="both"/>
              <w:rPr>
                <w:rFonts w:eastAsia="Calibri"/>
                <w:shd w:val="clear" w:color="auto" w:fill="FFFFFF"/>
                <w:lang w:eastAsia="en-US"/>
              </w:rPr>
            </w:pPr>
            <w:r w:rsidRPr="009C686F">
              <w:rPr>
                <w:rFonts w:eastAsia="Calibri"/>
                <w:shd w:val="clear" w:color="auto" w:fill="FFFFFF"/>
                <w:lang w:eastAsia="en-US"/>
              </w:rPr>
              <w:t>“3.11. apkopo pasūtītāju un sabiedrisko pakalpojumu sniedzēju sniegto informāciju par e-pasūtījumu apakšsistēmā nepieciešamajām precēm un pakalpojumiem un, izvērtējot nepieciešamību, šo noteikumu </w:t>
            </w:r>
            <w:hyperlink r:id="rId8" w:anchor="piel1" w:history="1">
              <w:r w:rsidRPr="009C686F">
                <w:rPr>
                  <w:rFonts w:eastAsia="Calibri"/>
                  <w:lang w:eastAsia="en-US"/>
                </w:rPr>
                <w:t>1.</w:t>
              </w:r>
            </w:hyperlink>
            <w:r w:rsidRPr="009C686F">
              <w:rPr>
                <w:rFonts w:eastAsia="Calibri"/>
                <w:shd w:val="clear" w:color="auto" w:fill="FFFFFF"/>
                <w:lang w:eastAsia="en-US"/>
              </w:rPr>
              <w:t> pielikumā minētajā preču un pakalpojumu grupu sarakstā ietilpstošām precēm un pakalpojumiem iekļauj prasības kārtējo aģentūras rīkoto centralizēto iepirkumu procedūru tehniskajās specifikācijās, ja pieprasījumam pievienota informācija, ka pieprasītā prece vai pakalpojums jau tiek izmantots publiskajā pārvaldē vai pieprasījums par konkrēto preci vai pakalpojumu saņemts no vismaz diviem e-iepirkumu sistēmas dalībniekiem.”;</w:t>
            </w:r>
          </w:p>
          <w:p w14:paraId="197AC96B" w14:textId="2AC8FC71" w:rsidR="00191A76" w:rsidRPr="00F631E5" w:rsidRDefault="00191A76" w:rsidP="006854E5"/>
        </w:tc>
        <w:tc>
          <w:tcPr>
            <w:tcW w:w="1467" w:type="pct"/>
          </w:tcPr>
          <w:p w14:paraId="559A1238" w14:textId="77777777" w:rsidR="00191A76" w:rsidRPr="00F631E5" w:rsidRDefault="00191A76" w:rsidP="00D90F7C">
            <w:pPr>
              <w:jc w:val="both"/>
              <w:rPr>
                <w:b/>
                <w:lang w:eastAsia="en-US"/>
              </w:rPr>
            </w:pPr>
            <w:r w:rsidRPr="00F631E5">
              <w:rPr>
                <w:b/>
                <w:lang w:eastAsia="en-US"/>
              </w:rPr>
              <w:t>LIKTA</w:t>
            </w:r>
          </w:p>
          <w:p w14:paraId="0150CF94" w14:textId="77777777" w:rsidR="00191A76" w:rsidRPr="00F631E5" w:rsidRDefault="00191A76" w:rsidP="00191A76">
            <w:pPr>
              <w:jc w:val="both"/>
              <w:rPr>
                <w:lang w:eastAsia="en-US"/>
              </w:rPr>
            </w:pPr>
            <w:r w:rsidRPr="00F631E5">
              <w:rPr>
                <w:lang w:eastAsia="en-US"/>
              </w:rPr>
              <w:t>Uzskatām, ka ir nepieciešams nodrošināt skaidru un objektīvu mehānismu, kā tirgus dalībnieki var nodrošināt savu produktu/pakalpojumu iekļaušanu jaunajos iepirkumu katalogos, ja šis produkts/pakalpojums ir jauns un katalogs ir paredzēts uz vairākiem gadiem, turklāt bez iespējas pievienot papildu pozīcijas.</w:t>
            </w:r>
          </w:p>
          <w:p w14:paraId="143808DB" w14:textId="77777777" w:rsidR="00191A76" w:rsidRPr="00F631E5" w:rsidRDefault="00191A76" w:rsidP="00191A76">
            <w:pPr>
              <w:jc w:val="both"/>
              <w:rPr>
                <w:lang w:eastAsia="en-US"/>
              </w:rPr>
            </w:pPr>
            <w:r w:rsidRPr="00F631E5">
              <w:rPr>
                <w:lang w:eastAsia="en-US"/>
              </w:rPr>
              <w:t>Aicinām papildināt punktu Nr.3.11.:</w:t>
            </w:r>
          </w:p>
          <w:p w14:paraId="44B873DB" w14:textId="77777777" w:rsidR="00191A76" w:rsidRPr="00F631E5" w:rsidRDefault="00191A76" w:rsidP="00191A76">
            <w:pPr>
              <w:jc w:val="both"/>
              <w:rPr>
                <w:lang w:eastAsia="en-US"/>
              </w:rPr>
            </w:pPr>
            <w:r w:rsidRPr="00F631E5">
              <w:rPr>
                <w:lang w:eastAsia="en-US"/>
              </w:rPr>
              <w:t>3. Aģentūra, īstenojot e-iepirkumu sistēmas pārziņa un turētāja funkcijas:</w:t>
            </w:r>
          </w:p>
          <w:p w14:paraId="7BA08BFC" w14:textId="734163AC" w:rsidR="00191A76" w:rsidRPr="00F631E5" w:rsidRDefault="00191A76" w:rsidP="00191A76">
            <w:pPr>
              <w:jc w:val="both"/>
              <w:rPr>
                <w:lang w:eastAsia="en-US"/>
              </w:rPr>
            </w:pPr>
            <w:r w:rsidRPr="00F631E5">
              <w:rPr>
                <w:lang w:eastAsia="en-US"/>
              </w:rPr>
              <w:t>3.11. sniedz potenciālajiem piegādātājiem iespēju iesniegt priekšlikumus par e-iepirkumu sistēmā papildus iekļaujamajām precēm un pakalpojumiem un par tiem informē pasūtītājus un sabiedrisko pakalpojumu sniedzējus, apkopo pasūtītāju un sabiedrisko pakalpojumu sniedzēju sniegto informāciju par e-pasūtījumu apakšsistēmā nepieciešamajām precēm un pakalpojumiem un, izvērtējot nepieciešamību, šo noteikumu 1. pielikumā minētajā preču un pakalpojumu grupu sarakstā ietilpstošām precēm un pakalpojumiem iekļauj prasības kārtējo aģentūras rīkoto centralizēto iepirkumu procedūru tehniskajās specifikācijās, ja pieprasījumam pievienota informācija, ka pieprasītā prece vai pakalpojums jau tiek izmantots publiskajā pārvaldē vai pieprasījums par konkrēto preci vai pakalpojumu saņemts no vismaz diviem e-iepirkumu sistēmas dalībniekiem.</w:t>
            </w:r>
          </w:p>
          <w:p w14:paraId="4099C01A" w14:textId="77777777" w:rsidR="00191A76" w:rsidRDefault="00191A76" w:rsidP="00D90F7C">
            <w:pPr>
              <w:jc w:val="both"/>
              <w:rPr>
                <w:b/>
                <w:lang w:eastAsia="en-US"/>
              </w:rPr>
            </w:pPr>
          </w:p>
          <w:p w14:paraId="168DE04C" w14:textId="20F05FD9" w:rsidR="00FC6AA6" w:rsidRPr="00F631E5" w:rsidRDefault="00FC6AA6" w:rsidP="00D90F7C">
            <w:pPr>
              <w:jc w:val="both"/>
              <w:rPr>
                <w:b/>
                <w:lang w:eastAsia="en-US"/>
              </w:rPr>
            </w:pPr>
          </w:p>
        </w:tc>
        <w:tc>
          <w:tcPr>
            <w:tcW w:w="951" w:type="pct"/>
          </w:tcPr>
          <w:p w14:paraId="5BE26F97" w14:textId="1C7FF91D" w:rsidR="00191A76" w:rsidRPr="00F631E5" w:rsidRDefault="00592A70" w:rsidP="004B02B7">
            <w:pPr>
              <w:jc w:val="center"/>
              <w:rPr>
                <w:b/>
                <w:bCs/>
              </w:rPr>
            </w:pPr>
            <w:r w:rsidRPr="00F631E5">
              <w:rPr>
                <w:b/>
                <w:bCs/>
              </w:rPr>
              <w:t>Ņemts vērā</w:t>
            </w:r>
          </w:p>
        </w:tc>
        <w:tc>
          <w:tcPr>
            <w:tcW w:w="1179" w:type="pct"/>
          </w:tcPr>
          <w:p w14:paraId="32D33436" w14:textId="0FA7BB7F" w:rsidR="00D21CA2" w:rsidRPr="00F631E5" w:rsidRDefault="00D21CA2" w:rsidP="00EB2149">
            <w:pPr>
              <w:rPr>
                <w:shd w:val="clear" w:color="auto" w:fill="FFFFFF"/>
              </w:rPr>
            </w:pPr>
            <w:r w:rsidRPr="00F631E5">
              <w:rPr>
                <w:shd w:val="clear" w:color="auto" w:fill="FFFFFF"/>
              </w:rPr>
              <w:t>Projekta 1.3</w:t>
            </w:r>
            <w:r w:rsidR="00FA5097" w:rsidRPr="00F631E5">
              <w:rPr>
                <w:shd w:val="clear" w:color="auto" w:fill="FFFFFF"/>
              </w:rPr>
              <w:t xml:space="preserve">. </w:t>
            </w:r>
            <w:r w:rsidRPr="00F631E5">
              <w:rPr>
                <w:shd w:val="clear" w:color="auto" w:fill="FFFFFF"/>
              </w:rPr>
              <w:t>apakšpunkts:</w:t>
            </w:r>
          </w:p>
          <w:p w14:paraId="18DFE599" w14:textId="5973EC2C" w:rsidR="00191A76" w:rsidRPr="00F631E5" w:rsidRDefault="00592A70" w:rsidP="00EB2149">
            <w:r w:rsidRPr="00F631E5">
              <w:rPr>
                <w:shd w:val="clear" w:color="auto" w:fill="FFFFFF"/>
              </w:rPr>
              <w:t>“3.11.</w:t>
            </w:r>
            <w:r w:rsidRPr="00F631E5">
              <w:rPr>
                <w:shd w:val="clear" w:color="auto" w:fill="FFFFFF"/>
              </w:rPr>
              <w:tab/>
              <w:t xml:space="preserve">informējot pasūtītājus un sabiedrisko pakalpojumu sniedzējus par tirgū esošo piegādātāju piedāvātājam precēm un pakalpojumiem </w:t>
            </w:r>
            <w:bookmarkStart w:id="5" w:name="_Hlk35869494"/>
            <w:r w:rsidRPr="00F631E5">
              <w:rPr>
                <w:shd w:val="clear" w:color="auto" w:fill="FFFFFF"/>
              </w:rPr>
              <w:t>(ja piegādātāji šādas ziņas ir snieguši)</w:t>
            </w:r>
            <w:bookmarkEnd w:id="5"/>
            <w:r w:rsidRPr="00F631E5">
              <w:rPr>
                <w:shd w:val="clear" w:color="auto" w:fill="FFFFFF"/>
              </w:rPr>
              <w:t>, apkopo informāciju par e-pasūtījumu apakšsistēmā nepieciešamajām precēm un pakalpojumiem un, izvērtējot nepieciešamību, šo noteikumu </w:t>
            </w:r>
            <w:hyperlink r:id="rId9" w:anchor="piel1" w:history="1">
              <w:r w:rsidRPr="00F631E5">
                <w:t>1.</w:t>
              </w:r>
            </w:hyperlink>
            <w:r w:rsidRPr="00F631E5">
              <w:rPr>
                <w:shd w:val="clear" w:color="auto" w:fill="FFFFFF"/>
              </w:rPr>
              <w:t> pielikumā minētajā preču un pakalpojumu grupu sarakstā ietilpstošām precēm un pakalpojumiem iekļauj prasības kārtējo aģentūras rīkoto centralizēto iepirkumu procedūru tehniskajās specifikācijās, ja ir pieejama informācija, ka pieprasītā prece vai pakalpojums jau tiek izmantots publiskajā pārvaldē vai pieprasījums par konkrēto preci vai pakalpojumu saņemts no vismaz divām publiskajām personām</w:t>
            </w:r>
            <w:r w:rsidR="00B05637" w:rsidRPr="00F631E5">
              <w:rPr>
                <w:shd w:val="clear" w:color="auto" w:fill="FFFFFF"/>
              </w:rPr>
              <w:t>.”</w:t>
            </w:r>
          </w:p>
        </w:tc>
      </w:tr>
      <w:tr w:rsidR="00191A76" w:rsidRPr="00F631E5" w14:paraId="69F0298F" w14:textId="77777777" w:rsidTr="00CC394E">
        <w:tc>
          <w:tcPr>
            <w:tcW w:w="200" w:type="pct"/>
          </w:tcPr>
          <w:p w14:paraId="5BA0857F" w14:textId="482E5983" w:rsidR="00191A76" w:rsidRPr="00F631E5" w:rsidRDefault="00087B2B" w:rsidP="006854E5">
            <w:r w:rsidRPr="00F631E5">
              <w:lastRenderedPageBreak/>
              <w:t>8.</w:t>
            </w:r>
          </w:p>
        </w:tc>
        <w:tc>
          <w:tcPr>
            <w:tcW w:w="1203" w:type="pct"/>
          </w:tcPr>
          <w:p w14:paraId="1EF7F786" w14:textId="44A407C5" w:rsidR="00191A76" w:rsidRDefault="009C686F" w:rsidP="006854E5">
            <w:r>
              <w:t>Projekta 6.punkts:</w:t>
            </w:r>
            <w:bookmarkStart w:id="6" w:name="_GoBack"/>
            <w:bookmarkEnd w:id="6"/>
          </w:p>
          <w:p w14:paraId="63CADFFD" w14:textId="77777777" w:rsidR="00D63998" w:rsidRDefault="00D63998" w:rsidP="006854E5"/>
          <w:p w14:paraId="144EA05F" w14:textId="77777777" w:rsidR="009C686F" w:rsidRDefault="009C686F" w:rsidP="009C686F">
            <w:r>
              <w:t>6.</w:t>
            </w:r>
            <w:r>
              <w:tab/>
              <w:t>papildināt 4.2. apakšnodaļu ar 44.1, 44.2 , 44.3 un 44.4 punktu šādā redakcijā:</w:t>
            </w:r>
          </w:p>
          <w:p w14:paraId="382E35F9" w14:textId="5405EF6A" w:rsidR="009C686F" w:rsidRPr="00F631E5" w:rsidRDefault="009C686F" w:rsidP="009C686F">
            <w:r>
              <w:t>“44.1 Ja nav konkurences tehnisku iemeslu vai izņēmuma tiesību dēļ un piegādes vai pakalpojumus nodrošina tikai viens piegādātājs vai nepieciešamas papildu piegādes no sākotnējā preču piegādātāja (ražotāja), lai papildinātu vai daļēji nomainītu pasūtītāja vai sabiedrisko pakalpojumu sniedzēja rīcībā jau esošu tehnisko risinājumu vai iekārtas, pasūtītājs vai sabiedrisko pakalpojumu sniedzējs, pamatojot nepieciešamību, ir tiesīgs izveidot pasūtījumu, kurā ir prece vai pakalpojums, kuru attiecīgās preču vai pakalpojumu grupas ietvaros piedāvā tikai viens piegādātājs vai kura tehniskā specifikācija ir saistīta ar konkrētu ražotāju vai tirdzniecības marku, ja šāda iespēja attiecīgajai preču vai pakalpojumu grupai paredzēta centralizēto iepirkumu institūcijas rīkotās centralizētās iepirkuma procedūras dokumentācijā.”</w:t>
            </w:r>
          </w:p>
        </w:tc>
        <w:tc>
          <w:tcPr>
            <w:tcW w:w="1467" w:type="pct"/>
          </w:tcPr>
          <w:p w14:paraId="146E92BF" w14:textId="710062DB" w:rsidR="00191A76" w:rsidRPr="00F631E5" w:rsidRDefault="00191A76" w:rsidP="00191A76">
            <w:pPr>
              <w:jc w:val="both"/>
              <w:rPr>
                <w:b/>
                <w:lang w:eastAsia="en-US"/>
              </w:rPr>
            </w:pPr>
            <w:r w:rsidRPr="00F631E5">
              <w:rPr>
                <w:b/>
                <w:lang w:eastAsia="en-US"/>
              </w:rPr>
              <w:t>LIKTA</w:t>
            </w:r>
          </w:p>
          <w:p w14:paraId="52153F57" w14:textId="4F383D7C" w:rsidR="00191A76" w:rsidRPr="00F631E5" w:rsidRDefault="00191A76" w:rsidP="00191A76">
            <w:pPr>
              <w:jc w:val="both"/>
              <w:rPr>
                <w:lang w:eastAsia="en-US"/>
              </w:rPr>
            </w:pPr>
            <w:r w:rsidRPr="00F631E5">
              <w:rPr>
                <w:lang w:eastAsia="en-US"/>
              </w:rPr>
              <w:t>Punktā 44.1 norādītā redakcija, mūsuprāt, pašlaik pieļauj veikt paplašināšanu arī nelabticīgos nolūkos, tā, piemēram, paplašināt 10 datoru parku ar 50 jauniem datoriem, kā arī šādas iegādes pamatojumam aicinām izmantot formulējumu no esošajiem iepirkumu likumiem (publisko iepirkumu likums un sabiedrisko pakalpojumu sniedzēju iepirkumu likums). Ņemot vērā šos apstākļus, aicinām precizēt šī punkta prasības, to izsakot šādā redakcijā:</w:t>
            </w:r>
          </w:p>
          <w:p w14:paraId="5FD96D51" w14:textId="142BC6AD" w:rsidR="00191A76" w:rsidRPr="00F631E5" w:rsidRDefault="00191A76" w:rsidP="00191A76">
            <w:pPr>
              <w:jc w:val="both"/>
              <w:rPr>
                <w:lang w:eastAsia="en-US"/>
              </w:rPr>
            </w:pPr>
            <w:r w:rsidRPr="00F631E5">
              <w:rPr>
                <w:lang w:eastAsia="en-US"/>
              </w:rPr>
              <w:t xml:space="preserve">44.1  Ja nav konkurences tehnisku iemeslu vai izņēmuma tiesību dēļ un piegādes vai pakalpojumus nodrošina tikai viens piegādātājs vai nepieciešamas papildu piegādes no sākotnējā preču piegādātāja (ražotāja), lai papildinātu vai daļēji nomainītu pasūtītāja vai sabiedrisko pakalpojumu sniedzēja rīcībā jau esošu tehnisko risinājumu vai iekārtas (taču ar šī pasūtījuma summu nepārsniedzot jau esošā risinājumu vai iekārtu kopējo bilances vērtību par vairāk nekā 100%), pasūtītājs vai sabiedrisko pakalpojumu sniedzējs, pamatojot šīs nepieciešamības izšķirīgo svarīgumu, ir tiesīgs izveidot pasūtījumu, kurā ir prece vai pakalpojums, kuru attiecīgās preču vai pakalpojumu grupas ietvaros piedāvā tikai viens piegādātājs vai kura tehniskā specifikācija ir saistīta ar konkrētu ražotāju vai tirdzniecības marku, ja šāda iespēja attiecīgajai preču vai pakalpojumu grupai paredzēta centralizēto </w:t>
            </w:r>
            <w:r w:rsidRPr="00F631E5">
              <w:rPr>
                <w:lang w:eastAsia="en-US"/>
              </w:rPr>
              <w:lastRenderedPageBreak/>
              <w:t>iepirkumu institūcijas rīkotās centralizētās iepirkuma procedūras dokumentācijā</w:t>
            </w:r>
          </w:p>
        </w:tc>
        <w:tc>
          <w:tcPr>
            <w:tcW w:w="951" w:type="pct"/>
          </w:tcPr>
          <w:p w14:paraId="0278723F" w14:textId="23B8544D" w:rsidR="000A075C" w:rsidRPr="00F631E5" w:rsidRDefault="000A075C" w:rsidP="00087B2B">
            <w:pPr>
              <w:jc w:val="center"/>
              <w:rPr>
                <w:b/>
                <w:bCs/>
              </w:rPr>
            </w:pPr>
            <w:r w:rsidRPr="00F631E5">
              <w:rPr>
                <w:b/>
                <w:bCs/>
              </w:rPr>
              <w:lastRenderedPageBreak/>
              <w:t>Ņemts vērā</w:t>
            </w:r>
          </w:p>
          <w:p w14:paraId="70B9831B" w14:textId="77777777" w:rsidR="00191A76" w:rsidRPr="00F631E5" w:rsidRDefault="000A075C" w:rsidP="00087B2B">
            <w:pPr>
              <w:jc w:val="center"/>
            </w:pPr>
            <w:r w:rsidRPr="00F631E5">
              <w:t>Panākta vienošanās saskaņošanas ietvaros.</w:t>
            </w:r>
          </w:p>
          <w:p w14:paraId="28B9860E" w14:textId="77777777" w:rsidR="000A075C" w:rsidRPr="00F631E5" w:rsidRDefault="000A075C" w:rsidP="00087B2B">
            <w:pPr>
              <w:jc w:val="center"/>
            </w:pPr>
          </w:p>
          <w:p w14:paraId="3343B0CA" w14:textId="138EF18D" w:rsidR="000A075C" w:rsidRPr="00F631E5" w:rsidRDefault="000A075C" w:rsidP="00087B2B">
            <w:pPr>
              <w:jc w:val="center"/>
            </w:pPr>
            <w:r w:rsidRPr="00F631E5">
              <w:t xml:space="preserve">Precizēti </w:t>
            </w:r>
            <w:r w:rsidR="00241C18" w:rsidRPr="00F631E5">
              <w:t>N</w:t>
            </w:r>
            <w:r w:rsidRPr="00F631E5">
              <w:t>oteikumi un papildināta anotācija.</w:t>
            </w:r>
          </w:p>
        </w:tc>
        <w:tc>
          <w:tcPr>
            <w:tcW w:w="1179" w:type="pct"/>
          </w:tcPr>
          <w:p w14:paraId="62968DE3" w14:textId="03504560" w:rsidR="000A075C" w:rsidRPr="00F631E5" w:rsidRDefault="000A075C" w:rsidP="000A075C">
            <w:r w:rsidRPr="00F631E5">
              <w:t>Projekta 3.</w:t>
            </w:r>
            <w:r w:rsidR="00195C1E">
              <w:t> </w:t>
            </w:r>
            <w:r w:rsidRPr="00F631E5">
              <w:t>punkts:</w:t>
            </w:r>
          </w:p>
          <w:p w14:paraId="44CE37E6" w14:textId="77777777" w:rsidR="000A075C" w:rsidRPr="00F631E5" w:rsidRDefault="000A075C" w:rsidP="000A075C"/>
          <w:p w14:paraId="364344C0" w14:textId="77777777" w:rsidR="000A075C" w:rsidRPr="00F631E5" w:rsidRDefault="000A075C" w:rsidP="000A075C">
            <w:r w:rsidRPr="00F631E5">
              <w:t>44.</w:t>
            </w:r>
            <w:r w:rsidRPr="009674D0">
              <w:rPr>
                <w:vertAlign w:val="superscript"/>
              </w:rPr>
              <w:t>2</w:t>
            </w:r>
            <w:r w:rsidRPr="00F631E5">
              <w:tab/>
              <w:t xml:space="preserve">Veidojot šo noteikumu 44. punktā minēto pasūtījumu, vai tādu pasūtījumu, kurā ir prece vai pakalpojums, kuru attiecīgās preču vai pakalpojumu grupas ietvaros piedāvā tikai viens piegādātājs vai kura tehniskā specifikācija ir saistīta ar konkrētu ražotāju vai tirdzniecības marku, pasūtītājs vai sabiedrisko pakalpojumu sniedzējs preču vai pakalpojumu pirkuma pieprasījumam pievieno esošās situācijas aprakstu, alternatīvu vai aizstājošu risinājumu neesamības izvērtējumu un skaidrojumu, kas pamatoto šādas preces vai pakalpojuma iegādes nepieciešamību vai iepērkamo preču vai pakalpojumu savstarpējās saderības nepieciešamību, jo īpaši saistībā ar esošā risinājuma aizstāšanas iespējamajām izmaksām un to samērīgumu un iegūstamā risinājuma uzturēšanu un ekspluatāciju. Šajā punktā minētā informācija e- iepirkumu sistēmā ir pieejama visiem aktīvajiem attiecīgās preču vai pakalpojumu grupas piegādātājiem ne mazāk kā trīs darbdienas pēc e-pasūtījumu apakšsistēmas </w:t>
            </w:r>
            <w:r w:rsidRPr="00F631E5">
              <w:lastRenderedPageBreak/>
              <w:t xml:space="preserve">nosūtītā paziņojuma par pasūtījumu.” </w:t>
            </w:r>
          </w:p>
          <w:p w14:paraId="4DB15D8E" w14:textId="77777777" w:rsidR="000A075C" w:rsidRPr="00F631E5" w:rsidRDefault="000A075C" w:rsidP="000A075C"/>
          <w:p w14:paraId="285EE854" w14:textId="77777777" w:rsidR="000A075C" w:rsidRPr="00F631E5" w:rsidRDefault="000A075C" w:rsidP="000A075C">
            <w:r w:rsidRPr="00F631E5">
              <w:t>Anotācijas I. sadaļas 2.punkts:</w:t>
            </w:r>
          </w:p>
          <w:p w14:paraId="5C03ACE4" w14:textId="77777777" w:rsidR="000A075C" w:rsidRPr="00F631E5" w:rsidRDefault="000A075C" w:rsidP="000A075C">
            <w:r w:rsidRPr="00F631E5">
              <w:t xml:space="preserve">[…]Vienlaikus uzsverams, ka, lai arī Noteikumos tiek pastiprināta EIS e-pasūtījumu apakšsistēmā veicamo speciālo darījumu uzraudzības kārtība, tostarp paredzot publicēt šādu darījumu izvēles pamatojošo dokumentāciju, primāri pienākums un atbildība konkrētā situācijā izvērtēt tādu pasūtījumu veikšanas pamatotību, kurā ir prece vai pakalpojums, kuru attiecīgās preču vai pakalpojumu grupas ietvaros piedāvā tikai viens piegādātājs vai kura tehniskā specifikācija ir saistīta ar konkrētu ražotāju vai tirdzniecības marku, joprojām gulstas uz pasūtītāju un sabiedrisko pakalpojumu sniedzēju,  un šādi pasūtījumi ir pieļaujami, ja tas ir bijis paredzēts vispārīgo vienošanos noteikumos. </w:t>
            </w:r>
          </w:p>
          <w:p w14:paraId="46E21298" w14:textId="77777777" w:rsidR="00191A76" w:rsidRPr="00F631E5" w:rsidRDefault="00191A76" w:rsidP="00EB2149"/>
        </w:tc>
      </w:tr>
      <w:tr w:rsidR="00191A76" w:rsidRPr="00F631E5" w14:paraId="43E59F54" w14:textId="77777777" w:rsidTr="00CC394E">
        <w:tc>
          <w:tcPr>
            <w:tcW w:w="200" w:type="pct"/>
          </w:tcPr>
          <w:p w14:paraId="5C72497E" w14:textId="110BB73E" w:rsidR="00191A76" w:rsidRPr="00F631E5" w:rsidRDefault="00087B2B" w:rsidP="006854E5">
            <w:r w:rsidRPr="00F631E5">
              <w:lastRenderedPageBreak/>
              <w:t>9.</w:t>
            </w:r>
          </w:p>
        </w:tc>
        <w:tc>
          <w:tcPr>
            <w:tcW w:w="1203" w:type="pct"/>
          </w:tcPr>
          <w:p w14:paraId="7AE98D61" w14:textId="360C9609" w:rsidR="00191A76" w:rsidRDefault="0066447F" w:rsidP="006854E5">
            <w:r>
              <w:t>Projekta 6.punkts:</w:t>
            </w:r>
          </w:p>
          <w:p w14:paraId="1BE4A1C0" w14:textId="08F1CD30" w:rsidR="0066447F" w:rsidRDefault="0066447F" w:rsidP="006854E5">
            <w:r w:rsidRPr="0066447F">
              <w:t>papildināt 4.2. apakšnodaļu ar 44.1, 44.2 , 44.3 un 44.4 punktu šādā redakcijā:</w:t>
            </w:r>
          </w:p>
          <w:p w14:paraId="277A3E11" w14:textId="0A6DEC3D" w:rsidR="0066447F" w:rsidRPr="00F631E5" w:rsidRDefault="0066447F" w:rsidP="006854E5">
            <w:r w:rsidRPr="0066447F">
              <w:t xml:space="preserve">44.3 Veidojot šo noteikumu 44. vai 441. punktā minēto pasūtījumu, pasūtītājs vai sabiedrisko pakalpojumu sniedzējs </w:t>
            </w:r>
            <w:r w:rsidRPr="0066447F">
              <w:lastRenderedPageBreak/>
              <w:t>preču vai pakalpojumu pirkuma pieprasījumam pievieno esošās situācijas aprakstu un skaidrojumu kas pamatoto šādas konkrētā piegādātāja piedāvātās preces vai pakalpojuma iegādes nepieciešamību vai iepērkamo preču vai pakalpojumu savstarpējās saderības nepieciešamību, jo īpaši saistībā ar esošā risinājuma aizstāšanas iespējamajām izmaksām un to samērīgumu un iegūstamā risinājuma uzturēšanu un ekspluatāciju.”</w:t>
            </w:r>
          </w:p>
        </w:tc>
        <w:tc>
          <w:tcPr>
            <w:tcW w:w="1467" w:type="pct"/>
          </w:tcPr>
          <w:p w14:paraId="6390B6CB" w14:textId="37ED2B6D" w:rsidR="00191A76" w:rsidRPr="00F631E5" w:rsidRDefault="00191A76" w:rsidP="00191A76">
            <w:pPr>
              <w:jc w:val="both"/>
              <w:rPr>
                <w:b/>
                <w:lang w:eastAsia="en-US"/>
              </w:rPr>
            </w:pPr>
            <w:r w:rsidRPr="00F631E5">
              <w:rPr>
                <w:b/>
                <w:lang w:eastAsia="en-US"/>
              </w:rPr>
              <w:lastRenderedPageBreak/>
              <w:t>LIKTA</w:t>
            </w:r>
          </w:p>
          <w:p w14:paraId="52F59B30" w14:textId="77777777" w:rsidR="00191A76" w:rsidRPr="00F631E5" w:rsidRDefault="00191A76" w:rsidP="00191A76">
            <w:pPr>
              <w:jc w:val="both"/>
              <w:rPr>
                <w:lang w:eastAsia="en-US"/>
              </w:rPr>
            </w:pPr>
            <w:r w:rsidRPr="00F631E5">
              <w:rPr>
                <w:lang w:eastAsia="en-US"/>
              </w:rPr>
              <w:t>Tāpat aicinām precizēt 44.</w:t>
            </w:r>
            <w:r w:rsidRPr="00F631E5">
              <w:rPr>
                <w:vertAlign w:val="superscript"/>
                <w:lang w:eastAsia="en-US"/>
              </w:rPr>
              <w:t>3</w:t>
            </w:r>
            <w:r w:rsidRPr="00F631E5">
              <w:rPr>
                <w:lang w:eastAsia="en-US"/>
              </w:rPr>
              <w:t xml:space="preserve">, izmantojot formulējumus no publisko iepirkumu likuma un sabiedrisko pakalpojumu sniedzēju iepirkumu likuma, lai mazinātu iespēju, ka no Centralizētās iepirkumu institūcijas puses tiek vērtēta pati iegādes kā tādas lietderība (vai pircējam ir </w:t>
            </w:r>
            <w:r w:rsidRPr="00F631E5">
              <w:rPr>
                <w:lang w:eastAsia="en-US"/>
              </w:rPr>
              <w:lastRenderedPageBreak/>
              <w:t>vajadzīgs konkrētais pirkums), bet tā vietā tiktu vērtēts vai pastāv šis izšķirošais svarīgums salīdzinot ar citām iespējām.</w:t>
            </w:r>
          </w:p>
          <w:p w14:paraId="334F60CC" w14:textId="77777777" w:rsidR="00191A76" w:rsidRPr="00F631E5" w:rsidRDefault="00191A76" w:rsidP="00191A76">
            <w:pPr>
              <w:jc w:val="both"/>
              <w:rPr>
                <w:i/>
                <w:iCs/>
                <w:lang w:eastAsia="en-US"/>
              </w:rPr>
            </w:pPr>
            <w:r w:rsidRPr="00F631E5">
              <w:rPr>
                <w:i/>
                <w:iCs/>
                <w:lang w:eastAsia="en-US"/>
              </w:rPr>
              <w:t>44.</w:t>
            </w:r>
            <w:r w:rsidRPr="00F631E5">
              <w:rPr>
                <w:i/>
                <w:iCs/>
                <w:vertAlign w:val="superscript"/>
                <w:lang w:eastAsia="en-US"/>
              </w:rPr>
              <w:t>3</w:t>
            </w:r>
            <w:r w:rsidRPr="00F631E5">
              <w:rPr>
                <w:i/>
                <w:iCs/>
                <w:lang w:eastAsia="en-US"/>
              </w:rPr>
              <w:t xml:space="preserve"> Veidojot šo noteikumu 44. vai 44</w:t>
            </w:r>
            <w:r w:rsidRPr="00F631E5">
              <w:rPr>
                <w:i/>
                <w:iCs/>
                <w:vertAlign w:val="superscript"/>
                <w:lang w:eastAsia="en-US"/>
              </w:rPr>
              <w:t>1</w:t>
            </w:r>
            <w:r w:rsidRPr="00F631E5">
              <w:rPr>
                <w:i/>
                <w:iCs/>
                <w:lang w:eastAsia="en-US"/>
              </w:rPr>
              <w:t>. punktā minēto pasūtījumu, pasūtītājs vai sabiedrisko pakalpojumu sniedzējs preču vai pakalpojumu pirkuma pieprasījumam pievieno esošās situācijas aprakstu un skaidrojumu, kas pierāda šādas konkrētās preces vai pakalpojuma iegādes izšķirošo  svarīgumu, salīdzinot ar citām iespējām, jo īpaši saistībā ar esošā risinājuma aizstāšanas iespējamajām izmaksām un to samērīgumu un iegūstamā risinājuma uzturēšanu un ekspluatāciju</w:t>
            </w:r>
          </w:p>
          <w:p w14:paraId="17ABDD1B" w14:textId="77777777" w:rsidR="00191A76" w:rsidRPr="00F631E5" w:rsidRDefault="00191A76" w:rsidP="00D90F7C">
            <w:pPr>
              <w:jc w:val="both"/>
              <w:rPr>
                <w:lang w:eastAsia="en-US"/>
              </w:rPr>
            </w:pPr>
          </w:p>
        </w:tc>
        <w:tc>
          <w:tcPr>
            <w:tcW w:w="951" w:type="pct"/>
          </w:tcPr>
          <w:p w14:paraId="0949B68A" w14:textId="5D87BC9E" w:rsidR="00191A76" w:rsidRPr="00F631E5" w:rsidRDefault="000A075C" w:rsidP="00087B2B">
            <w:pPr>
              <w:jc w:val="center"/>
              <w:rPr>
                <w:b/>
                <w:bCs/>
              </w:rPr>
            </w:pPr>
            <w:r w:rsidRPr="00F631E5">
              <w:rPr>
                <w:b/>
                <w:bCs/>
              </w:rPr>
              <w:lastRenderedPageBreak/>
              <w:t>Ņ</w:t>
            </w:r>
            <w:r w:rsidR="00163C1E" w:rsidRPr="00F631E5">
              <w:rPr>
                <w:b/>
                <w:bCs/>
              </w:rPr>
              <w:t>emts vērā</w:t>
            </w:r>
          </w:p>
          <w:p w14:paraId="374E20DD" w14:textId="0229E625" w:rsidR="000A075C" w:rsidRPr="00F631E5" w:rsidRDefault="000A075C" w:rsidP="00087B2B">
            <w:pPr>
              <w:jc w:val="center"/>
            </w:pPr>
            <w:r w:rsidRPr="00F631E5">
              <w:t>Panākta vienošanās saskaņošanas ietvaros</w:t>
            </w:r>
            <w:r w:rsidR="008473D8" w:rsidRPr="00F631E5">
              <w:t>.</w:t>
            </w:r>
          </w:p>
        </w:tc>
        <w:tc>
          <w:tcPr>
            <w:tcW w:w="1179" w:type="pct"/>
          </w:tcPr>
          <w:p w14:paraId="6F0D4C4A" w14:textId="77777777" w:rsidR="00DE183D" w:rsidRDefault="00DE183D" w:rsidP="00DE183D">
            <w:pPr>
              <w:spacing w:before="240" w:after="120"/>
              <w:jc w:val="both"/>
            </w:pPr>
            <w:r>
              <w:t xml:space="preserve">Projekta 3.punkts: </w:t>
            </w:r>
          </w:p>
          <w:p w14:paraId="2ED18E6E" w14:textId="00B33F4F" w:rsidR="00DE183D" w:rsidRPr="00DE183D" w:rsidRDefault="00DE183D" w:rsidP="009674D0">
            <w:pPr>
              <w:spacing w:before="240" w:after="120"/>
              <w:jc w:val="both"/>
              <w:rPr>
                <w:rFonts w:eastAsia="Calibri"/>
                <w:lang w:eastAsia="en-US"/>
              </w:rPr>
            </w:pPr>
            <w:r>
              <w:t xml:space="preserve">3. </w:t>
            </w:r>
            <w:r w:rsidRPr="00DE183D">
              <w:rPr>
                <w:rFonts w:eastAsia="Calibri"/>
                <w:lang w:eastAsia="en-US"/>
              </w:rPr>
              <w:t>papildināt 4.2. apakšnodaļu ar 44.</w:t>
            </w:r>
            <w:r w:rsidRPr="00DE183D">
              <w:rPr>
                <w:rFonts w:eastAsia="Calibri"/>
                <w:vertAlign w:val="superscript"/>
                <w:lang w:eastAsia="en-US"/>
              </w:rPr>
              <w:t>1</w:t>
            </w:r>
            <w:r w:rsidRPr="00DE183D">
              <w:rPr>
                <w:rFonts w:eastAsia="Calibri"/>
                <w:lang w:eastAsia="en-US"/>
              </w:rPr>
              <w:t>, 44.</w:t>
            </w:r>
            <w:r w:rsidRPr="00DE183D">
              <w:rPr>
                <w:rFonts w:eastAsia="Calibri"/>
                <w:vertAlign w:val="superscript"/>
                <w:lang w:eastAsia="en-US"/>
              </w:rPr>
              <w:t>2</w:t>
            </w:r>
            <w:r w:rsidRPr="00DE183D">
              <w:rPr>
                <w:rFonts w:eastAsia="Calibri"/>
                <w:lang w:eastAsia="en-US"/>
              </w:rPr>
              <w:t>  un 44.</w:t>
            </w:r>
            <w:r w:rsidRPr="00DE183D">
              <w:rPr>
                <w:rFonts w:eastAsia="Calibri"/>
                <w:vertAlign w:val="superscript"/>
                <w:lang w:eastAsia="en-US"/>
              </w:rPr>
              <w:t>3</w:t>
            </w:r>
            <w:r w:rsidRPr="00DE183D">
              <w:rPr>
                <w:rFonts w:eastAsia="Calibri"/>
                <w:lang w:eastAsia="en-US"/>
              </w:rPr>
              <w:t>  punktu šādā redakcijā:</w:t>
            </w:r>
          </w:p>
          <w:p w14:paraId="3851D180" w14:textId="77777777" w:rsidR="00DE183D" w:rsidRPr="00DE183D" w:rsidRDefault="00DE183D" w:rsidP="00D87A55">
            <w:pPr>
              <w:spacing w:before="240" w:after="120"/>
              <w:ind w:left="77" w:firstLine="823"/>
              <w:jc w:val="both"/>
              <w:rPr>
                <w:rFonts w:eastAsia="Calibri"/>
                <w:shd w:val="clear" w:color="auto" w:fill="FFFFFF"/>
                <w:lang w:eastAsia="en-US"/>
              </w:rPr>
            </w:pPr>
            <w:r w:rsidRPr="00DE183D">
              <w:rPr>
                <w:rFonts w:eastAsia="Calibri"/>
                <w:shd w:val="clear" w:color="auto" w:fill="FFFFFF"/>
                <w:lang w:eastAsia="en-US"/>
              </w:rPr>
              <w:lastRenderedPageBreak/>
              <w:t>44.</w:t>
            </w:r>
            <w:r w:rsidRPr="00DE183D">
              <w:rPr>
                <w:rFonts w:eastAsia="Calibri"/>
                <w:shd w:val="clear" w:color="auto" w:fill="FFFFFF"/>
                <w:vertAlign w:val="superscript"/>
                <w:lang w:eastAsia="en-US"/>
              </w:rPr>
              <w:t>1</w:t>
            </w:r>
            <w:r w:rsidRPr="00DE183D">
              <w:rPr>
                <w:rFonts w:eastAsia="Calibri"/>
                <w:shd w:val="clear" w:color="auto" w:fill="FFFFFF"/>
                <w:lang w:eastAsia="en-US"/>
              </w:rPr>
              <w:tab/>
              <w:t xml:space="preserve">Veidojot šo noteikumu </w:t>
            </w:r>
            <w:hyperlink r:id="rId10" w:anchor="p39" w:history="1">
              <w:r w:rsidRPr="00DE183D">
                <w:rPr>
                  <w:rFonts w:eastAsia="Calibri"/>
                  <w:lang w:eastAsia="en-US"/>
                </w:rPr>
                <w:t>39. </w:t>
              </w:r>
            </w:hyperlink>
            <w:r w:rsidRPr="00DE183D">
              <w:rPr>
                <w:rFonts w:eastAsia="Calibri"/>
                <w:shd w:val="clear" w:color="auto" w:fill="FFFFFF"/>
                <w:lang w:eastAsia="en-US"/>
              </w:rPr>
              <w:t>punktā minēto pasūtījumu, pasūtītājs vai sabiedrisko pakalpojumu sniedzējs preču vai pakalpojumu pirkuma pieprasījumam pievieno detalizētu darījuma izpildes informāciju (darba uzdevumu, izpildes aprakstu u.c. darījuma izpildei būtisku informāciju).</w:t>
            </w:r>
          </w:p>
          <w:p w14:paraId="35DEF68A" w14:textId="77777777" w:rsidR="00DE183D" w:rsidRPr="00DE183D" w:rsidRDefault="00DE183D" w:rsidP="00D87A55">
            <w:pPr>
              <w:spacing w:before="240" w:after="120" w:line="276" w:lineRule="auto"/>
              <w:ind w:left="77" w:hanging="77"/>
              <w:contextualSpacing/>
              <w:jc w:val="both"/>
              <w:rPr>
                <w:rFonts w:eastAsia="Calibri"/>
                <w:shd w:val="clear" w:color="auto" w:fill="FFFFFF"/>
                <w:lang w:eastAsia="en-US"/>
              </w:rPr>
            </w:pPr>
            <w:r w:rsidRPr="00DE183D">
              <w:rPr>
                <w:rFonts w:eastAsia="Calibri"/>
                <w:lang w:eastAsia="en-US"/>
              </w:rPr>
              <w:t>44.</w:t>
            </w:r>
            <w:r w:rsidRPr="00DE183D">
              <w:rPr>
                <w:rFonts w:eastAsia="Calibri"/>
                <w:vertAlign w:val="superscript"/>
                <w:lang w:eastAsia="en-US"/>
              </w:rPr>
              <w:t>2</w:t>
            </w:r>
            <w:r w:rsidRPr="00DE183D">
              <w:rPr>
                <w:rFonts w:eastAsia="Calibri"/>
                <w:lang w:eastAsia="en-US"/>
              </w:rPr>
              <w:tab/>
              <w:t xml:space="preserve">Veidojot šo noteikumu </w:t>
            </w:r>
            <w:hyperlink r:id="rId11" w:anchor="p39" w:history="1">
              <w:r w:rsidRPr="00DE183D">
                <w:rPr>
                  <w:rFonts w:eastAsia="Calibri"/>
                  <w:shd w:val="clear" w:color="auto" w:fill="FFFFFF"/>
                  <w:lang w:eastAsia="en-US"/>
                </w:rPr>
                <w:t>44. </w:t>
              </w:r>
            </w:hyperlink>
            <w:r w:rsidRPr="00DE183D">
              <w:rPr>
                <w:rFonts w:eastAsia="Calibri"/>
                <w:shd w:val="clear" w:color="auto" w:fill="FFFFFF"/>
                <w:lang w:eastAsia="en-US"/>
              </w:rPr>
              <w:t xml:space="preserve">punktā minēto pasūtījumu, vai tādu pasūtījumu, kurā ir prece vai pakalpojums, kuru attiecīgās preču vai pakalpojumu grupas ietvaros piedāvā tikai viens piegādātājs vai kura tehniskā specifikācija ir saistīta ar konkrētu ražotāju vai tirdzniecības marku, pasūtītājs vai sabiedrisko pakalpojumu </w:t>
            </w:r>
            <w:r w:rsidRPr="00DE183D">
              <w:rPr>
                <w:rFonts w:eastAsia="Calibri"/>
                <w:lang w:eastAsia="en-US"/>
              </w:rPr>
              <w:t>sniedzējs preču vai pakalpojumu</w:t>
            </w:r>
            <w:r w:rsidRPr="00DE183D">
              <w:rPr>
                <w:rFonts w:eastAsia="Calibri"/>
                <w:shd w:val="clear" w:color="auto" w:fill="FFFFFF"/>
                <w:lang w:eastAsia="en-US"/>
              </w:rPr>
              <w:t xml:space="preserve"> pirkuma pieprasījumam pievieno esošās situācijas aprakstu, alternatīvu vai aizstājošu risinājumu neesības izvērtējumu un skaidrojumu, kas pamato šādas preces vai pakalpojuma iegādes nepieciešamību vai iepērkamo preču vai pakalpojumu savstarpējās saderības nepieciešamību, jo </w:t>
            </w:r>
            <w:r w:rsidRPr="00DE183D">
              <w:rPr>
                <w:rFonts w:eastAsia="Calibri"/>
                <w:shd w:val="clear" w:color="auto" w:fill="FFFFFF"/>
                <w:lang w:eastAsia="en-US"/>
              </w:rPr>
              <w:lastRenderedPageBreak/>
              <w:t>īpaši saistībā ar esošā risinājuma aizstāšanas iespējamajām izmaksām un to samērīgumu un iegūstamā risinājuma uzturēšanu un ekspluatāciju. Šajā punktā minētā informācija e-iepirkumu sistēmā ir pieejama visiem aktīvajiem attiecīgās preču vai pakalpojumu grupas piegādātājiem ne mazāk kā trīs darbdienas pēc e-pasūtījumu apakšsistēmas nosūtītā paziņojuma par pasūtījumu.</w:t>
            </w:r>
          </w:p>
          <w:p w14:paraId="45A4DA35" w14:textId="77777777" w:rsidR="00DE183D" w:rsidRPr="00DE183D" w:rsidRDefault="00DE183D" w:rsidP="00D87A55">
            <w:pPr>
              <w:spacing w:before="120" w:after="120"/>
              <w:ind w:hanging="720"/>
              <w:jc w:val="both"/>
              <w:rPr>
                <w:rFonts w:eastAsia="Calibri"/>
                <w:lang w:eastAsia="en-US"/>
              </w:rPr>
            </w:pPr>
            <w:r w:rsidRPr="00DE183D">
              <w:rPr>
                <w:rFonts w:eastAsia="Calibri"/>
                <w:shd w:val="clear" w:color="auto" w:fill="FFFFFF"/>
                <w:lang w:eastAsia="en-US"/>
              </w:rPr>
              <w:t>44.</w:t>
            </w:r>
            <w:r w:rsidRPr="00DE183D">
              <w:rPr>
                <w:rFonts w:eastAsia="Calibri"/>
                <w:shd w:val="clear" w:color="auto" w:fill="FFFFFF"/>
                <w:vertAlign w:val="superscript"/>
                <w:lang w:eastAsia="en-US"/>
              </w:rPr>
              <w:t>3</w:t>
            </w:r>
            <w:r w:rsidRPr="00DE183D">
              <w:rPr>
                <w:rFonts w:eastAsia="Calibri"/>
                <w:shd w:val="clear" w:color="auto" w:fill="FFFFFF"/>
                <w:lang w:eastAsia="en-US"/>
              </w:rPr>
              <w:t xml:space="preserve"> </w:t>
            </w:r>
            <w:r w:rsidRPr="00DE183D">
              <w:rPr>
                <w:rFonts w:eastAsia="Calibri"/>
                <w:shd w:val="clear" w:color="auto" w:fill="FFFFFF"/>
                <w:lang w:eastAsia="en-US"/>
              </w:rPr>
              <w:tab/>
              <w:t>Pasūtītājs vai sabiedrisko pakalpojumu sniedzējs ir tiesīgs izveidot šo noteikumu </w:t>
            </w:r>
            <w:hyperlink r:id="rId12" w:anchor="p39" w:history="1">
              <w:r w:rsidRPr="00DE183D">
                <w:rPr>
                  <w:rFonts w:eastAsia="Calibri"/>
                  <w:shd w:val="clear" w:color="auto" w:fill="FFFFFF"/>
                  <w:lang w:eastAsia="en-US"/>
                </w:rPr>
                <w:t>39.</w:t>
              </w:r>
            </w:hyperlink>
            <w:r w:rsidRPr="00DE183D">
              <w:rPr>
                <w:rFonts w:eastAsia="Calibri"/>
                <w:lang w:eastAsia="en-US"/>
              </w:rPr>
              <w:t>,</w:t>
            </w:r>
            <w:r w:rsidRPr="00DE183D">
              <w:rPr>
                <w:rFonts w:eastAsia="Calibri"/>
                <w:shd w:val="clear" w:color="auto" w:fill="FFFFFF"/>
                <w:lang w:eastAsia="en-US"/>
              </w:rPr>
              <w:t> </w:t>
            </w:r>
            <w:hyperlink r:id="rId13" w:anchor="p40" w:history="1">
              <w:r w:rsidRPr="00DE183D">
                <w:rPr>
                  <w:rFonts w:eastAsia="Calibri"/>
                  <w:shd w:val="clear" w:color="auto" w:fill="FFFFFF"/>
                  <w:lang w:eastAsia="en-US"/>
                </w:rPr>
                <w:t>44.</w:t>
              </w:r>
            </w:hyperlink>
            <w:r w:rsidRPr="00DE183D">
              <w:rPr>
                <w:rFonts w:eastAsia="Calibri"/>
                <w:shd w:val="clear" w:color="auto" w:fill="FFFFFF"/>
                <w:lang w:eastAsia="en-US"/>
              </w:rPr>
              <w:t> vai 44</w:t>
            </w:r>
            <w:r w:rsidRPr="00DE183D">
              <w:rPr>
                <w:rFonts w:eastAsia="Calibri"/>
                <w:shd w:val="clear" w:color="auto" w:fill="FFFFFF"/>
                <w:vertAlign w:val="superscript"/>
                <w:lang w:eastAsia="en-US"/>
              </w:rPr>
              <w:t>2</w:t>
            </w:r>
            <w:r w:rsidRPr="00DE183D">
              <w:rPr>
                <w:rFonts w:eastAsia="Calibri"/>
                <w:shd w:val="clear" w:color="auto" w:fill="FFFFFF"/>
                <w:lang w:eastAsia="en-US"/>
              </w:rPr>
              <w:t xml:space="preserve">. punktā minēto pasūtījumu pakalpojumu iegādei, ja darījuma summa bez pievienotās vērtības nodokļa nepārsniedz 1 000 000 </w:t>
            </w:r>
            <w:r w:rsidRPr="00DE183D">
              <w:rPr>
                <w:rFonts w:eastAsia="Calibri"/>
                <w:i/>
                <w:shd w:val="clear" w:color="auto" w:fill="FFFFFF"/>
                <w:lang w:eastAsia="en-US"/>
              </w:rPr>
              <w:t>euro</w:t>
            </w:r>
            <w:r w:rsidRPr="00DE183D">
              <w:rPr>
                <w:rFonts w:eastAsia="Calibri"/>
                <w:shd w:val="clear" w:color="auto" w:fill="FFFFFF"/>
                <w:lang w:eastAsia="en-US"/>
              </w:rPr>
              <w:t>.”;</w:t>
            </w:r>
          </w:p>
          <w:p w14:paraId="4B4F7FC6" w14:textId="39822AA6" w:rsidR="00191A76" w:rsidRPr="00F631E5" w:rsidRDefault="00191A76" w:rsidP="00EB2149"/>
        </w:tc>
      </w:tr>
      <w:tr w:rsidR="00087B2B" w:rsidRPr="00F631E5" w14:paraId="3712D0A6" w14:textId="77777777" w:rsidTr="00CC394E">
        <w:tc>
          <w:tcPr>
            <w:tcW w:w="200" w:type="pct"/>
          </w:tcPr>
          <w:p w14:paraId="51CF79A7" w14:textId="539E504F" w:rsidR="00087B2B" w:rsidRPr="00F631E5" w:rsidRDefault="00087B2B" w:rsidP="006854E5">
            <w:r w:rsidRPr="00F631E5">
              <w:lastRenderedPageBreak/>
              <w:t>10.</w:t>
            </w:r>
          </w:p>
        </w:tc>
        <w:tc>
          <w:tcPr>
            <w:tcW w:w="1203" w:type="pct"/>
          </w:tcPr>
          <w:p w14:paraId="28271CDD" w14:textId="659E8ABF" w:rsidR="00087B2B" w:rsidRDefault="0035775A" w:rsidP="006854E5">
            <w:r>
              <w:t>Noteikumi:</w:t>
            </w:r>
          </w:p>
          <w:p w14:paraId="53F45335" w14:textId="77777777" w:rsidR="0035775A" w:rsidRDefault="0035775A" w:rsidP="0035775A">
            <w:r>
              <w:t>43. Šo noteikumu 39. un 40. punktā minēto pasūtījumu pasūtītājs vai sabiedrisko pakalpojumu sniedzējs var izbeigt, ja:</w:t>
            </w:r>
          </w:p>
          <w:p w14:paraId="5F28FCCE" w14:textId="77777777" w:rsidR="0035775A" w:rsidRDefault="0035775A" w:rsidP="0035775A"/>
          <w:p w14:paraId="0F9F7E1E" w14:textId="77777777" w:rsidR="0035775A" w:rsidRDefault="0035775A" w:rsidP="0035775A">
            <w:r>
              <w:t>[…]</w:t>
            </w:r>
          </w:p>
          <w:p w14:paraId="1F7AEDA3" w14:textId="06FD2A69" w:rsidR="0035775A" w:rsidRPr="00F631E5" w:rsidRDefault="0035775A" w:rsidP="0035775A">
            <w:r>
              <w:t xml:space="preserve">43.2. pasūtītājs vai sabiedrisko pakalpojumu sniedzējs, veicot pasūtījumu, ir norādījis pamatotus priekšnosacījumus darījuma </w:t>
            </w:r>
            <w:r>
              <w:lastRenderedPageBreak/>
              <w:t>noslēgšanai vai tā noslēgšanai pilnā pasūtījuma apjomā, kas nav iestājušies.</w:t>
            </w:r>
          </w:p>
        </w:tc>
        <w:tc>
          <w:tcPr>
            <w:tcW w:w="1467" w:type="pct"/>
          </w:tcPr>
          <w:p w14:paraId="566AF63C" w14:textId="093B8442" w:rsidR="00087B2B" w:rsidRPr="00F631E5" w:rsidRDefault="00087B2B" w:rsidP="00191A76">
            <w:pPr>
              <w:jc w:val="both"/>
              <w:rPr>
                <w:b/>
                <w:lang w:eastAsia="en-US"/>
              </w:rPr>
            </w:pPr>
            <w:r w:rsidRPr="00F631E5">
              <w:rPr>
                <w:b/>
                <w:lang w:eastAsia="en-US"/>
              </w:rPr>
              <w:lastRenderedPageBreak/>
              <w:t>LTRK</w:t>
            </w:r>
          </w:p>
          <w:p w14:paraId="1AF5E502" w14:textId="77777777" w:rsidR="00087B2B" w:rsidRPr="00F631E5" w:rsidRDefault="00087B2B" w:rsidP="00087B2B">
            <w:pPr>
              <w:spacing w:line="259" w:lineRule="auto"/>
              <w:ind w:firstLine="720"/>
              <w:jc w:val="both"/>
              <w:rPr>
                <w:rFonts w:eastAsia="Calibri"/>
                <w:color w:val="000000"/>
                <w:lang w:eastAsia="en-US"/>
              </w:rPr>
            </w:pPr>
            <w:r w:rsidRPr="00F631E5">
              <w:rPr>
                <w:rFonts w:eastAsia="Calibri"/>
                <w:color w:val="000000"/>
                <w:lang w:eastAsia="en-US"/>
              </w:rPr>
              <w:t xml:space="preserve">Kad noteikumu projekts tika izsludināts sabiedriskajai apspriešanai, LTRK norādīja, ka noteikumu projektu nepieciešams papildināt ar normu (vai precizēt esošo), kas paredz to, ka pasūtītājs elektronisko iepirkumu sistēmā, izmantojot atlikto grozu iespēju, pirkuma pieprasījumā nedrīkst norādīt komentārus vai veikt citas darbības, kas ierobežo konkurenci starp </w:t>
            </w:r>
            <w:r w:rsidRPr="00F631E5">
              <w:rPr>
                <w:rFonts w:eastAsia="Calibri"/>
                <w:color w:val="000000"/>
                <w:lang w:eastAsia="en-US"/>
              </w:rPr>
              <w:lastRenderedPageBreak/>
              <w:t xml:space="preserve">attiecīgajā pozīcijā iekļautajiem piegādātājiem un ražotājiem. </w:t>
            </w:r>
          </w:p>
          <w:p w14:paraId="665F32C6" w14:textId="77777777" w:rsidR="00087B2B" w:rsidRPr="00F631E5" w:rsidRDefault="00087B2B" w:rsidP="00087B2B">
            <w:pPr>
              <w:spacing w:line="259" w:lineRule="auto"/>
              <w:ind w:firstLine="720"/>
              <w:jc w:val="both"/>
              <w:rPr>
                <w:rFonts w:eastAsia="Calibri"/>
                <w:color w:val="000000"/>
                <w:lang w:eastAsia="en-US"/>
              </w:rPr>
            </w:pPr>
            <w:r w:rsidRPr="00F631E5">
              <w:rPr>
                <w:rFonts w:eastAsia="Calibri"/>
                <w:color w:val="000000"/>
                <w:lang w:eastAsia="en-US"/>
              </w:rPr>
              <w:t>Noteikumu projekta anotācijā VARAM norāda, ka LTRK piedāvātā redakcija faktiski dublētu noteikumos jau esošas normas, jo spēkā esošās noteikumu redakcijas 43.2. apakšpunkts cita starpā paredz, ka drīkst norādīt pamatotus priekšnosacījumus darījuma noslēgšanai vai tā noslēgšanai pilnā pasūtījuma apjomā. Konkurenci ierobežojošas prasības, kas norādītas bez nepieciešamības, nevar tikt uzskatītas par pamatotām prasībām, līdz ar to saskaņā ar noteikumiem nedrīkst tikt norādītas.</w:t>
            </w:r>
          </w:p>
          <w:p w14:paraId="6D2BC6D8" w14:textId="77777777" w:rsidR="00087B2B" w:rsidRPr="00F631E5" w:rsidRDefault="00087B2B" w:rsidP="00087B2B">
            <w:pPr>
              <w:spacing w:line="259" w:lineRule="auto"/>
              <w:ind w:firstLine="720"/>
              <w:jc w:val="both"/>
              <w:rPr>
                <w:rFonts w:eastAsia="Calibri"/>
                <w:color w:val="000000"/>
                <w:lang w:eastAsia="en-US"/>
              </w:rPr>
            </w:pPr>
            <w:r w:rsidRPr="00F631E5">
              <w:rPr>
                <w:rFonts w:eastAsia="Calibri"/>
                <w:color w:val="000000"/>
                <w:lang w:eastAsia="en-US"/>
              </w:rPr>
              <w:t xml:space="preserve">LTRK ieskatā noteikumu 43.2. punktu pasūtītāji ir iztulkojuši pārāk plaši, līdz ar to izvirzītie priekšnosacījumi ierobežo konkurenci piegādātāju starpā. Ņemot vērā minēto, noteikumu 43.2.punktu nepieciešams izteikt šādā redakcijā: </w:t>
            </w:r>
          </w:p>
          <w:p w14:paraId="4EB1D754" w14:textId="1FFCAB01" w:rsidR="00087B2B" w:rsidRPr="00F631E5" w:rsidRDefault="00087B2B" w:rsidP="0062241A">
            <w:pPr>
              <w:spacing w:line="259" w:lineRule="auto"/>
              <w:ind w:firstLine="720"/>
              <w:jc w:val="both"/>
              <w:rPr>
                <w:b/>
                <w:lang w:eastAsia="en-US"/>
              </w:rPr>
            </w:pPr>
            <w:r w:rsidRPr="00F631E5">
              <w:rPr>
                <w:rFonts w:eastAsia="Calibri"/>
                <w:color w:val="000000"/>
                <w:lang w:eastAsia="en-US"/>
              </w:rPr>
              <w:t>“</w:t>
            </w:r>
            <w:r w:rsidRPr="00F631E5">
              <w:rPr>
                <w:rFonts w:eastAsia="Calibri"/>
                <w:i/>
                <w:iCs/>
                <w:color w:val="000000"/>
                <w:lang w:eastAsia="en-US"/>
              </w:rPr>
              <w:t>pasūtītājs vai sabiedrisko pakalpojumu sniedzējs, veicot pasūtījumu, ir norādījis pamatotus priekšnosacījumus, kuri neierobežo ražotāju vai piegādātāju savstarpēju konkurenci darījuma noslēgšanai, vai tā noslēgšanai pilnā pasūtījuma apjomā, kas nav iestājušies”</w:t>
            </w:r>
            <w:r w:rsidRPr="00F631E5">
              <w:rPr>
                <w:rFonts w:eastAsia="Calibri"/>
                <w:color w:val="000000"/>
                <w:lang w:eastAsia="en-US"/>
              </w:rPr>
              <w:t>.</w:t>
            </w:r>
          </w:p>
          <w:p w14:paraId="49FB4441" w14:textId="1C6AF7D1" w:rsidR="00087B2B" w:rsidRPr="00F631E5" w:rsidRDefault="00087B2B" w:rsidP="00191A76">
            <w:pPr>
              <w:jc w:val="both"/>
              <w:rPr>
                <w:b/>
                <w:lang w:eastAsia="en-US"/>
              </w:rPr>
            </w:pPr>
          </w:p>
        </w:tc>
        <w:tc>
          <w:tcPr>
            <w:tcW w:w="951" w:type="pct"/>
          </w:tcPr>
          <w:p w14:paraId="79E1A7ED" w14:textId="25B41006" w:rsidR="00087B2B" w:rsidRPr="00F631E5" w:rsidRDefault="000A075C" w:rsidP="00087B2B">
            <w:pPr>
              <w:jc w:val="center"/>
              <w:rPr>
                <w:b/>
                <w:bCs/>
              </w:rPr>
            </w:pPr>
            <w:r w:rsidRPr="00F631E5">
              <w:rPr>
                <w:b/>
                <w:bCs/>
              </w:rPr>
              <w:lastRenderedPageBreak/>
              <w:t>Ņemts</w:t>
            </w:r>
            <w:r w:rsidR="00163C1E" w:rsidRPr="00F631E5">
              <w:rPr>
                <w:b/>
                <w:bCs/>
              </w:rPr>
              <w:t xml:space="preserve"> vērā</w:t>
            </w:r>
          </w:p>
          <w:p w14:paraId="60137F4C" w14:textId="3BFD6A2F" w:rsidR="00C24302" w:rsidRPr="00F631E5" w:rsidRDefault="000A075C" w:rsidP="000A075C">
            <w:pPr>
              <w:jc w:val="center"/>
              <w:rPr>
                <w:rFonts w:eastAsia="Calibri"/>
                <w:lang w:eastAsia="en-US"/>
              </w:rPr>
            </w:pPr>
            <w:r w:rsidRPr="00F631E5">
              <w:rPr>
                <w:rFonts w:eastAsia="Calibri"/>
                <w:lang w:eastAsia="en-US"/>
              </w:rPr>
              <w:t>Panākta vienošanās saskaņošanas ietvaros.</w:t>
            </w:r>
          </w:p>
          <w:p w14:paraId="11ADBB66" w14:textId="77777777" w:rsidR="00C24302" w:rsidRPr="00F631E5" w:rsidRDefault="00C24302" w:rsidP="000A075C">
            <w:pPr>
              <w:jc w:val="center"/>
            </w:pPr>
          </w:p>
          <w:p w14:paraId="47765ABD" w14:textId="60F427F5" w:rsidR="00C24302" w:rsidRPr="00F631E5" w:rsidRDefault="00C24302" w:rsidP="00087B2B">
            <w:pPr>
              <w:jc w:val="center"/>
            </w:pPr>
          </w:p>
        </w:tc>
        <w:tc>
          <w:tcPr>
            <w:tcW w:w="1179" w:type="pct"/>
          </w:tcPr>
          <w:p w14:paraId="4126AF19" w14:textId="77777777" w:rsidR="0035775A" w:rsidRDefault="0035775A" w:rsidP="000276C8">
            <w:pPr>
              <w:jc w:val="both"/>
            </w:pPr>
            <w:r>
              <w:t>Projekta 3.punkts:</w:t>
            </w:r>
          </w:p>
          <w:p w14:paraId="0758EBE9" w14:textId="70E84DD4" w:rsidR="009674D0" w:rsidRPr="0035775A" w:rsidRDefault="0035775A" w:rsidP="000276C8">
            <w:pPr>
              <w:jc w:val="both"/>
              <w:rPr>
                <w:rFonts w:eastAsia="Calibri"/>
                <w:lang w:eastAsia="en-US"/>
              </w:rPr>
            </w:pPr>
            <w:r>
              <w:rPr>
                <w:rFonts w:eastAsia="Calibri"/>
                <w:lang w:eastAsia="en-US"/>
              </w:rPr>
              <w:t>3. P</w:t>
            </w:r>
            <w:r w:rsidR="009674D0" w:rsidRPr="0035775A">
              <w:rPr>
                <w:rFonts w:eastAsia="Calibri"/>
                <w:lang w:eastAsia="en-US"/>
              </w:rPr>
              <w:t>apildināt 4.2. apakšnodaļu ar 44.</w:t>
            </w:r>
            <w:r w:rsidR="009674D0" w:rsidRPr="0035775A">
              <w:rPr>
                <w:rFonts w:eastAsia="Calibri"/>
                <w:vertAlign w:val="superscript"/>
                <w:lang w:eastAsia="en-US"/>
              </w:rPr>
              <w:t>1</w:t>
            </w:r>
            <w:r w:rsidR="009674D0" w:rsidRPr="0035775A">
              <w:rPr>
                <w:rFonts w:eastAsia="Calibri"/>
                <w:lang w:eastAsia="en-US"/>
              </w:rPr>
              <w:t>, 44.</w:t>
            </w:r>
            <w:r w:rsidR="009674D0" w:rsidRPr="0035775A">
              <w:rPr>
                <w:rFonts w:eastAsia="Calibri"/>
                <w:vertAlign w:val="superscript"/>
                <w:lang w:eastAsia="en-US"/>
              </w:rPr>
              <w:t>2</w:t>
            </w:r>
            <w:r w:rsidR="009674D0" w:rsidRPr="0035775A">
              <w:rPr>
                <w:rFonts w:eastAsia="Calibri"/>
                <w:lang w:eastAsia="en-US"/>
              </w:rPr>
              <w:t>  un 44.</w:t>
            </w:r>
            <w:r w:rsidR="009674D0" w:rsidRPr="0035775A">
              <w:rPr>
                <w:rFonts w:eastAsia="Calibri"/>
                <w:vertAlign w:val="superscript"/>
                <w:lang w:eastAsia="en-US"/>
              </w:rPr>
              <w:t>3</w:t>
            </w:r>
            <w:r w:rsidR="009674D0" w:rsidRPr="0035775A">
              <w:rPr>
                <w:rFonts w:eastAsia="Calibri"/>
                <w:lang w:eastAsia="en-US"/>
              </w:rPr>
              <w:t>  punktu šādā redakcijā:</w:t>
            </w:r>
          </w:p>
          <w:p w14:paraId="795F1026" w14:textId="77777777" w:rsidR="009674D0" w:rsidRPr="009674D0" w:rsidRDefault="009674D0" w:rsidP="000276C8">
            <w:pPr>
              <w:ind w:firstLine="900"/>
              <w:jc w:val="both"/>
              <w:rPr>
                <w:rFonts w:eastAsia="Calibri"/>
                <w:shd w:val="clear" w:color="auto" w:fill="FFFFFF"/>
                <w:lang w:eastAsia="en-US"/>
              </w:rPr>
            </w:pPr>
            <w:r w:rsidRPr="009674D0">
              <w:rPr>
                <w:rFonts w:eastAsia="Calibri"/>
                <w:shd w:val="clear" w:color="auto" w:fill="FFFFFF"/>
                <w:lang w:eastAsia="en-US"/>
              </w:rPr>
              <w:t>44.</w:t>
            </w:r>
            <w:r w:rsidRPr="009674D0">
              <w:rPr>
                <w:rFonts w:eastAsia="Calibri"/>
                <w:shd w:val="clear" w:color="auto" w:fill="FFFFFF"/>
                <w:vertAlign w:val="superscript"/>
                <w:lang w:eastAsia="en-US"/>
              </w:rPr>
              <w:t>1</w:t>
            </w:r>
            <w:r w:rsidRPr="009674D0">
              <w:rPr>
                <w:rFonts w:eastAsia="Calibri"/>
                <w:shd w:val="clear" w:color="auto" w:fill="FFFFFF"/>
                <w:lang w:eastAsia="en-US"/>
              </w:rPr>
              <w:tab/>
              <w:t xml:space="preserve">Veidojot šo noteikumu </w:t>
            </w:r>
            <w:hyperlink r:id="rId14" w:anchor="p39" w:history="1">
              <w:r w:rsidRPr="009674D0">
                <w:rPr>
                  <w:rFonts w:eastAsia="Calibri"/>
                  <w:lang w:eastAsia="en-US"/>
                </w:rPr>
                <w:t>39. </w:t>
              </w:r>
            </w:hyperlink>
            <w:r w:rsidRPr="009674D0">
              <w:rPr>
                <w:rFonts w:eastAsia="Calibri"/>
                <w:shd w:val="clear" w:color="auto" w:fill="FFFFFF"/>
                <w:lang w:eastAsia="en-US"/>
              </w:rPr>
              <w:t xml:space="preserve">punktā minēto pasūtījumu, pasūtītājs vai sabiedrisko pakalpojumu sniedzējs preču vai pakalpojumu pirkuma pieprasījumam pievieno detalizētu darījuma izpildes informāciju (darba uzdevumu, </w:t>
            </w:r>
            <w:r w:rsidRPr="009674D0">
              <w:rPr>
                <w:rFonts w:eastAsia="Calibri"/>
                <w:shd w:val="clear" w:color="auto" w:fill="FFFFFF"/>
                <w:lang w:eastAsia="en-US"/>
              </w:rPr>
              <w:lastRenderedPageBreak/>
              <w:t>izpildes aprakstu u.c. darījuma izpildei būtisku informāciju).</w:t>
            </w:r>
          </w:p>
          <w:p w14:paraId="4EFB7F16" w14:textId="77777777" w:rsidR="009674D0" w:rsidRPr="009674D0" w:rsidRDefault="009674D0" w:rsidP="000276C8">
            <w:pPr>
              <w:ind w:left="-62" w:firstLine="964"/>
              <w:contextualSpacing/>
              <w:jc w:val="both"/>
              <w:rPr>
                <w:rFonts w:eastAsia="Calibri"/>
                <w:shd w:val="clear" w:color="auto" w:fill="FFFFFF"/>
                <w:lang w:eastAsia="en-US"/>
              </w:rPr>
            </w:pPr>
            <w:r w:rsidRPr="009674D0">
              <w:rPr>
                <w:rFonts w:eastAsia="Calibri"/>
                <w:lang w:eastAsia="en-US"/>
              </w:rPr>
              <w:t>44.</w:t>
            </w:r>
            <w:r w:rsidRPr="009674D0">
              <w:rPr>
                <w:rFonts w:eastAsia="Calibri"/>
                <w:vertAlign w:val="superscript"/>
                <w:lang w:eastAsia="en-US"/>
              </w:rPr>
              <w:t>2</w:t>
            </w:r>
            <w:r w:rsidRPr="009674D0">
              <w:rPr>
                <w:rFonts w:eastAsia="Calibri"/>
                <w:lang w:eastAsia="en-US"/>
              </w:rPr>
              <w:tab/>
              <w:t xml:space="preserve">Veidojot šo noteikumu </w:t>
            </w:r>
            <w:hyperlink r:id="rId15" w:anchor="p39" w:history="1">
              <w:r w:rsidRPr="009674D0">
                <w:rPr>
                  <w:rFonts w:eastAsia="Calibri"/>
                  <w:shd w:val="clear" w:color="auto" w:fill="FFFFFF"/>
                  <w:lang w:eastAsia="en-US"/>
                </w:rPr>
                <w:t>44. </w:t>
              </w:r>
            </w:hyperlink>
            <w:r w:rsidRPr="009674D0">
              <w:rPr>
                <w:rFonts w:eastAsia="Calibri"/>
                <w:shd w:val="clear" w:color="auto" w:fill="FFFFFF"/>
                <w:lang w:eastAsia="en-US"/>
              </w:rPr>
              <w:t xml:space="preserve">punktā minēto pasūtījumu, vai tādu pasūtījumu, kurā ir prece vai pakalpojums, kuru attiecīgās preču vai pakalpojumu grupas ietvaros piedāvā tikai viens piegādātājs vai kura tehniskā specifikācija ir saistīta ar konkrētu ražotāju vai tirdzniecības marku, pasūtītājs vai sabiedrisko pakalpojumu </w:t>
            </w:r>
            <w:r w:rsidRPr="009674D0">
              <w:rPr>
                <w:rFonts w:eastAsia="Calibri"/>
                <w:lang w:eastAsia="en-US"/>
              </w:rPr>
              <w:t>sniedzējs preču vai pakalpojumu</w:t>
            </w:r>
            <w:r w:rsidRPr="009674D0">
              <w:rPr>
                <w:rFonts w:eastAsia="Calibri"/>
                <w:shd w:val="clear" w:color="auto" w:fill="FFFFFF"/>
                <w:lang w:eastAsia="en-US"/>
              </w:rPr>
              <w:t xml:space="preserve"> pirkuma pieprasījumam pievieno esošās situācijas aprakstu, alternatīvu vai aizstājošu risinājumu neesības izvērtējumu un skaidrojumu, kas pamato šādas preces vai pakalpojuma iegādes nepieciešamību vai iepērkamo preču vai pakalpojumu savstarpējās saderības nepieciešamību, jo īpaši saistībā ar esošā risinājuma aizstāšanas iespējamajām izmaksām un to samērīgumu un iegūstamā risinājuma uzturēšanu un ekspluatāciju. Šajā punktā minētā informācija e-iepirkumu sistēmā ir pieejama visiem aktīvajiem attiecīgās preču vai pakalpojumu grupas piegādātājiem ne mazāk kā trīs darbdienas pēc e-pasūtījumu apakšsistēmas nosūtītā paziņojuma par pasūtījumu.</w:t>
            </w:r>
          </w:p>
          <w:p w14:paraId="2283D86F" w14:textId="104A6C73" w:rsidR="00087B2B" w:rsidRPr="00F631E5" w:rsidRDefault="009674D0" w:rsidP="000276C8">
            <w:pPr>
              <w:ind w:left="-62" w:firstLine="964"/>
              <w:jc w:val="both"/>
            </w:pPr>
            <w:r w:rsidRPr="009674D0">
              <w:rPr>
                <w:rFonts w:eastAsia="Calibri"/>
                <w:shd w:val="clear" w:color="auto" w:fill="FFFFFF"/>
                <w:lang w:eastAsia="en-US"/>
              </w:rPr>
              <w:lastRenderedPageBreak/>
              <w:t>44.</w:t>
            </w:r>
            <w:r w:rsidRPr="009674D0">
              <w:rPr>
                <w:rFonts w:eastAsia="Calibri"/>
                <w:shd w:val="clear" w:color="auto" w:fill="FFFFFF"/>
                <w:vertAlign w:val="superscript"/>
                <w:lang w:eastAsia="en-US"/>
              </w:rPr>
              <w:t>3</w:t>
            </w:r>
            <w:r w:rsidRPr="009674D0">
              <w:rPr>
                <w:rFonts w:eastAsia="Calibri"/>
                <w:shd w:val="clear" w:color="auto" w:fill="FFFFFF"/>
                <w:lang w:eastAsia="en-US"/>
              </w:rPr>
              <w:t xml:space="preserve"> </w:t>
            </w:r>
            <w:r w:rsidRPr="009674D0">
              <w:rPr>
                <w:rFonts w:eastAsia="Calibri"/>
                <w:shd w:val="clear" w:color="auto" w:fill="FFFFFF"/>
                <w:lang w:eastAsia="en-US"/>
              </w:rPr>
              <w:tab/>
              <w:t>Pasūtītājs vai sabiedrisko pakalpojumu sniedzējs ir tiesīgs izveidot šo noteikumu </w:t>
            </w:r>
            <w:hyperlink r:id="rId16" w:anchor="p39" w:history="1">
              <w:r w:rsidRPr="009674D0">
                <w:rPr>
                  <w:rFonts w:eastAsia="Calibri"/>
                  <w:shd w:val="clear" w:color="auto" w:fill="FFFFFF"/>
                  <w:lang w:eastAsia="en-US"/>
                </w:rPr>
                <w:t>39.</w:t>
              </w:r>
            </w:hyperlink>
            <w:r w:rsidRPr="009674D0">
              <w:rPr>
                <w:rFonts w:eastAsia="Calibri"/>
                <w:lang w:eastAsia="en-US"/>
              </w:rPr>
              <w:t>,</w:t>
            </w:r>
            <w:r w:rsidRPr="009674D0">
              <w:rPr>
                <w:rFonts w:eastAsia="Calibri"/>
                <w:shd w:val="clear" w:color="auto" w:fill="FFFFFF"/>
                <w:lang w:eastAsia="en-US"/>
              </w:rPr>
              <w:t> </w:t>
            </w:r>
            <w:hyperlink r:id="rId17" w:anchor="p40" w:history="1">
              <w:r w:rsidRPr="009674D0">
                <w:rPr>
                  <w:rFonts w:eastAsia="Calibri"/>
                  <w:shd w:val="clear" w:color="auto" w:fill="FFFFFF"/>
                  <w:lang w:eastAsia="en-US"/>
                </w:rPr>
                <w:t>44.</w:t>
              </w:r>
            </w:hyperlink>
            <w:r w:rsidRPr="009674D0">
              <w:rPr>
                <w:rFonts w:eastAsia="Calibri"/>
                <w:shd w:val="clear" w:color="auto" w:fill="FFFFFF"/>
                <w:lang w:eastAsia="en-US"/>
              </w:rPr>
              <w:t> vai 44</w:t>
            </w:r>
            <w:r w:rsidRPr="009674D0">
              <w:rPr>
                <w:rFonts w:eastAsia="Calibri"/>
                <w:shd w:val="clear" w:color="auto" w:fill="FFFFFF"/>
                <w:vertAlign w:val="superscript"/>
                <w:lang w:eastAsia="en-US"/>
              </w:rPr>
              <w:t>2</w:t>
            </w:r>
            <w:r w:rsidRPr="009674D0">
              <w:rPr>
                <w:rFonts w:eastAsia="Calibri"/>
                <w:shd w:val="clear" w:color="auto" w:fill="FFFFFF"/>
                <w:lang w:eastAsia="en-US"/>
              </w:rPr>
              <w:t xml:space="preserve">. punktā minēto pasūtījumu pakalpojumu iegādei, ja darījuma summa bez pievienotās vērtības nodokļa nepārsniedz 1 000 000 </w:t>
            </w:r>
            <w:r w:rsidRPr="009674D0">
              <w:rPr>
                <w:rFonts w:eastAsia="Calibri"/>
                <w:i/>
                <w:shd w:val="clear" w:color="auto" w:fill="FFFFFF"/>
                <w:lang w:eastAsia="en-US"/>
              </w:rPr>
              <w:t>euro</w:t>
            </w:r>
            <w:r w:rsidRPr="009674D0">
              <w:rPr>
                <w:rFonts w:eastAsia="Calibri"/>
                <w:shd w:val="clear" w:color="auto" w:fill="FFFFFF"/>
                <w:lang w:eastAsia="en-US"/>
              </w:rPr>
              <w:t>.”</w:t>
            </w:r>
            <w:r w:rsidR="00CC394E">
              <w:rPr>
                <w:rFonts w:eastAsia="Calibri"/>
                <w:shd w:val="clear" w:color="auto" w:fill="FFFFFF"/>
                <w:lang w:eastAsia="en-US"/>
              </w:rPr>
              <w:t>.</w:t>
            </w:r>
          </w:p>
        </w:tc>
      </w:tr>
    </w:tbl>
    <w:p w14:paraId="67EBA362" w14:textId="1D23DEBA" w:rsidR="002C37ED" w:rsidRPr="00F631E5" w:rsidRDefault="002C37ED" w:rsidP="006854E5"/>
    <w:tbl>
      <w:tblPr>
        <w:tblW w:w="0" w:type="auto"/>
        <w:tblLayout w:type="fixed"/>
        <w:tblLook w:val="0000" w:firstRow="0" w:lastRow="0" w:firstColumn="0" w:lastColumn="0" w:noHBand="0" w:noVBand="0"/>
      </w:tblPr>
      <w:tblGrid>
        <w:gridCol w:w="3528"/>
        <w:gridCol w:w="8640"/>
      </w:tblGrid>
      <w:tr w:rsidR="00C158AC" w:rsidRPr="00F631E5" w14:paraId="3D8E74D9" w14:textId="77777777" w:rsidTr="00F56E0D">
        <w:tc>
          <w:tcPr>
            <w:tcW w:w="3528" w:type="dxa"/>
            <w:shd w:val="clear" w:color="auto" w:fill="auto"/>
          </w:tcPr>
          <w:p w14:paraId="652BD508" w14:textId="77777777" w:rsidR="00C158AC" w:rsidRPr="00F631E5" w:rsidRDefault="00C158AC" w:rsidP="006854E5">
            <w:pPr>
              <w:snapToGrid w:val="0"/>
              <w:jc w:val="both"/>
            </w:pPr>
            <w:r w:rsidRPr="00F631E5">
              <w:t>Atbildīgā amatpersona</w:t>
            </w:r>
          </w:p>
        </w:tc>
        <w:tc>
          <w:tcPr>
            <w:tcW w:w="8640" w:type="dxa"/>
            <w:tcBorders>
              <w:bottom w:val="single" w:sz="4" w:space="0" w:color="000000"/>
            </w:tcBorders>
            <w:shd w:val="clear" w:color="auto" w:fill="auto"/>
          </w:tcPr>
          <w:p w14:paraId="5D987A08" w14:textId="77777777" w:rsidR="00C158AC" w:rsidRPr="00F631E5" w:rsidRDefault="00C158AC" w:rsidP="006854E5">
            <w:pPr>
              <w:snapToGrid w:val="0"/>
              <w:jc w:val="both"/>
            </w:pPr>
          </w:p>
        </w:tc>
      </w:tr>
      <w:tr w:rsidR="00C158AC" w:rsidRPr="00F631E5" w14:paraId="6C66AF7C" w14:textId="77777777" w:rsidTr="00F56E0D">
        <w:tc>
          <w:tcPr>
            <w:tcW w:w="3528" w:type="dxa"/>
            <w:shd w:val="clear" w:color="auto" w:fill="auto"/>
          </w:tcPr>
          <w:p w14:paraId="1D2590E9" w14:textId="77777777" w:rsidR="00C158AC" w:rsidRPr="00F631E5" w:rsidRDefault="00C158AC" w:rsidP="006854E5">
            <w:pPr>
              <w:snapToGrid w:val="0"/>
              <w:jc w:val="both"/>
            </w:pPr>
          </w:p>
        </w:tc>
        <w:tc>
          <w:tcPr>
            <w:tcW w:w="8640" w:type="dxa"/>
            <w:tcBorders>
              <w:top w:val="single" w:sz="4" w:space="0" w:color="000000"/>
            </w:tcBorders>
            <w:shd w:val="clear" w:color="auto" w:fill="auto"/>
          </w:tcPr>
          <w:p w14:paraId="4534F996" w14:textId="77777777" w:rsidR="00C158AC" w:rsidRPr="00F631E5" w:rsidRDefault="00C158AC" w:rsidP="006854E5">
            <w:pPr>
              <w:snapToGrid w:val="0"/>
              <w:jc w:val="both"/>
            </w:pPr>
            <w:r w:rsidRPr="00F631E5">
              <w:tab/>
              <w:t>(paraksts)*</w:t>
            </w:r>
          </w:p>
          <w:p w14:paraId="1C57B926" w14:textId="77777777" w:rsidR="00C158AC" w:rsidRPr="00F631E5" w:rsidRDefault="00C158AC" w:rsidP="006854E5">
            <w:pPr>
              <w:snapToGrid w:val="0"/>
              <w:jc w:val="both"/>
            </w:pPr>
            <w:r w:rsidRPr="00F631E5">
              <w:t>Piezīme. * Dokumenta rekvizītu "paraksts" neaizpilda, ja elektroniskais dokuments ir sagatavots atbilstoši normatīvajiem aktiem par elektronisko dokumentu noformēšanu.</w:t>
            </w:r>
          </w:p>
        </w:tc>
      </w:tr>
      <w:tr w:rsidR="00C158AC" w:rsidRPr="00F631E5" w14:paraId="4B6E0842" w14:textId="77777777" w:rsidTr="00F56E0D">
        <w:tc>
          <w:tcPr>
            <w:tcW w:w="3528" w:type="dxa"/>
            <w:shd w:val="clear" w:color="auto" w:fill="auto"/>
          </w:tcPr>
          <w:p w14:paraId="3A67093B" w14:textId="77777777" w:rsidR="00C158AC" w:rsidRPr="00F631E5" w:rsidRDefault="00C158AC" w:rsidP="006854E5">
            <w:pPr>
              <w:snapToGrid w:val="0"/>
              <w:jc w:val="both"/>
            </w:pPr>
          </w:p>
        </w:tc>
        <w:tc>
          <w:tcPr>
            <w:tcW w:w="8640" w:type="dxa"/>
            <w:shd w:val="clear" w:color="auto" w:fill="auto"/>
          </w:tcPr>
          <w:p w14:paraId="1DD9E68A" w14:textId="77777777" w:rsidR="00C158AC" w:rsidRPr="00F631E5" w:rsidRDefault="00C158AC" w:rsidP="006854E5">
            <w:pPr>
              <w:snapToGrid w:val="0"/>
              <w:jc w:val="both"/>
            </w:pPr>
          </w:p>
        </w:tc>
      </w:tr>
      <w:tr w:rsidR="00C158AC" w:rsidRPr="00F631E5" w14:paraId="3D2BDC5C" w14:textId="77777777" w:rsidTr="00F56E0D">
        <w:tc>
          <w:tcPr>
            <w:tcW w:w="3528" w:type="dxa"/>
            <w:shd w:val="clear" w:color="auto" w:fill="auto"/>
          </w:tcPr>
          <w:p w14:paraId="573FBACB" w14:textId="77777777" w:rsidR="00C158AC" w:rsidRPr="00F631E5" w:rsidRDefault="00C158AC" w:rsidP="006854E5">
            <w:pPr>
              <w:snapToGrid w:val="0"/>
              <w:jc w:val="both"/>
            </w:pPr>
          </w:p>
        </w:tc>
        <w:tc>
          <w:tcPr>
            <w:tcW w:w="8640" w:type="dxa"/>
            <w:tcBorders>
              <w:bottom w:val="single" w:sz="4" w:space="0" w:color="000000"/>
            </w:tcBorders>
            <w:shd w:val="clear" w:color="auto" w:fill="auto"/>
          </w:tcPr>
          <w:p w14:paraId="42EDF063" w14:textId="77777777" w:rsidR="00C158AC" w:rsidRPr="00F631E5" w:rsidRDefault="00C158AC" w:rsidP="006854E5">
            <w:pPr>
              <w:snapToGrid w:val="0"/>
              <w:jc w:val="both"/>
            </w:pPr>
            <w:r w:rsidRPr="00F631E5">
              <w:t>Uģis Bisenieks</w:t>
            </w:r>
          </w:p>
        </w:tc>
      </w:tr>
      <w:tr w:rsidR="00C158AC" w:rsidRPr="00F631E5" w14:paraId="55F5214C" w14:textId="77777777" w:rsidTr="00F56E0D">
        <w:tc>
          <w:tcPr>
            <w:tcW w:w="3528" w:type="dxa"/>
            <w:shd w:val="clear" w:color="auto" w:fill="auto"/>
          </w:tcPr>
          <w:p w14:paraId="56B17975" w14:textId="77777777" w:rsidR="00C158AC" w:rsidRPr="00F631E5" w:rsidRDefault="00C158AC" w:rsidP="006854E5">
            <w:pPr>
              <w:snapToGrid w:val="0"/>
              <w:jc w:val="both"/>
            </w:pPr>
          </w:p>
        </w:tc>
        <w:tc>
          <w:tcPr>
            <w:tcW w:w="8640" w:type="dxa"/>
            <w:tcBorders>
              <w:top w:val="single" w:sz="4" w:space="0" w:color="000000"/>
            </w:tcBorders>
            <w:shd w:val="clear" w:color="auto" w:fill="auto"/>
          </w:tcPr>
          <w:p w14:paraId="718D54A5" w14:textId="77777777" w:rsidR="00C158AC" w:rsidRPr="00F631E5" w:rsidRDefault="00C158AC" w:rsidP="006854E5">
            <w:pPr>
              <w:snapToGrid w:val="0"/>
              <w:jc w:val="both"/>
            </w:pPr>
            <w:r w:rsidRPr="00F631E5">
              <w:t>(par projektu atbildīgās amatpersonas vārds un uzvārds)</w:t>
            </w:r>
          </w:p>
        </w:tc>
      </w:tr>
      <w:tr w:rsidR="00C158AC" w:rsidRPr="00F631E5" w14:paraId="77CB9009" w14:textId="77777777" w:rsidTr="00F56E0D">
        <w:tc>
          <w:tcPr>
            <w:tcW w:w="3528" w:type="dxa"/>
            <w:shd w:val="clear" w:color="auto" w:fill="auto"/>
          </w:tcPr>
          <w:p w14:paraId="380B350E" w14:textId="77777777" w:rsidR="00C158AC" w:rsidRPr="00F631E5" w:rsidRDefault="00C158AC" w:rsidP="006854E5">
            <w:pPr>
              <w:snapToGrid w:val="0"/>
              <w:jc w:val="both"/>
            </w:pPr>
          </w:p>
        </w:tc>
        <w:tc>
          <w:tcPr>
            <w:tcW w:w="8640" w:type="dxa"/>
            <w:shd w:val="clear" w:color="auto" w:fill="auto"/>
          </w:tcPr>
          <w:p w14:paraId="20FF28C3" w14:textId="77777777" w:rsidR="00C158AC" w:rsidRPr="00F631E5" w:rsidRDefault="00C158AC" w:rsidP="006854E5">
            <w:pPr>
              <w:snapToGrid w:val="0"/>
              <w:jc w:val="both"/>
            </w:pPr>
          </w:p>
        </w:tc>
      </w:tr>
      <w:tr w:rsidR="00C158AC" w:rsidRPr="00F631E5" w14:paraId="0F14B436" w14:textId="77777777" w:rsidTr="00F56E0D">
        <w:tc>
          <w:tcPr>
            <w:tcW w:w="3528" w:type="dxa"/>
            <w:shd w:val="clear" w:color="auto" w:fill="auto"/>
          </w:tcPr>
          <w:p w14:paraId="5761A93F" w14:textId="77777777" w:rsidR="00C158AC" w:rsidRPr="00F631E5" w:rsidRDefault="00C158AC" w:rsidP="006854E5">
            <w:pPr>
              <w:snapToGrid w:val="0"/>
              <w:jc w:val="both"/>
            </w:pPr>
          </w:p>
        </w:tc>
        <w:tc>
          <w:tcPr>
            <w:tcW w:w="8640" w:type="dxa"/>
            <w:tcBorders>
              <w:bottom w:val="single" w:sz="4" w:space="0" w:color="000000"/>
            </w:tcBorders>
            <w:shd w:val="clear" w:color="auto" w:fill="auto"/>
          </w:tcPr>
          <w:p w14:paraId="58A6B904" w14:textId="77777777" w:rsidR="00C158AC" w:rsidRPr="00F631E5" w:rsidRDefault="00C158AC" w:rsidP="006854E5">
            <w:pPr>
              <w:snapToGrid w:val="0"/>
              <w:jc w:val="both"/>
            </w:pPr>
            <w:r w:rsidRPr="00F631E5">
              <w:t>Elektroniskās pārvaldes departamenta direktors</w:t>
            </w:r>
          </w:p>
        </w:tc>
      </w:tr>
      <w:tr w:rsidR="00C158AC" w:rsidRPr="00F631E5" w14:paraId="0B45ED4F" w14:textId="77777777" w:rsidTr="00F56E0D">
        <w:tc>
          <w:tcPr>
            <w:tcW w:w="3528" w:type="dxa"/>
            <w:shd w:val="clear" w:color="auto" w:fill="auto"/>
          </w:tcPr>
          <w:p w14:paraId="2852225B" w14:textId="77777777" w:rsidR="00C158AC" w:rsidRPr="00F631E5" w:rsidRDefault="00C158AC" w:rsidP="006854E5">
            <w:pPr>
              <w:snapToGrid w:val="0"/>
              <w:jc w:val="both"/>
            </w:pPr>
          </w:p>
        </w:tc>
        <w:tc>
          <w:tcPr>
            <w:tcW w:w="8640" w:type="dxa"/>
            <w:tcBorders>
              <w:top w:val="single" w:sz="4" w:space="0" w:color="000000"/>
            </w:tcBorders>
            <w:shd w:val="clear" w:color="auto" w:fill="auto"/>
          </w:tcPr>
          <w:p w14:paraId="71FCD360" w14:textId="77777777" w:rsidR="00C158AC" w:rsidRPr="00F631E5" w:rsidRDefault="00C158AC" w:rsidP="006854E5">
            <w:pPr>
              <w:snapToGrid w:val="0"/>
              <w:jc w:val="both"/>
            </w:pPr>
            <w:r w:rsidRPr="00F631E5">
              <w:t>(amats)</w:t>
            </w:r>
          </w:p>
        </w:tc>
      </w:tr>
      <w:tr w:rsidR="00C158AC" w:rsidRPr="00F631E5" w14:paraId="00B52A06" w14:textId="77777777" w:rsidTr="00F56E0D">
        <w:tc>
          <w:tcPr>
            <w:tcW w:w="3528" w:type="dxa"/>
            <w:shd w:val="clear" w:color="auto" w:fill="auto"/>
          </w:tcPr>
          <w:p w14:paraId="14ADA4AD" w14:textId="77777777" w:rsidR="00C158AC" w:rsidRPr="00F631E5" w:rsidRDefault="00C158AC" w:rsidP="006854E5">
            <w:pPr>
              <w:snapToGrid w:val="0"/>
              <w:jc w:val="both"/>
            </w:pPr>
          </w:p>
        </w:tc>
        <w:tc>
          <w:tcPr>
            <w:tcW w:w="8640" w:type="dxa"/>
            <w:shd w:val="clear" w:color="auto" w:fill="auto"/>
          </w:tcPr>
          <w:p w14:paraId="6493446E" w14:textId="77777777" w:rsidR="00C158AC" w:rsidRPr="00F631E5" w:rsidRDefault="00C158AC" w:rsidP="006854E5">
            <w:pPr>
              <w:snapToGrid w:val="0"/>
              <w:jc w:val="both"/>
            </w:pPr>
          </w:p>
        </w:tc>
      </w:tr>
      <w:tr w:rsidR="00C158AC" w:rsidRPr="00F631E5" w14:paraId="03845743" w14:textId="77777777" w:rsidTr="00F56E0D">
        <w:tc>
          <w:tcPr>
            <w:tcW w:w="3528" w:type="dxa"/>
            <w:shd w:val="clear" w:color="auto" w:fill="auto"/>
          </w:tcPr>
          <w:p w14:paraId="4119D789" w14:textId="77777777" w:rsidR="00C158AC" w:rsidRPr="00F631E5" w:rsidRDefault="00C158AC" w:rsidP="006854E5">
            <w:pPr>
              <w:snapToGrid w:val="0"/>
              <w:jc w:val="both"/>
            </w:pPr>
          </w:p>
        </w:tc>
        <w:tc>
          <w:tcPr>
            <w:tcW w:w="8640" w:type="dxa"/>
            <w:tcBorders>
              <w:bottom w:val="single" w:sz="4" w:space="0" w:color="000000"/>
            </w:tcBorders>
            <w:shd w:val="clear" w:color="auto" w:fill="auto"/>
          </w:tcPr>
          <w:p w14:paraId="176E74D2" w14:textId="77777777" w:rsidR="00C158AC" w:rsidRPr="00F631E5" w:rsidRDefault="00C158AC" w:rsidP="006854E5">
            <w:pPr>
              <w:snapToGrid w:val="0"/>
              <w:jc w:val="both"/>
            </w:pPr>
            <w:r w:rsidRPr="00F631E5">
              <w:t>67026933; 67820442</w:t>
            </w:r>
          </w:p>
        </w:tc>
      </w:tr>
      <w:tr w:rsidR="00C158AC" w:rsidRPr="00F631E5" w14:paraId="7E6F3EB4" w14:textId="77777777" w:rsidTr="00F56E0D">
        <w:tc>
          <w:tcPr>
            <w:tcW w:w="3528" w:type="dxa"/>
            <w:shd w:val="clear" w:color="auto" w:fill="auto"/>
          </w:tcPr>
          <w:p w14:paraId="071456F2" w14:textId="77777777" w:rsidR="00C158AC" w:rsidRPr="00F631E5" w:rsidRDefault="00C158AC" w:rsidP="006854E5">
            <w:pPr>
              <w:snapToGrid w:val="0"/>
              <w:jc w:val="both"/>
            </w:pPr>
          </w:p>
        </w:tc>
        <w:tc>
          <w:tcPr>
            <w:tcW w:w="8640" w:type="dxa"/>
            <w:tcBorders>
              <w:top w:val="single" w:sz="4" w:space="0" w:color="000000"/>
            </w:tcBorders>
            <w:shd w:val="clear" w:color="auto" w:fill="auto"/>
          </w:tcPr>
          <w:p w14:paraId="32583ED5" w14:textId="77777777" w:rsidR="00C158AC" w:rsidRPr="00F631E5" w:rsidRDefault="00C158AC" w:rsidP="006854E5">
            <w:pPr>
              <w:snapToGrid w:val="0"/>
              <w:jc w:val="both"/>
            </w:pPr>
            <w:r w:rsidRPr="00F631E5">
              <w:t>(tālruņa un faksa numurs)</w:t>
            </w:r>
          </w:p>
        </w:tc>
      </w:tr>
      <w:tr w:rsidR="00C158AC" w:rsidRPr="00F631E5" w14:paraId="398001B4" w14:textId="77777777" w:rsidTr="00F56E0D">
        <w:tc>
          <w:tcPr>
            <w:tcW w:w="3528" w:type="dxa"/>
            <w:shd w:val="clear" w:color="auto" w:fill="auto"/>
          </w:tcPr>
          <w:p w14:paraId="0CC56A9E" w14:textId="77777777" w:rsidR="00C158AC" w:rsidRPr="00F631E5" w:rsidRDefault="00C158AC" w:rsidP="006854E5">
            <w:pPr>
              <w:snapToGrid w:val="0"/>
              <w:jc w:val="both"/>
            </w:pPr>
          </w:p>
        </w:tc>
        <w:tc>
          <w:tcPr>
            <w:tcW w:w="8640" w:type="dxa"/>
            <w:shd w:val="clear" w:color="auto" w:fill="auto"/>
          </w:tcPr>
          <w:p w14:paraId="0C97E02E" w14:textId="77777777" w:rsidR="00C158AC" w:rsidRPr="00F631E5" w:rsidRDefault="00C158AC" w:rsidP="006854E5">
            <w:pPr>
              <w:snapToGrid w:val="0"/>
              <w:jc w:val="both"/>
            </w:pPr>
          </w:p>
        </w:tc>
      </w:tr>
      <w:tr w:rsidR="00C158AC" w:rsidRPr="00F631E5" w14:paraId="61FE5E4A" w14:textId="77777777" w:rsidTr="00F56E0D">
        <w:tc>
          <w:tcPr>
            <w:tcW w:w="3528" w:type="dxa"/>
            <w:shd w:val="clear" w:color="auto" w:fill="auto"/>
          </w:tcPr>
          <w:p w14:paraId="7ECE2AAE" w14:textId="77777777" w:rsidR="00C158AC" w:rsidRPr="00F631E5" w:rsidRDefault="00C158AC" w:rsidP="006854E5">
            <w:pPr>
              <w:snapToGrid w:val="0"/>
              <w:jc w:val="both"/>
            </w:pPr>
          </w:p>
        </w:tc>
        <w:tc>
          <w:tcPr>
            <w:tcW w:w="8640" w:type="dxa"/>
            <w:tcBorders>
              <w:bottom w:val="single" w:sz="4" w:space="0" w:color="000000"/>
            </w:tcBorders>
            <w:shd w:val="clear" w:color="auto" w:fill="auto"/>
          </w:tcPr>
          <w:p w14:paraId="464862AD" w14:textId="77777777" w:rsidR="00C158AC" w:rsidRPr="00F631E5" w:rsidRDefault="00A55033" w:rsidP="006854E5">
            <w:pPr>
              <w:snapToGrid w:val="0"/>
              <w:jc w:val="both"/>
            </w:pPr>
            <w:hyperlink r:id="rId18" w:history="1">
              <w:r w:rsidR="00C158AC" w:rsidRPr="00F631E5">
                <w:t>ugis.bisenieks@varam.gov.lv</w:t>
              </w:r>
            </w:hyperlink>
          </w:p>
        </w:tc>
      </w:tr>
      <w:tr w:rsidR="00C158AC" w:rsidRPr="00F631E5" w14:paraId="033498A1" w14:textId="77777777" w:rsidTr="00F56E0D">
        <w:tc>
          <w:tcPr>
            <w:tcW w:w="3528" w:type="dxa"/>
            <w:shd w:val="clear" w:color="auto" w:fill="auto"/>
          </w:tcPr>
          <w:p w14:paraId="767415BF" w14:textId="77777777" w:rsidR="00C158AC" w:rsidRPr="00F631E5" w:rsidRDefault="00C158AC" w:rsidP="006854E5">
            <w:pPr>
              <w:snapToGrid w:val="0"/>
              <w:jc w:val="both"/>
            </w:pPr>
          </w:p>
        </w:tc>
        <w:tc>
          <w:tcPr>
            <w:tcW w:w="8640" w:type="dxa"/>
            <w:tcBorders>
              <w:top w:val="single" w:sz="4" w:space="0" w:color="000000"/>
            </w:tcBorders>
            <w:shd w:val="clear" w:color="auto" w:fill="auto"/>
          </w:tcPr>
          <w:p w14:paraId="5E732A8F" w14:textId="77777777" w:rsidR="00C158AC" w:rsidRPr="00F631E5" w:rsidRDefault="00C158AC" w:rsidP="006854E5">
            <w:pPr>
              <w:snapToGrid w:val="0"/>
              <w:jc w:val="both"/>
            </w:pPr>
            <w:r w:rsidRPr="00F631E5">
              <w:t>(e-pasta adrese)</w:t>
            </w:r>
          </w:p>
        </w:tc>
      </w:tr>
    </w:tbl>
    <w:p w14:paraId="67EC668C" w14:textId="7095EC00" w:rsidR="00C158AC" w:rsidRPr="00F631E5" w:rsidRDefault="00C158AC" w:rsidP="00E11B34">
      <w:pPr>
        <w:tabs>
          <w:tab w:val="left" w:pos="1682"/>
        </w:tabs>
      </w:pPr>
    </w:p>
    <w:sectPr w:rsidR="00C158AC" w:rsidRPr="00F631E5" w:rsidSect="00087B2B">
      <w:headerReference w:type="default" r:id="rId19"/>
      <w:footerReference w:type="default" r:id="rId20"/>
      <w:footerReference w:type="first" r:id="rId21"/>
      <w:pgSz w:w="15840" w:h="12240" w:orient="landscape"/>
      <w:pgMar w:top="907" w:right="1134" w:bottom="907"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254D" w14:textId="77777777" w:rsidR="00A55033" w:rsidRDefault="00A55033" w:rsidP="00640F75">
      <w:r>
        <w:separator/>
      </w:r>
    </w:p>
  </w:endnote>
  <w:endnote w:type="continuationSeparator" w:id="0">
    <w:p w14:paraId="2D909664" w14:textId="77777777" w:rsidR="00A55033" w:rsidRDefault="00A55033" w:rsidP="0064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EED6" w14:textId="4DB597AF" w:rsidR="00E91574" w:rsidRPr="00B4533D" w:rsidRDefault="00E91574" w:rsidP="00E91574">
    <w:pPr>
      <w:pStyle w:val="Footer"/>
    </w:pPr>
    <w:r>
      <w:rPr>
        <w:sz w:val="20"/>
        <w:szCs w:val="20"/>
      </w:rPr>
      <w:t>VARAMizzina_</w:t>
    </w:r>
    <w:r w:rsidR="00DE183D">
      <w:rPr>
        <w:sz w:val="20"/>
        <w:szCs w:val="20"/>
      </w:rPr>
      <w:t>010620</w:t>
    </w:r>
    <w:r w:rsidRPr="001B1B70">
      <w:rPr>
        <w:sz w:val="20"/>
        <w:szCs w:val="20"/>
      </w:rPr>
      <w:t>_</w:t>
    </w:r>
    <w:r>
      <w:rPr>
        <w:sz w:val="20"/>
        <w:szCs w:val="20"/>
      </w:rPr>
      <w:t>PEIN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E17D" w14:textId="2EC2C82D" w:rsidR="00300F3F" w:rsidRPr="00B4533D" w:rsidRDefault="006F6AD0" w:rsidP="00B4533D">
    <w:pPr>
      <w:pStyle w:val="Footer"/>
    </w:pPr>
    <w:r>
      <w:rPr>
        <w:sz w:val="20"/>
        <w:szCs w:val="20"/>
      </w:rPr>
      <w:t>VARAMizzina_</w:t>
    </w:r>
    <w:r w:rsidR="00DE183D">
      <w:rPr>
        <w:sz w:val="20"/>
        <w:szCs w:val="20"/>
      </w:rPr>
      <w:t>010620</w:t>
    </w:r>
    <w:r w:rsidR="001B1B70" w:rsidRPr="001B1B70">
      <w:rPr>
        <w:sz w:val="20"/>
        <w:szCs w:val="20"/>
      </w:rPr>
      <w:t>_</w:t>
    </w:r>
    <w:r w:rsidR="00E91574">
      <w:rPr>
        <w:sz w:val="20"/>
        <w:szCs w:val="20"/>
      </w:rPr>
      <w:t>PEIN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874C4" w14:textId="77777777" w:rsidR="00A55033" w:rsidRDefault="00A55033" w:rsidP="00640F75">
      <w:r>
        <w:separator/>
      </w:r>
    </w:p>
  </w:footnote>
  <w:footnote w:type="continuationSeparator" w:id="0">
    <w:p w14:paraId="22CA1149" w14:textId="77777777" w:rsidR="00A55033" w:rsidRDefault="00A55033" w:rsidP="0064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833482"/>
      <w:docPartObj>
        <w:docPartGallery w:val="Page Numbers (Top of Page)"/>
        <w:docPartUnique/>
      </w:docPartObj>
    </w:sdtPr>
    <w:sdtEndPr/>
    <w:sdtContent>
      <w:p w14:paraId="21E8F3D0" w14:textId="77777777" w:rsidR="00300F3F" w:rsidRDefault="00300F3F">
        <w:pPr>
          <w:pStyle w:val="Header"/>
          <w:jc w:val="center"/>
        </w:pPr>
        <w:r>
          <w:fldChar w:fldCharType="begin"/>
        </w:r>
        <w:r>
          <w:instrText xml:space="preserve"> PAGE   \* MERGEFORMAT </w:instrText>
        </w:r>
        <w:r>
          <w:fldChar w:fldCharType="separate"/>
        </w:r>
        <w:r w:rsidR="00781B36">
          <w:rPr>
            <w:noProof/>
          </w:rPr>
          <w:t>14</w:t>
        </w:r>
        <w:r>
          <w:rPr>
            <w:noProof/>
          </w:rPr>
          <w:fldChar w:fldCharType="end"/>
        </w:r>
      </w:p>
    </w:sdtContent>
  </w:sdt>
  <w:p w14:paraId="00DE49B5" w14:textId="77777777" w:rsidR="00300F3F" w:rsidRDefault="00300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9C"/>
    <w:multiLevelType w:val="hybridMultilevel"/>
    <w:tmpl w:val="828A5D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867757"/>
    <w:multiLevelType w:val="multilevel"/>
    <w:tmpl w:val="209684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1B4D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33FF6"/>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1B314D"/>
    <w:multiLevelType w:val="hybridMultilevel"/>
    <w:tmpl w:val="FA32FF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A987EE0"/>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3F7691"/>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586E96"/>
    <w:multiLevelType w:val="hybridMultilevel"/>
    <w:tmpl w:val="AC663BCE"/>
    <w:lvl w:ilvl="0" w:tplc="D27686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7001A"/>
    <w:multiLevelType w:val="hybridMultilevel"/>
    <w:tmpl w:val="5EAEA174"/>
    <w:lvl w:ilvl="0" w:tplc="D67E31CA">
      <w:start w:val="1"/>
      <w:numFmt w:val="decimal"/>
      <w:lvlText w:val="%1."/>
      <w:lvlJc w:val="left"/>
      <w:pPr>
        <w:ind w:left="927" w:hanging="360"/>
      </w:pPr>
      <w:rPr>
        <w:rFonts w:hint="default"/>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CFB2210"/>
    <w:multiLevelType w:val="hybridMultilevel"/>
    <w:tmpl w:val="D86C3E30"/>
    <w:lvl w:ilvl="0" w:tplc="0D468CDC">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9017DA9"/>
    <w:multiLevelType w:val="hybridMultilevel"/>
    <w:tmpl w:val="4AA61D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B511D6E"/>
    <w:multiLevelType w:val="hybridMultilevel"/>
    <w:tmpl w:val="F15C206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2108AA"/>
    <w:multiLevelType w:val="hybridMultilevel"/>
    <w:tmpl w:val="524E10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33F4133"/>
    <w:multiLevelType w:val="hybridMultilevel"/>
    <w:tmpl w:val="3DD0BE0C"/>
    <w:lvl w:ilvl="0" w:tplc="7526C558">
      <w:start w:val="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1">
    <w:nsid w:val="69442782"/>
    <w:multiLevelType w:val="hybridMultilevel"/>
    <w:tmpl w:val="ADBEFE50"/>
    <w:lvl w:ilvl="0" w:tplc="C7DA7342">
      <w:start w:val="1"/>
      <w:numFmt w:val="decimal"/>
      <w:lvlText w:val="%1."/>
      <w:lvlJc w:val="left"/>
      <w:pPr>
        <w:ind w:left="720" w:hanging="360"/>
      </w:pPr>
      <w:rPr>
        <w:rFonts w:hint="default"/>
        <w:u w:val="none"/>
      </w:rPr>
    </w:lvl>
    <w:lvl w:ilvl="1" w:tplc="4C6EA304" w:tentative="1">
      <w:start w:val="1"/>
      <w:numFmt w:val="lowerLetter"/>
      <w:lvlText w:val="%2."/>
      <w:lvlJc w:val="left"/>
      <w:pPr>
        <w:ind w:left="1440" w:hanging="360"/>
      </w:pPr>
    </w:lvl>
    <w:lvl w:ilvl="2" w:tplc="571C5F88" w:tentative="1">
      <w:start w:val="1"/>
      <w:numFmt w:val="lowerRoman"/>
      <w:lvlText w:val="%3."/>
      <w:lvlJc w:val="right"/>
      <w:pPr>
        <w:ind w:left="2160" w:hanging="180"/>
      </w:pPr>
    </w:lvl>
    <w:lvl w:ilvl="3" w:tplc="57DCF570" w:tentative="1">
      <w:start w:val="1"/>
      <w:numFmt w:val="decimal"/>
      <w:lvlText w:val="%4."/>
      <w:lvlJc w:val="left"/>
      <w:pPr>
        <w:ind w:left="2880" w:hanging="360"/>
      </w:pPr>
    </w:lvl>
    <w:lvl w:ilvl="4" w:tplc="55E6C986" w:tentative="1">
      <w:start w:val="1"/>
      <w:numFmt w:val="lowerLetter"/>
      <w:lvlText w:val="%5."/>
      <w:lvlJc w:val="left"/>
      <w:pPr>
        <w:ind w:left="3600" w:hanging="360"/>
      </w:pPr>
    </w:lvl>
    <w:lvl w:ilvl="5" w:tplc="92680E9A" w:tentative="1">
      <w:start w:val="1"/>
      <w:numFmt w:val="lowerRoman"/>
      <w:lvlText w:val="%6."/>
      <w:lvlJc w:val="right"/>
      <w:pPr>
        <w:ind w:left="4320" w:hanging="180"/>
      </w:pPr>
    </w:lvl>
    <w:lvl w:ilvl="6" w:tplc="93BC3A7C" w:tentative="1">
      <w:start w:val="1"/>
      <w:numFmt w:val="decimal"/>
      <w:lvlText w:val="%7."/>
      <w:lvlJc w:val="left"/>
      <w:pPr>
        <w:ind w:left="5040" w:hanging="360"/>
      </w:pPr>
    </w:lvl>
    <w:lvl w:ilvl="7" w:tplc="F10053A2" w:tentative="1">
      <w:start w:val="1"/>
      <w:numFmt w:val="lowerLetter"/>
      <w:lvlText w:val="%8."/>
      <w:lvlJc w:val="left"/>
      <w:pPr>
        <w:ind w:left="5760" w:hanging="360"/>
      </w:pPr>
    </w:lvl>
    <w:lvl w:ilvl="8" w:tplc="DC22BBCA" w:tentative="1">
      <w:start w:val="1"/>
      <w:numFmt w:val="lowerRoman"/>
      <w:lvlText w:val="%9."/>
      <w:lvlJc w:val="right"/>
      <w:pPr>
        <w:ind w:left="6480" w:hanging="180"/>
      </w:pPr>
    </w:lvl>
  </w:abstractNum>
  <w:abstractNum w:abstractNumId="15" w15:restartNumberingAfterBreak="0">
    <w:nsid w:val="710B106D"/>
    <w:multiLevelType w:val="hybridMultilevel"/>
    <w:tmpl w:val="4AA61D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2C545CE"/>
    <w:multiLevelType w:val="hybridMultilevel"/>
    <w:tmpl w:val="C4E66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CD1421"/>
    <w:multiLevelType w:val="hybridMultilevel"/>
    <w:tmpl w:val="EAB49BC6"/>
    <w:lvl w:ilvl="0" w:tplc="7D92BF7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8"/>
  </w:num>
  <w:num w:numId="3">
    <w:abstractNumId w:val="14"/>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15"/>
  </w:num>
  <w:num w:numId="10">
    <w:abstractNumId w:val="5"/>
  </w:num>
  <w:num w:numId="11">
    <w:abstractNumId w:val="6"/>
  </w:num>
  <w:num w:numId="12">
    <w:abstractNumId w:val="16"/>
  </w:num>
  <w:num w:numId="13">
    <w:abstractNumId w:val="11"/>
  </w:num>
  <w:num w:numId="14">
    <w:abstractNumId w:val="9"/>
  </w:num>
  <w:num w:numId="15">
    <w:abstractNumId w:val="13"/>
  </w:num>
  <w:num w:numId="16">
    <w:abstractNumId w:val="7"/>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DA"/>
    <w:rsid w:val="0000170B"/>
    <w:rsid w:val="0000476D"/>
    <w:rsid w:val="00004F6B"/>
    <w:rsid w:val="00006F9E"/>
    <w:rsid w:val="00010420"/>
    <w:rsid w:val="000148C4"/>
    <w:rsid w:val="0001557A"/>
    <w:rsid w:val="00015742"/>
    <w:rsid w:val="00016984"/>
    <w:rsid w:val="00021F56"/>
    <w:rsid w:val="000225F1"/>
    <w:rsid w:val="0002378C"/>
    <w:rsid w:val="000248FD"/>
    <w:rsid w:val="0002526B"/>
    <w:rsid w:val="00026987"/>
    <w:rsid w:val="000276C8"/>
    <w:rsid w:val="000278B3"/>
    <w:rsid w:val="000316F2"/>
    <w:rsid w:val="000332DE"/>
    <w:rsid w:val="00034404"/>
    <w:rsid w:val="000422CB"/>
    <w:rsid w:val="00042759"/>
    <w:rsid w:val="000447D3"/>
    <w:rsid w:val="00045363"/>
    <w:rsid w:val="000464C3"/>
    <w:rsid w:val="000507A8"/>
    <w:rsid w:val="00050F10"/>
    <w:rsid w:val="00051424"/>
    <w:rsid w:val="0005407B"/>
    <w:rsid w:val="00054868"/>
    <w:rsid w:val="00055537"/>
    <w:rsid w:val="00056EAE"/>
    <w:rsid w:val="0005769F"/>
    <w:rsid w:val="000612DF"/>
    <w:rsid w:val="000632D7"/>
    <w:rsid w:val="00063DAF"/>
    <w:rsid w:val="000667AC"/>
    <w:rsid w:val="00066FD5"/>
    <w:rsid w:val="00070FC4"/>
    <w:rsid w:val="000710EC"/>
    <w:rsid w:val="000739F3"/>
    <w:rsid w:val="00073A5C"/>
    <w:rsid w:val="00074456"/>
    <w:rsid w:val="00080050"/>
    <w:rsid w:val="00080D2C"/>
    <w:rsid w:val="00081ACF"/>
    <w:rsid w:val="00081D8C"/>
    <w:rsid w:val="00081F96"/>
    <w:rsid w:val="00086445"/>
    <w:rsid w:val="00086636"/>
    <w:rsid w:val="00087B2B"/>
    <w:rsid w:val="000908C2"/>
    <w:rsid w:val="000910A0"/>
    <w:rsid w:val="000955D5"/>
    <w:rsid w:val="00095C9C"/>
    <w:rsid w:val="000A075C"/>
    <w:rsid w:val="000A1AF5"/>
    <w:rsid w:val="000A252A"/>
    <w:rsid w:val="000A2B89"/>
    <w:rsid w:val="000A3522"/>
    <w:rsid w:val="000A3BA7"/>
    <w:rsid w:val="000A57C1"/>
    <w:rsid w:val="000A6E83"/>
    <w:rsid w:val="000B1981"/>
    <w:rsid w:val="000B228E"/>
    <w:rsid w:val="000B3D17"/>
    <w:rsid w:val="000B4BB4"/>
    <w:rsid w:val="000B4E4F"/>
    <w:rsid w:val="000B5D72"/>
    <w:rsid w:val="000B7472"/>
    <w:rsid w:val="000C35F9"/>
    <w:rsid w:val="000C4F3A"/>
    <w:rsid w:val="000C61B1"/>
    <w:rsid w:val="000D0521"/>
    <w:rsid w:val="000D1CA0"/>
    <w:rsid w:val="000D288A"/>
    <w:rsid w:val="000D431D"/>
    <w:rsid w:val="000D647B"/>
    <w:rsid w:val="000E35DC"/>
    <w:rsid w:val="000E3C1C"/>
    <w:rsid w:val="000E3F2F"/>
    <w:rsid w:val="000E406C"/>
    <w:rsid w:val="000F0778"/>
    <w:rsid w:val="000F0B91"/>
    <w:rsid w:val="000F2D2F"/>
    <w:rsid w:val="000F38DF"/>
    <w:rsid w:val="000F3CC5"/>
    <w:rsid w:val="000F769A"/>
    <w:rsid w:val="000F791D"/>
    <w:rsid w:val="00102A8C"/>
    <w:rsid w:val="00111403"/>
    <w:rsid w:val="00112899"/>
    <w:rsid w:val="0011421F"/>
    <w:rsid w:val="00114282"/>
    <w:rsid w:val="00114F3C"/>
    <w:rsid w:val="001161CA"/>
    <w:rsid w:val="00120CD5"/>
    <w:rsid w:val="001212D9"/>
    <w:rsid w:val="00121FEA"/>
    <w:rsid w:val="00123C16"/>
    <w:rsid w:val="0012554C"/>
    <w:rsid w:val="00125C5D"/>
    <w:rsid w:val="00130298"/>
    <w:rsid w:val="00132AF5"/>
    <w:rsid w:val="0013461E"/>
    <w:rsid w:val="001429C4"/>
    <w:rsid w:val="0014317A"/>
    <w:rsid w:val="001435DD"/>
    <w:rsid w:val="001439B7"/>
    <w:rsid w:val="00143BFE"/>
    <w:rsid w:val="00145898"/>
    <w:rsid w:val="00145E31"/>
    <w:rsid w:val="00163C1E"/>
    <w:rsid w:val="00164E43"/>
    <w:rsid w:val="00170B2C"/>
    <w:rsid w:val="0017120D"/>
    <w:rsid w:val="00173625"/>
    <w:rsid w:val="001768B9"/>
    <w:rsid w:val="001808F6"/>
    <w:rsid w:val="00180A46"/>
    <w:rsid w:val="00180BFC"/>
    <w:rsid w:val="001812C8"/>
    <w:rsid w:val="00184F0E"/>
    <w:rsid w:val="0019021E"/>
    <w:rsid w:val="00191A76"/>
    <w:rsid w:val="0019211D"/>
    <w:rsid w:val="00192D71"/>
    <w:rsid w:val="00195C1E"/>
    <w:rsid w:val="00197521"/>
    <w:rsid w:val="001A0116"/>
    <w:rsid w:val="001A0637"/>
    <w:rsid w:val="001A0A52"/>
    <w:rsid w:val="001A1DBB"/>
    <w:rsid w:val="001A239F"/>
    <w:rsid w:val="001A4CDD"/>
    <w:rsid w:val="001B0358"/>
    <w:rsid w:val="001B1213"/>
    <w:rsid w:val="001B1B70"/>
    <w:rsid w:val="001B776D"/>
    <w:rsid w:val="001C04CA"/>
    <w:rsid w:val="001C19FA"/>
    <w:rsid w:val="001C25EE"/>
    <w:rsid w:val="001C4D70"/>
    <w:rsid w:val="001C52DE"/>
    <w:rsid w:val="001C55DC"/>
    <w:rsid w:val="001C64E4"/>
    <w:rsid w:val="001D0A2D"/>
    <w:rsid w:val="001D14C0"/>
    <w:rsid w:val="001D2152"/>
    <w:rsid w:val="001D4024"/>
    <w:rsid w:val="001D67E0"/>
    <w:rsid w:val="001D760D"/>
    <w:rsid w:val="001E0F37"/>
    <w:rsid w:val="001E12AF"/>
    <w:rsid w:val="001E4B29"/>
    <w:rsid w:val="001E52AA"/>
    <w:rsid w:val="001E7C47"/>
    <w:rsid w:val="001E7FC7"/>
    <w:rsid w:val="001E7FCD"/>
    <w:rsid w:val="001F4913"/>
    <w:rsid w:val="001F52E4"/>
    <w:rsid w:val="001F79AD"/>
    <w:rsid w:val="001F7F61"/>
    <w:rsid w:val="0020107C"/>
    <w:rsid w:val="00203392"/>
    <w:rsid w:val="0020436C"/>
    <w:rsid w:val="0021115C"/>
    <w:rsid w:val="002131AC"/>
    <w:rsid w:val="00213540"/>
    <w:rsid w:val="002143C3"/>
    <w:rsid w:val="00214696"/>
    <w:rsid w:val="00215B4C"/>
    <w:rsid w:val="00215C78"/>
    <w:rsid w:val="002200FC"/>
    <w:rsid w:val="00220D78"/>
    <w:rsid w:val="00221F5B"/>
    <w:rsid w:val="002223EC"/>
    <w:rsid w:val="0022308A"/>
    <w:rsid w:val="00224790"/>
    <w:rsid w:val="00230B6D"/>
    <w:rsid w:val="0023112F"/>
    <w:rsid w:val="002333D4"/>
    <w:rsid w:val="00241C18"/>
    <w:rsid w:val="00241ECB"/>
    <w:rsid w:val="00242D4C"/>
    <w:rsid w:val="00242FFD"/>
    <w:rsid w:val="00252A5D"/>
    <w:rsid w:val="00253469"/>
    <w:rsid w:val="00254663"/>
    <w:rsid w:val="002547FB"/>
    <w:rsid w:val="00254C7D"/>
    <w:rsid w:val="00256280"/>
    <w:rsid w:val="0026082D"/>
    <w:rsid w:val="002614E8"/>
    <w:rsid w:val="00265C9F"/>
    <w:rsid w:val="00272432"/>
    <w:rsid w:val="00276733"/>
    <w:rsid w:val="0027727C"/>
    <w:rsid w:val="00282F6B"/>
    <w:rsid w:val="00292A70"/>
    <w:rsid w:val="00293AE2"/>
    <w:rsid w:val="002948E6"/>
    <w:rsid w:val="002A053B"/>
    <w:rsid w:val="002A0A83"/>
    <w:rsid w:val="002A26C6"/>
    <w:rsid w:val="002A4AFF"/>
    <w:rsid w:val="002A7E69"/>
    <w:rsid w:val="002B0B46"/>
    <w:rsid w:val="002B2FCA"/>
    <w:rsid w:val="002B44E5"/>
    <w:rsid w:val="002B4D8D"/>
    <w:rsid w:val="002B5A50"/>
    <w:rsid w:val="002B5A6D"/>
    <w:rsid w:val="002C2737"/>
    <w:rsid w:val="002C30DA"/>
    <w:rsid w:val="002C37ED"/>
    <w:rsid w:val="002C3D84"/>
    <w:rsid w:val="002C76BB"/>
    <w:rsid w:val="002D4032"/>
    <w:rsid w:val="002D697D"/>
    <w:rsid w:val="002D6B08"/>
    <w:rsid w:val="002D7622"/>
    <w:rsid w:val="002D793D"/>
    <w:rsid w:val="002E0865"/>
    <w:rsid w:val="002E16C3"/>
    <w:rsid w:val="002E3C54"/>
    <w:rsid w:val="002E6DB6"/>
    <w:rsid w:val="002E7C31"/>
    <w:rsid w:val="002F0663"/>
    <w:rsid w:val="002F130F"/>
    <w:rsid w:val="002F2C00"/>
    <w:rsid w:val="002F3B5E"/>
    <w:rsid w:val="002F42B3"/>
    <w:rsid w:val="00300F3F"/>
    <w:rsid w:val="00302F43"/>
    <w:rsid w:val="00305C2A"/>
    <w:rsid w:val="00311261"/>
    <w:rsid w:val="00312425"/>
    <w:rsid w:val="003127D4"/>
    <w:rsid w:val="00312AB0"/>
    <w:rsid w:val="00312C2B"/>
    <w:rsid w:val="00313669"/>
    <w:rsid w:val="00316083"/>
    <w:rsid w:val="003162B4"/>
    <w:rsid w:val="00316BBF"/>
    <w:rsid w:val="00320A60"/>
    <w:rsid w:val="00321B5B"/>
    <w:rsid w:val="0032525C"/>
    <w:rsid w:val="003257A2"/>
    <w:rsid w:val="00327025"/>
    <w:rsid w:val="00327EA5"/>
    <w:rsid w:val="00327F88"/>
    <w:rsid w:val="00331E1E"/>
    <w:rsid w:val="00334C9E"/>
    <w:rsid w:val="00335BC4"/>
    <w:rsid w:val="00336A73"/>
    <w:rsid w:val="0034087A"/>
    <w:rsid w:val="0034254F"/>
    <w:rsid w:val="003436A0"/>
    <w:rsid w:val="003439D5"/>
    <w:rsid w:val="003476BA"/>
    <w:rsid w:val="00352CEE"/>
    <w:rsid w:val="00353B12"/>
    <w:rsid w:val="003547AF"/>
    <w:rsid w:val="003549DC"/>
    <w:rsid w:val="0035500D"/>
    <w:rsid w:val="00356885"/>
    <w:rsid w:val="00357110"/>
    <w:rsid w:val="0035775A"/>
    <w:rsid w:val="00361470"/>
    <w:rsid w:val="0036432D"/>
    <w:rsid w:val="00364EAF"/>
    <w:rsid w:val="00365755"/>
    <w:rsid w:val="00366606"/>
    <w:rsid w:val="00367830"/>
    <w:rsid w:val="0037005A"/>
    <w:rsid w:val="003729FE"/>
    <w:rsid w:val="0037611C"/>
    <w:rsid w:val="003762B5"/>
    <w:rsid w:val="00376AB0"/>
    <w:rsid w:val="00381E34"/>
    <w:rsid w:val="00382FD9"/>
    <w:rsid w:val="00383926"/>
    <w:rsid w:val="00383BCF"/>
    <w:rsid w:val="00385714"/>
    <w:rsid w:val="003904D8"/>
    <w:rsid w:val="00390A08"/>
    <w:rsid w:val="0039123E"/>
    <w:rsid w:val="00393ACB"/>
    <w:rsid w:val="00395175"/>
    <w:rsid w:val="00397555"/>
    <w:rsid w:val="003A15B5"/>
    <w:rsid w:val="003A33F9"/>
    <w:rsid w:val="003B1ECE"/>
    <w:rsid w:val="003B4739"/>
    <w:rsid w:val="003B4CBC"/>
    <w:rsid w:val="003B6C52"/>
    <w:rsid w:val="003B6F1E"/>
    <w:rsid w:val="003B7D7E"/>
    <w:rsid w:val="003C1C5C"/>
    <w:rsid w:val="003D4D94"/>
    <w:rsid w:val="003D50D7"/>
    <w:rsid w:val="003E05A5"/>
    <w:rsid w:val="003E2AA0"/>
    <w:rsid w:val="003E35BA"/>
    <w:rsid w:val="003E60AB"/>
    <w:rsid w:val="003E6CD6"/>
    <w:rsid w:val="003E7015"/>
    <w:rsid w:val="003E7F6D"/>
    <w:rsid w:val="003F03A6"/>
    <w:rsid w:val="003F1D69"/>
    <w:rsid w:val="003F3720"/>
    <w:rsid w:val="003F593E"/>
    <w:rsid w:val="003F7C0A"/>
    <w:rsid w:val="00400170"/>
    <w:rsid w:val="004001BF"/>
    <w:rsid w:val="004012FC"/>
    <w:rsid w:val="00401B9D"/>
    <w:rsid w:val="00401DB8"/>
    <w:rsid w:val="00403649"/>
    <w:rsid w:val="00407DD2"/>
    <w:rsid w:val="004119B9"/>
    <w:rsid w:val="00416E15"/>
    <w:rsid w:val="00417402"/>
    <w:rsid w:val="00417E3C"/>
    <w:rsid w:val="00424203"/>
    <w:rsid w:val="00426F4F"/>
    <w:rsid w:val="0042728E"/>
    <w:rsid w:val="00432967"/>
    <w:rsid w:val="0043437E"/>
    <w:rsid w:val="00434430"/>
    <w:rsid w:val="0044382F"/>
    <w:rsid w:val="00445847"/>
    <w:rsid w:val="00447779"/>
    <w:rsid w:val="00450217"/>
    <w:rsid w:val="004503CC"/>
    <w:rsid w:val="004508ED"/>
    <w:rsid w:val="00451713"/>
    <w:rsid w:val="00453E9A"/>
    <w:rsid w:val="0045435A"/>
    <w:rsid w:val="00454B9B"/>
    <w:rsid w:val="004563D2"/>
    <w:rsid w:val="0045670F"/>
    <w:rsid w:val="004579E6"/>
    <w:rsid w:val="00457CA3"/>
    <w:rsid w:val="0046245E"/>
    <w:rsid w:val="004633CB"/>
    <w:rsid w:val="00465BE5"/>
    <w:rsid w:val="00466D71"/>
    <w:rsid w:val="00467E34"/>
    <w:rsid w:val="004775F8"/>
    <w:rsid w:val="00477DF2"/>
    <w:rsid w:val="0048134C"/>
    <w:rsid w:val="00483B2E"/>
    <w:rsid w:val="00485AF6"/>
    <w:rsid w:val="00490489"/>
    <w:rsid w:val="00491C2A"/>
    <w:rsid w:val="00497C67"/>
    <w:rsid w:val="004A094E"/>
    <w:rsid w:val="004A1C5E"/>
    <w:rsid w:val="004A3B71"/>
    <w:rsid w:val="004A4223"/>
    <w:rsid w:val="004A462F"/>
    <w:rsid w:val="004A54DC"/>
    <w:rsid w:val="004A6410"/>
    <w:rsid w:val="004A7EED"/>
    <w:rsid w:val="004B02B7"/>
    <w:rsid w:val="004B0F73"/>
    <w:rsid w:val="004B32E7"/>
    <w:rsid w:val="004B3843"/>
    <w:rsid w:val="004B3C5D"/>
    <w:rsid w:val="004C1FDD"/>
    <w:rsid w:val="004C3592"/>
    <w:rsid w:val="004C4274"/>
    <w:rsid w:val="004C43C1"/>
    <w:rsid w:val="004C632A"/>
    <w:rsid w:val="004C726A"/>
    <w:rsid w:val="004D05F4"/>
    <w:rsid w:val="004D3218"/>
    <w:rsid w:val="004D3DAD"/>
    <w:rsid w:val="004E1052"/>
    <w:rsid w:val="004E1B42"/>
    <w:rsid w:val="004E4DE7"/>
    <w:rsid w:val="004E5AB2"/>
    <w:rsid w:val="004F1F06"/>
    <w:rsid w:val="004F611D"/>
    <w:rsid w:val="00503320"/>
    <w:rsid w:val="00505412"/>
    <w:rsid w:val="005066F2"/>
    <w:rsid w:val="00506745"/>
    <w:rsid w:val="00507062"/>
    <w:rsid w:val="00512498"/>
    <w:rsid w:val="00515CAC"/>
    <w:rsid w:val="00516958"/>
    <w:rsid w:val="0052205D"/>
    <w:rsid w:val="00522401"/>
    <w:rsid w:val="00523118"/>
    <w:rsid w:val="00525A56"/>
    <w:rsid w:val="005263C2"/>
    <w:rsid w:val="0052675B"/>
    <w:rsid w:val="005273AB"/>
    <w:rsid w:val="00527ECA"/>
    <w:rsid w:val="0053043B"/>
    <w:rsid w:val="00532094"/>
    <w:rsid w:val="005346EA"/>
    <w:rsid w:val="00543203"/>
    <w:rsid w:val="00545FAE"/>
    <w:rsid w:val="00551DD2"/>
    <w:rsid w:val="00554A36"/>
    <w:rsid w:val="005603FD"/>
    <w:rsid w:val="005615AC"/>
    <w:rsid w:val="00562A0A"/>
    <w:rsid w:val="00564165"/>
    <w:rsid w:val="00564265"/>
    <w:rsid w:val="00565CAD"/>
    <w:rsid w:val="00574140"/>
    <w:rsid w:val="00574317"/>
    <w:rsid w:val="00577054"/>
    <w:rsid w:val="00583866"/>
    <w:rsid w:val="00583887"/>
    <w:rsid w:val="00583899"/>
    <w:rsid w:val="00586BA6"/>
    <w:rsid w:val="00587684"/>
    <w:rsid w:val="00592A70"/>
    <w:rsid w:val="00597E3C"/>
    <w:rsid w:val="005A03A2"/>
    <w:rsid w:val="005A05D6"/>
    <w:rsid w:val="005A1D80"/>
    <w:rsid w:val="005A25DE"/>
    <w:rsid w:val="005A3554"/>
    <w:rsid w:val="005A3E5B"/>
    <w:rsid w:val="005A5531"/>
    <w:rsid w:val="005A565A"/>
    <w:rsid w:val="005A571C"/>
    <w:rsid w:val="005B00E4"/>
    <w:rsid w:val="005B2ADB"/>
    <w:rsid w:val="005B2B87"/>
    <w:rsid w:val="005B3411"/>
    <w:rsid w:val="005B39B6"/>
    <w:rsid w:val="005B49D0"/>
    <w:rsid w:val="005B626C"/>
    <w:rsid w:val="005C36FC"/>
    <w:rsid w:val="005C3E60"/>
    <w:rsid w:val="005C7E1A"/>
    <w:rsid w:val="005C7F61"/>
    <w:rsid w:val="005D206D"/>
    <w:rsid w:val="005D2FA2"/>
    <w:rsid w:val="005D4104"/>
    <w:rsid w:val="005D4B26"/>
    <w:rsid w:val="005D50B7"/>
    <w:rsid w:val="005D570C"/>
    <w:rsid w:val="005E0286"/>
    <w:rsid w:val="005E0DED"/>
    <w:rsid w:val="005E3AAA"/>
    <w:rsid w:val="005E649A"/>
    <w:rsid w:val="005F6FE9"/>
    <w:rsid w:val="005F7BE2"/>
    <w:rsid w:val="00604A42"/>
    <w:rsid w:val="00604BD6"/>
    <w:rsid w:val="0060539A"/>
    <w:rsid w:val="00610C5F"/>
    <w:rsid w:val="00613D9F"/>
    <w:rsid w:val="00615BB4"/>
    <w:rsid w:val="00620EB3"/>
    <w:rsid w:val="00620EE1"/>
    <w:rsid w:val="0062241A"/>
    <w:rsid w:val="00623C5C"/>
    <w:rsid w:val="006300ED"/>
    <w:rsid w:val="006328D7"/>
    <w:rsid w:val="00633731"/>
    <w:rsid w:val="00634EAB"/>
    <w:rsid w:val="00635C94"/>
    <w:rsid w:val="00637D6B"/>
    <w:rsid w:val="006405A4"/>
    <w:rsid w:val="00640E25"/>
    <w:rsid w:val="00640F75"/>
    <w:rsid w:val="006426A7"/>
    <w:rsid w:val="0064388C"/>
    <w:rsid w:val="00647B11"/>
    <w:rsid w:val="0065156C"/>
    <w:rsid w:val="00651D54"/>
    <w:rsid w:val="006540BD"/>
    <w:rsid w:val="006633D6"/>
    <w:rsid w:val="006636D5"/>
    <w:rsid w:val="0066447F"/>
    <w:rsid w:val="00664D78"/>
    <w:rsid w:val="00665530"/>
    <w:rsid w:val="006671E5"/>
    <w:rsid w:val="006706D4"/>
    <w:rsid w:val="00671B82"/>
    <w:rsid w:val="00673290"/>
    <w:rsid w:val="00675AB2"/>
    <w:rsid w:val="00681E34"/>
    <w:rsid w:val="0068348F"/>
    <w:rsid w:val="006854E5"/>
    <w:rsid w:val="006865FB"/>
    <w:rsid w:val="00687381"/>
    <w:rsid w:val="00687829"/>
    <w:rsid w:val="00687D51"/>
    <w:rsid w:val="00690171"/>
    <w:rsid w:val="0069045E"/>
    <w:rsid w:val="00692673"/>
    <w:rsid w:val="006941D8"/>
    <w:rsid w:val="006943B5"/>
    <w:rsid w:val="00694A04"/>
    <w:rsid w:val="00695A97"/>
    <w:rsid w:val="006972B7"/>
    <w:rsid w:val="006A1344"/>
    <w:rsid w:val="006A2D4B"/>
    <w:rsid w:val="006A6CB0"/>
    <w:rsid w:val="006A7DD2"/>
    <w:rsid w:val="006B1DEC"/>
    <w:rsid w:val="006B28DB"/>
    <w:rsid w:val="006B337D"/>
    <w:rsid w:val="006B454A"/>
    <w:rsid w:val="006B56C9"/>
    <w:rsid w:val="006B6370"/>
    <w:rsid w:val="006B6F8C"/>
    <w:rsid w:val="006B7D6B"/>
    <w:rsid w:val="006C2413"/>
    <w:rsid w:val="006C2C2D"/>
    <w:rsid w:val="006C33E8"/>
    <w:rsid w:val="006C5583"/>
    <w:rsid w:val="006C63A9"/>
    <w:rsid w:val="006D357A"/>
    <w:rsid w:val="006D39EC"/>
    <w:rsid w:val="006D45DB"/>
    <w:rsid w:val="006D6490"/>
    <w:rsid w:val="006E2D66"/>
    <w:rsid w:val="006E3EF0"/>
    <w:rsid w:val="006E6B95"/>
    <w:rsid w:val="006E76FB"/>
    <w:rsid w:val="006E7CF9"/>
    <w:rsid w:val="006F3FF4"/>
    <w:rsid w:val="006F401C"/>
    <w:rsid w:val="006F547C"/>
    <w:rsid w:val="006F669D"/>
    <w:rsid w:val="006F6AD0"/>
    <w:rsid w:val="006F7B06"/>
    <w:rsid w:val="007001CF"/>
    <w:rsid w:val="007005FF"/>
    <w:rsid w:val="00703DA4"/>
    <w:rsid w:val="00704B27"/>
    <w:rsid w:val="00705A4C"/>
    <w:rsid w:val="007061F5"/>
    <w:rsid w:val="0071046F"/>
    <w:rsid w:val="0071084E"/>
    <w:rsid w:val="00710904"/>
    <w:rsid w:val="00712781"/>
    <w:rsid w:val="007205D3"/>
    <w:rsid w:val="007217B8"/>
    <w:rsid w:val="00721805"/>
    <w:rsid w:val="00722ED3"/>
    <w:rsid w:val="007305BB"/>
    <w:rsid w:val="007310F7"/>
    <w:rsid w:val="0073578F"/>
    <w:rsid w:val="00736659"/>
    <w:rsid w:val="00736E71"/>
    <w:rsid w:val="00743C1E"/>
    <w:rsid w:val="007441DC"/>
    <w:rsid w:val="00747C12"/>
    <w:rsid w:val="0075251D"/>
    <w:rsid w:val="00755F72"/>
    <w:rsid w:val="007576F7"/>
    <w:rsid w:val="007603B5"/>
    <w:rsid w:val="0076520A"/>
    <w:rsid w:val="007653DF"/>
    <w:rsid w:val="007677C7"/>
    <w:rsid w:val="007706DA"/>
    <w:rsid w:val="00770972"/>
    <w:rsid w:val="0077229E"/>
    <w:rsid w:val="00773B0F"/>
    <w:rsid w:val="00775227"/>
    <w:rsid w:val="0077662A"/>
    <w:rsid w:val="00780B2D"/>
    <w:rsid w:val="0078180D"/>
    <w:rsid w:val="00781B36"/>
    <w:rsid w:val="00782432"/>
    <w:rsid w:val="00782525"/>
    <w:rsid w:val="0078575A"/>
    <w:rsid w:val="00790BBC"/>
    <w:rsid w:val="00792C17"/>
    <w:rsid w:val="007943FF"/>
    <w:rsid w:val="00797162"/>
    <w:rsid w:val="007A14FB"/>
    <w:rsid w:val="007A179D"/>
    <w:rsid w:val="007A1FC8"/>
    <w:rsid w:val="007A24C4"/>
    <w:rsid w:val="007A3BFB"/>
    <w:rsid w:val="007A544F"/>
    <w:rsid w:val="007A7298"/>
    <w:rsid w:val="007A7777"/>
    <w:rsid w:val="007B04B6"/>
    <w:rsid w:val="007B3055"/>
    <w:rsid w:val="007B5D62"/>
    <w:rsid w:val="007B6763"/>
    <w:rsid w:val="007B7F86"/>
    <w:rsid w:val="007C08C1"/>
    <w:rsid w:val="007C2456"/>
    <w:rsid w:val="007C4D5F"/>
    <w:rsid w:val="007C66CC"/>
    <w:rsid w:val="007C68E0"/>
    <w:rsid w:val="007C77F9"/>
    <w:rsid w:val="007D1A04"/>
    <w:rsid w:val="007D25EF"/>
    <w:rsid w:val="007D31D0"/>
    <w:rsid w:val="007D4094"/>
    <w:rsid w:val="007D4EB8"/>
    <w:rsid w:val="007D510F"/>
    <w:rsid w:val="007E1D1A"/>
    <w:rsid w:val="007E1F9F"/>
    <w:rsid w:val="007E39DC"/>
    <w:rsid w:val="007F0CBB"/>
    <w:rsid w:val="007F12A1"/>
    <w:rsid w:val="007F1510"/>
    <w:rsid w:val="007F1A0C"/>
    <w:rsid w:val="007F23E0"/>
    <w:rsid w:val="007F539C"/>
    <w:rsid w:val="007F6F02"/>
    <w:rsid w:val="00800805"/>
    <w:rsid w:val="00801573"/>
    <w:rsid w:val="0080362F"/>
    <w:rsid w:val="00807F69"/>
    <w:rsid w:val="008154A4"/>
    <w:rsid w:val="008170FE"/>
    <w:rsid w:val="0081736E"/>
    <w:rsid w:val="00817B19"/>
    <w:rsid w:val="00821DA1"/>
    <w:rsid w:val="00822A79"/>
    <w:rsid w:val="0082415E"/>
    <w:rsid w:val="00827423"/>
    <w:rsid w:val="0083206D"/>
    <w:rsid w:val="00832546"/>
    <w:rsid w:val="008348DB"/>
    <w:rsid w:val="00841BB8"/>
    <w:rsid w:val="00841BFE"/>
    <w:rsid w:val="00841C85"/>
    <w:rsid w:val="008449A9"/>
    <w:rsid w:val="008473D8"/>
    <w:rsid w:val="00847AF6"/>
    <w:rsid w:val="00852CF2"/>
    <w:rsid w:val="008540E2"/>
    <w:rsid w:val="00855607"/>
    <w:rsid w:val="008600F5"/>
    <w:rsid w:val="0086122D"/>
    <w:rsid w:val="0086205D"/>
    <w:rsid w:val="00866ED4"/>
    <w:rsid w:val="00867119"/>
    <w:rsid w:val="00870336"/>
    <w:rsid w:val="0087490C"/>
    <w:rsid w:val="008754E2"/>
    <w:rsid w:val="00876D93"/>
    <w:rsid w:val="00882D4B"/>
    <w:rsid w:val="00885D66"/>
    <w:rsid w:val="008879FD"/>
    <w:rsid w:val="00887CFD"/>
    <w:rsid w:val="00890403"/>
    <w:rsid w:val="0089041C"/>
    <w:rsid w:val="008904D3"/>
    <w:rsid w:val="00893AEC"/>
    <w:rsid w:val="00894676"/>
    <w:rsid w:val="00896D22"/>
    <w:rsid w:val="008A2C67"/>
    <w:rsid w:val="008A341A"/>
    <w:rsid w:val="008A403D"/>
    <w:rsid w:val="008A4E76"/>
    <w:rsid w:val="008A617F"/>
    <w:rsid w:val="008A7B16"/>
    <w:rsid w:val="008B47C1"/>
    <w:rsid w:val="008B5CC1"/>
    <w:rsid w:val="008C07D2"/>
    <w:rsid w:val="008C10A0"/>
    <w:rsid w:val="008C1EC8"/>
    <w:rsid w:val="008C541A"/>
    <w:rsid w:val="008C774C"/>
    <w:rsid w:val="008D1098"/>
    <w:rsid w:val="008D135D"/>
    <w:rsid w:val="008D3CE6"/>
    <w:rsid w:val="008D3D05"/>
    <w:rsid w:val="008E05CF"/>
    <w:rsid w:val="008E101D"/>
    <w:rsid w:val="008E2264"/>
    <w:rsid w:val="008E2362"/>
    <w:rsid w:val="008E240B"/>
    <w:rsid w:val="008E2DAA"/>
    <w:rsid w:val="008E323F"/>
    <w:rsid w:val="008E40BE"/>
    <w:rsid w:val="008F1518"/>
    <w:rsid w:val="008F2319"/>
    <w:rsid w:val="008F3736"/>
    <w:rsid w:val="008F4D5C"/>
    <w:rsid w:val="008F5842"/>
    <w:rsid w:val="008F6C9D"/>
    <w:rsid w:val="00900A4E"/>
    <w:rsid w:val="0090100A"/>
    <w:rsid w:val="00901820"/>
    <w:rsid w:val="00901ADD"/>
    <w:rsid w:val="0090223F"/>
    <w:rsid w:val="0090340E"/>
    <w:rsid w:val="00903C92"/>
    <w:rsid w:val="00905BF8"/>
    <w:rsid w:val="0090700A"/>
    <w:rsid w:val="009114F9"/>
    <w:rsid w:val="00915239"/>
    <w:rsid w:val="00915E3C"/>
    <w:rsid w:val="0091638A"/>
    <w:rsid w:val="009200B0"/>
    <w:rsid w:val="00921EA0"/>
    <w:rsid w:val="00923C12"/>
    <w:rsid w:val="009253C3"/>
    <w:rsid w:val="00927BDD"/>
    <w:rsid w:val="00931849"/>
    <w:rsid w:val="0093219A"/>
    <w:rsid w:val="00932837"/>
    <w:rsid w:val="009329F2"/>
    <w:rsid w:val="009332FD"/>
    <w:rsid w:val="00933674"/>
    <w:rsid w:val="00937CEB"/>
    <w:rsid w:val="0094218D"/>
    <w:rsid w:val="00943064"/>
    <w:rsid w:val="00943A5A"/>
    <w:rsid w:val="00944C6E"/>
    <w:rsid w:val="009451BA"/>
    <w:rsid w:val="009464DF"/>
    <w:rsid w:val="009500A3"/>
    <w:rsid w:val="00951C20"/>
    <w:rsid w:val="00955BAE"/>
    <w:rsid w:val="00956729"/>
    <w:rsid w:val="00956DBB"/>
    <w:rsid w:val="009606FF"/>
    <w:rsid w:val="0096115D"/>
    <w:rsid w:val="0096145E"/>
    <w:rsid w:val="00962341"/>
    <w:rsid w:val="009627A5"/>
    <w:rsid w:val="0096474B"/>
    <w:rsid w:val="009652E5"/>
    <w:rsid w:val="00965D9D"/>
    <w:rsid w:val="009674D0"/>
    <w:rsid w:val="00967D25"/>
    <w:rsid w:val="00976350"/>
    <w:rsid w:val="009837B1"/>
    <w:rsid w:val="00986580"/>
    <w:rsid w:val="00990524"/>
    <w:rsid w:val="00991566"/>
    <w:rsid w:val="00995038"/>
    <w:rsid w:val="009956F6"/>
    <w:rsid w:val="00995D17"/>
    <w:rsid w:val="009A3E71"/>
    <w:rsid w:val="009A55FF"/>
    <w:rsid w:val="009B0B16"/>
    <w:rsid w:val="009B1FCC"/>
    <w:rsid w:val="009B3639"/>
    <w:rsid w:val="009B5F28"/>
    <w:rsid w:val="009C0DFE"/>
    <w:rsid w:val="009C4201"/>
    <w:rsid w:val="009C686F"/>
    <w:rsid w:val="009D0C83"/>
    <w:rsid w:val="009D168F"/>
    <w:rsid w:val="009E012A"/>
    <w:rsid w:val="009E377D"/>
    <w:rsid w:val="009E5459"/>
    <w:rsid w:val="009F1523"/>
    <w:rsid w:val="009F1F96"/>
    <w:rsid w:val="009F53BB"/>
    <w:rsid w:val="00A00A07"/>
    <w:rsid w:val="00A0275A"/>
    <w:rsid w:val="00A0671C"/>
    <w:rsid w:val="00A06F72"/>
    <w:rsid w:val="00A06F7B"/>
    <w:rsid w:val="00A11817"/>
    <w:rsid w:val="00A11F7D"/>
    <w:rsid w:val="00A12211"/>
    <w:rsid w:val="00A12B2E"/>
    <w:rsid w:val="00A13086"/>
    <w:rsid w:val="00A202A9"/>
    <w:rsid w:val="00A22C28"/>
    <w:rsid w:val="00A243FE"/>
    <w:rsid w:val="00A250A2"/>
    <w:rsid w:val="00A26647"/>
    <w:rsid w:val="00A27303"/>
    <w:rsid w:val="00A2764C"/>
    <w:rsid w:val="00A27A4C"/>
    <w:rsid w:val="00A32693"/>
    <w:rsid w:val="00A337A5"/>
    <w:rsid w:val="00A339F4"/>
    <w:rsid w:val="00A357DC"/>
    <w:rsid w:val="00A37727"/>
    <w:rsid w:val="00A37E6A"/>
    <w:rsid w:val="00A431C4"/>
    <w:rsid w:val="00A455B7"/>
    <w:rsid w:val="00A46B61"/>
    <w:rsid w:val="00A47EA5"/>
    <w:rsid w:val="00A47FDD"/>
    <w:rsid w:val="00A526D3"/>
    <w:rsid w:val="00A53AC5"/>
    <w:rsid w:val="00A55033"/>
    <w:rsid w:val="00A57B0B"/>
    <w:rsid w:val="00A60925"/>
    <w:rsid w:val="00A62710"/>
    <w:rsid w:val="00A63BA4"/>
    <w:rsid w:val="00A66C78"/>
    <w:rsid w:val="00A67F78"/>
    <w:rsid w:val="00A74E59"/>
    <w:rsid w:val="00A757AA"/>
    <w:rsid w:val="00A75F9B"/>
    <w:rsid w:val="00A77AFD"/>
    <w:rsid w:val="00A8198D"/>
    <w:rsid w:val="00A8291F"/>
    <w:rsid w:val="00A83514"/>
    <w:rsid w:val="00A87B38"/>
    <w:rsid w:val="00A9090F"/>
    <w:rsid w:val="00A9413D"/>
    <w:rsid w:val="00A94F5B"/>
    <w:rsid w:val="00AA547D"/>
    <w:rsid w:val="00AA64F1"/>
    <w:rsid w:val="00AA75DA"/>
    <w:rsid w:val="00AB77B2"/>
    <w:rsid w:val="00AC4857"/>
    <w:rsid w:val="00AC5751"/>
    <w:rsid w:val="00AD0375"/>
    <w:rsid w:val="00AD09E4"/>
    <w:rsid w:val="00AD598E"/>
    <w:rsid w:val="00AE49E0"/>
    <w:rsid w:val="00AE50A5"/>
    <w:rsid w:val="00AE7516"/>
    <w:rsid w:val="00AF1D53"/>
    <w:rsid w:val="00AF314E"/>
    <w:rsid w:val="00AF6C67"/>
    <w:rsid w:val="00AF7444"/>
    <w:rsid w:val="00B02982"/>
    <w:rsid w:val="00B03056"/>
    <w:rsid w:val="00B045E3"/>
    <w:rsid w:val="00B05637"/>
    <w:rsid w:val="00B066AF"/>
    <w:rsid w:val="00B10859"/>
    <w:rsid w:val="00B1378C"/>
    <w:rsid w:val="00B15822"/>
    <w:rsid w:val="00B16695"/>
    <w:rsid w:val="00B228AD"/>
    <w:rsid w:val="00B236F4"/>
    <w:rsid w:val="00B23C52"/>
    <w:rsid w:val="00B23E90"/>
    <w:rsid w:val="00B259A7"/>
    <w:rsid w:val="00B26D2B"/>
    <w:rsid w:val="00B27BD8"/>
    <w:rsid w:val="00B307D6"/>
    <w:rsid w:val="00B30839"/>
    <w:rsid w:val="00B30A48"/>
    <w:rsid w:val="00B336D0"/>
    <w:rsid w:val="00B338E7"/>
    <w:rsid w:val="00B35DD4"/>
    <w:rsid w:val="00B36997"/>
    <w:rsid w:val="00B41D1F"/>
    <w:rsid w:val="00B423AE"/>
    <w:rsid w:val="00B44E93"/>
    <w:rsid w:val="00B4533D"/>
    <w:rsid w:val="00B45700"/>
    <w:rsid w:val="00B4576A"/>
    <w:rsid w:val="00B45F5C"/>
    <w:rsid w:val="00B46187"/>
    <w:rsid w:val="00B461F1"/>
    <w:rsid w:val="00B54149"/>
    <w:rsid w:val="00B546EF"/>
    <w:rsid w:val="00B54F31"/>
    <w:rsid w:val="00B55068"/>
    <w:rsid w:val="00B573D1"/>
    <w:rsid w:val="00B57581"/>
    <w:rsid w:val="00B606CF"/>
    <w:rsid w:val="00B62880"/>
    <w:rsid w:val="00B65123"/>
    <w:rsid w:val="00B656B4"/>
    <w:rsid w:val="00B66C19"/>
    <w:rsid w:val="00B66DBD"/>
    <w:rsid w:val="00B67657"/>
    <w:rsid w:val="00B715A3"/>
    <w:rsid w:val="00B71F67"/>
    <w:rsid w:val="00B72200"/>
    <w:rsid w:val="00B731D2"/>
    <w:rsid w:val="00B73F7C"/>
    <w:rsid w:val="00B770E9"/>
    <w:rsid w:val="00B7784D"/>
    <w:rsid w:val="00B77A7B"/>
    <w:rsid w:val="00B80A55"/>
    <w:rsid w:val="00B8104E"/>
    <w:rsid w:val="00B8431F"/>
    <w:rsid w:val="00B858DA"/>
    <w:rsid w:val="00B91560"/>
    <w:rsid w:val="00B9217A"/>
    <w:rsid w:val="00B9450E"/>
    <w:rsid w:val="00B953A2"/>
    <w:rsid w:val="00BB032A"/>
    <w:rsid w:val="00BB107A"/>
    <w:rsid w:val="00BC0063"/>
    <w:rsid w:val="00BC0BA3"/>
    <w:rsid w:val="00BC49D6"/>
    <w:rsid w:val="00BC5554"/>
    <w:rsid w:val="00BC5699"/>
    <w:rsid w:val="00BC6630"/>
    <w:rsid w:val="00BD08ED"/>
    <w:rsid w:val="00BD0E82"/>
    <w:rsid w:val="00BD1868"/>
    <w:rsid w:val="00BD38E3"/>
    <w:rsid w:val="00BD3B75"/>
    <w:rsid w:val="00BD4D05"/>
    <w:rsid w:val="00BD7B58"/>
    <w:rsid w:val="00BE1792"/>
    <w:rsid w:val="00BE2BAD"/>
    <w:rsid w:val="00BE376A"/>
    <w:rsid w:val="00BE4177"/>
    <w:rsid w:val="00BE4680"/>
    <w:rsid w:val="00BE5721"/>
    <w:rsid w:val="00BE58B4"/>
    <w:rsid w:val="00BF0F55"/>
    <w:rsid w:val="00BF4232"/>
    <w:rsid w:val="00BF52DD"/>
    <w:rsid w:val="00BF55B3"/>
    <w:rsid w:val="00BF56BF"/>
    <w:rsid w:val="00C01661"/>
    <w:rsid w:val="00C01BD1"/>
    <w:rsid w:val="00C0245D"/>
    <w:rsid w:val="00C03E40"/>
    <w:rsid w:val="00C04356"/>
    <w:rsid w:val="00C07F61"/>
    <w:rsid w:val="00C112B7"/>
    <w:rsid w:val="00C11CC2"/>
    <w:rsid w:val="00C11EB2"/>
    <w:rsid w:val="00C14559"/>
    <w:rsid w:val="00C14D9F"/>
    <w:rsid w:val="00C152BD"/>
    <w:rsid w:val="00C158AC"/>
    <w:rsid w:val="00C15B91"/>
    <w:rsid w:val="00C22634"/>
    <w:rsid w:val="00C24302"/>
    <w:rsid w:val="00C247DA"/>
    <w:rsid w:val="00C25630"/>
    <w:rsid w:val="00C26363"/>
    <w:rsid w:val="00C31144"/>
    <w:rsid w:val="00C320AA"/>
    <w:rsid w:val="00C35720"/>
    <w:rsid w:val="00C35A2A"/>
    <w:rsid w:val="00C41CF7"/>
    <w:rsid w:val="00C42782"/>
    <w:rsid w:val="00C464E5"/>
    <w:rsid w:val="00C51BEC"/>
    <w:rsid w:val="00C5576C"/>
    <w:rsid w:val="00C57542"/>
    <w:rsid w:val="00C57A6A"/>
    <w:rsid w:val="00C57BBD"/>
    <w:rsid w:val="00C61EBC"/>
    <w:rsid w:val="00C62717"/>
    <w:rsid w:val="00C62829"/>
    <w:rsid w:val="00C631DA"/>
    <w:rsid w:val="00C645B4"/>
    <w:rsid w:val="00C65E92"/>
    <w:rsid w:val="00C665F8"/>
    <w:rsid w:val="00C7037E"/>
    <w:rsid w:val="00C71A26"/>
    <w:rsid w:val="00C72EDF"/>
    <w:rsid w:val="00C7395F"/>
    <w:rsid w:val="00C74BF3"/>
    <w:rsid w:val="00C74DC4"/>
    <w:rsid w:val="00C812C4"/>
    <w:rsid w:val="00C83945"/>
    <w:rsid w:val="00C86234"/>
    <w:rsid w:val="00C8641A"/>
    <w:rsid w:val="00C87B04"/>
    <w:rsid w:val="00C90434"/>
    <w:rsid w:val="00C91472"/>
    <w:rsid w:val="00C91604"/>
    <w:rsid w:val="00C916B9"/>
    <w:rsid w:val="00C91BA9"/>
    <w:rsid w:val="00C9296D"/>
    <w:rsid w:val="00C93F3E"/>
    <w:rsid w:val="00C97049"/>
    <w:rsid w:val="00CA191F"/>
    <w:rsid w:val="00CA34CB"/>
    <w:rsid w:val="00CA4A64"/>
    <w:rsid w:val="00CA4B5E"/>
    <w:rsid w:val="00CA68E5"/>
    <w:rsid w:val="00CA6F75"/>
    <w:rsid w:val="00CB2570"/>
    <w:rsid w:val="00CB425D"/>
    <w:rsid w:val="00CB587A"/>
    <w:rsid w:val="00CB607D"/>
    <w:rsid w:val="00CB74A8"/>
    <w:rsid w:val="00CC05FD"/>
    <w:rsid w:val="00CC21C3"/>
    <w:rsid w:val="00CC2769"/>
    <w:rsid w:val="00CC394E"/>
    <w:rsid w:val="00CC39A1"/>
    <w:rsid w:val="00CC3C71"/>
    <w:rsid w:val="00CC4E09"/>
    <w:rsid w:val="00CC7898"/>
    <w:rsid w:val="00CD2A7B"/>
    <w:rsid w:val="00CD4693"/>
    <w:rsid w:val="00CD5382"/>
    <w:rsid w:val="00CD6764"/>
    <w:rsid w:val="00CD6F6D"/>
    <w:rsid w:val="00CD76B1"/>
    <w:rsid w:val="00CD7E9A"/>
    <w:rsid w:val="00CE00F7"/>
    <w:rsid w:val="00CE2FEC"/>
    <w:rsid w:val="00CE3649"/>
    <w:rsid w:val="00CE388F"/>
    <w:rsid w:val="00CF0E03"/>
    <w:rsid w:val="00CF266F"/>
    <w:rsid w:val="00CF2DFC"/>
    <w:rsid w:val="00CF437D"/>
    <w:rsid w:val="00CF6877"/>
    <w:rsid w:val="00CF6D79"/>
    <w:rsid w:val="00D03BE9"/>
    <w:rsid w:val="00D0489B"/>
    <w:rsid w:val="00D060AE"/>
    <w:rsid w:val="00D073FE"/>
    <w:rsid w:val="00D10502"/>
    <w:rsid w:val="00D12371"/>
    <w:rsid w:val="00D145E6"/>
    <w:rsid w:val="00D14E0E"/>
    <w:rsid w:val="00D15BC2"/>
    <w:rsid w:val="00D17CDA"/>
    <w:rsid w:val="00D21CA2"/>
    <w:rsid w:val="00D22293"/>
    <w:rsid w:val="00D226D3"/>
    <w:rsid w:val="00D2306F"/>
    <w:rsid w:val="00D24B5C"/>
    <w:rsid w:val="00D26034"/>
    <w:rsid w:val="00D261AD"/>
    <w:rsid w:val="00D275F2"/>
    <w:rsid w:val="00D30B9E"/>
    <w:rsid w:val="00D33349"/>
    <w:rsid w:val="00D3420C"/>
    <w:rsid w:val="00D34E39"/>
    <w:rsid w:val="00D35950"/>
    <w:rsid w:val="00D41E49"/>
    <w:rsid w:val="00D42D16"/>
    <w:rsid w:val="00D444FD"/>
    <w:rsid w:val="00D47C35"/>
    <w:rsid w:val="00D5160F"/>
    <w:rsid w:val="00D537CF"/>
    <w:rsid w:val="00D60C74"/>
    <w:rsid w:val="00D63464"/>
    <w:rsid w:val="00D63998"/>
    <w:rsid w:val="00D661C3"/>
    <w:rsid w:val="00D67C1F"/>
    <w:rsid w:val="00D72535"/>
    <w:rsid w:val="00D74AAE"/>
    <w:rsid w:val="00D74E99"/>
    <w:rsid w:val="00D772BE"/>
    <w:rsid w:val="00D81330"/>
    <w:rsid w:val="00D8134C"/>
    <w:rsid w:val="00D81DF4"/>
    <w:rsid w:val="00D84F62"/>
    <w:rsid w:val="00D87A55"/>
    <w:rsid w:val="00D90F7C"/>
    <w:rsid w:val="00D927B7"/>
    <w:rsid w:val="00D947CC"/>
    <w:rsid w:val="00D95422"/>
    <w:rsid w:val="00D96878"/>
    <w:rsid w:val="00DA54C8"/>
    <w:rsid w:val="00DA64D9"/>
    <w:rsid w:val="00DA6CE2"/>
    <w:rsid w:val="00DA6E94"/>
    <w:rsid w:val="00DB0F77"/>
    <w:rsid w:val="00DB650A"/>
    <w:rsid w:val="00DB7BEE"/>
    <w:rsid w:val="00DC2294"/>
    <w:rsid w:val="00DC58F6"/>
    <w:rsid w:val="00DC5939"/>
    <w:rsid w:val="00DD0635"/>
    <w:rsid w:val="00DD0D0E"/>
    <w:rsid w:val="00DD34D5"/>
    <w:rsid w:val="00DD35EA"/>
    <w:rsid w:val="00DD3A16"/>
    <w:rsid w:val="00DD3C64"/>
    <w:rsid w:val="00DD4BC1"/>
    <w:rsid w:val="00DD6089"/>
    <w:rsid w:val="00DE183D"/>
    <w:rsid w:val="00DE2EBF"/>
    <w:rsid w:val="00DE5FD2"/>
    <w:rsid w:val="00DE6E6A"/>
    <w:rsid w:val="00DF2BD8"/>
    <w:rsid w:val="00DF33F9"/>
    <w:rsid w:val="00DF50A0"/>
    <w:rsid w:val="00DF5513"/>
    <w:rsid w:val="00DF5AC4"/>
    <w:rsid w:val="00DF5EFF"/>
    <w:rsid w:val="00DF6056"/>
    <w:rsid w:val="00E01C92"/>
    <w:rsid w:val="00E02B73"/>
    <w:rsid w:val="00E03416"/>
    <w:rsid w:val="00E034AC"/>
    <w:rsid w:val="00E06CC8"/>
    <w:rsid w:val="00E07BB8"/>
    <w:rsid w:val="00E11B34"/>
    <w:rsid w:val="00E135B1"/>
    <w:rsid w:val="00E1582A"/>
    <w:rsid w:val="00E17249"/>
    <w:rsid w:val="00E175F0"/>
    <w:rsid w:val="00E209D5"/>
    <w:rsid w:val="00E21BEE"/>
    <w:rsid w:val="00E23EC6"/>
    <w:rsid w:val="00E24235"/>
    <w:rsid w:val="00E25191"/>
    <w:rsid w:val="00E32305"/>
    <w:rsid w:val="00E326C5"/>
    <w:rsid w:val="00E33506"/>
    <w:rsid w:val="00E338FF"/>
    <w:rsid w:val="00E35228"/>
    <w:rsid w:val="00E359B0"/>
    <w:rsid w:val="00E37385"/>
    <w:rsid w:val="00E376A7"/>
    <w:rsid w:val="00E415BF"/>
    <w:rsid w:val="00E420D4"/>
    <w:rsid w:val="00E503D3"/>
    <w:rsid w:val="00E5069A"/>
    <w:rsid w:val="00E50B81"/>
    <w:rsid w:val="00E50CB3"/>
    <w:rsid w:val="00E515B5"/>
    <w:rsid w:val="00E522FA"/>
    <w:rsid w:val="00E52DC6"/>
    <w:rsid w:val="00E53298"/>
    <w:rsid w:val="00E5575F"/>
    <w:rsid w:val="00E63682"/>
    <w:rsid w:val="00E65394"/>
    <w:rsid w:val="00E6732E"/>
    <w:rsid w:val="00E6751B"/>
    <w:rsid w:val="00E75AC3"/>
    <w:rsid w:val="00E77274"/>
    <w:rsid w:val="00E77796"/>
    <w:rsid w:val="00E80417"/>
    <w:rsid w:val="00E819E2"/>
    <w:rsid w:val="00E83EC3"/>
    <w:rsid w:val="00E87B45"/>
    <w:rsid w:val="00E87BD8"/>
    <w:rsid w:val="00E91574"/>
    <w:rsid w:val="00EA1670"/>
    <w:rsid w:val="00EA16D2"/>
    <w:rsid w:val="00EA35BA"/>
    <w:rsid w:val="00EA3F0E"/>
    <w:rsid w:val="00EA4780"/>
    <w:rsid w:val="00EA5C44"/>
    <w:rsid w:val="00EA5CB8"/>
    <w:rsid w:val="00EA6321"/>
    <w:rsid w:val="00EA7679"/>
    <w:rsid w:val="00EB2149"/>
    <w:rsid w:val="00EB2A15"/>
    <w:rsid w:val="00EB2EDA"/>
    <w:rsid w:val="00EB5A95"/>
    <w:rsid w:val="00EB5F92"/>
    <w:rsid w:val="00EB68D6"/>
    <w:rsid w:val="00EC0713"/>
    <w:rsid w:val="00EC411C"/>
    <w:rsid w:val="00EC4A09"/>
    <w:rsid w:val="00EC4B2A"/>
    <w:rsid w:val="00EC5873"/>
    <w:rsid w:val="00EC6CBB"/>
    <w:rsid w:val="00ED2EDF"/>
    <w:rsid w:val="00ED4F31"/>
    <w:rsid w:val="00EE01FB"/>
    <w:rsid w:val="00EE03F6"/>
    <w:rsid w:val="00EE312C"/>
    <w:rsid w:val="00EE49C4"/>
    <w:rsid w:val="00EE6188"/>
    <w:rsid w:val="00EE6EC4"/>
    <w:rsid w:val="00EE78BB"/>
    <w:rsid w:val="00EF0AA7"/>
    <w:rsid w:val="00EF0DFD"/>
    <w:rsid w:val="00EF1371"/>
    <w:rsid w:val="00EF3452"/>
    <w:rsid w:val="00EF4BA6"/>
    <w:rsid w:val="00F00F50"/>
    <w:rsid w:val="00F01E3B"/>
    <w:rsid w:val="00F050CD"/>
    <w:rsid w:val="00F10F95"/>
    <w:rsid w:val="00F13E30"/>
    <w:rsid w:val="00F17328"/>
    <w:rsid w:val="00F21B62"/>
    <w:rsid w:val="00F2238B"/>
    <w:rsid w:val="00F2274B"/>
    <w:rsid w:val="00F22A17"/>
    <w:rsid w:val="00F235E1"/>
    <w:rsid w:val="00F2401C"/>
    <w:rsid w:val="00F30295"/>
    <w:rsid w:val="00F326E7"/>
    <w:rsid w:val="00F3337C"/>
    <w:rsid w:val="00F336A9"/>
    <w:rsid w:val="00F337B5"/>
    <w:rsid w:val="00F3477C"/>
    <w:rsid w:val="00F37854"/>
    <w:rsid w:val="00F419FD"/>
    <w:rsid w:val="00F4492B"/>
    <w:rsid w:val="00F455A7"/>
    <w:rsid w:val="00F4601E"/>
    <w:rsid w:val="00F47B19"/>
    <w:rsid w:val="00F5203E"/>
    <w:rsid w:val="00F57CC9"/>
    <w:rsid w:val="00F6008D"/>
    <w:rsid w:val="00F631E5"/>
    <w:rsid w:val="00F6342F"/>
    <w:rsid w:val="00F643BA"/>
    <w:rsid w:val="00F67E88"/>
    <w:rsid w:val="00F67E8A"/>
    <w:rsid w:val="00F70160"/>
    <w:rsid w:val="00F714B7"/>
    <w:rsid w:val="00F726E5"/>
    <w:rsid w:val="00F772CC"/>
    <w:rsid w:val="00F7736B"/>
    <w:rsid w:val="00F811D3"/>
    <w:rsid w:val="00F82582"/>
    <w:rsid w:val="00F8687F"/>
    <w:rsid w:val="00F86C28"/>
    <w:rsid w:val="00F8703F"/>
    <w:rsid w:val="00F95CE3"/>
    <w:rsid w:val="00F966BB"/>
    <w:rsid w:val="00F96CB2"/>
    <w:rsid w:val="00FA04A1"/>
    <w:rsid w:val="00FA11DE"/>
    <w:rsid w:val="00FA1F8D"/>
    <w:rsid w:val="00FA2DDE"/>
    <w:rsid w:val="00FA46ED"/>
    <w:rsid w:val="00FA5097"/>
    <w:rsid w:val="00FA61E4"/>
    <w:rsid w:val="00FB0A86"/>
    <w:rsid w:val="00FB1D97"/>
    <w:rsid w:val="00FB2BB8"/>
    <w:rsid w:val="00FB3149"/>
    <w:rsid w:val="00FB5B48"/>
    <w:rsid w:val="00FB6A2E"/>
    <w:rsid w:val="00FB6D00"/>
    <w:rsid w:val="00FC040A"/>
    <w:rsid w:val="00FC10F6"/>
    <w:rsid w:val="00FC222D"/>
    <w:rsid w:val="00FC2EAA"/>
    <w:rsid w:val="00FC4911"/>
    <w:rsid w:val="00FC6AA6"/>
    <w:rsid w:val="00FC74FF"/>
    <w:rsid w:val="00FD08B1"/>
    <w:rsid w:val="00FD2477"/>
    <w:rsid w:val="00FD4631"/>
    <w:rsid w:val="00FD4A66"/>
    <w:rsid w:val="00FD52D3"/>
    <w:rsid w:val="00FD5B11"/>
    <w:rsid w:val="00FD772A"/>
    <w:rsid w:val="00FE6E38"/>
    <w:rsid w:val="00FF022E"/>
    <w:rsid w:val="00FF3881"/>
    <w:rsid w:val="00FF4767"/>
    <w:rsid w:val="00FF6666"/>
    <w:rsid w:val="00FF6C41"/>
    <w:rsid w:val="00FF7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495E01"/>
  <w15:docId w15:val="{C950114C-EA9C-46EC-A9D3-4EE47C01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EDA"/>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A06F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2EDA"/>
    <w:pPr>
      <w:spacing w:after="120"/>
    </w:pPr>
  </w:style>
  <w:style w:type="character" w:customStyle="1" w:styleId="BodyTextChar">
    <w:name w:val="Body Text Char"/>
    <w:basedOn w:val="DefaultParagraphFont"/>
    <w:link w:val="BodyText"/>
    <w:rsid w:val="00EB2EDA"/>
    <w:rPr>
      <w:rFonts w:ascii="Times New Roman" w:eastAsia="Times New Roman" w:hAnsi="Times New Roman" w:cs="Times New Roman"/>
      <w:sz w:val="24"/>
      <w:szCs w:val="24"/>
      <w:lang w:val="lv-LV" w:eastAsia="lv-LV"/>
    </w:rPr>
  </w:style>
  <w:style w:type="paragraph" w:customStyle="1" w:styleId="naisf">
    <w:name w:val="naisf"/>
    <w:basedOn w:val="Normal"/>
    <w:rsid w:val="00EB2EDA"/>
    <w:pPr>
      <w:spacing w:before="75" w:after="75"/>
      <w:ind w:firstLine="375"/>
      <w:jc w:val="both"/>
    </w:pPr>
  </w:style>
  <w:style w:type="paragraph" w:customStyle="1" w:styleId="naisnod">
    <w:name w:val="naisnod"/>
    <w:basedOn w:val="Normal"/>
    <w:rsid w:val="00EB2EDA"/>
    <w:pPr>
      <w:spacing w:before="150" w:after="150"/>
      <w:jc w:val="center"/>
    </w:pPr>
    <w:rPr>
      <w:b/>
      <w:bCs/>
    </w:rPr>
  </w:style>
  <w:style w:type="paragraph" w:customStyle="1" w:styleId="naiskr">
    <w:name w:val="naiskr"/>
    <w:basedOn w:val="Normal"/>
    <w:rsid w:val="00EB2EDA"/>
    <w:pPr>
      <w:spacing w:before="75" w:after="75"/>
    </w:pPr>
  </w:style>
  <w:style w:type="paragraph" w:customStyle="1" w:styleId="naisc">
    <w:name w:val="naisc"/>
    <w:basedOn w:val="Normal"/>
    <w:uiPriority w:val="99"/>
    <w:rsid w:val="00EB2EDA"/>
    <w:pPr>
      <w:spacing w:before="75" w:after="75"/>
      <w:jc w:val="center"/>
    </w:pPr>
  </w:style>
  <w:style w:type="character" w:styleId="Hyperlink">
    <w:name w:val="Hyperlink"/>
    <w:uiPriority w:val="99"/>
    <w:rsid w:val="00EB2EDA"/>
    <w:rPr>
      <w:color w:val="0000FF"/>
      <w:u w:val="single"/>
    </w:rPr>
  </w:style>
  <w:style w:type="paragraph" w:customStyle="1" w:styleId="Default">
    <w:name w:val="Default"/>
    <w:rsid w:val="00EB2ED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NoSpacing">
    <w:name w:val="No Spacing"/>
    <w:uiPriority w:val="1"/>
    <w:qFormat/>
    <w:rsid w:val="00EB2EDA"/>
    <w:pPr>
      <w:spacing w:after="0" w:line="240" w:lineRule="auto"/>
    </w:pPr>
    <w:rPr>
      <w:rFonts w:ascii="Times New Roman" w:eastAsia="Calibri" w:hAnsi="Times New Roman" w:cs="Times New Roman"/>
      <w:sz w:val="20"/>
      <w:szCs w:val="20"/>
      <w:lang w:val="lv-LV"/>
    </w:rPr>
  </w:style>
  <w:style w:type="paragraph" w:styleId="Header">
    <w:name w:val="header"/>
    <w:aliases w:val="encabezado,he,header odd,header odd1,header odd2"/>
    <w:basedOn w:val="Normal"/>
    <w:link w:val="HeaderChar"/>
    <w:unhideWhenUsed/>
    <w:rsid w:val="00640F75"/>
    <w:pPr>
      <w:tabs>
        <w:tab w:val="center" w:pos="4320"/>
        <w:tab w:val="right" w:pos="8640"/>
      </w:tabs>
    </w:pPr>
  </w:style>
  <w:style w:type="character" w:customStyle="1" w:styleId="HeaderChar">
    <w:name w:val="Header Char"/>
    <w:aliases w:val="encabezado Char,he Char,header odd Char,header odd1 Char,header odd2 Char"/>
    <w:basedOn w:val="DefaultParagraphFont"/>
    <w:link w:val="Header"/>
    <w:rsid w:val="00640F75"/>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40F75"/>
    <w:pPr>
      <w:tabs>
        <w:tab w:val="center" w:pos="4320"/>
        <w:tab w:val="right" w:pos="8640"/>
      </w:tabs>
    </w:pPr>
  </w:style>
  <w:style w:type="character" w:customStyle="1" w:styleId="FooterChar">
    <w:name w:val="Footer Char"/>
    <w:basedOn w:val="DefaultParagraphFont"/>
    <w:link w:val="Footer"/>
    <w:uiPriority w:val="99"/>
    <w:rsid w:val="00640F75"/>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DF5AC4"/>
    <w:rPr>
      <w:rFonts w:ascii="Tahoma" w:hAnsi="Tahoma" w:cs="Tahoma"/>
      <w:sz w:val="16"/>
      <w:szCs w:val="16"/>
    </w:rPr>
  </w:style>
  <w:style w:type="character" w:customStyle="1" w:styleId="BalloonTextChar">
    <w:name w:val="Balloon Text Char"/>
    <w:basedOn w:val="DefaultParagraphFont"/>
    <w:link w:val="BalloonText"/>
    <w:uiPriority w:val="99"/>
    <w:semiHidden/>
    <w:rsid w:val="00DF5AC4"/>
    <w:rPr>
      <w:rFonts w:ascii="Tahoma" w:eastAsia="Times New Roman" w:hAnsi="Tahoma" w:cs="Tahoma"/>
      <w:sz w:val="16"/>
      <w:szCs w:val="16"/>
      <w:lang w:val="lv-LV" w:eastAsia="lv-LV"/>
    </w:rPr>
  </w:style>
  <w:style w:type="paragraph" w:styleId="ListParagraph">
    <w:name w:val="List Paragraph"/>
    <w:aliases w:val="H&amp;P List Paragraph,2"/>
    <w:basedOn w:val="Normal"/>
    <w:link w:val="ListParagraphChar"/>
    <w:uiPriority w:val="34"/>
    <w:qFormat/>
    <w:rsid w:val="00CE00F7"/>
    <w:pPr>
      <w:ind w:left="720"/>
      <w:contextualSpacing/>
    </w:pPr>
  </w:style>
  <w:style w:type="character" w:styleId="Strong">
    <w:name w:val="Strong"/>
    <w:basedOn w:val="DefaultParagraphFont"/>
    <w:uiPriority w:val="22"/>
    <w:qFormat/>
    <w:rsid w:val="00FB6D00"/>
    <w:rPr>
      <w:b/>
      <w:bCs/>
    </w:rPr>
  </w:style>
  <w:style w:type="paragraph" w:customStyle="1" w:styleId="tvhtmlmktable">
    <w:name w:val="tv_html mk_table"/>
    <w:basedOn w:val="Normal"/>
    <w:uiPriority w:val="99"/>
    <w:rsid w:val="00293AE2"/>
    <w:pPr>
      <w:spacing w:before="100" w:beforeAutospacing="1" w:after="100" w:afterAutospacing="1"/>
    </w:pPr>
    <w:rPr>
      <w:rFonts w:eastAsia="Calibri"/>
    </w:rPr>
  </w:style>
  <w:style w:type="character" w:customStyle="1" w:styleId="apple-converted-space">
    <w:name w:val="apple-converted-space"/>
    <w:basedOn w:val="DefaultParagraphFont"/>
    <w:rsid w:val="003B7D7E"/>
  </w:style>
  <w:style w:type="character" w:styleId="Emphasis">
    <w:name w:val="Emphasis"/>
    <w:basedOn w:val="DefaultParagraphFont"/>
    <w:uiPriority w:val="20"/>
    <w:qFormat/>
    <w:rsid w:val="0001557A"/>
    <w:rPr>
      <w:i/>
      <w:iCs/>
    </w:rPr>
  </w:style>
  <w:style w:type="paragraph" w:styleId="NormalWeb">
    <w:name w:val="Normal (Web)"/>
    <w:basedOn w:val="Normal"/>
    <w:uiPriority w:val="99"/>
    <w:unhideWhenUsed/>
    <w:rsid w:val="0001557A"/>
    <w:pPr>
      <w:spacing w:before="100" w:beforeAutospacing="1" w:after="100" w:afterAutospacing="1"/>
    </w:pPr>
  </w:style>
  <w:style w:type="paragraph" w:customStyle="1" w:styleId="tvhtml">
    <w:name w:val="tv_html"/>
    <w:basedOn w:val="Normal"/>
    <w:rsid w:val="002131AC"/>
    <w:pPr>
      <w:spacing w:before="100" w:beforeAutospacing="1" w:after="100" w:afterAutospacing="1"/>
    </w:pPr>
  </w:style>
  <w:style w:type="character" w:styleId="CommentReference">
    <w:name w:val="annotation reference"/>
    <w:basedOn w:val="DefaultParagraphFont"/>
    <w:uiPriority w:val="99"/>
    <w:semiHidden/>
    <w:unhideWhenUsed/>
    <w:rsid w:val="00832546"/>
    <w:rPr>
      <w:sz w:val="16"/>
      <w:szCs w:val="16"/>
    </w:rPr>
  </w:style>
  <w:style w:type="paragraph" w:customStyle="1" w:styleId="tv213">
    <w:name w:val="tv213"/>
    <w:basedOn w:val="Normal"/>
    <w:rsid w:val="005A25DE"/>
    <w:pPr>
      <w:spacing w:before="100" w:beforeAutospacing="1" w:after="100" w:afterAutospacing="1"/>
    </w:pPr>
  </w:style>
  <w:style w:type="character" w:customStyle="1" w:styleId="ListParagraphChar">
    <w:name w:val="List Paragraph Char"/>
    <w:aliases w:val="H&amp;P List Paragraph Char,2 Char"/>
    <w:link w:val="ListParagraph"/>
    <w:uiPriority w:val="34"/>
    <w:locked/>
    <w:rsid w:val="00FC222D"/>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A06F7B"/>
    <w:rPr>
      <w:rFonts w:ascii="Arial" w:eastAsia="Times New Roman" w:hAnsi="Arial" w:cs="Arial"/>
      <w:b/>
      <w:bCs/>
      <w:i/>
      <w:iCs/>
      <w:sz w:val="28"/>
      <w:szCs w:val="28"/>
      <w:lang w:val="lv-LV" w:eastAsia="lv-LV"/>
    </w:rPr>
  </w:style>
  <w:style w:type="paragraph" w:styleId="CommentText">
    <w:name w:val="annotation text"/>
    <w:basedOn w:val="Normal"/>
    <w:link w:val="CommentTextChar"/>
    <w:uiPriority w:val="99"/>
    <w:semiHidden/>
    <w:unhideWhenUsed/>
    <w:rsid w:val="006F669D"/>
    <w:pPr>
      <w:widowControl w:val="0"/>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6F669D"/>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03416"/>
    <w:pPr>
      <w:widowControl/>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E03416"/>
    <w:rPr>
      <w:rFonts w:ascii="Times New Roman" w:eastAsia="Times New Roman" w:hAnsi="Times New Roman" w:cs="Times New Roman"/>
      <w:b/>
      <w:bCs/>
      <w:sz w:val="20"/>
      <w:szCs w:val="20"/>
      <w:lang w:val="lv-LV" w:eastAsia="lv-LV"/>
    </w:rPr>
  </w:style>
  <w:style w:type="character" w:styleId="PlaceholderText">
    <w:name w:val="Placeholder Text"/>
    <w:basedOn w:val="DefaultParagraphFont"/>
    <w:uiPriority w:val="99"/>
    <w:semiHidden/>
    <w:rsid w:val="00DD0635"/>
    <w:rPr>
      <w:color w:val="808080"/>
    </w:rPr>
  </w:style>
  <w:style w:type="table" w:styleId="TableGrid">
    <w:name w:val="Table Grid"/>
    <w:basedOn w:val="TableNormal"/>
    <w:uiPriority w:val="59"/>
    <w:rsid w:val="00C1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8529">
      <w:bodyDiv w:val="1"/>
      <w:marLeft w:val="0"/>
      <w:marRight w:val="0"/>
      <w:marTop w:val="0"/>
      <w:marBottom w:val="0"/>
      <w:divBdr>
        <w:top w:val="none" w:sz="0" w:space="0" w:color="auto"/>
        <w:left w:val="none" w:sz="0" w:space="0" w:color="auto"/>
        <w:bottom w:val="none" w:sz="0" w:space="0" w:color="auto"/>
        <w:right w:val="none" w:sz="0" w:space="0" w:color="auto"/>
      </w:divBdr>
    </w:div>
    <w:div w:id="283274384">
      <w:bodyDiv w:val="1"/>
      <w:marLeft w:val="0"/>
      <w:marRight w:val="0"/>
      <w:marTop w:val="0"/>
      <w:marBottom w:val="0"/>
      <w:divBdr>
        <w:top w:val="none" w:sz="0" w:space="0" w:color="auto"/>
        <w:left w:val="none" w:sz="0" w:space="0" w:color="auto"/>
        <w:bottom w:val="none" w:sz="0" w:space="0" w:color="auto"/>
        <w:right w:val="none" w:sz="0" w:space="0" w:color="auto"/>
      </w:divBdr>
    </w:div>
    <w:div w:id="322398165">
      <w:bodyDiv w:val="1"/>
      <w:marLeft w:val="0"/>
      <w:marRight w:val="0"/>
      <w:marTop w:val="0"/>
      <w:marBottom w:val="0"/>
      <w:divBdr>
        <w:top w:val="none" w:sz="0" w:space="0" w:color="auto"/>
        <w:left w:val="none" w:sz="0" w:space="0" w:color="auto"/>
        <w:bottom w:val="none" w:sz="0" w:space="0" w:color="auto"/>
        <w:right w:val="none" w:sz="0" w:space="0" w:color="auto"/>
      </w:divBdr>
    </w:div>
    <w:div w:id="605117581">
      <w:bodyDiv w:val="1"/>
      <w:marLeft w:val="0"/>
      <w:marRight w:val="0"/>
      <w:marTop w:val="0"/>
      <w:marBottom w:val="0"/>
      <w:divBdr>
        <w:top w:val="none" w:sz="0" w:space="0" w:color="auto"/>
        <w:left w:val="none" w:sz="0" w:space="0" w:color="auto"/>
        <w:bottom w:val="none" w:sz="0" w:space="0" w:color="auto"/>
        <w:right w:val="none" w:sz="0" w:space="0" w:color="auto"/>
      </w:divBdr>
    </w:div>
    <w:div w:id="800534652">
      <w:bodyDiv w:val="1"/>
      <w:marLeft w:val="0"/>
      <w:marRight w:val="0"/>
      <w:marTop w:val="0"/>
      <w:marBottom w:val="0"/>
      <w:divBdr>
        <w:top w:val="none" w:sz="0" w:space="0" w:color="auto"/>
        <w:left w:val="none" w:sz="0" w:space="0" w:color="auto"/>
        <w:bottom w:val="none" w:sz="0" w:space="0" w:color="auto"/>
        <w:right w:val="none" w:sz="0" w:space="0" w:color="auto"/>
      </w:divBdr>
    </w:div>
    <w:div w:id="845484903">
      <w:bodyDiv w:val="1"/>
      <w:marLeft w:val="0"/>
      <w:marRight w:val="0"/>
      <w:marTop w:val="0"/>
      <w:marBottom w:val="0"/>
      <w:divBdr>
        <w:top w:val="none" w:sz="0" w:space="0" w:color="auto"/>
        <w:left w:val="none" w:sz="0" w:space="0" w:color="auto"/>
        <w:bottom w:val="none" w:sz="0" w:space="0" w:color="auto"/>
        <w:right w:val="none" w:sz="0" w:space="0" w:color="auto"/>
      </w:divBdr>
    </w:div>
    <w:div w:id="893270271">
      <w:bodyDiv w:val="1"/>
      <w:marLeft w:val="0"/>
      <w:marRight w:val="0"/>
      <w:marTop w:val="0"/>
      <w:marBottom w:val="0"/>
      <w:divBdr>
        <w:top w:val="none" w:sz="0" w:space="0" w:color="auto"/>
        <w:left w:val="none" w:sz="0" w:space="0" w:color="auto"/>
        <w:bottom w:val="none" w:sz="0" w:space="0" w:color="auto"/>
        <w:right w:val="none" w:sz="0" w:space="0" w:color="auto"/>
      </w:divBdr>
    </w:div>
    <w:div w:id="1037317895">
      <w:bodyDiv w:val="1"/>
      <w:marLeft w:val="0"/>
      <w:marRight w:val="0"/>
      <w:marTop w:val="0"/>
      <w:marBottom w:val="0"/>
      <w:divBdr>
        <w:top w:val="none" w:sz="0" w:space="0" w:color="auto"/>
        <w:left w:val="none" w:sz="0" w:space="0" w:color="auto"/>
        <w:bottom w:val="none" w:sz="0" w:space="0" w:color="auto"/>
        <w:right w:val="none" w:sz="0" w:space="0" w:color="auto"/>
      </w:divBdr>
    </w:div>
    <w:div w:id="1199316748">
      <w:bodyDiv w:val="1"/>
      <w:marLeft w:val="0"/>
      <w:marRight w:val="0"/>
      <w:marTop w:val="0"/>
      <w:marBottom w:val="0"/>
      <w:divBdr>
        <w:top w:val="none" w:sz="0" w:space="0" w:color="auto"/>
        <w:left w:val="none" w:sz="0" w:space="0" w:color="auto"/>
        <w:bottom w:val="none" w:sz="0" w:space="0" w:color="auto"/>
        <w:right w:val="none" w:sz="0" w:space="0" w:color="auto"/>
      </w:divBdr>
    </w:div>
    <w:div w:id="1202671455">
      <w:bodyDiv w:val="1"/>
      <w:marLeft w:val="0"/>
      <w:marRight w:val="0"/>
      <w:marTop w:val="0"/>
      <w:marBottom w:val="0"/>
      <w:divBdr>
        <w:top w:val="none" w:sz="0" w:space="0" w:color="auto"/>
        <w:left w:val="none" w:sz="0" w:space="0" w:color="auto"/>
        <w:bottom w:val="none" w:sz="0" w:space="0" w:color="auto"/>
        <w:right w:val="none" w:sz="0" w:space="0" w:color="auto"/>
      </w:divBdr>
    </w:div>
    <w:div w:id="1379433926">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6">
          <w:marLeft w:val="0"/>
          <w:marRight w:val="0"/>
          <w:marTop w:val="0"/>
          <w:marBottom w:val="0"/>
          <w:divBdr>
            <w:top w:val="none" w:sz="0" w:space="0" w:color="auto"/>
            <w:left w:val="none" w:sz="0" w:space="0" w:color="auto"/>
            <w:bottom w:val="none" w:sz="0" w:space="0" w:color="auto"/>
            <w:right w:val="none" w:sz="0" w:space="0" w:color="auto"/>
          </w:divBdr>
          <w:divsChild>
            <w:div w:id="1756126668">
              <w:marLeft w:val="0"/>
              <w:marRight w:val="0"/>
              <w:marTop w:val="0"/>
              <w:marBottom w:val="0"/>
              <w:divBdr>
                <w:top w:val="none" w:sz="0" w:space="0" w:color="auto"/>
                <w:left w:val="none" w:sz="0" w:space="0" w:color="auto"/>
                <w:bottom w:val="none" w:sz="0" w:space="0" w:color="auto"/>
                <w:right w:val="none" w:sz="0" w:space="0" w:color="auto"/>
              </w:divBdr>
              <w:divsChild>
                <w:div w:id="788822624">
                  <w:marLeft w:val="0"/>
                  <w:marRight w:val="0"/>
                  <w:marTop w:val="0"/>
                  <w:marBottom w:val="0"/>
                  <w:divBdr>
                    <w:top w:val="none" w:sz="0" w:space="0" w:color="auto"/>
                    <w:left w:val="none" w:sz="0" w:space="0" w:color="auto"/>
                    <w:bottom w:val="none" w:sz="0" w:space="0" w:color="auto"/>
                    <w:right w:val="none" w:sz="0" w:space="0" w:color="auto"/>
                  </w:divBdr>
                  <w:divsChild>
                    <w:div w:id="1117259037">
                      <w:marLeft w:val="0"/>
                      <w:marRight w:val="0"/>
                      <w:marTop w:val="0"/>
                      <w:marBottom w:val="0"/>
                      <w:divBdr>
                        <w:top w:val="none" w:sz="0" w:space="0" w:color="auto"/>
                        <w:left w:val="none" w:sz="0" w:space="0" w:color="auto"/>
                        <w:bottom w:val="none" w:sz="0" w:space="0" w:color="auto"/>
                        <w:right w:val="none" w:sz="0" w:space="0" w:color="auto"/>
                      </w:divBdr>
                      <w:divsChild>
                        <w:div w:id="1871382790">
                          <w:marLeft w:val="0"/>
                          <w:marRight w:val="0"/>
                          <w:marTop w:val="0"/>
                          <w:marBottom w:val="0"/>
                          <w:divBdr>
                            <w:top w:val="none" w:sz="0" w:space="0" w:color="auto"/>
                            <w:left w:val="none" w:sz="0" w:space="0" w:color="auto"/>
                            <w:bottom w:val="none" w:sz="0" w:space="0" w:color="auto"/>
                            <w:right w:val="none" w:sz="0" w:space="0" w:color="auto"/>
                          </w:divBdr>
                          <w:divsChild>
                            <w:div w:id="10060098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125110">
      <w:bodyDiv w:val="1"/>
      <w:marLeft w:val="0"/>
      <w:marRight w:val="0"/>
      <w:marTop w:val="0"/>
      <w:marBottom w:val="0"/>
      <w:divBdr>
        <w:top w:val="none" w:sz="0" w:space="0" w:color="auto"/>
        <w:left w:val="none" w:sz="0" w:space="0" w:color="auto"/>
        <w:bottom w:val="none" w:sz="0" w:space="0" w:color="auto"/>
        <w:right w:val="none" w:sz="0" w:space="0" w:color="auto"/>
      </w:divBdr>
    </w:div>
    <w:div w:id="1553154226">
      <w:bodyDiv w:val="1"/>
      <w:marLeft w:val="0"/>
      <w:marRight w:val="0"/>
      <w:marTop w:val="0"/>
      <w:marBottom w:val="0"/>
      <w:divBdr>
        <w:top w:val="none" w:sz="0" w:space="0" w:color="auto"/>
        <w:left w:val="none" w:sz="0" w:space="0" w:color="auto"/>
        <w:bottom w:val="none" w:sz="0" w:space="0" w:color="auto"/>
        <w:right w:val="none" w:sz="0" w:space="0" w:color="auto"/>
      </w:divBdr>
    </w:div>
    <w:div w:id="1761876196">
      <w:bodyDiv w:val="1"/>
      <w:marLeft w:val="0"/>
      <w:marRight w:val="0"/>
      <w:marTop w:val="0"/>
      <w:marBottom w:val="0"/>
      <w:divBdr>
        <w:top w:val="none" w:sz="0" w:space="0" w:color="auto"/>
        <w:left w:val="none" w:sz="0" w:space="0" w:color="auto"/>
        <w:bottom w:val="none" w:sz="0" w:space="0" w:color="auto"/>
        <w:right w:val="none" w:sz="0" w:space="0" w:color="auto"/>
      </w:divBdr>
    </w:div>
    <w:div w:id="1787968390">
      <w:bodyDiv w:val="1"/>
      <w:marLeft w:val="0"/>
      <w:marRight w:val="0"/>
      <w:marTop w:val="0"/>
      <w:marBottom w:val="0"/>
      <w:divBdr>
        <w:top w:val="none" w:sz="0" w:space="0" w:color="auto"/>
        <w:left w:val="none" w:sz="0" w:space="0" w:color="auto"/>
        <w:bottom w:val="none" w:sz="0" w:space="0" w:color="auto"/>
        <w:right w:val="none" w:sz="0" w:space="0" w:color="auto"/>
      </w:divBdr>
    </w:div>
    <w:div w:id="1918513982">
      <w:bodyDiv w:val="1"/>
      <w:marLeft w:val="0"/>
      <w:marRight w:val="0"/>
      <w:marTop w:val="0"/>
      <w:marBottom w:val="0"/>
      <w:divBdr>
        <w:top w:val="none" w:sz="0" w:space="0" w:color="auto"/>
        <w:left w:val="none" w:sz="0" w:space="0" w:color="auto"/>
        <w:bottom w:val="none" w:sz="0" w:space="0" w:color="auto"/>
        <w:right w:val="none" w:sz="0" w:space="0" w:color="auto"/>
      </w:divBdr>
    </w:div>
    <w:div w:id="2042781998">
      <w:bodyDiv w:val="1"/>
      <w:marLeft w:val="0"/>
      <w:marRight w:val="0"/>
      <w:marTop w:val="0"/>
      <w:marBottom w:val="0"/>
      <w:divBdr>
        <w:top w:val="none" w:sz="0" w:space="0" w:color="auto"/>
        <w:left w:val="none" w:sz="0" w:space="0" w:color="auto"/>
        <w:bottom w:val="none" w:sz="0" w:space="0" w:color="auto"/>
        <w:right w:val="none" w:sz="0" w:space="0" w:color="auto"/>
      </w:divBdr>
    </w:div>
    <w:div w:id="21375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7" TargetMode="External"/><Relationship Id="rId13" Type="http://schemas.openxmlformats.org/officeDocument/2006/relationships/hyperlink" Target="https://likumi.lv/ta/id/289087" TargetMode="External"/><Relationship Id="rId18" Type="http://schemas.openxmlformats.org/officeDocument/2006/relationships/hyperlink" Target="mailto:ugis.bisenieks@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89087" TargetMode="External"/><Relationship Id="rId17" Type="http://schemas.openxmlformats.org/officeDocument/2006/relationships/hyperlink" Target="https://likumi.lv/ta/id/289087" TargetMode="External"/><Relationship Id="rId2" Type="http://schemas.openxmlformats.org/officeDocument/2006/relationships/numbering" Target="numbering.xml"/><Relationship Id="rId16" Type="http://schemas.openxmlformats.org/officeDocument/2006/relationships/hyperlink" Target="https://likumi.lv/ta/id/2890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908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9087" TargetMode="External"/><Relationship Id="rId23" Type="http://schemas.openxmlformats.org/officeDocument/2006/relationships/glossaryDocument" Target="glossary/document.xml"/><Relationship Id="rId10" Type="http://schemas.openxmlformats.org/officeDocument/2006/relationships/hyperlink" Target="https://likumi.lv/ta/id/28908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9087" TargetMode="External"/><Relationship Id="rId14" Type="http://schemas.openxmlformats.org/officeDocument/2006/relationships/hyperlink" Target="https://likumi.lv/ta/id/289087"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DA1E8384A24213B032AA2598BC73F2"/>
        <w:category>
          <w:name w:val="General"/>
          <w:gallery w:val="placeholder"/>
        </w:category>
        <w:types>
          <w:type w:val="bbPlcHdr"/>
        </w:types>
        <w:behaviors>
          <w:behavior w:val="content"/>
        </w:behaviors>
        <w:guid w:val="{E139B798-8AD1-4FB2-BB52-23AD3A59E868}"/>
      </w:docPartPr>
      <w:docPartBody>
        <w:p w:rsidR="004747F4" w:rsidRDefault="00D0547E" w:rsidP="00D0547E">
          <w:pPr>
            <w:pStyle w:val="68DA1E8384A24213B032AA2598BC73F2"/>
          </w:pPr>
          <w:r w:rsidRPr="00E90C01">
            <w:rPr>
              <w:rStyle w:val="PlaceholderText"/>
              <w:rFonts w:ascii="Times New Roman" w:hAnsi="Times New Roman" w:cs="Times New Roman"/>
              <w:sz w:val="28"/>
              <w:szCs w:val="28"/>
            </w:rPr>
            <w:t>Tiesību akta</w:t>
          </w:r>
        </w:p>
      </w:docPartBody>
    </w:docPart>
    <w:docPart>
      <w:docPartPr>
        <w:name w:val="54496EB6DB034C84B25C08D4EB987E81"/>
        <w:category>
          <w:name w:val="General"/>
          <w:gallery w:val="placeholder"/>
        </w:category>
        <w:types>
          <w:type w:val="bbPlcHdr"/>
        </w:types>
        <w:behaviors>
          <w:behavior w:val="content"/>
        </w:behaviors>
        <w:guid w:val="{092AFED1-A812-4ED6-BD0D-4673F4CFCCCF}"/>
      </w:docPartPr>
      <w:docPartBody>
        <w:p w:rsidR="00CA2572" w:rsidRDefault="00D45622" w:rsidP="00D45622">
          <w:pPr>
            <w:pStyle w:val="54496EB6DB034C84B25C08D4EB987E81"/>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7E"/>
    <w:rsid w:val="00033274"/>
    <w:rsid w:val="000551EB"/>
    <w:rsid w:val="00071592"/>
    <w:rsid w:val="00086F2A"/>
    <w:rsid w:val="0021142B"/>
    <w:rsid w:val="00250D72"/>
    <w:rsid w:val="002565AD"/>
    <w:rsid w:val="002622CA"/>
    <w:rsid w:val="002821E8"/>
    <w:rsid w:val="002F209E"/>
    <w:rsid w:val="00315C21"/>
    <w:rsid w:val="003A4BE8"/>
    <w:rsid w:val="003D5630"/>
    <w:rsid w:val="004248AB"/>
    <w:rsid w:val="00443B9D"/>
    <w:rsid w:val="00465018"/>
    <w:rsid w:val="004747F4"/>
    <w:rsid w:val="005738DC"/>
    <w:rsid w:val="005A4E1E"/>
    <w:rsid w:val="005C7D30"/>
    <w:rsid w:val="00636E48"/>
    <w:rsid w:val="00674686"/>
    <w:rsid w:val="00727135"/>
    <w:rsid w:val="00767718"/>
    <w:rsid w:val="007B3B35"/>
    <w:rsid w:val="007C6710"/>
    <w:rsid w:val="007E1B43"/>
    <w:rsid w:val="00867CD7"/>
    <w:rsid w:val="00893B45"/>
    <w:rsid w:val="008B2E82"/>
    <w:rsid w:val="009106C2"/>
    <w:rsid w:val="0093186F"/>
    <w:rsid w:val="00972620"/>
    <w:rsid w:val="009B4091"/>
    <w:rsid w:val="00A37664"/>
    <w:rsid w:val="00A97F1F"/>
    <w:rsid w:val="00AF056B"/>
    <w:rsid w:val="00BB480C"/>
    <w:rsid w:val="00C33DB3"/>
    <w:rsid w:val="00C84A30"/>
    <w:rsid w:val="00C86A91"/>
    <w:rsid w:val="00CA2572"/>
    <w:rsid w:val="00CB2405"/>
    <w:rsid w:val="00D0547E"/>
    <w:rsid w:val="00D40F41"/>
    <w:rsid w:val="00D45622"/>
    <w:rsid w:val="00D579F9"/>
    <w:rsid w:val="00E03D9A"/>
    <w:rsid w:val="00E41F44"/>
    <w:rsid w:val="00E50044"/>
    <w:rsid w:val="00EA003E"/>
    <w:rsid w:val="00EA3D4E"/>
    <w:rsid w:val="00F131F3"/>
    <w:rsid w:val="00F14040"/>
    <w:rsid w:val="00F31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622"/>
    <w:rPr>
      <w:color w:val="808080"/>
    </w:rPr>
  </w:style>
  <w:style w:type="paragraph" w:customStyle="1" w:styleId="68DA1E8384A24213B032AA2598BC73F2">
    <w:name w:val="68DA1E8384A24213B032AA2598BC73F2"/>
    <w:rsid w:val="00D0547E"/>
  </w:style>
  <w:style w:type="paragraph" w:customStyle="1" w:styleId="4B684DAB146C4CB1BB3A938C5CE568FE">
    <w:name w:val="4B684DAB146C4CB1BB3A938C5CE568FE"/>
    <w:rsid w:val="00D0547E"/>
  </w:style>
  <w:style w:type="paragraph" w:customStyle="1" w:styleId="13EBC5E4E792482BA2F17A83DDAB8C74">
    <w:name w:val="13EBC5E4E792482BA2F17A83DDAB8C74"/>
    <w:rsid w:val="00D0547E"/>
  </w:style>
  <w:style w:type="paragraph" w:customStyle="1" w:styleId="FBB38EA3DA5B45228289805FC091774B">
    <w:name w:val="FBB38EA3DA5B45228289805FC091774B"/>
    <w:rsid w:val="00D0547E"/>
  </w:style>
  <w:style w:type="paragraph" w:customStyle="1" w:styleId="72B93C81B42F4E01AD4C275FC4A27EDD">
    <w:name w:val="72B93C81B42F4E01AD4C275FC4A27EDD"/>
    <w:rsid w:val="002821E8"/>
  </w:style>
  <w:style w:type="paragraph" w:customStyle="1" w:styleId="5E2633DE36F24492B2C6E2193EBB2E3E">
    <w:name w:val="5E2633DE36F24492B2C6E2193EBB2E3E"/>
    <w:rsid w:val="002821E8"/>
  </w:style>
  <w:style w:type="paragraph" w:customStyle="1" w:styleId="8EEEB661FEBF488D93F8FEA9B096E87B">
    <w:name w:val="8EEEB661FEBF488D93F8FEA9B096E87B"/>
    <w:rsid w:val="002821E8"/>
  </w:style>
  <w:style w:type="paragraph" w:customStyle="1" w:styleId="C3D06F9C02F94AE4BEE50A72D0F3AE28">
    <w:name w:val="C3D06F9C02F94AE4BEE50A72D0F3AE28"/>
    <w:rsid w:val="002821E8"/>
  </w:style>
  <w:style w:type="paragraph" w:customStyle="1" w:styleId="55C45DBBD8C248F394458B17BAA88AD9">
    <w:name w:val="55C45DBBD8C248F394458B17BAA88AD9"/>
    <w:rsid w:val="002821E8"/>
  </w:style>
  <w:style w:type="paragraph" w:customStyle="1" w:styleId="394362D1CDFD46C5B685E81C37019CB7">
    <w:name w:val="394362D1CDFD46C5B685E81C37019CB7"/>
    <w:rsid w:val="002821E8"/>
  </w:style>
  <w:style w:type="paragraph" w:customStyle="1" w:styleId="17BEBCB977104041A0468444FA5676B2">
    <w:name w:val="17BEBCB977104041A0468444FA5676B2"/>
    <w:rsid w:val="002821E8"/>
  </w:style>
  <w:style w:type="paragraph" w:customStyle="1" w:styleId="74B935D6070D43DEA005828BC47B7247">
    <w:name w:val="74B935D6070D43DEA005828BC47B7247"/>
    <w:rsid w:val="002821E8"/>
  </w:style>
  <w:style w:type="paragraph" w:customStyle="1" w:styleId="0A4A8EF246924287BBD96CBDB3C53AE8">
    <w:name w:val="0A4A8EF246924287BBD96CBDB3C53AE8"/>
    <w:rsid w:val="00D579F9"/>
  </w:style>
  <w:style w:type="paragraph" w:customStyle="1" w:styleId="1030D7B528BE475C84799E7F16E5D519">
    <w:name w:val="1030D7B528BE475C84799E7F16E5D519"/>
    <w:rsid w:val="00D579F9"/>
  </w:style>
  <w:style w:type="paragraph" w:customStyle="1" w:styleId="54496EB6DB034C84B25C08D4EB987E81">
    <w:name w:val="54496EB6DB034C84B25C08D4EB987E81"/>
    <w:rsid w:val="00D45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FCF0-207B-4A2D-A7AB-06D67258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19724</Words>
  <Characters>11243</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Grozījumi Ministru kabineta 2017. gada 28. februāra noteikumos Nr. 108 "Publisko elektronisko iepirkumu noteikumi"</vt:lpstr>
    </vt:vector>
  </TitlesOfParts>
  <Company>VARAM</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28. februāra noteikumos Nr. 108 "Publisko elektronisko iepirkumu noteikumi"</dc:title>
  <dc:subject>Izziņa par atzinumos sniegtajiem iebildumiem</dc:subject>
  <dc:creator>Ingrida Igaune</dc:creator>
  <dc:description>Igaune 66016780_x000d_
ingrida.igaune@varam.gov.lv</dc:description>
  <cp:lastModifiedBy>Ingrīda Igaune</cp:lastModifiedBy>
  <cp:revision>5</cp:revision>
  <cp:lastPrinted>2020-02-26T12:50:00Z</cp:lastPrinted>
  <dcterms:created xsi:type="dcterms:W3CDTF">2020-06-02T08:37:00Z</dcterms:created>
  <dcterms:modified xsi:type="dcterms:W3CDTF">2020-06-02T09:04:00Z</dcterms:modified>
</cp:coreProperties>
</file>