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8F" w:rsidRPr="002B4511" w:rsidRDefault="00F8778E" w:rsidP="009C238F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2B4511">
        <w:rPr>
          <w:rFonts w:eastAsia="Times New Roman" w:cs="Times New Roman"/>
          <w:b/>
          <w:szCs w:val="24"/>
          <w:lang w:eastAsia="lv-LV"/>
        </w:rPr>
        <w:t xml:space="preserve">  </w:t>
      </w:r>
      <w:r w:rsidR="009C238F" w:rsidRPr="002B4511">
        <w:rPr>
          <w:rFonts w:eastAsia="Times New Roman" w:cs="Times New Roman"/>
          <w:b/>
          <w:szCs w:val="24"/>
          <w:lang w:eastAsia="lv-LV"/>
        </w:rPr>
        <w:t>Izziņa par atzinumos sniegtajiem iebildumiem</w:t>
      </w:r>
    </w:p>
    <w:p w:rsidR="002B4511" w:rsidRPr="002B4511" w:rsidRDefault="002B4511" w:rsidP="002B4511">
      <w:pPr>
        <w:jc w:val="center"/>
        <w:rPr>
          <w:b/>
          <w:bCs/>
          <w:color w:val="000000"/>
          <w:szCs w:val="24"/>
          <w:shd w:val="clear" w:color="auto" w:fill="FFFFFF"/>
        </w:rPr>
      </w:pPr>
      <w:r w:rsidRPr="002B4511">
        <w:rPr>
          <w:b/>
          <w:bCs/>
          <w:szCs w:val="24"/>
        </w:rPr>
        <w:t>Saeimas lēmuma “</w:t>
      </w:r>
      <w:r w:rsidRPr="002B4511">
        <w:rPr>
          <w:b/>
          <w:bCs/>
          <w:color w:val="000000"/>
          <w:szCs w:val="24"/>
          <w:shd w:val="clear" w:color="auto" w:fill="FFFFFF"/>
        </w:rPr>
        <w:t>Par Latvijas Nacionālo bruņoto spēku karavīru dalību</w:t>
      </w:r>
      <w:r w:rsidR="00771713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2B4511">
        <w:rPr>
          <w:b/>
          <w:bCs/>
          <w:color w:val="000000"/>
          <w:szCs w:val="24"/>
          <w:shd w:val="clear" w:color="auto" w:fill="FFFFFF"/>
        </w:rPr>
        <w:t>starptautiskajā operācijā Kosovā (</w:t>
      </w:r>
      <w:r w:rsidRPr="002B4511">
        <w:rPr>
          <w:b/>
          <w:bCs/>
          <w:i/>
          <w:color w:val="000000"/>
          <w:szCs w:val="24"/>
          <w:shd w:val="clear" w:color="auto" w:fill="FFFFFF"/>
        </w:rPr>
        <w:t>KFOR</w:t>
      </w:r>
      <w:r w:rsidRPr="002B4511">
        <w:rPr>
          <w:b/>
          <w:bCs/>
          <w:color w:val="000000"/>
          <w:szCs w:val="24"/>
          <w:shd w:val="clear" w:color="auto" w:fill="FFFFFF"/>
        </w:rPr>
        <w:t>)” projektam</w:t>
      </w:r>
    </w:p>
    <w:p w:rsidR="008A12D1" w:rsidRPr="00105685" w:rsidRDefault="008A12D1" w:rsidP="008A12D1">
      <w:pPr>
        <w:jc w:val="center"/>
        <w:rPr>
          <w:b/>
          <w:bCs/>
        </w:rPr>
      </w:pPr>
    </w:p>
    <w:p w:rsidR="00E72CD0" w:rsidRPr="00747FB6" w:rsidRDefault="00E72CD0" w:rsidP="009C238F">
      <w:pPr>
        <w:jc w:val="center"/>
        <w:rPr>
          <w:rFonts w:eastAsia="Times New Roman" w:cs="Times New Roman"/>
          <w:b/>
          <w:szCs w:val="24"/>
          <w:lang w:eastAsia="lv-LV"/>
        </w:rPr>
      </w:pPr>
    </w:p>
    <w:p w:rsidR="003B137A" w:rsidRPr="00747FB6" w:rsidRDefault="003B137A" w:rsidP="003B137A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747FB6">
        <w:rPr>
          <w:rFonts w:eastAsia="Times New Roman" w:cs="Times New Roman"/>
          <w:b/>
          <w:szCs w:val="24"/>
          <w:lang w:eastAsia="lv-LV"/>
        </w:rPr>
        <w:t>I. Jautājumi, par kuriem saskaņošanā vienošanās nav panākta</w:t>
      </w:r>
    </w:p>
    <w:tbl>
      <w:tblPr>
        <w:tblStyle w:val="TableGrid"/>
        <w:tblpPr w:leftFromText="180" w:rightFromText="180" w:vertAnchor="text" w:horzAnchor="margin" w:tblpY="31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5132"/>
        <w:gridCol w:w="3940"/>
        <w:gridCol w:w="1446"/>
        <w:gridCol w:w="1559"/>
      </w:tblGrid>
      <w:tr w:rsidR="003B137A" w:rsidRPr="00747FB6" w:rsidTr="00477B7D">
        <w:tc>
          <w:tcPr>
            <w:tcW w:w="704" w:type="dxa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  <w:r w:rsidRPr="00747FB6">
              <w:rPr>
                <w:rFonts w:cs="Times New Roman"/>
                <w:szCs w:val="24"/>
              </w:rPr>
              <w:t>Nr. p.k.</w:t>
            </w:r>
          </w:p>
        </w:tc>
        <w:tc>
          <w:tcPr>
            <w:tcW w:w="1956" w:type="dxa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  <w:r w:rsidRPr="00747FB6">
              <w:rPr>
                <w:rFonts w:cs="Times New Roman"/>
                <w:szCs w:val="24"/>
              </w:rPr>
              <w:t>Saskaņošanai nosūtītā projekta redakcija (konkrēta punkta (panta) redakcija)</w:t>
            </w:r>
          </w:p>
        </w:tc>
        <w:tc>
          <w:tcPr>
            <w:tcW w:w="5132" w:type="dxa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  <w:r w:rsidRPr="00747FB6">
              <w:rPr>
                <w:rFonts w:cs="Times New Roman"/>
                <w:szCs w:val="24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940" w:type="dxa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  <w:r w:rsidRPr="00747FB6">
              <w:rPr>
                <w:rFonts w:eastAsia="Times New Roman" w:cs="Times New Roman"/>
                <w:szCs w:val="24"/>
                <w:lang w:eastAsia="lv-LV"/>
              </w:rPr>
              <w:t>Atbildīgās ministrijas pamatojums iebilduma noraidījumam</w:t>
            </w:r>
          </w:p>
        </w:tc>
        <w:tc>
          <w:tcPr>
            <w:tcW w:w="1446" w:type="dxa"/>
          </w:tcPr>
          <w:p w:rsidR="003B137A" w:rsidRPr="00747FB6" w:rsidRDefault="003B137A" w:rsidP="007B5727">
            <w:pPr>
              <w:jc w:val="both"/>
              <w:rPr>
                <w:rFonts w:cs="Times New Roman"/>
                <w:szCs w:val="24"/>
              </w:rPr>
            </w:pPr>
            <w:r w:rsidRPr="00747FB6">
              <w:rPr>
                <w:rFonts w:eastAsia="Times New Roman" w:cs="Times New Roman"/>
                <w:szCs w:val="24"/>
                <w:lang w:eastAsia="lv-LV"/>
              </w:rPr>
              <w:t>Atzinuma sniedzēja uzturētais iebildums, ja tas atšķiras no atzinumā norādītā iebilduma pamatojuma</w:t>
            </w:r>
          </w:p>
        </w:tc>
        <w:tc>
          <w:tcPr>
            <w:tcW w:w="1559" w:type="dxa"/>
          </w:tcPr>
          <w:p w:rsidR="003B137A" w:rsidRPr="00747FB6" w:rsidRDefault="003B137A" w:rsidP="007B5727">
            <w:pPr>
              <w:jc w:val="both"/>
              <w:rPr>
                <w:rFonts w:cs="Times New Roman"/>
                <w:szCs w:val="24"/>
              </w:rPr>
            </w:pPr>
            <w:r w:rsidRPr="00747FB6">
              <w:rPr>
                <w:rFonts w:cs="Times New Roman"/>
                <w:szCs w:val="24"/>
              </w:rPr>
              <w:t>Projekta attiecīgā punkta (panta) galīgā redakcija</w:t>
            </w:r>
          </w:p>
        </w:tc>
      </w:tr>
      <w:tr w:rsidR="003B137A" w:rsidRPr="00747FB6" w:rsidTr="00477B7D">
        <w:tc>
          <w:tcPr>
            <w:tcW w:w="704" w:type="dxa"/>
            <w:vAlign w:val="center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  <w:r w:rsidRPr="00747FB6">
              <w:rPr>
                <w:rFonts w:cs="Times New Roman"/>
                <w:szCs w:val="24"/>
              </w:rPr>
              <w:t>2</w:t>
            </w:r>
          </w:p>
        </w:tc>
        <w:tc>
          <w:tcPr>
            <w:tcW w:w="5132" w:type="dxa"/>
            <w:vAlign w:val="center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  <w:r w:rsidRPr="00747FB6">
              <w:rPr>
                <w:rFonts w:cs="Times New Roman"/>
                <w:szCs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  <w:r w:rsidRPr="00747FB6">
              <w:rPr>
                <w:rFonts w:cs="Times New Roman"/>
                <w:szCs w:val="24"/>
              </w:rPr>
              <w:t>4</w:t>
            </w:r>
          </w:p>
        </w:tc>
        <w:tc>
          <w:tcPr>
            <w:tcW w:w="1446" w:type="dxa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  <w:r w:rsidRPr="00747FB6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137A" w:rsidRPr="00747FB6" w:rsidRDefault="003B137A" w:rsidP="007B5727">
            <w:pPr>
              <w:jc w:val="center"/>
              <w:rPr>
                <w:rFonts w:cs="Times New Roman"/>
                <w:szCs w:val="24"/>
              </w:rPr>
            </w:pPr>
            <w:r w:rsidRPr="00747FB6">
              <w:rPr>
                <w:rFonts w:cs="Times New Roman"/>
                <w:szCs w:val="24"/>
              </w:rPr>
              <w:t>6</w:t>
            </w:r>
          </w:p>
        </w:tc>
      </w:tr>
    </w:tbl>
    <w:p w:rsidR="003B137A" w:rsidRPr="00747FB6" w:rsidRDefault="003B137A" w:rsidP="003B137A">
      <w:pPr>
        <w:spacing w:before="150" w:after="150"/>
        <w:jc w:val="center"/>
        <w:rPr>
          <w:rFonts w:eastAsia="Times New Roman" w:cs="Times New Roman"/>
          <w:b/>
          <w:bCs/>
          <w:szCs w:val="24"/>
          <w:lang w:eastAsia="lv-LV"/>
        </w:rPr>
      </w:pPr>
      <w:r w:rsidRPr="00747FB6">
        <w:rPr>
          <w:rFonts w:eastAsia="Times New Roman" w:cs="Times New Roman"/>
          <w:b/>
          <w:bCs/>
          <w:szCs w:val="24"/>
          <w:lang w:eastAsia="lv-LV"/>
        </w:rPr>
        <w:t>II.  Jautājumi, par kuriem saskaņošanā vienošanās ir panākta</w:t>
      </w:r>
    </w:p>
    <w:p w:rsidR="003B137A" w:rsidRPr="00747FB6" w:rsidRDefault="003B137A" w:rsidP="003B137A">
      <w:pPr>
        <w:spacing w:before="150" w:after="150"/>
        <w:jc w:val="center"/>
        <w:rPr>
          <w:rFonts w:eastAsia="Times New Roman" w:cs="Times New Roman"/>
          <w:b/>
          <w:bCs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2864"/>
        <w:gridCol w:w="3515"/>
      </w:tblGrid>
      <w:tr w:rsidR="003B137A" w:rsidRPr="00747FB6" w:rsidTr="00B13A5A">
        <w:tc>
          <w:tcPr>
            <w:tcW w:w="675" w:type="dxa"/>
          </w:tcPr>
          <w:p w:rsidR="003B137A" w:rsidRPr="00747FB6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47FB6">
              <w:rPr>
                <w:rFonts w:cs="Times New Roman"/>
                <w:szCs w:val="24"/>
              </w:rPr>
              <w:t>Nr. p.k.</w:t>
            </w:r>
          </w:p>
        </w:tc>
        <w:tc>
          <w:tcPr>
            <w:tcW w:w="2694" w:type="dxa"/>
          </w:tcPr>
          <w:p w:rsidR="003B137A" w:rsidRPr="00747FB6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47FB6">
              <w:rPr>
                <w:rFonts w:cs="Times New Roman"/>
                <w:szCs w:val="24"/>
              </w:rPr>
              <w:t>Saskaņošanai nosūtītā projekta redakcija (konkrēta punkta (panta) redakcija)</w:t>
            </w:r>
          </w:p>
        </w:tc>
        <w:tc>
          <w:tcPr>
            <w:tcW w:w="4961" w:type="dxa"/>
          </w:tcPr>
          <w:p w:rsidR="003B137A" w:rsidRPr="00747FB6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47FB6">
              <w:rPr>
                <w:rFonts w:cs="Times New Roman"/>
                <w:szCs w:val="24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864" w:type="dxa"/>
          </w:tcPr>
          <w:p w:rsidR="003B137A" w:rsidRPr="00747FB6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47FB6">
              <w:rPr>
                <w:rFonts w:cs="Times New Roman"/>
                <w:szCs w:val="24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515" w:type="dxa"/>
          </w:tcPr>
          <w:p w:rsidR="003B137A" w:rsidRPr="00747FB6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747FB6">
              <w:rPr>
                <w:rFonts w:cs="Times New Roman"/>
                <w:szCs w:val="24"/>
              </w:rPr>
              <w:t>Projekta attiecīgā punkta (panta) galīgā redakcija</w:t>
            </w:r>
          </w:p>
        </w:tc>
      </w:tr>
      <w:tr w:rsidR="003B137A" w:rsidRPr="00747FB6" w:rsidTr="00B13A5A">
        <w:tc>
          <w:tcPr>
            <w:tcW w:w="675" w:type="dxa"/>
          </w:tcPr>
          <w:p w:rsidR="003B137A" w:rsidRPr="00747FB6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694" w:type="dxa"/>
          </w:tcPr>
          <w:p w:rsidR="003B137A" w:rsidRPr="00747FB6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747FB6"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</w:p>
        </w:tc>
        <w:tc>
          <w:tcPr>
            <w:tcW w:w="4961" w:type="dxa"/>
          </w:tcPr>
          <w:p w:rsidR="003B137A" w:rsidRPr="00777F93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777F93"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</w:p>
        </w:tc>
        <w:tc>
          <w:tcPr>
            <w:tcW w:w="2864" w:type="dxa"/>
          </w:tcPr>
          <w:p w:rsidR="003B137A" w:rsidRPr="00747FB6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747FB6">
              <w:rPr>
                <w:rFonts w:eastAsia="Times New Roman" w:cs="Times New Roman"/>
                <w:bCs/>
                <w:szCs w:val="24"/>
                <w:lang w:eastAsia="lv-LV"/>
              </w:rPr>
              <w:t>3</w:t>
            </w:r>
          </w:p>
        </w:tc>
        <w:tc>
          <w:tcPr>
            <w:tcW w:w="3515" w:type="dxa"/>
          </w:tcPr>
          <w:p w:rsidR="003B137A" w:rsidRPr="00747FB6" w:rsidRDefault="003B137A" w:rsidP="007B5727">
            <w:pPr>
              <w:spacing w:before="150" w:after="15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747FB6">
              <w:rPr>
                <w:rFonts w:eastAsia="Times New Roman" w:cs="Times New Roman"/>
                <w:bCs/>
                <w:szCs w:val="24"/>
                <w:lang w:eastAsia="lv-LV"/>
              </w:rPr>
              <w:t>4</w:t>
            </w:r>
          </w:p>
        </w:tc>
      </w:tr>
      <w:tr w:rsidR="006F6D48" w:rsidRPr="00747FB6" w:rsidTr="00B13A5A">
        <w:tc>
          <w:tcPr>
            <w:tcW w:w="675" w:type="dxa"/>
          </w:tcPr>
          <w:p w:rsidR="008A12D1" w:rsidRPr="00777F93" w:rsidRDefault="008A12D1" w:rsidP="007B5727">
            <w:pPr>
              <w:spacing w:before="150" w:after="15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  <w:p w:rsidR="006F6D48" w:rsidRPr="00777F93" w:rsidRDefault="006F6D48" w:rsidP="007B5727">
            <w:pPr>
              <w:spacing w:before="150" w:after="15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777F93">
              <w:rPr>
                <w:rFonts w:eastAsia="Times New Roman" w:cs="Times New Roman"/>
                <w:bCs/>
                <w:szCs w:val="24"/>
                <w:lang w:eastAsia="lv-LV"/>
              </w:rPr>
              <w:t>1.</w:t>
            </w:r>
          </w:p>
        </w:tc>
        <w:tc>
          <w:tcPr>
            <w:tcW w:w="2694" w:type="dxa"/>
          </w:tcPr>
          <w:p w:rsidR="00427E73" w:rsidRDefault="00427E73" w:rsidP="00777F93">
            <w:pPr>
              <w:spacing w:before="100" w:after="10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Saeimas lēmuma projekts šādā redakcijā: </w:t>
            </w:r>
          </w:p>
          <w:p w:rsidR="00777F93" w:rsidRPr="00777F93" w:rsidRDefault="00427E73" w:rsidP="00777F93">
            <w:pPr>
              <w:spacing w:before="100" w:after="100"/>
              <w:jc w:val="both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777F93" w:rsidRPr="00777F93">
              <w:rPr>
                <w:szCs w:val="24"/>
              </w:rPr>
              <w:t>Pamatojoties uz likuma „Latvijas Nacionālo bruņoto spēk</w:t>
            </w:r>
            <w:r w:rsidR="00777F93">
              <w:rPr>
                <w:szCs w:val="24"/>
              </w:rPr>
              <w:t xml:space="preserve">u piedalīšanās </w:t>
            </w:r>
            <w:r w:rsidR="00777F93">
              <w:rPr>
                <w:szCs w:val="24"/>
              </w:rPr>
              <w:lastRenderedPageBreak/>
              <w:t xml:space="preserve">starptautiskajās </w:t>
            </w:r>
            <w:r w:rsidR="00777F93" w:rsidRPr="00777F93">
              <w:rPr>
                <w:szCs w:val="24"/>
              </w:rPr>
              <w:t xml:space="preserve">operācijās” 1. panta pirmās daļas 1. punktu, 1. panta otro daļu un 5. panta pirmo daļu nosūtīt Latvijas Nacionālo bruņoto spēku karavīrus dalībai </w:t>
            </w:r>
            <w:r w:rsidR="00777F93" w:rsidRPr="00777F93">
              <w:rPr>
                <w:bCs/>
                <w:szCs w:val="24"/>
                <w:shd w:val="clear" w:color="auto" w:fill="FFFFFF"/>
              </w:rPr>
              <w:t>starptautiskajā operācijā Kosovā</w:t>
            </w:r>
            <w:r w:rsidR="00777F93" w:rsidRPr="00777F93">
              <w:rPr>
                <w:bCs/>
                <w:i/>
                <w:szCs w:val="24"/>
                <w:shd w:val="clear" w:color="auto" w:fill="FFFFFF"/>
              </w:rPr>
              <w:t xml:space="preserve"> (KFOR)</w:t>
            </w:r>
            <w:r w:rsidR="00777F93" w:rsidRPr="00777F93">
              <w:rPr>
                <w:bCs/>
                <w:szCs w:val="24"/>
                <w:shd w:val="clear" w:color="auto" w:fill="FFFFFF"/>
              </w:rPr>
              <w:t>.</w:t>
            </w:r>
            <w:r>
              <w:rPr>
                <w:bCs/>
                <w:szCs w:val="24"/>
                <w:shd w:val="clear" w:color="auto" w:fill="FFFFFF"/>
              </w:rPr>
              <w:t>”.</w:t>
            </w:r>
          </w:p>
          <w:p w:rsidR="006F6D48" w:rsidRPr="00777F93" w:rsidRDefault="006F6D48" w:rsidP="00C508C0">
            <w:pPr>
              <w:spacing w:before="150" w:after="150"/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4961" w:type="dxa"/>
          </w:tcPr>
          <w:p w:rsidR="006F6D48" w:rsidRPr="00777F93" w:rsidRDefault="00747FB6" w:rsidP="006F6D48">
            <w:pPr>
              <w:jc w:val="center"/>
              <w:rPr>
                <w:rFonts w:cs="Times New Roman"/>
                <w:b/>
                <w:szCs w:val="24"/>
              </w:rPr>
            </w:pPr>
            <w:r w:rsidRPr="00777F93">
              <w:rPr>
                <w:rFonts w:cs="Times New Roman"/>
                <w:b/>
                <w:szCs w:val="24"/>
              </w:rPr>
              <w:lastRenderedPageBreak/>
              <w:t>Tieslietu ministrija</w:t>
            </w:r>
          </w:p>
          <w:p w:rsidR="006F6D48" w:rsidRPr="00BC3DD1" w:rsidRDefault="00777F93" w:rsidP="003057FB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right="11"/>
              <w:jc w:val="both"/>
              <w:rPr>
                <w:bCs/>
                <w:iCs/>
              </w:rPr>
            </w:pPr>
            <w:r w:rsidRPr="00777F93">
              <w:rPr>
                <w:rFonts w:eastAsia="Calibri"/>
                <w:color w:val="000000" w:themeColor="text1"/>
              </w:rPr>
              <w:t xml:space="preserve">Lūdzam precizēt lēmumu atbilstoši likuma </w:t>
            </w:r>
            <w:r w:rsidRPr="00777F93">
              <w:t xml:space="preserve">“Latvijas Nacionālo bruņoto spēku piedalīšanās starptautiskajās operācijās” (turpmāk - likums) 1. panta otrajai daļai, ietverot lēmumā atsauci uz anotācijā norādīto Apvieno Nāciju Organizācijas </w:t>
            </w:r>
            <w:r w:rsidRPr="00777F93">
              <w:lastRenderedPageBreak/>
              <w:t>(ANO) Drošības padomes 1999. gada 10. jūnija rezolūciju Nr. 1244 (1999). Vienlaikus lūdzam atbilstoši likuma 5. panta pirmajai daļai norādīt lēmumā to starptautisko organizāciju vai valsti, kura vada starptautisko operāciju Kosovā (</w:t>
            </w:r>
            <w:r w:rsidRPr="005654B9">
              <w:rPr>
                <w:i/>
              </w:rPr>
              <w:t>KFOR</w:t>
            </w:r>
            <w:r w:rsidRPr="00777F93">
              <w:t>). Atbilstoši lēmuma anotācijas I sadaļas 2. punktā norādītajam operācija Kosovā (</w:t>
            </w:r>
            <w:proofErr w:type="spellStart"/>
            <w:r w:rsidRPr="00777F93">
              <w:rPr>
                <w:i/>
              </w:rPr>
              <w:t>Kosovo</w:t>
            </w:r>
            <w:proofErr w:type="spellEnd"/>
            <w:r w:rsidRPr="00777F93">
              <w:rPr>
                <w:i/>
              </w:rPr>
              <w:t xml:space="preserve"> </w:t>
            </w:r>
            <w:proofErr w:type="spellStart"/>
            <w:r w:rsidRPr="00777F93">
              <w:rPr>
                <w:i/>
              </w:rPr>
              <w:t>Force</w:t>
            </w:r>
            <w:proofErr w:type="spellEnd"/>
            <w:r w:rsidRPr="00777F93">
              <w:t xml:space="preserve"> – </w:t>
            </w:r>
            <w:r w:rsidRPr="00135AB1">
              <w:t>KFOR</w:t>
            </w:r>
            <w:r w:rsidRPr="00777F93">
              <w:t>) ir Ziemeļatlantijas līguma organizācijas (NATO) vadīta.</w:t>
            </w:r>
          </w:p>
        </w:tc>
        <w:tc>
          <w:tcPr>
            <w:tcW w:w="2864" w:type="dxa"/>
          </w:tcPr>
          <w:p w:rsidR="008A12D1" w:rsidRDefault="008A12D1" w:rsidP="007B5727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  <w:p w:rsidR="006F6D48" w:rsidRDefault="00777F93" w:rsidP="007B5727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Iebildums ņemts vērā</w:t>
            </w:r>
          </w:p>
          <w:p w:rsidR="00747FB6" w:rsidRPr="00747FB6" w:rsidRDefault="00747FB6" w:rsidP="007F597F">
            <w:pPr>
              <w:spacing w:before="150" w:after="150"/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515" w:type="dxa"/>
          </w:tcPr>
          <w:p w:rsidR="008A12D1" w:rsidRPr="00AB3B6C" w:rsidRDefault="00AB3B6C" w:rsidP="00427E73">
            <w:pPr>
              <w:spacing w:before="100" w:after="100"/>
              <w:jc w:val="both"/>
              <w:rPr>
                <w:szCs w:val="24"/>
              </w:rPr>
            </w:pPr>
            <w:r w:rsidRPr="00AB3B6C">
              <w:rPr>
                <w:szCs w:val="24"/>
              </w:rPr>
              <w:t xml:space="preserve">Saeimas lēmuma projekta teksts precizēts atbilstoši iebildumam šādā redakcijā: </w:t>
            </w:r>
            <w:r w:rsidRPr="00033FC3">
              <w:rPr>
                <w:szCs w:val="24"/>
                <w:u w:val="single"/>
              </w:rPr>
              <w:t xml:space="preserve">“Ievērojot Apvienoto Nāciju Organizācijas Drošības padomes 1999. gada                 10. jūnija rezolūciju Nr. 1244 </w:t>
            </w:r>
            <w:r w:rsidRPr="00033FC3">
              <w:rPr>
                <w:szCs w:val="24"/>
                <w:u w:val="single"/>
              </w:rPr>
              <w:lastRenderedPageBreak/>
              <w:t>(1999</w:t>
            </w:r>
            <w:r w:rsidRPr="00AB3B6C">
              <w:rPr>
                <w:szCs w:val="24"/>
              </w:rPr>
              <w:t xml:space="preserve">) un pamatojoties uz likuma „Latvijas Nacionālo bruņoto spēku piedalīšanās starptautiskajās operācijās” </w:t>
            </w:r>
            <w:r w:rsidR="00D40F8F">
              <w:rPr>
                <w:szCs w:val="24"/>
              </w:rPr>
              <w:t xml:space="preserve">           </w:t>
            </w:r>
            <w:r w:rsidRPr="00AB3B6C">
              <w:rPr>
                <w:szCs w:val="24"/>
              </w:rPr>
              <w:t xml:space="preserve">1. panta pirmās daļas 1. punktu, </w:t>
            </w:r>
            <w:r w:rsidR="00D40F8F">
              <w:rPr>
                <w:szCs w:val="24"/>
              </w:rPr>
              <w:t xml:space="preserve">           </w:t>
            </w:r>
            <w:r w:rsidRPr="00AB3B6C">
              <w:rPr>
                <w:szCs w:val="24"/>
              </w:rPr>
              <w:t xml:space="preserve">1. panta otro daļu un 5. panta pirmo daļu, nosūtīt Latvijas Nacionālo bruņoto spēku karavīrus dalībai </w:t>
            </w:r>
            <w:r w:rsidRPr="00033FC3">
              <w:rPr>
                <w:szCs w:val="24"/>
                <w:u w:val="single"/>
              </w:rPr>
              <w:t>Ziemeļatlantijas līguma organizācijas  vadītajā</w:t>
            </w:r>
            <w:r w:rsidRPr="00AB3B6C">
              <w:rPr>
                <w:szCs w:val="24"/>
              </w:rPr>
              <w:t xml:space="preserve"> starptautiskajā operācijā Kosovā (</w:t>
            </w:r>
            <w:r w:rsidRPr="005654B9">
              <w:rPr>
                <w:i/>
                <w:szCs w:val="24"/>
              </w:rPr>
              <w:t>KFOR</w:t>
            </w:r>
            <w:r w:rsidRPr="00AB3B6C">
              <w:rPr>
                <w:szCs w:val="24"/>
              </w:rPr>
              <w:t>) uz laiku līdz 2023. gada 31. decembrim.”</w:t>
            </w:r>
          </w:p>
        </w:tc>
      </w:tr>
      <w:tr w:rsidR="008534DE" w:rsidRPr="00747FB6" w:rsidTr="00B43AEE">
        <w:tc>
          <w:tcPr>
            <w:tcW w:w="675" w:type="dxa"/>
          </w:tcPr>
          <w:p w:rsidR="008534DE" w:rsidRPr="00747FB6" w:rsidRDefault="008534DE" w:rsidP="008534DE">
            <w:pPr>
              <w:spacing w:before="150" w:after="15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2</w:t>
            </w:r>
            <w:r w:rsidRPr="00747FB6"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694" w:type="dxa"/>
          </w:tcPr>
          <w:p w:rsidR="008534DE" w:rsidRDefault="008534DE" w:rsidP="008534DE">
            <w:pPr>
              <w:spacing w:before="100" w:after="10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Saeimas lēmuma projekts šādā redakcijā: </w:t>
            </w:r>
          </w:p>
          <w:p w:rsidR="008534DE" w:rsidRPr="00777F93" w:rsidRDefault="008534DE" w:rsidP="008534DE">
            <w:pPr>
              <w:spacing w:before="100" w:after="100"/>
              <w:jc w:val="both"/>
              <w:rPr>
                <w:szCs w:val="24"/>
              </w:rPr>
            </w:pPr>
            <w:r>
              <w:rPr>
                <w:szCs w:val="24"/>
              </w:rPr>
              <w:t>“</w:t>
            </w:r>
            <w:r w:rsidRPr="00777F93">
              <w:rPr>
                <w:szCs w:val="24"/>
              </w:rPr>
              <w:t>Pamatojoties uz likuma „Latvijas Nacionālo bruņoto spēk</w:t>
            </w:r>
            <w:r>
              <w:rPr>
                <w:szCs w:val="24"/>
              </w:rPr>
              <w:t xml:space="preserve">u piedalīšanās starptautiskajās </w:t>
            </w:r>
            <w:r w:rsidRPr="00777F93">
              <w:rPr>
                <w:szCs w:val="24"/>
              </w:rPr>
              <w:t xml:space="preserve">operācijās” 1. panta pirmās daļas 1. punktu, 1. panta otro daļu un 5. panta pirmo daļu nosūtīt Latvijas Nacionālo bruņoto spēku karavīrus dalībai </w:t>
            </w:r>
            <w:r w:rsidRPr="00777F93">
              <w:rPr>
                <w:bCs/>
                <w:szCs w:val="24"/>
                <w:shd w:val="clear" w:color="auto" w:fill="FFFFFF"/>
              </w:rPr>
              <w:t>starptautiskajā operācijā Kosovā</w:t>
            </w:r>
            <w:r w:rsidRPr="00777F93">
              <w:rPr>
                <w:bCs/>
                <w:i/>
                <w:szCs w:val="24"/>
                <w:shd w:val="clear" w:color="auto" w:fill="FFFFFF"/>
              </w:rPr>
              <w:t xml:space="preserve"> (KFOR)</w:t>
            </w:r>
            <w:r w:rsidRPr="00777F93">
              <w:rPr>
                <w:bCs/>
                <w:szCs w:val="24"/>
                <w:shd w:val="clear" w:color="auto" w:fill="FFFFFF"/>
              </w:rPr>
              <w:t>.</w:t>
            </w:r>
            <w:r>
              <w:rPr>
                <w:bCs/>
                <w:szCs w:val="24"/>
                <w:shd w:val="clear" w:color="auto" w:fill="FFFFFF"/>
              </w:rPr>
              <w:t>”.</w:t>
            </w:r>
          </w:p>
          <w:p w:rsidR="008534DE" w:rsidRPr="00777F93" w:rsidRDefault="008534DE" w:rsidP="008534DE">
            <w:pPr>
              <w:spacing w:before="150" w:after="150"/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4961" w:type="dxa"/>
          </w:tcPr>
          <w:p w:rsidR="008534DE" w:rsidRPr="009A4A28" w:rsidRDefault="008534DE" w:rsidP="008534DE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  <w:p w:rsidR="008534DE" w:rsidRPr="009A4A28" w:rsidRDefault="008534DE" w:rsidP="008534DE">
            <w:pPr>
              <w:jc w:val="center"/>
              <w:rPr>
                <w:rFonts w:cs="Times New Roman"/>
                <w:b/>
                <w:szCs w:val="24"/>
              </w:rPr>
            </w:pPr>
            <w:r w:rsidRPr="009A4A28">
              <w:rPr>
                <w:rFonts w:cs="Times New Roman"/>
                <w:b/>
                <w:szCs w:val="24"/>
              </w:rPr>
              <w:t>Tieslietu ministrija</w:t>
            </w:r>
          </w:p>
          <w:p w:rsidR="008A264A" w:rsidRDefault="008534DE" w:rsidP="008534DE">
            <w:pPr>
              <w:pStyle w:val="NormalWeb"/>
              <w:tabs>
                <w:tab w:val="left" w:pos="993"/>
              </w:tabs>
              <w:spacing w:before="0" w:after="0"/>
              <w:ind w:right="11"/>
              <w:jc w:val="both"/>
            </w:pPr>
            <w:r w:rsidRPr="009A4A28">
              <w:rPr>
                <w:bCs/>
                <w:iCs/>
              </w:rPr>
              <w:t xml:space="preserve">Likuma 5. panta pirmā daļa noteic, ka “Latvijas Nacionālo bruņoto spēku kontingents saskaņā ar Saeimas lēmumu var nodot tās starptautiskās organizācijas vai valsts pārziņā, kura vada starptautisko operāciju — starptautisko operāciju veikšanai </w:t>
            </w:r>
            <w:r w:rsidRPr="009A4A28">
              <w:rPr>
                <w:bCs/>
                <w:iCs/>
                <w:u w:val="single"/>
              </w:rPr>
              <w:t>uz laiku</w:t>
            </w:r>
            <w:r w:rsidRPr="009A4A28">
              <w:rPr>
                <w:bCs/>
                <w:iCs/>
              </w:rPr>
              <w:t xml:space="preserve"> un </w:t>
            </w:r>
            <w:r w:rsidRPr="009A4A28">
              <w:rPr>
                <w:bCs/>
                <w:iCs/>
                <w:u w:val="single"/>
              </w:rPr>
              <w:t>ar noteikumiem, ko nosaka Saeimas lēmums</w:t>
            </w:r>
            <w:r w:rsidRPr="009A4A28">
              <w:rPr>
                <w:bCs/>
                <w:iCs/>
              </w:rPr>
              <w:t>.”</w:t>
            </w:r>
            <w:r w:rsidR="008A264A" w:rsidRPr="009A4A28">
              <w:rPr>
                <w:bCs/>
                <w:iCs/>
              </w:rPr>
              <w:t xml:space="preserve"> Ņemot vērā likuma 5. panta pirmajā daļā noteikto, lūdzam </w:t>
            </w:r>
            <w:r w:rsidR="008A264A" w:rsidRPr="009A4A28">
              <w:rPr>
                <w:bCs/>
                <w:iCs/>
                <w:u w:val="single"/>
              </w:rPr>
              <w:t>lēmumā norādīt termiņu,</w:t>
            </w:r>
            <w:r w:rsidR="008A264A" w:rsidRPr="009A4A28">
              <w:rPr>
                <w:bCs/>
                <w:iCs/>
              </w:rPr>
              <w:t xml:space="preserve"> </w:t>
            </w:r>
            <w:r w:rsidR="008A264A" w:rsidRPr="009A4A28">
              <w:rPr>
                <w:bCs/>
                <w:iCs/>
                <w:u w:val="single"/>
              </w:rPr>
              <w:t>līdz kuram paredzēta</w:t>
            </w:r>
            <w:r w:rsidR="008A264A" w:rsidRPr="009A4A28">
              <w:rPr>
                <w:bCs/>
                <w:iCs/>
              </w:rPr>
              <w:t xml:space="preserve"> </w:t>
            </w:r>
            <w:r w:rsidR="008A264A" w:rsidRPr="009A4A28">
              <w:t>Latvijas Nacionālo bruņoto spēku karavīru dalība starptautiskajā operācijā Kosovā (</w:t>
            </w:r>
            <w:r w:rsidR="008A264A" w:rsidRPr="005654B9">
              <w:rPr>
                <w:i/>
              </w:rPr>
              <w:t>KFOR</w:t>
            </w:r>
            <w:r w:rsidR="008A264A" w:rsidRPr="009A4A28">
              <w:t xml:space="preserve">), </w:t>
            </w:r>
            <w:r w:rsidR="008A264A" w:rsidRPr="009A4A28">
              <w:rPr>
                <w:bCs/>
                <w:iCs/>
              </w:rPr>
              <w:t>vai arī norādīt atsauci uz dokumentu, kas paredz šādu termiņu</w:t>
            </w:r>
            <w:r w:rsidR="008A264A">
              <w:t>.</w:t>
            </w:r>
          </w:p>
          <w:p w:rsidR="008534DE" w:rsidRPr="009A4A28" w:rsidRDefault="008534DE" w:rsidP="008534DE">
            <w:pPr>
              <w:pStyle w:val="NormalWeb"/>
              <w:tabs>
                <w:tab w:val="left" w:pos="993"/>
              </w:tabs>
              <w:spacing w:before="0" w:after="0"/>
              <w:ind w:right="11"/>
              <w:jc w:val="both"/>
            </w:pPr>
            <w:r w:rsidRPr="009A4A28">
              <w:t xml:space="preserve">Vienlaikus, ņemot vērā likuma 5. panta pirmajā daļā noteikto, lūdzam </w:t>
            </w:r>
            <w:r w:rsidRPr="009A4A28">
              <w:rPr>
                <w:u w:val="single"/>
              </w:rPr>
              <w:t>izvērtēt nepieciešamību lēmumā norādīt noteikumus</w:t>
            </w:r>
            <w:r w:rsidRPr="009A4A28">
              <w:t xml:space="preserve"> Latvijas Nacionālo bruņoto spēku karavīru dalībai starptautiskajā operācijā Kosovā (</w:t>
            </w:r>
            <w:r w:rsidRPr="005654B9">
              <w:rPr>
                <w:i/>
              </w:rPr>
              <w:t>KFOR</w:t>
            </w:r>
            <w:r w:rsidRPr="009A4A28">
              <w:t xml:space="preserve">). Aicinām ņemt vērā, </w:t>
            </w:r>
            <w:r w:rsidRPr="009A4A28">
              <w:lastRenderedPageBreak/>
              <w:t xml:space="preserve">piemēram, projekta anotācijas I sadaļas 2. punktā norādītos KFOR galvenos uzdevumus, kā arī lēmuma anotācijas I sadaļas 2. punktā norādītos Latvijas dalības nosacījumus: “Latvija varētu piedalīties </w:t>
            </w:r>
            <w:r w:rsidRPr="009A4A28">
              <w:rPr>
                <w:i/>
              </w:rPr>
              <w:t>RC-E (</w:t>
            </w:r>
            <w:proofErr w:type="spellStart"/>
            <w:r w:rsidRPr="009A4A28">
              <w:rPr>
                <w:i/>
              </w:rPr>
              <w:t>Regional</w:t>
            </w:r>
            <w:proofErr w:type="spellEnd"/>
            <w:r w:rsidRPr="009A4A28">
              <w:rPr>
                <w:i/>
              </w:rPr>
              <w:t xml:space="preserve"> </w:t>
            </w:r>
            <w:proofErr w:type="spellStart"/>
            <w:r w:rsidRPr="009A4A28">
              <w:rPr>
                <w:i/>
              </w:rPr>
              <w:t>Command</w:t>
            </w:r>
            <w:proofErr w:type="spellEnd"/>
            <w:r w:rsidRPr="009A4A28">
              <w:rPr>
                <w:i/>
              </w:rPr>
              <w:t xml:space="preserve"> – </w:t>
            </w:r>
            <w:proofErr w:type="spellStart"/>
            <w:r w:rsidRPr="009A4A28">
              <w:rPr>
                <w:i/>
              </w:rPr>
              <w:t>East</w:t>
            </w:r>
            <w:proofErr w:type="spellEnd"/>
            <w:r w:rsidRPr="009A4A28">
              <w:rPr>
                <w:i/>
              </w:rPr>
              <w:t xml:space="preserve">) </w:t>
            </w:r>
            <w:r w:rsidRPr="009A4A28">
              <w:t xml:space="preserve">Amerikas Savienoto Valstu (ASV) vadītajā daudznacionālajā bataljonā vienas vieglās kājnieku rotas sastāvā. Kontingenta skaitliskais sastāvs nepārsniegtu 160 karavīru, un galvenie uzdevumi būtu patrulēšana, savu spēku aizsardzība </w:t>
            </w:r>
            <w:r w:rsidRPr="009A4A28">
              <w:rPr>
                <w:i/>
              </w:rPr>
              <w:t>(</w:t>
            </w:r>
            <w:proofErr w:type="spellStart"/>
            <w:r w:rsidRPr="009A4A28">
              <w:rPr>
                <w:i/>
              </w:rPr>
              <w:t>Force</w:t>
            </w:r>
            <w:proofErr w:type="spellEnd"/>
            <w:r w:rsidRPr="009A4A28">
              <w:rPr>
                <w:i/>
              </w:rPr>
              <w:t xml:space="preserve"> </w:t>
            </w:r>
            <w:proofErr w:type="spellStart"/>
            <w:r w:rsidRPr="009A4A28">
              <w:rPr>
                <w:i/>
              </w:rPr>
              <w:t>Protection</w:t>
            </w:r>
            <w:proofErr w:type="spellEnd"/>
            <w:r w:rsidRPr="009A4A28">
              <w:rPr>
                <w:i/>
              </w:rPr>
              <w:t xml:space="preserve"> – FP), </w:t>
            </w:r>
            <w:r w:rsidRPr="009A4A28">
              <w:t>savu kaujas spēju uzturēšana (</w:t>
            </w:r>
            <w:proofErr w:type="spellStart"/>
            <w:r w:rsidRPr="009A4A28">
              <w:t>pašapmācība</w:t>
            </w:r>
            <w:proofErr w:type="spellEnd"/>
            <w:r w:rsidRPr="009A4A28">
              <w:t>) un ātrās reaģēšanas spēku uzdevumu pildīšana.”</w:t>
            </w:r>
          </w:p>
        </w:tc>
        <w:tc>
          <w:tcPr>
            <w:tcW w:w="2864" w:type="dxa"/>
            <w:shd w:val="clear" w:color="auto" w:fill="FFFFFF" w:themeFill="background1"/>
          </w:tcPr>
          <w:p w:rsidR="008534DE" w:rsidRDefault="008534DE" w:rsidP="003E536F">
            <w:pPr>
              <w:spacing w:before="150" w:after="15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I</w:t>
            </w:r>
            <w:r w:rsidR="00EA55FD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ebildums 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ņemts vērā</w:t>
            </w:r>
          </w:p>
          <w:p w:rsidR="00EA55FD" w:rsidRPr="00DB33C3" w:rsidRDefault="001F20CB">
            <w:pPr>
              <w:spacing w:before="150" w:after="150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I</w:t>
            </w:r>
            <w:r w:rsidR="00197777">
              <w:rPr>
                <w:rFonts w:eastAsia="Times New Roman" w:cs="Times New Roman"/>
                <w:bCs/>
                <w:szCs w:val="24"/>
                <w:lang w:eastAsia="lv-LV"/>
              </w:rPr>
              <w:t xml:space="preserve">ebilduma otrajā daļā </w:t>
            </w:r>
            <w:r w:rsidR="00DB33C3">
              <w:rPr>
                <w:rFonts w:eastAsia="Times New Roman" w:cs="Times New Roman"/>
                <w:bCs/>
                <w:szCs w:val="24"/>
                <w:lang w:eastAsia="lv-LV"/>
              </w:rPr>
              <w:t xml:space="preserve">Tieslietu ministrija lūdz, </w:t>
            </w:r>
            <w:r w:rsidR="00E6208D" w:rsidRPr="009A4A28">
              <w:rPr>
                <w:szCs w:val="24"/>
              </w:rPr>
              <w:t xml:space="preserve">ņemot vērā likuma 5. panta pirmajā daļā noteikto, </w:t>
            </w:r>
            <w:r w:rsidR="00E6208D" w:rsidRPr="009A4A28">
              <w:rPr>
                <w:szCs w:val="24"/>
                <w:u w:val="single"/>
              </w:rPr>
              <w:t>izvērtēt nepieciešamību lēmumā norādīt noteikumus</w:t>
            </w:r>
            <w:r w:rsidR="00E6208D" w:rsidRPr="00FC1BF6">
              <w:rPr>
                <w:szCs w:val="24"/>
              </w:rPr>
              <w:t xml:space="preserve"> </w:t>
            </w:r>
            <w:r w:rsidR="00E6208D" w:rsidRPr="00E6208D">
              <w:rPr>
                <w:szCs w:val="24"/>
              </w:rPr>
              <w:t xml:space="preserve">– Aizsardzības ministrija </w:t>
            </w:r>
            <w:r w:rsidR="00197777">
              <w:rPr>
                <w:szCs w:val="24"/>
              </w:rPr>
              <w:t>papildināja Saeimas lēmuma projektu ar norādi uz ANO Drošības padomes 1999.</w:t>
            </w:r>
            <w:r>
              <w:rPr>
                <w:szCs w:val="24"/>
              </w:rPr>
              <w:t xml:space="preserve"> </w:t>
            </w:r>
            <w:r w:rsidR="00197777">
              <w:rPr>
                <w:szCs w:val="24"/>
              </w:rPr>
              <w:t>gada</w:t>
            </w:r>
            <w:proofErr w:type="gramStart"/>
            <w:r w:rsidR="0019777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</w:t>
            </w:r>
            <w:proofErr w:type="gramEnd"/>
            <w:r w:rsidR="00197777">
              <w:rPr>
                <w:szCs w:val="24"/>
              </w:rPr>
              <w:t>10.</w:t>
            </w:r>
            <w:r>
              <w:rPr>
                <w:szCs w:val="24"/>
              </w:rPr>
              <w:t xml:space="preserve"> </w:t>
            </w:r>
            <w:r w:rsidR="00197777">
              <w:rPr>
                <w:szCs w:val="24"/>
              </w:rPr>
              <w:t xml:space="preserve">jūnija rezolūciju Nr.1244 (1999), kurā ir noteikti </w:t>
            </w:r>
            <w:r w:rsidR="00E1183B" w:rsidRPr="00FC1BF6">
              <w:rPr>
                <w:i/>
                <w:szCs w:val="24"/>
              </w:rPr>
              <w:t>KFOR</w:t>
            </w:r>
            <w:r w:rsidR="00E1183B">
              <w:rPr>
                <w:szCs w:val="24"/>
              </w:rPr>
              <w:t xml:space="preserve"> uzdevumi</w:t>
            </w:r>
            <w:r w:rsidR="00197777">
              <w:rPr>
                <w:szCs w:val="24"/>
              </w:rPr>
              <w:t xml:space="preserve"> un tiesības</w:t>
            </w:r>
            <w:r>
              <w:rPr>
                <w:szCs w:val="24"/>
              </w:rPr>
              <w:t>,</w:t>
            </w:r>
            <w:r w:rsidR="00E6208D">
              <w:rPr>
                <w:szCs w:val="24"/>
              </w:rPr>
              <w:t xml:space="preserve"> </w:t>
            </w:r>
            <w:r w:rsidR="00197777">
              <w:rPr>
                <w:szCs w:val="24"/>
              </w:rPr>
              <w:t>norādīja starptautisko organizāciju, kuras vadībā notiek KFOR, kā</w:t>
            </w:r>
            <w:r w:rsidR="00C402A0">
              <w:rPr>
                <w:szCs w:val="24"/>
              </w:rPr>
              <w:t xml:space="preserve"> arī dalības operācijā termiņu. </w:t>
            </w:r>
            <w:r w:rsidR="00197777">
              <w:rPr>
                <w:szCs w:val="24"/>
              </w:rPr>
              <w:t xml:space="preserve">Aizsardzības </w:t>
            </w:r>
            <w:r w:rsidR="00197777">
              <w:rPr>
                <w:szCs w:val="24"/>
              </w:rPr>
              <w:lastRenderedPageBreak/>
              <w:t>ministrija</w:t>
            </w:r>
            <w:r>
              <w:rPr>
                <w:szCs w:val="24"/>
              </w:rPr>
              <w:t>s</w:t>
            </w:r>
            <w:r w:rsidR="00197777">
              <w:rPr>
                <w:szCs w:val="24"/>
              </w:rPr>
              <w:t xml:space="preserve"> vērtējumā nav vērts </w:t>
            </w:r>
            <w:r w:rsidR="00DB33C3">
              <w:rPr>
                <w:szCs w:val="24"/>
              </w:rPr>
              <w:t>atkārtoti Saeimas lēmumā atrunāt</w:t>
            </w:r>
            <w:r w:rsidR="00197777">
              <w:rPr>
                <w:szCs w:val="24"/>
              </w:rPr>
              <w:t xml:space="preserve"> ANO Drošības padomes regulējumu</w:t>
            </w:r>
            <w:r w:rsidR="00DB33C3">
              <w:rPr>
                <w:szCs w:val="24"/>
              </w:rPr>
              <w:t>.</w:t>
            </w:r>
            <w:r w:rsidR="00EA55FD">
              <w:rPr>
                <w:szCs w:val="24"/>
              </w:rPr>
              <w:t xml:space="preserve"> Savukārt attiecībā uz lēmuma anotācijas I sadaļas 2. punktā norādītajiem Latvijas dalības nosacījumiem </w:t>
            </w:r>
            <w:r w:rsidR="00B73DB2">
              <w:rPr>
                <w:szCs w:val="24"/>
              </w:rPr>
              <w:t>(piem., plānotais karavīru skai</w:t>
            </w:r>
            <w:r w:rsidR="00816774">
              <w:rPr>
                <w:szCs w:val="24"/>
              </w:rPr>
              <w:t>ts</w:t>
            </w:r>
            <w:r w:rsidR="0078097A">
              <w:rPr>
                <w:szCs w:val="24"/>
              </w:rPr>
              <w:t>;</w:t>
            </w:r>
            <w:r w:rsidR="00B73DB2">
              <w:rPr>
                <w:szCs w:val="24"/>
              </w:rPr>
              <w:t xml:space="preserve"> </w:t>
            </w:r>
            <w:r w:rsidR="00816774">
              <w:rPr>
                <w:szCs w:val="24"/>
              </w:rPr>
              <w:t>kurā sastāvā plānota NBS karavīru dalība utt.)</w:t>
            </w:r>
            <w:r w:rsidR="00A7663F">
              <w:rPr>
                <w:szCs w:val="24"/>
              </w:rPr>
              <w:t xml:space="preserve"> -</w:t>
            </w:r>
            <w:r w:rsidR="00EA55FD">
              <w:rPr>
                <w:szCs w:val="24"/>
              </w:rPr>
              <w:t xml:space="preserve"> tā kā š</w:t>
            </w:r>
            <w:r w:rsidR="00B73DB2">
              <w:rPr>
                <w:szCs w:val="24"/>
              </w:rPr>
              <w:t>ādi nosacījumi</w:t>
            </w:r>
            <w:r w:rsidR="00EA55FD">
              <w:rPr>
                <w:szCs w:val="24"/>
              </w:rPr>
              <w:t xml:space="preserve"> ir operacionāla rakstura</w:t>
            </w:r>
            <w:r w:rsidR="00816774">
              <w:rPr>
                <w:szCs w:val="24"/>
              </w:rPr>
              <w:t xml:space="preserve"> </w:t>
            </w:r>
            <w:r w:rsidR="00B73DB2">
              <w:rPr>
                <w:szCs w:val="24"/>
              </w:rPr>
              <w:t xml:space="preserve">un tie var mainīties atkarībā no </w:t>
            </w:r>
            <w:r w:rsidR="00110D2D">
              <w:rPr>
                <w:szCs w:val="24"/>
              </w:rPr>
              <w:t xml:space="preserve">faktiskajiem apstākļiem un resursiem, </w:t>
            </w:r>
            <w:r w:rsidR="00D16083">
              <w:rPr>
                <w:szCs w:val="24"/>
              </w:rPr>
              <w:t xml:space="preserve">bez tam līdzšinējā praksē </w:t>
            </w:r>
            <w:r w:rsidR="003F01EB">
              <w:rPr>
                <w:szCs w:val="24"/>
              </w:rPr>
              <w:t>šād</w:t>
            </w:r>
            <w:r w:rsidR="0078097A">
              <w:rPr>
                <w:szCs w:val="24"/>
              </w:rPr>
              <w:t xml:space="preserve">i nosacījumi </w:t>
            </w:r>
            <w:r w:rsidR="003F01EB">
              <w:rPr>
                <w:szCs w:val="24"/>
              </w:rPr>
              <w:t>Saeimas lēmumos par Latvijas NBS karavīru</w:t>
            </w:r>
            <w:r w:rsidR="0078097A">
              <w:rPr>
                <w:szCs w:val="24"/>
              </w:rPr>
              <w:t xml:space="preserve"> </w:t>
            </w:r>
            <w:r w:rsidR="003F01EB">
              <w:rPr>
                <w:szCs w:val="24"/>
              </w:rPr>
              <w:t>dalī</w:t>
            </w:r>
            <w:r w:rsidR="0078097A">
              <w:rPr>
                <w:szCs w:val="24"/>
              </w:rPr>
              <w:t xml:space="preserve">bu starptautiskajās operācijās netiek ietverti, </w:t>
            </w:r>
            <w:r w:rsidR="009826B9">
              <w:rPr>
                <w:szCs w:val="24"/>
              </w:rPr>
              <w:t>Aizsardzības ministrija</w:t>
            </w:r>
            <w:r w:rsidR="008E43DE">
              <w:rPr>
                <w:szCs w:val="24"/>
              </w:rPr>
              <w:t>s ieskatā šādu</w:t>
            </w:r>
            <w:r w:rsidR="009826B9">
              <w:rPr>
                <w:szCs w:val="24"/>
              </w:rPr>
              <w:t xml:space="preserve"> </w:t>
            </w:r>
            <w:r w:rsidR="008E43DE">
              <w:rPr>
                <w:szCs w:val="24"/>
              </w:rPr>
              <w:t>operacionālu</w:t>
            </w:r>
            <w:r w:rsidR="00D82E9A">
              <w:rPr>
                <w:szCs w:val="24"/>
              </w:rPr>
              <w:t xml:space="preserve"> </w:t>
            </w:r>
            <w:r w:rsidR="008E43DE">
              <w:rPr>
                <w:szCs w:val="24"/>
              </w:rPr>
              <w:t>nosacījumu</w:t>
            </w:r>
            <w:r w:rsidR="009826B9">
              <w:rPr>
                <w:szCs w:val="24"/>
              </w:rPr>
              <w:t xml:space="preserve"> </w:t>
            </w:r>
            <w:r w:rsidR="008E43DE">
              <w:rPr>
                <w:szCs w:val="24"/>
              </w:rPr>
              <w:t xml:space="preserve">norādīšana </w:t>
            </w:r>
            <w:r w:rsidR="009826B9">
              <w:rPr>
                <w:szCs w:val="24"/>
              </w:rPr>
              <w:t xml:space="preserve">Saeimas lēmuma projektā nav </w:t>
            </w:r>
            <w:r w:rsidR="008E43DE">
              <w:rPr>
                <w:szCs w:val="24"/>
              </w:rPr>
              <w:t>lietderīga</w:t>
            </w:r>
            <w:r w:rsidR="009826B9">
              <w:rPr>
                <w:szCs w:val="24"/>
              </w:rPr>
              <w:t>.</w:t>
            </w:r>
          </w:p>
        </w:tc>
        <w:tc>
          <w:tcPr>
            <w:tcW w:w="3515" w:type="dxa"/>
          </w:tcPr>
          <w:p w:rsidR="008534DE" w:rsidRPr="00AB3B6C" w:rsidRDefault="008534DE" w:rsidP="00197777">
            <w:pPr>
              <w:spacing w:before="100" w:after="100"/>
              <w:jc w:val="both"/>
              <w:rPr>
                <w:szCs w:val="24"/>
              </w:rPr>
            </w:pPr>
            <w:r w:rsidRPr="00AB3B6C">
              <w:rPr>
                <w:szCs w:val="24"/>
              </w:rPr>
              <w:lastRenderedPageBreak/>
              <w:t xml:space="preserve">Saeimas lēmuma projekta teksts precizēts atbilstoši iebildumam šādā redakcijā: </w:t>
            </w:r>
            <w:r w:rsidRPr="008534DE">
              <w:rPr>
                <w:szCs w:val="24"/>
              </w:rPr>
              <w:t>“</w:t>
            </w:r>
            <w:r w:rsidRPr="000B4A09">
              <w:rPr>
                <w:szCs w:val="24"/>
                <w:u w:val="single"/>
              </w:rPr>
              <w:t>Ievērojot Apvienoto Nāciju Organizācijas Drošības padomes 1999. gada</w:t>
            </w:r>
            <w:proofErr w:type="gramStart"/>
            <w:r w:rsidRPr="000B4A09">
              <w:rPr>
                <w:szCs w:val="24"/>
                <w:u w:val="single"/>
              </w:rPr>
              <w:t xml:space="preserve">                 </w:t>
            </w:r>
            <w:proofErr w:type="gramEnd"/>
            <w:r w:rsidRPr="000B4A09">
              <w:rPr>
                <w:szCs w:val="24"/>
                <w:u w:val="single"/>
              </w:rPr>
              <w:t>10. jūnija rezolūciju Nr. 1244 (1999)</w:t>
            </w:r>
            <w:r w:rsidRPr="00AB3B6C">
              <w:rPr>
                <w:szCs w:val="24"/>
              </w:rPr>
              <w:t xml:space="preserve"> un pamatojoties uz likuma „Latvijas Nacionālo bruņoto spēku piedalīšanās starptautiskajās operācijās” </w:t>
            </w:r>
            <w:r>
              <w:rPr>
                <w:szCs w:val="24"/>
              </w:rPr>
              <w:t xml:space="preserve">           </w:t>
            </w:r>
            <w:r w:rsidRPr="00AB3B6C">
              <w:rPr>
                <w:szCs w:val="24"/>
              </w:rPr>
              <w:t xml:space="preserve">1. panta pirmās daļas 1. punktu, </w:t>
            </w:r>
            <w:r>
              <w:rPr>
                <w:szCs w:val="24"/>
              </w:rPr>
              <w:t xml:space="preserve">           </w:t>
            </w:r>
            <w:r w:rsidRPr="00AB3B6C">
              <w:rPr>
                <w:szCs w:val="24"/>
              </w:rPr>
              <w:t xml:space="preserve">1. panta otro daļu un 5. panta pirmo daļu, </w:t>
            </w:r>
            <w:r w:rsidRPr="008534DE">
              <w:rPr>
                <w:szCs w:val="24"/>
              </w:rPr>
              <w:t xml:space="preserve">nosūtīt Latvijas Nacionālo bruņoto spēku karavīrus dalībai </w:t>
            </w:r>
            <w:r w:rsidRPr="000B4A09">
              <w:rPr>
                <w:szCs w:val="24"/>
                <w:u w:val="single"/>
              </w:rPr>
              <w:t>Ziemeļatlantijas līguma organizācijas  vadītajā starptautiskajā operācijā</w:t>
            </w:r>
            <w:r w:rsidRPr="008534DE">
              <w:rPr>
                <w:szCs w:val="24"/>
              </w:rPr>
              <w:t xml:space="preserve"> Kosovā (</w:t>
            </w:r>
            <w:r w:rsidRPr="005654B9">
              <w:rPr>
                <w:i/>
                <w:szCs w:val="24"/>
              </w:rPr>
              <w:t>KFOR</w:t>
            </w:r>
            <w:r w:rsidRPr="008534DE">
              <w:rPr>
                <w:szCs w:val="24"/>
              </w:rPr>
              <w:t xml:space="preserve">) uz </w:t>
            </w:r>
            <w:r w:rsidRPr="003F729C">
              <w:rPr>
                <w:szCs w:val="24"/>
                <w:u w:val="single"/>
              </w:rPr>
              <w:t>laiku līdz 2023. gada 31. decembrim</w:t>
            </w:r>
            <w:r w:rsidRPr="008534DE">
              <w:rPr>
                <w:szCs w:val="24"/>
              </w:rPr>
              <w:t>.”</w:t>
            </w:r>
          </w:p>
        </w:tc>
      </w:tr>
    </w:tbl>
    <w:p w:rsidR="001001D2" w:rsidRDefault="001001D2" w:rsidP="003B137A">
      <w:pPr>
        <w:rPr>
          <w:rFonts w:cs="Times New Roman"/>
          <w:szCs w:val="24"/>
        </w:rPr>
      </w:pPr>
    </w:p>
    <w:p w:rsidR="003B137A" w:rsidRPr="00747FB6" w:rsidRDefault="003B137A" w:rsidP="003B137A">
      <w:pPr>
        <w:rPr>
          <w:rFonts w:cs="Times New Roman"/>
          <w:szCs w:val="24"/>
        </w:rPr>
      </w:pPr>
      <w:r w:rsidRPr="00747FB6">
        <w:rPr>
          <w:rFonts w:cs="Times New Roman"/>
          <w:szCs w:val="24"/>
        </w:rPr>
        <w:t xml:space="preserve">Atbildīgā </w:t>
      </w:r>
      <w:proofErr w:type="spellStart"/>
      <w:r w:rsidRPr="00747FB6">
        <w:rPr>
          <w:rFonts w:cs="Times New Roman"/>
          <w:szCs w:val="24"/>
        </w:rPr>
        <w:t>amatpersona____________________________</w:t>
      </w:r>
      <w:r w:rsidR="007746B3">
        <w:rPr>
          <w:rFonts w:cs="Times New Roman"/>
          <w:szCs w:val="24"/>
        </w:rPr>
        <w:t>S</w:t>
      </w:r>
      <w:proofErr w:type="spellEnd"/>
      <w:r w:rsidR="007746B3">
        <w:rPr>
          <w:rFonts w:cs="Times New Roman"/>
          <w:szCs w:val="24"/>
        </w:rPr>
        <w:t>.</w:t>
      </w:r>
      <w:r w:rsidR="00EF2117">
        <w:rPr>
          <w:rFonts w:cs="Times New Roman"/>
          <w:szCs w:val="24"/>
        </w:rPr>
        <w:t xml:space="preserve"> Šadurska</w:t>
      </w:r>
    </w:p>
    <w:p w:rsidR="003B137A" w:rsidRPr="00747FB6" w:rsidRDefault="003B137A" w:rsidP="003B137A">
      <w:pPr>
        <w:rPr>
          <w:rFonts w:cs="Times New Roman"/>
          <w:szCs w:val="24"/>
        </w:rPr>
      </w:pPr>
    </w:p>
    <w:p w:rsidR="003B137A" w:rsidRPr="00823E3D" w:rsidRDefault="00EF2117" w:rsidP="003B137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Signe Šadurska</w:t>
      </w:r>
      <w:r w:rsidR="003B137A" w:rsidRPr="00823E3D">
        <w:rPr>
          <w:rFonts w:cs="Times New Roman"/>
          <w:sz w:val="20"/>
          <w:szCs w:val="20"/>
        </w:rPr>
        <w:t>, 67335</w:t>
      </w:r>
      <w:r>
        <w:rPr>
          <w:rFonts w:cs="Times New Roman"/>
          <w:sz w:val="20"/>
          <w:szCs w:val="20"/>
        </w:rPr>
        <w:t>247</w:t>
      </w:r>
    </w:p>
    <w:p w:rsidR="00417FEF" w:rsidRPr="0062760F" w:rsidRDefault="00EF2117" w:rsidP="0062760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Signe.Sadurska</w:t>
      </w:r>
      <w:r w:rsidR="003B137A" w:rsidRPr="00823E3D">
        <w:rPr>
          <w:rFonts w:cs="Times New Roman"/>
          <w:sz w:val="20"/>
          <w:szCs w:val="20"/>
        </w:rPr>
        <w:t>@mod.gov.lv</w:t>
      </w:r>
      <w:bookmarkStart w:id="0" w:name="_GoBack"/>
      <w:bookmarkEnd w:id="0"/>
    </w:p>
    <w:sectPr w:rsidR="00417FEF" w:rsidRPr="0062760F" w:rsidSect="005319A8">
      <w:headerReference w:type="default" r:id="rId8"/>
      <w:footerReference w:type="default" r:id="rId9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F0" w:rsidRDefault="000821F0" w:rsidP="009929B9">
      <w:r>
        <w:separator/>
      </w:r>
    </w:p>
  </w:endnote>
  <w:endnote w:type="continuationSeparator" w:id="0">
    <w:p w:rsidR="000821F0" w:rsidRDefault="000821F0" w:rsidP="0099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655033"/>
      <w:docPartObj>
        <w:docPartGallery w:val="Page Numbers (Bottom of Page)"/>
        <w:docPartUnique/>
      </w:docPartObj>
    </w:sdtPr>
    <w:sdtEndPr/>
    <w:sdtContent>
      <w:p w:rsidR="00EC700E" w:rsidRPr="009B3C1B" w:rsidRDefault="00EC700E" w:rsidP="00EC700E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AIMi</w:t>
        </w:r>
        <w:r w:rsidRPr="009B3C1B">
          <w:rPr>
            <w:sz w:val="20"/>
            <w:szCs w:val="20"/>
          </w:rPr>
          <w:t>zz_</w:t>
        </w:r>
        <w:r w:rsidR="00407F80">
          <w:rPr>
            <w:sz w:val="20"/>
            <w:szCs w:val="20"/>
          </w:rPr>
          <w:t>250620_KFOR</w:t>
        </w:r>
      </w:p>
      <w:p w:rsidR="00EC700E" w:rsidRDefault="00EC700E">
        <w:pPr>
          <w:pStyle w:val="Footer"/>
          <w:jc w:val="right"/>
        </w:pPr>
      </w:p>
      <w:p w:rsidR="00EC700E" w:rsidRDefault="00E524AE">
        <w:pPr>
          <w:pStyle w:val="Footer"/>
          <w:jc w:val="right"/>
        </w:pPr>
        <w:r>
          <w:fldChar w:fldCharType="begin"/>
        </w:r>
        <w:r w:rsidR="00773154">
          <w:instrText xml:space="preserve"> PAGE   \* MERGEFORMAT </w:instrText>
        </w:r>
        <w:r>
          <w:fldChar w:fldCharType="separate"/>
        </w:r>
        <w:r w:rsidR="006276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6C72" w:rsidRPr="009B3C1B" w:rsidRDefault="00126C7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F0" w:rsidRDefault="000821F0" w:rsidP="009929B9">
      <w:r>
        <w:separator/>
      </w:r>
    </w:p>
  </w:footnote>
  <w:footnote w:type="continuationSeparator" w:id="0">
    <w:p w:rsidR="000821F0" w:rsidRDefault="000821F0" w:rsidP="0099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72" w:rsidRDefault="00126C72">
    <w:pPr>
      <w:pStyle w:val="Header"/>
      <w:jc w:val="center"/>
    </w:pPr>
  </w:p>
  <w:p w:rsidR="00126C72" w:rsidRDefault="0012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084"/>
    <w:multiLevelType w:val="hybridMultilevel"/>
    <w:tmpl w:val="3DAA18E2"/>
    <w:lvl w:ilvl="0" w:tplc="A0C2BE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AA3226"/>
    <w:multiLevelType w:val="hybridMultilevel"/>
    <w:tmpl w:val="15F00354"/>
    <w:lvl w:ilvl="0" w:tplc="670EE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D37AD0"/>
    <w:multiLevelType w:val="hybridMultilevel"/>
    <w:tmpl w:val="2D1E355C"/>
    <w:lvl w:ilvl="0" w:tplc="99B89AB2">
      <w:start w:val="1"/>
      <w:numFmt w:val="decimal"/>
      <w:lvlText w:val="%1."/>
      <w:lvlJc w:val="left"/>
      <w:pPr>
        <w:ind w:left="1720" w:hanging="100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703E7"/>
    <w:multiLevelType w:val="hybridMultilevel"/>
    <w:tmpl w:val="4CAE26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9C7"/>
    <w:multiLevelType w:val="hybridMultilevel"/>
    <w:tmpl w:val="FB045256"/>
    <w:lvl w:ilvl="0" w:tplc="0426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6379"/>
    <w:multiLevelType w:val="hybridMultilevel"/>
    <w:tmpl w:val="C91E0BE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B71C9"/>
    <w:multiLevelType w:val="hybridMultilevel"/>
    <w:tmpl w:val="7BC0DFBE"/>
    <w:lvl w:ilvl="0" w:tplc="BA641F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7CB"/>
    <w:multiLevelType w:val="hybridMultilevel"/>
    <w:tmpl w:val="FA924C4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726C"/>
    <w:multiLevelType w:val="hybridMultilevel"/>
    <w:tmpl w:val="2BF235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4C02"/>
    <w:multiLevelType w:val="hybridMultilevel"/>
    <w:tmpl w:val="D5C215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872EF"/>
    <w:multiLevelType w:val="hybridMultilevel"/>
    <w:tmpl w:val="15F00354"/>
    <w:lvl w:ilvl="0" w:tplc="670EE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6D04ED5"/>
    <w:multiLevelType w:val="multilevel"/>
    <w:tmpl w:val="0570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F"/>
    <w:rsid w:val="00005618"/>
    <w:rsid w:val="00014607"/>
    <w:rsid w:val="00015D23"/>
    <w:rsid w:val="00022C19"/>
    <w:rsid w:val="00025A1B"/>
    <w:rsid w:val="00030DB9"/>
    <w:rsid w:val="00031F93"/>
    <w:rsid w:val="00033FC3"/>
    <w:rsid w:val="00036813"/>
    <w:rsid w:val="00040805"/>
    <w:rsid w:val="00041261"/>
    <w:rsid w:val="00042844"/>
    <w:rsid w:val="00047DDC"/>
    <w:rsid w:val="00053DDE"/>
    <w:rsid w:val="000616E7"/>
    <w:rsid w:val="00066882"/>
    <w:rsid w:val="00070FE3"/>
    <w:rsid w:val="000729DC"/>
    <w:rsid w:val="00073C2B"/>
    <w:rsid w:val="000821F0"/>
    <w:rsid w:val="00082F5A"/>
    <w:rsid w:val="00085738"/>
    <w:rsid w:val="00090D2D"/>
    <w:rsid w:val="00091C20"/>
    <w:rsid w:val="00095598"/>
    <w:rsid w:val="000A508E"/>
    <w:rsid w:val="000B081F"/>
    <w:rsid w:val="000B14D1"/>
    <w:rsid w:val="000B15F4"/>
    <w:rsid w:val="000B4A09"/>
    <w:rsid w:val="000C552C"/>
    <w:rsid w:val="000E1CDE"/>
    <w:rsid w:val="000F585B"/>
    <w:rsid w:val="000F6471"/>
    <w:rsid w:val="000F715D"/>
    <w:rsid w:val="001001D2"/>
    <w:rsid w:val="00103DD4"/>
    <w:rsid w:val="00104E7F"/>
    <w:rsid w:val="0010534E"/>
    <w:rsid w:val="00107511"/>
    <w:rsid w:val="00110D2D"/>
    <w:rsid w:val="00110D6B"/>
    <w:rsid w:val="00111AC5"/>
    <w:rsid w:val="00116C6E"/>
    <w:rsid w:val="0012190B"/>
    <w:rsid w:val="00126C72"/>
    <w:rsid w:val="001300E9"/>
    <w:rsid w:val="0013052F"/>
    <w:rsid w:val="00132462"/>
    <w:rsid w:val="00135AB1"/>
    <w:rsid w:val="001364EC"/>
    <w:rsid w:val="00140E41"/>
    <w:rsid w:val="0014396D"/>
    <w:rsid w:val="001509B1"/>
    <w:rsid w:val="001520E3"/>
    <w:rsid w:val="00157D9E"/>
    <w:rsid w:val="001652F0"/>
    <w:rsid w:val="00171A70"/>
    <w:rsid w:val="0018282D"/>
    <w:rsid w:val="00183687"/>
    <w:rsid w:val="00187683"/>
    <w:rsid w:val="00193180"/>
    <w:rsid w:val="00197777"/>
    <w:rsid w:val="001B3D6B"/>
    <w:rsid w:val="001C3B0D"/>
    <w:rsid w:val="001C4A29"/>
    <w:rsid w:val="001C58A8"/>
    <w:rsid w:val="001C638C"/>
    <w:rsid w:val="001D2303"/>
    <w:rsid w:val="001D35D2"/>
    <w:rsid w:val="001E185D"/>
    <w:rsid w:val="001E54FA"/>
    <w:rsid w:val="001F125C"/>
    <w:rsid w:val="001F20CB"/>
    <w:rsid w:val="001F45BF"/>
    <w:rsid w:val="001F73B7"/>
    <w:rsid w:val="002010DC"/>
    <w:rsid w:val="0020514C"/>
    <w:rsid w:val="00210284"/>
    <w:rsid w:val="00215A91"/>
    <w:rsid w:val="00222673"/>
    <w:rsid w:val="002239A7"/>
    <w:rsid w:val="00224985"/>
    <w:rsid w:val="00225AB4"/>
    <w:rsid w:val="002464FC"/>
    <w:rsid w:val="00250776"/>
    <w:rsid w:val="002525B2"/>
    <w:rsid w:val="0025271C"/>
    <w:rsid w:val="00263225"/>
    <w:rsid w:val="00264B3A"/>
    <w:rsid w:val="00264DEF"/>
    <w:rsid w:val="00271B17"/>
    <w:rsid w:val="002739AF"/>
    <w:rsid w:val="0027656B"/>
    <w:rsid w:val="00277217"/>
    <w:rsid w:val="002777AA"/>
    <w:rsid w:val="00280BAF"/>
    <w:rsid w:val="00284325"/>
    <w:rsid w:val="002865CC"/>
    <w:rsid w:val="00287D10"/>
    <w:rsid w:val="00297939"/>
    <w:rsid w:val="002A393C"/>
    <w:rsid w:val="002A7F14"/>
    <w:rsid w:val="002B4511"/>
    <w:rsid w:val="002C0072"/>
    <w:rsid w:val="002C10F3"/>
    <w:rsid w:val="002C14C0"/>
    <w:rsid w:val="002C3FE7"/>
    <w:rsid w:val="002E0A7C"/>
    <w:rsid w:val="002E26B5"/>
    <w:rsid w:val="002F7176"/>
    <w:rsid w:val="002F76FA"/>
    <w:rsid w:val="00301162"/>
    <w:rsid w:val="00305643"/>
    <w:rsid w:val="003057FB"/>
    <w:rsid w:val="00306CB7"/>
    <w:rsid w:val="00310B34"/>
    <w:rsid w:val="0031241A"/>
    <w:rsid w:val="00313D72"/>
    <w:rsid w:val="00322198"/>
    <w:rsid w:val="003343C6"/>
    <w:rsid w:val="003504B7"/>
    <w:rsid w:val="003520E0"/>
    <w:rsid w:val="00352A85"/>
    <w:rsid w:val="00354A6A"/>
    <w:rsid w:val="00357CD0"/>
    <w:rsid w:val="00363F01"/>
    <w:rsid w:val="00380B9B"/>
    <w:rsid w:val="00387BF8"/>
    <w:rsid w:val="00390749"/>
    <w:rsid w:val="0039456F"/>
    <w:rsid w:val="003A269F"/>
    <w:rsid w:val="003A65D0"/>
    <w:rsid w:val="003B137A"/>
    <w:rsid w:val="003B69A5"/>
    <w:rsid w:val="003C648E"/>
    <w:rsid w:val="003D3106"/>
    <w:rsid w:val="003E0F66"/>
    <w:rsid w:val="003E2BEF"/>
    <w:rsid w:val="003E536F"/>
    <w:rsid w:val="003F01EB"/>
    <w:rsid w:val="003F05A4"/>
    <w:rsid w:val="003F5CEC"/>
    <w:rsid w:val="003F729C"/>
    <w:rsid w:val="00403F45"/>
    <w:rsid w:val="00407F80"/>
    <w:rsid w:val="00411565"/>
    <w:rsid w:val="00417354"/>
    <w:rsid w:val="00417FEF"/>
    <w:rsid w:val="004269AB"/>
    <w:rsid w:val="00427E73"/>
    <w:rsid w:val="00430CE2"/>
    <w:rsid w:val="004352D3"/>
    <w:rsid w:val="00435A7B"/>
    <w:rsid w:val="00443972"/>
    <w:rsid w:val="00444AE4"/>
    <w:rsid w:val="00453890"/>
    <w:rsid w:val="00464FE0"/>
    <w:rsid w:val="00477B7D"/>
    <w:rsid w:val="00483DC7"/>
    <w:rsid w:val="00487AAB"/>
    <w:rsid w:val="004918CA"/>
    <w:rsid w:val="004927E3"/>
    <w:rsid w:val="004934B0"/>
    <w:rsid w:val="00494355"/>
    <w:rsid w:val="00494C09"/>
    <w:rsid w:val="004973DC"/>
    <w:rsid w:val="004B1F12"/>
    <w:rsid w:val="004C2946"/>
    <w:rsid w:val="004C4CA5"/>
    <w:rsid w:val="004D6276"/>
    <w:rsid w:val="004E079B"/>
    <w:rsid w:val="004E4BC3"/>
    <w:rsid w:val="004E527C"/>
    <w:rsid w:val="004E7B29"/>
    <w:rsid w:val="004E7F19"/>
    <w:rsid w:val="004F031B"/>
    <w:rsid w:val="004F03CD"/>
    <w:rsid w:val="004F0749"/>
    <w:rsid w:val="004F4A83"/>
    <w:rsid w:val="004F501E"/>
    <w:rsid w:val="004F7E1E"/>
    <w:rsid w:val="00502005"/>
    <w:rsid w:val="005055A8"/>
    <w:rsid w:val="005139E7"/>
    <w:rsid w:val="005319A8"/>
    <w:rsid w:val="00531C98"/>
    <w:rsid w:val="005471E7"/>
    <w:rsid w:val="005535BB"/>
    <w:rsid w:val="00553AD8"/>
    <w:rsid w:val="00555C1F"/>
    <w:rsid w:val="0055622C"/>
    <w:rsid w:val="00557356"/>
    <w:rsid w:val="0055741D"/>
    <w:rsid w:val="00557DCB"/>
    <w:rsid w:val="00560C12"/>
    <w:rsid w:val="00564CD5"/>
    <w:rsid w:val="005650CB"/>
    <w:rsid w:val="005654B9"/>
    <w:rsid w:val="00565F07"/>
    <w:rsid w:val="00571FB1"/>
    <w:rsid w:val="005774DB"/>
    <w:rsid w:val="00582C96"/>
    <w:rsid w:val="005C037D"/>
    <w:rsid w:val="005C146B"/>
    <w:rsid w:val="005C1F8D"/>
    <w:rsid w:val="005D313C"/>
    <w:rsid w:val="005D7B0B"/>
    <w:rsid w:val="005E1835"/>
    <w:rsid w:val="005E4BD4"/>
    <w:rsid w:val="005F0F7D"/>
    <w:rsid w:val="005F53C1"/>
    <w:rsid w:val="006068A6"/>
    <w:rsid w:val="00615174"/>
    <w:rsid w:val="00615892"/>
    <w:rsid w:val="00615F13"/>
    <w:rsid w:val="006258FF"/>
    <w:rsid w:val="006269C7"/>
    <w:rsid w:val="0062760F"/>
    <w:rsid w:val="006319AB"/>
    <w:rsid w:val="0063280E"/>
    <w:rsid w:val="006335DE"/>
    <w:rsid w:val="0063525D"/>
    <w:rsid w:val="00643A5F"/>
    <w:rsid w:val="0065015D"/>
    <w:rsid w:val="00650BE8"/>
    <w:rsid w:val="00650F1B"/>
    <w:rsid w:val="00653768"/>
    <w:rsid w:val="006547B8"/>
    <w:rsid w:val="00662C39"/>
    <w:rsid w:val="00665E51"/>
    <w:rsid w:val="006878A8"/>
    <w:rsid w:val="006918AB"/>
    <w:rsid w:val="00695A30"/>
    <w:rsid w:val="0069613C"/>
    <w:rsid w:val="006A191E"/>
    <w:rsid w:val="006A3019"/>
    <w:rsid w:val="006A488D"/>
    <w:rsid w:val="006B4B17"/>
    <w:rsid w:val="006B682F"/>
    <w:rsid w:val="006C36AD"/>
    <w:rsid w:val="006C5559"/>
    <w:rsid w:val="006C7643"/>
    <w:rsid w:val="006C7E82"/>
    <w:rsid w:val="006D1C5C"/>
    <w:rsid w:val="006D665F"/>
    <w:rsid w:val="006D7FED"/>
    <w:rsid w:val="006E2700"/>
    <w:rsid w:val="006E40F6"/>
    <w:rsid w:val="006E62C8"/>
    <w:rsid w:val="006F2E15"/>
    <w:rsid w:val="006F4C08"/>
    <w:rsid w:val="006F52AB"/>
    <w:rsid w:val="006F6D48"/>
    <w:rsid w:val="006F7817"/>
    <w:rsid w:val="00700CAE"/>
    <w:rsid w:val="007031B8"/>
    <w:rsid w:val="00705F04"/>
    <w:rsid w:val="007100AD"/>
    <w:rsid w:val="00713F07"/>
    <w:rsid w:val="00714B29"/>
    <w:rsid w:val="00721733"/>
    <w:rsid w:val="00726EA5"/>
    <w:rsid w:val="00727937"/>
    <w:rsid w:val="00727F75"/>
    <w:rsid w:val="00730B54"/>
    <w:rsid w:val="00740A7B"/>
    <w:rsid w:val="00747502"/>
    <w:rsid w:val="00747FB6"/>
    <w:rsid w:val="0075344F"/>
    <w:rsid w:val="007622F3"/>
    <w:rsid w:val="00763638"/>
    <w:rsid w:val="00771713"/>
    <w:rsid w:val="00773154"/>
    <w:rsid w:val="007746B3"/>
    <w:rsid w:val="00775661"/>
    <w:rsid w:val="00777083"/>
    <w:rsid w:val="00777F93"/>
    <w:rsid w:val="0078097A"/>
    <w:rsid w:val="00782A38"/>
    <w:rsid w:val="00790FCF"/>
    <w:rsid w:val="00795657"/>
    <w:rsid w:val="00795E14"/>
    <w:rsid w:val="00797E06"/>
    <w:rsid w:val="007A4ECC"/>
    <w:rsid w:val="007A598B"/>
    <w:rsid w:val="007A735B"/>
    <w:rsid w:val="007C4B2F"/>
    <w:rsid w:val="007C4E67"/>
    <w:rsid w:val="007C6006"/>
    <w:rsid w:val="007D02B2"/>
    <w:rsid w:val="007D3B75"/>
    <w:rsid w:val="007D455D"/>
    <w:rsid w:val="007D6DFA"/>
    <w:rsid w:val="007E077F"/>
    <w:rsid w:val="007E0CE8"/>
    <w:rsid w:val="007F26B9"/>
    <w:rsid w:val="007F597F"/>
    <w:rsid w:val="007F681D"/>
    <w:rsid w:val="00806499"/>
    <w:rsid w:val="00806CA5"/>
    <w:rsid w:val="008112B3"/>
    <w:rsid w:val="00812ED2"/>
    <w:rsid w:val="00816774"/>
    <w:rsid w:val="00817787"/>
    <w:rsid w:val="0082290E"/>
    <w:rsid w:val="00823AF0"/>
    <w:rsid w:val="00823E3D"/>
    <w:rsid w:val="00825202"/>
    <w:rsid w:val="00832E11"/>
    <w:rsid w:val="00846E70"/>
    <w:rsid w:val="00851D94"/>
    <w:rsid w:val="008534DE"/>
    <w:rsid w:val="00855BFB"/>
    <w:rsid w:val="008652BA"/>
    <w:rsid w:val="0088064A"/>
    <w:rsid w:val="00887853"/>
    <w:rsid w:val="00890C05"/>
    <w:rsid w:val="00897BE5"/>
    <w:rsid w:val="008A0544"/>
    <w:rsid w:val="008A0D49"/>
    <w:rsid w:val="008A12D1"/>
    <w:rsid w:val="008A264A"/>
    <w:rsid w:val="008A6B6E"/>
    <w:rsid w:val="008A6BD7"/>
    <w:rsid w:val="008B2DEA"/>
    <w:rsid w:val="008B34B0"/>
    <w:rsid w:val="008B5ADB"/>
    <w:rsid w:val="008B750B"/>
    <w:rsid w:val="008D1F51"/>
    <w:rsid w:val="008D503A"/>
    <w:rsid w:val="008D5D40"/>
    <w:rsid w:val="008E43DE"/>
    <w:rsid w:val="008E4F47"/>
    <w:rsid w:val="008E6538"/>
    <w:rsid w:val="008F0CD3"/>
    <w:rsid w:val="008F76BD"/>
    <w:rsid w:val="009028CE"/>
    <w:rsid w:val="00903D57"/>
    <w:rsid w:val="00910343"/>
    <w:rsid w:val="00911CE9"/>
    <w:rsid w:val="00912EDC"/>
    <w:rsid w:val="009135F5"/>
    <w:rsid w:val="0093244B"/>
    <w:rsid w:val="00936481"/>
    <w:rsid w:val="00952F83"/>
    <w:rsid w:val="0095359E"/>
    <w:rsid w:val="00965E38"/>
    <w:rsid w:val="009714C1"/>
    <w:rsid w:val="009773CE"/>
    <w:rsid w:val="009806DB"/>
    <w:rsid w:val="009826B9"/>
    <w:rsid w:val="00982980"/>
    <w:rsid w:val="00984006"/>
    <w:rsid w:val="0098416C"/>
    <w:rsid w:val="00990262"/>
    <w:rsid w:val="009929B9"/>
    <w:rsid w:val="009932C2"/>
    <w:rsid w:val="00996757"/>
    <w:rsid w:val="009972EF"/>
    <w:rsid w:val="009A4A28"/>
    <w:rsid w:val="009B1D04"/>
    <w:rsid w:val="009B3C1B"/>
    <w:rsid w:val="009B4407"/>
    <w:rsid w:val="009C0D07"/>
    <w:rsid w:val="009C238F"/>
    <w:rsid w:val="009D2B86"/>
    <w:rsid w:val="009D37E2"/>
    <w:rsid w:val="009E0DF3"/>
    <w:rsid w:val="009E3140"/>
    <w:rsid w:val="009E332D"/>
    <w:rsid w:val="009E7C6D"/>
    <w:rsid w:val="009E7F27"/>
    <w:rsid w:val="009F107E"/>
    <w:rsid w:val="009F136E"/>
    <w:rsid w:val="009F17AE"/>
    <w:rsid w:val="009F2021"/>
    <w:rsid w:val="009F3197"/>
    <w:rsid w:val="009F4CD2"/>
    <w:rsid w:val="00A12591"/>
    <w:rsid w:val="00A154DF"/>
    <w:rsid w:val="00A1601D"/>
    <w:rsid w:val="00A1735B"/>
    <w:rsid w:val="00A34551"/>
    <w:rsid w:val="00A408E4"/>
    <w:rsid w:val="00A455A3"/>
    <w:rsid w:val="00A45DCF"/>
    <w:rsid w:val="00A473DB"/>
    <w:rsid w:val="00A478D9"/>
    <w:rsid w:val="00A52065"/>
    <w:rsid w:val="00A521E7"/>
    <w:rsid w:val="00A66342"/>
    <w:rsid w:val="00A71BB8"/>
    <w:rsid w:val="00A7663F"/>
    <w:rsid w:val="00A8495B"/>
    <w:rsid w:val="00A85F2D"/>
    <w:rsid w:val="00A86CE9"/>
    <w:rsid w:val="00A87E88"/>
    <w:rsid w:val="00A977DC"/>
    <w:rsid w:val="00AA15E2"/>
    <w:rsid w:val="00AA1EAA"/>
    <w:rsid w:val="00AB37B0"/>
    <w:rsid w:val="00AB3B6C"/>
    <w:rsid w:val="00AC181E"/>
    <w:rsid w:val="00AC2FDE"/>
    <w:rsid w:val="00AC62AB"/>
    <w:rsid w:val="00AC73C1"/>
    <w:rsid w:val="00AD640C"/>
    <w:rsid w:val="00AD786C"/>
    <w:rsid w:val="00AE0681"/>
    <w:rsid w:val="00AE1A5A"/>
    <w:rsid w:val="00AE32BE"/>
    <w:rsid w:val="00AF515C"/>
    <w:rsid w:val="00AF73A3"/>
    <w:rsid w:val="00AF7687"/>
    <w:rsid w:val="00B0355F"/>
    <w:rsid w:val="00B05850"/>
    <w:rsid w:val="00B066F8"/>
    <w:rsid w:val="00B0782D"/>
    <w:rsid w:val="00B13A5A"/>
    <w:rsid w:val="00B202A7"/>
    <w:rsid w:val="00B27BCC"/>
    <w:rsid w:val="00B30318"/>
    <w:rsid w:val="00B32370"/>
    <w:rsid w:val="00B35F53"/>
    <w:rsid w:val="00B36069"/>
    <w:rsid w:val="00B36ECE"/>
    <w:rsid w:val="00B41435"/>
    <w:rsid w:val="00B41A63"/>
    <w:rsid w:val="00B41D25"/>
    <w:rsid w:val="00B43AEE"/>
    <w:rsid w:val="00B4786E"/>
    <w:rsid w:val="00B529A7"/>
    <w:rsid w:val="00B543BB"/>
    <w:rsid w:val="00B57E52"/>
    <w:rsid w:val="00B6197C"/>
    <w:rsid w:val="00B67BD3"/>
    <w:rsid w:val="00B73644"/>
    <w:rsid w:val="00B73C81"/>
    <w:rsid w:val="00B73DB2"/>
    <w:rsid w:val="00B7614C"/>
    <w:rsid w:val="00B7701C"/>
    <w:rsid w:val="00B83809"/>
    <w:rsid w:val="00B84516"/>
    <w:rsid w:val="00B90538"/>
    <w:rsid w:val="00B91FB9"/>
    <w:rsid w:val="00B93878"/>
    <w:rsid w:val="00BA13F3"/>
    <w:rsid w:val="00BA1C2B"/>
    <w:rsid w:val="00BA32EB"/>
    <w:rsid w:val="00BA4D43"/>
    <w:rsid w:val="00BB23E4"/>
    <w:rsid w:val="00BC081A"/>
    <w:rsid w:val="00BC24B6"/>
    <w:rsid w:val="00BC3DD1"/>
    <w:rsid w:val="00BD4224"/>
    <w:rsid w:val="00BD5955"/>
    <w:rsid w:val="00BE3DA2"/>
    <w:rsid w:val="00BE4D90"/>
    <w:rsid w:val="00BE727B"/>
    <w:rsid w:val="00BF1DB5"/>
    <w:rsid w:val="00C04996"/>
    <w:rsid w:val="00C06F06"/>
    <w:rsid w:val="00C120C3"/>
    <w:rsid w:val="00C124E3"/>
    <w:rsid w:val="00C168D6"/>
    <w:rsid w:val="00C23EFE"/>
    <w:rsid w:val="00C315F5"/>
    <w:rsid w:val="00C402A0"/>
    <w:rsid w:val="00C43882"/>
    <w:rsid w:val="00C442F9"/>
    <w:rsid w:val="00C466B7"/>
    <w:rsid w:val="00C508C0"/>
    <w:rsid w:val="00C52451"/>
    <w:rsid w:val="00C545C7"/>
    <w:rsid w:val="00C54998"/>
    <w:rsid w:val="00C579B7"/>
    <w:rsid w:val="00C57B05"/>
    <w:rsid w:val="00C6488A"/>
    <w:rsid w:val="00C66080"/>
    <w:rsid w:val="00C72FC8"/>
    <w:rsid w:val="00C771F5"/>
    <w:rsid w:val="00C825E3"/>
    <w:rsid w:val="00C84EDA"/>
    <w:rsid w:val="00C87B2D"/>
    <w:rsid w:val="00C92CBF"/>
    <w:rsid w:val="00C9796F"/>
    <w:rsid w:val="00CA5D2D"/>
    <w:rsid w:val="00CB7036"/>
    <w:rsid w:val="00CB7934"/>
    <w:rsid w:val="00CC0CB0"/>
    <w:rsid w:val="00CC36CF"/>
    <w:rsid w:val="00CD7147"/>
    <w:rsid w:val="00CE3EE1"/>
    <w:rsid w:val="00CE448F"/>
    <w:rsid w:val="00CF188C"/>
    <w:rsid w:val="00CF1B84"/>
    <w:rsid w:val="00D00F08"/>
    <w:rsid w:val="00D01FF8"/>
    <w:rsid w:val="00D026A2"/>
    <w:rsid w:val="00D125EF"/>
    <w:rsid w:val="00D16083"/>
    <w:rsid w:val="00D179E5"/>
    <w:rsid w:val="00D21098"/>
    <w:rsid w:val="00D2337B"/>
    <w:rsid w:val="00D27E48"/>
    <w:rsid w:val="00D33B33"/>
    <w:rsid w:val="00D33F8C"/>
    <w:rsid w:val="00D40F8F"/>
    <w:rsid w:val="00D432E6"/>
    <w:rsid w:val="00D45825"/>
    <w:rsid w:val="00D53EDA"/>
    <w:rsid w:val="00D56DE8"/>
    <w:rsid w:val="00D573FA"/>
    <w:rsid w:val="00D57932"/>
    <w:rsid w:val="00D57BAB"/>
    <w:rsid w:val="00D60A5F"/>
    <w:rsid w:val="00D70D43"/>
    <w:rsid w:val="00D74100"/>
    <w:rsid w:val="00D74DA4"/>
    <w:rsid w:val="00D75AAF"/>
    <w:rsid w:val="00D75CBB"/>
    <w:rsid w:val="00D82E9A"/>
    <w:rsid w:val="00D84989"/>
    <w:rsid w:val="00D86281"/>
    <w:rsid w:val="00D86A47"/>
    <w:rsid w:val="00D93710"/>
    <w:rsid w:val="00DA7880"/>
    <w:rsid w:val="00DB33C3"/>
    <w:rsid w:val="00DB4B68"/>
    <w:rsid w:val="00DC6D8B"/>
    <w:rsid w:val="00DD7BEB"/>
    <w:rsid w:val="00E02176"/>
    <w:rsid w:val="00E02C16"/>
    <w:rsid w:val="00E1183B"/>
    <w:rsid w:val="00E165BA"/>
    <w:rsid w:val="00E32183"/>
    <w:rsid w:val="00E35F40"/>
    <w:rsid w:val="00E36FE3"/>
    <w:rsid w:val="00E42E34"/>
    <w:rsid w:val="00E47476"/>
    <w:rsid w:val="00E520D3"/>
    <w:rsid w:val="00E524AE"/>
    <w:rsid w:val="00E57A9B"/>
    <w:rsid w:val="00E57BBF"/>
    <w:rsid w:val="00E610B2"/>
    <w:rsid w:val="00E6208D"/>
    <w:rsid w:val="00E63CF7"/>
    <w:rsid w:val="00E66D2A"/>
    <w:rsid w:val="00E7049E"/>
    <w:rsid w:val="00E72CD0"/>
    <w:rsid w:val="00E83366"/>
    <w:rsid w:val="00E85AE0"/>
    <w:rsid w:val="00E92231"/>
    <w:rsid w:val="00E95000"/>
    <w:rsid w:val="00E97594"/>
    <w:rsid w:val="00EA1106"/>
    <w:rsid w:val="00EA27EF"/>
    <w:rsid w:val="00EA55F7"/>
    <w:rsid w:val="00EA55FD"/>
    <w:rsid w:val="00EA6CA5"/>
    <w:rsid w:val="00EB2976"/>
    <w:rsid w:val="00EC1D7B"/>
    <w:rsid w:val="00EC2628"/>
    <w:rsid w:val="00EC312A"/>
    <w:rsid w:val="00EC4167"/>
    <w:rsid w:val="00EC700E"/>
    <w:rsid w:val="00ED0CA5"/>
    <w:rsid w:val="00ED4D8E"/>
    <w:rsid w:val="00ED6305"/>
    <w:rsid w:val="00ED6C38"/>
    <w:rsid w:val="00EE0687"/>
    <w:rsid w:val="00EF2117"/>
    <w:rsid w:val="00EF4AC4"/>
    <w:rsid w:val="00F104E4"/>
    <w:rsid w:val="00F115B3"/>
    <w:rsid w:val="00F159B0"/>
    <w:rsid w:val="00F16604"/>
    <w:rsid w:val="00F17B2B"/>
    <w:rsid w:val="00F24ABE"/>
    <w:rsid w:val="00F27F0B"/>
    <w:rsid w:val="00F31968"/>
    <w:rsid w:val="00F36DBC"/>
    <w:rsid w:val="00F44F5F"/>
    <w:rsid w:val="00F50B54"/>
    <w:rsid w:val="00F52D86"/>
    <w:rsid w:val="00F53DAF"/>
    <w:rsid w:val="00F57618"/>
    <w:rsid w:val="00F57C92"/>
    <w:rsid w:val="00F63121"/>
    <w:rsid w:val="00F678DD"/>
    <w:rsid w:val="00F730AC"/>
    <w:rsid w:val="00F74D55"/>
    <w:rsid w:val="00F7792B"/>
    <w:rsid w:val="00F80F5E"/>
    <w:rsid w:val="00F8778E"/>
    <w:rsid w:val="00F91077"/>
    <w:rsid w:val="00F91C8D"/>
    <w:rsid w:val="00F9278C"/>
    <w:rsid w:val="00F94D2F"/>
    <w:rsid w:val="00F97E03"/>
    <w:rsid w:val="00FA5CC5"/>
    <w:rsid w:val="00FC1067"/>
    <w:rsid w:val="00FC1BF6"/>
    <w:rsid w:val="00FD03FD"/>
    <w:rsid w:val="00FD335F"/>
    <w:rsid w:val="00FD6DE2"/>
    <w:rsid w:val="00FE3AB4"/>
    <w:rsid w:val="00FE6C4B"/>
    <w:rsid w:val="00FE700A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FCC33"/>
  <w15:docId w15:val="{79BE832D-4366-4D71-B7DC-495559B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9B9"/>
  </w:style>
  <w:style w:type="paragraph" w:styleId="Footer">
    <w:name w:val="footer"/>
    <w:basedOn w:val="Normal"/>
    <w:link w:val="FooterChar"/>
    <w:uiPriority w:val="99"/>
    <w:unhideWhenUsed/>
    <w:rsid w:val="00992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9B9"/>
  </w:style>
  <w:style w:type="paragraph" w:styleId="ListParagraph">
    <w:name w:val="List Paragraph"/>
    <w:basedOn w:val="Normal"/>
    <w:uiPriority w:val="34"/>
    <w:qFormat/>
    <w:rsid w:val="006D7FED"/>
    <w:pPr>
      <w:ind w:left="720"/>
      <w:contextualSpacing/>
    </w:pPr>
    <w:rPr>
      <w:rFonts w:ascii="Dutch TL" w:eastAsia="Times New Roman" w:hAnsi="Dutch TL" w:cs="Times New Roman"/>
      <w:sz w:val="28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BA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D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6E70"/>
  </w:style>
  <w:style w:type="paragraph" w:styleId="FootnoteText">
    <w:name w:val="footnote text"/>
    <w:basedOn w:val="Normal"/>
    <w:link w:val="FootnoteTextChar"/>
    <w:uiPriority w:val="99"/>
    <w:rsid w:val="001364EC"/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64EC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1364EC"/>
    <w:rPr>
      <w:vertAlign w:val="superscript"/>
    </w:rPr>
  </w:style>
  <w:style w:type="paragraph" w:styleId="NoSpacing">
    <w:name w:val="No Spacing"/>
    <w:uiPriority w:val="1"/>
    <w:qFormat/>
    <w:rsid w:val="009F3197"/>
    <w:pPr>
      <w:widowControl w:val="0"/>
    </w:pPr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7C6006"/>
    <w:rPr>
      <w:color w:val="0000FF" w:themeColor="hyperlink"/>
      <w:u w:val="single"/>
    </w:rPr>
  </w:style>
  <w:style w:type="character" w:customStyle="1" w:styleId="Hipersaite1">
    <w:name w:val="Hipersaite1"/>
    <w:basedOn w:val="DefaultParagraphFont"/>
    <w:uiPriority w:val="99"/>
    <w:unhideWhenUsed/>
    <w:rsid w:val="003B13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6DE8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v213">
    <w:name w:val="tv213"/>
    <w:basedOn w:val="Normal"/>
    <w:rsid w:val="00823E3D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B2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426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B061-9A2F-41F4-B68D-8ECDC7C6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4014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AIMizz_280120_HQ_MND_N;</vt:lpstr>
    </vt:vector>
  </TitlesOfParts>
  <Company>AIM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AIMizz_280120_HQ_MND_N;</dc:title>
  <dc:subject>Izziņa par atzinumos sniegtajiem iebildumiem</dc:subject>
  <dc:creator>Sigita Atvara</dc:creator>
  <dc:description/>
  <cp:lastModifiedBy>Signe Šadurska</cp:lastModifiedBy>
  <cp:revision>6</cp:revision>
  <cp:lastPrinted>2018-07-30T08:25:00Z</cp:lastPrinted>
  <dcterms:created xsi:type="dcterms:W3CDTF">2020-06-26T08:12:00Z</dcterms:created>
  <dcterms:modified xsi:type="dcterms:W3CDTF">2020-06-26T08:48:00Z</dcterms:modified>
</cp:coreProperties>
</file>