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105FB8" w:rsidRDefault="007116C7" w:rsidP="00105FB8">
      <w:pPr>
        <w:pStyle w:val="naisnod"/>
        <w:spacing w:before="0" w:after="0"/>
        <w:ind w:firstLine="720"/>
        <w:rPr>
          <w:sz w:val="28"/>
        </w:rPr>
      </w:pPr>
      <w:r w:rsidRPr="00105FB8">
        <w:rPr>
          <w:sz w:val="28"/>
        </w:rPr>
        <w:t>Izziņa par atzinumos sniegtajiem iebildumiem</w:t>
      </w:r>
    </w:p>
    <w:p w:rsidR="007116C7" w:rsidRPr="00105FB8" w:rsidRDefault="007116C7" w:rsidP="00105FB8">
      <w:pPr>
        <w:pStyle w:val="naisf"/>
        <w:spacing w:before="0" w:after="0"/>
        <w:ind w:firstLine="720"/>
        <w:jc w:val="center"/>
        <w:rPr>
          <w:sz w:val="28"/>
        </w:rPr>
      </w:pPr>
    </w:p>
    <w:tbl>
      <w:tblPr>
        <w:tblW w:w="0" w:type="auto"/>
        <w:jc w:val="center"/>
        <w:tblBorders>
          <w:insideH w:val="single" w:sz="4" w:space="0" w:color="auto"/>
        </w:tblBorders>
        <w:tblLook w:val="00A0" w:firstRow="1" w:lastRow="0" w:firstColumn="1" w:lastColumn="0" w:noHBand="0" w:noVBand="0"/>
      </w:tblPr>
      <w:tblGrid>
        <w:gridCol w:w="10188"/>
      </w:tblGrid>
      <w:tr w:rsidR="007116C7" w:rsidRPr="00EA58F9" w:rsidTr="00105FB8">
        <w:trPr>
          <w:jc w:val="center"/>
        </w:trPr>
        <w:tc>
          <w:tcPr>
            <w:tcW w:w="10188" w:type="dxa"/>
          </w:tcPr>
          <w:p w:rsidR="007116C7" w:rsidRPr="00EA58F9" w:rsidRDefault="009F421B" w:rsidP="00105FB8">
            <w:pPr>
              <w:ind w:firstLine="720"/>
              <w:jc w:val="center"/>
              <w:rPr>
                <w:b/>
              </w:rPr>
            </w:pPr>
            <w:r w:rsidRPr="00EA58F9">
              <w:rPr>
                <w:b/>
              </w:rPr>
              <w:t>Valsts aizsardzības koncepcija</w:t>
            </w:r>
          </w:p>
        </w:tc>
      </w:tr>
      <w:tr w:rsidR="00105FB8" w:rsidRPr="00EA58F9" w:rsidTr="00105FB8">
        <w:trPr>
          <w:jc w:val="center"/>
        </w:trPr>
        <w:tc>
          <w:tcPr>
            <w:tcW w:w="10188" w:type="dxa"/>
          </w:tcPr>
          <w:p w:rsidR="00105FB8" w:rsidRPr="00EA58F9" w:rsidRDefault="00105FB8" w:rsidP="00105FB8">
            <w:pPr>
              <w:ind w:firstLine="720"/>
              <w:jc w:val="center"/>
              <w:rPr>
                <w:b/>
              </w:rPr>
            </w:pPr>
            <w:r w:rsidRPr="00EA58F9">
              <w:t>(dokumenta veids un nosaukums)</w:t>
            </w:r>
          </w:p>
        </w:tc>
      </w:tr>
    </w:tbl>
    <w:p w:rsidR="00DF3C7F" w:rsidRPr="00EA58F9" w:rsidRDefault="00DF3C7F" w:rsidP="008B194A">
      <w:pPr>
        <w:pStyle w:val="naisc"/>
        <w:spacing w:before="0" w:after="0"/>
        <w:ind w:firstLine="1080"/>
        <w:jc w:val="left"/>
      </w:pPr>
    </w:p>
    <w:p w:rsidR="00155871" w:rsidRDefault="00155871" w:rsidP="00105FB8">
      <w:pPr>
        <w:pStyle w:val="naisf"/>
        <w:spacing w:before="0" w:after="0"/>
        <w:ind w:firstLine="0"/>
        <w:jc w:val="center"/>
        <w:rPr>
          <w:b/>
        </w:rPr>
      </w:pPr>
    </w:p>
    <w:p w:rsidR="00DF3C7F" w:rsidRPr="00EA58F9" w:rsidRDefault="00DF3C7F" w:rsidP="00105FB8">
      <w:pPr>
        <w:pStyle w:val="naisf"/>
        <w:spacing w:before="0" w:after="0"/>
        <w:ind w:firstLine="0"/>
        <w:jc w:val="center"/>
        <w:rPr>
          <w:b/>
        </w:rPr>
      </w:pPr>
      <w:r w:rsidRPr="00EA58F9">
        <w:rPr>
          <w:b/>
        </w:rPr>
        <w:t>I. Jautājumi, par kuriem saskaņošanā vienošanās nav panākta</w:t>
      </w:r>
    </w:p>
    <w:p w:rsidR="00DF3C7F" w:rsidRPr="00EA58F9" w:rsidRDefault="00DF3C7F" w:rsidP="008B194A">
      <w:pPr>
        <w:pStyle w:val="naisf"/>
        <w:spacing w:before="0" w:after="0"/>
        <w:ind w:firstLine="720"/>
        <w:jc w:val="left"/>
      </w:pPr>
    </w:p>
    <w:p w:rsidR="00DF3C7F" w:rsidRPr="00783F18" w:rsidRDefault="00783F18" w:rsidP="00783F18">
      <w:pPr>
        <w:pStyle w:val="naisf"/>
        <w:spacing w:before="0" w:after="0"/>
        <w:ind w:firstLine="0"/>
      </w:pPr>
      <w:r>
        <w:t>Saskaņošanas laikā vienošanās panākta par visiem jaut</w:t>
      </w:r>
      <w:r w:rsidR="00665E38">
        <w:t>ājumiem</w:t>
      </w:r>
    </w:p>
    <w:p w:rsidR="00353F96" w:rsidRPr="00EA58F9" w:rsidRDefault="00353F96" w:rsidP="008B194A">
      <w:pPr>
        <w:pStyle w:val="naisf"/>
        <w:spacing w:before="0" w:after="0"/>
        <w:ind w:firstLine="0"/>
        <w:jc w:val="left"/>
        <w:rPr>
          <w:b/>
        </w:rPr>
      </w:pPr>
    </w:p>
    <w:p w:rsidR="00155871" w:rsidRDefault="00155871" w:rsidP="00783F18">
      <w:pPr>
        <w:pStyle w:val="naisf"/>
        <w:spacing w:before="0" w:after="0"/>
        <w:ind w:firstLine="0"/>
        <w:rPr>
          <w:b/>
        </w:rPr>
      </w:pPr>
    </w:p>
    <w:p w:rsidR="00783F18" w:rsidRDefault="00783F18" w:rsidP="00783F18">
      <w:pPr>
        <w:pStyle w:val="naisf"/>
        <w:spacing w:before="0" w:after="0"/>
        <w:ind w:firstLine="0"/>
        <w:rPr>
          <w:b/>
        </w:rPr>
      </w:pPr>
      <w:r w:rsidRPr="00712B66">
        <w:rPr>
          <w:b/>
        </w:rPr>
        <w:t>Informācija par starpministriju (starpinstitūciju) sanāksmi vai elektronisko saskaņošanu</w:t>
      </w:r>
    </w:p>
    <w:p w:rsidR="00155871" w:rsidRPr="00712B66" w:rsidRDefault="00155871" w:rsidP="00783F18">
      <w:pPr>
        <w:pStyle w:val="naisf"/>
        <w:spacing w:before="0" w:after="0"/>
        <w:ind w:firstLine="0"/>
        <w:rPr>
          <w:b/>
        </w:rPr>
      </w:pPr>
    </w:p>
    <w:p w:rsidR="00783F18" w:rsidRPr="00712B66" w:rsidRDefault="00783F18" w:rsidP="00783F18">
      <w:pPr>
        <w:pStyle w:val="naisf"/>
        <w:spacing w:before="0" w:after="0"/>
        <w:ind w:firstLine="0"/>
        <w:rPr>
          <w:b/>
        </w:rPr>
      </w:pPr>
    </w:p>
    <w:tbl>
      <w:tblPr>
        <w:tblW w:w="14283" w:type="dxa"/>
        <w:tblLook w:val="00A0" w:firstRow="1" w:lastRow="0" w:firstColumn="1" w:lastColumn="0" w:noHBand="0" w:noVBand="0"/>
      </w:tblPr>
      <w:tblGrid>
        <w:gridCol w:w="4786"/>
        <w:gridCol w:w="1203"/>
        <w:gridCol w:w="8294"/>
      </w:tblGrid>
      <w:tr w:rsidR="00783F18" w:rsidRPr="00712B66" w:rsidTr="00783F18">
        <w:tc>
          <w:tcPr>
            <w:tcW w:w="4786" w:type="dxa"/>
          </w:tcPr>
          <w:p w:rsidR="00783F18" w:rsidRPr="00712B66" w:rsidRDefault="00783F18" w:rsidP="00186A8F">
            <w:pPr>
              <w:pStyle w:val="naisf"/>
              <w:spacing w:before="0" w:after="0"/>
              <w:ind w:firstLine="0"/>
            </w:pPr>
            <w:r w:rsidRPr="00712B66">
              <w:t>Datums</w:t>
            </w:r>
          </w:p>
        </w:tc>
        <w:tc>
          <w:tcPr>
            <w:tcW w:w="9497" w:type="dxa"/>
            <w:gridSpan w:val="2"/>
            <w:tcBorders>
              <w:bottom w:val="single" w:sz="4" w:space="0" w:color="auto"/>
            </w:tcBorders>
          </w:tcPr>
          <w:p w:rsidR="00783F18" w:rsidRPr="00712B66" w:rsidRDefault="00783F18" w:rsidP="00783F18">
            <w:pPr>
              <w:pStyle w:val="NormalWeb"/>
              <w:spacing w:before="0" w:beforeAutospacing="0" w:after="0" w:afterAutospacing="0"/>
              <w:ind w:firstLine="35"/>
            </w:pPr>
            <w:r>
              <w:t>21.07.2020.</w:t>
            </w:r>
          </w:p>
        </w:tc>
      </w:tr>
      <w:tr w:rsidR="00783F18" w:rsidRPr="00712B66" w:rsidTr="00783F18">
        <w:tc>
          <w:tcPr>
            <w:tcW w:w="4786" w:type="dxa"/>
          </w:tcPr>
          <w:p w:rsidR="00783F18" w:rsidRPr="00712B66" w:rsidRDefault="00783F18" w:rsidP="00186A8F">
            <w:pPr>
              <w:pStyle w:val="naisf"/>
              <w:spacing w:before="0" w:after="0"/>
              <w:ind w:firstLine="0"/>
            </w:pPr>
          </w:p>
        </w:tc>
        <w:tc>
          <w:tcPr>
            <w:tcW w:w="9497" w:type="dxa"/>
            <w:gridSpan w:val="2"/>
            <w:tcBorders>
              <w:top w:val="single" w:sz="4" w:space="0" w:color="auto"/>
            </w:tcBorders>
          </w:tcPr>
          <w:p w:rsidR="00783F18" w:rsidRPr="00712B66" w:rsidRDefault="00783F18" w:rsidP="00186A8F">
            <w:pPr>
              <w:pStyle w:val="NormalWeb"/>
              <w:spacing w:before="0" w:beforeAutospacing="0" w:after="0" w:afterAutospacing="0"/>
              <w:ind w:firstLine="720"/>
            </w:pPr>
          </w:p>
        </w:tc>
      </w:tr>
      <w:tr w:rsidR="00783F18" w:rsidRPr="00712B66" w:rsidTr="00783F18">
        <w:tc>
          <w:tcPr>
            <w:tcW w:w="4786" w:type="dxa"/>
          </w:tcPr>
          <w:p w:rsidR="00783F18" w:rsidRPr="00712B66" w:rsidRDefault="00783F18" w:rsidP="00186A8F">
            <w:pPr>
              <w:pStyle w:val="naiskr"/>
              <w:spacing w:before="0" w:after="0"/>
            </w:pPr>
            <w:r>
              <w:t>Saskaņošanas d</w:t>
            </w:r>
            <w:r w:rsidRPr="00712B66">
              <w:t>alībnieki</w:t>
            </w:r>
          </w:p>
        </w:tc>
        <w:tc>
          <w:tcPr>
            <w:tcW w:w="9497" w:type="dxa"/>
            <w:gridSpan w:val="2"/>
          </w:tcPr>
          <w:p w:rsidR="00783F18" w:rsidRPr="00712B66" w:rsidRDefault="00783F18" w:rsidP="00783F18">
            <w:pPr>
              <w:pStyle w:val="NormalWeb"/>
              <w:spacing w:before="0" w:beforeAutospacing="0" w:after="0" w:afterAutospacing="0"/>
              <w:ind w:firstLine="35"/>
            </w:pPr>
            <w:r>
              <w:t xml:space="preserve">Ārlietu ministrija, Ekonomikas ministrija, Finanšu ministrija, Iekšlietu ministrija, Izglītības un </w:t>
            </w:r>
          </w:p>
        </w:tc>
      </w:tr>
      <w:tr w:rsidR="00783F18" w:rsidRPr="00712B66" w:rsidTr="00783F18">
        <w:tc>
          <w:tcPr>
            <w:tcW w:w="4786" w:type="dxa"/>
          </w:tcPr>
          <w:p w:rsidR="00783F18" w:rsidRPr="00712B66" w:rsidRDefault="00783F18" w:rsidP="00186A8F">
            <w:pPr>
              <w:pStyle w:val="naiskr"/>
              <w:spacing w:before="0" w:after="0"/>
              <w:ind w:firstLine="720"/>
            </w:pPr>
            <w:r w:rsidRPr="00712B66">
              <w:t>  </w:t>
            </w:r>
          </w:p>
        </w:tc>
        <w:tc>
          <w:tcPr>
            <w:tcW w:w="9497" w:type="dxa"/>
            <w:gridSpan w:val="2"/>
            <w:tcBorders>
              <w:top w:val="single" w:sz="6" w:space="0" w:color="000000"/>
              <w:bottom w:val="single" w:sz="6" w:space="0" w:color="000000"/>
            </w:tcBorders>
          </w:tcPr>
          <w:p w:rsidR="00783F18" w:rsidRPr="00712B66" w:rsidRDefault="00783F18" w:rsidP="00665E38">
            <w:pPr>
              <w:pStyle w:val="naiskr"/>
              <w:spacing w:before="0" w:after="0"/>
            </w:pPr>
            <w:r>
              <w:t>zinātnes ministrija,</w:t>
            </w:r>
            <w:r w:rsidR="00665E38">
              <w:t xml:space="preserve"> Kultūras ministrija</w:t>
            </w:r>
            <w:r>
              <w:t xml:space="preserve"> Labklājības ministrija, Satiksmes ministrija, Tieslietu </w:t>
            </w:r>
          </w:p>
        </w:tc>
      </w:tr>
      <w:tr w:rsidR="00665E38" w:rsidRPr="00712B66" w:rsidTr="00783F18">
        <w:tc>
          <w:tcPr>
            <w:tcW w:w="4786" w:type="dxa"/>
          </w:tcPr>
          <w:p w:rsidR="00665E38" w:rsidRPr="00712B66" w:rsidRDefault="00665E38" w:rsidP="00186A8F">
            <w:pPr>
              <w:pStyle w:val="naiskr"/>
              <w:spacing w:before="0" w:after="0"/>
              <w:ind w:firstLine="720"/>
            </w:pPr>
          </w:p>
        </w:tc>
        <w:tc>
          <w:tcPr>
            <w:tcW w:w="9497" w:type="dxa"/>
            <w:gridSpan w:val="2"/>
            <w:tcBorders>
              <w:top w:val="single" w:sz="6" w:space="0" w:color="000000"/>
              <w:bottom w:val="single" w:sz="6" w:space="0" w:color="000000"/>
            </w:tcBorders>
          </w:tcPr>
          <w:p w:rsidR="00665E38" w:rsidRDefault="00665E38" w:rsidP="00783F18">
            <w:pPr>
              <w:pStyle w:val="naiskr"/>
              <w:spacing w:before="0" w:after="0"/>
            </w:pPr>
            <w:r>
              <w:t>ministrija, Vides aizsardzības un reģionālās attīstības ministrija, Veselības ministrija,</w:t>
            </w:r>
          </w:p>
        </w:tc>
      </w:tr>
      <w:tr w:rsidR="00783F18" w:rsidRPr="00712B66" w:rsidTr="00783F18">
        <w:tc>
          <w:tcPr>
            <w:tcW w:w="4786" w:type="dxa"/>
          </w:tcPr>
          <w:p w:rsidR="00783F18" w:rsidRPr="00712B66" w:rsidRDefault="00783F18" w:rsidP="00186A8F">
            <w:pPr>
              <w:pStyle w:val="naiskr"/>
              <w:spacing w:before="0" w:after="0"/>
              <w:ind w:firstLine="720"/>
            </w:pPr>
          </w:p>
        </w:tc>
        <w:tc>
          <w:tcPr>
            <w:tcW w:w="9497" w:type="dxa"/>
            <w:gridSpan w:val="2"/>
            <w:tcBorders>
              <w:top w:val="single" w:sz="6" w:space="0" w:color="000000"/>
              <w:bottom w:val="single" w:sz="6" w:space="0" w:color="000000"/>
            </w:tcBorders>
          </w:tcPr>
          <w:p w:rsidR="00783F18" w:rsidRPr="00712B66" w:rsidRDefault="00783F18" w:rsidP="00783F18">
            <w:pPr>
              <w:pStyle w:val="naiskr"/>
              <w:spacing w:before="0" w:after="0"/>
            </w:pPr>
            <w:r>
              <w:t>Zemkopības ministrija</w:t>
            </w:r>
          </w:p>
        </w:tc>
      </w:tr>
      <w:tr w:rsidR="00783F18" w:rsidRPr="00712B66" w:rsidTr="00783F18">
        <w:trPr>
          <w:trHeight w:val="285"/>
        </w:trPr>
        <w:tc>
          <w:tcPr>
            <w:tcW w:w="4786" w:type="dxa"/>
          </w:tcPr>
          <w:p w:rsidR="00783F18" w:rsidRPr="00712B66" w:rsidRDefault="00783F18" w:rsidP="00186A8F">
            <w:pPr>
              <w:pStyle w:val="naiskr"/>
              <w:spacing w:before="0" w:after="0"/>
            </w:pPr>
          </w:p>
        </w:tc>
        <w:tc>
          <w:tcPr>
            <w:tcW w:w="1203" w:type="dxa"/>
          </w:tcPr>
          <w:p w:rsidR="00783F18" w:rsidRPr="00712B66" w:rsidRDefault="00783F18" w:rsidP="00186A8F">
            <w:pPr>
              <w:pStyle w:val="naiskr"/>
              <w:spacing w:before="0" w:after="0"/>
              <w:ind w:firstLine="720"/>
            </w:pPr>
          </w:p>
        </w:tc>
        <w:tc>
          <w:tcPr>
            <w:tcW w:w="8294" w:type="dxa"/>
          </w:tcPr>
          <w:p w:rsidR="00783F18" w:rsidRPr="00712B66" w:rsidRDefault="00783F18" w:rsidP="00186A8F">
            <w:pPr>
              <w:pStyle w:val="naiskr"/>
              <w:spacing w:before="0" w:after="0"/>
              <w:ind w:firstLine="12"/>
            </w:pPr>
          </w:p>
        </w:tc>
      </w:tr>
    </w:tbl>
    <w:p w:rsidR="00783F18" w:rsidRDefault="00783F18" w:rsidP="00783F18"/>
    <w:p w:rsidR="00155871" w:rsidRDefault="00155871" w:rsidP="00783F18"/>
    <w:tbl>
      <w:tblPr>
        <w:tblW w:w="14283" w:type="dxa"/>
        <w:tblLook w:val="00A0" w:firstRow="1" w:lastRow="0" w:firstColumn="1" w:lastColumn="0" w:noHBand="0" w:noVBand="0"/>
      </w:tblPr>
      <w:tblGrid>
        <w:gridCol w:w="4786"/>
        <w:gridCol w:w="9497"/>
      </w:tblGrid>
      <w:tr w:rsidR="00665E38" w:rsidRPr="00712B66" w:rsidTr="00665E38">
        <w:trPr>
          <w:trHeight w:val="285"/>
        </w:trPr>
        <w:tc>
          <w:tcPr>
            <w:tcW w:w="4786" w:type="dxa"/>
          </w:tcPr>
          <w:p w:rsidR="00665E38" w:rsidRPr="00712B66" w:rsidRDefault="00665E38" w:rsidP="00665E38">
            <w:pPr>
              <w:pStyle w:val="naiskr"/>
              <w:spacing w:before="0" w:after="0"/>
            </w:pPr>
            <w:r>
              <w:t>Saskaņošanas d</w:t>
            </w:r>
            <w:r w:rsidRPr="00712B66">
              <w:t xml:space="preserve">alībnieki izskatīja šādu </w:t>
            </w:r>
          </w:p>
        </w:tc>
        <w:tc>
          <w:tcPr>
            <w:tcW w:w="9497" w:type="dxa"/>
            <w:tcBorders>
              <w:bottom w:val="single" w:sz="4" w:space="0" w:color="auto"/>
            </w:tcBorders>
          </w:tcPr>
          <w:p w:rsidR="00665E38" w:rsidRPr="00712B66" w:rsidRDefault="00665E38" w:rsidP="00665E38">
            <w:pPr>
              <w:pStyle w:val="naiskr"/>
              <w:spacing w:before="0" w:after="0"/>
            </w:pPr>
            <w:r>
              <w:t>Tieslietu ministrijas un Iekšlietu ministrijas</w:t>
            </w:r>
          </w:p>
        </w:tc>
      </w:tr>
      <w:tr w:rsidR="00665E38" w:rsidRPr="00712B66" w:rsidTr="00665E38">
        <w:trPr>
          <w:trHeight w:val="285"/>
        </w:trPr>
        <w:tc>
          <w:tcPr>
            <w:tcW w:w="4786" w:type="dxa"/>
          </w:tcPr>
          <w:p w:rsidR="00665E38" w:rsidRDefault="00665E38" w:rsidP="00186A8F">
            <w:pPr>
              <w:pStyle w:val="naiskr"/>
              <w:spacing w:before="0" w:after="0"/>
            </w:pPr>
            <w:r w:rsidRPr="00712B66">
              <w:t xml:space="preserve">ministriju </w:t>
            </w:r>
            <w:r>
              <w:t>(c</w:t>
            </w:r>
            <w:r w:rsidRPr="00712B66">
              <w:t>itu institūciju</w:t>
            </w:r>
            <w:r>
              <w:t>)</w:t>
            </w:r>
            <w:r w:rsidRPr="00712B66">
              <w:t xml:space="preserve"> iebildumus</w:t>
            </w:r>
          </w:p>
        </w:tc>
        <w:tc>
          <w:tcPr>
            <w:tcW w:w="9497" w:type="dxa"/>
            <w:tcBorders>
              <w:top w:val="single" w:sz="4" w:space="0" w:color="auto"/>
            </w:tcBorders>
          </w:tcPr>
          <w:p w:rsidR="00665E38" w:rsidRPr="00712B66" w:rsidRDefault="00665E38" w:rsidP="00186A8F">
            <w:pPr>
              <w:pStyle w:val="naiskr"/>
              <w:spacing w:before="0" w:after="0"/>
              <w:ind w:firstLine="12"/>
            </w:pPr>
          </w:p>
        </w:tc>
      </w:tr>
      <w:tr w:rsidR="00783F18" w:rsidRPr="00712B66" w:rsidTr="00665E38">
        <w:trPr>
          <w:trHeight w:val="465"/>
        </w:trPr>
        <w:tc>
          <w:tcPr>
            <w:tcW w:w="14283" w:type="dxa"/>
            <w:gridSpan w:val="2"/>
          </w:tcPr>
          <w:p w:rsidR="00783F18" w:rsidRPr="00712B66" w:rsidRDefault="00783F18" w:rsidP="00186A8F">
            <w:pPr>
              <w:pStyle w:val="naisc"/>
              <w:spacing w:before="0" w:after="0"/>
              <w:ind w:left="4820" w:firstLine="720"/>
            </w:pPr>
          </w:p>
        </w:tc>
      </w:tr>
      <w:tr w:rsidR="00783F18" w:rsidRPr="00712B66" w:rsidTr="00665E38">
        <w:tc>
          <w:tcPr>
            <w:tcW w:w="4786" w:type="dxa"/>
          </w:tcPr>
          <w:p w:rsidR="00783F18" w:rsidRPr="00712B66" w:rsidRDefault="00783F18" w:rsidP="00665E38">
            <w:pPr>
              <w:pStyle w:val="naiskr"/>
              <w:spacing w:before="0" w:after="0"/>
            </w:pPr>
            <w:r w:rsidRPr="00712B66">
              <w:t xml:space="preserve">Ministrijas (citas institūcijas), kuras nav </w:t>
            </w:r>
          </w:p>
        </w:tc>
        <w:tc>
          <w:tcPr>
            <w:tcW w:w="9497" w:type="dxa"/>
            <w:tcBorders>
              <w:bottom w:val="single" w:sz="4" w:space="0" w:color="auto"/>
            </w:tcBorders>
          </w:tcPr>
          <w:p w:rsidR="00783F18" w:rsidRPr="00712B66" w:rsidRDefault="00665E38" w:rsidP="00665E38">
            <w:pPr>
              <w:pStyle w:val="naiskr"/>
              <w:spacing w:before="0" w:after="0"/>
            </w:pPr>
            <w:r>
              <w:t>Nav attiecināms</w:t>
            </w:r>
          </w:p>
        </w:tc>
      </w:tr>
      <w:tr w:rsidR="00665E38" w:rsidRPr="00712B66" w:rsidTr="00665E38">
        <w:tc>
          <w:tcPr>
            <w:tcW w:w="4786" w:type="dxa"/>
          </w:tcPr>
          <w:p w:rsidR="00665E38" w:rsidRPr="00712B66" w:rsidRDefault="00665E38" w:rsidP="00186A8F">
            <w:pPr>
              <w:pStyle w:val="naiskr"/>
              <w:spacing w:before="0" w:after="0"/>
            </w:pPr>
            <w:r w:rsidRPr="00712B66">
              <w:t>ieradušās uz sanāksmi vai kuras nav</w:t>
            </w:r>
          </w:p>
        </w:tc>
        <w:tc>
          <w:tcPr>
            <w:tcW w:w="9497" w:type="dxa"/>
          </w:tcPr>
          <w:p w:rsidR="00665E38" w:rsidRPr="00712B66" w:rsidRDefault="00665E38" w:rsidP="00186A8F">
            <w:pPr>
              <w:pStyle w:val="naiskr"/>
              <w:spacing w:before="0" w:after="0"/>
              <w:ind w:firstLine="720"/>
            </w:pPr>
          </w:p>
        </w:tc>
      </w:tr>
      <w:tr w:rsidR="00665E38" w:rsidRPr="00712B66" w:rsidTr="00665E38">
        <w:tc>
          <w:tcPr>
            <w:tcW w:w="4786" w:type="dxa"/>
          </w:tcPr>
          <w:p w:rsidR="00665E38" w:rsidRPr="00712B66" w:rsidRDefault="00665E38" w:rsidP="00186A8F">
            <w:pPr>
              <w:pStyle w:val="naiskr"/>
              <w:spacing w:before="0" w:after="0"/>
            </w:pPr>
            <w:r w:rsidRPr="00712B66">
              <w:t>atbildējušas uz uzaicinājumu piedalīties</w:t>
            </w:r>
          </w:p>
        </w:tc>
        <w:tc>
          <w:tcPr>
            <w:tcW w:w="9497" w:type="dxa"/>
          </w:tcPr>
          <w:p w:rsidR="00665E38" w:rsidRPr="00712B66" w:rsidRDefault="00665E38" w:rsidP="00186A8F">
            <w:pPr>
              <w:pStyle w:val="naiskr"/>
              <w:spacing w:before="0" w:after="0"/>
              <w:ind w:firstLine="720"/>
            </w:pPr>
          </w:p>
        </w:tc>
      </w:tr>
      <w:tr w:rsidR="00665E38" w:rsidRPr="00712B66" w:rsidTr="00665E38">
        <w:tc>
          <w:tcPr>
            <w:tcW w:w="4786" w:type="dxa"/>
          </w:tcPr>
          <w:p w:rsidR="00665E38" w:rsidRPr="00712B66" w:rsidRDefault="00665E38" w:rsidP="00186A8F">
            <w:pPr>
              <w:pStyle w:val="naiskr"/>
              <w:spacing w:before="0" w:after="0"/>
            </w:pPr>
            <w:r w:rsidRPr="00712B66">
              <w:t>elektroniskajā saskaņošanā</w:t>
            </w:r>
          </w:p>
        </w:tc>
        <w:tc>
          <w:tcPr>
            <w:tcW w:w="9497" w:type="dxa"/>
          </w:tcPr>
          <w:p w:rsidR="00665E38" w:rsidRPr="00712B66" w:rsidRDefault="00665E38" w:rsidP="00186A8F">
            <w:pPr>
              <w:pStyle w:val="naiskr"/>
              <w:spacing w:before="0" w:after="0"/>
              <w:ind w:firstLine="720"/>
            </w:pPr>
          </w:p>
        </w:tc>
      </w:tr>
    </w:tbl>
    <w:p w:rsidR="00783F18" w:rsidRDefault="00783F18" w:rsidP="008B194A">
      <w:pPr>
        <w:pStyle w:val="naisf"/>
        <w:spacing w:before="0" w:after="0"/>
        <w:ind w:firstLine="0"/>
        <w:jc w:val="left"/>
        <w:rPr>
          <w:b/>
        </w:rPr>
      </w:pPr>
    </w:p>
    <w:p w:rsidR="00155871" w:rsidRDefault="00155871">
      <w:bookmarkStart w:id="0" w:name="_GoBack"/>
      <w:bookmarkEnd w:id="0"/>
      <w:r>
        <w:br w:type="page"/>
      </w:r>
    </w:p>
    <w:p w:rsidR="007B4C0F" w:rsidRPr="00EA58F9" w:rsidRDefault="007B4C0F" w:rsidP="00105FB8">
      <w:pPr>
        <w:pStyle w:val="naisf"/>
        <w:spacing w:before="0" w:after="0"/>
        <w:ind w:firstLine="720"/>
        <w:jc w:val="center"/>
        <w:rPr>
          <w:b/>
        </w:rPr>
      </w:pPr>
      <w:r w:rsidRPr="00EA58F9">
        <w:rPr>
          <w:b/>
        </w:rPr>
        <w:lastRenderedPageBreak/>
        <w:t>II. </w:t>
      </w:r>
      <w:r w:rsidR="00134188" w:rsidRPr="00EA58F9">
        <w:rPr>
          <w:b/>
        </w:rPr>
        <w:t>Jautājumi, par kuriem saskaņošanā vienošan</w:t>
      </w:r>
      <w:r w:rsidR="00144622" w:rsidRPr="00EA58F9">
        <w:rPr>
          <w:b/>
        </w:rPr>
        <w:t>ā</w:t>
      </w:r>
      <w:r w:rsidR="00134188" w:rsidRPr="00EA58F9">
        <w:rPr>
          <w:b/>
        </w:rPr>
        <w:t>s ir panākta</w:t>
      </w:r>
    </w:p>
    <w:p w:rsidR="007B4C0F" w:rsidRPr="00EA58F9" w:rsidRDefault="007B4C0F" w:rsidP="008B194A">
      <w:pPr>
        <w:pStyle w:val="naisf"/>
        <w:spacing w:before="0" w:after="0"/>
        <w:ind w:firstLine="720"/>
        <w:jc w:val="left"/>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16"/>
        <w:gridCol w:w="386"/>
        <w:gridCol w:w="4253"/>
        <w:gridCol w:w="1540"/>
        <w:gridCol w:w="1895"/>
        <w:gridCol w:w="3118"/>
      </w:tblGrid>
      <w:tr w:rsidR="00134188" w:rsidRPr="00EA58F9" w:rsidTr="007B47E7">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EA58F9" w:rsidRDefault="00134188" w:rsidP="008B194A">
            <w:pPr>
              <w:pStyle w:val="naisc"/>
              <w:spacing w:before="0" w:after="0"/>
              <w:jc w:val="left"/>
            </w:pPr>
            <w:r w:rsidRPr="00EA58F9">
              <w:t>Nr. p.k.</w:t>
            </w:r>
          </w:p>
        </w:tc>
        <w:tc>
          <w:tcPr>
            <w:tcW w:w="2802" w:type="dxa"/>
            <w:gridSpan w:val="2"/>
            <w:tcBorders>
              <w:top w:val="single" w:sz="6" w:space="0" w:color="000000"/>
              <w:left w:val="single" w:sz="6" w:space="0" w:color="000000"/>
              <w:bottom w:val="single" w:sz="6" w:space="0" w:color="000000"/>
              <w:right w:val="single" w:sz="6" w:space="0" w:color="000000"/>
            </w:tcBorders>
            <w:vAlign w:val="center"/>
          </w:tcPr>
          <w:p w:rsidR="00134188" w:rsidRPr="00EA58F9" w:rsidRDefault="00134188" w:rsidP="008B194A">
            <w:pPr>
              <w:pStyle w:val="naisc"/>
              <w:spacing w:before="0" w:after="0"/>
              <w:ind w:firstLine="12"/>
              <w:jc w:val="left"/>
            </w:pPr>
            <w:r w:rsidRPr="00EA58F9">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rsidR="00134188" w:rsidRPr="00EA58F9" w:rsidRDefault="00134188" w:rsidP="008B194A">
            <w:pPr>
              <w:pStyle w:val="naisc"/>
              <w:spacing w:before="0" w:after="0"/>
              <w:ind w:right="3"/>
              <w:jc w:val="left"/>
            </w:pPr>
            <w:r w:rsidRPr="00EA58F9">
              <w:t>Atzinumā norādītais ministrijas (citas institūcijas) iebildums, kā arī saskaņošanā papildus izteiktais iebildums par projekta konkrēto punktu (pantu)</w:t>
            </w:r>
          </w:p>
        </w:tc>
        <w:tc>
          <w:tcPr>
            <w:tcW w:w="3435" w:type="dxa"/>
            <w:gridSpan w:val="2"/>
            <w:tcBorders>
              <w:top w:val="single" w:sz="6" w:space="0" w:color="000000"/>
              <w:left w:val="single" w:sz="6" w:space="0" w:color="000000"/>
              <w:bottom w:val="single" w:sz="6" w:space="0" w:color="000000"/>
              <w:right w:val="single" w:sz="6" w:space="0" w:color="000000"/>
            </w:tcBorders>
            <w:vAlign w:val="center"/>
          </w:tcPr>
          <w:p w:rsidR="00134188" w:rsidRPr="00EA58F9" w:rsidRDefault="00134188" w:rsidP="008B194A">
            <w:pPr>
              <w:pStyle w:val="naisc"/>
              <w:spacing w:before="0" w:after="0"/>
              <w:ind w:firstLine="21"/>
              <w:jc w:val="left"/>
            </w:pPr>
            <w:r w:rsidRPr="00EA58F9">
              <w:t>Atbildīgās ministrijas norāde</w:t>
            </w:r>
            <w:r w:rsidR="006C1C48" w:rsidRPr="00EA58F9">
              <w:t xml:space="preserve"> par to, ka </w:t>
            </w:r>
            <w:r w:rsidRPr="00EA58F9">
              <w:t>iebildums ir ņemts vērā</w:t>
            </w:r>
            <w:r w:rsidR="006455E7" w:rsidRPr="00EA58F9">
              <w:t>,</w:t>
            </w:r>
            <w:r w:rsidRPr="00EA58F9">
              <w:t xml:space="preserve"> vai </w:t>
            </w:r>
            <w:r w:rsidR="006C1C48" w:rsidRPr="00EA58F9">
              <w:t xml:space="preserve">informācija par saskaņošanā </w:t>
            </w:r>
            <w:r w:rsidR="00022B0F" w:rsidRPr="00EA58F9">
              <w:t>panākto alternatīvo risinājumu</w:t>
            </w:r>
          </w:p>
        </w:tc>
        <w:tc>
          <w:tcPr>
            <w:tcW w:w="3118" w:type="dxa"/>
            <w:tcBorders>
              <w:top w:val="single" w:sz="4" w:space="0" w:color="auto"/>
              <w:left w:val="single" w:sz="4" w:space="0" w:color="auto"/>
              <w:bottom w:val="single" w:sz="4" w:space="0" w:color="auto"/>
            </w:tcBorders>
            <w:vAlign w:val="center"/>
          </w:tcPr>
          <w:p w:rsidR="00134188" w:rsidRPr="00EA58F9" w:rsidRDefault="00134188" w:rsidP="008B194A">
            <w:r w:rsidRPr="00EA58F9">
              <w:t>Projekta attiecīgā punkta (panta) galīgā redakcija</w:t>
            </w:r>
          </w:p>
        </w:tc>
      </w:tr>
      <w:tr w:rsidR="001E0165" w:rsidRPr="00EA58F9" w:rsidTr="007B47E7">
        <w:tc>
          <w:tcPr>
            <w:tcW w:w="675" w:type="dxa"/>
            <w:tcBorders>
              <w:top w:val="single" w:sz="6" w:space="0" w:color="000000"/>
              <w:left w:val="single" w:sz="6" w:space="0" w:color="000000"/>
              <w:bottom w:val="single" w:sz="6" w:space="0" w:color="000000"/>
              <w:right w:val="single" w:sz="6" w:space="0" w:color="000000"/>
            </w:tcBorders>
            <w:vAlign w:val="center"/>
          </w:tcPr>
          <w:p w:rsidR="001E0165" w:rsidRPr="00EA58F9" w:rsidRDefault="001E0165" w:rsidP="008B194A">
            <w:pPr>
              <w:pStyle w:val="naisc"/>
              <w:spacing w:before="0" w:after="0"/>
              <w:jc w:val="left"/>
            </w:pPr>
            <w:r w:rsidRPr="00EA58F9">
              <w:t>1</w:t>
            </w:r>
          </w:p>
        </w:tc>
        <w:tc>
          <w:tcPr>
            <w:tcW w:w="2802" w:type="dxa"/>
            <w:gridSpan w:val="2"/>
            <w:tcBorders>
              <w:top w:val="single" w:sz="6" w:space="0" w:color="000000"/>
              <w:left w:val="single" w:sz="6" w:space="0" w:color="000000"/>
              <w:bottom w:val="single" w:sz="6" w:space="0" w:color="000000"/>
              <w:right w:val="single" w:sz="6" w:space="0" w:color="000000"/>
            </w:tcBorders>
            <w:vAlign w:val="center"/>
          </w:tcPr>
          <w:p w:rsidR="001E0165" w:rsidRPr="00EA58F9" w:rsidRDefault="001E0165" w:rsidP="008B194A">
            <w:pPr>
              <w:pStyle w:val="naisc"/>
              <w:spacing w:before="0" w:after="0"/>
              <w:ind w:firstLine="12"/>
              <w:jc w:val="left"/>
            </w:pPr>
            <w:r w:rsidRPr="00EA58F9">
              <w:t>2</w:t>
            </w:r>
          </w:p>
        </w:tc>
        <w:tc>
          <w:tcPr>
            <w:tcW w:w="4253" w:type="dxa"/>
            <w:tcBorders>
              <w:top w:val="single" w:sz="6" w:space="0" w:color="000000"/>
              <w:left w:val="single" w:sz="6" w:space="0" w:color="000000"/>
              <w:bottom w:val="single" w:sz="6" w:space="0" w:color="000000"/>
              <w:right w:val="single" w:sz="6" w:space="0" w:color="000000"/>
            </w:tcBorders>
            <w:vAlign w:val="center"/>
          </w:tcPr>
          <w:p w:rsidR="001E0165" w:rsidRPr="00EA58F9" w:rsidRDefault="001E0165" w:rsidP="008B194A">
            <w:pPr>
              <w:pStyle w:val="naisc"/>
              <w:spacing w:before="0" w:after="0"/>
              <w:ind w:right="3"/>
              <w:jc w:val="left"/>
            </w:pPr>
            <w:r w:rsidRPr="00EA58F9">
              <w:t>3</w:t>
            </w:r>
          </w:p>
        </w:tc>
        <w:tc>
          <w:tcPr>
            <w:tcW w:w="3435" w:type="dxa"/>
            <w:gridSpan w:val="2"/>
            <w:tcBorders>
              <w:top w:val="single" w:sz="6" w:space="0" w:color="000000"/>
              <w:left w:val="single" w:sz="6" w:space="0" w:color="000000"/>
              <w:bottom w:val="single" w:sz="6" w:space="0" w:color="000000"/>
              <w:right w:val="single" w:sz="6" w:space="0" w:color="000000"/>
            </w:tcBorders>
            <w:vAlign w:val="center"/>
          </w:tcPr>
          <w:p w:rsidR="001E0165" w:rsidRPr="00EA58F9" w:rsidRDefault="001E0165" w:rsidP="008B194A">
            <w:pPr>
              <w:pStyle w:val="naisc"/>
              <w:spacing w:before="0" w:after="0"/>
              <w:ind w:firstLine="21"/>
              <w:jc w:val="left"/>
            </w:pPr>
            <w:r w:rsidRPr="00EA58F9">
              <w:t>4</w:t>
            </w:r>
          </w:p>
        </w:tc>
        <w:tc>
          <w:tcPr>
            <w:tcW w:w="3118" w:type="dxa"/>
            <w:tcBorders>
              <w:top w:val="single" w:sz="4" w:space="0" w:color="auto"/>
              <w:left w:val="single" w:sz="4" w:space="0" w:color="auto"/>
              <w:bottom w:val="single" w:sz="4" w:space="0" w:color="auto"/>
            </w:tcBorders>
            <w:vAlign w:val="center"/>
          </w:tcPr>
          <w:p w:rsidR="001E0165" w:rsidRPr="00EA58F9" w:rsidRDefault="001E0165" w:rsidP="008B194A">
            <w:r w:rsidRPr="00EA58F9">
              <w:t>5</w:t>
            </w:r>
          </w:p>
        </w:tc>
      </w:tr>
      <w:tr w:rsidR="00C716D6" w:rsidRPr="00EA58F9" w:rsidTr="00BF5526">
        <w:tc>
          <w:tcPr>
            <w:tcW w:w="14283" w:type="dxa"/>
            <w:gridSpan w:val="7"/>
            <w:tcBorders>
              <w:top w:val="single" w:sz="6" w:space="0" w:color="000000"/>
              <w:left w:val="single" w:sz="6" w:space="0" w:color="000000"/>
              <w:bottom w:val="single" w:sz="6" w:space="0" w:color="000000"/>
            </w:tcBorders>
            <w:vAlign w:val="center"/>
          </w:tcPr>
          <w:p w:rsidR="00C716D6" w:rsidRDefault="00C716D6" w:rsidP="00C716D6">
            <w:pPr>
              <w:pStyle w:val="naisc"/>
              <w:spacing w:before="0" w:after="0"/>
              <w:ind w:right="3"/>
            </w:pPr>
            <w:r w:rsidRPr="00EA58F9">
              <w:rPr>
                <w:b/>
              </w:rPr>
              <w:t>Tieslietu ministrijas</w:t>
            </w:r>
            <w:r>
              <w:rPr>
                <w:b/>
              </w:rPr>
              <w:t xml:space="preserve"> iebildumi</w:t>
            </w:r>
            <w:r w:rsidRPr="00EA58F9">
              <w:t xml:space="preserve"> </w:t>
            </w:r>
          </w:p>
          <w:p w:rsidR="00C716D6" w:rsidRPr="00C716D6" w:rsidRDefault="00C716D6" w:rsidP="00C716D6">
            <w:pPr>
              <w:pStyle w:val="naisc"/>
              <w:spacing w:before="0" w:after="0"/>
              <w:ind w:right="3"/>
            </w:pPr>
            <w:r>
              <w:t>(</w:t>
            </w:r>
            <w:r w:rsidRPr="00EA58F9">
              <w:t>2020. gada 15. jūnija atzinums Nr. 1-9.1/632</w:t>
            </w:r>
            <w:r>
              <w:t>)</w:t>
            </w:r>
          </w:p>
        </w:tc>
      </w:tr>
      <w:tr w:rsidR="0009136F" w:rsidRPr="00EA58F9" w:rsidTr="00155871">
        <w:trPr>
          <w:trHeight w:val="411"/>
        </w:trPr>
        <w:tc>
          <w:tcPr>
            <w:tcW w:w="675" w:type="dxa"/>
            <w:tcBorders>
              <w:top w:val="single" w:sz="6" w:space="0" w:color="000000"/>
              <w:left w:val="single" w:sz="6" w:space="0" w:color="000000"/>
              <w:bottom w:val="single" w:sz="6" w:space="0" w:color="000000"/>
              <w:right w:val="single" w:sz="6" w:space="0" w:color="000000"/>
            </w:tcBorders>
          </w:tcPr>
          <w:p w:rsidR="0009136F" w:rsidRPr="00EA58F9" w:rsidRDefault="0009136F" w:rsidP="00155871">
            <w:pPr>
              <w:pStyle w:val="naisc"/>
              <w:numPr>
                <w:ilvl w:val="0"/>
                <w:numId w:val="14"/>
              </w:numPr>
              <w:spacing w:before="0" w:after="0"/>
              <w:ind w:left="284" w:hanging="284"/>
              <w:jc w:val="left"/>
            </w:pPr>
          </w:p>
        </w:tc>
        <w:tc>
          <w:tcPr>
            <w:tcW w:w="2802" w:type="dxa"/>
            <w:gridSpan w:val="2"/>
            <w:tcBorders>
              <w:top w:val="single" w:sz="6" w:space="0" w:color="000000"/>
              <w:left w:val="single" w:sz="6" w:space="0" w:color="000000"/>
              <w:bottom w:val="single" w:sz="6" w:space="0" w:color="000000"/>
              <w:right w:val="single" w:sz="6" w:space="0" w:color="000000"/>
            </w:tcBorders>
          </w:tcPr>
          <w:p w:rsidR="0009136F" w:rsidRPr="00EA58F9" w:rsidRDefault="003D4030" w:rsidP="00C716D6">
            <w:pPr>
              <w:pStyle w:val="ListParagraph"/>
              <w:tabs>
                <w:tab w:val="left" w:pos="709"/>
              </w:tabs>
              <w:spacing w:after="120" w:line="240" w:lineRule="auto"/>
              <w:ind w:left="0"/>
              <w:contextualSpacing w:val="0"/>
              <w:jc w:val="both"/>
              <w:rPr>
                <w:rFonts w:ascii="Times New Roman" w:hAnsi="Times New Roman"/>
                <w:sz w:val="24"/>
                <w:szCs w:val="24"/>
                <w:lang w:eastAsia="lv-LV"/>
              </w:rPr>
            </w:pPr>
            <w:r w:rsidRPr="00EA58F9">
              <w:rPr>
                <w:rFonts w:ascii="Times New Roman" w:hAnsi="Times New Roman"/>
                <w:sz w:val="24"/>
                <w:szCs w:val="24"/>
              </w:rPr>
              <w:t>Iebildums skar Valsts aizsardzības koncepcijas izstrādāšanas formu.</w:t>
            </w:r>
          </w:p>
        </w:tc>
        <w:tc>
          <w:tcPr>
            <w:tcW w:w="4253" w:type="dxa"/>
            <w:tcBorders>
              <w:top w:val="single" w:sz="6" w:space="0" w:color="000000"/>
              <w:left w:val="single" w:sz="6" w:space="0" w:color="000000"/>
              <w:bottom w:val="single" w:sz="6" w:space="0" w:color="000000"/>
              <w:right w:val="single" w:sz="6" w:space="0" w:color="000000"/>
            </w:tcBorders>
          </w:tcPr>
          <w:p w:rsidR="00D00C74" w:rsidRPr="00EA58F9" w:rsidRDefault="00D00C74" w:rsidP="00227A12">
            <w:pPr>
              <w:pStyle w:val="NoSpacing"/>
              <w:spacing w:after="120"/>
              <w:rPr>
                <w:szCs w:val="24"/>
              </w:rPr>
            </w:pPr>
            <w:r w:rsidRPr="00EA58F9">
              <w:rPr>
                <w:szCs w:val="24"/>
              </w:rPr>
              <w:t xml:space="preserve">Vēršam uzmanību uz to, ka no koncepcijā, tai pievienotajā konceptuālā ziņojuma "Valsts aizsardzības koncepcija" sākotnējās </w:t>
            </w:r>
            <w:r w:rsidRPr="00EA58F9">
              <w:rPr>
                <w:i/>
                <w:iCs/>
                <w:szCs w:val="24"/>
              </w:rPr>
              <w:t>(ex-ante)</w:t>
            </w:r>
            <w:r w:rsidRPr="00EA58F9">
              <w:rPr>
                <w:szCs w:val="24"/>
              </w:rPr>
              <w:t xml:space="preserve"> ietekmes novērtējuma ziņojumā (anotācijā) un protokollēmuma projektā minētā nav skaidrs, kas ir koncepcija. Attīstības plānošanas sistēmas likuma 3. panta trešā daļa noteic, ka </w:t>
            </w:r>
            <w:r w:rsidRPr="00EA58F9">
              <w:rPr>
                <w:szCs w:val="24"/>
                <w:u w:val="single"/>
              </w:rPr>
              <w:t>a</w:t>
            </w:r>
            <w:r w:rsidRPr="00EA58F9">
              <w:rPr>
                <w:szCs w:val="24"/>
                <w:u w:val="single"/>
                <w:shd w:val="clear" w:color="auto" w:fill="FFFFFF"/>
              </w:rPr>
              <w:t>ttīstības plānošanas dokumentus valsts aizsardzības politikas jomā nosaka Nacionālo bruņoto spēku likums un Nacionālās drošības likums</w:t>
            </w:r>
            <w:r w:rsidRPr="00EA58F9">
              <w:rPr>
                <w:szCs w:val="24"/>
                <w:shd w:val="clear" w:color="auto" w:fill="FFFFFF"/>
              </w:rPr>
              <w:t>.</w:t>
            </w:r>
          </w:p>
          <w:p w:rsidR="00D00C74" w:rsidRPr="00EA58F9" w:rsidRDefault="00D00C74" w:rsidP="00227A12">
            <w:pPr>
              <w:pStyle w:val="NoSpacing"/>
              <w:spacing w:after="120"/>
              <w:rPr>
                <w:szCs w:val="24"/>
              </w:rPr>
            </w:pPr>
            <w:r w:rsidRPr="00EA58F9">
              <w:rPr>
                <w:szCs w:val="24"/>
              </w:rPr>
              <w:t xml:space="preserve">Nacionālās drošības likuma 29. panta pirmā daļa noteic, ka </w:t>
            </w:r>
            <w:r w:rsidRPr="00EA58F9">
              <w:rPr>
                <w:szCs w:val="24"/>
                <w:u w:val="single"/>
              </w:rPr>
              <w:t>v</w:t>
            </w:r>
            <w:r w:rsidRPr="00EA58F9">
              <w:rPr>
                <w:szCs w:val="24"/>
                <w:u w:val="single"/>
                <w:shd w:val="clear" w:color="auto" w:fill="FFFFFF"/>
              </w:rPr>
              <w:t>alsts aizsardzības koncepcija ir uz Militāro draudu analīzes pamata sagatavots dokuments, kurā noteikti valsts militārās aizsardzības stratēģiskie pamatprincipi, prioritātes un pasākumi miera, valsts apdraudējuma un kara laikā</w:t>
            </w:r>
            <w:r w:rsidRPr="00EA58F9">
              <w:rPr>
                <w:szCs w:val="24"/>
                <w:shd w:val="clear" w:color="auto" w:fill="FFFFFF"/>
              </w:rPr>
              <w:t>, bet nav skaidrs, kur koncepcijā tie ir noteikti (piemēram, nav skaidrs, kur ir noteiktas valsts militārās aizsardzības prioritātes)</w:t>
            </w:r>
            <w:r w:rsidRPr="00EA58F9">
              <w:rPr>
                <w:szCs w:val="24"/>
              </w:rPr>
              <w:t>.</w:t>
            </w:r>
          </w:p>
          <w:p w:rsidR="00D00C74" w:rsidRPr="00EA58F9" w:rsidRDefault="00D00C74" w:rsidP="00227A12">
            <w:pPr>
              <w:pStyle w:val="NoSpacing"/>
              <w:spacing w:after="120"/>
              <w:rPr>
                <w:szCs w:val="24"/>
              </w:rPr>
            </w:pPr>
            <w:r w:rsidRPr="00EA58F9">
              <w:rPr>
                <w:szCs w:val="24"/>
              </w:rPr>
              <w:t xml:space="preserve">Savukārt koncepcijai pievienotajā </w:t>
            </w:r>
            <w:r w:rsidRPr="00EA58F9">
              <w:rPr>
                <w:szCs w:val="24"/>
              </w:rPr>
              <w:lastRenderedPageBreak/>
              <w:t xml:space="preserve">konceptuālā ziņojuma "Valsts aizsardzības koncepcija" sākotnējās </w:t>
            </w:r>
            <w:r w:rsidRPr="00EA58F9">
              <w:rPr>
                <w:i/>
                <w:iCs/>
                <w:szCs w:val="24"/>
              </w:rPr>
              <w:t>(ex-ante)</w:t>
            </w:r>
            <w:r w:rsidRPr="00EA58F9">
              <w:rPr>
                <w:szCs w:val="24"/>
              </w:rPr>
              <w:t xml:space="preserve"> ietekmes novērtējuma ziņojumā (anotācijā) ir norādīts, ka </w:t>
            </w:r>
            <w:r w:rsidRPr="00EA58F9">
              <w:rPr>
                <w:szCs w:val="24"/>
                <w:u w:val="single"/>
              </w:rPr>
              <w:t>koncepcija ir konceptuāls ziņojums</w:t>
            </w:r>
            <w:r w:rsidRPr="00EA58F9">
              <w:rPr>
                <w:szCs w:val="24"/>
              </w:rPr>
              <w:t xml:space="preserve">. Vēršam uzmanību uz to, ka konceptuālo ziņojumu izstrādā atbilstoši Ministru kabineta 2014. gada 2. decembra noteikumu Nr. 737 "Attīstības plānošanas dokumentu izstrādes un ietekmes izvērtēšanas noteikumi" V nodaļā noteiktajām prasībām. Turklāt atbilstoši Ministru kabineta 2009. gada 7. aprīļa noteikumu Nr. 300 "Ministru kabineta kārtības rullis" 3. punktā noteiktajam attīstības plānošanas dokumentu projektiem nav nepieciešams pievienot tiesību akta projekta sākotnējās </w:t>
            </w:r>
            <w:r w:rsidRPr="00EA58F9">
              <w:rPr>
                <w:i/>
                <w:iCs/>
                <w:szCs w:val="24"/>
              </w:rPr>
              <w:t>(ex-ante)</w:t>
            </w:r>
            <w:r w:rsidRPr="00EA58F9">
              <w:rPr>
                <w:szCs w:val="24"/>
              </w:rPr>
              <w:t xml:space="preserve"> ietekmes novērtējuma ziņojumu (anotāciju).</w:t>
            </w:r>
          </w:p>
          <w:p w:rsidR="00D00C74" w:rsidRPr="00EA58F9" w:rsidRDefault="00D00C74" w:rsidP="00227A12">
            <w:pPr>
              <w:pStyle w:val="NoSpacing"/>
              <w:spacing w:after="120"/>
              <w:rPr>
                <w:szCs w:val="24"/>
              </w:rPr>
            </w:pPr>
            <w:r w:rsidRPr="00EA58F9">
              <w:rPr>
                <w:szCs w:val="24"/>
              </w:rPr>
              <w:t xml:space="preserve">Papildus norādām uz to, ka Nacionālās drošības likuma 29. panta otrā daļa noteic, ka valsts aizsardzības koncepciju </w:t>
            </w:r>
            <w:r w:rsidRPr="00EA58F9">
              <w:rPr>
                <w:szCs w:val="24"/>
                <w:u w:val="single"/>
              </w:rPr>
              <w:t>sagatavo Aizsardzības ministrija</w:t>
            </w:r>
            <w:r w:rsidRPr="00EA58F9">
              <w:rPr>
                <w:szCs w:val="24"/>
              </w:rPr>
              <w:t xml:space="preserve">, </w:t>
            </w:r>
            <w:r w:rsidRPr="00EA58F9">
              <w:rPr>
                <w:szCs w:val="24"/>
                <w:u w:val="single"/>
              </w:rPr>
              <w:t>izskata Ministru kabinets</w:t>
            </w:r>
            <w:r w:rsidRPr="00EA58F9">
              <w:rPr>
                <w:szCs w:val="24"/>
              </w:rPr>
              <w:t xml:space="preserve"> un </w:t>
            </w:r>
            <w:r w:rsidRPr="00EA58F9">
              <w:rPr>
                <w:szCs w:val="24"/>
                <w:u w:val="single"/>
              </w:rPr>
              <w:t>apstiprina Saeima ne retāk kā reizi katrā sasaukumā līdz sava otrā darbības gada 1. oktobrim</w:t>
            </w:r>
            <w:r w:rsidRPr="00EA58F9">
              <w:rPr>
                <w:szCs w:val="24"/>
              </w:rPr>
              <w:t>. Savukārt protokollēmuma projekta 1. punktā ir noteikts, ka Ministru kabinets apstiprina koncepciju.</w:t>
            </w:r>
          </w:p>
          <w:p w:rsidR="00D00C74" w:rsidRPr="00EA58F9" w:rsidRDefault="00D00C74" w:rsidP="00227A12">
            <w:pPr>
              <w:pStyle w:val="NoSpacing"/>
              <w:rPr>
                <w:szCs w:val="24"/>
              </w:rPr>
            </w:pPr>
            <w:r w:rsidRPr="00EA58F9">
              <w:rPr>
                <w:szCs w:val="24"/>
              </w:rPr>
              <w:t xml:space="preserve">Ievērojot minēto, lūdzam izvērtēt koncepcijā, tai pievienotajā konceptuālā ziņojuma "Valsts aizsardzības koncepcija" sākotnējās </w:t>
            </w:r>
            <w:r w:rsidRPr="00EA58F9">
              <w:rPr>
                <w:i/>
                <w:iCs/>
                <w:szCs w:val="24"/>
              </w:rPr>
              <w:t>(ex-ante)</w:t>
            </w:r>
            <w:r w:rsidRPr="00EA58F9">
              <w:rPr>
                <w:szCs w:val="24"/>
              </w:rPr>
              <w:t xml:space="preserve"> ietekmes </w:t>
            </w:r>
            <w:r w:rsidRPr="00EA58F9">
              <w:rPr>
                <w:szCs w:val="24"/>
              </w:rPr>
              <w:lastRenderedPageBreak/>
              <w:t>novērtējuma ziņojumā (anotācijā) un protokollēmuma projektā minēto un attiecīgi precizēt to.</w:t>
            </w:r>
          </w:p>
          <w:p w:rsidR="0009136F" w:rsidRPr="00EA58F9" w:rsidRDefault="0009136F" w:rsidP="00C716D6">
            <w:pPr>
              <w:pStyle w:val="NoSpacing"/>
              <w:rPr>
                <w:szCs w:val="24"/>
                <w:lang w:eastAsia="lv-LV"/>
              </w:rPr>
            </w:pP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auto"/>
          </w:tcPr>
          <w:p w:rsidR="00C25C83" w:rsidRPr="0045665E" w:rsidRDefault="004D19ED" w:rsidP="00C716D6">
            <w:pPr>
              <w:pStyle w:val="naisc"/>
              <w:spacing w:before="0" w:after="0"/>
              <w:ind w:right="3"/>
              <w:jc w:val="both"/>
            </w:pPr>
            <w:r>
              <w:rPr>
                <w:b/>
              </w:rPr>
              <w:lastRenderedPageBreak/>
              <w:t>Ņemts vērā</w:t>
            </w:r>
          </w:p>
        </w:tc>
        <w:tc>
          <w:tcPr>
            <w:tcW w:w="3118" w:type="dxa"/>
            <w:tcBorders>
              <w:top w:val="single" w:sz="4" w:space="0" w:color="auto"/>
              <w:left w:val="single" w:sz="4" w:space="0" w:color="auto"/>
              <w:bottom w:val="single" w:sz="4" w:space="0" w:color="auto"/>
            </w:tcBorders>
          </w:tcPr>
          <w:p w:rsidR="004D19ED" w:rsidRDefault="00C716D6" w:rsidP="00C716D6">
            <w:pPr>
              <w:jc w:val="both"/>
            </w:pPr>
            <w:r>
              <w:t xml:space="preserve">Koncepcija ir </w:t>
            </w:r>
            <w:r w:rsidR="004D19ED" w:rsidRPr="0045665E">
              <w:t>“politikas plānošanas dokuments”;</w:t>
            </w:r>
            <w:r>
              <w:t xml:space="preserve"> </w:t>
            </w:r>
            <w:r w:rsidRPr="00EA58F9">
              <w:t xml:space="preserve">tiesību akta projekta sākotnējās </w:t>
            </w:r>
            <w:r w:rsidRPr="00EA58F9">
              <w:rPr>
                <w:i/>
                <w:iCs/>
              </w:rPr>
              <w:t>(ex-ante)</w:t>
            </w:r>
            <w:r>
              <w:t xml:space="preserve"> ietekmes novērtējuma ziņojums netiks sagatavots;</w:t>
            </w:r>
            <w:r w:rsidR="004D19ED" w:rsidRPr="0045665E">
              <w:t xml:space="preserve"> projekts </w:t>
            </w:r>
            <w:r w:rsidR="004D19ED">
              <w:t>labots</w:t>
            </w:r>
            <w:r w:rsidR="004D19ED" w:rsidRPr="0045665E">
              <w:t xml:space="preserve"> atbilstoši Nacionālās drošības likumam. </w:t>
            </w:r>
          </w:p>
          <w:p w:rsidR="004D19ED" w:rsidRDefault="004D19ED" w:rsidP="00C716D6">
            <w:pPr>
              <w:jc w:val="both"/>
            </w:pPr>
          </w:p>
          <w:p w:rsidR="00EA7624" w:rsidRPr="00222AED" w:rsidRDefault="00C716D6" w:rsidP="00C716D6">
            <w:pPr>
              <w:jc w:val="both"/>
              <w:rPr>
                <w:bCs/>
              </w:rPr>
            </w:pPr>
            <w:r>
              <w:t>Protokollēmuma 1.punkts precizēts, izsakot to šādā redakcijā</w:t>
            </w:r>
            <w:r w:rsidR="00227A12">
              <w:t>:</w:t>
            </w:r>
            <w:r>
              <w:t xml:space="preserve"> </w:t>
            </w:r>
            <w:r w:rsidR="0045665E" w:rsidRPr="0045665E">
              <w:t>“</w:t>
            </w:r>
            <w:r>
              <w:rPr>
                <w:rStyle w:val="spelle"/>
                <w:bCs/>
              </w:rPr>
              <w:t>Atbalstīt iesniegto Valsts aizsardzības koncepcijas projektu</w:t>
            </w:r>
            <w:r w:rsidR="0045665E" w:rsidRPr="0045665E">
              <w:rPr>
                <w:rStyle w:val="spelle"/>
                <w:bCs/>
              </w:rPr>
              <w:t>.</w:t>
            </w:r>
            <w:r w:rsidR="0045665E" w:rsidRPr="0045665E">
              <w:t>“</w:t>
            </w:r>
          </w:p>
        </w:tc>
      </w:tr>
      <w:tr w:rsidR="0009136F" w:rsidRPr="00EA58F9" w:rsidTr="007B47E7">
        <w:tc>
          <w:tcPr>
            <w:tcW w:w="675" w:type="dxa"/>
            <w:tcBorders>
              <w:top w:val="single" w:sz="6" w:space="0" w:color="000000"/>
              <w:left w:val="single" w:sz="6" w:space="0" w:color="000000"/>
              <w:bottom w:val="single" w:sz="6" w:space="0" w:color="000000"/>
              <w:right w:val="single" w:sz="6" w:space="0" w:color="000000"/>
            </w:tcBorders>
          </w:tcPr>
          <w:p w:rsidR="0009136F" w:rsidRPr="00EA58F9" w:rsidRDefault="0009136F" w:rsidP="00BF5526">
            <w:pPr>
              <w:pStyle w:val="naisc"/>
              <w:numPr>
                <w:ilvl w:val="0"/>
                <w:numId w:val="14"/>
              </w:numPr>
              <w:spacing w:before="0" w:after="0"/>
              <w:ind w:left="426"/>
              <w:jc w:val="left"/>
            </w:pPr>
          </w:p>
          <w:p w:rsidR="0009136F" w:rsidRPr="00EA58F9" w:rsidRDefault="0009136F" w:rsidP="00BF5526">
            <w:pPr>
              <w:pStyle w:val="naisc"/>
              <w:spacing w:before="0" w:after="0"/>
              <w:ind w:left="426"/>
              <w:jc w:val="left"/>
            </w:pPr>
          </w:p>
        </w:tc>
        <w:tc>
          <w:tcPr>
            <w:tcW w:w="2802" w:type="dxa"/>
            <w:gridSpan w:val="2"/>
            <w:tcBorders>
              <w:top w:val="single" w:sz="6" w:space="0" w:color="000000"/>
              <w:left w:val="single" w:sz="6" w:space="0" w:color="000000"/>
              <w:bottom w:val="single" w:sz="6" w:space="0" w:color="000000"/>
              <w:right w:val="single" w:sz="6" w:space="0" w:color="000000"/>
            </w:tcBorders>
          </w:tcPr>
          <w:p w:rsidR="0009136F" w:rsidRPr="00EA58F9" w:rsidRDefault="00D00C74" w:rsidP="00C716D6">
            <w:pPr>
              <w:jc w:val="both"/>
            </w:pPr>
            <w:r w:rsidRPr="00EA58F9">
              <w:t>“Valsts aizsardzības koncepcijas ieviešanu nodrošina valsts institūcijas atbilstoši savai kompetencei un normatīvajos aktos noteiktajiem uzdevumiem.“</w:t>
            </w:r>
          </w:p>
        </w:tc>
        <w:tc>
          <w:tcPr>
            <w:tcW w:w="4253" w:type="dxa"/>
            <w:tcBorders>
              <w:top w:val="single" w:sz="6" w:space="0" w:color="000000"/>
              <w:left w:val="single" w:sz="6" w:space="0" w:color="000000"/>
              <w:bottom w:val="single" w:sz="6" w:space="0" w:color="000000"/>
              <w:right w:val="single" w:sz="6" w:space="0" w:color="000000"/>
            </w:tcBorders>
          </w:tcPr>
          <w:p w:rsidR="00DE5DF7" w:rsidRPr="00EA58F9" w:rsidRDefault="00D00C74" w:rsidP="00C716D6">
            <w:pPr>
              <w:pStyle w:val="ListParagraph"/>
              <w:tabs>
                <w:tab w:val="left" w:pos="709"/>
              </w:tabs>
              <w:spacing w:after="120" w:line="240" w:lineRule="auto"/>
              <w:ind w:left="0"/>
              <w:contextualSpacing w:val="0"/>
              <w:jc w:val="both"/>
              <w:rPr>
                <w:rFonts w:ascii="Times New Roman" w:hAnsi="Times New Roman"/>
                <w:sz w:val="24"/>
                <w:szCs w:val="24"/>
                <w:lang w:eastAsia="lv-LV"/>
              </w:rPr>
            </w:pPr>
            <w:r w:rsidRPr="00EA58F9">
              <w:rPr>
                <w:rFonts w:ascii="Times New Roman" w:hAnsi="Times New Roman"/>
                <w:sz w:val="24"/>
                <w:szCs w:val="24"/>
              </w:rPr>
              <w:t>Vēršam uzmanību uz to, ka koncepcijas 4. nodaļas ceturtajā rindkopā ietvertā informācija un protokollēmuma projekta 3. punktā noteiktais uzdevums ir neskaidrs, proti, nav skaidrs, kuras valsts institūcijas un par kādu uzdevumu veikšanu ir līdzatbildīgas attiecīgās valsts institūcijas. Ievērojot minēto, lūdzam precizēt koncepcijas 4. nodaļas ceturtajā rindkopā ietverto informāciju un protokollēmuma 3. punktā noteikto.</w:t>
            </w:r>
          </w:p>
        </w:tc>
        <w:tc>
          <w:tcPr>
            <w:tcW w:w="3435" w:type="dxa"/>
            <w:gridSpan w:val="2"/>
            <w:tcBorders>
              <w:top w:val="single" w:sz="6" w:space="0" w:color="000000"/>
              <w:left w:val="single" w:sz="6" w:space="0" w:color="000000"/>
              <w:bottom w:val="single" w:sz="6" w:space="0" w:color="000000"/>
              <w:right w:val="single" w:sz="6" w:space="0" w:color="000000"/>
            </w:tcBorders>
          </w:tcPr>
          <w:p w:rsidR="007B47E7" w:rsidRPr="0045665E" w:rsidRDefault="007B47E7" w:rsidP="00C716D6">
            <w:pPr>
              <w:pStyle w:val="naisc"/>
              <w:spacing w:before="0" w:after="0"/>
              <w:ind w:right="3"/>
              <w:jc w:val="both"/>
              <w:rPr>
                <w:b/>
              </w:rPr>
            </w:pPr>
            <w:r>
              <w:rPr>
                <w:b/>
              </w:rPr>
              <w:t>Ņemts vērā</w:t>
            </w:r>
          </w:p>
        </w:tc>
        <w:tc>
          <w:tcPr>
            <w:tcW w:w="3118" w:type="dxa"/>
            <w:tcBorders>
              <w:top w:val="single" w:sz="4" w:space="0" w:color="auto"/>
              <w:left w:val="single" w:sz="4" w:space="0" w:color="auto"/>
              <w:bottom w:val="single" w:sz="4" w:space="0" w:color="auto"/>
            </w:tcBorders>
          </w:tcPr>
          <w:p w:rsidR="00EA7624" w:rsidRPr="00EA58F9" w:rsidRDefault="00BE33DB" w:rsidP="00C716D6">
            <w:pPr>
              <w:jc w:val="both"/>
            </w:pPr>
            <w:r>
              <w:t>Koncepcijas projekta 4. nodaļas ceturtā rindkopa un protokollēmuma 3.punkts ir dzēsts.</w:t>
            </w:r>
          </w:p>
        </w:tc>
      </w:tr>
      <w:tr w:rsidR="00C716D6" w:rsidRPr="00EA58F9" w:rsidTr="00BF5526">
        <w:tc>
          <w:tcPr>
            <w:tcW w:w="14283" w:type="dxa"/>
            <w:gridSpan w:val="7"/>
            <w:tcBorders>
              <w:top w:val="single" w:sz="6" w:space="0" w:color="000000"/>
              <w:left w:val="single" w:sz="6" w:space="0" w:color="000000"/>
              <w:bottom w:val="single" w:sz="6" w:space="0" w:color="000000"/>
            </w:tcBorders>
          </w:tcPr>
          <w:p w:rsidR="00C716D6" w:rsidRDefault="00C716D6" w:rsidP="00C716D6">
            <w:pPr>
              <w:pStyle w:val="naisc"/>
              <w:spacing w:before="0" w:after="0"/>
              <w:ind w:right="3"/>
              <w:rPr>
                <w:b/>
              </w:rPr>
            </w:pPr>
            <w:r w:rsidRPr="00EA58F9">
              <w:rPr>
                <w:b/>
              </w:rPr>
              <w:t>Iekšlietu ministrijas</w:t>
            </w:r>
            <w:r>
              <w:rPr>
                <w:b/>
              </w:rPr>
              <w:t xml:space="preserve"> iebildumi</w:t>
            </w:r>
          </w:p>
          <w:p w:rsidR="00C716D6" w:rsidRPr="00EA58F9" w:rsidRDefault="00C716D6" w:rsidP="00C716D6">
            <w:pPr>
              <w:pStyle w:val="naisc"/>
              <w:spacing w:before="0" w:after="0"/>
              <w:ind w:right="3"/>
            </w:pPr>
            <w:r>
              <w:t>(</w:t>
            </w:r>
            <w:r w:rsidRPr="00EA58F9">
              <w:t>2020. gada 25. jūnija atzinums Nr. 1-57/1564</w:t>
            </w:r>
            <w:r>
              <w:t>)</w:t>
            </w:r>
          </w:p>
        </w:tc>
      </w:tr>
      <w:tr w:rsidR="002622DB" w:rsidRPr="00EA58F9" w:rsidTr="007B47E7">
        <w:tc>
          <w:tcPr>
            <w:tcW w:w="675" w:type="dxa"/>
            <w:tcBorders>
              <w:top w:val="single" w:sz="6" w:space="0" w:color="000000"/>
              <w:left w:val="single" w:sz="6" w:space="0" w:color="000000"/>
              <w:bottom w:val="single" w:sz="6" w:space="0" w:color="000000"/>
              <w:right w:val="single" w:sz="6" w:space="0" w:color="000000"/>
            </w:tcBorders>
          </w:tcPr>
          <w:p w:rsidR="002622DB" w:rsidRPr="00EA58F9" w:rsidRDefault="002622DB" w:rsidP="00BF5526">
            <w:pPr>
              <w:pStyle w:val="naisc"/>
              <w:numPr>
                <w:ilvl w:val="0"/>
                <w:numId w:val="14"/>
              </w:numPr>
              <w:spacing w:before="0" w:after="0"/>
              <w:ind w:left="426" w:right="3"/>
              <w:jc w:val="both"/>
            </w:pPr>
          </w:p>
        </w:tc>
        <w:tc>
          <w:tcPr>
            <w:tcW w:w="2802" w:type="dxa"/>
            <w:gridSpan w:val="2"/>
            <w:tcBorders>
              <w:top w:val="single" w:sz="6" w:space="0" w:color="000000"/>
              <w:left w:val="single" w:sz="6" w:space="0" w:color="000000"/>
              <w:bottom w:val="single" w:sz="6" w:space="0" w:color="000000"/>
              <w:right w:val="single" w:sz="6" w:space="0" w:color="000000"/>
            </w:tcBorders>
          </w:tcPr>
          <w:p w:rsidR="002622DB" w:rsidRPr="00EA58F9" w:rsidRDefault="002622DB" w:rsidP="00C716D6">
            <w:pPr>
              <w:jc w:val="both"/>
            </w:pPr>
            <w:r w:rsidRPr="00EA58F9">
              <w:t xml:space="preserve">“Valsts aizsardzības koncepcija tiek izstrādāta, ņemot vērā Militāro draudu analīzi un Latvijas ģeopolitisko un iekšpolitisko situāciju. Atbilstoši Nacionālās drošības likumam, pamatojoties uz Valsts aizsardzības koncepcijā noteiktajiem mērķiem un principiem, tiek izstrādāts Valsts aizsardzības plāns, kas ietver konkrētus  pasākumus mērķu īstenošanai. Informācija </w:t>
            </w:r>
            <w:r w:rsidRPr="00EA58F9">
              <w:lastRenderedPageBreak/>
              <w:t>par Valsts aizsardzības plāna saturu sabiedrībai nav publiski pieejama drošības apsvērumu dēļ.”</w:t>
            </w:r>
          </w:p>
          <w:p w:rsidR="002622DB" w:rsidRPr="00EA58F9" w:rsidRDefault="002622DB" w:rsidP="00C716D6">
            <w:pPr>
              <w:pStyle w:val="naisc"/>
              <w:spacing w:before="0" w:after="0"/>
              <w:ind w:right="3"/>
              <w:jc w:val="both"/>
            </w:pPr>
          </w:p>
        </w:tc>
        <w:tc>
          <w:tcPr>
            <w:tcW w:w="4253" w:type="dxa"/>
            <w:tcBorders>
              <w:top w:val="single" w:sz="6" w:space="0" w:color="000000"/>
              <w:left w:val="single" w:sz="6" w:space="0" w:color="000000"/>
              <w:bottom w:val="single" w:sz="6" w:space="0" w:color="000000"/>
              <w:right w:val="single" w:sz="6" w:space="0" w:color="000000"/>
            </w:tcBorders>
          </w:tcPr>
          <w:p w:rsidR="002622DB" w:rsidRPr="00EA58F9" w:rsidRDefault="002622DB" w:rsidP="00C716D6">
            <w:pPr>
              <w:widowControl w:val="0"/>
              <w:contextualSpacing/>
              <w:jc w:val="both"/>
            </w:pPr>
            <w:r w:rsidRPr="00EA58F9">
              <w:lastRenderedPageBreak/>
              <w:t>Projekta ievada daļā (4.lpp.) izvēlēties pieeju (redakciju), lai neatturētu sabiedrību iepazīties un iesaistīties valsts aizsardzības veidošanā, jo ievadā pateikts, ka valsts aizsardzība attiecas uz ikvienu Latvijas iedzīvotāju un ka valsts aizsardzības garantēšana ir arī katra indivīda atbildība. Bet tālāk minēts, ka informācija par Valsts aizsardzības plāna saturu sabiedrībai nav publiski pieejama drošības apsvērumu dēļ. Šeit varētu īsumā norādīt, kāda būs sabiedrībai iespēja iesaistīties, iepazīties, utt., lai nodrošinātu savu atbildības/pienākumu īstenošanu.</w:t>
            </w:r>
          </w:p>
          <w:p w:rsidR="002622DB" w:rsidRPr="00EA58F9" w:rsidRDefault="002622DB" w:rsidP="00C716D6">
            <w:pPr>
              <w:pStyle w:val="naisc"/>
              <w:spacing w:before="0" w:after="0"/>
              <w:ind w:right="3"/>
              <w:jc w:val="both"/>
              <w:rPr>
                <w:b/>
              </w:rPr>
            </w:pPr>
          </w:p>
        </w:tc>
        <w:tc>
          <w:tcPr>
            <w:tcW w:w="3435" w:type="dxa"/>
            <w:gridSpan w:val="2"/>
            <w:tcBorders>
              <w:top w:val="single" w:sz="6" w:space="0" w:color="000000"/>
              <w:left w:val="single" w:sz="6" w:space="0" w:color="000000"/>
              <w:bottom w:val="single" w:sz="6" w:space="0" w:color="000000"/>
              <w:right w:val="single" w:sz="6" w:space="0" w:color="000000"/>
            </w:tcBorders>
          </w:tcPr>
          <w:p w:rsidR="002622DB" w:rsidRPr="0045665E" w:rsidRDefault="004D19ED" w:rsidP="00C716D6">
            <w:pPr>
              <w:pStyle w:val="naisc"/>
              <w:spacing w:before="0" w:after="0"/>
              <w:ind w:right="3"/>
              <w:jc w:val="both"/>
              <w:rPr>
                <w:b/>
              </w:rPr>
            </w:pPr>
            <w:r>
              <w:rPr>
                <w:b/>
              </w:rPr>
              <w:t>Ņemts vērā</w:t>
            </w:r>
          </w:p>
        </w:tc>
        <w:tc>
          <w:tcPr>
            <w:tcW w:w="3118" w:type="dxa"/>
            <w:tcBorders>
              <w:top w:val="single" w:sz="4" w:space="0" w:color="auto"/>
              <w:left w:val="single" w:sz="4" w:space="0" w:color="auto"/>
              <w:bottom w:val="single" w:sz="4" w:space="0" w:color="auto"/>
            </w:tcBorders>
          </w:tcPr>
          <w:p w:rsidR="002622DB" w:rsidRPr="0045665E" w:rsidRDefault="005C6802" w:rsidP="00C716D6">
            <w:pPr>
              <w:pStyle w:val="naisc"/>
              <w:spacing w:before="0" w:after="0"/>
              <w:ind w:right="3"/>
              <w:jc w:val="both"/>
            </w:pPr>
            <w:r>
              <w:t xml:space="preserve">Ievada otrā rindkopa pabildināta ar teikumu </w:t>
            </w:r>
            <w:r w:rsidR="0045665E">
              <w:t>“</w:t>
            </w:r>
            <w:r w:rsidRPr="00C05B94">
              <w:t>Sabiedrība pastāvīgi tiks informēta par aktuālajiem drošības izaicinājumiem un iespējām i</w:t>
            </w:r>
            <w:r>
              <w:t>esaistīties valsts aizsardzībā.”</w:t>
            </w:r>
          </w:p>
        </w:tc>
      </w:tr>
      <w:tr w:rsidR="00D00C74" w:rsidRPr="00EA58F9" w:rsidTr="007B47E7">
        <w:tc>
          <w:tcPr>
            <w:tcW w:w="675" w:type="dxa"/>
            <w:tcBorders>
              <w:left w:val="single" w:sz="6" w:space="0" w:color="000000"/>
              <w:bottom w:val="single" w:sz="4" w:space="0" w:color="auto"/>
              <w:right w:val="single" w:sz="6" w:space="0" w:color="000000"/>
            </w:tcBorders>
          </w:tcPr>
          <w:p w:rsidR="00D00C74" w:rsidRPr="00EA58F9" w:rsidRDefault="00D00C74" w:rsidP="00BF552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D00C74" w:rsidRPr="00EA58F9" w:rsidRDefault="002622DB" w:rsidP="00C716D6">
            <w:pPr>
              <w:pStyle w:val="naisc"/>
              <w:spacing w:before="0" w:after="0"/>
              <w:ind w:right="3"/>
              <w:jc w:val="both"/>
            </w:pPr>
            <w:r w:rsidRPr="00EA58F9">
              <w:rPr>
                <w:color w:val="000000"/>
                <w:spacing w:val="2"/>
              </w:rPr>
              <w:t>“Valsts drošības dienesti un NBS ir primāri atbildīgi, lai informācija tiktu savlaicīgi iegūta, izanalizēta un nodota lēmumu pieņēmējiem”</w:t>
            </w:r>
          </w:p>
        </w:tc>
        <w:tc>
          <w:tcPr>
            <w:tcW w:w="4253" w:type="dxa"/>
            <w:tcBorders>
              <w:left w:val="single" w:sz="6" w:space="0" w:color="000000"/>
              <w:bottom w:val="single" w:sz="4" w:space="0" w:color="auto"/>
              <w:right w:val="single" w:sz="6" w:space="0" w:color="000000"/>
            </w:tcBorders>
          </w:tcPr>
          <w:p w:rsidR="002622DB" w:rsidRPr="00EA58F9" w:rsidRDefault="002622DB" w:rsidP="00C716D6">
            <w:pPr>
              <w:widowControl w:val="0"/>
              <w:contextualSpacing/>
              <w:jc w:val="both"/>
            </w:pPr>
            <w:r w:rsidRPr="00EA58F9">
              <w:rPr>
                <w:color w:val="000000"/>
                <w:spacing w:val="2"/>
              </w:rPr>
              <w:t>Projekta 3.1.1.1.apakšpunkta “</w:t>
            </w:r>
            <w:r w:rsidRPr="00EA58F9">
              <w:rPr>
                <w:b/>
                <w:color w:val="000000"/>
                <w:spacing w:val="2"/>
              </w:rPr>
              <w:t>Agrā brīdināšana</w:t>
            </w:r>
            <w:r w:rsidRPr="00EA58F9">
              <w:rPr>
                <w:color w:val="000000"/>
                <w:spacing w:val="2"/>
              </w:rPr>
              <w:t xml:space="preserve">” otrās rindkopas pirmo teikumu (...) izteikt šādā redakcijā: </w:t>
            </w:r>
            <w:r w:rsidRPr="00EA58F9">
              <w:rPr>
                <w:i/>
                <w:color w:val="000000"/>
                <w:spacing w:val="2"/>
              </w:rPr>
              <w:t>“Valsts drošības iestādes</w:t>
            </w:r>
            <w:r w:rsidRPr="00EA58F9">
              <w:rPr>
                <w:color w:val="000000"/>
                <w:spacing w:val="2"/>
              </w:rPr>
              <w:t xml:space="preserve"> </w:t>
            </w:r>
            <w:r w:rsidRPr="00EA58F9">
              <w:rPr>
                <w:i/>
                <w:color w:val="000000"/>
                <w:spacing w:val="2"/>
              </w:rPr>
              <w:t>un NBS ir primāri atbildīgi, lai informācija tiktu savlaicīgi iegūta, izanalizēta un nodota lēmumu pieņēmējiem.</w:t>
            </w:r>
            <w:r w:rsidRPr="00EA58F9">
              <w:rPr>
                <w:color w:val="000000"/>
                <w:spacing w:val="2"/>
              </w:rPr>
              <w:t>”.</w:t>
            </w:r>
          </w:p>
          <w:p w:rsidR="00D00C74" w:rsidRPr="00EA58F9" w:rsidRDefault="00D00C74" w:rsidP="00C716D6">
            <w:pPr>
              <w:pStyle w:val="naisc"/>
              <w:spacing w:before="0" w:after="0"/>
              <w:ind w:right="3"/>
              <w:jc w:val="both"/>
            </w:pPr>
          </w:p>
        </w:tc>
        <w:tc>
          <w:tcPr>
            <w:tcW w:w="3435" w:type="dxa"/>
            <w:gridSpan w:val="2"/>
            <w:tcBorders>
              <w:left w:val="single" w:sz="6" w:space="0" w:color="000000"/>
              <w:bottom w:val="single" w:sz="4" w:space="0" w:color="auto"/>
              <w:right w:val="single" w:sz="6" w:space="0" w:color="000000"/>
            </w:tcBorders>
          </w:tcPr>
          <w:p w:rsidR="00D00C74" w:rsidRPr="00EA58F9" w:rsidRDefault="004D19ED" w:rsidP="00C716D6">
            <w:pPr>
              <w:pStyle w:val="naisc"/>
              <w:spacing w:before="0" w:after="0"/>
              <w:ind w:right="3"/>
              <w:jc w:val="both"/>
              <w:rPr>
                <w:b/>
              </w:rPr>
            </w:pPr>
            <w:r>
              <w:rPr>
                <w:b/>
              </w:rPr>
              <w:t>Ņemts vērā</w:t>
            </w:r>
          </w:p>
        </w:tc>
        <w:tc>
          <w:tcPr>
            <w:tcW w:w="3118" w:type="dxa"/>
            <w:tcBorders>
              <w:top w:val="single" w:sz="4" w:space="0" w:color="auto"/>
              <w:left w:val="single" w:sz="4" w:space="0" w:color="auto"/>
              <w:bottom w:val="single" w:sz="4" w:space="0" w:color="auto"/>
            </w:tcBorders>
          </w:tcPr>
          <w:p w:rsidR="00D00C74" w:rsidRPr="00EA58F9" w:rsidRDefault="0045665E" w:rsidP="00C716D6">
            <w:pPr>
              <w:pStyle w:val="naisc"/>
              <w:spacing w:before="0" w:after="0"/>
              <w:ind w:right="3"/>
              <w:jc w:val="both"/>
            </w:pPr>
            <w:r>
              <w:t>“</w:t>
            </w:r>
            <w:r w:rsidRPr="0045665E">
              <w:t>Valsts drošības iestādes un NBS ir primāri atbildīgi, lai informācija tiktu savlaicīgi iegūta, analizēta un nodota lēmumu pieņēmējiem.</w:t>
            </w:r>
            <w:r>
              <w:t>”</w:t>
            </w:r>
          </w:p>
        </w:tc>
      </w:tr>
      <w:tr w:rsidR="00D00C74" w:rsidRPr="00EA58F9" w:rsidTr="007B47E7">
        <w:tc>
          <w:tcPr>
            <w:tcW w:w="675" w:type="dxa"/>
            <w:tcBorders>
              <w:left w:val="single" w:sz="6" w:space="0" w:color="000000"/>
              <w:bottom w:val="single" w:sz="4" w:space="0" w:color="auto"/>
              <w:right w:val="single" w:sz="6" w:space="0" w:color="000000"/>
            </w:tcBorders>
          </w:tcPr>
          <w:p w:rsidR="00D00C74" w:rsidRPr="00EA58F9" w:rsidRDefault="00D00C74" w:rsidP="00BF552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D00C74" w:rsidRPr="00EA58F9" w:rsidRDefault="002622DB" w:rsidP="00C716D6">
            <w:pPr>
              <w:pStyle w:val="naisc"/>
              <w:spacing w:before="0" w:after="0"/>
              <w:ind w:right="3"/>
              <w:jc w:val="both"/>
            </w:pPr>
            <w:r w:rsidRPr="00EA58F9">
              <w:rPr>
                <w:color w:val="000000"/>
                <w:spacing w:val="2"/>
              </w:rPr>
              <w:t>“Būtiski ir, ka vienotajā agrās brīdināšanas sistēmā tiek integrētas Valsts robežsardzes sistēmas un modernizēta austrumu robežas novērošanas sistēma.”</w:t>
            </w:r>
          </w:p>
        </w:tc>
        <w:tc>
          <w:tcPr>
            <w:tcW w:w="4253" w:type="dxa"/>
            <w:tcBorders>
              <w:left w:val="single" w:sz="6" w:space="0" w:color="000000"/>
              <w:bottom w:val="single" w:sz="4" w:space="0" w:color="auto"/>
              <w:right w:val="single" w:sz="6" w:space="0" w:color="000000"/>
            </w:tcBorders>
          </w:tcPr>
          <w:p w:rsidR="002622DB" w:rsidRPr="00EA58F9" w:rsidRDefault="002622DB" w:rsidP="00C716D6">
            <w:pPr>
              <w:widowControl w:val="0"/>
              <w:contextualSpacing/>
              <w:jc w:val="both"/>
            </w:pPr>
            <w:r w:rsidRPr="00EA58F9">
              <w:rPr>
                <w:color w:val="000000"/>
                <w:spacing w:val="2"/>
              </w:rPr>
              <w:t>Projekta 3.1.1.1.apakšpunkta “</w:t>
            </w:r>
            <w:r w:rsidRPr="00EA58F9">
              <w:rPr>
                <w:b/>
                <w:color w:val="000000"/>
                <w:spacing w:val="2"/>
              </w:rPr>
              <w:t>Agrā brīdināšana</w:t>
            </w:r>
            <w:r w:rsidRPr="00EA58F9">
              <w:rPr>
                <w:color w:val="000000"/>
                <w:spacing w:val="2"/>
              </w:rPr>
              <w:t>” otrās rindkopas otro teikumu (...) izteikt šādā redakcijā: “</w:t>
            </w:r>
            <w:r w:rsidRPr="00EA58F9">
              <w:rPr>
                <w:i/>
                <w:color w:val="000000"/>
                <w:spacing w:val="2"/>
              </w:rPr>
              <w:t>Būtiski ir, ka vienotā agrās brīdināšanas sistēmā tiek integrētas esošās Valsts robežsardzes sistēmas un valsts ārējās robežas infrastruktūra, kā arī modernizējamā austrumu robežas novērošanas sistēma.</w:t>
            </w:r>
            <w:r w:rsidRPr="00EA58F9">
              <w:rPr>
                <w:color w:val="000000"/>
                <w:spacing w:val="2"/>
              </w:rPr>
              <w:t>”.</w:t>
            </w:r>
          </w:p>
          <w:p w:rsidR="00D00C74" w:rsidRPr="00EA58F9" w:rsidRDefault="00D00C74" w:rsidP="00C716D6">
            <w:pPr>
              <w:pStyle w:val="naisc"/>
              <w:spacing w:before="0" w:after="0"/>
              <w:ind w:right="3"/>
              <w:jc w:val="both"/>
            </w:pPr>
          </w:p>
        </w:tc>
        <w:tc>
          <w:tcPr>
            <w:tcW w:w="3435" w:type="dxa"/>
            <w:gridSpan w:val="2"/>
            <w:tcBorders>
              <w:left w:val="single" w:sz="6" w:space="0" w:color="000000"/>
              <w:bottom w:val="single" w:sz="4" w:space="0" w:color="auto"/>
              <w:right w:val="single" w:sz="6" w:space="0" w:color="000000"/>
            </w:tcBorders>
          </w:tcPr>
          <w:p w:rsidR="00D00C74" w:rsidRPr="00EA58F9" w:rsidRDefault="004D19ED" w:rsidP="00C716D6">
            <w:pPr>
              <w:pStyle w:val="naisc"/>
              <w:spacing w:before="0" w:after="0"/>
              <w:ind w:right="3"/>
              <w:jc w:val="both"/>
              <w:rPr>
                <w:b/>
              </w:rPr>
            </w:pPr>
            <w:r>
              <w:rPr>
                <w:b/>
              </w:rPr>
              <w:t>Ņemts vērā</w:t>
            </w:r>
          </w:p>
        </w:tc>
        <w:tc>
          <w:tcPr>
            <w:tcW w:w="3118" w:type="dxa"/>
            <w:tcBorders>
              <w:top w:val="single" w:sz="4" w:space="0" w:color="auto"/>
              <w:left w:val="single" w:sz="4" w:space="0" w:color="auto"/>
              <w:bottom w:val="single" w:sz="4" w:space="0" w:color="auto"/>
            </w:tcBorders>
          </w:tcPr>
          <w:p w:rsidR="00D00C74" w:rsidRPr="00222AED" w:rsidRDefault="00222AED" w:rsidP="00C716D6">
            <w:pPr>
              <w:pStyle w:val="naisc"/>
              <w:spacing w:before="0" w:after="0"/>
              <w:ind w:right="3"/>
              <w:jc w:val="both"/>
            </w:pPr>
            <w:r>
              <w:rPr>
                <w:color w:val="000000"/>
                <w:spacing w:val="2"/>
              </w:rPr>
              <w:t xml:space="preserve">Projekta 3.1.1.1. apakšpunkta </w:t>
            </w:r>
            <w:r w:rsidR="00227A12">
              <w:rPr>
                <w:b/>
                <w:color w:val="000000"/>
                <w:spacing w:val="2"/>
              </w:rPr>
              <w:t>“Agrā b</w:t>
            </w:r>
            <w:r>
              <w:rPr>
                <w:b/>
                <w:color w:val="000000"/>
                <w:spacing w:val="2"/>
              </w:rPr>
              <w:t xml:space="preserve">rīdināšana” </w:t>
            </w:r>
            <w:r>
              <w:rPr>
                <w:color w:val="000000"/>
                <w:spacing w:val="2"/>
              </w:rPr>
              <w:t>otrā rindkopa papildināta ar teikumu “V</w:t>
            </w:r>
            <w:r w:rsidRPr="00633D45">
              <w:rPr>
                <w:color w:val="000000"/>
                <w:spacing w:val="2"/>
              </w:rPr>
              <w:t xml:space="preserve">ienotā agrās brīdināšanas </w:t>
            </w:r>
            <w:r w:rsidRPr="00C05B94">
              <w:rPr>
                <w:color w:val="000000"/>
                <w:spacing w:val="2"/>
              </w:rPr>
              <w:t>sistēmā ir jāintegrē Valsts robežsardzes sistēmas un valsts ārējās robežas infrastruktūra.</w:t>
            </w:r>
            <w:r>
              <w:rPr>
                <w:color w:val="000000"/>
                <w:spacing w:val="2"/>
              </w:rPr>
              <w:t>”</w:t>
            </w:r>
          </w:p>
        </w:tc>
      </w:tr>
      <w:tr w:rsidR="00D00C74" w:rsidRPr="00EA58F9" w:rsidTr="007B47E7">
        <w:tc>
          <w:tcPr>
            <w:tcW w:w="675" w:type="dxa"/>
            <w:tcBorders>
              <w:left w:val="single" w:sz="6" w:space="0" w:color="000000"/>
              <w:bottom w:val="single" w:sz="4" w:space="0" w:color="auto"/>
              <w:right w:val="single" w:sz="6" w:space="0" w:color="000000"/>
            </w:tcBorders>
          </w:tcPr>
          <w:p w:rsidR="00D00C74" w:rsidRPr="00EA58F9" w:rsidRDefault="00D00C74" w:rsidP="00BF552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D00C74" w:rsidRPr="00EA58F9" w:rsidRDefault="00D00C74" w:rsidP="00C716D6">
            <w:pPr>
              <w:pStyle w:val="ListParagraph"/>
              <w:tabs>
                <w:tab w:val="left" w:pos="709"/>
              </w:tabs>
              <w:spacing w:after="120" w:line="240" w:lineRule="auto"/>
              <w:ind w:left="0"/>
              <w:contextualSpacing w:val="0"/>
              <w:jc w:val="both"/>
              <w:rPr>
                <w:rFonts w:ascii="Times New Roman" w:hAnsi="Times New Roman"/>
                <w:sz w:val="24"/>
                <w:szCs w:val="24"/>
                <w:lang w:eastAsia="lv-LV"/>
              </w:rPr>
            </w:pPr>
          </w:p>
        </w:tc>
        <w:tc>
          <w:tcPr>
            <w:tcW w:w="4253" w:type="dxa"/>
            <w:tcBorders>
              <w:left w:val="single" w:sz="6" w:space="0" w:color="000000"/>
              <w:bottom w:val="single" w:sz="4" w:space="0" w:color="auto"/>
              <w:right w:val="single" w:sz="6" w:space="0" w:color="000000"/>
            </w:tcBorders>
          </w:tcPr>
          <w:p w:rsidR="002622DB" w:rsidRPr="00EA58F9" w:rsidRDefault="002622DB" w:rsidP="00C716D6">
            <w:pPr>
              <w:widowControl w:val="0"/>
              <w:contextualSpacing/>
              <w:jc w:val="both"/>
              <w:rPr>
                <w:i/>
              </w:rPr>
            </w:pPr>
            <w:r w:rsidRPr="00EA58F9">
              <w:t xml:space="preserve">Projekta 3.1.1.1. apakšpunktu </w:t>
            </w:r>
            <w:r w:rsidRPr="00EA58F9">
              <w:rPr>
                <w:b/>
              </w:rPr>
              <w:t>“Agrā brīdināšana”</w:t>
            </w:r>
            <w:r w:rsidRPr="00EA58F9">
              <w:t xml:space="preserve"> papildināt ar šādu teikumu: </w:t>
            </w:r>
            <w:r w:rsidRPr="00EA58F9">
              <w:rPr>
                <w:i/>
              </w:rPr>
              <w:t>“Svarīgi attīstīt un modernizēt esošo valsts agrās brīdināšanas sistēmu, kura balstās uz visa apdraudējuma pieeju, lai būtu iespējams, nodrošināt savlaicīgu valsts institūciju, valsts augstāko amatpersonu un arī iedzīvotāju brīdināšanu un informēšanu.”</w:t>
            </w:r>
          </w:p>
          <w:p w:rsidR="00D00C74" w:rsidRPr="00EA58F9" w:rsidRDefault="00D00C74" w:rsidP="00C716D6">
            <w:pPr>
              <w:pStyle w:val="naisc"/>
              <w:spacing w:before="0" w:after="0"/>
              <w:ind w:right="3"/>
              <w:jc w:val="both"/>
            </w:pPr>
          </w:p>
        </w:tc>
        <w:tc>
          <w:tcPr>
            <w:tcW w:w="3435" w:type="dxa"/>
            <w:gridSpan w:val="2"/>
            <w:tcBorders>
              <w:left w:val="single" w:sz="6" w:space="0" w:color="000000"/>
              <w:bottom w:val="single" w:sz="4" w:space="0" w:color="auto"/>
              <w:right w:val="single" w:sz="6" w:space="0" w:color="000000"/>
            </w:tcBorders>
            <w:shd w:val="clear" w:color="auto" w:fill="FFFFFF"/>
          </w:tcPr>
          <w:p w:rsidR="00D00C74" w:rsidRPr="0045665E" w:rsidRDefault="00BE33DB" w:rsidP="00C716D6">
            <w:pPr>
              <w:pStyle w:val="naisc"/>
              <w:spacing w:before="0" w:after="0"/>
              <w:ind w:right="3"/>
              <w:jc w:val="both"/>
            </w:pPr>
            <w:r>
              <w:rPr>
                <w:b/>
              </w:rPr>
              <w:t>Nav ņemts vērā</w:t>
            </w:r>
          </w:p>
        </w:tc>
        <w:tc>
          <w:tcPr>
            <w:tcW w:w="3118" w:type="dxa"/>
            <w:tcBorders>
              <w:top w:val="single" w:sz="4" w:space="0" w:color="auto"/>
              <w:left w:val="single" w:sz="4" w:space="0" w:color="auto"/>
              <w:bottom w:val="single" w:sz="4" w:space="0" w:color="auto"/>
            </w:tcBorders>
          </w:tcPr>
          <w:p w:rsidR="00D00C74" w:rsidRPr="003A69AC" w:rsidRDefault="00BE33DB" w:rsidP="008141FD">
            <w:pPr>
              <w:pStyle w:val="naisc"/>
              <w:spacing w:before="0" w:after="0"/>
              <w:ind w:right="3"/>
              <w:jc w:val="both"/>
            </w:pPr>
            <w:r>
              <w:t>Starpministriju saskaņošanas sanāksmes laikā panākta vienošanās</w:t>
            </w:r>
            <w:r w:rsidR="003A69AC" w:rsidRPr="00EA58F9">
              <w:t xml:space="preserve"> </w:t>
            </w:r>
            <w:r w:rsidR="003A69AC">
              <w:t>p</w:t>
            </w:r>
            <w:r w:rsidR="003A69AC" w:rsidRPr="00EA58F9">
              <w:t xml:space="preserve">rojekta 3.1.1.1. apakšpunktu </w:t>
            </w:r>
            <w:r w:rsidR="003A69AC" w:rsidRPr="00EA58F9">
              <w:rPr>
                <w:b/>
              </w:rPr>
              <w:t>“Agrā brīdināšana”</w:t>
            </w:r>
            <w:r w:rsidR="003A69AC">
              <w:rPr>
                <w:b/>
              </w:rPr>
              <w:t xml:space="preserve"> </w:t>
            </w:r>
            <w:r w:rsidR="003A69AC">
              <w:t>nepapildināt</w:t>
            </w:r>
            <w:r w:rsidR="008141FD">
              <w:t>, saglabājot atbilstību militārajā terminoloģijā izmantotajam skaidrojumam</w:t>
            </w:r>
            <w:r w:rsidR="003A69AC">
              <w:t>.</w:t>
            </w:r>
          </w:p>
        </w:tc>
      </w:tr>
      <w:tr w:rsidR="00D00C74" w:rsidRPr="00EA58F9" w:rsidTr="007B47E7">
        <w:tc>
          <w:tcPr>
            <w:tcW w:w="675" w:type="dxa"/>
            <w:tcBorders>
              <w:left w:val="single" w:sz="6" w:space="0" w:color="000000"/>
              <w:bottom w:val="single" w:sz="4" w:space="0" w:color="auto"/>
              <w:right w:val="single" w:sz="6" w:space="0" w:color="000000"/>
            </w:tcBorders>
          </w:tcPr>
          <w:p w:rsidR="00D00C74" w:rsidRPr="00EA58F9" w:rsidRDefault="00D00C74" w:rsidP="00BF552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D00C74" w:rsidRPr="00EA58F9" w:rsidRDefault="002622DB" w:rsidP="00C716D6">
            <w:pPr>
              <w:pStyle w:val="naisc"/>
              <w:spacing w:before="0" w:after="0"/>
              <w:ind w:right="3"/>
              <w:jc w:val="both"/>
            </w:pPr>
            <w:r w:rsidRPr="00EA58F9">
              <w:t xml:space="preserve">“Nacionālo bruņoto spēku </w:t>
            </w:r>
            <w:r w:rsidRPr="00EA58F9">
              <w:lastRenderedPageBreak/>
              <w:t>vienību, tai skaitā Zemessardzes, ātra reaģēšanas spēja ir sevišķi nozīmīga.”</w:t>
            </w:r>
          </w:p>
        </w:tc>
        <w:tc>
          <w:tcPr>
            <w:tcW w:w="4253" w:type="dxa"/>
            <w:tcBorders>
              <w:left w:val="single" w:sz="6" w:space="0" w:color="000000"/>
              <w:bottom w:val="single" w:sz="4" w:space="0" w:color="auto"/>
              <w:right w:val="single" w:sz="6" w:space="0" w:color="000000"/>
            </w:tcBorders>
          </w:tcPr>
          <w:p w:rsidR="00D00C74" w:rsidRPr="00EA58F9" w:rsidRDefault="002622DB" w:rsidP="00C716D6">
            <w:pPr>
              <w:widowControl w:val="0"/>
              <w:contextualSpacing/>
              <w:jc w:val="both"/>
            </w:pPr>
            <w:r w:rsidRPr="00EA58F9">
              <w:lastRenderedPageBreak/>
              <w:t>Projekta 3.1.1.3.apakšpunkta “</w:t>
            </w:r>
            <w:r w:rsidRPr="00EA58F9">
              <w:rPr>
                <w:b/>
              </w:rPr>
              <w:t xml:space="preserve">Ātrā </w:t>
            </w:r>
            <w:r w:rsidRPr="00EA58F9">
              <w:rPr>
                <w:b/>
              </w:rPr>
              <w:lastRenderedPageBreak/>
              <w:t>reaģēšana</w:t>
            </w:r>
            <w:r w:rsidRPr="00EA58F9">
              <w:t>” pirmās rindkopas pirmo teikumu (...) izteikt šādā redakcijā: “</w:t>
            </w:r>
            <w:r w:rsidRPr="00EA58F9">
              <w:rPr>
                <w:i/>
              </w:rPr>
              <w:t>Nacionālo bruņoto spēku vienību, tai skaitā Zemessardzes un Valsts robežsardzes, ātra reaģēšanas spēja ir sevišķi nozīmīga.</w:t>
            </w:r>
            <w:r w:rsidRPr="00EA58F9">
              <w:t>”.</w:t>
            </w:r>
          </w:p>
        </w:tc>
        <w:tc>
          <w:tcPr>
            <w:tcW w:w="3435" w:type="dxa"/>
            <w:gridSpan w:val="2"/>
            <w:tcBorders>
              <w:left w:val="single" w:sz="6" w:space="0" w:color="000000"/>
              <w:bottom w:val="single" w:sz="4" w:space="0" w:color="auto"/>
              <w:right w:val="single" w:sz="6" w:space="0" w:color="000000"/>
            </w:tcBorders>
          </w:tcPr>
          <w:p w:rsidR="00D00C74" w:rsidRPr="00EA58F9" w:rsidRDefault="001331C6" w:rsidP="00C716D6">
            <w:pPr>
              <w:pStyle w:val="naisc"/>
              <w:spacing w:before="0" w:after="0"/>
              <w:ind w:right="3"/>
              <w:jc w:val="both"/>
            </w:pPr>
            <w:r>
              <w:rPr>
                <w:b/>
              </w:rPr>
              <w:lastRenderedPageBreak/>
              <w:t xml:space="preserve">Panākta vienošanās par </w:t>
            </w:r>
            <w:r>
              <w:rPr>
                <w:b/>
              </w:rPr>
              <w:lastRenderedPageBreak/>
              <w:t>redakciju starpministriju sanāksmē</w:t>
            </w:r>
          </w:p>
        </w:tc>
        <w:tc>
          <w:tcPr>
            <w:tcW w:w="3118" w:type="dxa"/>
            <w:tcBorders>
              <w:top w:val="single" w:sz="4" w:space="0" w:color="auto"/>
              <w:left w:val="single" w:sz="4" w:space="0" w:color="auto"/>
              <w:bottom w:val="single" w:sz="4" w:space="0" w:color="auto"/>
            </w:tcBorders>
            <w:shd w:val="clear" w:color="auto" w:fill="FFFFFF"/>
          </w:tcPr>
          <w:p w:rsidR="003A69AC" w:rsidRPr="00EA58F9" w:rsidRDefault="003A69AC" w:rsidP="001331C6">
            <w:pPr>
              <w:pStyle w:val="naisc"/>
              <w:spacing w:before="0" w:after="120"/>
              <w:ind w:right="6"/>
              <w:jc w:val="both"/>
            </w:pPr>
            <w:r w:rsidRPr="00EA58F9">
              <w:lastRenderedPageBreak/>
              <w:t xml:space="preserve">Projekta 3.1.1.3.apakšpunkta </w:t>
            </w:r>
            <w:r w:rsidRPr="00EA58F9">
              <w:lastRenderedPageBreak/>
              <w:t>“</w:t>
            </w:r>
            <w:r w:rsidRPr="00EA58F9">
              <w:rPr>
                <w:b/>
              </w:rPr>
              <w:t>Ātrā reaģēšana</w:t>
            </w:r>
            <w:r w:rsidRPr="00EA58F9">
              <w:t>” pirmās rindkopas pirm</w:t>
            </w:r>
            <w:r>
              <w:t>ais</w:t>
            </w:r>
            <w:r w:rsidRPr="00EA58F9">
              <w:t xml:space="preserve"> teikum</w:t>
            </w:r>
            <w:r>
              <w:t>s izteikts šādā redakcijā “</w:t>
            </w:r>
            <w:r w:rsidRPr="00F15DF1">
              <w:t>Nacionālo bruņoto spēku vienību, tai skaitā Zemessardzes</w:t>
            </w:r>
            <w:r>
              <w:t xml:space="preserve"> un kara gadījumā arī Valsts robežsardzes un Latvijas Bankas </w:t>
            </w:r>
            <w:r w:rsidRPr="00F15DF1">
              <w:t>ātra reaģēšanas spēja ir sevišķi nozīmīga.</w:t>
            </w:r>
            <w:r>
              <w:t xml:space="preserve">” </w:t>
            </w:r>
          </w:p>
        </w:tc>
      </w:tr>
      <w:tr w:rsidR="001331C6" w:rsidRPr="00EA58F9" w:rsidTr="007B47E7">
        <w:tc>
          <w:tcPr>
            <w:tcW w:w="675" w:type="dxa"/>
            <w:tcBorders>
              <w:left w:val="single" w:sz="6" w:space="0" w:color="000000"/>
              <w:bottom w:val="single" w:sz="4" w:space="0" w:color="auto"/>
              <w:right w:val="single" w:sz="6" w:space="0" w:color="000000"/>
            </w:tcBorders>
          </w:tcPr>
          <w:p w:rsidR="001331C6" w:rsidRPr="00EA58F9" w:rsidRDefault="001331C6" w:rsidP="001331C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1331C6" w:rsidRPr="00EA58F9" w:rsidRDefault="001331C6" w:rsidP="001331C6">
            <w:pPr>
              <w:pStyle w:val="ListParagraph"/>
              <w:tabs>
                <w:tab w:val="left" w:pos="709"/>
              </w:tabs>
              <w:spacing w:after="120" w:line="240" w:lineRule="auto"/>
              <w:ind w:left="0"/>
              <w:contextualSpacing w:val="0"/>
              <w:jc w:val="both"/>
              <w:rPr>
                <w:rFonts w:ascii="Times New Roman" w:hAnsi="Times New Roman"/>
                <w:sz w:val="24"/>
                <w:szCs w:val="24"/>
                <w:lang w:eastAsia="lv-LV"/>
              </w:rPr>
            </w:pPr>
            <w:r w:rsidRPr="00EA58F9">
              <w:rPr>
                <w:rFonts w:ascii="Times New Roman" w:hAnsi="Times New Roman"/>
                <w:sz w:val="24"/>
                <w:szCs w:val="24"/>
              </w:rPr>
              <w:t xml:space="preserve">“Šādu reaģēšanas kodolu primāri veido Sauszemes spēku Mehanizētā kājnieku brigāde un Zemessardzes brigādes. Zemessardzes bataljoniem jānokomplektē rotas lieluma paaugstinātas gatavības vienības ar kaujas atbalsta elementiem (netiešais uguns atbalsts, prettanku spēja, pretgaisa spēja u. c.). Nacionālajiem bruņotajiem spēkiem ir jāspēj nekavējoties reaģēt uz apdraudējumu, kā arī jābūt gataviem atbildēt uz pārsteidzošu uzbrukumu. Lai reaģēšanas spējas turpinātu uzlabot, svarīgi pilnveidot un pastiprināt teritoriālās vienības, integrējot Vidzemes un Latgales Zemessardzes </w:t>
            </w:r>
            <w:r w:rsidRPr="00EA58F9">
              <w:rPr>
                <w:rFonts w:ascii="Times New Roman" w:hAnsi="Times New Roman"/>
                <w:sz w:val="24"/>
                <w:szCs w:val="24"/>
              </w:rPr>
              <w:lastRenderedPageBreak/>
              <w:t>brigādēs profesionālā dienesta apakšvienības.”</w:t>
            </w:r>
          </w:p>
        </w:tc>
        <w:tc>
          <w:tcPr>
            <w:tcW w:w="4253" w:type="dxa"/>
            <w:tcBorders>
              <w:left w:val="single" w:sz="6" w:space="0" w:color="000000"/>
              <w:bottom w:val="single" w:sz="4" w:space="0" w:color="auto"/>
              <w:right w:val="single" w:sz="6" w:space="0" w:color="000000"/>
            </w:tcBorders>
          </w:tcPr>
          <w:p w:rsidR="001331C6" w:rsidRPr="00EA58F9" w:rsidRDefault="001331C6" w:rsidP="001331C6">
            <w:pPr>
              <w:widowControl w:val="0"/>
              <w:contextualSpacing/>
              <w:jc w:val="both"/>
            </w:pPr>
            <w:r w:rsidRPr="00EA58F9">
              <w:lastRenderedPageBreak/>
              <w:t>Projekta 3.1.1.3.apakšpunkta “</w:t>
            </w:r>
            <w:r w:rsidRPr="00EA58F9">
              <w:rPr>
                <w:b/>
              </w:rPr>
              <w:t>Ātrā reaģēšana</w:t>
            </w:r>
            <w:r w:rsidRPr="00EA58F9">
              <w:t>” otro rindkopu (...) izteikt šādā redakcijā: “</w:t>
            </w:r>
            <w:r w:rsidRPr="00EA58F9">
              <w:rPr>
                <w:i/>
              </w:rPr>
              <w:t xml:space="preserve">Šādu reaģēšanas kodolu primāri veido Sauszemes spēku Mehanizētā kājnieku brigāde, Zemessardzes brigādes un Valsts robežsardzes struktūrvienības. Zemessardzes bataljoniem jānokomplektē rotas lieluma paaugstinātas gatavības vienības ar kaujas atbalsta elementiem (netiešais uguns atbalsts, prettanku spēja, pretgaisa spēja u.c.). Valsts robežsardzei jākomplektē savas struktūrvienības uz ārējās valsts robežas, lai nodrošinātu valsts robežas drošības nodrošināšanas blīvumu. Nacionālajiem bruņotajiem spēkiem un Valsts robežsardzei, ir jāspēj nekavējoties reaģēt uz apdraudējumu, kā arī jābūt gataviem atbildēt uz pārsteidzošu uzbrukumu. Uzlabojot Vidzemes un Latgales Zemessardzes brigādes reaģēšanas spējas uz apdraudējumu, ir svarīgi integrēt Vidzemes un Latgales Zemessardzes </w:t>
            </w:r>
            <w:r w:rsidRPr="00EA58F9">
              <w:rPr>
                <w:i/>
              </w:rPr>
              <w:lastRenderedPageBreak/>
              <w:t xml:space="preserve">brigādēs profesionālā dienesta apakšvienības un vienlaikus sniegt pastāvīgu atbalstu valsts austrumu robežas uzraudzībā. </w:t>
            </w:r>
            <w:r w:rsidRPr="00EA58F9">
              <w:t>”.</w:t>
            </w:r>
          </w:p>
        </w:tc>
        <w:tc>
          <w:tcPr>
            <w:tcW w:w="3435"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right="3"/>
              <w:jc w:val="both"/>
            </w:pPr>
            <w:r>
              <w:rPr>
                <w:b/>
              </w:rPr>
              <w:lastRenderedPageBreak/>
              <w:t>Panākta vienošanās par redakciju starpministriju sanāksmē</w:t>
            </w:r>
          </w:p>
        </w:tc>
        <w:tc>
          <w:tcPr>
            <w:tcW w:w="3118" w:type="dxa"/>
            <w:tcBorders>
              <w:top w:val="single" w:sz="4" w:space="0" w:color="auto"/>
              <w:left w:val="single" w:sz="4" w:space="0" w:color="auto"/>
              <w:bottom w:val="single" w:sz="4" w:space="0" w:color="auto"/>
            </w:tcBorders>
          </w:tcPr>
          <w:p w:rsidR="001331C6" w:rsidRDefault="001331C6" w:rsidP="001331C6">
            <w:pPr>
              <w:jc w:val="both"/>
            </w:pPr>
            <w:r w:rsidRPr="00EA58F9">
              <w:t>Projekta 3.1.1.3.apakšpunkta “</w:t>
            </w:r>
            <w:r w:rsidRPr="00EA58F9">
              <w:rPr>
                <w:b/>
              </w:rPr>
              <w:t>Ātrā reaģēšana</w:t>
            </w:r>
            <w:r>
              <w:t>” otrā</w:t>
            </w:r>
            <w:r w:rsidRPr="00EA58F9">
              <w:t xml:space="preserve"> rindkop</w:t>
            </w:r>
            <w:r>
              <w:t>a izteikta kā</w:t>
            </w:r>
            <w:r w:rsidRPr="00EA58F9">
              <w:t xml:space="preserve"> </w:t>
            </w:r>
            <w:r>
              <w:t>“</w:t>
            </w:r>
            <w:r w:rsidRPr="00F81290">
              <w:t xml:space="preserve">Šādu reaģēšanas kodolu primāri veido Sauszemes spēku Mehanizētā kājnieku brigāde, Zemessardzes brigādes. Zemessardzes bataljoniem jānokomplektē rotas lieluma paaugstinātas gatavības vienības ar kaujas atbalsta elementiem (netiešais uguns atbalsts, prettanku spēja, pretgaisa spēja u. c.). Nacionālajiem bruņotajiem spēkiem un sadarbībā ar kompetentajām valsts drošības iestādēm un tiesībsargājošajām iestādēm ir jāspēj nekavējoties reaģēt uz apdraudējumu, kā arī jābūt gataviem atbildēt uz pēkšņu uzbrukumu. Uzlabojot Vidzemes un Latgales </w:t>
            </w:r>
            <w:r w:rsidRPr="00F81290">
              <w:lastRenderedPageBreak/>
              <w:t>Zemessardzes brigādes reaģēšanas spējas uz apdraudējumu, ir svarīgi integrēt Vidzemes un Latgales Zemessardzes brigādēs profesionālā dienesta apakšvienības.</w:t>
            </w:r>
            <w:r>
              <w:t>”</w:t>
            </w:r>
          </w:p>
          <w:p w:rsidR="001331C6" w:rsidRPr="009351D7" w:rsidRDefault="001331C6" w:rsidP="001331C6">
            <w:pPr>
              <w:jc w:val="both"/>
              <w:rPr>
                <w:lang w:eastAsia="en-US"/>
              </w:rPr>
            </w:pPr>
            <w:r>
              <w:t xml:space="preserve">Projekta 3.1.1.4. apakšpunkts </w:t>
            </w:r>
            <w:r w:rsidRPr="009351D7">
              <w:rPr>
                <w:b/>
              </w:rPr>
              <w:t>“</w:t>
            </w:r>
            <w:bookmarkStart w:id="1" w:name="_Toc42077464"/>
            <w:r w:rsidRPr="009351D7">
              <w:rPr>
                <w:b/>
                <w:lang w:eastAsia="en-US"/>
              </w:rPr>
              <w:t>Robežsardzes un Latvijas Bankas Aizsardzības pārvaldes integrēšana</w:t>
            </w:r>
            <w:bookmarkEnd w:id="1"/>
            <w:r w:rsidRPr="009351D7">
              <w:rPr>
                <w:b/>
                <w:lang w:eastAsia="en-US"/>
              </w:rPr>
              <w:t>”</w:t>
            </w:r>
            <w:r>
              <w:rPr>
                <w:b/>
                <w:lang w:eastAsia="en-US"/>
              </w:rPr>
              <w:t xml:space="preserve"> </w:t>
            </w:r>
          </w:p>
          <w:p w:rsidR="001331C6" w:rsidRDefault="001331C6" w:rsidP="001331C6">
            <w:pPr>
              <w:jc w:val="both"/>
            </w:pPr>
            <w:r>
              <w:t>papildināts ar teikumu</w:t>
            </w:r>
          </w:p>
          <w:p w:rsidR="001331C6" w:rsidRDefault="001331C6" w:rsidP="001331C6">
            <w:pPr>
              <w:jc w:val="both"/>
            </w:pPr>
            <w:r w:rsidRPr="009351D7">
              <w:t>“Valsts robežsardzei savas struktūrvienības ir jākomplektē uz valsts ārējās robežas, lai sasniegtu valsts robežas d</w:t>
            </w:r>
            <w:r>
              <w:t>rošības nodrošināšanas blīvumu.</w:t>
            </w:r>
            <w:r w:rsidRPr="009351D7">
              <w:t>“</w:t>
            </w:r>
          </w:p>
          <w:p w:rsidR="001331C6" w:rsidRDefault="001331C6" w:rsidP="001331C6">
            <w:pPr>
              <w:jc w:val="both"/>
            </w:pPr>
          </w:p>
          <w:p w:rsidR="001331C6" w:rsidRPr="009351D7" w:rsidRDefault="001331C6" w:rsidP="001331C6">
            <w:pPr>
              <w:jc w:val="both"/>
            </w:pPr>
            <w:r>
              <w:t>Rindkopas pēdējais teikums nav papildināts ar palīgteikumu “</w:t>
            </w:r>
            <w:r w:rsidRPr="00EA58F9">
              <w:rPr>
                <w:i/>
              </w:rPr>
              <w:t>un vienlaikus sniegt pastāvīgu atbalstu valsts austrumu robežas uzraudzībā.</w:t>
            </w:r>
            <w:r>
              <w:t xml:space="preserve">”, jo NBS funkcija nav </w:t>
            </w:r>
            <w:r w:rsidRPr="008141FD">
              <w:t xml:space="preserve">pastāvīgi </w:t>
            </w:r>
            <w:r>
              <w:t>sniegt atbalstu robežu uzraudzībā. Tas līdz šim ir darīts ārkārtas situācijās, izvērtējot katru gadījumu individuāli.</w:t>
            </w:r>
          </w:p>
        </w:tc>
      </w:tr>
      <w:tr w:rsidR="001331C6" w:rsidRPr="00EA58F9" w:rsidTr="007B47E7">
        <w:tc>
          <w:tcPr>
            <w:tcW w:w="675" w:type="dxa"/>
            <w:tcBorders>
              <w:left w:val="single" w:sz="6" w:space="0" w:color="000000"/>
              <w:bottom w:val="single" w:sz="4" w:space="0" w:color="auto"/>
              <w:right w:val="single" w:sz="6" w:space="0" w:color="000000"/>
            </w:tcBorders>
          </w:tcPr>
          <w:p w:rsidR="001331C6" w:rsidRPr="00EA58F9" w:rsidRDefault="001331C6" w:rsidP="001331C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right="3"/>
              <w:jc w:val="both"/>
            </w:pPr>
            <w:r w:rsidRPr="00EA58F9">
              <w:t xml:space="preserve">“Vismaz reizi četros gados jāorganizē Nacionālo bruņoto spēku mācības “NAMEJS”, kurās ir </w:t>
            </w:r>
            <w:r w:rsidRPr="00EA58F9">
              <w:lastRenderedPageBreak/>
              <w:t>iesaistīts viss NBS personālsastāvs.”</w:t>
            </w:r>
          </w:p>
        </w:tc>
        <w:tc>
          <w:tcPr>
            <w:tcW w:w="4253" w:type="dxa"/>
            <w:tcBorders>
              <w:left w:val="single" w:sz="6" w:space="0" w:color="000000"/>
              <w:bottom w:val="single" w:sz="4" w:space="0" w:color="auto"/>
              <w:right w:val="single" w:sz="6" w:space="0" w:color="000000"/>
            </w:tcBorders>
          </w:tcPr>
          <w:p w:rsidR="001331C6" w:rsidRPr="00EA58F9" w:rsidRDefault="001331C6" w:rsidP="001331C6">
            <w:pPr>
              <w:widowControl w:val="0"/>
              <w:contextualSpacing/>
              <w:jc w:val="both"/>
            </w:pPr>
            <w:r w:rsidRPr="00EA58F9">
              <w:lastRenderedPageBreak/>
              <w:t>Projekta 3.1.1.5.apakšpunkta “</w:t>
            </w:r>
            <w:r w:rsidRPr="00EA58F9">
              <w:rPr>
                <w:b/>
              </w:rPr>
              <w:t>Kaujas gatavības uzturēšana</w:t>
            </w:r>
            <w:r w:rsidRPr="00EA58F9">
              <w:t>” pirmās rindkopas otro teikumu (...) izteikt šādā redakcijā: “</w:t>
            </w:r>
            <w:r w:rsidRPr="00EA58F9">
              <w:rPr>
                <w:i/>
              </w:rPr>
              <w:t xml:space="preserve">Vismaz reizi četros gados jāorganizē </w:t>
            </w:r>
            <w:r w:rsidRPr="00EA58F9">
              <w:rPr>
                <w:i/>
              </w:rPr>
              <w:lastRenderedPageBreak/>
              <w:t>Nacionālo bruņoto spēku mācības “NAMEJS”, kurās ir iesaistīts viss NBS personālsastāvs, kā arī citu valsts aizsardzības un drošības nodrošināšanā iesaistīto iestāžu personālsastāvs.</w:t>
            </w:r>
            <w:r w:rsidRPr="00EA58F9">
              <w:t>”.</w:t>
            </w:r>
          </w:p>
        </w:tc>
        <w:tc>
          <w:tcPr>
            <w:tcW w:w="3435"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firstLine="21"/>
              <w:jc w:val="left"/>
            </w:pPr>
            <w:r>
              <w:rPr>
                <w:b/>
              </w:rPr>
              <w:lastRenderedPageBreak/>
              <w:t>Ņemts vērā</w:t>
            </w:r>
          </w:p>
        </w:tc>
        <w:tc>
          <w:tcPr>
            <w:tcW w:w="3118" w:type="dxa"/>
            <w:tcBorders>
              <w:top w:val="single" w:sz="4" w:space="0" w:color="auto"/>
              <w:left w:val="single" w:sz="4" w:space="0" w:color="auto"/>
              <w:bottom w:val="single" w:sz="4" w:space="0" w:color="auto"/>
            </w:tcBorders>
          </w:tcPr>
          <w:p w:rsidR="001331C6" w:rsidRPr="0045665E" w:rsidRDefault="001331C6" w:rsidP="001331C6">
            <w:pPr>
              <w:pStyle w:val="naisc"/>
              <w:spacing w:before="0" w:after="0"/>
              <w:ind w:right="3"/>
              <w:jc w:val="both"/>
            </w:pPr>
            <w:r>
              <w:t>“</w:t>
            </w:r>
            <w:r w:rsidRPr="00F15DF1">
              <w:t xml:space="preserve">Vismaz reizi četros gados </w:t>
            </w:r>
            <w:r w:rsidRPr="00C05B94">
              <w:t xml:space="preserve">jāorganizē Nacionālo bruņoto spēku mācības “NAMEJS”, kurās ir iesaistīts viss NBS </w:t>
            </w:r>
            <w:r w:rsidRPr="00C05B94">
              <w:lastRenderedPageBreak/>
              <w:t>personālsastāvs, kā arī citu valsts aizsardzības un drošības nodrošināšanā iesaistīto iestāžu personālsastāvs.</w:t>
            </w:r>
            <w:r>
              <w:t>”</w:t>
            </w:r>
          </w:p>
        </w:tc>
      </w:tr>
      <w:tr w:rsidR="001331C6" w:rsidRPr="00EA58F9" w:rsidTr="007B47E7">
        <w:tc>
          <w:tcPr>
            <w:tcW w:w="675" w:type="dxa"/>
            <w:tcBorders>
              <w:left w:val="single" w:sz="6" w:space="0" w:color="000000"/>
              <w:bottom w:val="single" w:sz="4" w:space="0" w:color="auto"/>
              <w:right w:val="single" w:sz="6" w:space="0" w:color="000000"/>
            </w:tcBorders>
          </w:tcPr>
          <w:p w:rsidR="001331C6" w:rsidRPr="00EA58F9" w:rsidRDefault="001331C6" w:rsidP="001331C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right="3"/>
              <w:jc w:val="both"/>
            </w:pPr>
          </w:p>
        </w:tc>
        <w:tc>
          <w:tcPr>
            <w:tcW w:w="4253" w:type="dxa"/>
            <w:tcBorders>
              <w:left w:val="single" w:sz="6" w:space="0" w:color="000000"/>
              <w:bottom w:val="single" w:sz="4" w:space="0" w:color="auto"/>
              <w:right w:val="single" w:sz="6" w:space="0" w:color="000000"/>
            </w:tcBorders>
          </w:tcPr>
          <w:p w:rsidR="001331C6" w:rsidRPr="00EA58F9" w:rsidRDefault="001331C6" w:rsidP="001331C6">
            <w:pPr>
              <w:widowControl w:val="0"/>
              <w:jc w:val="both"/>
            </w:pPr>
            <w:r w:rsidRPr="00EA58F9">
              <w:t>Projekta 3.1.1.10.apakšpunktā “</w:t>
            </w:r>
            <w:r w:rsidRPr="00EA58F9">
              <w:rPr>
                <w:b/>
              </w:rPr>
              <w:t>Uzņemošās valsts atbalsts</w:t>
            </w:r>
            <w:r w:rsidRPr="00EA58F9">
              <w:t xml:space="preserve">” pēdējo rindkopu papildināt ar teikumu: </w:t>
            </w:r>
            <w:r w:rsidRPr="00EA58F9">
              <w:rPr>
                <w:i/>
              </w:rPr>
              <w:t>“Valsts institūcijām, kuras iesaistītas uzņemošās valsts atbalsta plānošanā un nodrošināšanā, nepieciešams attīstīt savus materiāltehnisko līdzekļu resursus, infrastruktūru, nozares ekspertu zināšanas un analītiskās spējas, lai nodrošinātu normatīvajos aktos noteiktos atbalsta uzdevumus un pienākumus.”</w:t>
            </w:r>
          </w:p>
        </w:tc>
        <w:tc>
          <w:tcPr>
            <w:tcW w:w="3435"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firstLine="21"/>
              <w:jc w:val="left"/>
            </w:pPr>
            <w:r>
              <w:rPr>
                <w:b/>
              </w:rPr>
              <w:t>Ņemts vērā</w:t>
            </w:r>
          </w:p>
        </w:tc>
        <w:tc>
          <w:tcPr>
            <w:tcW w:w="3118" w:type="dxa"/>
            <w:tcBorders>
              <w:top w:val="single" w:sz="4" w:space="0" w:color="auto"/>
              <w:left w:val="single" w:sz="4" w:space="0" w:color="auto"/>
              <w:bottom w:val="single" w:sz="4" w:space="0" w:color="auto"/>
            </w:tcBorders>
            <w:shd w:val="clear" w:color="auto" w:fill="auto"/>
          </w:tcPr>
          <w:p w:rsidR="001331C6" w:rsidRPr="009351D7" w:rsidRDefault="001331C6" w:rsidP="001331C6">
            <w:pPr>
              <w:jc w:val="both"/>
            </w:pPr>
            <w:r>
              <w:t>“</w:t>
            </w:r>
            <w:r w:rsidRPr="00C05B94">
              <w:t>Valsts institūcijām, kuras iesaistītas uzņemošās valsts atbalsta plānošanā un nodrošināšanā, nepieciešams attīstīt savus materiāltehnisko līdzekļu resursus, infrastruktūru, nozares ekspertu zināšanas un analītiskās spējas, lai nodrošinātu normatīvajos aktos noteiktos atbalsta uzdevumus un pienākumus.</w:t>
            </w:r>
            <w:r>
              <w:t>”</w:t>
            </w:r>
          </w:p>
        </w:tc>
      </w:tr>
      <w:tr w:rsidR="001331C6" w:rsidRPr="00EA58F9" w:rsidTr="007B47E7">
        <w:tc>
          <w:tcPr>
            <w:tcW w:w="675" w:type="dxa"/>
            <w:tcBorders>
              <w:left w:val="single" w:sz="6" w:space="0" w:color="000000"/>
              <w:bottom w:val="single" w:sz="4" w:space="0" w:color="auto"/>
              <w:right w:val="single" w:sz="6" w:space="0" w:color="000000"/>
            </w:tcBorders>
          </w:tcPr>
          <w:p w:rsidR="001331C6" w:rsidRPr="00EA58F9" w:rsidRDefault="001331C6" w:rsidP="001331C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right="3"/>
              <w:jc w:val="both"/>
            </w:pPr>
            <w:r w:rsidRPr="00EA58F9">
              <w:t>“Kara laikā civilās aizsardzības pasākumus organizē Civilās aizsardzības operatīvais vadības centrs, kura darbība ir regulāri jātestē krīzes vadības mācībās. Centram ir jāsadarbojas ar NBS, iesaistot arī pašvaldību civilās aizsardzības komisijas.”</w:t>
            </w:r>
          </w:p>
        </w:tc>
        <w:tc>
          <w:tcPr>
            <w:tcW w:w="4253" w:type="dxa"/>
            <w:tcBorders>
              <w:left w:val="single" w:sz="6" w:space="0" w:color="000000"/>
              <w:bottom w:val="single" w:sz="4" w:space="0" w:color="auto"/>
              <w:right w:val="single" w:sz="6" w:space="0" w:color="000000"/>
            </w:tcBorders>
          </w:tcPr>
          <w:p w:rsidR="001331C6" w:rsidRPr="0045665E" w:rsidRDefault="001331C6" w:rsidP="001331C6">
            <w:pPr>
              <w:widowControl w:val="0"/>
              <w:jc w:val="both"/>
              <w:rPr>
                <w:b/>
                <w:i/>
                <w:iCs/>
              </w:rPr>
            </w:pPr>
            <w:r w:rsidRPr="00EA58F9">
              <w:t>Projekta 3.1.1.11.apakšpunkta “</w:t>
            </w:r>
            <w:bookmarkStart w:id="2" w:name="_Toc42077471"/>
            <w:r w:rsidRPr="00EA58F9">
              <w:rPr>
                <w:b/>
                <w:iCs/>
              </w:rPr>
              <w:t>Sadarbība ar civilajām struktūrām</w:t>
            </w:r>
            <w:bookmarkEnd w:id="2"/>
            <w:r w:rsidRPr="00EA58F9">
              <w:t>”, pēdējo rindkopu (...) izteikt šādā redakcijā: “</w:t>
            </w:r>
            <w:r w:rsidRPr="00EA58F9">
              <w:rPr>
                <w:i/>
              </w:rPr>
              <w:t>Civilās aizsardzības sistēmas darbību kara, militāra iebrukuma vai to draudu gadījumā organizē Civilās aizsardzības operacionālās vadības centrs, kura darbības un analītiskās spējas ir jāpilnveido, kā arī tā darbība ir regulāri jātestē krīzes vadības mācībās. Civilās aizsardzības operacionālās vadības centram ir jāsadarbojas ar NBS, iesaistot arī valsts institūcijas, komersantus un pašvaldību civilās aizsardzības komisijas.”</w:t>
            </w:r>
          </w:p>
        </w:tc>
        <w:tc>
          <w:tcPr>
            <w:tcW w:w="3435"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firstLine="21"/>
              <w:jc w:val="left"/>
            </w:pPr>
            <w:r>
              <w:rPr>
                <w:b/>
              </w:rPr>
              <w:t>Ņemts vērā</w:t>
            </w:r>
          </w:p>
        </w:tc>
        <w:tc>
          <w:tcPr>
            <w:tcW w:w="3118" w:type="dxa"/>
            <w:tcBorders>
              <w:top w:val="single" w:sz="4" w:space="0" w:color="auto"/>
              <w:left w:val="single" w:sz="4" w:space="0" w:color="auto"/>
              <w:bottom w:val="single" w:sz="4" w:space="0" w:color="auto"/>
            </w:tcBorders>
          </w:tcPr>
          <w:p w:rsidR="001331C6" w:rsidRPr="00EA58F9" w:rsidRDefault="001331C6" w:rsidP="001331C6">
            <w:pPr>
              <w:jc w:val="both"/>
            </w:pPr>
            <w:r>
              <w:t>“</w:t>
            </w:r>
            <w:r w:rsidRPr="00C05B94">
              <w:t>Civilās aizsardzības sistēmas darbību kara, militāra iebrukuma vai to draudu gadījumā organizē Civilās aizsardzības operacionālās vadības centrs, kura darbības un analītiskās spējas ir jāpilnveido, kā arī tā darbība ir regulāri jātestē krīzes vadības mācībās. Civilās aizsardzības operacionālās vadības centram ir jāsadarbojas ar NBS, iesaistot arī valsts institūcijas, komersantus un pašvaldību civilās aizsardzības komisijas.</w:t>
            </w:r>
            <w:r>
              <w:t>“</w:t>
            </w:r>
          </w:p>
        </w:tc>
      </w:tr>
      <w:tr w:rsidR="001331C6" w:rsidRPr="00EA58F9" w:rsidTr="007B47E7">
        <w:tc>
          <w:tcPr>
            <w:tcW w:w="675" w:type="dxa"/>
            <w:tcBorders>
              <w:left w:val="single" w:sz="6" w:space="0" w:color="000000"/>
              <w:bottom w:val="single" w:sz="4" w:space="0" w:color="auto"/>
              <w:right w:val="single" w:sz="6" w:space="0" w:color="000000"/>
            </w:tcBorders>
          </w:tcPr>
          <w:p w:rsidR="001331C6" w:rsidRPr="00EA58F9" w:rsidRDefault="001331C6" w:rsidP="001331C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1331C6" w:rsidRPr="00EA58F9" w:rsidRDefault="001331C6" w:rsidP="001331C6">
            <w:pPr>
              <w:jc w:val="both"/>
            </w:pPr>
            <w:r w:rsidRPr="00EA58F9">
              <w:t>“Katram komersantam ir svarīga loma valsts aizsardzībā. Tomēr svarīgākie ir komersanti, kuru uzņēmējdarbība krīzes situācijā kļūst par neatņemamu daļu no valsts aizsardzības sistēmas, jo nodrošina vitāli svarīgus pakalpojumus. Šo pakalpojumu sniedzējiem un lielajiem uzņēmumiem, kas nodarbina vairāk par 250 cilvēkiem, jānodrošina uzņēmuma pamatfunkcijas krīzes un kara gadījumā, turpinot nodrošināt valsts ekonomikas funkcionēšanu, nepieciešamo preču ražošanu un pakalpojumu sniegšanu. Šajā kontekstā, plānojot uzņēmējdarbību, jāņem vērā arī piegāžu drošības jautājumi, kā arī ekonomiskā un tehnoloģiskā atkarība no valstīm, kuras nav NATO vai ES dalībvalstis. “</w:t>
            </w:r>
          </w:p>
        </w:tc>
        <w:tc>
          <w:tcPr>
            <w:tcW w:w="4253" w:type="dxa"/>
            <w:tcBorders>
              <w:left w:val="single" w:sz="6" w:space="0" w:color="000000"/>
              <w:bottom w:val="single" w:sz="4" w:space="0" w:color="auto"/>
              <w:right w:val="single" w:sz="6" w:space="0" w:color="000000"/>
            </w:tcBorders>
          </w:tcPr>
          <w:p w:rsidR="001331C6" w:rsidRPr="0045665E" w:rsidRDefault="001331C6" w:rsidP="001331C6">
            <w:pPr>
              <w:widowControl w:val="0"/>
              <w:jc w:val="both"/>
              <w:rPr>
                <w:b/>
                <w:iCs/>
              </w:rPr>
            </w:pPr>
            <w:r w:rsidRPr="00EA58F9">
              <w:rPr>
                <w:iCs/>
              </w:rPr>
              <w:t>Projekta 3.2.4.apakšpunkta “</w:t>
            </w:r>
            <w:bookmarkStart w:id="3" w:name="_Toc42077478"/>
            <w:r w:rsidRPr="00EA58F9">
              <w:rPr>
                <w:b/>
                <w:iCs/>
              </w:rPr>
              <w:t>Tautsaimniecības noturība</w:t>
            </w:r>
            <w:bookmarkEnd w:id="3"/>
            <w:r w:rsidRPr="00EA58F9">
              <w:rPr>
                <w:iCs/>
              </w:rPr>
              <w:t>” pirmajā rindkopā nenoteikt, ka vitāli svarīgie pakalpojumu sniedzēji ir uzņēmumi, kuri nodarbina vairāk par 250 cilvēkiem – jo ir ražošanas uzņēmumi, kas ražo pārtikas produktus, bet daudzi procesi ir automatizēti un digitalizēti, ko uzrauga daži cilvēki, bet uzņēmumam ir plaša loģistikas ķēde, ko nodrošina citi uzņēmumi. Šādi tiek sašaurināts to uzņēmumu loks, kas var tikt pieskaitīts pie vitāli svarīgo funkciju nodrošinātājiem.</w:t>
            </w:r>
          </w:p>
        </w:tc>
        <w:tc>
          <w:tcPr>
            <w:tcW w:w="3435"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firstLine="21"/>
              <w:jc w:val="left"/>
            </w:pPr>
            <w:r>
              <w:rPr>
                <w:b/>
              </w:rPr>
              <w:t>Ņemts vērā</w:t>
            </w:r>
          </w:p>
        </w:tc>
        <w:tc>
          <w:tcPr>
            <w:tcW w:w="3118" w:type="dxa"/>
            <w:tcBorders>
              <w:top w:val="single" w:sz="4" w:space="0" w:color="auto"/>
              <w:left w:val="single" w:sz="4" w:space="0" w:color="auto"/>
              <w:bottom w:val="single" w:sz="4" w:space="0" w:color="auto"/>
            </w:tcBorders>
          </w:tcPr>
          <w:p w:rsidR="001331C6" w:rsidRDefault="001331C6" w:rsidP="001331C6">
            <w:pPr>
              <w:pStyle w:val="naisc"/>
              <w:spacing w:before="0" w:after="0"/>
              <w:ind w:right="3"/>
              <w:jc w:val="both"/>
            </w:pPr>
            <w:r>
              <w:t xml:space="preserve">Projekta </w:t>
            </w:r>
            <w:r>
              <w:rPr>
                <w:iCs/>
              </w:rPr>
              <w:t>3.2.4.apakšpunkta</w:t>
            </w:r>
            <w:r w:rsidRPr="00EA58F9">
              <w:rPr>
                <w:iCs/>
              </w:rPr>
              <w:t xml:space="preserve"> “</w:t>
            </w:r>
            <w:r w:rsidRPr="00EA58F9">
              <w:rPr>
                <w:b/>
                <w:iCs/>
              </w:rPr>
              <w:t>Tautsaimniecības noturība</w:t>
            </w:r>
            <w:r w:rsidRPr="00EA58F9">
              <w:rPr>
                <w:iCs/>
              </w:rPr>
              <w:t>”</w:t>
            </w:r>
            <w:r>
              <w:rPr>
                <w:iCs/>
              </w:rPr>
              <w:t xml:space="preserve"> pirmās rindkopas otrais teikums izteikts šādi</w:t>
            </w:r>
          </w:p>
          <w:p w:rsidR="001331C6" w:rsidRPr="00EA58F9" w:rsidRDefault="001331C6" w:rsidP="001331C6">
            <w:pPr>
              <w:pStyle w:val="naisc"/>
              <w:spacing w:before="0" w:after="0"/>
              <w:ind w:right="3"/>
              <w:jc w:val="both"/>
            </w:pPr>
            <w:r>
              <w:t>“Šo pakalpojumu sniedzējiem ir</w:t>
            </w:r>
            <w:r w:rsidRPr="005C2E0A">
              <w:t>, jānodrošina uzņēmuma pamatfunkcijas krīzes un kara gadījumā, turpinot nodrošināt valsts ekonomikas funkcionēšanu, nepieciešamo preču ražošanu un pakalpojumu sniegšanu.”</w:t>
            </w:r>
          </w:p>
        </w:tc>
      </w:tr>
      <w:tr w:rsidR="001331C6" w:rsidRPr="00EA58F9" w:rsidTr="007B47E7">
        <w:tc>
          <w:tcPr>
            <w:tcW w:w="675" w:type="dxa"/>
            <w:tcBorders>
              <w:left w:val="single" w:sz="6" w:space="0" w:color="000000"/>
              <w:bottom w:val="single" w:sz="4" w:space="0" w:color="auto"/>
              <w:right w:val="single" w:sz="6" w:space="0" w:color="000000"/>
            </w:tcBorders>
          </w:tcPr>
          <w:p w:rsidR="001331C6" w:rsidRPr="00EA58F9" w:rsidRDefault="001331C6" w:rsidP="001331C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1331C6" w:rsidRPr="00EA58F9" w:rsidRDefault="001331C6" w:rsidP="001331C6">
            <w:pPr>
              <w:jc w:val="both"/>
            </w:pPr>
          </w:p>
        </w:tc>
        <w:tc>
          <w:tcPr>
            <w:tcW w:w="4253" w:type="dxa"/>
            <w:tcBorders>
              <w:left w:val="single" w:sz="6" w:space="0" w:color="000000"/>
              <w:bottom w:val="single" w:sz="4" w:space="0" w:color="auto"/>
              <w:right w:val="single" w:sz="6" w:space="0" w:color="000000"/>
            </w:tcBorders>
          </w:tcPr>
          <w:p w:rsidR="001331C6" w:rsidRPr="00EA58F9" w:rsidRDefault="001331C6" w:rsidP="001331C6">
            <w:pPr>
              <w:widowControl w:val="0"/>
              <w:spacing w:after="120"/>
              <w:ind w:right="-5"/>
              <w:jc w:val="both"/>
              <w:rPr>
                <w:i/>
              </w:rPr>
            </w:pPr>
            <w:r w:rsidRPr="00EA58F9">
              <w:rPr>
                <w:iCs/>
              </w:rPr>
              <w:t>Projekta 3.2.4.apakšpunkta “</w:t>
            </w:r>
            <w:r w:rsidRPr="00EA58F9">
              <w:rPr>
                <w:b/>
                <w:iCs/>
              </w:rPr>
              <w:t>Tautsaimniecības noturība</w:t>
            </w:r>
            <w:r w:rsidRPr="00EA58F9">
              <w:rPr>
                <w:iCs/>
              </w:rPr>
              <w:t>” otro rindkopu papildināt ar teikumu</w:t>
            </w:r>
            <w:r w:rsidRPr="00EA58F9">
              <w:rPr>
                <w:i/>
                <w:iCs/>
              </w:rPr>
              <w:t xml:space="preserve">:“ Valsts </w:t>
            </w:r>
            <w:r w:rsidRPr="00EA58F9">
              <w:rPr>
                <w:i/>
                <w:iCs/>
              </w:rPr>
              <w:lastRenderedPageBreak/>
              <w:t>institūcijām nepieciešams izvērtēt un veidot valsts materiālās rezerves, lai nodrošinātu tautsaimniecības noturību un savu uzdevumu un funkciju īstenošanu krīzes situācijās.”</w:t>
            </w:r>
          </w:p>
        </w:tc>
        <w:tc>
          <w:tcPr>
            <w:tcW w:w="3435"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firstLine="21"/>
              <w:jc w:val="left"/>
            </w:pPr>
            <w:r>
              <w:rPr>
                <w:b/>
              </w:rPr>
              <w:lastRenderedPageBreak/>
              <w:t>Ņemts vērā</w:t>
            </w:r>
          </w:p>
        </w:tc>
        <w:tc>
          <w:tcPr>
            <w:tcW w:w="3118" w:type="dxa"/>
            <w:tcBorders>
              <w:top w:val="single" w:sz="4" w:space="0" w:color="auto"/>
              <w:left w:val="single" w:sz="4" w:space="0" w:color="auto"/>
              <w:bottom w:val="single" w:sz="4" w:space="0" w:color="auto"/>
            </w:tcBorders>
          </w:tcPr>
          <w:p w:rsidR="001331C6" w:rsidRPr="00EA58F9" w:rsidRDefault="001331C6" w:rsidP="001331C6">
            <w:pPr>
              <w:pStyle w:val="naisc"/>
              <w:spacing w:before="0" w:after="0"/>
              <w:ind w:right="3"/>
              <w:jc w:val="both"/>
            </w:pPr>
            <w:r>
              <w:t>“</w:t>
            </w:r>
            <w:r w:rsidRPr="005065F0">
              <w:rPr>
                <w:iCs/>
              </w:rPr>
              <w:t xml:space="preserve">Valsts institūcijām nepieciešams izvērtēt un veidot valsts materiālo </w:t>
            </w:r>
            <w:r w:rsidRPr="005065F0">
              <w:rPr>
                <w:iCs/>
              </w:rPr>
              <w:lastRenderedPageBreak/>
              <w:t>rezervju sistēmu, lai nodrošinātu tautsaimniecības noturību un savu uzdevumu un funkciju īstenošanu krīzes situācijās.</w:t>
            </w:r>
            <w:r>
              <w:rPr>
                <w:iCs/>
              </w:rPr>
              <w:t>”</w:t>
            </w:r>
          </w:p>
        </w:tc>
      </w:tr>
      <w:tr w:rsidR="001331C6" w:rsidRPr="00EA58F9" w:rsidTr="007B47E7">
        <w:tc>
          <w:tcPr>
            <w:tcW w:w="675" w:type="dxa"/>
            <w:tcBorders>
              <w:left w:val="single" w:sz="6" w:space="0" w:color="000000"/>
              <w:bottom w:val="single" w:sz="4" w:space="0" w:color="auto"/>
              <w:right w:val="single" w:sz="6" w:space="0" w:color="000000"/>
            </w:tcBorders>
          </w:tcPr>
          <w:p w:rsidR="001331C6" w:rsidRPr="00EA58F9" w:rsidRDefault="001331C6" w:rsidP="001331C6">
            <w:pPr>
              <w:pStyle w:val="naisc"/>
              <w:numPr>
                <w:ilvl w:val="0"/>
                <w:numId w:val="14"/>
              </w:numPr>
              <w:spacing w:before="0" w:after="0"/>
              <w:ind w:left="426" w:right="3"/>
              <w:jc w:val="both"/>
            </w:pPr>
          </w:p>
        </w:tc>
        <w:tc>
          <w:tcPr>
            <w:tcW w:w="2802" w:type="dxa"/>
            <w:gridSpan w:val="2"/>
            <w:tcBorders>
              <w:left w:val="single" w:sz="6" w:space="0" w:color="000000"/>
              <w:bottom w:val="single" w:sz="4" w:space="0" w:color="auto"/>
              <w:right w:val="single" w:sz="6" w:space="0" w:color="000000"/>
            </w:tcBorders>
          </w:tcPr>
          <w:p w:rsidR="001331C6" w:rsidRPr="00EA58F9" w:rsidRDefault="001331C6" w:rsidP="001331C6">
            <w:pPr>
              <w:pStyle w:val="naisc"/>
              <w:spacing w:before="0" w:after="0"/>
              <w:ind w:right="3"/>
              <w:jc w:val="both"/>
            </w:pPr>
          </w:p>
        </w:tc>
        <w:tc>
          <w:tcPr>
            <w:tcW w:w="4253" w:type="dxa"/>
            <w:tcBorders>
              <w:left w:val="single" w:sz="6" w:space="0" w:color="000000"/>
              <w:bottom w:val="single" w:sz="4" w:space="0" w:color="auto"/>
              <w:right w:val="single" w:sz="6" w:space="0" w:color="000000"/>
            </w:tcBorders>
          </w:tcPr>
          <w:p w:rsidR="001331C6" w:rsidRPr="00EA58F9" w:rsidRDefault="001331C6" w:rsidP="001331C6">
            <w:pPr>
              <w:widowControl w:val="0"/>
              <w:spacing w:after="120"/>
              <w:ind w:right="-5"/>
              <w:jc w:val="both"/>
              <w:rPr>
                <w:b/>
                <w:i/>
              </w:rPr>
            </w:pPr>
            <w:r w:rsidRPr="00EA58F9">
              <w:t>Projekta 3.2.9.apakšpunktu “</w:t>
            </w:r>
            <w:bookmarkStart w:id="4" w:name="_Toc42077483"/>
            <w:r w:rsidRPr="00EA58F9">
              <w:rPr>
                <w:b/>
              </w:rPr>
              <w:t>Jauniešu audzināšana</w:t>
            </w:r>
            <w:bookmarkEnd w:id="4"/>
            <w:r w:rsidRPr="00EA58F9">
              <w:t xml:space="preserve">” papildināt ar rindkopu: </w:t>
            </w:r>
            <w:r w:rsidRPr="00EA58F9">
              <w:rPr>
                <w:i/>
              </w:rPr>
              <w:t>“Svarīgi turpināt attīstīt vispārējā izglītības sistēmā mācību kursu, kas jauniešiem veidotu zināšanu, prasmju un attieksmju kopumu par ikdienas iespējamām bīstamām situācijām, drošas uzvedības principiem, īpašu uzmanību pievēršot rīcībai krīzes situācijās. Savukārt augstskolās nepieciešams turpināt nodrošināt civilās aizsardzības kursa apmācību, pievērošot uzmanību arī civilās aizsardzības sadarbībai un atbalstam kara  un militāra iebrukuma gadījumā”.</w:t>
            </w:r>
          </w:p>
        </w:tc>
        <w:tc>
          <w:tcPr>
            <w:tcW w:w="3435" w:type="dxa"/>
            <w:gridSpan w:val="2"/>
            <w:tcBorders>
              <w:left w:val="single" w:sz="6" w:space="0" w:color="000000"/>
              <w:bottom w:val="single" w:sz="4" w:space="0" w:color="auto"/>
              <w:right w:val="single" w:sz="6" w:space="0" w:color="000000"/>
            </w:tcBorders>
          </w:tcPr>
          <w:p w:rsidR="001331C6" w:rsidRPr="00A41CF6" w:rsidRDefault="001331C6" w:rsidP="001331C6">
            <w:pPr>
              <w:pStyle w:val="naisc"/>
              <w:spacing w:before="0" w:after="0"/>
              <w:ind w:firstLine="21"/>
              <w:jc w:val="left"/>
            </w:pPr>
            <w:r>
              <w:rPr>
                <w:b/>
              </w:rPr>
              <w:t>Ņemts vērā</w:t>
            </w:r>
          </w:p>
        </w:tc>
        <w:tc>
          <w:tcPr>
            <w:tcW w:w="3118" w:type="dxa"/>
            <w:tcBorders>
              <w:top w:val="single" w:sz="4" w:space="0" w:color="auto"/>
              <w:left w:val="single" w:sz="4" w:space="0" w:color="auto"/>
              <w:bottom w:val="single" w:sz="4" w:space="0" w:color="auto"/>
            </w:tcBorders>
          </w:tcPr>
          <w:p w:rsidR="001331C6" w:rsidRPr="00A41CF6" w:rsidRDefault="001331C6" w:rsidP="001331C6">
            <w:pPr>
              <w:jc w:val="both"/>
            </w:pPr>
            <w:r w:rsidRPr="00A41CF6">
              <w:t>Papildināta projekta 3.2.9. apakšpunkta “</w:t>
            </w:r>
            <w:r w:rsidRPr="00A41CF6">
              <w:rPr>
                <w:b/>
              </w:rPr>
              <w:t>Jauniešu audzināšana</w:t>
            </w:r>
            <w:r w:rsidRPr="00A41CF6">
              <w:t>” ceturtā rindkopa</w:t>
            </w:r>
            <w:r>
              <w:t>:</w:t>
            </w:r>
            <w:r w:rsidRPr="00A41CF6">
              <w:t xml:space="preserve"> “Patlaban valsts aizsardzības mācība kā papildus izvēles priekšmets tiek ieviesta vidējās izglītības pakāpē (10. un 11. klasē), kur jaunieši apgūst valsts aizsardzībai nepieciešamās prasmes, rīcību krīzes situācijās, kritisko domāšanu un pilsonisko patriotismu. Tāpat valsts aizsardzības mācības ietvaros tiek iegūts zināšanu, prasmju un attieksmju kopumu par rīcību krīzes situācijās. Būtiski, lai šis temats atspoguļojas arī citu mācību priekšmetu saturā vispārējā izglītības sistēmā un pēcāk tiek attīstīts augstākajā izglītībā.“</w:t>
            </w:r>
          </w:p>
        </w:tc>
      </w:tr>
      <w:tr w:rsidR="001331C6" w:rsidRPr="00EA58F9" w:rsidTr="00BF5526">
        <w:tblPrEx>
          <w:tblBorders>
            <w:top w:val="none" w:sz="0" w:space="0" w:color="auto"/>
            <w:left w:val="none" w:sz="0" w:space="0" w:color="auto"/>
            <w:bottom w:val="none" w:sz="0" w:space="0" w:color="auto"/>
            <w:right w:val="none" w:sz="0" w:space="0" w:color="auto"/>
          </w:tblBorders>
        </w:tblPrEx>
        <w:trPr>
          <w:gridAfter w:val="2"/>
          <w:wAfter w:w="5013" w:type="dxa"/>
        </w:trPr>
        <w:tc>
          <w:tcPr>
            <w:tcW w:w="3091" w:type="dxa"/>
            <w:gridSpan w:val="2"/>
          </w:tcPr>
          <w:p w:rsidR="001331C6" w:rsidRPr="00EA58F9" w:rsidRDefault="001331C6" w:rsidP="001331C6">
            <w:pPr>
              <w:pStyle w:val="naisc"/>
              <w:spacing w:before="0" w:after="0"/>
              <w:ind w:right="3"/>
              <w:jc w:val="left"/>
            </w:pPr>
          </w:p>
          <w:p w:rsidR="001331C6" w:rsidRPr="00EA58F9" w:rsidRDefault="001331C6" w:rsidP="001331C6">
            <w:pPr>
              <w:pStyle w:val="naisc"/>
              <w:spacing w:before="0" w:after="0"/>
              <w:ind w:right="3"/>
              <w:jc w:val="left"/>
            </w:pPr>
          </w:p>
          <w:p w:rsidR="001331C6" w:rsidRPr="00EA58F9" w:rsidRDefault="001331C6" w:rsidP="001331C6">
            <w:pPr>
              <w:pStyle w:val="naisc"/>
              <w:spacing w:before="0" w:after="0"/>
              <w:ind w:right="3"/>
              <w:jc w:val="left"/>
            </w:pPr>
            <w:r w:rsidRPr="00EA58F9">
              <w:t>Atbildīgā amatpersona</w:t>
            </w:r>
          </w:p>
        </w:tc>
        <w:tc>
          <w:tcPr>
            <w:tcW w:w="6179" w:type="dxa"/>
            <w:gridSpan w:val="3"/>
          </w:tcPr>
          <w:p w:rsidR="001331C6" w:rsidRPr="00EA58F9" w:rsidRDefault="001331C6" w:rsidP="001331C6">
            <w:pPr>
              <w:pStyle w:val="naisc"/>
              <w:spacing w:before="0" w:after="0"/>
              <w:ind w:right="3"/>
              <w:jc w:val="left"/>
            </w:pPr>
          </w:p>
          <w:p w:rsidR="001331C6" w:rsidRPr="00EA58F9" w:rsidRDefault="001331C6" w:rsidP="001331C6">
            <w:pPr>
              <w:pStyle w:val="naisc"/>
              <w:spacing w:before="0" w:after="0"/>
              <w:ind w:right="3"/>
              <w:jc w:val="left"/>
            </w:pPr>
          </w:p>
          <w:p w:rsidR="001331C6" w:rsidRPr="00EA58F9" w:rsidRDefault="001331C6" w:rsidP="001331C6">
            <w:pPr>
              <w:pStyle w:val="naisc"/>
              <w:spacing w:before="0" w:after="0"/>
              <w:ind w:right="3"/>
              <w:jc w:val="left"/>
            </w:pPr>
            <w:r w:rsidRPr="00EA58F9">
              <w:t>  </w:t>
            </w:r>
          </w:p>
        </w:tc>
      </w:tr>
      <w:tr w:rsidR="001331C6" w:rsidRPr="00EA58F9" w:rsidTr="00BF5526">
        <w:tblPrEx>
          <w:tblBorders>
            <w:top w:val="none" w:sz="0" w:space="0" w:color="auto"/>
            <w:left w:val="none" w:sz="0" w:space="0" w:color="auto"/>
            <w:bottom w:val="none" w:sz="0" w:space="0" w:color="auto"/>
            <w:right w:val="none" w:sz="0" w:space="0" w:color="auto"/>
          </w:tblBorders>
        </w:tblPrEx>
        <w:trPr>
          <w:gridAfter w:val="2"/>
          <w:wAfter w:w="5013" w:type="dxa"/>
        </w:trPr>
        <w:tc>
          <w:tcPr>
            <w:tcW w:w="3091" w:type="dxa"/>
            <w:gridSpan w:val="2"/>
          </w:tcPr>
          <w:p w:rsidR="001331C6" w:rsidRPr="00EA58F9" w:rsidRDefault="001331C6" w:rsidP="001331C6">
            <w:pPr>
              <w:pStyle w:val="naisc"/>
              <w:spacing w:before="0" w:after="0"/>
              <w:ind w:right="3"/>
              <w:jc w:val="left"/>
            </w:pPr>
          </w:p>
        </w:tc>
        <w:tc>
          <w:tcPr>
            <w:tcW w:w="6179" w:type="dxa"/>
            <w:gridSpan w:val="3"/>
            <w:tcBorders>
              <w:top w:val="single" w:sz="6" w:space="0" w:color="000000"/>
            </w:tcBorders>
          </w:tcPr>
          <w:p w:rsidR="001331C6" w:rsidRPr="00EA58F9" w:rsidRDefault="001331C6" w:rsidP="001331C6">
            <w:pPr>
              <w:pStyle w:val="naisc"/>
              <w:spacing w:before="0" w:after="0"/>
              <w:ind w:right="3"/>
              <w:jc w:val="left"/>
            </w:pPr>
            <w:r w:rsidRPr="00EA58F9">
              <w:t>(paraksts)*</w:t>
            </w:r>
          </w:p>
        </w:tc>
      </w:tr>
    </w:tbl>
    <w:p w:rsidR="007116C7" w:rsidRPr="00EA58F9" w:rsidRDefault="007116C7" w:rsidP="008B194A">
      <w:pPr>
        <w:pStyle w:val="naisc"/>
        <w:spacing w:before="0" w:after="0"/>
        <w:ind w:right="3"/>
        <w:jc w:val="left"/>
      </w:pPr>
    </w:p>
    <w:p w:rsidR="003B71E0" w:rsidRPr="00EA58F9" w:rsidRDefault="003B71E0" w:rsidP="008B194A">
      <w:pPr>
        <w:pStyle w:val="naisc"/>
        <w:spacing w:before="0" w:after="0"/>
        <w:ind w:right="3"/>
        <w:jc w:val="left"/>
      </w:pPr>
    </w:p>
    <w:p w:rsidR="00317DC7" w:rsidRPr="00EA58F9" w:rsidRDefault="00184479" w:rsidP="008B194A">
      <w:pPr>
        <w:pStyle w:val="naisc"/>
        <w:spacing w:before="0" w:after="0"/>
        <w:ind w:right="3"/>
        <w:jc w:val="left"/>
      </w:pPr>
      <w:r w:rsidRPr="00EA58F9">
        <w:lastRenderedPageBreak/>
        <w:t>Piezīme.</w:t>
      </w:r>
      <w:r w:rsidR="001D2FD0" w:rsidRPr="00EA58F9">
        <w:t xml:space="preserve"> </w:t>
      </w:r>
      <w:r w:rsidR="00FB6C91" w:rsidRPr="00EA58F9">
        <w:t>*</w:t>
      </w:r>
      <w:r w:rsidR="00317DC7" w:rsidRPr="00EA58F9">
        <w:t xml:space="preserve"> Dokumenta rekvizītu </w:t>
      </w:r>
      <w:r w:rsidR="00364BB6" w:rsidRPr="00EA58F9">
        <w:t>"</w:t>
      </w:r>
      <w:r w:rsidR="0018210A" w:rsidRPr="00EA58F9">
        <w:t>p</w:t>
      </w:r>
      <w:r w:rsidR="00317DC7" w:rsidRPr="00EA58F9">
        <w:t>araksts</w:t>
      </w:r>
      <w:r w:rsidR="00364BB6" w:rsidRPr="00EA58F9">
        <w:t>"</w:t>
      </w:r>
      <w:r w:rsidR="00317DC7" w:rsidRPr="00EA58F9">
        <w:t xml:space="preserve"> neaizpilda, ja elektroniskais dokuments ir </w:t>
      </w:r>
      <w:r w:rsidRPr="00EA58F9">
        <w:t>sagatavots</w:t>
      </w:r>
      <w:r w:rsidR="00317DC7" w:rsidRPr="00EA58F9">
        <w:t xml:space="preserve"> atbilstoši </w:t>
      </w:r>
      <w:r w:rsidRPr="00EA58F9">
        <w:t xml:space="preserve">normatīvajiem aktiem par </w:t>
      </w:r>
      <w:r w:rsidR="00317DC7" w:rsidRPr="00EA58F9">
        <w:t>elektronisko dokumentu noformēšan</w:t>
      </w:r>
      <w:r w:rsidRPr="00EA58F9">
        <w:t>u.</w:t>
      </w:r>
    </w:p>
    <w:p w:rsidR="004373E1" w:rsidRDefault="004373E1" w:rsidP="008B194A">
      <w:pPr>
        <w:pStyle w:val="naisc"/>
        <w:spacing w:before="0" w:after="0"/>
        <w:ind w:right="3"/>
        <w:jc w:val="left"/>
      </w:pPr>
    </w:p>
    <w:p w:rsidR="00155871" w:rsidRPr="00EA58F9" w:rsidRDefault="00155871" w:rsidP="008B194A">
      <w:pPr>
        <w:pStyle w:val="naisc"/>
        <w:spacing w:before="0" w:after="0"/>
        <w:ind w:right="3"/>
        <w:jc w:val="left"/>
      </w:pPr>
    </w:p>
    <w:p w:rsidR="00C210FA" w:rsidRPr="00EA58F9" w:rsidRDefault="00C210FA" w:rsidP="00155871">
      <w:pPr>
        <w:pStyle w:val="naisc"/>
        <w:spacing w:before="0" w:after="0"/>
        <w:ind w:left="2880" w:right="3"/>
      </w:pPr>
    </w:p>
    <w:tbl>
      <w:tblPr>
        <w:tblW w:w="0" w:type="auto"/>
        <w:tblLook w:val="00A0" w:firstRow="1" w:lastRow="0" w:firstColumn="1" w:lastColumn="0" w:noHBand="0" w:noVBand="0"/>
      </w:tblPr>
      <w:tblGrid>
        <w:gridCol w:w="8268"/>
      </w:tblGrid>
      <w:tr w:rsidR="008655A2" w:rsidRPr="00EA58F9" w:rsidTr="00155871">
        <w:tc>
          <w:tcPr>
            <w:tcW w:w="8268" w:type="dxa"/>
            <w:tcBorders>
              <w:bottom w:val="single" w:sz="4" w:space="0" w:color="auto"/>
            </w:tcBorders>
          </w:tcPr>
          <w:p w:rsidR="008655A2" w:rsidRPr="00EA58F9" w:rsidRDefault="00155871" w:rsidP="00155871">
            <w:pPr>
              <w:jc w:val="center"/>
            </w:pPr>
            <w:r>
              <w:t>Ilze Andžāne</w:t>
            </w:r>
          </w:p>
        </w:tc>
      </w:tr>
      <w:tr w:rsidR="00155871" w:rsidRPr="00EA58F9" w:rsidTr="00155871">
        <w:tc>
          <w:tcPr>
            <w:tcW w:w="8268" w:type="dxa"/>
            <w:tcBorders>
              <w:top w:val="single" w:sz="4" w:space="0" w:color="auto"/>
            </w:tcBorders>
          </w:tcPr>
          <w:p w:rsidR="00155871" w:rsidRPr="00EA58F9" w:rsidRDefault="00155871" w:rsidP="00155871">
            <w:pPr>
              <w:jc w:val="center"/>
            </w:pPr>
            <w:r w:rsidRPr="00EA58F9">
              <w:t>(par projektu atbildīgās amatpersonas vārds un uzvārds)</w:t>
            </w:r>
          </w:p>
        </w:tc>
      </w:tr>
      <w:tr w:rsidR="00155871" w:rsidRPr="00EA58F9" w:rsidTr="00155871">
        <w:tc>
          <w:tcPr>
            <w:tcW w:w="8268" w:type="dxa"/>
            <w:tcBorders>
              <w:bottom w:val="single" w:sz="4" w:space="0" w:color="auto"/>
            </w:tcBorders>
          </w:tcPr>
          <w:p w:rsidR="00155871" w:rsidRPr="00EA58F9" w:rsidRDefault="00155871" w:rsidP="00155871">
            <w:pPr>
              <w:jc w:val="center"/>
            </w:pPr>
            <w:r w:rsidRPr="00EA58F9">
              <w:t xml:space="preserve">Aizsardzības ministrijas Aizsardzības politikas departamenta </w:t>
            </w:r>
            <w:r>
              <w:t xml:space="preserve">Aizsardzības politikas </w:t>
            </w:r>
          </w:p>
        </w:tc>
      </w:tr>
      <w:tr w:rsidR="00155871" w:rsidRPr="00EA58F9" w:rsidTr="00155871">
        <w:tc>
          <w:tcPr>
            <w:tcW w:w="8268" w:type="dxa"/>
            <w:tcBorders>
              <w:top w:val="single" w:sz="4" w:space="0" w:color="auto"/>
              <w:bottom w:val="single" w:sz="4" w:space="0" w:color="auto"/>
            </w:tcBorders>
          </w:tcPr>
          <w:p w:rsidR="00155871" w:rsidRPr="00EA58F9" w:rsidRDefault="00155871" w:rsidP="00155871">
            <w:pPr>
              <w:jc w:val="center"/>
            </w:pPr>
            <w:r>
              <w:t>un stratēģijas nodaļas vadītāja</w:t>
            </w:r>
          </w:p>
        </w:tc>
      </w:tr>
      <w:tr w:rsidR="00155871" w:rsidRPr="00EA58F9" w:rsidTr="00155871">
        <w:tc>
          <w:tcPr>
            <w:tcW w:w="8268" w:type="dxa"/>
            <w:tcBorders>
              <w:top w:val="single" w:sz="4" w:space="0" w:color="auto"/>
            </w:tcBorders>
          </w:tcPr>
          <w:p w:rsidR="00155871" w:rsidRPr="00EA58F9" w:rsidRDefault="00155871" w:rsidP="00155871">
            <w:pPr>
              <w:jc w:val="center"/>
            </w:pPr>
            <w:r w:rsidRPr="00EA58F9">
              <w:t>(amats)</w:t>
            </w:r>
          </w:p>
        </w:tc>
      </w:tr>
      <w:tr w:rsidR="00155871" w:rsidRPr="00EA58F9" w:rsidTr="00155871">
        <w:tc>
          <w:tcPr>
            <w:tcW w:w="8268" w:type="dxa"/>
            <w:tcBorders>
              <w:bottom w:val="single" w:sz="4" w:space="0" w:color="auto"/>
            </w:tcBorders>
          </w:tcPr>
          <w:p w:rsidR="00155871" w:rsidRPr="00EA58F9" w:rsidRDefault="00155871" w:rsidP="00155871">
            <w:pPr>
              <w:jc w:val="center"/>
            </w:pPr>
            <w:r w:rsidRPr="00EA58F9">
              <w:t>67335</w:t>
            </w:r>
            <w:r>
              <w:t>048</w:t>
            </w:r>
          </w:p>
        </w:tc>
      </w:tr>
      <w:tr w:rsidR="00155871" w:rsidRPr="00EA58F9" w:rsidTr="00155871">
        <w:tc>
          <w:tcPr>
            <w:tcW w:w="8268" w:type="dxa"/>
            <w:tcBorders>
              <w:top w:val="single" w:sz="4" w:space="0" w:color="auto"/>
            </w:tcBorders>
          </w:tcPr>
          <w:p w:rsidR="00155871" w:rsidRPr="00EA58F9" w:rsidRDefault="00155871" w:rsidP="00155871">
            <w:pPr>
              <w:jc w:val="center"/>
            </w:pPr>
            <w:r w:rsidRPr="00EA58F9">
              <w:t>(tālruņa numurs)</w:t>
            </w:r>
          </w:p>
        </w:tc>
      </w:tr>
      <w:tr w:rsidR="00155871" w:rsidRPr="00EA58F9" w:rsidTr="00155871">
        <w:tc>
          <w:tcPr>
            <w:tcW w:w="8268" w:type="dxa"/>
            <w:tcBorders>
              <w:bottom w:val="single" w:sz="4" w:space="0" w:color="auto"/>
            </w:tcBorders>
          </w:tcPr>
          <w:p w:rsidR="00155871" w:rsidRPr="00EA58F9" w:rsidRDefault="00401242" w:rsidP="00155871">
            <w:pPr>
              <w:jc w:val="center"/>
            </w:pPr>
            <w:hyperlink r:id="rId8" w:history="1">
              <w:r w:rsidR="00155871" w:rsidRPr="007F2714">
                <w:rPr>
                  <w:rStyle w:val="Hyperlink"/>
                </w:rPr>
                <w:t>Ilze.Andzane@mod.gov.lv</w:t>
              </w:r>
            </w:hyperlink>
          </w:p>
        </w:tc>
      </w:tr>
      <w:tr w:rsidR="00155871" w:rsidRPr="00EA58F9" w:rsidTr="00155871">
        <w:tc>
          <w:tcPr>
            <w:tcW w:w="8268" w:type="dxa"/>
            <w:tcBorders>
              <w:top w:val="single" w:sz="4" w:space="0" w:color="auto"/>
            </w:tcBorders>
          </w:tcPr>
          <w:p w:rsidR="00155871" w:rsidRPr="00EA58F9" w:rsidRDefault="00155871" w:rsidP="00155871">
            <w:pPr>
              <w:jc w:val="center"/>
            </w:pPr>
            <w:r w:rsidRPr="00EA58F9">
              <w:t>(e-pasta adrese)</w:t>
            </w:r>
          </w:p>
        </w:tc>
      </w:tr>
    </w:tbl>
    <w:p w:rsidR="009623BC" w:rsidRPr="00EA58F9" w:rsidRDefault="009623BC" w:rsidP="008B194A">
      <w:pPr>
        <w:pStyle w:val="naisf"/>
        <w:spacing w:before="0" w:after="0"/>
        <w:ind w:firstLine="0"/>
        <w:jc w:val="left"/>
      </w:pPr>
    </w:p>
    <w:p w:rsidR="00155871" w:rsidRDefault="00155871" w:rsidP="008B194A">
      <w:pPr>
        <w:pStyle w:val="naisf"/>
        <w:spacing w:before="0" w:after="0"/>
        <w:ind w:firstLine="0"/>
        <w:jc w:val="left"/>
        <w:rPr>
          <w:sz w:val="20"/>
        </w:rPr>
      </w:pPr>
    </w:p>
    <w:p w:rsidR="008417C8" w:rsidRPr="00227A12" w:rsidRDefault="008417C8" w:rsidP="008B194A">
      <w:pPr>
        <w:pStyle w:val="naisf"/>
        <w:spacing w:before="0" w:after="0"/>
        <w:ind w:firstLine="0"/>
        <w:jc w:val="left"/>
        <w:rPr>
          <w:sz w:val="20"/>
        </w:rPr>
      </w:pPr>
      <w:r w:rsidRPr="00227A12">
        <w:rPr>
          <w:sz w:val="20"/>
        </w:rPr>
        <w:fldChar w:fldCharType="begin"/>
      </w:r>
      <w:r w:rsidRPr="00227A12">
        <w:rPr>
          <w:sz w:val="20"/>
        </w:rPr>
        <w:instrText xml:space="preserve"> TIME \@ "dd.MM.yyyy H:mm" </w:instrText>
      </w:r>
      <w:r w:rsidRPr="00227A12">
        <w:rPr>
          <w:sz w:val="20"/>
        </w:rPr>
        <w:fldChar w:fldCharType="separate"/>
      </w:r>
      <w:r w:rsidR="00401242">
        <w:rPr>
          <w:noProof/>
          <w:sz w:val="20"/>
        </w:rPr>
        <w:t>31.07.2020 11:29</w:t>
      </w:r>
      <w:r w:rsidRPr="00227A12">
        <w:rPr>
          <w:sz w:val="20"/>
        </w:rPr>
        <w:fldChar w:fldCharType="end"/>
      </w:r>
    </w:p>
    <w:p w:rsidR="008417C8" w:rsidRPr="00227A12" w:rsidRDefault="00563525" w:rsidP="008B194A">
      <w:pPr>
        <w:pStyle w:val="naisf"/>
        <w:spacing w:before="0" w:after="0"/>
        <w:ind w:firstLine="0"/>
        <w:jc w:val="left"/>
        <w:rPr>
          <w:sz w:val="20"/>
        </w:rPr>
      </w:pPr>
      <w:r w:rsidRPr="00227A12">
        <w:rPr>
          <w:sz w:val="20"/>
        </w:rPr>
        <w:t>I.Andžāne</w:t>
      </w:r>
      <w:r w:rsidR="008417C8" w:rsidRPr="00227A12">
        <w:rPr>
          <w:sz w:val="20"/>
        </w:rPr>
        <w:t>, 67335</w:t>
      </w:r>
      <w:r w:rsidR="00E8062D" w:rsidRPr="00227A12">
        <w:rPr>
          <w:sz w:val="20"/>
        </w:rPr>
        <w:t>0</w:t>
      </w:r>
      <w:r w:rsidRPr="00227A12">
        <w:rPr>
          <w:sz w:val="20"/>
        </w:rPr>
        <w:t>48</w:t>
      </w:r>
    </w:p>
    <w:p w:rsidR="008F545B" w:rsidRPr="00227A12" w:rsidRDefault="00401242" w:rsidP="008B194A">
      <w:pPr>
        <w:pStyle w:val="naisf"/>
        <w:spacing w:before="0" w:after="0"/>
        <w:ind w:firstLine="0"/>
        <w:jc w:val="left"/>
        <w:rPr>
          <w:sz w:val="20"/>
        </w:rPr>
      </w:pPr>
      <w:hyperlink r:id="rId9" w:history="1">
        <w:r w:rsidR="00563525" w:rsidRPr="00227A12">
          <w:rPr>
            <w:rStyle w:val="Hyperlink"/>
            <w:sz w:val="20"/>
          </w:rPr>
          <w:t>Ilze.Andzane@mod.gov.lv</w:t>
        </w:r>
      </w:hyperlink>
    </w:p>
    <w:sectPr w:rsidR="008F545B" w:rsidRPr="00227A12" w:rsidSect="00353F96">
      <w:headerReference w:type="even" r:id="rId10"/>
      <w:footerReference w:type="default" r:id="rId11"/>
      <w:footerReference w:type="first" r:id="rId12"/>
      <w:pgSz w:w="16838" w:h="11906" w:orient="landscape"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F7" w:rsidRDefault="007372F7">
      <w:r>
        <w:separator/>
      </w:r>
    </w:p>
  </w:endnote>
  <w:endnote w:type="continuationSeparator" w:id="0">
    <w:p w:rsidR="007372F7" w:rsidRDefault="0073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9F" w:rsidRDefault="00433A7D" w:rsidP="00433A7D">
    <w:pPr>
      <w:pStyle w:val="Footer"/>
      <w:jc w:val="center"/>
      <w:rPr>
        <w:noProof/>
      </w:rPr>
    </w:pPr>
    <w:r>
      <w:fldChar w:fldCharType="begin"/>
    </w:r>
    <w:r>
      <w:instrText xml:space="preserve"> PAGE   \* MERGEFORMAT </w:instrText>
    </w:r>
    <w:r>
      <w:fldChar w:fldCharType="separate"/>
    </w:r>
    <w:r w:rsidR="00401242">
      <w:rPr>
        <w:noProof/>
      </w:rPr>
      <w:t>1</w:t>
    </w:r>
    <w:r>
      <w:rPr>
        <w:noProof/>
      </w:rPr>
      <w:fldChar w:fldCharType="end"/>
    </w:r>
  </w:p>
  <w:p w:rsidR="00433A7D" w:rsidRPr="007D0050" w:rsidRDefault="0083058E" w:rsidP="00433A7D">
    <w:pPr>
      <w:pStyle w:val="Footer"/>
      <w:rPr>
        <w:sz w:val="20"/>
      </w:rPr>
    </w:pPr>
    <w:r w:rsidRPr="00563525">
      <w:rPr>
        <w:noProof/>
        <w:sz w:val="20"/>
      </w:rPr>
      <w:fldChar w:fldCharType="begin"/>
    </w:r>
    <w:r w:rsidRPr="00563525">
      <w:rPr>
        <w:noProof/>
        <w:sz w:val="20"/>
      </w:rPr>
      <w:instrText xml:space="preserve"> FILENAME   \* MERGEFORMAT </w:instrText>
    </w:r>
    <w:r w:rsidRPr="00563525">
      <w:rPr>
        <w:noProof/>
        <w:sz w:val="20"/>
      </w:rPr>
      <w:fldChar w:fldCharType="separate"/>
    </w:r>
    <w:r w:rsidR="00401242">
      <w:rPr>
        <w:noProof/>
        <w:sz w:val="20"/>
      </w:rPr>
      <w:t>AIMizz_310720.docx</w:t>
    </w:r>
    <w:r w:rsidRPr="00563525">
      <w:rPr>
        <w:noProof/>
        <w:sz w:val="20"/>
      </w:rPr>
      <w:fldChar w:fldCharType="end"/>
    </w:r>
    <w:r w:rsidR="00433A7D" w:rsidRPr="00563525">
      <w:rPr>
        <w:sz w:val="20"/>
      </w:rPr>
      <w:t>; Izziņa</w:t>
    </w:r>
    <w:r w:rsidR="00433A7D" w:rsidRPr="007D0050">
      <w:rPr>
        <w:sz w:val="20"/>
      </w:rPr>
      <w:t xml:space="preserve"> par atzinumos sniegtajiem iebildumiem</w:t>
    </w:r>
    <w:r w:rsidR="00422699">
      <w:rPr>
        <w:sz w:val="20"/>
      </w:rPr>
      <w:t xml:space="preserve"> par Valsts aizsardzības koncepcijas projektu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0F78F7" w:rsidRDefault="006455E7" w:rsidP="00364BB6">
    <w:pPr>
      <w:pStyle w:val="Footer"/>
      <w:rPr>
        <w:sz w:val="16"/>
        <w:szCs w:val="16"/>
      </w:rPr>
    </w:pPr>
    <w:r w:rsidRPr="000F78F7">
      <w:rPr>
        <w:sz w:val="16"/>
        <w:szCs w:val="16"/>
      </w:rPr>
      <w:t>N0941_9p</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F7" w:rsidRDefault="007372F7">
      <w:r>
        <w:separator/>
      </w:r>
    </w:p>
  </w:footnote>
  <w:footnote w:type="continuationSeparator" w:id="0">
    <w:p w:rsidR="007372F7" w:rsidRDefault="0073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957"/>
    <w:multiLevelType w:val="hybridMultilevel"/>
    <w:tmpl w:val="AB58F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C182D"/>
    <w:multiLevelType w:val="hybridMultilevel"/>
    <w:tmpl w:val="24486198"/>
    <w:lvl w:ilvl="0" w:tplc="4A3AEA16">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B00DFE"/>
    <w:multiLevelType w:val="hybridMultilevel"/>
    <w:tmpl w:val="A1DC18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086FFE"/>
    <w:multiLevelType w:val="hybridMultilevel"/>
    <w:tmpl w:val="1AC4123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42A381A"/>
    <w:multiLevelType w:val="hybridMultilevel"/>
    <w:tmpl w:val="FF109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431A56"/>
    <w:multiLevelType w:val="hybridMultilevel"/>
    <w:tmpl w:val="5C1623EC"/>
    <w:lvl w:ilvl="0" w:tplc="87E002F6">
      <w:start w:val="1"/>
      <w:numFmt w:val="decimal"/>
      <w:lvlText w:val="%1."/>
      <w:lvlJc w:val="left"/>
      <w:pPr>
        <w:ind w:left="720" w:hanging="360"/>
      </w:pPr>
      <w:rPr>
        <w:rFonts w:ascii="Times New Roman" w:hAnsi="Times New Roman" w:cs="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A21643"/>
    <w:multiLevelType w:val="hybridMultilevel"/>
    <w:tmpl w:val="7FCE8F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45453F3"/>
    <w:multiLevelType w:val="hybridMultilevel"/>
    <w:tmpl w:val="7004BDEE"/>
    <w:lvl w:ilvl="0" w:tplc="09821418">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E911FF8"/>
    <w:multiLevelType w:val="hybridMultilevel"/>
    <w:tmpl w:val="2D2E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9"/>
  </w:num>
  <w:num w:numId="5">
    <w:abstractNumId w:val="6"/>
  </w:num>
  <w:num w:numId="6">
    <w:abstractNumId w:val="1"/>
  </w:num>
  <w:num w:numId="7">
    <w:abstractNumId w:val="7"/>
  </w:num>
  <w:num w:numId="8">
    <w:abstractNumId w:val="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DBB"/>
    <w:rsid w:val="00020249"/>
    <w:rsid w:val="00022338"/>
    <w:rsid w:val="0002296A"/>
    <w:rsid w:val="00022B0F"/>
    <w:rsid w:val="00022B9A"/>
    <w:rsid w:val="00023FD6"/>
    <w:rsid w:val="0002416A"/>
    <w:rsid w:val="00024CCD"/>
    <w:rsid w:val="00024D20"/>
    <w:rsid w:val="000253DB"/>
    <w:rsid w:val="00025B07"/>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5A1B"/>
    <w:rsid w:val="00046075"/>
    <w:rsid w:val="00046CAD"/>
    <w:rsid w:val="00046F5C"/>
    <w:rsid w:val="00047385"/>
    <w:rsid w:val="00050554"/>
    <w:rsid w:val="0005168B"/>
    <w:rsid w:val="00053706"/>
    <w:rsid w:val="00053E04"/>
    <w:rsid w:val="0005504F"/>
    <w:rsid w:val="0005729F"/>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87545"/>
    <w:rsid w:val="00090168"/>
    <w:rsid w:val="00090C76"/>
    <w:rsid w:val="00091033"/>
    <w:rsid w:val="0009136F"/>
    <w:rsid w:val="00091F10"/>
    <w:rsid w:val="0009302B"/>
    <w:rsid w:val="00093EC2"/>
    <w:rsid w:val="000958A2"/>
    <w:rsid w:val="000965E7"/>
    <w:rsid w:val="000A0041"/>
    <w:rsid w:val="000A06FC"/>
    <w:rsid w:val="000A1A02"/>
    <w:rsid w:val="000A38DD"/>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2BB9"/>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222"/>
    <w:rsid w:val="000E0A16"/>
    <w:rsid w:val="000E1BFA"/>
    <w:rsid w:val="000E2142"/>
    <w:rsid w:val="000E21D0"/>
    <w:rsid w:val="000E2A38"/>
    <w:rsid w:val="000E2ACC"/>
    <w:rsid w:val="000E45B4"/>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8EF"/>
    <w:rsid w:val="00101EEB"/>
    <w:rsid w:val="0010375A"/>
    <w:rsid w:val="001038ED"/>
    <w:rsid w:val="001042B0"/>
    <w:rsid w:val="00105FB8"/>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1C6"/>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871"/>
    <w:rsid w:val="00155DC2"/>
    <w:rsid w:val="00156D90"/>
    <w:rsid w:val="00156E9F"/>
    <w:rsid w:val="00157A57"/>
    <w:rsid w:val="00157DB6"/>
    <w:rsid w:val="00157EC2"/>
    <w:rsid w:val="0016246D"/>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3FEE"/>
    <w:rsid w:val="00184479"/>
    <w:rsid w:val="0018472C"/>
    <w:rsid w:val="00184838"/>
    <w:rsid w:val="00185755"/>
    <w:rsid w:val="00185F5F"/>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6F29"/>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165"/>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683"/>
    <w:rsid w:val="00215BFE"/>
    <w:rsid w:val="00215C44"/>
    <w:rsid w:val="002163BC"/>
    <w:rsid w:val="00216E73"/>
    <w:rsid w:val="0021774C"/>
    <w:rsid w:val="00217FF6"/>
    <w:rsid w:val="00222386"/>
    <w:rsid w:val="00222AED"/>
    <w:rsid w:val="00222F51"/>
    <w:rsid w:val="002230E1"/>
    <w:rsid w:val="00223361"/>
    <w:rsid w:val="002244BA"/>
    <w:rsid w:val="002247AA"/>
    <w:rsid w:val="00224DA7"/>
    <w:rsid w:val="002254CA"/>
    <w:rsid w:val="002261CB"/>
    <w:rsid w:val="002268BF"/>
    <w:rsid w:val="00227A12"/>
    <w:rsid w:val="00227B3C"/>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1E93"/>
    <w:rsid w:val="00252E1E"/>
    <w:rsid w:val="002538BA"/>
    <w:rsid w:val="0025469D"/>
    <w:rsid w:val="00254D1B"/>
    <w:rsid w:val="002552B1"/>
    <w:rsid w:val="00255D01"/>
    <w:rsid w:val="00256E55"/>
    <w:rsid w:val="00257E0E"/>
    <w:rsid w:val="00257FF4"/>
    <w:rsid w:val="00260FCB"/>
    <w:rsid w:val="002615F5"/>
    <w:rsid w:val="002616B9"/>
    <w:rsid w:val="0026217B"/>
    <w:rsid w:val="002622DB"/>
    <w:rsid w:val="002629E4"/>
    <w:rsid w:val="00263FE3"/>
    <w:rsid w:val="00265593"/>
    <w:rsid w:val="002675EA"/>
    <w:rsid w:val="00267BC5"/>
    <w:rsid w:val="00267CBE"/>
    <w:rsid w:val="00267E0B"/>
    <w:rsid w:val="00270680"/>
    <w:rsid w:val="00271103"/>
    <w:rsid w:val="00271238"/>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45F"/>
    <w:rsid w:val="002927D3"/>
    <w:rsid w:val="00294BDE"/>
    <w:rsid w:val="00295DB6"/>
    <w:rsid w:val="0029788B"/>
    <w:rsid w:val="00297D1B"/>
    <w:rsid w:val="00297F4D"/>
    <w:rsid w:val="002A0226"/>
    <w:rsid w:val="002A0661"/>
    <w:rsid w:val="002A1CF2"/>
    <w:rsid w:val="002A2ED0"/>
    <w:rsid w:val="002A3A84"/>
    <w:rsid w:val="002A411B"/>
    <w:rsid w:val="002A4C3E"/>
    <w:rsid w:val="002A56BC"/>
    <w:rsid w:val="002A5C53"/>
    <w:rsid w:val="002A6AD6"/>
    <w:rsid w:val="002A72CC"/>
    <w:rsid w:val="002A76AB"/>
    <w:rsid w:val="002A7A4F"/>
    <w:rsid w:val="002A7AFE"/>
    <w:rsid w:val="002B01DB"/>
    <w:rsid w:val="002B08AA"/>
    <w:rsid w:val="002B09C0"/>
    <w:rsid w:val="002B13B3"/>
    <w:rsid w:val="002B183D"/>
    <w:rsid w:val="002B1DBF"/>
    <w:rsid w:val="002B1F06"/>
    <w:rsid w:val="002B207F"/>
    <w:rsid w:val="002B24A1"/>
    <w:rsid w:val="002B2588"/>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07A"/>
    <w:rsid w:val="002E3D66"/>
    <w:rsid w:val="002E3F11"/>
    <w:rsid w:val="002E4B11"/>
    <w:rsid w:val="002E4F70"/>
    <w:rsid w:val="002E5886"/>
    <w:rsid w:val="002E5AD3"/>
    <w:rsid w:val="002E635D"/>
    <w:rsid w:val="002E7562"/>
    <w:rsid w:val="002F071F"/>
    <w:rsid w:val="002F14C1"/>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51C"/>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5F1"/>
    <w:rsid w:val="00325D91"/>
    <w:rsid w:val="003267B4"/>
    <w:rsid w:val="00331193"/>
    <w:rsid w:val="003333D4"/>
    <w:rsid w:val="00334951"/>
    <w:rsid w:val="00336411"/>
    <w:rsid w:val="0033678D"/>
    <w:rsid w:val="00336D75"/>
    <w:rsid w:val="0033720D"/>
    <w:rsid w:val="003373E8"/>
    <w:rsid w:val="003443DD"/>
    <w:rsid w:val="00344D5A"/>
    <w:rsid w:val="00346EB6"/>
    <w:rsid w:val="00347EDB"/>
    <w:rsid w:val="00350797"/>
    <w:rsid w:val="00351A85"/>
    <w:rsid w:val="003522E8"/>
    <w:rsid w:val="00353989"/>
    <w:rsid w:val="00353F96"/>
    <w:rsid w:val="00355B7A"/>
    <w:rsid w:val="0035617C"/>
    <w:rsid w:val="00356E7E"/>
    <w:rsid w:val="00356EB8"/>
    <w:rsid w:val="00357B83"/>
    <w:rsid w:val="003614A8"/>
    <w:rsid w:val="0036160E"/>
    <w:rsid w:val="00362610"/>
    <w:rsid w:val="00363830"/>
    <w:rsid w:val="00363CF9"/>
    <w:rsid w:val="00363D2D"/>
    <w:rsid w:val="00364BB6"/>
    <w:rsid w:val="00364D6B"/>
    <w:rsid w:val="00365408"/>
    <w:rsid w:val="00365CC0"/>
    <w:rsid w:val="003668DF"/>
    <w:rsid w:val="00367688"/>
    <w:rsid w:val="00372221"/>
    <w:rsid w:val="00372CF2"/>
    <w:rsid w:val="00374C7E"/>
    <w:rsid w:val="00377103"/>
    <w:rsid w:val="00377353"/>
    <w:rsid w:val="0037736B"/>
    <w:rsid w:val="00381F57"/>
    <w:rsid w:val="0038216E"/>
    <w:rsid w:val="003822E5"/>
    <w:rsid w:val="003830B8"/>
    <w:rsid w:val="00383262"/>
    <w:rsid w:val="00392D17"/>
    <w:rsid w:val="003A157A"/>
    <w:rsid w:val="003A27F8"/>
    <w:rsid w:val="003A283F"/>
    <w:rsid w:val="003A2A16"/>
    <w:rsid w:val="003A2B0E"/>
    <w:rsid w:val="003A2FDD"/>
    <w:rsid w:val="003A3C43"/>
    <w:rsid w:val="003A4C03"/>
    <w:rsid w:val="003A5CCC"/>
    <w:rsid w:val="003A69AC"/>
    <w:rsid w:val="003A70FF"/>
    <w:rsid w:val="003A74D2"/>
    <w:rsid w:val="003A756B"/>
    <w:rsid w:val="003A7902"/>
    <w:rsid w:val="003B0CD5"/>
    <w:rsid w:val="003B23D7"/>
    <w:rsid w:val="003B34CB"/>
    <w:rsid w:val="003B3AB4"/>
    <w:rsid w:val="003B3CA8"/>
    <w:rsid w:val="003B45D5"/>
    <w:rsid w:val="003B52FE"/>
    <w:rsid w:val="003B572A"/>
    <w:rsid w:val="003B5F70"/>
    <w:rsid w:val="003B6325"/>
    <w:rsid w:val="003B71E0"/>
    <w:rsid w:val="003B78A4"/>
    <w:rsid w:val="003C144E"/>
    <w:rsid w:val="003C1A07"/>
    <w:rsid w:val="003C1AF7"/>
    <w:rsid w:val="003C1B68"/>
    <w:rsid w:val="003C1E74"/>
    <w:rsid w:val="003C20A2"/>
    <w:rsid w:val="003C2673"/>
    <w:rsid w:val="003C27A2"/>
    <w:rsid w:val="003C567C"/>
    <w:rsid w:val="003C59B8"/>
    <w:rsid w:val="003C6809"/>
    <w:rsid w:val="003C7897"/>
    <w:rsid w:val="003D0937"/>
    <w:rsid w:val="003D0D4E"/>
    <w:rsid w:val="003D17E6"/>
    <w:rsid w:val="003D1A20"/>
    <w:rsid w:val="003D1AC9"/>
    <w:rsid w:val="003D2AC9"/>
    <w:rsid w:val="003D2CD8"/>
    <w:rsid w:val="003D3724"/>
    <w:rsid w:val="003D4030"/>
    <w:rsid w:val="003D46A7"/>
    <w:rsid w:val="003D6376"/>
    <w:rsid w:val="003D6A94"/>
    <w:rsid w:val="003E1235"/>
    <w:rsid w:val="003E2A35"/>
    <w:rsid w:val="003E2B56"/>
    <w:rsid w:val="003E2CE1"/>
    <w:rsid w:val="003E2DCB"/>
    <w:rsid w:val="003E41E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242"/>
    <w:rsid w:val="004013AD"/>
    <w:rsid w:val="00402215"/>
    <w:rsid w:val="00402C35"/>
    <w:rsid w:val="0040405B"/>
    <w:rsid w:val="00404195"/>
    <w:rsid w:val="00404211"/>
    <w:rsid w:val="004042A4"/>
    <w:rsid w:val="00404346"/>
    <w:rsid w:val="004043DC"/>
    <w:rsid w:val="004043F3"/>
    <w:rsid w:val="00404DAA"/>
    <w:rsid w:val="00404DDD"/>
    <w:rsid w:val="0040578B"/>
    <w:rsid w:val="004065D6"/>
    <w:rsid w:val="0040687D"/>
    <w:rsid w:val="0040709D"/>
    <w:rsid w:val="0040713F"/>
    <w:rsid w:val="004075A3"/>
    <w:rsid w:val="00410C48"/>
    <w:rsid w:val="00416277"/>
    <w:rsid w:val="00416E24"/>
    <w:rsid w:val="0042063D"/>
    <w:rsid w:val="004213D6"/>
    <w:rsid w:val="00422699"/>
    <w:rsid w:val="00422B23"/>
    <w:rsid w:val="00423A60"/>
    <w:rsid w:val="0042651C"/>
    <w:rsid w:val="00426E9B"/>
    <w:rsid w:val="00427D55"/>
    <w:rsid w:val="0043233C"/>
    <w:rsid w:val="00432CCB"/>
    <w:rsid w:val="00433A7D"/>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019"/>
    <w:rsid w:val="00450380"/>
    <w:rsid w:val="004505C6"/>
    <w:rsid w:val="004520CD"/>
    <w:rsid w:val="00452DF3"/>
    <w:rsid w:val="004534F5"/>
    <w:rsid w:val="00453765"/>
    <w:rsid w:val="00454EC3"/>
    <w:rsid w:val="0045530A"/>
    <w:rsid w:val="004554AE"/>
    <w:rsid w:val="004554C3"/>
    <w:rsid w:val="00455FB6"/>
    <w:rsid w:val="0045665E"/>
    <w:rsid w:val="00457197"/>
    <w:rsid w:val="00457555"/>
    <w:rsid w:val="00457971"/>
    <w:rsid w:val="00457DD8"/>
    <w:rsid w:val="004603D0"/>
    <w:rsid w:val="004624AE"/>
    <w:rsid w:val="0046250E"/>
    <w:rsid w:val="00462E9C"/>
    <w:rsid w:val="0046336F"/>
    <w:rsid w:val="004636D4"/>
    <w:rsid w:val="00464B48"/>
    <w:rsid w:val="00465231"/>
    <w:rsid w:val="00465BB3"/>
    <w:rsid w:val="004662AD"/>
    <w:rsid w:val="00466516"/>
    <w:rsid w:val="0046689E"/>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4D6D"/>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779"/>
    <w:rsid w:val="004B3EC7"/>
    <w:rsid w:val="004B5664"/>
    <w:rsid w:val="004C2107"/>
    <w:rsid w:val="004C5FC6"/>
    <w:rsid w:val="004C6435"/>
    <w:rsid w:val="004C649B"/>
    <w:rsid w:val="004C7B9C"/>
    <w:rsid w:val="004C7D55"/>
    <w:rsid w:val="004D089A"/>
    <w:rsid w:val="004D19ED"/>
    <w:rsid w:val="004D3184"/>
    <w:rsid w:val="004D5030"/>
    <w:rsid w:val="004D5FE2"/>
    <w:rsid w:val="004D6045"/>
    <w:rsid w:val="004D7546"/>
    <w:rsid w:val="004D792B"/>
    <w:rsid w:val="004D7EC5"/>
    <w:rsid w:val="004E02B0"/>
    <w:rsid w:val="004E0B29"/>
    <w:rsid w:val="004E0E11"/>
    <w:rsid w:val="004E0F08"/>
    <w:rsid w:val="004E1546"/>
    <w:rsid w:val="004E19DC"/>
    <w:rsid w:val="004E1F03"/>
    <w:rsid w:val="004E35E8"/>
    <w:rsid w:val="004E50F0"/>
    <w:rsid w:val="004E5100"/>
    <w:rsid w:val="004E6A03"/>
    <w:rsid w:val="004F0070"/>
    <w:rsid w:val="004F0468"/>
    <w:rsid w:val="004F0C51"/>
    <w:rsid w:val="004F263C"/>
    <w:rsid w:val="004F2BB1"/>
    <w:rsid w:val="004F2EC7"/>
    <w:rsid w:val="004F3CE8"/>
    <w:rsid w:val="004F6BFB"/>
    <w:rsid w:val="004F6E8A"/>
    <w:rsid w:val="004F7E4A"/>
    <w:rsid w:val="005004C5"/>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2159"/>
    <w:rsid w:val="00523378"/>
    <w:rsid w:val="0052550F"/>
    <w:rsid w:val="00526C0F"/>
    <w:rsid w:val="0052702A"/>
    <w:rsid w:val="00530397"/>
    <w:rsid w:val="00530F73"/>
    <w:rsid w:val="00533B8E"/>
    <w:rsid w:val="00535417"/>
    <w:rsid w:val="00535833"/>
    <w:rsid w:val="00536D28"/>
    <w:rsid w:val="005372C5"/>
    <w:rsid w:val="00537A26"/>
    <w:rsid w:val="00540E47"/>
    <w:rsid w:val="00541D97"/>
    <w:rsid w:val="00543283"/>
    <w:rsid w:val="0054364C"/>
    <w:rsid w:val="00546747"/>
    <w:rsid w:val="00546F52"/>
    <w:rsid w:val="00547510"/>
    <w:rsid w:val="00547ECC"/>
    <w:rsid w:val="00551D5A"/>
    <w:rsid w:val="00551EC3"/>
    <w:rsid w:val="005537F7"/>
    <w:rsid w:val="00554A44"/>
    <w:rsid w:val="00554C53"/>
    <w:rsid w:val="00554F18"/>
    <w:rsid w:val="00555220"/>
    <w:rsid w:val="005555F0"/>
    <w:rsid w:val="00555739"/>
    <w:rsid w:val="00555747"/>
    <w:rsid w:val="00556E75"/>
    <w:rsid w:val="0056069A"/>
    <w:rsid w:val="00560C3B"/>
    <w:rsid w:val="00561EA1"/>
    <w:rsid w:val="00562799"/>
    <w:rsid w:val="00563525"/>
    <w:rsid w:val="00564804"/>
    <w:rsid w:val="00565598"/>
    <w:rsid w:val="00565B5A"/>
    <w:rsid w:val="00567E8F"/>
    <w:rsid w:val="005702D6"/>
    <w:rsid w:val="00572588"/>
    <w:rsid w:val="00573A50"/>
    <w:rsid w:val="005746D2"/>
    <w:rsid w:val="00574E8A"/>
    <w:rsid w:val="00576B9B"/>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3E24"/>
    <w:rsid w:val="005B40DA"/>
    <w:rsid w:val="005B4226"/>
    <w:rsid w:val="005B5AA4"/>
    <w:rsid w:val="005B656B"/>
    <w:rsid w:val="005B71B3"/>
    <w:rsid w:val="005B76A4"/>
    <w:rsid w:val="005C04A7"/>
    <w:rsid w:val="005C17A4"/>
    <w:rsid w:val="005C27CC"/>
    <w:rsid w:val="005C2E0A"/>
    <w:rsid w:val="005C370D"/>
    <w:rsid w:val="005C504E"/>
    <w:rsid w:val="005C6045"/>
    <w:rsid w:val="005C6153"/>
    <w:rsid w:val="005C6802"/>
    <w:rsid w:val="005C78B0"/>
    <w:rsid w:val="005C7B95"/>
    <w:rsid w:val="005D01EB"/>
    <w:rsid w:val="005D0BD7"/>
    <w:rsid w:val="005D0DFB"/>
    <w:rsid w:val="005D1112"/>
    <w:rsid w:val="005D237C"/>
    <w:rsid w:val="005D25E2"/>
    <w:rsid w:val="005D25FF"/>
    <w:rsid w:val="005D2632"/>
    <w:rsid w:val="005D38E0"/>
    <w:rsid w:val="005D3F32"/>
    <w:rsid w:val="005D4E3E"/>
    <w:rsid w:val="005D52DA"/>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63B"/>
    <w:rsid w:val="00623DD5"/>
    <w:rsid w:val="00624269"/>
    <w:rsid w:val="00624A34"/>
    <w:rsid w:val="0062568D"/>
    <w:rsid w:val="006256D3"/>
    <w:rsid w:val="006267F5"/>
    <w:rsid w:val="00627337"/>
    <w:rsid w:val="00630069"/>
    <w:rsid w:val="006301EC"/>
    <w:rsid w:val="00630583"/>
    <w:rsid w:val="00630790"/>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4D0"/>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A85"/>
    <w:rsid w:val="00664B44"/>
    <w:rsid w:val="006652BF"/>
    <w:rsid w:val="00665E38"/>
    <w:rsid w:val="0066630C"/>
    <w:rsid w:val="00667BBD"/>
    <w:rsid w:val="00671149"/>
    <w:rsid w:val="00671615"/>
    <w:rsid w:val="00671741"/>
    <w:rsid w:val="00671766"/>
    <w:rsid w:val="00672914"/>
    <w:rsid w:val="00673BC4"/>
    <w:rsid w:val="006744C3"/>
    <w:rsid w:val="0067537F"/>
    <w:rsid w:val="00676410"/>
    <w:rsid w:val="00680509"/>
    <w:rsid w:val="006805CB"/>
    <w:rsid w:val="00681CC1"/>
    <w:rsid w:val="0068233B"/>
    <w:rsid w:val="00682E11"/>
    <w:rsid w:val="00683081"/>
    <w:rsid w:val="00683675"/>
    <w:rsid w:val="00684C95"/>
    <w:rsid w:val="006850D3"/>
    <w:rsid w:val="00685249"/>
    <w:rsid w:val="006856B9"/>
    <w:rsid w:val="00685BDE"/>
    <w:rsid w:val="00686085"/>
    <w:rsid w:val="00687C0D"/>
    <w:rsid w:val="00691237"/>
    <w:rsid w:val="006920E6"/>
    <w:rsid w:val="00692555"/>
    <w:rsid w:val="006963BA"/>
    <w:rsid w:val="00696496"/>
    <w:rsid w:val="00696566"/>
    <w:rsid w:val="006966BA"/>
    <w:rsid w:val="0069722D"/>
    <w:rsid w:val="006A0052"/>
    <w:rsid w:val="006A00E4"/>
    <w:rsid w:val="006A0A9E"/>
    <w:rsid w:val="006A0D87"/>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3E"/>
    <w:rsid w:val="006C41FF"/>
    <w:rsid w:val="006C5145"/>
    <w:rsid w:val="006C65A8"/>
    <w:rsid w:val="006D05AD"/>
    <w:rsid w:val="006D0EC1"/>
    <w:rsid w:val="006D16F8"/>
    <w:rsid w:val="006D1813"/>
    <w:rsid w:val="006D24A9"/>
    <w:rsid w:val="006D2AF3"/>
    <w:rsid w:val="006D4D79"/>
    <w:rsid w:val="006D4FBD"/>
    <w:rsid w:val="006D5879"/>
    <w:rsid w:val="006D63FD"/>
    <w:rsid w:val="006D6510"/>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96C"/>
    <w:rsid w:val="006F4A61"/>
    <w:rsid w:val="006F4ADC"/>
    <w:rsid w:val="006F643D"/>
    <w:rsid w:val="006F675C"/>
    <w:rsid w:val="006F6D13"/>
    <w:rsid w:val="006F748A"/>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ED1"/>
    <w:rsid w:val="00730598"/>
    <w:rsid w:val="00731C24"/>
    <w:rsid w:val="0073257E"/>
    <w:rsid w:val="00732A32"/>
    <w:rsid w:val="00733066"/>
    <w:rsid w:val="00733469"/>
    <w:rsid w:val="00733539"/>
    <w:rsid w:val="00735557"/>
    <w:rsid w:val="00737108"/>
    <w:rsid w:val="007372F7"/>
    <w:rsid w:val="007379CE"/>
    <w:rsid w:val="007419A7"/>
    <w:rsid w:val="00741B21"/>
    <w:rsid w:val="00741DD8"/>
    <w:rsid w:val="00741E49"/>
    <w:rsid w:val="0074250D"/>
    <w:rsid w:val="007445E2"/>
    <w:rsid w:val="00745386"/>
    <w:rsid w:val="00745496"/>
    <w:rsid w:val="007460DA"/>
    <w:rsid w:val="0074705B"/>
    <w:rsid w:val="007470EC"/>
    <w:rsid w:val="0075020B"/>
    <w:rsid w:val="00751017"/>
    <w:rsid w:val="00751960"/>
    <w:rsid w:val="007535C7"/>
    <w:rsid w:val="00754A55"/>
    <w:rsid w:val="00756551"/>
    <w:rsid w:val="00757769"/>
    <w:rsid w:val="0076067E"/>
    <w:rsid w:val="00761873"/>
    <w:rsid w:val="00761BFD"/>
    <w:rsid w:val="00761D5C"/>
    <w:rsid w:val="00761FE5"/>
    <w:rsid w:val="00762476"/>
    <w:rsid w:val="00762A18"/>
    <w:rsid w:val="00763AE2"/>
    <w:rsid w:val="0076467D"/>
    <w:rsid w:val="00764B8F"/>
    <w:rsid w:val="00766D90"/>
    <w:rsid w:val="00767C19"/>
    <w:rsid w:val="00767D4E"/>
    <w:rsid w:val="00771067"/>
    <w:rsid w:val="007722ED"/>
    <w:rsid w:val="0077408B"/>
    <w:rsid w:val="00774AF6"/>
    <w:rsid w:val="00774EC8"/>
    <w:rsid w:val="00776781"/>
    <w:rsid w:val="007776CC"/>
    <w:rsid w:val="00777CE9"/>
    <w:rsid w:val="00780D05"/>
    <w:rsid w:val="00783C7B"/>
    <w:rsid w:val="00783F18"/>
    <w:rsid w:val="0078556C"/>
    <w:rsid w:val="007855C5"/>
    <w:rsid w:val="007856D3"/>
    <w:rsid w:val="00785ABD"/>
    <w:rsid w:val="007860C6"/>
    <w:rsid w:val="00786254"/>
    <w:rsid w:val="00786DB0"/>
    <w:rsid w:val="00787D47"/>
    <w:rsid w:val="0079014E"/>
    <w:rsid w:val="0079148B"/>
    <w:rsid w:val="00792971"/>
    <w:rsid w:val="00792BAF"/>
    <w:rsid w:val="007935C6"/>
    <w:rsid w:val="00794129"/>
    <w:rsid w:val="00794516"/>
    <w:rsid w:val="00794878"/>
    <w:rsid w:val="00795512"/>
    <w:rsid w:val="00795AB7"/>
    <w:rsid w:val="00795E37"/>
    <w:rsid w:val="0079694C"/>
    <w:rsid w:val="00796D89"/>
    <w:rsid w:val="00796DA2"/>
    <w:rsid w:val="007A0415"/>
    <w:rsid w:val="007A06BA"/>
    <w:rsid w:val="007A12A5"/>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7E7"/>
    <w:rsid w:val="007B4C0F"/>
    <w:rsid w:val="007B5A50"/>
    <w:rsid w:val="007B5E25"/>
    <w:rsid w:val="007B6E0E"/>
    <w:rsid w:val="007C27FB"/>
    <w:rsid w:val="007C2CBB"/>
    <w:rsid w:val="007C309C"/>
    <w:rsid w:val="007C4209"/>
    <w:rsid w:val="007C5EB9"/>
    <w:rsid w:val="007C7449"/>
    <w:rsid w:val="007C7EA5"/>
    <w:rsid w:val="007D0050"/>
    <w:rsid w:val="007D1A95"/>
    <w:rsid w:val="007D245E"/>
    <w:rsid w:val="007D3764"/>
    <w:rsid w:val="007D485A"/>
    <w:rsid w:val="007D5496"/>
    <w:rsid w:val="007D54FF"/>
    <w:rsid w:val="007D57D4"/>
    <w:rsid w:val="007D6315"/>
    <w:rsid w:val="007D724A"/>
    <w:rsid w:val="007D75A3"/>
    <w:rsid w:val="007D79C7"/>
    <w:rsid w:val="007D7DC8"/>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6B7B"/>
    <w:rsid w:val="007F7022"/>
    <w:rsid w:val="007F7690"/>
    <w:rsid w:val="008011CC"/>
    <w:rsid w:val="00801404"/>
    <w:rsid w:val="008017AA"/>
    <w:rsid w:val="00801CBA"/>
    <w:rsid w:val="00801D92"/>
    <w:rsid w:val="008027EC"/>
    <w:rsid w:val="00804BCF"/>
    <w:rsid w:val="00804FA4"/>
    <w:rsid w:val="00805275"/>
    <w:rsid w:val="00806A62"/>
    <w:rsid w:val="00806E55"/>
    <w:rsid w:val="008075CE"/>
    <w:rsid w:val="0080787C"/>
    <w:rsid w:val="00812179"/>
    <w:rsid w:val="008124E2"/>
    <w:rsid w:val="00813928"/>
    <w:rsid w:val="008141FD"/>
    <w:rsid w:val="00815321"/>
    <w:rsid w:val="008166DB"/>
    <w:rsid w:val="008173E0"/>
    <w:rsid w:val="008175C1"/>
    <w:rsid w:val="008200D4"/>
    <w:rsid w:val="00820370"/>
    <w:rsid w:val="00820CC6"/>
    <w:rsid w:val="00822C41"/>
    <w:rsid w:val="00825043"/>
    <w:rsid w:val="00825267"/>
    <w:rsid w:val="008264EC"/>
    <w:rsid w:val="00827C0D"/>
    <w:rsid w:val="0083058E"/>
    <w:rsid w:val="00830642"/>
    <w:rsid w:val="00830953"/>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C55"/>
    <w:rsid w:val="00840DB0"/>
    <w:rsid w:val="00840EDE"/>
    <w:rsid w:val="008417C8"/>
    <w:rsid w:val="008418A5"/>
    <w:rsid w:val="00841FB2"/>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EF0"/>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194A"/>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274"/>
    <w:rsid w:val="008E1335"/>
    <w:rsid w:val="008E2355"/>
    <w:rsid w:val="008E3151"/>
    <w:rsid w:val="008E3386"/>
    <w:rsid w:val="008E5410"/>
    <w:rsid w:val="008E5A3F"/>
    <w:rsid w:val="008E7209"/>
    <w:rsid w:val="008E7448"/>
    <w:rsid w:val="008F11BB"/>
    <w:rsid w:val="008F16FF"/>
    <w:rsid w:val="008F182F"/>
    <w:rsid w:val="008F1E95"/>
    <w:rsid w:val="008F2304"/>
    <w:rsid w:val="008F395D"/>
    <w:rsid w:val="008F545B"/>
    <w:rsid w:val="008F57DD"/>
    <w:rsid w:val="008F5AEE"/>
    <w:rsid w:val="008F6408"/>
    <w:rsid w:val="008F6AFE"/>
    <w:rsid w:val="008F6EAA"/>
    <w:rsid w:val="008F7800"/>
    <w:rsid w:val="008F7BCA"/>
    <w:rsid w:val="00900F4D"/>
    <w:rsid w:val="0090167B"/>
    <w:rsid w:val="00902DEC"/>
    <w:rsid w:val="0090342E"/>
    <w:rsid w:val="00903D3A"/>
    <w:rsid w:val="00903F24"/>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402"/>
    <w:rsid w:val="009257B0"/>
    <w:rsid w:val="009258BD"/>
    <w:rsid w:val="00925DEB"/>
    <w:rsid w:val="009263C0"/>
    <w:rsid w:val="009302D4"/>
    <w:rsid w:val="009307F2"/>
    <w:rsid w:val="00930CEC"/>
    <w:rsid w:val="00930F4A"/>
    <w:rsid w:val="0093375E"/>
    <w:rsid w:val="00933BEF"/>
    <w:rsid w:val="009351D7"/>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00D9"/>
    <w:rsid w:val="00961487"/>
    <w:rsid w:val="00961BA7"/>
    <w:rsid w:val="00961F01"/>
    <w:rsid w:val="00962162"/>
    <w:rsid w:val="009623BC"/>
    <w:rsid w:val="009628BE"/>
    <w:rsid w:val="009631C8"/>
    <w:rsid w:val="00963AE4"/>
    <w:rsid w:val="00963C14"/>
    <w:rsid w:val="009645CD"/>
    <w:rsid w:val="00965940"/>
    <w:rsid w:val="00965A4E"/>
    <w:rsid w:val="0096635D"/>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232"/>
    <w:rsid w:val="0099643A"/>
    <w:rsid w:val="00997959"/>
    <w:rsid w:val="009A0BAF"/>
    <w:rsid w:val="009A1431"/>
    <w:rsid w:val="009A153D"/>
    <w:rsid w:val="009A1634"/>
    <w:rsid w:val="009A3A34"/>
    <w:rsid w:val="009A3FE2"/>
    <w:rsid w:val="009A400C"/>
    <w:rsid w:val="009A44EF"/>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048"/>
    <w:rsid w:val="009B561F"/>
    <w:rsid w:val="009B5773"/>
    <w:rsid w:val="009B5D2D"/>
    <w:rsid w:val="009C058F"/>
    <w:rsid w:val="009C2541"/>
    <w:rsid w:val="009C2B3E"/>
    <w:rsid w:val="009C2EA2"/>
    <w:rsid w:val="009C3721"/>
    <w:rsid w:val="009C39C2"/>
    <w:rsid w:val="009C4141"/>
    <w:rsid w:val="009C4B55"/>
    <w:rsid w:val="009C5FCC"/>
    <w:rsid w:val="009C61A2"/>
    <w:rsid w:val="009C6DF6"/>
    <w:rsid w:val="009C6E92"/>
    <w:rsid w:val="009D01AD"/>
    <w:rsid w:val="009D04F7"/>
    <w:rsid w:val="009D1589"/>
    <w:rsid w:val="009D2003"/>
    <w:rsid w:val="009D38C2"/>
    <w:rsid w:val="009D417F"/>
    <w:rsid w:val="009D45E5"/>
    <w:rsid w:val="009D4B85"/>
    <w:rsid w:val="009D535B"/>
    <w:rsid w:val="009D630B"/>
    <w:rsid w:val="009D6887"/>
    <w:rsid w:val="009D6CAA"/>
    <w:rsid w:val="009D6CF6"/>
    <w:rsid w:val="009D6E69"/>
    <w:rsid w:val="009E02DC"/>
    <w:rsid w:val="009E2040"/>
    <w:rsid w:val="009E242B"/>
    <w:rsid w:val="009E26F4"/>
    <w:rsid w:val="009E49AE"/>
    <w:rsid w:val="009E4DC7"/>
    <w:rsid w:val="009E660A"/>
    <w:rsid w:val="009E6B64"/>
    <w:rsid w:val="009E72E5"/>
    <w:rsid w:val="009F421B"/>
    <w:rsid w:val="009F46C8"/>
    <w:rsid w:val="009F4F2A"/>
    <w:rsid w:val="009F64D9"/>
    <w:rsid w:val="009F660B"/>
    <w:rsid w:val="009F671E"/>
    <w:rsid w:val="009F7ED1"/>
    <w:rsid w:val="00A0149B"/>
    <w:rsid w:val="00A01607"/>
    <w:rsid w:val="00A018D4"/>
    <w:rsid w:val="00A02F9D"/>
    <w:rsid w:val="00A0339F"/>
    <w:rsid w:val="00A03767"/>
    <w:rsid w:val="00A04834"/>
    <w:rsid w:val="00A05628"/>
    <w:rsid w:val="00A07DCF"/>
    <w:rsid w:val="00A12979"/>
    <w:rsid w:val="00A131A9"/>
    <w:rsid w:val="00A1496E"/>
    <w:rsid w:val="00A14F84"/>
    <w:rsid w:val="00A1682C"/>
    <w:rsid w:val="00A16D6D"/>
    <w:rsid w:val="00A17C75"/>
    <w:rsid w:val="00A211C8"/>
    <w:rsid w:val="00A2121E"/>
    <w:rsid w:val="00A21EAC"/>
    <w:rsid w:val="00A221DE"/>
    <w:rsid w:val="00A22CB2"/>
    <w:rsid w:val="00A23138"/>
    <w:rsid w:val="00A23940"/>
    <w:rsid w:val="00A23ECC"/>
    <w:rsid w:val="00A24A77"/>
    <w:rsid w:val="00A24CD3"/>
    <w:rsid w:val="00A25461"/>
    <w:rsid w:val="00A26367"/>
    <w:rsid w:val="00A2678A"/>
    <w:rsid w:val="00A269E1"/>
    <w:rsid w:val="00A27C1C"/>
    <w:rsid w:val="00A30F6A"/>
    <w:rsid w:val="00A32AEA"/>
    <w:rsid w:val="00A32F32"/>
    <w:rsid w:val="00A33E80"/>
    <w:rsid w:val="00A33EFE"/>
    <w:rsid w:val="00A4148D"/>
    <w:rsid w:val="00A41CF6"/>
    <w:rsid w:val="00A43678"/>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4A8"/>
    <w:rsid w:val="00A63AC9"/>
    <w:rsid w:val="00A64502"/>
    <w:rsid w:val="00A64B5F"/>
    <w:rsid w:val="00A65EA0"/>
    <w:rsid w:val="00A66517"/>
    <w:rsid w:val="00A66D6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5F0F"/>
    <w:rsid w:val="00A861F3"/>
    <w:rsid w:val="00A8728F"/>
    <w:rsid w:val="00A8756A"/>
    <w:rsid w:val="00A87F7D"/>
    <w:rsid w:val="00A906B7"/>
    <w:rsid w:val="00A9070E"/>
    <w:rsid w:val="00A92DD4"/>
    <w:rsid w:val="00A94995"/>
    <w:rsid w:val="00A94D0F"/>
    <w:rsid w:val="00A94F13"/>
    <w:rsid w:val="00A9568C"/>
    <w:rsid w:val="00A95BED"/>
    <w:rsid w:val="00A95EA2"/>
    <w:rsid w:val="00A96F2A"/>
    <w:rsid w:val="00A97367"/>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289"/>
    <w:rsid w:val="00AB14A1"/>
    <w:rsid w:val="00AB202A"/>
    <w:rsid w:val="00AB398E"/>
    <w:rsid w:val="00AB5555"/>
    <w:rsid w:val="00AB55AD"/>
    <w:rsid w:val="00AB5D1B"/>
    <w:rsid w:val="00AB5D32"/>
    <w:rsid w:val="00AB6918"/>
    <w:rsid w:val="00AB6B40"/>
    <w:rsid w:val="00AB6FC2"/>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444"/>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0834"/>
    <w:rsid w:val="00B31E8D"/>
    <w:rsid w:val="00B3313B"/>
    <w:rsid w:val="00B331E8"/>
    <w:rsid w:val="00B331EA"/>
    <w:rsid w:val="00B34732"/>
    <w:rsid w:val="00B353B8"/>
    <w:rsid w:val="00B35C56"/>
    <w:rsid w:val="00B36F17"/>
    <w:rsid w:val="00B372ED"/>
    <w:rsid w:val="00B40603"/>
    <w:rsid w:val="00B40AF6"/>
    <w:rsid w:val="00B41071"/>
    <w:rsid w:val="00B423FC"/>
    <w:rsid w:val="00B425C0"/>
    <w:rsid w:val="00B42DB6"/>
    <w:rsid w:val="00B43915"/>
    <w:rsid w:val="00B46957"/>
    <w:rsid w:val="00B47B54"/>
    <w:rsid w:val="00B50E99"/>
    <w:rsid w:val="00B51926"/>
    <w:rsid w:val="00B51F9A"/>
    <w:rsid w:val="00B54DA7"/>
    <w:rsid w:val="00B600C6"/>
    <w:rsid w:val="00B60167"/>
    <w:rsid w:val="00B60FC0"/>
    <w:rsid w:val="00B61665"/>
    <w:rsid w:val="00B6299F"/>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6FCC"/>
    <w:rsid w:val="00BC7DC6"/>
    <w:rsid w:val="00BD1039"/>
    <w:rsid w:val="00BD13B5"/>
    <w:rsid w:val="00BD2EFC"/>
    <w:rsid w:val="00BD340E"/>
    <w:rsid w:val="00BD60AD"/>
    <w:rsid w:val="00BD6C02"/>
    <w:rsid w:val="00BE0052"/>
    <w:rsid w:val="00BE1244"/>
    <w:rsid w:val="00BE165D"/>
    <w:rsid w:val="00BE2394"/>
    <w:rsid w:val="00BE2702"/>
    <w:rsid w:val="00BE33DB"/>
    <w:rsid w:val="00BE4326"/>
    <w:rsid w:val="00BE5F4F"/>
    <w:rsid w:val="00BE60DB"/>
    <w:rsid w:val="00BF0191"/>
    <w:rsid w:val="00BF13EC"/>
    <w:rsid w:val="00BF1C07"/>
    <w:rsid w:val="00BF2288"/>
    <w:rsid w:val="00BF3DEE"/>
    <w:rsid w:val="00BF54AC"/>
    <w:rsid w:val="00BF54BD"/>
    <w:rsid w:val="00BF5526"/>
    <w:rsid w:val="00BF6B8E"/>
    <w:rsid w:val="00C025A5"/>
    <w:rsid w:val="00C03C78"/>
    <w:rsid w:val="00C040EC"/>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0FA"/>
    <w:rsid w:val="00C21943"/>
    <w:rsid w:val="00C21C39"/>
    <w:rsid w:val="00C2325C"/>
    <w:rsid w:val="00C239ED"/>
    <w:rsid w:val="00C24D9D"/>
    <w:rsid w:val="00C25C83"/>
    <w:rsid w:val="00C25CF3"/>
    <w:rsid w:val="00C263E9"/>
    <w:rsid w:val="00C2775A"/>
    <w:rsid w:val="00C277FA"/>
    <w:rsid w:val="00C3063A"/>
    <w:rsid w:val="00C30BAD"/>
    <w:rsid w:val="00C31E8F"/>
    <w:rsid w:val="00C335DA"/>
    <w:rsid w:val="00C33D3E"/>
    <w:rsid w:val="00C362E0"/>
    <w:rsid w:val="00C36ED4"/>
    <w:rsid w:val="00C376CC"/>
    <w:rsid w:val="00C37C9C"/>
    <w:rsid w:val="00C400F7"/>
    <w:rsid w:val="00C40EC6"/>
    <w:rsid w:val="00C419AD"/>
    <w:rsid w:val="00C41B5F"/>
    <w:rsid w:val="00C41FBA"/>
    <w:rsid w:val="00C437BA"/>
    <w:rsid w:val="00C44395"/>
    <w:rsid w:val="00C443B3"/>
    <w:rsid w:val="00C44886"/>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1398"/>
    <w:rsid w:val="00C716D6"/>
    <w:rsid w:val="00C720B8"/>
    <w:rsid w:val="00C7216B"/>
    <w:rsid w:val="00C727BE"/>
    <w:rsid w:val="00C732A9"/>
    <w:rsid w:val="00C73448"/>
    <w:rsid w:val="00C73CC2"/>
    <w:rsid w:val="00C73E2E"/>
    <w:rsid w:val="00C74546"/>
    <w:rsid w:val="00C748E2"/>
    <w:rsid w:val="00C7776C"/>
    <w:rsid w:val="00C8398D"/>
    <w:rsid w:val="00C84BC2"/>
    <w:rsid w:val="00C85139"/>
    <w:rsid w:val="00C85657"/>
    <w:rsid w:val="00C861D9"/>
    <w:rsid w:val="00C91C88"/>
    <w:rsid w:val="00C939C3"/>
    <w:rsid w:val="00C93D19"/>
    <w:rsid w:val="00C94228"/>
    <w:rsid w:val="00C96D3B"/>
    <w:rsid w:val="00C96D56"/>
    <w:rsid w:val="00C96E4A"/>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4EFE"/>
    <w:rsid w:val="00CB5FCC"/>
    <w:rsid w:val="00CC152E"/>
    <w:rsid w:val="00CC2493"/>
    <w:rsid w:val="00CC3222"/>
    <w:rsid w:val="00CC35F1"/>
    <w:rsid w:val="00CC35FF"/>
    <w:rsid w:val="00CC3A73"/>
    <w:rsid w:val="00CC66FF"/>
    <w:rsid w:val="00CD0E6E"/>
    <w:rsid w:val="00CD23AE"/>
    <w:rsid w:val="00CD27DF"/>
    <w:rsid w:val="00CD2D8A"/>
    <w:rsid w:val="00CD3BAC"/>
    <w:rsid w:val="00CD3FF2"/>
    <w:rsid w:val="00CD492C"/>
    <w:rsid w:val="00CD4A65"/>
    <w:rsid w:val="00CD531F"/>
    <w:rsid w:val="00CD6FA3"/>
    <w:rsid w:val="00CD773D"/>
    <w:rsid w:val="00CE0500"/>
    <w:rsid w:val="00CE2113"/>
    <w:rsid w:val="00CE2184"/>
    <w:rsid w:val="00CE3B7F"/>
    <w:rsid w:val="00CE3FA2"/>
    <w:rsid w:val="00CE41A0"/>
    <w:rsid w:val="00CE4958"/>
    <w:rsid w:val="00CE68E2"/>
    <w:rsid w:val="00CE6D13"/>
    <w:rsid w:val="00CE706E"/>
    <w:rsid w:val="00CE70B1"/>
    <w:rsid w:val="00CE7AE4"/>
    <w:rsid w:val="00CF0A4C"/>
    <w:rsid w:val="00CF150A"/>
    <w:rsid w:val="00CF2225"/>
    <w:rsid w:val="00CF25E7"/>
    <w:rsid w:val="00CF3C77"/>
    <w:rsid w:val="00CF45A2"/>
    <w:rsid w:val="00CF52E7"/>
    <w:rsid w:val="00CF64B5"/>
    <w:rsid w:val="00CF7853"/>
    <w:rsid w:val="00D004ED"/>
    <w:rsid w:val="00D00C74"/>
    <w:rsid w:val="00D0260F"/>
    <w:rsid w:val="00D03317"/>
    <w:rsid w:val="00D03708"/>
    <w:rsid w:val="00D06776"/>
    <w:rsid w:val="00D06E46"/>
    <w:rsid w:val="00D06F95"/>
    <w:rsid w:val="00D1158C"/>
    <w:rsid w:val="00D11600"/>
    <w:rsid w:val="00D119A2"/>
    <w:rsid w:val="00D12DDF"/>
    <w:rsid w:val="00D12E31"/>
    <w:rsid w:val="00D137F9"/>
    <w:rsid w:val="00D1431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A51"/>
    <w:rsid w:val="00D527AF"/>
    <w:rsid w:val="00D529E1"/>
    <w:rsid w:val="00D52F50"/>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145"/>
    <w:rsid w:val="00D77180"/>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5C4"/>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819"/>
    <w:rsid w:val="00DC7BFE"/>
    <w:rsid w:val="00DD08C7"/>
    <w:rsid w:val="00DD18A4"/>
    <w:rsid w:val="00DD1A10"/>
    <w:rsid w:val="00DD200D"/>
    <w:rsid w:val="00DD2990"/>
    <w:rsid w:val="00DD2FE9"/>
    <w:rsid w:val="00DD3A7E"/>
    <w:rsid w:val="00DD434E"/>
    <w:rsid w:val="00DD4402"/>
    <w:rsid w:val="00DD60D0"/>
    <w:rsid w:val="00DD6200"/>
    <w:rsid w:val="00DD686C"/>
    <w:rsid w:val="00DD6E86"/>
    <w:rsid w:val="00DE0E5D"/>
    <w:rsid w:val="00DE3B67"/>
    <w:rsid w:val="00DE447F"/>
    <w:rsid w:val="00DE48F0"/>
    <w:rsid w:val="00DE4A77"/>
    <w:rsid w:val="00DE5DF7"/>
    <w:rsid w:val="00DE68EE"/>
    <w:rsid w:val="00DE6D24"/>
    <w:rsid w:val="00DE7285"/>
    <w:rsid w:val="00DE7C40"/>
    <w:rsid w:val="00DF0EA5"/>
    <w:rsid w:val="00DF1F1D"/>
    <w:rsid w:val="00DF23A5"/>
    <w:rsid w:val="00DF39D8"/>
    <w:rsid w:val="00DF3C7F"/>
    <w:rsid w:val="00DF4C6E"/>
    <w:rsid w:val="00DF6666"/>
    <w:rsid w:val="00DF745E"/>
    <w:rsid w:val="00DF762E"/>
    <w:rsid w:val="00E0044E"/>
    <w:rsid w:val="00E00816"/>
    <w:rsid w:val="00E0239F"/>
    <w:rsid w:val="00E0267B"/>
    <w:rsid w:val="00E04441"/>
    <w:rsid w:val="00E046D0"/>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17755"/>
    <w:rsid w:val="00E200CF"/>
    <w:rsid w:val="00E204D1"/>
    <w:rsid w:val="00E218FB"/>
    <w:rsid w:val="00E22598"/>
    <w:rsid w:val="00E227AB"/>
    <w:rsid w:val="00E24287"/>
    <w:rsid w:val="00E31367"/>
    <w:rsid w:val="00E314E6"/>
    <w:rsid w:val="00E3181C"/>
    <w:rsid w:val="00E32EF3"/>
    <w:rsid w:val="00E33E21"/>
    <w:rsid w:val="00E34BC4"/>
    <w:rsid w:val="00E3540C"/>
    <w:rsid w:val="00E3599D"/>
    <w:rsid w:val="00E36187"/>
    <w:rsid w:val="00E36332"/>
    <w:rsid w:val="00E36C9B"/>
    <w:rsid w:val="00E37638"/>
    <w:rsid w:val="00E37E9D"/>
    <w:rsid w:val="00E41B71"/>
    <w:rsid w:val="00E42569"/>
    <w:rsid w:val="00E42E82"/>
    <w:rsid w:val="00E434A0"/>
    <w:rsid w:val="00E44D30"/>
    <w:rsid w:val="00E4597F"/>
    <w:rsid w:val="00E46CB7"/>
    <w:rsid w:val="00E4723D"/>
    <w:rsid w:val="00E4745F"/>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6ED"/>
    <w:rsid w:val="00E628E4"/>
    <w:rsid w:val="00E647F7"/>
    <w:rsid w:val="00E65FF5"/>
    <w:rsid w:val="00E66857"/>
    <w:rsid w:val="00E67556"/>
    <w:rsid w:val="00E7252F"/>
    <w:rsid w:val="00E73DB7"/>
    <w:rsid w:val="00E73FC2"/>
    <w:rsid w:val="00E74481"/>
    <w:rsid w:val="00E74517"/>
    <w:rsid w:val="00E755D7"/>
    <w:rsid w:val="00E7566D"/>
    <w:rsid w:val="00E76E91"/>
    <w:rsid w:val="00E774B4"/>
    <w:rsid w:val="00E778F5"/>
    <w:rsid w:val="00E802F5"/>
    <w:rsid w:val="00E8062D"/>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58F9"/>
    <w:rsid w:val="00EA7624"/>
    <w:rsid w:val="00EB02DE"/>
    <w:rsid w:val="00EB0A07"/>
    <w:rsid w:val="00EB1B69"/>
    <w:rsid w:val="00EB1C78"/>
    <w:rsid w:val="00EB3B46"/>
    <w:rsid w:val="00EB4F08"/>
    <w:rsid w:val="00EC2E07"/>
    <w:rsid w:val="00EC42B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B29"/>
    <w:rsid w:val="00F01F8C"/>
    <w:rsid w:val="00F035A6"/>
    <w:rsid w:val="00F04AD0"/>
    <w:rsid w:val="00F10033"/>
    <w:rsid w:val="00F10848"/>
    <w:rsid w:val="00F108D6"/>
    <w:rsid w:val="00F10B68"/>
    <w:rsid w:val="00F11F55"/>
    <w:rsid w:val="00F12DEC"/>
    <w:rsid w:val="00F13151"/>
    <w:rsid w:val="00F15523"/>
    <w:rsid w:val="00F16391"/>
    <w:rsid w:val="00F2062B"/>
    <w:rsid w:val="00F20652"/>
    <w:rsid w:val="00F21A18"/>
    <w:rsid w:val="00F21E61"/>
    <w:rsid w:val="00F220EA"/>
    <w:rsid w:val="00F222CD"/>
    <w:rsid w:val="00F24EA4"/>
    <w:rsid w:val="00F250B3"/>
    <w:rsid w:val="00F2625A"/>
    <w:rsid w:val="00F31A03"/>
    <w:rsid w:val="00F327CA"/>
    <w:rsid w:val="00F3283C"/>
    <w:rsid w:val="00F32D0F"/>
    <w:rsid w:val="00F343F0"/>
    <w:rsid w:val="00F34620"/>
    <w:rsid w:val="00F34AAB"/>
    <w:rsid w:val="00F34C4D"/>
    <w:rsid w:val="00F350CF"/>
    <w:rsid w:val="00F35582"/>
    <w:rsid w:val="00F37004"/>
    <w:rsid w:val="00F376A1"/>
    <w:rsid w:val="00F37B8E"/>
    <w:rsid w:val="00F40C18"/>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80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8F6"/>
    <w:rsid w:val="00F96B73"/>
    <w:rsid w:val="00F977C7"/>
    <w:rsid w:val="00FA0890"/>
    <w:rsid w:val="00FA164A"/>
    <w:rsid w:val="00FA3F3E"/>
    <w:rsid w:val="00FA4272"/>
    <w:rsid w:val="00FA4855"/>
    <w:rsid w:val="00FA4ACD"/>
    <w:rsid w:val="00FA6428"/>
    <w:rsid w:val="00FA7144"/>
    <w:rsid w:val="00FA7184"/>
    <w:rsid w:val="00FB1D9D"/>
    <w:rsid w:val="00FB2096"/>
    <w:rsid w:val="00FB3304"/>
    <w:rsid w:val="00FB46B8"/>
    <w:rsid w:val="00FB4B38"/>
    <w:rsid w:val="00FB54BB"/>
    <w:rsid w:val="00FB5AC0"/>
    <w:rsid w:val="00FB5BFA"/>
    <w:rsid w:val="00FB6C91"/>
    <w:rsid w:val="00FB74E8"/>
    <w:rsid w:val="00FB7B1D"/>
    <w:rsid w:val="00FC0263"/>
    <w:rsid w:val="00FC0348"/>
    <w:rsid w:val="00FC0FB5"/>
    <w:rsid w:val="00FC102A"/>
    <w:rsid w:val="00FC154C"/>
    <w:rsid w:val="00FC1DBC"/>
    <w:rsid w:val="00FC2637"/>
    <w:rsid w:val="00FC3434"/>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30"/>
    <w:rsid w:val="00FF13E2"/>
    <w:rsid w:val="00FF2237"/>
    <w:rsid w:val="00FF4953"/>
    <w:rsid w:val="00FF5FA3"/>
    <w:rsid w:val="00FF5FCE"/>
    <w:rsid w:val="00FF6177"/>
    <w:rsid w:val="00FF6AD9"/>
    <w:rsid w:val="00FF6F50"/>
    <w:rsid w:val="00FF7F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401CE8D0-5B00-4B0A-91C7-331F398E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semiHidden/>
    <w:unhideWhenUsed/>
    <w:qFormat/>
    <w:locked/>
    <w:rsid w:val="009351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PlainText">
    <w:name w:val="Plain Text"/>
    <w:basedOn w:val="Normal"/>
    <w:link w:val="PlainTextChar"/>
    <w:uiPriority w:val="99"/>
    <w:semiHidden/>
    <w:unhideWhenUsed/>
    <w:rsid w:val="00A97367"/>
    <w:rPr>
      <w:rFonts w:ascii="Calibri" w:eastAsia="Calibri" w:hAnsi="Calibri" w:cs="Consolas"/>
      <w:sz w:val="22"/>
      <w:szCs w:val="21"/>
      <w:lang w:eastAsia="en-US"/>
    </w:rPr>
  </w:style>
  <w:style w:type="character" w:customStyle="1" w:styleId="PlainTextChar">
    <w:name w:val="Plain Text Char"/>
    <w:link w:val="PlainText"/>
    <w:uiPriority w:val="99"/>
    <w:semiHidden/>
    <w:rsid w:val="00A97367"/>
    <w:rPr>
      <w:rFonts w:ascii="Calibri" w:eastAsia="Calibri" w:hAnsi="Calibri" w:cs="Consolas"/>
      <w:sz w:val="22"/>
      <w:szCs w:val="21"/>
      <w:lang w:eastAsia="en-US"/>
    </w:rPr>
  </w:style>
  <w:style w:type="paragraph" w:customStyle="1" w:styleId="Default">
    <w:name w:val="Default"/>
    <w:rsid w:val="00630790"/>
    <w:pPr>
      <w:autoSpaceDE w:val="0"/>
      <w:autoSpaceDN w:val="0"/>
      <w:adjustRightInd w:val="0"/>
    </w:pPr>
    <w:rPr>
      <w:rFonts w:eastAsia="Calibri"/>
      <w:color w:val="000000"/>
      <w:sz w:val="24"/>
      <w:szCs w:val="24"/>
      <w:lang w:eastAsia="en-US"/>
    </w:rPr>
  </w:style>
  <w:style w:type="paragraph" w:styleId="NoSpacing">
    <w:name w:val="No Spacing"/>
    <w:basedOn w:val="Normal"/>
    <w:next w:val="Normal"/>
    <w:uiPriority w:val="1"/>
    <w:qFormat/>
    <w:rsid w:val="00D00C74"/>
    <w:pPr>
      <w:widowControl w:val="0"/>
      <w:jc w:val="both"/>
    </w:pPr>
    <w:rPr>
      <w:rFonts w:eastAsia="Calibri"/>
      <w:szCs w:val="22"/>
      <w:lang w:eastAsia="en-US"/>
    </w:rPr>
  </w:style>
  <w:style w:type="character" w:customStyle="1" w:styleId="spelle">
    <w:name w:val="spelle"/>
    <w:basedOn w:val="DefaultParagraphFont"/>
    <w:rsid w:val="0045665E"/>
  </w:style>
  <w:style w:type="character" w:customStyle="1" w:styleId="Heading4Char">
    <w:name w:val="Heading 4 Char"/>
    <w:basedOn w:val="DefaultParagraphFont"/>
    <w:link w:val="Heading4"/>
    <w:semiHidden/>
    <w:rsid w:val="009351D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7594">
      <w:bodyDiv w:val="1"/>
      <w:marLeft w:val="0"/>
      <w:marRight w:val="0"/>
      <w:marTop w:val="0"/>
      <w:marBottom w:val="0"/>
      <w:divBdr>
        <w:top w:val="none" w:sz="0" w:space="0" w:color="auto"/>
        <w:left w:val="none" w:sz="0" w:space="0" w:color="auto"/>
        <w:bottom w:val="none" w:sz="0" w:space="0" w:color="auto"/>
        <w:right w:val="none" w:sz="0" w:space="0" w:color="auto"/>
      </w:divBdr>
    </w:div>
    <w:div w:id="287318865">
      <w:bodyDiv w:val="1"/>
      <w:marLeft w:val="0"/>
      <w:marRight w:val="0"/>
      <w:marTop w:val="0"/>
      <w:marBottom w:val="0"/>
      <w:divBdr>
        <w:top w:val="none" w:sz="0" w:space="0" w:color="auto"/>
        <w:left w:val="none" w:sz="0" w:space="0" w:color="auto"/>
        <w:bottom w:val="none" w:sz="0" w:space="0" w:color="auto"/>
        <w:right w:val="none" w:sz="0" w:space="0" w:color="auto"/>
      </w:divBdr>
    </w:div>
    <w:div w:id="37874479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842278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0776308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3385921">
      <w:bodyDiv w:val="1"/>
      <w:marLeft w:val="0"/>
      <w:marRight w:val="0"/>
      <w:marTop w:val="0"/>
      <w:marBottom w:val="0"/>
      <w:divBdr>
        <w:top w:val="none" w:sz="0" w:space="0" w:color="auto"/>
        <w:left w:val="none" w:sz="0" w:space="0" w:color="auto"/>
        <w:bottom w:val="none" w:sz="0" w:space="0" w:color="auto"/>
        <w:right w:val="none" w:sz="0" w:space="0" w:color="auto"/>
      </w:divBdr>
    </w:div>
    <w:div w:id="1459570550">
      <w:bodyDiv w:val="1"/>
      <w:marLeft w:val="0"/>
      <w:marRight w:val="0"/>
      <w:marTop w:val="0"/>
      <w:marBottom w:val="0"/>
      <w:divBdr>
        <w:top w:val="none" w:sz="0" w:space="0" w:color="auto"/>
        <w:left w:val="none" w:sz="0" w:space="0" w:color="auto"/>
        <w:bottom w:val="none" w:sz="0" w:space="0" w:color="auto"/>
        <w:right w:val="none" w:sz="0" w:space="0" w:color="auto"/>
      </w:divBdr>
    </w:div>
    <w:div w:id="149861625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55514559">
      <w:bodyDiv w:val="1"/>
      <w:marLeft w:val="0"/>
      <w:marRight w:val="0"/>
      <w:marTop w:val="0"/>
      <w:marBottom w:val="0"/>
      <w:divBdr>
        <w:top w:val="none" w:sz="0" w:space="0" w:color="auto"/>
        <w:left w:val="none" w:sz="0" w:space="0" w:color="auto"/>
        <w:bottom w:val="none" w:sz="0" w:space="0" w:color="auto"/>
        <w:right w:val="none" w:sz="0" w:space="0" w:color="auto"/>
      </w:divBdr>
    </w:div>
    <w:div w:id="1891721547">
      <w:bodyDiv w:val="1"/>
      <w:marLeft w:val="0"/>
      <w:marRight w:val="0"/>
      <w:marTop w:val="0"/>
      <w:marBottom w:val="0"/>
      <w:divBdr>
        <w:top w:val="none" w:sz="0" w:space="0" w:color="auto"/>
        <w:left w:val="none" w:sz="0" w:space="0" w:color="auto"/>
        <w:bottom w:val="none" w:sz="0" w:space="0" w:color="auto"/>
        <w:right w:val="none" w:sz="0" w:space="0" w:color="auto"/>
      </w:divBdr>
    </w:div>
    <w:div w:id="2000887283">
      <w:bodyDiv w:val="1"/>
      <w:marLeft w:val="0"/>
      <w:marRight w:val="0"/>
      <w:marTop w:val="0"/>
      <w:marBottom w:val="0"/>
      <w:divBdr>
        <w:top w:val="none" w:sz="0" w:space="0" w:color="auto"/>
        <w:left w:val="none" w:sz="0" w:space="0" w:color="auto"/>
        <w:bottom w:val="none" w:sz="0" w:space="0" w:color="auto"/>
        <w:right w:val="none" w:sz="0" w:space="0" w:color="auto"/>
      </w:divBdr>
    </w:div>
    <w:div w:id="20964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Andzan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mars.Vitolins@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134F-46BD-474C-A0A9-9C8E5BE8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11485</Words>
  <Characters>6548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17998</CharactersWithSpaces>
  <SharedDoc>false</SharedDoc>
  <HLinks>
    <vt:vector size="12" baseType="variant">
      <vt:variant>
        <vt:i4>262197</vt:i4>
      </vt:variant>
      <vt:variant>
        <vt:i4>6</vt:i4>
      </vt:variant>
      <vt:variant>
        <vt:i4>0</vt:i4>
      </vt:variant>
      <vt:variant>
        <vt:i4>5</vt:i4>
      </vt:variant>
      <vt:variant>
        <vt:lpwstr>mailto:Jevgenijs.Rjascenko@mod.gov.lv</vt:lpwstr>
      </vt:variant>
      <vt:variant>
        <vt:lpwstr/>
      </vt:variant>
      <vt:variant>
        <vt:i4>262197</vt:i4>
      </vt:variant>
      <vt:variant>
        <vt:i4>0</vt:i4>
      </vt:variant>
      <vt:variant>
        <vt:i4>0</vt:i4>
      </vt:variant>
      <vt:variant>
        <vt:i4>5</vt:i4>
      </vt:variant>
      <vt:variant>
        <vt:lpwstr>mailto:Jevgenijs.Rjascenko@mod.gov.lv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
  <cp:lastModifiedBy>Ilze Andžāne</cp:lastModifiedBy>
  <cp:revision>16</cp:revision>
  <cp:lastPrinted>2016-05-24T05:44:00Z</cp:lastPrinted>
  <dcterms:created xsi:type="dcterms:W3CDTF">2016-04-27T06:22:00Z</dcterms:created>
  <dcterms:modified xsi:type="dcterms:W3CDTF">2020-07-31T08:29:00Z</dcterms:modified>
</cp:coreProperties>
</file>