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004A" w14:textId="77777777" w:rsidR="000635C0" w:rsidRPr="00540C99" w:rsidRDefault="00BA0BA3">
      <w:pPr>
        <w:pBdr>
          <w:top w:val="nil"/>
          <w:left w:val="nil"/>
          <w:bottom w:val="nil"/>
          <w:right w:val="nil"/>
          <w:between w:val="nil"/>
        </w:pBdr>
        <w:ind w:firstLine="720"/>
        <w:jc w:val="center"/>
        <w:rPr>
          <w:b/>
          <w:sz w:val="28"/>
          <w:szCs w:val="28"/>
        </w:rPr>
      </w:pPr>
      <w:r w:rsidRPr="00540C99">
        <w:rPr>
          <w:b/>
          <w:sz w:val="28"/>
          <w:szCs w:val="28"/>
        </w:rPr>
        <w:t>Izziņa par atzinumos sniegtajiem iebildumiem</w:t>
      </w:r>
    </w:p>
    <w:p w14:paraId="2A76D812" w14:textId="77777777" w:rsidR="000635C0" w:rsidRDefault="00BA0BA3">
      <w:pPr>
        <w:pBdr>
          <w:top w:val="nil"/>
          <w:left w:val="nil"/>
          <w:bottom w:val="nil"/>
          <w:right w:val="nil"/>
          <w:between w:val="nil"/>
        </w:pBdr>
        <w:ind w:firstLine="720"/>
        <w:jc w:val="center"/>
        <w:rPr>
          <w:b/>
          <w:color w:val="000000"/>
          <w:sz w:val="28"/>
          <w:szCs w:val="28"/>
        </w:rPr>
      </w:pPr>
      <w:r>
        <w:rPr>
          <w:b/>
          <w:color w:val="000000"/>
          <w:sz w:val="28"/>
          <w:szCs w:val="28"/>
        </w:rPr>
        <w:t>par likumprojektu “</w:t>
      </w:r>
      <w:r w:rsidR="00922630" w:rsidRPr="00922630">
        <w:rPr>
          <w:b/>
          <w:color w:val="000000"/>
          <w:sz w:val="28"/>
          <w:szCs w:val="28"/>
        </w:rPr>
        <w:t>Grozījumi Stratēģiskas nozīmes preču aprites likumā</w:t>
      </w:r>
      <w:r>
        <w:rPr>
          <w:b/>
          <w:color w:val="000000"/>
          <w:sz w:val="28"/>
          <w:szCs w:val="28"/>
        </w:rPr>
        <w:t>”</w:t>
      </w:r>
    </w:p>
    <w:p w14:paraId="2C4C056E" w14:textId="77777777" w:rsidR="000635C0" w:rsidRDefault="000635C0">
      <w:pPr>
        <w:pBdr>
          <w:top w:val="nil"/>
          <w:left w:val="nil"/>
          <w:bottom w:val="nil"/>
          <w:right w:val="nil"/>
          <w:between w:val="nil"/>
        </w:pBdr>
        <w:ind w:firstLine="720"/>
        <w:jc w:val="both"/>
        <w:rPr>
          <w:color w:val="000000"/>
        </w:rPr>
      </w:pPr>
    </w:p>
    <w:p w14:paraId="7B790D19" w14:textId="77777777" w:rsidR="000635C0" w:rsidRDefault="00BA0BA3">
      <w:pPr>
        <w:pBdr>
          <w:top w:val="nil"/>
          <w:left w:val="nil"/>
          <w:bottom w:val="nil"/>
          <w:right w:val="nil"/>
          <w:between w:val="nil"/>
        </w:pBdr>
        <w:jc w:val="center"/>
        <w:rPr>
          <w:color w:val="000000"/>
        </w:rPr>
      </w:pPr>
      <w:r>
        <w:rPr>
          <w:b/>
          <w:color w:val="000000"/>
        </w:rPr>
        <w:t>I. Jautājumi, par kuriem saskaņošanā vienošanās nav panākta</w:t>
      </w:r>
    </w:p>
    <w:p w14:paraId="6DF86480" w14:textId="77777777" w:rsidR="000635C0" w:rsidRDefault="000635C0">
      <w:pPr>
        <w:pBdr>
          <w:top w:val="nil"/>
          <w:left w:val="nil"/>
          <w:bottom w:val="nil"/>
          <w:right w:val="nil"/>
          <w:between w:val="nil"/>
        </w:pBdr>
        <w:ind w:firstLine="720"/>
        <w:jc w:val="both"/>
        <w:rPr>
          <w:color w:val="000000"/>
        </w:rPr>
      </w:pPr>
    </w:p>
    <w:tbl>
      <w:tblPr>
        <w:tblStyle w:val="a"/>
        <w:tblW w:w="142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8"/>
        <w:gridCol w:w="3086"/>
        <w:gridCol w:w="3118"/>
        <w:gridCol w:w="2466"/>
        <w:gridCol w:w="1710"/>
        <w:gridCol w:w="3195"/>
      </w:tblGrid>
      <w:tr w:rsidR="000635C0" w14:paraId="43E23021" w14:textId="77777777" w:rsidTr="00090F15">
        <w:tc>
          <w:tcPr>
            <w:tcW w:w="708" w:type="dxa"/>
            <w:tcBorders>
              <w:top w:val="single" w:sz="6" w:space="0" w:color="000000"/>
              <w:left w:val="single" w:sz="6" w:space="0" w:color="000000"/>
              <w:bottom w:val="single" w:sz="6" w:space="0" w:color="000000"/>
              <w:right w:val="single" w:sz="6" w:space="0" w:color="000000"/>
            </w:tcBorders>
            <w:vAlign w:val="center"/>
          </w:tcPr>
          <w:p w14:paraId="6D347C68" w14:textId="77777777" w:rsidR="000635C0" w:rsidRPr="009445D3" w:rsidRDefault="00BA0BA3">
            <w:pPr>
              <w:pBdr>
                <w:top w:val="nil"/>
                <w:left w:val="nil"/>
                <w:bottom w:val="nil"/>
                <w:right w:val="nil"/>
                <w:between w:val="nil"/>
              </w:pBdr>
              <w:jc w:val="center"/>
              <w:rPr>
                <w:color w:val="000000"/>
              </w:rPr>
            </w:pPr>
            <w:r w:rsidRPr="009445D3">
              <w:rPr>
                <w:color w:val="000000"/>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11959001" w14:textId="77777777" w:rsidR="000635C0" w:rsidRPr="009445D3" w:rsidRDefault="00BA0BA3">
            <w:pPr>
              <w:pBdr>
                <w:top w:val="nil"/>
                <w:left w:val="nil"/>
                <w:bottom w:val="nil"/>
                <w:right w:val="nil"/>
                <w:between w:val="nil"/>
              </w:pBdr>
              <w:ind w:firstLine="12"/>
              <w:jc w:val="center"/>
              <w:rPr>
                <w:color w:val="000000"/>
              </w:rPr>
            </w:pPr>
            <w:r w:rsidRPr="009445D3">
              <w:rPr>
                <w:color w:val="000000"/>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1C23155" w14:textId="77777777" w:rsidR="000635C0" w:rsidRPr="009445D3" w:rsidRDefault="00BA0BA3">
            <w:pPr>
              <w:pBdr>
                <w:top w:val="nil"/>
                <w:left w:val="nil"/>
                <w:bottom w:val="nil"/>
                <w:right w:val="nil"/>
                <w:between w:val="nil"/>
              </w:pBdr>
              <w:ind w:right="3"/>
              <w:jc w:val="center"/>
              <w:rPr>
                <w:color w:val="000000"/>
              </w:rPr>
            </w:pPr>
            <w:r w:rsidRPr="009445D3">
              <w:rPr>
                <w:color w:val="000000"/>
              </w:rPr>
              <w:t>Atzinumā norādītais ministrijas (citas institūcijas) iebildums, kā arī saskaņošanā papildus izteiktais iebildums par projekta konkrēto punktu (pantu)</w:t>
            </w:r>
          </w:p>
        </w:tc>
        <w:tc>
          <w:tcPr>
            <w:tcW w:w="2466" w:type="dxa"/>
            <w:tcBorders>
              <w:top w:val="single" w:sz="6" w:space="0" w:color="000000"/>
              <w:left w:val="single" w:sz="6" w:space="0" w:color="000000"/>
              <w:bottom w:val="single" w:sz="6" w:space="0" w:color="000000"/>
              <w:right w:val="single" w:sz="6" w:space="0" w:color="000000"/>
            </w:tcBorders>
            <w:vAlign w:val="center"/>
          </w:tcPr>
          <w:p w14:paraId="01EB61D9" w14:textId="77777777" w:rsidR="000635C0" w:rsidRPr="009445D3" w:rsidRDefault="00BA0BA3">
            <w:pPr>
              <w:pBdr>
                <w:top w:val="nil"/>
                <w:left w:val="nil"/>
                <w:bottom w:val="nil"/>
                <w:right w:val="nil"/>
                <w:between w:val="nil"/>
              </w:pBdr>
              <w:ind w:firstLine="21"/>
              <w:jc w:val="center"/>
              <w:rPr>
                <w:color w:val="000000"/>
              </w:rPr>
            </w:pPr>
            <w:r w:rsidRPr="009445D3">
              <w:rPr>
                <w:color w:val="000000"/>
              </w:rPr>
              <w:t>Atbildīgās ministrijas pamatojums iebilduma noraidījumam</w:t>
            </w:r>
          </w:p>
        </w:tc>
        <w:tc>
          <w:tcPr>
            <w:tcW w:w="1710" w:type="dxa"/>
            <w:tcBorders>
              <w:top w:val="single" w:sz="4" w:space="0" w:color="000000"/>
              <w:left w:val="single" w:sz="4" w:space="0" w:color="000000"/>
              <w:bottom w:val="single" w:sz="4" w:space="0" w:color="000000"/>
              <w:right w:val="single" w:sz="4" w:space="0" w:color="000000"/>
            </w:tcBorders>
            <w:vAlign w:val="center"/>
          </w:tcPr>
          <w:p w14:paraId="3E157EC0" w14:textId="77777777" w:rsidR="000635C0" w:rsidRDefault="00BA0BA3">
            <w:pPr>
              <w:jc w:val="center"/>
            </w:pPr>
            <w:r>
              <w:t>Atzinuma sniedzēja uzturētais iebildums, ja tas atšķiras no atzinumā norādītā iebilduma pamatojuma</w:t>
            </w:r>
          </w:p>
        </w:tc>
        <w:tc>
          <w:tcPr>
            <w:tcW w:w="3195" w:type="dxa"/>
            <w:tcBorders>
              <w:top w:val="single" w:sz="4" w:space="0" w:color="000000"/>
              <w:left w:val="single" w:sz="4" w:space="0" w:color="000000"/>
              <w:bottom w:val="single" w:sz="4" w:space="0" w:color="000000"/>
            </w:tcBorders>
            <w:vAlign w:val="center"/>
          </w:tcPr>
          <w:p w14:paraId="59AC5914" w14:textId="77777777" w:rsidR="000635C0" w:rsidRDefault="00BA0BA3">
            <w:pPr>
              <w:jc w:val="center"/>
            </w:pPr>
            <w:r>
              <w:t>Projekta attiecīgā punkta (panta) galīgā redakcija</w:t>
            </w:r>
          </w:p>
        </w:tc>
      </w:tr>
      <w:tr w:rsidR="000635C0" w14:paraId="5F6C5B53" w14:textId="77777777" w:rsidTr="00090F15">
        <w:tc>
          <w:tcPr>
            <w:tcW w:w="708" w:type="dxa"/>
            <w:tcBorders>
              <w:top w:val="single" w:sz="6" w:space="0" w:color="000000"/>
              <w:left w:val="single" w:sz="6" w:space="0" w:color="000000"/>
              <w:bottom w:val="single" w:sz="6" w:space="0" w:color="000000"/>
              <w:right w:val="single" w:sz="6" w:space="0" w:color="000000"/>
            </w:tcBorders>
          </w:tcPr>
          <w:p w14:paraId="575D2FFD" w14:textId="77777777" w:rsidR="000635C0" w:rsidRPr="00C77EE9" w:rsidRDefault="00BA0BA3">
            <w:pPr>
              <w:pBdr>
                <w:top w:val="nil"/>
                <w:left w:val="nil"/>
                <w:bottom w:val="nil"/>
                <w:right w:val="nil"/>
                <w:between w:val="nil"/>
              </w:pBdr>
              <w:jc w:val="center"/>
              <w:rPr>
                <w:color w:val="000000"/>
              </w:rPr>
            </w:pPr>
            <w:r w:rsidRPr="00C77EE9">
              <w:rPr>
                <w:color w:val="000000"/>
              </w:rPr>
              <w:t>1</w:t>
            </w:r>
          </w:p>
        </w:tc>
        <w:tc>
          <w:tcPr>
            <w:tcW w:w="3086" w:type="dxa"/>
            <w:tcBorders>
              <w:top w:val="single" w:sz="6" w:space="0" w:color="000000"/>
              <w:left w:val="single" w:sz="6" w:space="0" w:color="000000"/>
              <w:bottom w:val="single" w:sz="6" w:space="0" w:color="000000"/>
              <w:right w:val="single" w:sz="6" w:space="0" w:color="000000"/>
            </w:tcBorders>
          </w:tcPr>
          <w:p w14:paraId="2D06DA1F" w14:textId="77777777" w:rsidR="000635C0" w:rsidRPr="009445D3" w:rsidRDefault="00BA0BA3">
            <w:pPr>
              <w:pBdr>
                <w:top w:val="nil"/>
                <w:left w:val="nil"/>
                <w:bottom w:val="nil"/>
                <w:right w:val="nil"/>
                <w:between w:val="nil"/>
              </w:pBdr>
              <w:ind w:firstLine="720"/>
              <w:jc w:val="center"/>
              <w:rPr>
                <w:color w:val="000000"/>
                <w:sz w:val="20"/>
                <w:szCs w:val="20"/>
              </w:rPr>
            </w:pPr>
            <w:r w:rsidRPr="009445D3">
              <w:rPr>
                <w:color w:val="000000"/>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AEAAF99" w14:textId="77777777" w:rsidR="000635C0" w:rsidRPr="009445D3" w:rsidRDefault="00BA0BA3">
            <w:pPr>
              <w:pBdr>
                <w:top w:val="nil"/>
                <w:left w:val="nil"/>
                <w:bottom w:val="nil"/>
                <w:right w:val="nil"/>
                <w:between w:val="nil"/>
              </w:pBdr>
              <w:ind w:firstLine="720"/>
              <w:jc w:val="center"/>
              <w:rPr>
                <w:color w:val="000000"/>
                <w:sz w:val="20"/>
                <w:szCs w:val="20"/>
              </w:rPr>
            </w:pPr>
            <w:r w:rsidRPr="009445D3">
              <w:rPr>
                <w:color w:val="000000"/>
                <w:sz w:val="20"/>
                <w:szCs w:val="20"/>
              </w:rPr>
              <w:t>3</w:t>
            </w:r>
          </w:p>
        </w:tc>
        <w:tc>
          <w:tcPr>
            <w:tcW w:w="2466" w:type="dxa"/>
            <w:tcBorders>
              <w:top w:val="single" w:sz="6" w:space="0" w:color="000000"/>
              <w:left w:val="single" w:sz="6" w:space="0" w:color="000000"/>
              <w:bottom w:val="single" w:sz="6" w:space="0" w:color="000000"/>
              <w:right w:val="single" w:sz="6" w:space="0" w:color="000000"/>
            </w:tcBorders>
          </w:tcPr>
          <w:p w14:paraId="185F86B5" w14:textId="77777777" w:rsidR="000635C0" w:rsidRPr="009445D3" w:rsidRDefault="00BA0BA3">
            <w:pPr>
              <w:pBdr>
                <w:top w:val="nil"/>
                <w:left w:val="nil"/>
                <w:bottom w:val="nil"/>
                <w:right w:val="nil"/>
                <w:between w:val="nil"/>
              </w:pBdr>
              <w:ind w:firstLine="720"/>
              <w:jc w:val="center"/>
              <w:rPr>
                <w:color w:val="000000"/>
                <w:sz w:val="20"/>
                <w:szCs w:val="20"/>
              </w:rPr>
            </w:pPr>
            <w:r w:rsidRPr="009445D3">
              <w:rPr>
                <w:color w:val="000000"/>
                <w:sz w:val="20"/>
                <w:szCs w:val="20"/>
              </w:rPr>
              <w:t>4</w:t>
            </w:r>
          </w:p>
        </w:tc>
        <w:tc>
          <w:tcPr>
            <w:tcW w:w="1710" w:type="dxa"/>
            <w:tcBorders>
              <w:top w:val="single" w:sz="4" w:space="0" w:color="000000"/>
              <w:left w:val="single" w:sz="4" w:space="0" w:color="000000"/>
              <w:bottom w:val="single" w:sz="4" w:space="0" w:color="000000"/>
              <w:right w:val="single" w:sz="4" w:space="0" w:color="000000"/>
            </w:tcBorders>
          </w:tcPr>
          <w:p w14:paraId="23BF86A0" w14:textId="77777777" w:rsidR="000635C0" w:rsidRDefault="00BA0BA3">
            <w:pPr>
              <w:jc w:val="center"/>
              <w:rPr>
                <w:sz w:val="20"/>
                <w:szCs w:val="20"/>
              </w:rPr>
            </w:pPr>
            <w:r>
              <w:rPr>
                <w:sz w:val="20"/>
                <w:szCs w:val="20"/>
              </w:rPr>
              <w:t>5</w:t>
            </w:r>
          </w:p>
        </w:tc>
        <w:tc>
          <w:tcPr>
            <w:tcW w:w="3195" w:type="dxa"/>
            <w:tcBorders>
              <w:top w:val="single" w:sz="4" w:space="0" w:color="000000"/>
              <w:left w:val="single" w:sz="4" w:space="0" w:color="000000"/>
              <w:bottom w:val="single" w:sz="4" w:space="0" w:color="000000"/>
            </w:tcBorders>
          </w:tcPr>
          <w:p w14:paraId="059C7CCC" w14:textId="77777777" w:rsidR="000635C0" w:rsidRDefault="00BA0BA3">
            <w:pPr>
              <w:jc w:val="center"/>
              <w:rPr>
                <w:sz w:val="20"/>
                <w:szCs w:val="20"/>
              </w:rPr>
            </w:pPr>
            <w:r>
              <w:rPr>
                <w:sz w:val="20"/>
                <w:szCs w:val="20"/>
              </w:rPr>
              <w:t>6</w:t>
            </w:r>
          </w:p>
        </w:tc>
      </w:tr>
      <w:tr w:rsidR="002B00E3" w14:paraId="414E0643" w14:textId="77777777" w:rsidTr="00090F15">
        <w:tc>
          <w:tcPr>
            <w:tcW w:w="708" w:type="dxa"/>
            <w:tcBorders>
              <w:top w:val="single" w:sz="6" w:space="0" w:color="000000"/>
              <w:left w:val="single" w:sz="6" w:space="0" w:color="000000"/>
              <w:bottom w:val="single" w:sz="6" w:space="0" w:color="000000"/>
              <w:right w:val="single" w:sz="6" w:space="0" w:color="000000"/>
            </w:tcBorders>
          </w:tcPr>
          <w:p w14:paraId="2DBB134C" w14:textId="69531C38" w:rsidR="002B00E3" w:rsidRPr="002B00E3" w:rsidRDefault="002B00E3">
            <w:pPr>
              <w:pBdr>
                <w:top w:val="nil"/>
                <w:left w:val="nil"/>
                <w:bottom w:val="nil"/>
                <w:right w:val="nil"/>
                <w:between w:val="nil"/>
              </w:pBdr>
              <w:jc w:val="center"/>
              <w:rPr>
                <w:b/>
                <w:color w:val="000000"/>
              </w:rPr>
            </w:pPr>
            <w:r>
              <w:rPr>
                <w:b/>
                <w:color w:val="000000"/>
              </w:rPr>
              <w:t>1.</w:t>
            </w:r>
          </w:p>
        </w:tc>
        <w:tc>
          <w:tcPr>
            <w:tcW w:w="3086" w:type="dxa"/>
            <w:tcBorders>
              <w:top w:val="single" w:sz="6" w:space="0" w:color="000000"/>
              <w:left w:val="single" w:sz="6" w:space="0" w:color="000000"/>
              <w:bottom w:val="single" w:sz="6" w:space="0" w:color="000000"/>
              <w:right w:val="single" w:sz="6" w:space="0" w:color="000000"/>
            </w:tcBorders>
          </w:tcPr>
          <w:p w14:paraId="7CE0232C" w14:textId="6EE1ADDF" w:rsidR="002B00E3" w:rsidRPr="009445D3" w:rsidRDefault="002B00E3" w:rsidP="002B00E3">
            <w:pPr>
              <w:pBdr>
                <w:top w:val="nil"/>
                <w:left w:val="nil"/>
                <w:bottom w:val="nil"/>
                <w:right w:val="nil"/>
                <w:between w:val="nil"/>
              </w:pBdr>
              <w:ind w:firstLine="720"/>
              <w:rPr>
                <w:color w:val="000000"/>
                <w:sz w:val="20"/>
                <w:szCs w:val="20"/>
              </w:rPr>
            </w:pPr>
            <w:r>
              <w:rPr>
                <w:b/>
                <w:bCs/>
              </w:rPr>
              <w:t>Likumprojekts</w:t>
            </w:r>
          </w:p>
        </w:tc>
        <w:tc>
          <w:tcPr>
            <w:tcW w:w="3118" w:type="dxa"/>
            <w:tcBorders>
              <w:top w:val="single" w:sz="6" w:space="0" w:color="000000"/>
              <w:left w:val="single" w:sz="6" w:space="0" w:color="000000"/>
              <w:bottom w:val="single" w:sz="6" w:space="0" w:color="000000"/>
              <w:right w:val="single" w:sz="6" w:space="0" w:color="000000"/>
            </w:tcBorders>
          </w:tcPr>
          <w:p w14:paraId="6558CD16" w14:textId="77777777" w:rsidR="002B00E3" w:rsidRDefault="002B00E3" w:rsidP="006E0BA7">
            <w:pPr>
              <w:pBdr>
                <w:top w:val="nil"/>
                <w:left w:val="nil"/>
                <w:bottom w:val="nil"/>
                <w:right w:val="nil"/>
                <w:between w:val="nil"/>
              </w:pBdr>
              <w:spacing w:before="75" w:after="75"/>
              <w:ind w:hanging="14"/>
              <w:jc w:val="center"/>
              <w:rPr>
                <w:b/>
              </w:rPr>
            </w:pPr>
            <w:r>
              <w:rPr>
                <w:b/>
              </w:rPr>
              <w:t>VARAM iebildums (13.02.2020.)</w:t>
            </w:r>
          </w:p>
          <w:p w14:paraId="1AC0A846" w14:textId="77777777" w:rsidR="002B00E3" w:rsidRDefault="002B00E3" w:rsidP="002B00E3">
            <w:pPr>
              <w:pBdr>
                <w:top w:val="nil"/>
                <w:left w:val="nil"/>
                <w:bottom w:val="nil"/>
                <w:right w:val="nil"/>
                <w:between w:val="nil"/>
              </w:pBdr>
              <w:spacing w:before="75" w:after="75"/>
              <w:ind w:hanging="14"/>
              <w:jc w:val="both"/>
            </w:pPr>
            <w:r>
              <w:t>Papildināt Stratēģiskas nozīmes preču aprites likuma 5. pantu (Īpašie noteikumi atsevišķu stratēģiskas nozīmes preču licenču izsniegšanai) ar 15.daļu šādā redakcijā:</w:t>
            </w:r>
          </w:p>
          <w:p w14:paraId="3DB243A6" w14:textId="6C0452C1" w:rsidR="002B00E3" w:rsidRPr="009445D3" w:rsidRDefault="002B00E3" w:rsidP="002B00E3">
            <w:pPr>
              <w:pBdr>
                <w:top w:val="nil"/>
                <w:left w:val="nil"/>
                <w:bottom w:val="nil"/>
                <w:right w:val="nil"/>
                <w:between w:val="nil"/>
              </w:pBdr>
              <w:ind w:firstLine="720"/>
              <w:jc w:val="both"/>
              <w:rPr>
                <w:color w:val="000000"/>
                <w:sz w:val="20"/>
                <w:szCs w:val="20"/>
              </w:rPr>
            </w:pPr>
            <w:r>
              <w:t xml:space="preserve">“(15) Veicot stratēģiskas nozīmes preču eksportu, pārvietošanu no Latvijas ar mērķi citā valstī veikt kādu no Atkritumu apsaimniekošanas likuma 1. panta 7.punktā minētajām atkritumu apsaimniekošanas </w:t>
            </w:r>
            <w:r>
              <w:lastRenderedPageBreak/>
              <w:t>darbībām (atkritumu reģenerācija, pārstrāde, apglabāšanai), ir jānodrošina minēto sūtījumu veikšana atbilstoši 1989. gada 22. marta Bāzeles konvencijai par kontroli pār kaitīgo atkritumu robežšķērsojošo transportēšanu un to aizvākšanu un Eiropas Parlamenta un Padomes 2006. gada 14. jūnija regulas (EK) Nr. 1013/2006 par atkritumu sūtījumiem prasībām”.</w:t>
            </w:r>
          </w:p>
        </w:tc>
        <w:tc>
          <w:tcPr>
            <w:tcW w:w="2466" w:type="dxa"/>
            <w:tcBorders>
              <w:top w:val="single" w:sz="6" w:space="0" w:color="000000"/>
              <w:left w:val="single" w:sz="6" w:space="0" w:color="000000"/>
              <w:bottom w:val="single" w:sz="6" w:space="0" w:color="000000"/>
              <w:right w:val="single" w:sz="6" w:space="0" w:color="000000"/>
            </w:tcBorders>
          </w:tcPr>
          <w:p w14:paraId="04D82F7C" w14:textId="77777777" w:rsidR="002B00E3" w:rsidRDefault="002B00E3" w:rsidP="006E0BA7">
            <w:pPr>
              <w:pBdr>
                <w:top w:val="nil"/>
                <w:left w:val="nil"/>
                <w:bottom w:val="nil"/>
                <w:right w:val="nil"/>
                <w:between w:val="nil"/>
              </w:pBdr>
              <w:jc w:val="center"/>
              <w:rPr>
                <w:b/>
              </w:rPr>
            </w:pPr>
            <w:r>
              <w:rPr>
                <w:b/>
              </w:rPr>
              <w:lastRenderedPageBreak/>
              <w:t>Daļēji saskaņots</w:t>
            </w:r>
          </w:p>
          <w:p w14:paraId="7ADA0A19" w14:textId="74A267E2" w:rsidR="002B00E3" w:rsidRPr="009445D3" w:rsidRDefault="002B00E3" w:rsidP="002B00E3">
            <w:pPr>
              <w:pBdr>
                <w:top w:val="nil"/>
                <w:left w:val="nil"/>
                <w:bottom w:val="nil"/>
                <w:right w:val="nil"/>
                <w:between w:val="nil"/>
              </w:pBdr>
              <w:ind w:firstLine="720"/>
              <w:jc w:val="both"/>
              <w:rPr>
                <w:color w:val="000000"/>
                <w:sz w:val="20"/>
                <w:szCs w:val="20"/>
              </w:rPr>
            </w:pPr>
            <w:r>
              <w:t>I</w:t>
            </w:r>
            <w:r w:rsidRPr="008C79CD">
              <w:t xml:space="preserve">erosinājums papildināt Stratēģiskas nozīmes preču aprites likuma 5. pantu ar 15. daļu šādā redakcijā nav atbalstāms, jo dublē Atkritumu apsaimniekošanas likuma regulējumu, t.sk likuma 42. panta regulējumu un atsauces uz 1989. gada 22. marta Bāzeles konvenciju un Eiropas Parlamenta un Padomes 2006. gada 14. jūnija regulu Nr. </w:t>
            </w:r>
            <w:r w:rsidRPr="008C79CD">
              <w:lastRenderedPageBreak/>
              <w:t>1013/2006</w:t>
            </w:r>
            <w:r>
              <w:t>. Minētā prasība ir iekļauta anotācijā.</w:t>
            </w:r>
          </w:p>
        </w:tc>
        <w:tc>
          <w:tcPr>
            <w:tcW w:w="1710" w:type="dxa"/>
            <w:tcBorders>
              <w:top w:val="single" w:sz="4" w:space="0" w:color="000000"/>
              <w:left w:val="single" w:sz="4" w:space="0" w:color="000000"/>
              <w:bottom w:val="single" w:sz="4" w:space="0" w:color="000000"/>
              <w:right w:val="single" w:sz="4" w:space="0" w:color="000000"/>
            </w:tcBorders>
          </w:tcPr>
          <w:p w14:paraId="19C25646" w14:textId="15784004" w:rsidR="002B00E3" w:rsidRDefault="002B00E3">
            <w:pPr>
              <w:jc w:val="center"/>
              <w:rPr>
                <w:sz w:val="20"/>
                <w:szCs w:val="20"/>
              </w:rPr>
            </w:pPr>
          </w:p>
        </w:tc>
        <w:tc>
          <w:tcPr>
            <w:tcW w:w="3195" w:type="dxa"/>
            <w:tcBorders>
              <w:top w:val="single" w:sz="4" w:space="0" w:color="000000"/>
              <w:left w:val="single" w:sz="4" w:space="0" w:color="000000"/>
              <w:bottom w:val="single" w:sz="4" w:space="0" w:color="000000"/>
            </w:tcBorders>
          </w:tcPr>
          <w:p w14:paraId="4F747234" w14:textId="46FA6ECE" w:rsidR="002B00E3" w:rsidRDefault="002B00E3">
            <w:pPr>
              <w:jc w:val="center"/>
              <w:rPr>
                <w:sz w:val="20"/>
                <w:szCs w:val="20"/>
              </w:rPr>
            </w:pPr>
            <w:r w:rsidRPr="00993D16">
              <w:rPr>
                <w:b/>
              </w:rPr>
              <w:t>Likumprojekta anotācija ir precizēta.</w:t>
            </w:r>
          </w:p>
        </w:tc>
      </w:tr>
    </w:tbl>
    <w:p w14:paraId="5AF8685A" w14:textId="77777777" w:rsidR="000635C0" w:rsidRDefault="000635C0">
      <w:pPr>
        <w:pBdr>
          <w:top w:val="nil"/>
          <w:left w:val="nil"/>
          <w:bottom w:val="nil"/>
          <w:right w:val="nil"/>
          <w:between w:val="nil"/>
        </w:pBdr>
        <w:jc w:val="both"/>
        <w:rPr>
          <w:color w:val="000000"/>
        </w:rPr>
      </w:pPr>
    </w:p>
    <w:p w14:paraId="06C81F70" w14:textId="77777777" w:rsidR="000635C0" w:rsidRDefault="00BA0BA3">
      <w:pPr>
        <w:pBdr>
          <w:top w:val="nil"/>
          <w:left w:val="nil"/>
          <w:bottom w:val="nil"/>
          <w:right w:val="nil"/>
          <w:between w:val="nil"/>
        </w:pBdr>
        <w:jc w:val="both"/>
        <w:rPr>
          <w:color w:val="000000"/>
        </w:rPr>
      </w:pPr>
      <w:r>
        <w:rPr>
          <w:b/>
          <w:color w:val="000000"/>
        </w:rPr>
        <w:t>Informācija par starpministriju (starpinstitūciju) sanāksmi vai elektronisko saskaņošanu</w:t>
      </w:r>
    </w:p>
    <w:p w14:paraId="466ABDE4" w14:textId="77777777" w:rsidR="000635C0" w:rsidRDefault="000635C0">
      <w:pPr>
        <w:pBdr>
          <w:top w:val="nil"/>
          <w:left w:val="nil"/>
          <w:bottom w:val="nil"/>
          <w:right w:val="nil"/>
          <w:between w:val="nil"/>
        </w:pBdr>
        <w:jc w:val="both"/>
        <w:rPr>
          <w:color w:val="000000"/>
        </w:rPr>
      </w:pPr>
    </w:p>
    <w:tbl>
      <w:tblPr>
        <w:tblStyle w:val="a0"/>
        <w:tblW w:w="13518" w:type="dxa"/>
        <w:tblLayout w:type="fixed"/>
        <w:tblLook w:val="0000" w:firstRow="0" w:lastRow="0" w:firstColumn="0" w:lastColumn="0" w:noHBand="0" w:noVBand="0"/>
      </w:tblPr>
      <w:tblGrid>
        <w:gridCol w:w="6768"/>
        <w:gridCol w:w="779"/>
        <w:gridCol w:w="5971"/>
      </w:tblGrid>
      <w:tr w:rsidR="000635C0" w14:paraId="6B2873F9" w14:textId="77777777" w:rsidTr="00090F15">
        <w:tc>
          <w:tcPr>
            <w:tcW w:w="6768" w:type="dxa"/>
          </w:tcPr>
          <w:p w14:paraId="0803A222" w14:textId="77777777" w:rsidR="000635C0" w:rsidRDefault="00BA0BA3">
            <w:pPr>
              <w:pBdr>
                <w:top w:val="nil"/>
                <w:left w:val="nil"/>
                <w:bottom w:val="nil"/>
                <w:right w:val="nil"/>
                <w:between w:val="nil"/>
              </w:pBdr>
              <w:jc w:val="both"/>
              <w:rPr>
                <w:color w:val="000000"/>
              </w:rPr>
            </w:pPr>
            <w:r>
              <w:rPr>
                <w:color w:val="000000"/>
              </w:rPr>
              <w:t>Datums</w:t>
            </w:r>
          </w:p>
        </w:tc>
        <w:tc>
          <w:tcPr>
            <w:tcW w:w="6750" w:type="dxa"/>
            <w:gridSpan w:val="2"/>
            <w:tcBorders>
              <w:bottom w:val="single" w:sz="4" w:space="0" w:color="000000"/>
            </w:tcBorders>
          </w:tcPr>
          <w:p w14:paraId="0E6F9EB6" w14:textId="6470F0C9" w:rsidR="000635C0" w:rsidRDefault="00B642A0" w:rsidP="0091519B">
            <w:pPr>
              <w:pBdr>
                <w:top w:val="nil"/>
                <w:left w:val="nil"/>
                <w:bottom w:val="nil"/>
                <w:right w:val="nil"/>
                <w:between w:val="nil"/>
              </w:pBdr>
              <w:ind w:firstLine="720"/>
              <w:rPr>
                <w:color w:val="000000"/>
              </w:rPr>
            </w:pPr>
            <w:r>
              <w:rPr>
                <w:color w:val="000000"/>
              </w:rPr>
              <w:t>12</w:t>
            </w:r>
            <w:r w:rsidR="009127F2">
              <w:rPr>
                <w:color w:val="000000"/>
              </w:rPr>
              <w:t>.</w:t>
            </w:r>
            <w:r w:rsidR="0091519B">
              <w:rPr>
                <w:color w:val="000000"/>
              </w:rPr>
              <w:t>09</w:t>
            </w:r>
            <w:r w:rsidR="009127F2">
              <w:rPr>
                <w:color w:val="000000"/>
              </w:rPr>
              <w:t>.20</w:t>
            </w:r>
            <w:r w:rsidR="0091519B">
              <w:rPr>
                <w:color w:val="000000"/>
              </w:rPr>
              <w:t>19</w:t>
            </w:r>
            <w:r w:rsidR="009127F2">
              <w:rPr>
                <w:color w:val="000000"/>
              </w:rPr>
              <w:t>.</w:t>
            </w:r>
            <w:r w:rsidR="00133BC6">
              <w:rPr>
                <w:color w:val="000000"/>
              </w:rPr>
              <w:t>; 20.01.2020</w:t>
            </w:r>
            <w:r w:rsidR="00B3475C">
              <w:rPr>
                <w:color w:val="000000"/>
              </w:rPr>
              <w:t>; 13.02.2020</w:t>
            </w:r>
            <w:r w:rsidR="00133BC6">
              <w:rPr>
                <w:color w:val="000000"/>
              </w:rPr>
              <w:t>.</w:t>
            </w:r>
          </w:p>
        </w:tc>
      </w:tr>
      <w:tr w:rsidR="000635C0" w14:paraId="6408D076" w14:textId="77777777" w:rsidTr="00090F15">
        <w:tc>
          <w:tcPr>
            <w:tcW w:w="6768" w:type="dxa"/>
          </w:tcPr>
          <w:p w14:paraId="09F5F8B8" w14:textId="77777777" w:rsidR="000635C0" w:rsidRDefault="000635C0">
            <w:pPr>
              <w:pBdr>
                <w:top w:val="nil"/>
                <w:left w:val="nil"/>
                <w:bottom w:val="nil"/>
                <w:right w:val="nil"/>
                <w:between w:val="nil"/>
              </w:pBdr>
              <w:jc w:val="both"/>
              <w:rPr>
                <w:color w:val="000000"/>
              </w:rPr>
            </w:pPr>
          </w:p>
        </w:tc>
        <w:tc>
          <w:tcPr>
            <w:tcW w:w="6750" w:type="dxa"/>
            <w:gridSpan w:val="2"/>
            <w:tcBorders>
              <w:top w:val="single" w:sz="4" w:space="0" w:color="000000"/>
            </w:tcBorders>
          </w:tcPr>
          <w:p w14:paraId="3C5355A1" w14:textId="77777777" w:rsidR="000635C0" w:rsidRDefault="000635C0">
            <w:pPr>
              <w:pBdr>
                <w:top w:val="nil"/>
                <w:left w:val="nil"/>
                <w:bottom w:val="nil"/>
                <w:right w:val="nil"/>
                <w:between w:val="nil"/>
              </w:pBdr>
              <w:ind w:firstLine="720"/>
              <w:rPr>
                <w:color w:val="000000"/>
              </w:rPr>
            </w:pPr>
          </w:p>
        </w:tc>
      </w:tr>
      <w:tr w:rsidR="000635C0" w14:paraId="0DB5B6D8" w14:textId="77777777" w:rsidTr="00090F15">
        <w:tc>
          <w:tcPr>
            <w:tcW w:w="6768" w:type="dxa"/>
          </w:tcPr>
          <w:p w14:paraId="413229F1" w14:textId="77777777" w:rsidR="000635C0" w:rsidRDefault="00BA0BA3">
            <w:pPr>
              <w:pBdr>
                <w:top w:val="nil"/>
                <w:left w:val="nil"/>
                <w:bottom w:val="nil"/>
                <w:right w:val="nil"/>
                <w:between w:val="nil"/>
              </w:pBdr>
              <w:rPr>
                <w:color w:val="000000"/>
              </w:rPr>
            </w:pPr>
            <w:r>
              <w:rPr>
                <w:color w:val="000000"/>
              </w:rPr>
              <w:t>Saskaņošanas dalībnieki</w:t>
            </w:r>
          </w:p>
        </w:tc>
        <w:tc>
          <w:tcPr>
            <w:tcW w:w="6750" w:type="dxa"/>
            <w:gridSpan w:val="2"/>
          </w:tcPr>
          <w:p w14:paraId="3C7FCBAE" w14:textId="09F1C49B" w:rsidR="000635C0" w:rsidRDefault="009127F2" w:rsidP="00B642A0">
            <w:pPr>
              <w:pBdr>
                <w:top w:val="nil"/>
                <w:left w:val="nil"/>
                <w:bottom w:val="nil"/>
                <w:right w:val="nil"/>
                <w:between w:val="nil"/>
              </w:pBdr>
              <w:ind w:firstLine="720"/>
              <w:rPr>
                <w:color w:val="000000"/>
              </w:rPr>
            </w:pPr>
            <w:r>
              <w:rPr>
                <w:color w:val="000000"/>
              </w:rPr>
              <w:t>Tieslietu ministrija, Iekšlietu ministrija, Aizsardzības ministrija, Finanšu ministrija, Ekonomikas ministrija, Satversmes aizsardzības birojs, Vides aizsardzības un reģionālās attīstības ministrija</w:t>
            </w:r>
          </w:p>
        </w:tc>
      </w:tr>
      <w:tr w:rsidR="000635C0" w14:paraId="4EC7DD0D" w14:textId="77777777" w:rsidTr="00090F15">
        <w:tc>
          <w:tcPr>
            <w:tcW w:w="6768" w:type="dxa"/>
          </w:tcPr>
          <w:p w14:paraId="0F342DC6" w14:textId="77777777" w:rsidR="000635C0" w:rsidRDefault="00BA0BA3">
            <w:pPr>
              <w:pBdr>
                <w:top w:val="nil"/>
                <w:left w:val="nil"/>
                <w:bottom w:val="nil"/>
                <w:right w:val="nil"/>
                <w:between w:val="nil"/>
              </w:pBdr>
              <w:ind w:firstLine="720"/>
              <w:rPr>
                <w:color w:val="000000"/>
              </w:rPr>
            </w:pPr>
            <w:r>
              <w:rPr>
                <w:color w:val="000000"/>
              </w:rPr>
              <w:t>  </w:t>
            </w:r>
          </w:p>
        </w:tc>
        <w:tc>
          <w:tcPr>
            <w:tcW w:w="6750" w:type="dxa"/>
            <w:gridSpan w:val="2"/>
            <w:tcBorders>
              <w:top w:val="single" w:sz="6" w:space="0" w:color="000000"/>
              <w:bottom w:val="single" w:sz="6" w:space="0" w:color="000000"/>
            </w:tcBorders>
          </w:tcPr>
          <w:p w14:paraId="5FCCCC56" w14:textId="77777777" w:rsidR="000635C0" w:rsidRDefault="000635C0">
            <w:pPr>
              <w:pBdr>
                <w:top w:val="nil"/>
                <w:left w:val="nil"/>
                <w:bottom w:val="nil"/>
                <w:right w:val="nil"/>
                <w:between w:val="nil"/>
              </w:pBdr>
              <w:ind w:firstLine="720"/>
              <w:rPr>
                <w:color w:val="000000"/>
              </w:rPr>
            </w:pPr>
          </w:p>
        </w:tc>
      </w:tr>
      <w:tr w:rsidR="000635C0" w14:paraId="5E409279" w14:textId="77777777" w:rsidTr="00090F15">
        <w:trPr>
          <w:trHeight w:val="280"/>
        </w:trPr>
        <w:tc>
          <w:tcPr>
            <w:tcW w:w="6768" w:type="dxa"/>
          </w:tcPr>
          <w:p w14:paraId="64782572" w14:textId="77777777" w:rsidR="000635C0" w:rsidRDefault="000635C0">
            <w:pPr>
              <w:pBdr>
                <w:top w:val="nil"/>
                <w:left w:val="nil"/>
                <w:bottom w:val="nil"/>
                <w:right w:val="nil"/>
                <w:between w:val="nil"/>
              </w:pBdr>
              <w:rPr>
                <w:color w:val="000000"/>
              </w:rPr>
            </w:pPr>
          </w:p>
        </w:tc>
        <w:tc>
          <w:tcPr>
            <w:tcW w:w="779" w:type="dxa"/>
          </w:tcPr>
          <w:p w14:paraId="70416B91" w14:textId="77777777" w:rsidR="000635C0" w:rsidRDefault="000635C0">
            <w:pPr>
              <w:pBdr>
                <w:top w:val="nil"/>
                <w:left w:val="nil"/>
                <w:bottom w:val="nil"/>
                <w:right w:val="nil"/>
                <w:between w:val="nil"/>
              </w:pBdr>
              <w:ind w:firstLine="720"/>
              <w:rPr>
                <w:color w:val="000000"/>
              </w:rPr>
            </w:pPr>
          </w:p>
        </w:tc>
        <w:tc>
          <w:tcPr>
            <w:tcW w:w="5971" w:type="dxa"/>
          </w:tcPr>
          <w:p w14:paraId="18C87BC2" w14:textId="77777777" w:rsidR="000635C0" w:rsidRDefault="000635C0">
            <w:pPr>
              <w:pBdr>
                <w:top w:val="nil"/>
                <w:left w:val="nil"/>
                <w:bottom w:val="nil"/>
                <w:right w:val="nil"/>
                <w:between w:val="nil"/>
              </w:pBdr>
              <w:ind w:firstLine="12"/>
              <w:rPr>
                <w:color w:val="000000"/>
              </w:rPr>
            </w:pPr>
          </w:p>
        </w:tc>
      </w:tr>
    </w:tbl>
    <w:p w14:paraId="6E40135B" w14:textId="77777777" w:rsidR="000635C0" w:rsidRDefault="000635C0">
      <w:bookmarkStart w:id="0" w:name="_GoBack"/>
      <w:bookmarkEnd w:id="0"/>
    </w:p>
    <w:tbl>
      <w:tblPr>
        <w:tblStyle w:val="TableGrid"/>
        <w:tblW w:w="13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07"/>
        <w:gridCol w:w="6811"/>
      </w:tblGrid>
      <w:tr w:rsidR="00D864DF" w14:paraId="426CCE13" w14:textId="77777777" w:rsidTr="004F5302">
        <w:trPr>
          <w:trHeight w:val="369"/>
        </w:trPr>
        <w:tc>
          <w:tcPr>
            <w:tcW w:w="6707" w:type="dxa"/>
          </w:tcPr>
          <w:p w14:paraId="2B337D60" w14:textId="77777777" w:rsidR="00D864DF" w:rsidRDefault="00D864DF">
            <w:pPr>
              <w:pBdr>
                <w:top w:val="nil"/>
                <w:left w:val="nil"/>
                <w:bottom w:val="nil"/>
                <w:right w:val="nil"/>
                <w:between w:val="nil"/>
              </w:pBdr>
              <w:rPr>
                <w:color w:val="000000"/>
              </w:rPr>
            </w:pPr>
            <w:r>
              <w:rPr>
                <w:color w:val="000000"/>
              </w:rPr>
              <w:t>Saskaņošanas dalībnieki izskatīja šādu ministriju (citu institūciju) iebildumus</w:t>
            </w:r>
          </w:p>
        </w:tc>
        <w:tc>
          <w:tcPr>
            <w:tcW w:w="6811" w:type="dxa"/>
            <w:tcBorders>
              <w:bottom w:val="single" w:sz="4" w:space="0" w:color="auto"/>
            </w:tcBorders>
          </w:tcPr>
          <w:p w14:paraId="715D9454" w14:textId="77777777" w:rsidR="00D864DF" w:rsidRDefault="00D864DF">
            <w:pPr>
              <w:pBdr>
                <w:top w:val="nil"/>
                <w:left w:val="nil"/>
                <w:bottom w:val="nil"/>
                <w:right w:val="nil"/>
                <w:between w:val="nil"/>
              </w:pBdr>
              <w:ind w:firstLine="12"/>
              <w:rPr>
                <w:color w:val="000000"/>
              </w:rPr>
            </w:pPr>
          </w:p>
          <w:p w14:paraId="2E104D28" w14:textId="14103B1F" w:rsidR="00D864DF" w:rsidRDefault="00B642A0" w:rsidP="00B642A0">
            <w:pPr>
              <w:pBdr>
                <w:top w:val="nil"/>
                <w:left w:val="nil"/>
                <w:bottom w:val="nil"/>
                <w:right w:val="nil"/>
                <w:between w:val="nil"/>
              </w:pBdr>
              <w:ind w:firstLine="12"/>
              <w:rPr>
                <w:color w:val="000000"/>
              </w:rPr>
            </w:pPr>
            <w:r>
              <w:rPr>
                <w:color w:val="000000"/>
              </w:rPr>
              <w:t>Tieslietu ministrija, Iekšlietu ministrija, Aizsardzības ministrija, Finanšu ministrija, Ekonomikas ministrija, Vides aizsardzības un reģionālās attīstības ministrija</w:t>
            </w:r>
          </w:p>
        </w:tc>
      </w:tr>
      <w:tr w:rsidR="000635C0" w14:paraId="1A0EC189" w14:textId="77777777" w:rsidTr="004F5302">
        <w:trPr>
          <w:trHeight w:val="460"/>
        </w:trPr>
        <w:tc>
          <w:tcPr>
            <w:tcW w:w="6707" w:type="dxa"/>
          </w:tcPr>
          <w:p w14:paraId="632A80DF" w14:textId="77777777" w:rsidR="000635C0" w:rsidRDefault="00BA0BA3">
            <w:pPr>
              <w:pBdr>
                <w:top w:val="nil"/>
                <w:left w:val="nil"/>
                <w:bottom w:val="nil"/>
                <w:right w:val="nil"/>
                <w:between w:val="nil"/>
              </w:pBdr>
              <w:ind w:firstLine="720"/>
              <w:rPr>
                <w:color w:val="000000"/>
              </w:rPr>
            </w:pPr>
            <w:r>
              <w:rPr>
                <w:color w:val="000000"/>
              </w:rPr>
              <w:t>  </w:t>
            </w:r>
          </w:p>
        </w:tc>
        <w:tc>
          <w:tcPr>
            <w:tcW w:w="6811" w:type="dxa"/>
            <w:tcBorders>
              <w:top w:val="single" w:sz="4" w:space="0" w:color="auto"/>
            </w:tcBorders>
          </w:tcPr>
          <w:p w14:paraId="709EE046" w14:textId="77777777" w:rsidR="000635C0" w:rsidRDefault="000635C0">
            <w:pPr>
              <w:pBdr>
                <w:top w:val="nil"/>
                <w:left w:val="nil"/>
                <w:bottom w:val="nil"/>
                <w:right w:val="nil"/>
                <w:between w:val="nil"/>
              </w:pBdr>
              <w:ind w:firstLine="720"/>
              <w:rPr>
                <w:color w:val="000000"/>
              </w:rPr>
            </w:pPr>
          </w:p>
        </w:tc>
      </w:tr>
      <w:tr w:rsidR="000635C0" w14:paraId="41DA0E12" w14:textId="77777777" w:rsidTr="004F5302">
        <w:trPr>
          <w:trHeight w:val="460"/>
        </w:trPr>
        <w:tc>
          <w:tcPr>
            <w:tcW w:w="13518" w:type="dxa"/>
            <w:gridSpan w:val="2"/>
          </w:tcPr>
          <w:p w14:paraId="43237205" w14:textId="77777777" w:rsidR="000635C0" w:rsidRDefault="000635C0">
            <w:pPr>
              <w:pBdr>
                <w:top w:val="nil"/>
                <w:left w:val="nil"/>
                <w:bottom w:val="nil"/>
                <w:right w:val="nil"/>
                <w:between w:val="nil"/>
              </w:pBdr>
              <w:ind w:left="4820" w:firstLine="720"/>
              <w:jc w:val="center"/>
              <w:rPr>
                <w:color w:val="000000"/>
              </w:rPr>
            </w:pPr>
          </w:p>
        </w:tc>
      </w:tr>
      <w:tr w:rsidR="000635C0" w14:paraId="20321A11" w14:textId="77777777" w:rsidTr="004F5302">
        <w:tc>
          <w:tcPr>
            <w:tcW w:w="6707" w:type="dxa"/>
          </w:tcPr>
          <w:p w14:paraId="655AA3BA" w14:textId="77777777" w:rsidR="000635C0" w:rsidRDefault="00BA0BA3">
            <w:pPr>
              <w:pBdr>
                <w:top w:val="nil"/>
                <w:left w:val="nil"/>
                <w:bottom w:val="nil"/>
                <w:right w:val="nil"/>
                <w:between w:val="nil"/>
              </w:pBdr>
              <w:rPr>
                <w:color w:val="000000"/>
              </w:rPr>
            </w:pPr>
            <w:r>
              <w:rPr>
                <w:color w:val="000000"/>
              </w:rPr>
              <w:t>Ministrijas (citas institūcijas), kuras nav ieradušās uz sanāksmi vai kuras nav atbildējušas uz uzaicinājumu piedalīties elektroniskajā saskaņošanā</w:t>
            </w:r>
          </w:p>
        </w:tc>
        <w:tc>
          <w:tcPr>
            <w:tcW w:w="6811" w:type="dxa"/>
            <w:tcBorders>
              <w:bottom w:val="single" w:sz="4" w:space="0" w:color="auto"/>
            </w:tcBorders>
          </w:tcPr>
          <w:p w14:paraId="6147F295" w14:textId="0A3A4E24" w:rsidR="000635C0" w:rsidRDefault="000635C0" w:rsidP="00B642A0">
            <w:pPr>
              <w:pBdr>
                <w:top w:val="nil"/>
                <w:left w:val="nil"/>
                <w:bottom w:val="nil"/>
                <w:right w:val="nil"/>
                <w:between w:val="nil"/>
              </w:pBdr>
              <w:ind w:firstLine="720"/>
              <w:rPr>
                <w:color w:val="000000"/>
              </w:rPr>
            </w:pPr>
          </w:p>
        </w:tc>
      </w:tr>
      <w:tr w:rsidR="000635C0" w14:paraId="57A2391F" w14:textId="77777777" w:rsidTr="004F5302">
        <w:tc>
          <w:tcPr>
            <w:tcW w:w="6707" w:type="dxa"/>
          </w:tcPr>
          <w:p w14:paraId="3D1ED325" w14:textId="77777777" w:rsidR="000635C0" w:rsidRDefault="00BA0BA3">
            <w:pPr>
              <w:pBdr>
                <w:top w:val="nil"/>
                <w:left w:val="nil"/>
                <w:bottom w:val="nil"/>
                <w:right w:val="nil"/>
                <w:between w:val="nil"/>
              </w:pBdr>
              <w:ind w:firstLine="720"/>
              <w:rPr>
                <w:color w:val="000000"/>
              </w:rPr>
            </w:pPr>
            <w:r>
              <w:rPr>
                <w:color w:val="000000"/>
              </w:rPr>
              <w:t>  </w:t>
            </w:r>
          </w:p>
        </w:tc>
        <w:tc>
          <w:tcPr>
            <w:tcW w:w="6811" w:type="dxa"/>
            <w:tcBorders>
              <w:top w:val="single" w:sz="4" w:space="0" w:color="auto"/>
              <w:bottom w:val="single" w:sz="4" w:space="0" w:color="auto"/>
            </w:tcBorders>
          </w:tcPr>
          <w:p w14:paraId="62970B88" w14:textId="77777777" w:rsidR="000635C0" w:rsidRDefault="000635C0">
            <w:pPr>
              <w:pBdr>
                <w:top w:val="nil"/>
                <w:left w:val="nil"/>
                <w:bottom w:val="nil"/>
                <w:right w:val="nil"/>
                <w:between w:val="nil"/>
              </w:pBdr>
              <w:ind w:firstLine="720"/>
              <w:rPr>
                <w:color w:val="000000"/>
              </w:rPr>
            </w:pPr>
          </w:p>
        </w:tc>
      </w:tr>
      <w:tr w:rsidR="000635C0" w14:paraId="0E4DE3CB" w14:textId="77777777" w:rsidTr="004F5302">
        <w:tc>
          <w:tcPr>
            <w:tcW w:w="6707" w:type="dxa"/>
          </w:tcPr>
          <w:p w14:paraId="05763681" w14:textId="77777777" w:rsidR="000635C0" w:rsidRDefault="00BA0BA3">
            <w:pPr>
              <w:pBdr>
                <w:top w:val="nil"/>
                <w:left w:val="nil"/>
                <w:bottom w:val="nil"/>
                <w:right w:val="nil"/>
                <w:between w:val="nil"/>
              </w:pBdr>
              <w:ind w:firstLine="720"/>
              <w:rPr>
                <w:color w:val="000000"/>
              </w:rPr>
            </w:pPr>
            <w:r>
              <w:rPr>
                <w:color w:val="000000"/>
              </w:rPr>
              <w:t>  </w:t>
            </w:r>
          </w:p>
        </w:tc>
        <w:tc>
          <w:tcPr>
            <w:tcW w:w="6811" w:type="dxa"/>
            <w:tcBorders>
              <w:top w:val="single" w:sz="4" w:space="0" w:color="auto"/>
            </w:tcBorders>
          </w:tcPr>
          <w:p w14:paraId="231596FB" w14:textId="77777777" w:rsidR="000635C0" w:rsidRDefault="000635C0">
            <w:pPr>
              <w:pBdr>
                <w:top w:val="nil"/>
                <w:left w:val="nil"/>
                <w:bottom w:val="nil"/>
                <w:right w:val="nil"/>
                <w:between w:val="nil"/>
              </w:pBdr>
              <w:ind w:firstLine="720"/>
              <w:rPr>
                <w:color w:val="000000"/>
              </w:rPr>
            </w:pPr>
          </w:p>
        </w:tc>
      </w:tr>
    </w:tbl>
    <w:p w14:paraId="5D289698" w14:textId="77777777" w:rsidR="000635C0" w:rsidRDefault="000635C0">
      <w:pPr>
        <w:pBdr>
          <w:top w:val="nil"/>
          <w:left w:val="nil"/>
          <w:bottom w:val="nil"/>
          <w:right w:val="nil"/>
          <w:between w:val="nil"/>
        </w:pBdr>
        <w:ind w:firstLine="720"/>
        <w:jc w:val="both"/>
        <w:rPr>
          <w:color w:val="000000"/>
        </w:rPr>
      </w:pPr>
    </w:p>
    <w:p w14:paraId="792639BB" w14:textId="77777777" w:rsidR="001A3CFD" w:rsidRDefault="001A3CFD">
      <w:pPr>
        <w:pBdr>
          <w:top w:val="nil"/>
          <w:left w:val="nil"/>
          <w:bottom w:val="nil"/>
          <w:right w:val="nil"/>
          <w:between w:val="nil"/>
        </w:pBdr>
        <w:jc w:val="center"/>
        <w:rPr>
          <w:b/>
          <w:color w:val="000000"/>
        </w:rPr>
      </w:pPr>
    </w:p>
    <w:p w14:paraId="4A81A615" w14:textId="77777777" w:rsidR="000635C0" w:rsidRDefault="00BA0BA3">
      <w:pPr>
        <w:pBdr>
          <w:top w:val="nil"/>
          <w:left w:val="nil"/>
          <w:bottom w:val="nil"/>
          <w:right w:val="nil"/>
          <w:between w:val="nil"/>
        </w:pBdr>
        <w:jc w:val="center"/>
        <w:rPr>
          <w:color w:val="000000"/>
        </w:rPr>
      </w:pPr>
      <w:r>
        <w:rPr>
          <w:b/>
          <w:color w:val="000000"/>
        </w:rPr>
        <w:t>II. Jautājumi, par kuriem saskaņošanā vienošanās ir panākta</w:t>
      </w:r>
    </w:p>
    <w:p w14:paraId="6ACD43E0" w14:textId="77777777" w:rsidR="000635C0" w:rsidRDefault="000635C0">
      <w:pPr>
        <w:pBdr>
          <w:top w:val="nil"/>
          <w:left w:val="nil"/>
          <w:bottom w:val="nil"/>
          <w:right w:val="nil"/>
          <w:between w:val="nil"/>
        </w:pBdr>
        <w:ind w:firstLine="720"/>
        <w:jc w:val="both"/>
        <w:rPr>
          <w:color w:val="000000"/>
        </w:rPr>
      </w:pPr>
    </w:p>
    <w:tbl>
      <w:tblPr>
        <w:tblStyle w:val="a2"/>
        <w:tblW w:w="1499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7"/>
        <w:gridCol w:w="3721"/>
        <w:gridCol w:w="4590"/>
        <w:gridCol w:w="2250"/>
        <w:gridCol w:w="3723"/>
      </w:tblGrid>
      <w:tr w:rsidR="000635C0" w14:paraId="4B0AB3EE" w14:textId="77777777" w:rsidTr="00090F15">
        <w:tc>
          <w:tcPr>
            <w:tcW w:w="707" w:type="dxa"/>
            <w:tcBorders>
              <w:top w:val="single" w:sz="6" w:space="0" w:color="000000"/>
              <w:left w:val="single" w:sz="6" w:space="0" w:color="000000"/>
              <w:bottom w:val="single" w:sz="6" w:space="0" w:color="000000"/>
              <w:right w:val="single" w:sz="6" w:space="0" w:color="000000"/>
            </w:tcBorders>
            <w:vAlign w:val="center"/>
          </w:tcPr>
          <w:p w14:paraId="5FB1D6D1" w14:textId="77777777" w:rsidR="000635C0" w:rsidRDefault="00BA0BA3">
            <w:pPr>
              <w:pBdr>
                <w:top w:val="nil"/>
                <w:left w:val="nil"/>
                <w:bottom w:val="nil"/>
                <w:right w:val="nil"/>
                <w:between w:val="nil"/>
              </w:pBdr>
              <w:jc w:val="center"/>
              <w:rPr>
                <w:color w:val="000000"/>
              </w:rPr>
            </w:pPr>
            <w:r>
              <w:rPr>
                <w:color w:val="000000"/>
              </w:rPr>
              <w:t>Nr. p. k.</w:t>
            </w:r>
          </w:p>
        </w:tc>
        <w:tc>
          <w:tcPr>
            <w:tcW w:w="3721" w:type="dxa"/>
            <w:tcBorders>
              <w:top w:val="single" w:sz="6" w:space="0" w:color="000000"/>
              <w:left w:val="single" w:sz="6" w:space="0" w:color="000000"/>
              <w:bottom w:val="single" w:sz="6" w:space="0" w:color="000000"/>
              <w:right w:val="single" w:sz="6" w:space="0" w:color="000000"/>
            </w:tcBorders>
            <w:vAlign w:val="center"/>
          </w:tcPr>
          <w:p w14:paraId="448B063D" w14:textId="77777777" w:rsidR="000635C0" w:rsidRDefault="00BA0BA3">
            <w:pPr>
              <w:pBdr>
                <w:top w:val="nil"/>
                <w:left w:val="nil"/>
                <w:bottom w:val="nil"/>
                <w:right w:val="nil"/>
                <w:between w:val="nil"/>
              </w:pBdr>
              <w:ind w:firstLine="12"/>
              <w:jc w:val="center"/>
              <w:rPr>
                <w:color w:val="000000"/>
              </w:rPr>
            </w:pPr>
            <w:r>
              <w:rPr>
                <w:color w:val="000000"/>
              </w:rPr>
              <w:t>Saskaņošanai nosūtītā projekta redakcija (konkrēta punkta (panta) redakcija)</w:t>
            </w:r>
          </w:p>
        </w:tc>
        <w:tc>
          <w:tcPr>
            <w:tcW w:w="4590" w:type="dxa"/>
            <w:tcBorders>
              <w:top w:val="single" w:sz="6" w:space="0" w:color="000000"/>
              <w:left w:val="single" w:sz="6" w:space="0" w:color="000000"/>
              <w:bottom w:val="single" w:sz="6" w:space="0" w:color="000000"/>
              <w:right w:val="single" w:sz="6" w:space="0" w:color="000000"/>
            </w:tcBorders>
            <w:vAlign w:val="center"/>
          </w:tcPr>
          <w:p w14:paraId="247B24BC" w14:textId="77777777" w:rsidR="000635C0" w:rsidRDefault="00BA0BA3">
            <w:pPr>
              <w:pBdr>
                <w:top w:val="nil"/>
                <w:left w:val="nil"/>
                <w:bottom w:val="nil"/>
                <w:right w:val="nil"/>
                <w:between w:val="nil"/>
              </w:pBdr>
              <w:ind w:right="3"/>
              <w:jc w:val="center"/>
              <w:rPr>
                <w:color w:val="000000"/>
              </w:rPr>
            </w:pPr>
            <w:r>
              <w:rPr>
                <w:color w:val="000000"/>
              </w:rPr>
              <w:t>Atzinumā norādītais ministrijas (citas institūcijas) iebildums, kā arī saskaņošanā papildus izteiktais iebildums par projekta konkrēto punktu (pantu)</w:t>
            </w:r>
          </w:p>
        </w:tc>
        <w:tc>
          <w:tcPr>
            <w:tcW w:w="2250" w:type="dxa"/>
            <w:tcBorders>
              <w:top w:val="single" w:sz="6" w:space="0" w:color="000000"/>
              <w:left w:val="single" w:sz="6" w:space="0" w:color="000000"/>
              <w:bottom w:val="single" w:sz="6" w:space="0" w:color="000000"/>
              <w:right w:val="single" w:sz="6" w:space="0" w:color="000000"/>
            </w:tcBorders>
            <w:vAlign w:val="center"/>
          </w:tcPr>
          <w:p w14:paraId="233CFA38" w14:textId="77777777" w:rsidR="000635C0" w:rsidRDefault="00BA0BA3">
            <w:pPr>
              <w:pBdr>
                <w:top w:val="nil"/>
                <w:left w:val="nil"/>
                <w:bottom w:val="nil"/>
                <w:right w:val="nil"/>
                <w:between w:val="nil"/>
              </w:pBdr>
              <w:ind w:firstLine="21"/>
              <w:jc w:val="center"/>
              <w:rPr>
                <w:color w:val="000000"/>
              </w:rPr>
            </w:pPr>
            <w:r>
              <w:rPr>
                <w:color w:val="000000"/>
              </w:rPr>
              <w:t>Atbildīgās ministrijas norāde par to, ka iebildums ir ņemts vērā, vai informācija par saskaņošanā panākto alternatīvo risinājumu</w:t>
            </w:r>
          </w:p>
        </w:tc>
        <w:tc>
          <w:tcPr>
            <w:tcW w:w="3723" w:type="dxa"/>
            <w:tcBorders>
              <w:top w:val="single" w:sz="4" w:space="0" w:color="000000"/>
              <w:left w:val="single" w:sz="4" w:space="0" w:color="000000"/>
              <w:bottom w:val="single" w:sz="4" w:space="0" w:color="000000"/>
            </w:tcBorders>
            <w:vAlign w:val="center"/>
          </w:tcPr>
          <w:p w14:paraId="7557F97A" w14:textId="77777777" w:rsidR="000635C0" w:rsidRDefault="00BA0BA3">
            <w:pPr>
              <w:jc w:val="center"/>
            </w:pPr>
            <w:r>
              <w:t>Projekta attiecīgā punkta (panta) galīgā redakcija</w:t>
            </w:r>
          </w:p>
        </w:tc>
      </w:tr>
      <w:tr w:rsidR="000635C0" w14:paraId="3D1EF9B1" w14:textId="77777777" w:rsidTr="00090F15">
        <w:tc>
          <w:tcPr>
            <w:tcW w:w="707" w:type="dxa"/>
            <w:tcBorders>
              <w:top w:val="single" w:sz="6" w:space="0" w:color="000000"/>
              <w:left w:val="single" w:sz="6" w:space="0" w:color="000000"/>
              <w:bottom w:val="single" w:sz="6" w:space="0" w:color="000000"/>
              <w:right w:val="single" w:sz="6" w:space="0" w:color="000000"/>
            </w:tcBorders>
          </w:tcPr>
          <w:p w14:paraId="74A59FFA" w14:textId="77777777" w:rsidR="000635C0" w:rsidRDefault="00BA0BA3">
            <w:pPr>
              <w:pBdr>
                <w:top w:val="nil"/>
                <w:left w:val="nil"/>
                <w:bottom w:val="nil"/>
                <w:right w:val="nil"/>
                <w:between w:val="nil"/>
              </w:pBdr>
              <w:jc w:val="center"/>
              <w:rPr>
                <w:color w:val="000000"/>
                <w:sz w:val="20"/>
                <w:szCs w:val="20"/>
              </w:rPr>
            </w:pPr>
            <w:r>
              <w:rPr>
                <w:color w:val="000000"/>
                <w:sz w:val="20"/>
                <w:szCs w:val="20"/>
              </w:rPr>
              <w:t>1</w:t>
            </w:r>
          </w:p>
        </w:tc>
        <w:tc>
          <w:tcPr>
            <w:tcW w:w="3721" w:type="dxa"/>
            <w:tcBorders>
              <w:top w:val="single" w:sz="6" w:space="0" w:color="000000"/>
              <w:left w:val="single" w:sz="6" w:space="0" w:color="000000"/>
              <w:bottom w:val="single" w:sz="6" w:space="0" w:color="000000"/>
              <w:right w:val="single" w:sz="6" w:space="0" w:color="000000"/>
            </w:tcBorders>
          </w:tcPr>
          <w:p w14:paraId="10F736F4" w14:textId="77777777" w:rsidR="000635C0" w:rsidRDefault="00BA0BA3">
            <w:pPr>
              <w:pBdr>
                <w:top w:val="nil"/>
                <w:left w:val="nil"/>
                <w:bottom w:val="nil"/>
                <w:right w:val="nil"/>
                <w:between w:val="nil"/>
              </w:pBdr>
              <w:ind w:firstLine="720"/>
              <w:jc w:val="center"/>
              <w:rPr>
                <w:color w:val="000000"/>
                <w:sz w:val="20"/>
                <w:szCs w:val="20"/>
              </w:rPr>
            </w:pPr>
            <w:r>
              <w:rPr>
                <w:color w:val="000000"/>
                <w:sz w:val="20"/>
                <w:szCs w:val="20"/>
              </w:rPr>
              <w:t>2</w:t>
            </w:r>
          </w:p>
        </w:tc>
        <w:tc>
          <w:tcPr>
            <w:tcW w:w="4590" w:type="dxa"/>
            <w:tcBorders>
              <w:top w:val="single" w:sz="6" w:space="0" w:color="000000"/>
              <w:left w:val="single" w:sz="6" w:space="0" w:color="000000"/>
              <w:bottom w:val="single" w:sz="6" w:space="0" w:color="000000"/>
              <w:right w:val="single" w:sz="6" w:space="0" w:color="000000"/>
            </w:tcBorders>
          </w:tcPr>
          <w:p w14:paraId="7703EF4D" w14:textId="77777777" w:rsidR="000635C0" w:rsidRDefault="00BA0BA3">
            <w:pPr>
              <w:pBdr>
                <w:top w:val="nil"/>
                <w:left w:val="nil"/>
                <w:bottom w:val="nil"/>
                <w:right w:val="nil"/>
                <w:between w:val="nil"/>
              </w:pBdr>
              <w:ind w:firstLine="720"/>
              <w:jc w:val="center"/>
              <w:rPr>
                <w:color w:val="000000"/>
                <w:sz w:val="20"/>
                <w:szCs w:val="20"/>
              </w:rPr>
            </w:pPr>
            <w:r>
              <w:rPr>
                <w:color w:val="000000"/>
                <w:sz w:val="20"/>
                <w:szCs w:val="20"/>
              </w:rPr>
              <w:t>3</w:t>
            </w:r>
          </w:p>
        </w:tc>
        <w:tc>
          <w:tcPr>
            <w:tcW w:w="2250" w:type="dxa"/>
            <w:tcBorders>
              <w:top w:val="single" w:sz="6" w:space="0" w:color="000000"/>
              <w:left w:val="single" w:sz="6" w:space="0" w:color="000000"/>
              <w:bottom w:val="single" w:sz="6" w:space="0" w:color="000000"/>
              <w:right w:val="single" w:sz="6" w:space="0" w:color="000000"/>
            </w:tcBorders>
          </w:tcPr>
          <w:p w14:paraId="6D0053CE" w14:textId="77777777" w:rsidR="000635C0" w:rsidRDefault="00BA0BA3">
            <w:pPr>
              <w:pBdr>
                <w:top w:val="nil"/>
                <w:left w:val="nil"/>
                <w:bottom w:val="nil"/>
                <w:right w:val="nil"/>
                <w:between w:val="nil"/>
              </w:pBdr>
              <w:ind w:firstLine="720"/>
              <w:jc w:val="center"/>
              <w:rPr>
                <w:color w:val="000000"/>
                <w:sz w:val="20"/>
                <w:szCs w:val="20"/>
              </w:rPr>
            </w:pPr>
            <w:r>
              <w:rPr>
                <w:color w:val="000000"/>
                <w:sz w:val="20"/>
                <w:szCs w:val="20"/>
              </w:rPr>
              <w:t>4</w:t>
            </w:r>
          </w:p>
        </w:tc>
        <w:tc>
          <w:tcPr>
            <w:tcW w:w="3723" w:type="dxa"/>
            <w:tcBorders>
              <w:top w:val="single" w:sz="4" w:space="0" w:color="000000"/>
              <w:left w:val="single" w:sz="4" w:space="0" w:color="000000"/>
              <w:bottom w:val="single" w:sz="4" w:space="0" w:color="000000"/>
            </w:tcBorders>
          </w:tcPr>
          <w:p w14:paraId="409C0956" w14:textId="77777777" w:rsidR="000635C0" w:rsidRDefault="00BA0BA3">
            <w:pPr>
              <w:jc w:val="center"/>
              <w:rPr>
                <w:sz w:val="20"/>
                <w:szCs w:val="20"/>
              </w:rPr>
            </w:pPr>
            <w:r>
              <w:rPr>
                <w:sz w:val="20"/>
                <w:szCs w:val="20"/>
              </w:rPr>
              <w:t>5</w:t>
            </w:r>
          </w:p>
        </w:tc>
      </w:tr>
      <w:tr w:rsidR="000635C0" w14:paraId="2F3AB1FC" w14:textId="77777777" w:rsidTr="00090F15">
        <w:tc>
          <w:tcPr>
            <w:tcW w:w="707" w:type="dxa"/>
            <w:tcBorders>
              <w:left w:val="single" w:sz="6" w:space="0" w:color="000000"/>
              <w:bottom w:val="single" w:sz="4" w:space="0" w:color="000000"/>
              <w:right w:val="single" w:sz="6" w:space="0" w:color="000000"/>
            </w:tcBorders>
          </w:tcPr>
          <w:p w14:paraId="685DBFC8" w14:textId="77777777" w:rsidR="000635C0" w:rsidRDefault="00BA0BA3" w:rsidP="00E8019D">
            <w:pPr>
              <w:pBdr>
                <w:top w:val="nil"/>
                <w:left w:val="nil"/>
                <w:bottom w:val="nil"/>
                <w:right w:val="nil"/>
                <w:between w:val="nil"/>
              </w:pBdr>
              <w:ind w:firstLine="720"/>
              <w:rPr>
                <w:color w:val="000000"/>
              </w:rPr>
            </w:pPr>
            <w:r>
              <w:rPr>
                <w:color w:val="000000"/>
              </w:rPr>
              <w:t>1</w:t>
            </w:r>
            <w:r w:rsidRPr="00623563">
              <w:rPr>
                <w:b/>
                <w:color w:val="000000"/>
              </w:rPr>
              <w:t>1.</w:t>
            </w:r>
          </w:p>
        </w:tc>
        <w:tc>
          <w:tcPr>
            <w:tcW w:w="3721" w:type="dxa"/>
            <w:tcBorders>
              <w:left w:val="single" w:sz="6" w:space="0" w:color="000000"/>
              <w:bottom w:val="single" w:sz="4" w:space="0" w:color="000000"/>
              <w:right w:val="single" w:sz="6" w:space="0" w:color="000000"/>
            </w:tcBorders>
          </w:tcPr>
          <w:p w14:paraId="6F935C9B" w14:textId="36E89399" w:rsidR="000635C0" w:rsidRDefault="00951887">
            <w:pPr>
              <w:pBdr>
                <w:top w:val="nil"/>
                <w:left w:val="nil"/>
                <w:bottom w:val="nil"/>
                <w:right w:val="nil"/>
                <w:between w:val="nil"/>
              </w:pBdr>
              <w:rPr>
                <w:b/>
                <w:color w:val="000000"/>
              </w:rPr>
            </w:pPr>
            <w:r>
              <w:rPr>
                <w:b/>
                <w:color w:val="000000"/>
              </w:rPr>
              <w:t>Likumprojekts</w:t>
            </w:r>
          </w:p>
          <w:p w14:paraId="0354974E" w14:textId="4ACCCE33" w:rsidR="0007493A" w:rsidRPr="0007493A" w:rsidRDefault="0007493A" w:rsidP="007945C8">
            <w:pPr>
              <w:pBdr>
                <w:top w:val="nil"/>
                <w:left w:val="nil"/>
                <w:bottom w:val="nil"/>
                <w:right w:val="nil"/>
                <w:between w:val="nil"/>
              </w:pBdr>
              <w:rPr>
                <w:color w:val="000000"/>
              </w:rPr>
            </w:pPr>
          </w:p>
        </w:tc>
        <w:tc>
          <w:tcPr>
            <w:tcW w:w="4590" w:type="dxa"/>
            <w:tcBorders>
              <w:left w:val="single" w:sz="6" w:space="0" w:color="000000"/>
              <w:bottom w:val="single" w:sz="4" w:space="0" w:color="000000"/>
              <w:right w:val="single" w:sz="6" w:space="0" w:color="000000"/>
            </w:tcBorders>
          </w:tcPr>
          <w:p w14:paraId="5F3D3B83" w14:textId="5F1A2957" w:rsidR="000635C0" w:rsidRDefault="00FF016C">
            <w:pPr>
              <w:pBdr>
                <w:top w:val="nil"/>
                <w:left w:val="nil"/>
                <w:bottom w:val="nil"/>
                <w:right w:val="nil"/>
                <w:between w:val="nil"/>
              </w:pBdr>
              <w:jc w:val="center"/>
              <w:rPr>
                <w:color w:val="000000"/>
              </w:rPr>
            </w:pPr>
            <w:r>
              <w:rPr>
                <w:b/>
                <w:color w:val="000000"/>
              </w:rPr>
              <w:t>VARAM iebildums</w:t>
            </w:r>
            <w:r w:rsidR="000F3D97">
              <w:rPr>
                <w:b/>
                <w:color w:val="000000"/>
              </w:rPr>
              <w:t xml:space="preserve"> </w:t>
            </w:r>
            <w:r w:rsidR="000F3D97">
              <w:rPr>
                <w:b/>
              </w:rPr>
              <w:t>(12.09.2019.)</w:t>
            </w:r>
          </w:p>
          <w:p w14:paraId="4D605200" w14:textId="0EB88E34" w:rsidR="000635C0" w:rsidRDefault="00FF016C" w:rsidP="003A178E">
            <w:pPr>
              <w:pBdr>
                <w:top w:val="nil"/>
                <w:left w:val="nil"/>
                <w:bottom w:val="nil"/>
                <w:right w:val="nil"/>
                <w:between w:val="nil"/>
              </w:pBdr>
              <w:jc w:val="both"/>
              <w:rPr>
                <w:color w:val="000000"/>
              </w:rPr>
            </w:pPr>
            <w:r w:rsidRPr="00FF016C">
              <w:rPr>
                <w:color w:val="000000"/>
              </w:rPr>
              <w:t>Saskaņā Ministru kabineta 2017. gada 4. jūlija noteikumu Nr. 399 “Valsts pārvaldes pakalpojumu uzskaites, kvalitātes kontroles un sniegšanas kārtība” 4.3. apakšpunktu, lūdzam pēc likumprojekta “Grozījumi Stratēģiskas nozīmes preču aprites likumā” (VSS-904) spēkā stāšanās nodrošināt valsts pārvaldes pakalpojuma “Komercdarbība ar Eiropas Savienības Kopējā militāro preču sarakstā minētajām precēm” (https://www.latvija.lv/lv/PPK/dzives-situacija/apakssituacija/p563/ProcesaAprakst</w:t>
            </w:r>
            <w:r w:rsidRPr="00FF016C">
              <w:rPr>
                <w:color w:val="000000"/>
              </w:rPr>
              <w:lastRenderedPageBreak/>
              <w:t>s) apraksta aktualizēšanu valsts pārvaldes pakalpojumu portālā Latvija.lv.</w:t>
            </w:r>
          </w:p>
        </w:tc>
        <w:tc>
          <w:tcPr>
            <w:tcW w:w="2250" w:type="dxa"/>
            <w:tcBorders>
              <w:left w:val="single" w:sz="6" w:space="0" w:color="000000"/>
              <w:bottom w:val="single" w:sz="4" w:space="0" w:color="000000"/>
              <w:right w:val="single" w:sz="6" w:space="0" w:color="000000"/>
            </w:tcBorders>
          </w:tcPr>
          <w:p w14:paraId="0336A50B" w14:textId="35DD35ED" w:rsidR="000635C0" w:rsidRDefault="007945C8" w:rsidP="00530E2E">
            <w:pPr>
              <w:pBdr>
                <w:top w:val="nil"/>
                <w:left w:val="nil"/>
                <w:bottom w:val="nil"/>
                <w:right w:val="nil"/>
                <w:between w:val="nil"/>
              </w:pBdr>
              <w:jc w:val="center"/>
              <w:rPr>
                <w:b/>
                <w:color w:val="000000"/>
              </w:rPr>
            </w:pPr>
            <w:r>
              <w:rPr>
                <w:b/>
                <w:color w:val="000000"/>
              </w:rPr>
              <w:lastRenderedPageBreak/>
              <w:t>Ņemts vērā</w:t>
            </w:r>
          </w:p>
          <w:p w14:paraId="62663EB5" w14:textId="77777777" w:rsidR="00530E2E" w:rsidRDefault="00530E2E" w:rsidP="00530E2E">
            <w:pPr>
              <w:pBdr>
                <w:top w:val="nil"/>
                <w:left w:val="nil"/>
                <w:bottom w:val="nil"/>
                <w:right w:val="nil"/>
                <w:between w:val="nil"/>
              </w:pBdr>
              <w:rPr>
                <w:b/>
                <w:color w:val="000000"/>
              </w:rPr>
            </w:pPr>
          </w:p>
          <w:p w14:paraId="078089F0" w14:textId="77777777" w:rsidR="00530E2E" w:rsidRDefault="00530E2E" w:rsidP="000D0EBB">
            <w:pPr>
              <w:pBdr>
                <w:top w:val="nil"/>
                <w:left w:val="nil"/>
                <w:bottom w:val="nil"/>
                <w:right w:val="nil"/>
                <w:between w:val="nil"/>
              </w:pBdr>
              <w:jc w:val="both"/>
              <w:rPr>
                <w:color w:val="000000"/>
              </w:rPr>
            </w:pPr>
          </w:p>
        </w:tc>
        <w:tc>
          <w:tcPr>
            <w:tcW w:w="3723" w:type="dxa"/>
            <w:tcBorders>
              <w:top w:val="single" w:sz="4" w:space="0" w:color="000000"/>
              <w:left w:val="single" w:sz="4" w:space="0" w:color="000000"/>
              <w:bottom w:val="single" w:sz="4" w:space="0" w:color="000000"/>
            </w:tcBorders>
          </w:tcPr>
          <w:p w14:paraId="37BB806D" w14:textId="573A936F" w:rsidR="000635C0" w:rsidRDefault="00FF016C" w:rsidP="00951887">
            <w:pPr>
              <w:jc w:val="both"/>
            </w:pPr>
            <w:r w:rsidRPr="00FF016C">
              <w:t>Pēc Likumprojekta spēkā stāšanās informācija portālā Latvija.lv tiks precizēta.</w:t>
            </w:r>
          </w:p>
        </w:tc>
      </w:tr>
      <w:tr w:rsidR="004F05DA" w14:paraId="3F473944" w14:textId="77777777" w:rsidTr="00090F15">
        <w:tc>
          <w:tcPr>
            <w:tcW w:w="707" w:type="dxa"/>
            <w:tcBorders>
              <w:left w:val="single" w:sz="6" w:space="0" w:color="000000"/>
              <w:bottom w:val="single" w:sz="4" w:space="0" w:color="000000"/>
              <w:right w:val="single" w:sz="6" w:space="0" w:color="000000"/>
            </w:tcBorders>
          </w:tcPr>
          <w:p w14:paraId="79CAE8F6" w14:textId="77777777" w:rsidR="004F05DA" w:rsidRPr="00B76634" w:rsidRDefault="004F05DA" w:rsidP="00E8019D">
            <w:pPr>
              <w:pBdr>
                <w:top w:val="nil"/>
                <w:left w:val="nil"/>
                <w:bottom w:val="nil"/>
                <w:right w:val="nil"/>
                <w:between w:val="nil"/>
              </w:pBdr>
              <w:ind w:firstLine="720"/>
            </w:pPr>
            <w:r w:rsidRPr="00B76634">
              <w:t>2</w:t>
            </w:r>
            <w:r w:rsidRPr="00B76634">
              <w:rPr>
                <w:b/>
              </w:rPr>
              <w:t>2.</w:t>
            </w:r>
          </w:p>
        </w:tc>
        <w:tc>
          <w:tcPr>
            <w:tcW w:w="3721" w:type="dxa"/>
            <w:tcBorders>
              <w:left w:val="single" w:sz="6" w:space="0" w:color="000000"/>
              <w:bottom w:val="single" w:sz="4" w:space="0" w:color="000000"/>
              <w:right w:val="single" w:sz="6" w:space="0" w:color="000000"/>
            </w:tcBorders>
          </w:tcPr>
          <w:p w14:paraId="08D2B5DF" w14:textId="59B8CD85" w:rsidR="00402BAE" w:rsidRPr="00680337" w:rsidRDefault="00402BAE" w:rsidP="004F05DA">
            <w:pPr>
              <w:pBdr>
                <w:top w:val="nil"/>
                <w:left w:val="nil"/>
                <w:bottom w:val="nil"/>
                <w:right w:val="nil"/>
                <w:between w:val="nil"/>
              </w:pBdr>
              <w:rPr>
                <w:b/>
              </w:rPr>
            </w:pPr>
            <w:r w:rsidRPr="00680337">
              <w:rPr>
                <w:b/>
              </w:rPr>
              <w:t>4. pantā:</w:t>
            </w:r>
          </w:p>
          <w:p w14:paraId="27F47870" w14:textId="77777777" w:rsidR="00402BAE" w:rsidRPr="00090F15" w:rsidRDefault="00402BAE" w:rsidP="00402BAE">
            <w:pPr>
              <w:pBdr>
                <w:top w:val="nil"/>
                <w:left w:val="nil"/>
                <w:bottom w:val="nil"/>
                <w:right w:val="nil"/>
                <w:between w:val="nil"/>
              </w:pBdr>
              <w:rPr>
                <w:bCs/>
              </w:rPr>
            </w:pPr>
            <w:r w:rsidRPr="00090F15">
              <w:rPr>
                <w:bCs/>
              </w:rPr>
              <w:t>izteikt pirmo daļu šādā redakcijā:</w:t>
            </w:r>
          </w:p>
          <w:p w14:paraId="48DBA5EB" w14:textId="52C24320" w:rsidR="00FC176C" w:rsidRPr="00FC176C" w:rsidRDefault="00402BAE" w:rsidP="00FC176C">
            <w:pPr>
              <w:pBdr>
                <w:top w:val="nil"/>
                <w:left w:val="nil"/>
                <w:bottom w:val="nil"/>
                <w:right w:val="nil"/>
                <w:between w:val="nil"/>
              </w:pBdr>
              <w:jc w:val="both"/>
            </w:pPr>
            <w:r>
              <w:t xml:space="preserve">“ (1) </w:t>
            </w:r>
            <w:r w:rsidR="00FC176C" w:rsidRPr="00FC176C">
              <w:t xml:space="preserve">Stratēģiskas nozīmes preču importa licence nav nepieciešama, ja Ieslodzījuma vietu pārvalde vai Iekšlietu ministrijas un Aizsardzības ministrijas pakļautībā vai pārraudzībā esošās iestādes Eiropas Savienības Kopējā militāro preču sarakstā minētās preces pārvieto no citas Eiropas Savienības dalībvalsts vai importē bez komersantu starpniecības. </w:t>
            </w:r>
          </w:p>
          <w:p w14:paraId="2D7910F9" w14:textId="77777777" w:rsidR="00FC176C" w:rsidRPr="00FC176C" w:rsidRDefault="00FC176C" w:rsidP="00FC176C">
            <w:pPr>
              <w:pBdr>
                <w:top w:val="nil"/>
                <w:left w:val="nil"/>
                <w:bottom w:val="nil"/>
                <w:right w:val="nil"/>
                <w:between w:val="nil"/>
              </w:pBdr>
              <w:jc w:val="both"/>
            </w:pPr>
            <w:r w:rsidRPr="00FC176C">
              <w:t xml:space="preserve">Stratēģiskas nozīmes preču eksporta licence nav nepieciešama, ja Iekšlietu ministrijas un Aizsardzības ministrijas pakļautībā vai pārraudzībā esošās iestādes Eiropas Savienības Kopējā militāro preču sarakstā minētās preces pārvieto uz citu Eiropas Savienības dalībvalsti vai eksportē bez komersantu starpniecības un ja minētās preces šīm iestādēm ir nepieciešamas Ziemeļatlantijas līguma organizācijas, Eiropas Savienības, Apvienoto Nāciju Organizācijas vai Eiropas Drošības un sadarbības organizācijas misiju ietvaros. </w:t>
            </w:r>
          </w:p>
          <w:p w14:paraId="3F7AD719" w14:textId="77777777" w:rsidR="00402BAE" w:rsidRDefault="00FC176C" w:rsidP="00FC176C">
            <w:pPr>
              <w:pBdr>
                <w:top w:val="nil"/>
                <w:left w:val="nil"/>
                <w:bottom w:val="nil"/>
                <w:right w:val="nil"/>
                <w:between w:val="nil"/>
              </w:pBdr>
              <w:jc w:val="both"/>
              <w:rPr>
                <w:b/>
              </w:rPr>
            </w:pPr>
            <w:r w:rsidRPr="00FC176C">
              <w:t xml:space="preserve">Stratēģiskas nozīmes preču eksporta licence nav nepieciešama </w:t>
            </w:r>
            <w:r w:rsidRPr="00FC176C">
              <w:lastRenderedPageBreak/>
              <w:t>gadījumos, kad Kopējā militāro preču sarakstā minētās preces, Iekšlietu ministrijas un Aizsardzības ministrijas pakļautībā vai pārraudzībā esošās iestādes, izved pārstrādei, iznīcināšanai vai remontam uz Eiropas Savienības, Eiropas Ekonomikas zonas un Ziemeļatlantijas līguma organizācijas dalībvalstīm.</w:t>
            </w:r>
          </w:p>
          <w:p w14:paraId="78580C17" w14:textId="3EA1E385" w:rsidR="004F05DA" w:rsidRPr="00090F15" w:rsidRDefault="00402BAE" w:rsidP="00FC176C">
            <w:pPr>
              <w:pBdr>
                <w:top w:val="nil"/>
                <w:left w:val="nil"/>
                <w:bottom w:val="nil"/>
                <w:right w:val="nil"/>
                <w:between w:val="nil"/>
              </w:pBdr>
              <w:jc w:val="both"/>
            </w:pPr>
            <w:r w:rsidRPr="00090F15">
              <w:t>...”</w:t>
            </w:r>
          </w:p>
        </w:tc>
        <w:tc>
          <w:tcPr>
            <w:tcW w:w="4590" w:type="dxa"/>
            <w:tcBorders>
              <w:left w:val="single" w:sz="6" w:space="0" w:color="000000"/>
              <w:bottom w:val="single" w:sz="4" w:space="0" w:color="000000"/>
              <w:right w:val="single" w:sz="6" w:space="0" w:color="000000"/>
            </w:tcBorders>
          </w:tcPr>
          <w:p w14:paraId="7B88928C" w14:textId="2F58FA69" w:rsidR="00FC176C" w:rsidRDefault="00FC176C" w:rsidP="00FC176C">
            <w:pPr>
              <w:pBdr>
                <w:top w:val="nil"/>
                <w:left w:val="nil"/>
                <w:bottom w:val="nil"/>
                <w:right w:val="nil"/>
                <w:between w:val="nil"/>
              </w:pBdr>
              <w:jc w:val="center"/>
              <w:rPr>
                <w:color w:val="000000"/>
              </w:rPr>
            </w:pPr>
            <w:r>
              <w:rPr>
                <w:b/>
                <w:color w:val="000000"/>
              </w:rPr>
              <w:lastRenderedPageBreak/>
              <w:t>VARAM iebildums</w:t>
            </w:r>
            <w:r w:rsidR="00895DFB">
              <w:rPr>
                <w:b/>
                <w:color w:val="000000"/>
              </w:rPr>
              <w:t xml:space="preserve"> </w:t>
            </w:r>
            <w:r w:rsidR="00895DFB">
              <w:rPr>
                <w:b/>
              </w:rPr>
              <w:t>(12.09.2019.)</w:t>
            </w:r>
          </w:p>
          <w:p w14:paraId="6984CC45" w14:textId="15C75328" w:rsidR="004F05DA" w:rsidRPr="00B76634" w:rsidRDefault="009C72C7" w:rsidP="005C49E5">
            <w:pPr>
              <w:pBdr>
                <w:top w:val="nil"/>
                <w:left w:val="nil"/>
                <w:bottom w:val="nil"/>
                <w:right w:val="nil"/>
                <w:between w:val="nil"/>
              </w:pBdr>
              <w:tabs>
                <w:tab w:val="left" w:pos="674"/>
              </w:tabs>
              <w:jc w:val="both"/>
              <w:rPr>
                <w:b/>
              </w:rPr>
            </w:pPr>
            <w:r w:rsidRPr="009C72C7">
              <w:t xml:space="preserve">Ministrija norāda, ka stratēģiskas nozīmes preces, kuras plānots izvest/eksportēt no Latvijas ar mērķi citā valstī veikt kādu no Atkritumu apsaimniekošanas likuma </w:t>
            </w:r>
            <w:r w:rsidR="004D1EB5" w:rsidRPr="009C72C7">
              <w:t>1. panta</w:t>
            </w:r>
            <w:r w:rsidRPr="009C72C7">
              <w:t xml:space="preserve"> 7.punktā minētajām atkritumu apsaimniekošanas darbībām (piemēram, reģenerāciju, pārstrādi, apglabāšanu), saskaņā ar Atkritumu apsaimniekošanas likuma </w:t>
            </w:r>
            <w:r w:rsidR="004D1EB5" w:rsidRPr="009C72C7">
              <w:t>1. panta</w:t>
            </w:r>
            <w:r w:rsidRPr="009C72C7">
              <w:t xml:space="preserve"> 1.punktu ir uzskatāmas par atkritumiem. Tāpēc stratēģiskas nozīmes preču izvešana no Latvijas to pārstrādei vai apglabāšanai</w:t>
            </w:r>
            <w:r w:rsidR="004D1EB5" w:rsidRPr="009C72C7">
              <w:t xml:space="preserve"> </w:t>
            </w:r>
            <w:r w:rsidRPr="009C72C7">
              <w:t xml:space="preserve">pēc būtības ir uzskatāma par atkritumu pārrobežu sūtījumu veikšanu, kuri savukārt ir jāveic atbilstoši </w:t>
            </w:r>
            <w:r w:rsidR="004D1EB5" w:rsidRPr="009C72C7">
              <w:t>1989. gada</w:t>
            </w:r>
            <w:r w:rsidRPr="009C72C7">
              <w:t xml:space="preserve"> </w:t>
            </w:r>
            <w:r w:rsidR="004D1EB5" w:rsidRPr="009C72C7">
              <w:t>22. marta</w:t>
            </w:r>
            <w:r w:rsidRPr="009C72C7">
              <w:t xml:space="preserve"> Bāzeles konvencijai par kontroli pār kaitīgo atkritumu robežšķērsojošo transportēšanu un to aizvākšanu un Eiropas Parlamenta un Padomes </w:t>
            </w:r>
            <w:r w:rsidR="004D1EB5" w:rsidRPr="009C72C7">
              <w:t>2006. gada</w:t>
            </w:r>
            <w:r w:rsidRPr="009C72C7">
              <w:t xml:space="preserve"> </w:t>
            </w:r>
            <w:r w:rsidR="004D1EB5" w:rsidRPr="009C72C7">
              <w:t>14. jūnija</w:t>
            </w:r>
            <w:r w:rsidRPr="009C72C7">
              <w:t xml:space="preserve"> regulas (EK) Nr. 1013/2006 par atkritumu sūtījumiem prasībām. Tāpēc likumprojekta 1.4. panta pirmās daļas </w:t>
            </w:r>
            <w:r w:rsidR="004D1EB5" w:rsidRPr="009C72C7">
              <w:t>trešajā rindkopā</w:t>
            </w:r>
            <w:r w:rsidRPr="009C72C7">
              <w:t xml:space="preserve"> minētais par to, ka eksporta licence nav nepieciešama, ja Kopējā militāro preču sarakstā minētās preces tiek izvestas pārstrādei, iznīcināšanai (apglabāšanai) rada pretrunu ar atkritumu apsaimniekošanas normatīviem aktiem.</w:t>
            </w:r>
          </w:p>
        </w:tc>
        <w:tc>
          <w:tcPr>
            <w:tcW w:w="2250" w:type="dxa"/>
            <w:tcBorders>
              <w:left w:val="single" w:sz="6" w:space="0" w:color="000000"/>
              <w:bottom w:val="single" w:sz="4" w:space="0" w:color="000000"/>
              <w:right w:val="single" w:sz="6" w:space="0" w:color="000000"/>
            </w:tcBorders>
          </w:tcPr>
          <w:p w14:paraId="269D6988" w14:textId="026AA2D6" w:rsidR="004F05DA" w:rsidRPr="00B76634" w:rsidRDefault="004F05DA" w:rsidP="00530E2E">
            <w:pPr>
              <w:pBdr>
                <w:top w:val="nil"/>
                <w:left w:val="nil"/>
                <w:bottom w:val="nil"/>
                <w:right w:val="nil"/>
                <w:between w:val="nil"/>
              </w:pBdr>
              <w:jc w:val="center"/>
              <w:rPr>
                <w:b/>
              </w:rPr>
            </w:pPr>
            <w:r w:rsidRPr="00B76634">
              <w:rPr>
                <w:b/>
              </w:rPr>
              <w:t>Ņemts vērā</w:t>
            </w:r>
          </w:p>
        </w:tc>
        <w:tc>
          <w:tcPr>
            <w:tcW w:w="3723" w:type="dxa"/>
            <w:tcBorders>
              <w:top w:val="single" w:sz="4" w:space="0" w:color="000000"/>
              <w:left w:val="single" w:sz="4" w:space="0" w:color="000000"/>
              <w:bottom w:val="single" w:sz="4" w:space="0" w:color="000000"/>
            </w:tcBorders>
          </w:tcPr>
          <w:p w14:paraId="55776503" w14:textId="77777777" w:rsidR="00402BAE" w:rsidRPr="00680337" w:rsidRDefault="00402BAE" w:rsidP="00402BAE">
            <w:pPr>
              <w:pBdr>
                <w:top w:val="nil"/>
                <w:left w:val="nil"/>
                <w:bottom w:val="nil"/>
                <w:right w:val="nil"/>
                <w:between w:val="nil"/>
              </w:pBdr>
              <w:rPr>
                <w:b/>
              </w:rPr>
            </w:pPr>
            <w:r w:rsidRPr="00680337">
              <w:rPr>
                <w:b/>
              </w:rPr>
              <w:t>4. pantā:</w:t>
            </w:r>
          </w:p>
          <w:p w14:paraId="2B686F85" w14:textId="421790CB" w:rsidR="00402BAE" w:rsidRPr="00090F15" w:rsidRDefault="00402BAE" w:rsidP="009C72C7">
            <w:pPr>
              <w:pBdr>
                <w:top w:val="nil"/>
                <w:left w:val="nil"/>
                <w:bottom w:val="nil"/>
                <w:right w:val="nil"/>
                <w:between w:val="nil"/>
              </w:pBdr>
              <w:rPr>
                <w:bCs/>
              </w:rPr>
            </w:pPr>
            <w:r w:rsidRPr="00854975">
              <w:rPr>
                <w:bCs/>
              </w:rPr>
              <w:t>izteikt pirmo daļu šādā redakcijā:</w:t>
            </w:r>
          </w:p>
          <w:p w14:paraId="4EA0B1D4" w14:textId="77777777" w:rsidR="00714A9F" w:rsidRPr="00714A9F" w:rsidRDefault="00714A9F" w:rsidP="00714A9F">
            <w:pPr>
              <w:jc w:val="both"/>
            </w:pPr>
            <w:r w:rsidRPr="00714A9F">
              <w:t xml:space="preserve">“(1) Stratēģiskas nozīmes preču importa licence nav nepieciešama, ja Tieslietu ministrijas, Iekšlietu ministrijas vai Aizsardzības ministrijas pakļautībā vai pārraudzībā esošās iestādes Eiropas Savienības Kopējā militāro preču sarakstā minētās preces pārvieto no citas Eiropas Savienības dalībvalsts vai Eiropas Ekonomikas zonas valsts vai importē bez komersantu starpniecības. </w:t>
            </w:r>
          </w:p>
          <w:p w14:paraId="05D2FE71" w14:textId="77777777" w:rsidR="00714A9F" w:rsidRPr="00714A9F" w:rsidRDefault="00714A9F" w:rsidP="00714A9F">
            <w:pPr>
              <w:jc w:val="both"/>
            </w:pPr>
            <w:r w:rsidRPr="00714A9F">
              <w:t xml:space="preserve">Stratēģiskas nozīmes preču eksporta licence nav nepieciešama, ja Tieslietu ministrijas, Iekšlietu ministrija vai Aizsardzības ministrijas pakļautībā vai pārraudzībā esošās iestādes Eiropas Savienības Kopējā militāro preču sarakstā minētās preces pārvieto uz citu Eiropas Savienības dalībvalsti vai Eiropas Ekonomikas zonas valsts vai eksportē bez komersantu starpniecības un ja minētās preces šīm iestādēm ir nepieciešamas Ziemeļatlantijas līguma organizācijas, Eiropas Savienības, Apvienoto Nāciju Organizācijas vai Eiropas Drošības un sadarbības </w:t>
            </w:r>
            <w:r w:rsidRPr="00714A9F">
              <w:lastRenderedPageBreak/>
              <w:t xml:space="preserve">organizācijas misiju ietvaros. </w:t>
            </w:r>
          </w:p>
          <w:p w14:paraId="7FE6408C" w14:textId="622D8301" w:rsidR="00402BAE" w:rsidRPr="00B76634" w:rsidRDefault="00714A9F" w:rsidP="00281359">
            <w:pPr>
              <w:jc w:val="both"/>
            </w:pPr>
            <w:r w:rsidRPr="00714A9F">
              <w:t>Stratēģiskas nozīmes preču eksporta licence nav nepieciešama gadījumos, kad Eiropas Savienības Kopējā militāro preču sarakstā minētās preces, Tieslietu ministrijas, Iekšlietu ministrijas vai Aizsardzības ministrijas pakļautībā vai pārraudzībā esošās iestādes, izved remontam uz Eiropas Savienības, Eiropas Ekonomikas zonas un Ziemeļatlantijas līguma organizācijas dalībvalstīm.”;</w:t>
            </w:r>
          </w:p>
        </w:tc>
      </w:tr>
      <w:tr w:rsidR="004F05DA" w14:paraId="5CDC8E54" w14:textId="77777777" w:rsidTr="00090F15">
        <w:tc>
          <w:tcPr>
            <w:tcW w:w="707" w:type="dxa"/>
            <w:tcBorders>
              <w:left w:val="single" w:sz="6" w:space="0" w:color="000000"/>
              <w:bottom w:val="single" w:sz="4" w:space="0" w:color="000000"/>
              <w:right w:val="single" w:sz="6" w:space="0" w:color="000000"/>
            </w:tcBorders>
          </w:tcPr>
          <w:p w14:paraId="5B2F7560" w14:textId="634C5F78" w:rsidR="004F05DA" w:rsidRPr="00A13431" w:rsidRDefault="004F05DA" w:rsidP="00E8019D">
            <w:pPr>
              <w:pBdr>
                <w:top w:val="nil"/>
                <w:left w:val="nil"/>
                <w:bottom w:val="nil"/>
                <w:right w:val="nil"/>
                <w:between w:val="nil"/>
              </w:pBdr>
              <w:ind w:firstLine="720"/>
            </w:pPr>
            <w:r w:rsidRPr="00A13431">
              <w:lastRenderedPageBreak/>
              <w:t>4</w:t>
            </w:r>
            <w:r w:rsidR="00402BAE">
              <w:rPr>
                <w:b/>
              </w:rPr>
              <w:t>3</w:t>
            </w:r>
            <w:r w:rsidRPr="00A13431">
              <w:rPr>
                <w:b/>
              </w:rPr>
              <w:t>.</w:t>
            </w:r>
          </w:p>
        </w:tc>
        <w:tc>
          <w:tcPr>
            <w:tcW w:w="3721" w:type="dxa"/>
            <w:tcBorders>
              <w:left w:val="single" w:sz="6" w:space="0" w:color="000000"/>
              <w:bottom w:val="single" w:sz="4" w:space="0" w:color="000000"/>
              <w:right w:val="single" w:sz="6" w:space="0" w:color="000000"/>
            </w:tcBorders>
          </w:tcPr>
          <w:p w14:paraId="1BEDBBC1" w14:textId="77777777" w:rsidR="00402BAE" w:rsidRPr="00680337" w:rsidRDefault="00402BAE" w:rsidP="00402BAE">
            <w:pPr>
              <w:pBdr>
                <w:top w:val="nil"/>
                <w:left w:val="nil"/>
                <w:bottom w:val="nil"/>
                <w:right w:val="nil"/>
                <w:between w:val="nil"/>
              </w:pBdr>
              <w:rPr>
                <w:b/>
              </w:rPr>
            </w:pPr>
            <w:r w:rsidRPr="00680337">
              <w:rPr>
                <w:b/>
              </w:rPr>
              <w:t>4. pantā:</w:t>
            </w:r>
          </w:p>
          <w:p w14:paraId="0A48A7D8" w14:textId="77777777" w:rsidR="00402BAE" w:rsidRPr="00090F15" w:rsidRDefault="00402BAE" w:rsidP="00402BAE">
            <w:pPr>
              <w:pBdr>
                <w:top w:val="nil"/>
                <w:left w:val="nil"/>
                <w:bottom w:val="nil"/>
                <w:right w:val="nil"/>
                <w:between w:val="nil"/>
              </w:pBdr>
              <w:rPr>
                <w:bCs/>
              </w:rPr>
            </w:pPr>
            <w:r w:rsidRPr="00090F15">
              <w:rPr>
                <w:bCs/>
              </w:rPr>
              <w:t>izteikt pirmo daļu šādā redakcijā:</w:t>
            </w:r>
          </w:p>
          <w:p w14:paraId="2CDA16F5" w14:textId="38B54015" w:rsidR="00A13431" w:rsidRPr="00FC176C" w:rsidRDefault="00402BAE" w:rsidP="00A13431">
            <w:pPr>
              <w:pBdr>
                <w:top w:val="nil"/>
                <w:left w:val="nil"/>
                <w:bottom w:val="nil"/>
                <w:right w:val="nil"/>
                <w:between w:val="nil"/>
              </w:pBdr>
              <w:jc w:val="both"/>
            </w:pPr>
            <w:r>
              <w:t xml:space="preserve">“ (1) </w:t>
            </w:r>
            <w:r w:rsidR="00A13431" w:rsidRPr="00FC176C">
              <w:t xml:space="preserve">Stratēģiskas nozīmes preču importa licence nav nepieciešama, ja Ieslodzījuma vietu pārvalde vai Iekšlietu ministrijas un Aizsardzības ministrijas pakļautībā vai pārraudzībā esošās iestādes Eiropas Savienības Kopējā militāro preču sarakstā minētās preces pārvieto no citas Eiropas Savienības dalībvalsts vai importē bez komersantu starpniecības. </w:t>
            </w:r>
          </w:p>
          <w:p w14:paraId="45AF7059" w14:textId="77777777" w:rsidR="00A13431" w:rsidRPr="00FC176C" w:rsidRDefault="00A13431" w:rsidP="00A13431">
            <w:pPr>
              <w:pBdr>
                <w:top w:val="nil"/>
                <w:left w:val="nil"/>
                <w:bottom w:val="nil"/>
                <w:right w:val="nil"/>
                <w:between w:val="nil"/>
              </w:pBdr>
              <w:jc w:val="both"/>
            </w:pPr>
            <w:r w:rsidRPr="00FC176C">
              <w:t xml:space="preserve">Stratēģiskas nozīmes preču eksporta licence nav nepieciešama, ja Iekšlietu ministrijas un Aizsardzības ministrijas pakļautībā vai pārraudzībā esošās iestādes Eiropas Savienības Kopējā militāro preču sarakstā minētās preces pārvieto uz </w:t>
            </w:r>
            <w:r w:rsidRPr="00FC176C">
              <w:lastRenderedPageBreak/>
              <w:t xml:space="preserve">citu Eiropas Savienības dalībvalsti vai eksportē bez komersantu starpniecības un ja minētās preces šīm iestādēm ir nepieciešamas Ziemeļatlantijas līguma organizācijas, Eiropas Savienības, Apvienoto Nāciju Organizācijas vai Eiropas Drošības un sadarbības organizācijas misiju ietvaros. </w:t>
            </w:r>
          </w:p>
          <w:p w14:paraId="00CAEB65" w14:textId="77777777" w:rsidR="00BD3589" w:rsidRDefault="00A13431" w:rsidP="00A13431">
            <w:pPr>
              <w:pBdr>
                <w:top w:val="nil"/>
                <w:left w:val="nil"/>
                <w:bottom w:val="nil"/>
                <w:right w:val="nil"/>
                <w:between w:val="nil"/>
              </w:pBdr>
              <w:jc w:val="both"/>
            </w:pPr>
            <w:r w:rsidRPr="00FC176C">
              <w:t>Stratēģiskas nozīmes preču eksporta licence nav nepieciešama gadījumos, kad Kopējā militāro preču sarakstā minētās preces, Iekšlietu ministrijas un Aizsardzības ministrijas pakļautībā vai pārraudzībā esošās iestādes, izved pārstrādei, iznīcināšanai vai remontam uz Eiropas Savienības, Eiropas Ekonomikas zonas un Ziemeļatlantijas līguma organizācijas dalībvalstīm.</w:t>
            </w:r>
          </w:p>
          <w:p w14:paraId="6D81912A" w14:textId="6832A2B9" w:rsidR="00402BAE" w:rsidRPr="00A13431" w:rsidRDefault="00402BAE" w:rsidP="00A13431">
            <w:pPr>
              <w:pBdr>
                <w:top w:val="nil"/>
                <w:left w:val="nil"/>
                <w:bottom w:val="nil"/>
                <w:right w:val="nil"/>
                <w:between w:val="nil"/>
              </w:pBdr>
              <w:jc w:val="both"/>
            </w:pPr>
            <w:r>
              <w:t>...”</w:t>
            </w:r>
          </w:p>
        </w:tc>
        <w:tc>
          <w:tcPr>
            <w:tcW w:w="4590" w:type="dxa"/>
            <w:tcBorders>
              <w:left w:val="single" w:sz="6" w:space="0" w:color="000000"/>
              <w:bottom w:val="single" w:sz="4" w:space="0" w:color="000000"/>
              <w:right w:val="single" w:sz="6" w:space="0" w:color="000000"/>
            </w:tcBorders>
          </w:tcPr>
          <w:p w14:paraId="1EAAEDF9" w14:textId="3FF721DD" w:rsidR="004F05DA" w:rsidRPr="00A13431" w:rsidRDefault="00A13431" w:rsidP="004F5302">
            <w:pPr>
              <w:pBdr>
                <w:top w:val="nil"/>
                <w:left w:val="nil"/>
                <w:bottom w:val="nil"/>
                <w:right w:val="nil"/>
                <w:between w:val="nil"/>
              </w:pBdr>
              <w:jc w:val="center"/>
              <w:rPr>
                <w:b/>
              </w:rPr>
            </w:pPr>
            <w:r>
              <w:rPr>
                <w:b/>
              </w:rPr>
              <w:lastRenderedPageBreak/>
              <w:t>Tieslietu</w:t>
            </w:r>
            <w:r w:rsidR="00AB240E" w:rsidRPr="00A13431">
              <w:rPr>
                <w:b/>
              </w:rPr>
              <w:t xml:space="preserve"> ministrijas iebildums</w:t>
            </w:r>
            <w:r w:rsidR="00895DFB">
              <w:rPr>
                <w:b/>
              </w:rPr>
              <w:t xml:space="preserve"> </w:t>
            </w:r>
            <w:r w:rsidR="009C6D27">
              <w:rPr>
                <w:b/>
              </w:rPr>
              <w:t>(12.09.2019.)</w:t>
            </w:r>
          </w:p>
          <w:p w14:paraId="5E635C50" w14:textId="77777777" w:rsidR="00A13431" w:rsidRPr="002031EA" w:rsidRDefault="00A13431" w:rsidP="00A13431">
            <w:pPr>
              <w:ind w:right="12"/>
              <w:jc w:val="both"/>
            </w:pPr>
            <w:r w:rsidRPr="002031EA">
              <w:t>Likumprojekta 1. pantā likuma 4. panta pirmās daļas trešajā rindkopā ietverta norāde uz Eiropas Ekonomikas zonas dalībvalsti. Vēršam uzmanību, ka pašlaik minētais regulējums ir pretrunā ar minētā panta pirmās daļas pirmo rindkopu, jo likuma regulējums attiecībā uz gadījumiem, kad licence nav nepieciešama, pašlaik vispārīgi attiecas uz stratēģiskas nozīmes preču apriti starp Eiropas Savienības dalībvalstīm. Ievērojot minēto, lūdzam precizēt likumprojektu.</w:t>
            </w:r>
          </w:p>
          <w:p w14:paraId="24D95509" w14:textId="77777777" w:rsidR="00A13431" w:rsidRPr="002031EA" w:rsidRDefault="00A13431" w:rsidP="00A13431">
            <w:pPr>
              <w:ind w:right="12" w:firstLine="567"/>
              <w:jc w:val="both"/>
            </w:pPr>
            <w:r w:rsidRPr="002031EA">
              <w:t xml:space="preserve">Vienlaikus, ņemot vērā, ka var būt gadījumi, kad Latvijā nav iespējams veikt remontu ārvalstīs ražotām Stratēģiskas nozīmes precēm un tās ir jāved remontam uz to valsti, kurā ir ražota attiecīgā prece, lūdzam likuma 4. panta pirmo daļu </w:t>
            </w:r>
            <w:r w:rsidRPr="002031EA">
              <w:lastRenderedPageBreak/>
              <w:t>papildināt ar jaunu rindkopu šādā redakcijā:</w:t>
            </w:r>
          </w:p>
          <w:p w14:paraId="33FDBAEF" w14:textId="77777777" w:rsidR="004F05DA" w:rsidRDefault="00A13431" w:rsidP="00A13431">
            <w:pPr>
              <w:pBdr>
                <w:top w:val="nil"/>
                <w:left w:val="nil"/>
                <w:bottom w:val="nil"/>
                <w:right w:val="nil"/>
                <w:between w:val="nil"/>
              </w:pBdr>
              <w:jc w:val="both"/>
            </w:pPr>
            <w:r w:rsidRPr="002031EA">
              <w:t>“Stratēģiskas nozīmes preču eksporta licence nav nepieciešama gadījumos, kad Kopējā militāro preču sarakstā minētās preces Ieslodzījuma vietu pārvalde izved remontam uz Eiropas Savienības, Eiropas Ekonomikas zonas un Ziemeļatlantijas līguma organizācijas dalībvalstīm”.</w:t>
            </w:r>
          </w:p>
          <w:p w14:paraId="7C1998A0" w14:textId="77777777" w:rsidR="00714A9F" w:rsidRDefault="00714A9F" w:rsidP="00A13431">
            <w:pPr>
              <w:pBdr>
                <w:top w:val="nil"/>
                <w:left w:val="nil"/>
                <w:bottom w:val="nil"/>
                <w:right w:val="nil"/>
                <w:between w:val="nil"/>
              </w:pBdr>
              <w:jc w:val="both"/>
            </w:pPr>
          </w:p>
          <w:p w14:paraId="756C3D50" w14:textId="77777777" w:rsidR="00714A9F" w:rsidRDefault="00714A9F" w:rsidP="00714A9F">
            <w:pPr>
              <w:jc w:val="center"/>
              <w:rPr>
                <w:lang w:eastAsia="en-US"/>
              </w:rPr>
            </w:pPr>
            <w:r>
              <w:rPr>
                <w:b/>
              </w:rPr>
              <w:t>Tieslietu ministrijas iebildums (20.01.2020.)</w:t>
            </w:r>
          </w:p>
          <w:p w14:paraId="54792238" w14:textId="77777777" w:rsidR="00714A9F" w:rsidRDefault="00714A9F" w:rsidP="00714A9F">
            <w:pPr>
              <w:jc w:val="both"/>
              <w:rPr>
                <w:lang w:eastAsia="en-US"/>
              </w:rPr>
            </w:pPr>
            <w:r>
              <w:rPr>
                <w:lang w:eastAsia="en-US"/>
              </w:rPr>
              <w:t>Izziņas II sadaļas 3. punkts. Nav ņemts vērā Tieslietu ministrijas iebildums attiecībā uz Eiropas Ekonomikas zonas dalībvalsti. Attiecīgi lūdzam sniegt skaidrojumu vai precizēt likumprojektu. Vienlaikus norādām, ka minētajā likumprojekta vienībā norādīts uz ministriju pakļautībā esošajām iestādēm Izsakām bažas, ka iespējama arī cita padotības forma – pārraudzība. Attiecīgi lūdzam sniegt skaidrojumu, nepieciešamības gadījumā precizējot likumprojektu.</w:t>
            </w:r>
          </w:p>
          <w:p w14:paraId="736CD368" w14:textId="1C477328" w:rsidR="00714A9F" w:rsidRPr="00A13431" w:rsidRDefault="00714A9F" w:rsidP="00A13431">
            <w:pPr>
              <w:pBdr>
                <w:top w:val="nil"/>
                <w:left w:val="nil"/>
                <w:bottom w:val="nil"/>
                <w:right w:val="nil"/>
                <w:between w:val="nil"/>
              </w:pBdr>
              <w:jc w:val="both"/>
            </w:pPr>
          </w:p>
        </w:tc>
        <w:tc>
          <w:tcPr>
            <w:tcW w:w="2250" w:type="dxa"/>
            <w:tcBorders>
              <w:left w:val="single" w:sz="6" w:space="0" w:color="000000"/>
              <w:bottom w:val="single" w:sz="4" w:space="0" w:color="000000"/>
              <w:right w:val="single" w:sz="6" w:space="0" w:color="000000"/>
            </w:tcBorders>
          </w:tcPr>
          <w:p w14:paraId="30F72995" w14:textId="77777777" w:rsidR="004F05DA" w:rsidRPr="00A13431" w:rsidRDefault="004F05DA" w:rsidP="00543B6E">
            <w:pPr>
              <w:pBdr>
                <w:top w:val="nil"/>
                <w:left w:val="nil"/>
                <w:bottom w:val="nil"/>
                <w:right w:val="nil"/>
                <w:between w:val="nil"/>
              </w:pBdr>
              <w:ind w:firstLine="1"/>
              <w:jc w:val="center"/>
              <w:rPr>
                <w:b/>
              </w:rPr>
            </w:pPr>
            <w:r w:rsidRPr="00A13431">
              <w:rPr>
                <w:b/>
              </w:rPr>
              <w:lastRenderedPageBreak/>
              <w:t>Ņemts vērā</w:t>
            </w:r>
          </w:p>
        </w:tc>
        <w:tc>
          <w:tcPr>
            <w:tcW w:w="3723" w:type="dxa"/>
            <w:tcBorders>
              <w:top w:val="single" w:sz="4" w:space="0" w:color="000000"/>
              <w:left w:val="single" w:sz="4" w:space="0" w:color="000000"/>
              <w:bottom w:val="single" w:sz="4" w:space="0" w:color="000000"/>
            </w:tcBorders>
          </w:tcPr>
          <w:p w14:paraId="314FC367" w14:textId="77777777" w:rsidR="00714A9F" w:rsidRPr="00C77EE9" w:rsidRDefault="00714A9F" w:rsidP="00714A9F">
            <w:pPr>
              <w:pBdr>
                <w:top w:val="nil"/>
                <w:left w:val="nil"/>
                <w:bottom w:val="nil"/>
                <w:right w:val="nil"/>
                <w:between w:val="nil"/>
              </w:pBdr>
            </w:pPr>
            <w:r w:rsidRPr="00C77EE9">
              <w:t>4. pantā:</w:t>
            </w:r>
          </w:p>
          <w:p w14:paraId="5C08129F" w14:textId="77777777" w:rsidR="00714A9F" w:rsidRPr="00C77EE9" w:rsidRDefault="00714A9F" w:rsidP="00714A9F">
            <w:pPr>
              <w:pBdr>
                <w:top w:val="nil"/>
                <w:left w:val="nil"/>
                <w:bottom w:val="nil"/>
                <w:right w:val="nil"/>
                <w:between w:val="nil"/>
              </w:pBdr>
            </w:pPr>
            <w:r w:rsidRPr="00C77EE9">
              <w:t>izteikt pirmo daļu šādā redakcijā:</w:t>
            </w:r>
          </w:p>
          <w:p w14:paraId="0855BC53" w14:textId="77777777" w:rsidR="00714A9F" w:rsidRPr="00714A9F" w:rsidRDefault="00714A9F" w:rsidP="00C77EE9">
            <w:pPr>
              <w:pBdr>
                <w:top w:val="nil"/>
                <w:left w:val="nil"/>
                <w:bottom w:val="nil"/>
                <w:right w:val="nil"/>
                <w:between w:val="nil"/>
              </w:pBdr>
              <w:jc w:val="both"/>
            </w:pPr>
            <w:r w:rsidRPr="00714A9F">
              <w:t xml:space="preserve">“(1) Stratēģiskas nozīmes preču importa licence nav nepieciešama, ja Tieslietu ministrijas, Iekšlietu ministrijas vai Aizsardzības ministrijas pakļautībā vai pārraudzībā esošās iestādes Eiropas Savienības Kopējā militāro preču sarakstā minētās preces pārvieto no citas Eiropas Savienības dalībvalsts vai Eiropas Ekonomikas zonas valsts vai importē bez komersantu starpniecības. </w:t>
            </w:r>
          </w:p>
          <w:p w14:paraId="5C26686F" w14:textId="77777777" w:rsidR="00714A9F" w:rsidRPr="00714A9F" w:rsidRDefault="00714A9F" w:rsidP="00C77EE9">
            <w:pPr>
              <w:pBdr>
                <w:top w:val="nil"/>
                <w:left w:val="nil"/>
                <w:bottom w:val="nil"/>
                <w:right w:val="nil"/>
                <w:between w:val="nil"/>
              </w:pBdr>
              <w:jc w:val="both"/>
            </w:pPr>
            <w:r w:rsidRPr="00714A9F">
              <w:t xml:space="preserve">Stratēģiskas nozīmes preču eksporta licence nav nepieciešama, ja Tieslietu ministrijas, Iekšlietu ministrija vai Aizsardzības ministrijas pakļautībā vai pārraudzībā esošās iestādes Eiropas </w:t>
            </w:r>
            <w:r w:rsidRPr="00714A9F">
              <w:lastRenderedPageBreak/>
              <w:t xml:space="preserve">Savienības Kopējā militāro preču sarakstā minētās preces pārvieto uz citu Eiropas Savienības dalībvalsti vai Eiropas Ekonomikas zonas valsts vai eksportē bez komersantu starpniecības un ja minētās preces šīm iestādēm ir nepieciešamas Ziemeļatlantijas līguma organizācijas, Eiropas Savienības, Apvienoto Nāciju Organizācijas vai Eiropas Drošības un sadarbības organizācijas misiju ietvaros. </w:t>
            </w:r>
          </w:p>
          <w:p w14:paraId="2E35B138" w14:textId="2A6B2627" w:rsidR="00402BAE" w:rsidRPr="00A13431" w:rsidRDefault="00714A9F" w:rsidP="00A13431">
            <w:pPr>
              <w:jc w:val="both"/>
            </w:pPr>
            <w:r w:rsidRPr="00714A9F">
              <w:t>Stratēģiskas nozīmes preču eksporta licence nav nepieciešama gadījumos, kad Eiropas Savienības Kopējā militāro preču sarakstā minētās preces, Tieslietu ministrijas, Iekšlietu ministrijas vai Aizsardzības ministrijas pakļautībā vai pārraudzībā esošās iestādes, izved remontam uz Eiropas Savienības, Eiropas Ekonomikas zonas un Ziemeļatlantijas līguma organizācijas dalībvalstīm.”;</w:t>
            </w:r>
          </w:p>
        </w:tc>
      </w:tr>
      <w:tr w:rsidR="006E3053" w14:paraId="4E9901EA" w14:textId="77777777" w:rsidTr="00090F15">
        <w:tc>
          <w:tcPr>
            <w:tcW w:w="707" w:type="dxa"/>
            <w:tcBorders>
              <w:top w:val="single" w:sz="4" w:space="0" w:color="auto"/>
              <w:left w:val="single" w:sz="6" w:space="0" w:color="000000"/>
              <w:bottom w:val="single" w:sz="4" w:space="0" w:color="auto"/>
              <w:right w:val="single" w:sz="6" w:space="0" w:color="000000"/>
            </w:tcBorders>
          </w:tcPr>
          <w:p w14:paraId="2E820874" w14:textId="12DCF83C" w:rsidR="006E3053" w:rsidRPr="005B164F" w:rsidRDefault="006E3053" w:rsidP="00F21348">
            <w:pPr>
              <w:pBdr>
                <w:top w:val="nil"/>
                <w:left w:val="nil"/>
                <w:bottom w:val="nil"/>
                <w:right w:val="nil"/>
                <w:between w:val="nil"/>
              </w:pBdr>
              <w:ind w:firstLine="720"/>
              <w:rPr>
                <w:b/>
                <w:color w:val="FF0000"/>
              </w:rPr>
            </w:pPr>
            <w:r w:rsidRPr="005B164F">
              <w:rPr>
                <w:color w:val="FF0000"/>
              </w:rPr>
              <w:lastRenderedPageBreak/>
              <w:t>G</w:t>
            </w:r>
            <w:r w:rsidR="00402BAE">
              <w:rPr>
                <w:b/>
              </w:rPr>
              <w:t>4</w:t>
            </w:r>
            <w:r w:rsidRPr="006E3053">
              <w:rPr>
                <w:b/>
              </w:rPr>
              <w:t>.</w:t>
            </w:r>
          </w:p>
        </w:tc>
        <w:tc>
          <w:tcPr>
            <w:tcW w:w="3721" w:type="dxa"/>
            <w:tcBorders>
              <w:top w:val="single" w:sz="4" w:space="0" w:color="auto"/>
              <w:left w:val="single" w:sz="6" w:space="0" w:color="000000"/>
              <w:bottom w:val="single" w:sz="4" w:space="0" w:color="auto"/>
              <w:right w:val="single" w:sz="6" w:space="0" w:color="000000"/>
            </w:tcBorders>
          </w:tcPr>
          <w:p w14:paraId="474AD300" w14:textId="77777777" w:rsidR="00402BAE" w:rsidRDefault="00402BAE" w:rsidP="00402BAE">
            <w:pPr>
              <w:pBdr>
                <w:top w:val="nil"/>
                <w:left w:val="nil"/>
                <w:bottom w:val="nil"/>
                <w:right w:val="nil"/>
                <w:between w:val="nil"/>
              </w:pBdr>
              <w:rPr>
                <w:b/>
              </w:rPr>
            </w:pPr>
            <w:r w:rsidRPr="00402BAE">
              <w:rPr>
                <w:b/>
              </w:rPr>
              <w:t>4. pantā:</w:t>
            </w:r>
          </w:p>
          <w:p w14:paraId="1C8D85B6" w14:textId="1FC5B569" w:rsidR="00402BAE" w:rsidRDefault="00402BAE" w:rsidP="00402BAE">
            <w:pPr>
              <w:pBdr>
                <w:top w:val="nil"/>
                <w:left w:val="nil"/>
                <w:bottom w:val="nil"/>
                <w:right w:val="nil"/>
                <w:between w:val="nil"/>
              </w:pBdr>
              <w:rPr>
                <w:bCs/>
              </w:rPr>
            </w:pPr>
            <w:r>
              <w:rPr>
                <w:bCs/>
              </w:rPr>
              <w:t>...</w:t>
            </w:r>
          </w:p>
          <w:p w14:paraId="121644A1" w14:textId="296794EC" w:rsidR="00402BAE" w:rsidRDefault="00402BAE" w:rsidP="00FD0C32">
            <w:pPr>
              <w:pBdr>
                <w:top w:val="nil"/>
                <w:left w:val="nil"/>
                <w:bottom w:val="nil"/>
                <w:right w:val="nil"/>
                <w:between w:val="nil"/>
              </w:pBdr>
              <w:spacing w:before="75" w:after="75"/>
              <w:jc w:val="both"/>
              <w:rPr>
                <w:b/>
              </w:rPr>
            </w:pPr>
            <w:r w:rsidRPr="00402BAE">
              <w:rPr>
                <w:bCs/>
              </w:rPr>
              <w:t>papildināt ar 2¹ daļu šādā redakcijā:</w:t>
            </w:r>
          </w:p>
          <w:p w14:paraId="4D8B27F3" w14:textId="33311D32" w:rsidR="006E3053" w:rsidRPr="005B164F" w:rsidRDefault="00402BAE" w:rsidP="00E941F4">
            <w:pPr>
              <w:pBdr>
                <w:top w:val="nil"/>
                <w:left w:val="nil"/>
                <w:bottom w:val="nil"/>
                <w:right w:val="nil"/>
                <w:between w:val="nil"/>
              </w:pBdr>
              <w:spacing w:before="75" w:after="75"/>
              <w:jc w:val="both"/>
              <w:rPr>
                <w:b/>
                <w:color w:val="FF0000"/>
              </w:rPr>
            </w:pPr>
            <w:r w:rsidRPr="00090F15">
              <w:t xml:space="preserve">“(2¹) </w:t>
            </w:r>
            <w:r w:rsidR="006E3053" w:rsidRPr="00570595">
              <w:t xml:space="preserve">Fiziskām personām aizliegta Eiropas Savienības Kopējā militāro preču sarakstā minēto preču iegādāšanās, glabāšana un lietošana, izņemot šaujamieročus, tiem </w:t>
            </w:r>
            <w:r w:rsidR="006E3053" w:rsidRPr="00570595">
              <w:lastRenderedPageBreak/>
              <w:t>speciāli izstrādātas sastāvdaļas un to piederumus, munīciju, kā arī, munīcijas lādējamās iekārtas, kas nav speciāli paredzētas vai pielāgotas militārajam lietojumam. Šaujamieroču piederumu un munīcijas izņēmums ir spēkā, ja tie ir paredzēti lietošanai fiziskai personai vai uzstādīšanai uz  fiziskās personas īpašumā esošajiem šaujamieročiem.</w:t>
            </w:r>
            <w:r>
              <w:t>”;</w:t>
            </w:r>
          </w:p>
        </w:tc>
        <w:tc>
          <w:tcPr>
            <w:tcW w:w="4590" w:type="dxa"/>
            <w:tcBorders>
              <w:top w:val="single" w:sz="4" w:space="0" w:color="auto"/>
              <w:left w:val="single" w:sz="6" w:space="0" w:color="000000"/>
              <w:bottom w:val="single" w:sz="4" w:space="0" w:color="auto"/>
              <w:right w:val="single" w:sz="6" w:space="0" w:color="000000"/>
            </w:tcBorders>
          </w:tcPr>
          <w:p w14:paraId="352435B5" w14:textId="55F396EC" w:rsidR="006E3053" w:rsidRPr="006E3053" w:rsidRDefault="006E3053" w:rsidP="00D95ED2">
            <w:pPr>
              <w:pBdr>
                <w:top w:val="nil"/>
                <w:left w:val="nil"/>
                <w:bottom w:val="nil"/>
                <w:right w:val="nil"/>
                <w:between w:val="nil"/>
              </w:pBdr>
              <w:spacing w:before="75" w:after="75"/>
              <w:ind w:hanging="14"/>
              <w:jc w:val="center"/>
            </w:pPr>
            <w:r w:rsidRPr="006E3053">
              <w:rPr>
                <w:b/>
              </w:rPr>
              <w:lastRenderedPageBreak/>
              <w:t>Iekšlietu ministrijas iebildums</w:t>
            </w:r>
            <w:r w:rsidR="00543F6C">
              <w:rPr>
                <w:b/>
              </w:rPr>
              <w:t xml:space="preserve"> (12.09.2019.)</w:t>
            </w:r>
          </w:p>
          <w:p w14:paraId="27F4758C" w14:textId="54D88371" w:rsidR="006E3053" w:rsidRPr="00570595" w:rsidRDefault="006E3053" w:rsidP="006E3053">
            <w:pPr>
              <w:jc w:val="both"/>
            </w:pPr>
            <w:r w:rsidRPr="00570595">
              <w:t>Precizēt likumprojekta 1. pantā ietvertā Likuma 4. panta (2</w:t>
            </w:r>
            <w:r w:rsidRPr="00570595">
              <w:rPr>
                <w:vertAlign w:val="superscript"/>
              </w:rPr>
              <w:t>1</w:t>
            </w:r>
            <w:r w:rsidRPr="00570595">
              <w:t xml:space="preserve">) daļā lietoto terminoloģiju, lai novērstu nesakritības ar Ieroču aprites likumā ietvertiem terminiem un to skaidrojumu.  </w:t>
            </w:r>
          </w:p>
          <w:p w14:paraId="684E3EB1" w14:textId="77777777" w:rsidR="006E3053" w:rsidRPr="00570595" w:rsidRDefault="006E3053" w:rsidP="006E3053">
            <w:pPr>
              <w:jc w:val="both"/>
            </w:pPr>
            <w:r w:rsidRPr="00570595">
              <w:t xml:space="preserve">Saskaņā ar Ieroču aprites likuma 1. panta 29. </w:t>
            </w:r>
            <w:r w:rsidRPr="00570595">
              <w:lastRenderedPageBreak/>
              <w:t>punktu militārais ierocis un speciālais līdzeklis ir speciāli militārajām vajadzībām ražots ierocis un speciālais līdzeklis, kas iekļauts Eiropas Savienības Kopējā militāro preču sarakstā un paredzēts dzīvu vai nedzīvu mērķu iznīcināšanai vai bojāšanai, kā arī šā ieroča un speciālā līdzekļa munīcija, sastāvdaļas un palīgierīces. Saskaņā ar Ieroču aprites likuma 1. panta 17. punktu ieroča remonts ir ieroča defektu novēršana vai ieroča pielāgošana īpašnieka individuālajām vajadzībām.</w:t>
            </w:r>
          </w:p>
          <w:p w14:paraId="1CC80D68" w14:textId="77777777" w:rsidR="006E3053" w:rsidRPr="00570595" w:rsidRDefault="006E3053" w:rsidP="006E3053">
            <w:pPr>
              <w:jc w:val="both"/>
            </w:pPr>
            <w:r w:rsidRPr="00570595">
              <w:t xml:space="preserve"> Papildus minētajam norādām, ka saskaņā ar Ieroču aprites likuma 12. panta 5. punktu Latvijā aizliegta šaujamieroču pārveidošana, kuras rezultātā tiek mainīta šaujamieroču kategorija vai šaujamieroču kategorijas apakšgrupa (izņemot šaujamieroču pārveidošanu par salūtieročiem (akustiskajiem ieročiem) un šaujamieroču dezaktivēšanu).</w:t>
            </w:r>
          </w:p>
          <w:p w14:paraId="6E887F00" w14:textId="60711E10" w:rsidR="006E3053" w:rsidRPr="006E3053" w:rsidRDefault="006E3053" w:rsidP="006E3053">
            <w:pPr>
              <w:pBdr>
                <w:top w:val="nil"/>
                <w:left w:val="nil"/>
                <w:bottom w:val="nil"/>
                <w:right w:val="nil"/>
                <w:between w:val="nil"/>
              </w:pBdr>
              <w:spacing w:before="75" w:after="75"/>
              <w:ind w:hanging="14"/>
              <w:jc w:val="both"/>
            </w:pPr>
            <w:r w:rsidRPr="00570595">
              <w:t xml:space="preserve"> Ņemot vērā minēto, aizstāt likumprojekta 1. pantā ietvertā Likuma 4. panta (2</w:t>
            </w:r>
            <w:r w:rsidRPr="00570595">
              <w:rPr>
                <w:vertAlign w:val="superscript"/>
              </w:rPr>
              <w:t>1</w:t>
            </w:r>
            <w:r w:rsidRPr="00570595">
              <w:t>) daļā vārdus “kas nav speciāli paredzētas vai pielāgotas militārajam lietojumam” ar vārdiem “kas nav speciāli ražotas vai pārveidotas militārajām vajadzībām”.</w:t>
            </w:r>
          </w:p>
        </w:tc>
        <w:tc>
          <w:tcPr>
            <w:tcW w:w="2250" w:type="dxa"/>
            <w:tcBorders>
              <w:top w:val="single" w:sz="4" w:space="0" w:color="auto"/>
              <w:left w:val="single" w:sz="6" w:space="0" w:color="000000"/>
              <w:bottom w:val="single" w:sz="4" w:space="0" w:color="auto"/>
              <w:right w:val="single" w:sz="6" w:space="0" w:color="000000"/>
            </w:tcBorders>
          </w:tcPr>
          <w:p w14:paraId="17EB93D7" w14:textId="77777777" w:rsidR="006E3053" w:rsidRPr="006E3053" w:rsidRDefault="006E3053" w:rsidP="00E941F4">
            <w:pPr>
              <w:pBdr>
                <w:top w:val="nil"/>
                <w:left w:val="nil"/>
                <w:bottom w:val="nil"/>
                <w:right w:val="nil"/>
                <w:between w:val="nil"/>
              </w:pBdr>
              <w:jc w:val="center"/>
              <w:rPr>
                <w:b/>
              </w:rPr>
            </w:pPr>
            <w:r w:rsidRPr="006E3053">
              <w:rPr>
                <w:b/>
              </w:rPr>
              <w:lastRenderedPageBreak/>
              <w:t>Ņemts vērā</w:t>
            </w:r>
          </w:p>
          <w:p w14:paraId="057D0828" w14:textId="1D42339F" w:rsidR="006E3053" w:rsidRPr="005B164F" w:rsidRDefault="006E3053" w:rsidP="00543B6E">
            <w:pPr>
              <w:pBdr>
                <w:top w:val="nil"/>
                <w:left w:val="nil"/>
                <w:bottom w:val="nil"/>
                <w:right w:val="nil"/>
                <w:between w:val="nil"/>
              </w:pBdr>
              <w:jc w:val="center"/>
              <w:rPr>
                <w:b/>
                <w:color w:val="FF0000"/>
              </w:rPr>
            </w:pPr>
          </w:p>
        </w:tc>
        <w:tc>
          <w:tcPr>
            <w:tcW w:w="3723" w:type="dxa"/>
            <w:tcBorders>
              <w:top w:val="single" w:sz="4" w:space="0" w:color="000000"/>
              <w:left w:val="single" w:sz="4" w:space="0" w:color="000000"/>
              <w:bottom w:val="single" w:sz="4" w:space="0" w:color="000000"/>
            </w:tcBorders>
          </w:tcPr>
          <w:p w14:paraId="20EB9A01" w14:textId="77777777" w:rsidR="00402BAE" w:rsidRDefault="00402BAE" w:rsidP="00402BAE">
            <w:pPr>
              <w:pBdr>
                <w:top w:val="nil"/>
                <w:left w:val="nil"/>
                <w:bottom w:val="nil"/>
                <w:right w:val="nil"/>
                <w:between w:val="nil"/>
              </w:pBdr>
              <w:rPr>
                <w:b/>
              </w:rPr>
            </w:pPr>
            <w:r w:rsidRPr="00402BAE">
              <w:rPr>
                <w:b/>
              </w:rPr>
              <w:t>4. pantā:</w:t>
            </w:r>
          </w:p>
          <w:p w14:paraId="58A272A5" w14:textId="77777777" w:rsidR="00402BAE" w:rsidRDefault="00402BAE" w:rsidP="00402BAE">
            <w:pPr>
              <w:pBdr>
                <w:top w:val="nil"/>
                <w:left w:val="nil"/>
                <w:bottom w:val="nil"/>
                <w:right w:val="nil"/>
                <w:between w:val="nil"/>
              </w:pBdr>
              <w:rPr>
                <w:bCs/>
              </w:rPr>
            </w:pPr>
            <w:r>
              <w:rPr>
                <w:bCs/>
              </w:rPr>
              <w:t>...</w:t>
            </w:r>
          </w:p>
          <w:p w14:paraId="6B150246" w14:textId="77777777" w:rsidR="00402BAE" w:rsidRDefault="00402BAE" w:rsidP="00402BAE">
            <w:pPr>
              <w:pBdr>
                <w:top w:val="nil"/>
                <w:left w:val="nil"/>
                <w:bottom w:val="nil"/>
                <w:right w:val="nil"/>
                <w:between w:val="nil"/>
              </w:pBdr>
              <w:spacing w:before="75" w:after="75"/>
              <w:jc w:val="both"/>
              <w:rPr>
                <w:b/>
              </w:rPr>
            </w:pPr>
            <w:r w:rsidRPr="00402BAE">
              <w:rPr>
                <w:bCs/>
              </w:rPr>
              <w:t>papildināt ar 2¹ daļu šādā redakcijā:</w:t>
            </w:r>
          </w:p>
          <w:p w14:paraId="3F3258AE" w14:textId="2ACB9BDD" w:rsidR="006E3053" w:rsidRPr="00F46E74" w:rsidRDefault="00402BAE" w:rsidP="00FD0C32">
            <w:pPr>
              <w:pBdr>
                <w:top w:val="nil"/>
                <w:left w:val="nil"/>
                <w:bottom w:val="nil"/>
                <w:right w:val="nil"/>
                <w:between w:val="nil"/>
              </w:pBdr>
              <w:spacing w:before="75" w:after="75"/>
              <w:jc w:val="both"/>
            </w:pPr>
            <w:r w:rsidRPr="00854975">
              <w:t>“(2¹)</w:t>
            </w:r>
            <w:r>
              <w:t xml:space="preserve"> </w:t>
            </w:r>
            <w:r w:rsidR="006E3053" w:rsidRPr="00570595">
              <w:t xml:space="preserve">Fiziskām personām aizliegta Eiropas Savienības Kopējā militāro preču sarakstā minēto preču iegādāšanās, glabāšana un lietošana, izņemot šaujamieročus, tiem </w:t>
            </w:r>
            <w:r w:rsidR="006E3053" w:rsidRPr="00570595">
              <w:lastRenderedPageBreak/>
              <w:t>speciāli izstrādātas sastāvdaļas un to piederumus, munīciju, kā arī, munīcijas lādējamās iekārtas, kas nav speciāli ražotas vai pārveidotas militārajām vajadzībām. Šaujamieroču piederumu un munīcijas izņēmums ir spēkā, ja tie ir paredzēti lietošanai fiziskai personai vai uzstādīšanai uz fiziskās personas īpašumā esošajiem šaujamieročiem.</w:t>
            </w:r>
            <w:r>
              <w:t>”;</w:t>
            </w:r>
          </w:p>
          <w:p w14:paraId="0980E01C" w14:textId="77777777" w:rsidR="006E3053" w:rsidRPr="00F46E74" w:rsidRDefault="006E3053" w:rsidP="00FD0C32">
            <w:pPr>
              <w:pBdr>
                <w:top w:val="nil"/>
                <w:left w:val="nil"/>
                <w:bottom w:val="nil"/>
                <w:right w:val="nil"/>
                <w:between w:val="nil"/>
              </w:pBdr>
              <w:spacing w:before="75" w:after="75"/>
              <w:jc w:val="both"/>
            </w:pPr>
          </w:p>
          <w:p w14:paraId="28AEA267" w14:textId="40218EBB" w:rsidR="006E3053" w:rsidRPr="005B164F" w:rsidRDefault="006E3053" w:rsidP="00F530AB">
            <w:pPr>
              <w:pBdr>
                <w:top w:val="nil"/>
                <w:left w:val="nil"/>
                <w:bottom w:val="nil"/>
                <w:right w:val="nil"/>
                <w:between w:val="nil"/>
              </w:pBdr>
              <w:spacing w:before="75" w:after="75"/>
              <w:jc w:val="both"/>
              <w:rPr>
                <w:b/>
                <w:color w:val="FF0000"/>
              </w:rPr>
            </w:pPr>
          </w:p>
        </w:tc>
      </w:tr>
      <w:tr w:rsidR="00F21348" w14:paraId="7B4BFAED" w14:textId="77777777" w:rsidTr="00090F15">
        <w:tc>
          <w:tcPr>
            <w:tcW w:w="707" w:type="dxa"/>
            <w:tcBorders>
              <w:top w:val="single" w:sz="4" w:space="0" w:color="auto"/>
              <w:left w:val="single" w:sz="6" w:space="0" w:color="000000"/>
              <w:bottom w:val="single" w:sz="4" w:space="0" w:color="auto"/>
              <w:right w:val="single" w:sz="6" w:space="0" w:color="000000"/>
            </w:tcBorders>
          </w:tcPr>
          <w:p w14:paraId="3F1A6D20" w14:textId="60274613" w:rsidR="00F21348" w:rsidRPr="00301362" w:rsidRDefault="00D95ED2" w:rsidP="00D95ED2">
            <w:pPr>
              <w:pBdr>
                <w:top w:val="nil"/>
                <w:left w:val="nil"/>
                <w:bottom w:val="nil"/>
                <w:right w:val="nil"/>
                <w:between w:val="nil"/>
              </w:pBdr>
              <w:ind w:firstLine="720"/>
            </w:pPr>
            <w:r w:rsidRPr="00301362">
              <w:lastRenderedPageBreak/>
              <w:t>8</w:t>
            </w:r>
            <w:r w:rsidR="00402BAE">
              <w:rPr>
                <w:b/>
              </w:rPr>
              <w:t>5</w:t>
            </w:r>
            <w:r w:rsidRPr="00301362">
              <w:rPr>
                <w:b/>
              </w:rPr>
              <w:t>.</w:t>
            </w:r>
          </w:p>
        </w:tc>
        <w:tc>
          <w:tcPr>
            <w:tcW w:w="3721" w:type="dxa"/>
            <w:tcBorders>
              <w:top w:val="single" w:sz="4" w:space="0" w:color="auto"/>
              <w:left w:val="single" w:sz="6" w:space="0" w:color="000000"/>
              <w:bottom w:val="single" w:sz="4" w:space="0" w:color="auto"/>
              <w:right w:val="single" w:sz="6" w:space="0" w:color="000000"/>
            </w:tcBorders>
          </w:tcPr>
          <w:p w14:paraId="27A09309" w14:textId="0F210827" w:rsidR="00402BAE" w:rsidRPr="00680337" w:rsidRDefault="00402BAE" w:rsidP="00090F15">
            <w:pPr>
              <w:pBdr>
                <w:top w:val="nil"/>
                <w:left w:val="nil"/>
                <w:bottom w:val="nil"/>
                <w:right w:val="nil"/>
                <w:between w:val="nil"/>
              </w:pBdr>
              <w:rPr>
                <w:b/>
                <w:bCs/>
              </w:rPr>
            </w:pPr>
            <w:r w:rsidRPr="00680337">
              <w:rPr>
                <w:b/>
                <w:bCs/>
              </w:rPr>
              <w:t>2. 5. pantā:</w:t>
            </w:r>
          </w:p>
          <w:p w14:paraId="5E94764E" w14:textId="660EE0FE" w:rsidR="00402BAE" w:rsidRPr="00090F15" w:rsidRDefault="00402BAE" w:rsidP="00090F15">
            <w:pPr>
              <w:pBdr>
                <w:top w:val="nil"/>
                <w:left w:val="nil"/>
                <w:bottom w:val="nil"/>
                <w:right w:val="nil"/>
                <w:between w:val="nil"/>
              </w:pBdr>
              <w:rPr>
                <w:bCs/>
              </w:rPr>
            </w:pPr>
            <w:r w:rsidRPr="00090F15">
              <w:rPr>
                <w:bCs/>
              </w:rPr>
              <w:t>izteikt trešo daļu šādā redakcijā:</w:t>
            </w:r>
          </w:p>
          <w:p w14:paraId="74BC98FA" w14:textId="3C2264AE" w:rsidR="00533B13" w:rsidRDefault="00402BAE">
            <w:pPr>
              <w:pBdr>
                <w:top w:val="nil"/>
                <w:left w:val="nil"/>
                <w:bottom w:val="nil"/>
                <w:right w:val="nil"/>
                <w:between w:val="nil"/>
              </w:pBdr>
              <w:spacing w:before="75" w:after="75"/>
              <w:jc w:val="both"/>
            </w:pPr>
            <w:r w:rsidRPr="00090F15">
              <w:t>“(3)</w:t>
            </w:r>
            <w:r w:rsidRPr="00402BAE">
              <w:rPr>
                <w:b/>
              </w:rPr>
              <w:t xml:space="preserve"> </w:t>
            </w:r>
            <w:r w:rsidR="0086248B" w:rsidRPr="00570595">
              <w:t xml:space="preserve">Šā panta otrajā daļā minētās speciālās atļaujas (licences) izsniegšanas, pārreģistrācijas, </w:t>
            </w:r>
            <w:r w:rsidR="0086248B" w:rsidRPr="00570595">
              <w:lastRenderedPageBreak/>
              <w:t>anulēšanas, darbības apturēšanas kārtību un maksājamās valsts nodevas apmēru nosaka Ministru kabinets.</w:t>
            </w:r>
            <w:r w:rsidR="008B621E">
              <w:t>”;</w:t>
            </w:r>
          </w:p>
          <w:p w14:paraId="73D93F5C" w14:textId="691BA415" w:rsidR="008B621E" w:rsidRPr="00301362" w:rsidRDefault="008B621E">
            <w:pPr>
              <w:pBdr>
                <w:top w:val="nil"/>
                <w:left w:val="nil"/>
                <w:bottom w:val="nil"/>
                <w:right w:val="nil"/>
                <w:between w:val="nil"/>
              </w:pBdr>
              <w:spacing w:before="75" w:after="75"/>
              <w:jc w:val="both"/>
            </w:pPr>
            <w:r>
              <w:t>...</w:t>
            </w:r>
          </w:p>
        </w:tc>
        <w:tc>
          <w:tcPr>
            <w:tcW w:w="4590" w:type="dxa"/>
            <w:tcBorders>
              <w:top w:val="single" w:sz="4" w:space="0" w:color="auto"/>
              <w:left w:val="single" w:sz="6" w:space="0" w:color="000000"/>
              <w:bottom w:val="single" w:sz="4" w:space="0" w:color="auto"/>
              <w:right w:val="single" w:sz="6" w:space="0" w:color="000000"/>
            </w:tcBorders>
          </w:tcPr>
          <w:p w14:paraId="55F2A9E4" w14:textId="612D9259" w:rsidR="00F21348" w:rsidRPr="00301362" w:rsidRDefault="00301362" w:rsidP="004F5302">
            <w:pPr>
              <w:pBdr>
                <w:top w:val="nil"/>
                <w:left w:val="nil"/>
                <w:bottom w:val="nil"/>
                <w:right w:val="nil"/>
                <w:between w:val="nil"/>
              </w:pBdr>
              <w:spacing w:before="75" w:after="75"/>
              <w:ind w:hanging="14"/>
              <w:jc w:val="center"/>
              <w:rPr>
                <w:b/>
              </w:rPr>
            </w:pPr>
            <w:r w:rsidRPr="00301362">
              <w:rPr>
                <w:b/>
              </w:rPr>
              <w:lastRenderedPageBreak/>
              <w:t>Iekšlietu</w:t>
            </w:r>
            <w:r w:rsidR="00D95ED2" w:rsidRPr="00301362">
              <w:rPr>
                <w:b/>
              </w:rPr>
              <w:t xml:space="preserve"> ministrijas iebildums</w:t>
            </w:r>
            <w:r w:rsidR="00543F6C">
              <w:rPr>
                <w:b/>
              </w:rPr>
              <w:t xml:space="preserve"> (12.09.2019.)</w:t>
            </w:r>
          </w:p>
          <w:p w14:paraId="16882440" w14:textId="29DD92D2" w:rsidR="0086248B" w:rsidRPr="00570595" w:rsidRDefault="0086248B" w:rsidP="0086248B">
            <w:pPr>
              <w:jc w:val="both"/>
              <w:rPr>
                <w:bCs/>
              </w:rPr>
            </w:pPr>
            <w:r w:rsidRPr="00570595">
              <w:t xml:space="preserve">Likumprojekta anotācijā ir norādīts, ka šobrīd Likuma 5. panta trešā daļa nosaka, ka speciālās atļaujas (licences) pārreģistrācijai </w:t>
            </w:r>
            <w:r w:rsidRPr="00570595">
              <w:lastRenderedPageBreak/>
              <w:t xml:space="preserve">noteikta valsts nodeva, savukārt </w:t>
            </w:r>
            <w:r w:rsidRPr="00570595">
              <w:rPr>
                <w:bCs/>
              </w:rPr>
              <w:t xml:space="preserve">Ministru kabineta 2012. gada 8. maija noteikumu Nr. 331 “Kārtība, kādā izsniedz speciālās atļaujas (licences) komercdarbībai ar Eiropas Savienības Kopējā militāro preču sarakstā minētajām precēm” 28. punkts nosaka, ka speciālo atļauju (licenci) pārreģistrē bez maksas. Lai novērstu šo pretrunu, nepieciešami attiecīgi grozījumi Likumā. </w:t>
            </w:r>
          </w:p>
          <w:p w14:paraId="7060AB59" w14:textId="0E7D4BFE" w:rsidR="00D95ED2" w:rsidRPr="00301362" w:rsidRDefault="0086248B" w:rsidP="00090F15">
            <w:pPr>
              <w:pBdr>
                <w:top w:val="nil"/>
                <w:left w:val="nil"/>
                <w:bottom w:val="nil"/>
                <w:right w:val="nil"/>
                <w:between w:val="nil"/>
              </w:pBdr>
              <w:spacing w:before="75" w:after="75"/>
              <w:ind w:hanging="14"/>
              <w:jc w:val="both"/>
              <w:rPr>
                <w:b/>
              </w:rPr>
            </w:pPr>
            <w:r w:rsidRPr="00570595">
              <w:t>Lūdzam izvērtēt likumprojekta 2. pantā ietvertās Likuma  5. panta trešās daļas redakciju, jo nav skaidrs, kāpēc Likuma teksts tiek pielāgots pakārtotajiem Ministru kabineta 2012. gada 8. maija noteikumiem Nr. 331 “Kārtība, kādā izsniedz speciālās atļaujas (licences) komercdarbībai ar Eiropas Savienības Kopējā militāro preču sarakstā minētajām precēm”, nevis otrādi. Likumprojekta anotācijā attiecīgs skaidrojums nav ietverts.</w:t>
            </w:r>
          </w:p>
        </w:tc>
        <w:tc>
          <w:tcPr>
            <w:tcW w:w="2250" w:type="dxa"/>
            <w:tcBorders>
              <w:top w:val="single" w:sz="4" w:space="0" w:color="auto"/>
              <w:left w:val="single" w:sz="6" w:space="0" w:color="000000"/>
              <w:bottom w:val="single" w:sz="4" w:space="0" w:color="auto"/>
              <w:right w:val="single" w:sz="6" w:space="0" w:color="000000"/>
            </w:tcBorders>
          </w:tcPr>
          <w:p w14:paraId="6A44C32A" w14:textId="77777777" w:rsidR="004A383A" w:rsidRPr="00301362" w:rsidRDefault="004A383A" w:rsidP="004A383A">
            <w:pPr>
              <w:pBdr>
                <w:top w:val="nil"/>
                <w:left w:val="nil"/>
                <w:bottom w:val="nil"/>
                <w:right w:val="nil"/>
                <w:between w:val="nil"/>
              </w:pBdr>
              <w:jc w:val="center"/>
              <w:rPr>
                <w:b/>
              </w:rPr>
            </w:pPr>
            <w:r w:rsidRPr="00301362">
              <w:rPr>
                <w:b/>
              </w:rPr>
              <w:lastRenderedPageBreak/>
              <w:t>Ņemts vērā</w:t>
            </w:r>
          </w:p>
          <w:p w14:paraId="479A6A25" w14:textId="77777777" w:rsidR="00F21348" w:rsidRPr="00301362" w:rsidRDefault="00F21348" w:rsidP="00543B6E">
            <w:pPr>
              <w:pBdr>
                <w:top w:val="nil"/>
                <w:left w:val="nil"/>
                <w:bottom w:val="nil"/>
                <w:right w:val="nil"/>
                <w:between w:val="nil"/>
              </w:pBdr>
              <w:jc w:val="center"/>
              <w:rPr>
                <w:b/>
              </w:rPr>
            </w:pPr>
          </w:p>
        </w:tc>
        <w:tc>
          <w:tcPr>
            <w:tcW w:w="3723" w:type="dxa"/>
            <w:tcBorders>
              <w:top w:val="single" w:sz="4" w:space="0" w:color="000000"/>
              <w:left w:val="single" w:sz="4" w:space="0" w:color="000000"/>
              <w:bottom w:val="single" w:sz="4" w:space="0" w:color="000000"/>
            </w:tcBorders>
          </w:tcPr>
          <w:p w14:paraId="1AC4C7FB" w14:textId="77777777" w:rsidR="008B621E" w:rsidRPr="00090F15" w:rsidRDefault="008B621E" w:rsidP="008B621E">
            <w:pPr>
              <w:pBdr>
                <w:top w:val="nil"/>
                <w:left w:val="nil"/>
                <w:bottom w:val="nil"/>
                <w:right w:val="nil"/>
                <w:between w:val="nil"/>
              </w:pBdr>
              <w:rPr>
                <w:b/>
                <w:bCs/>
              </w:rPr>
            </w:pPr>
            <w:r w:rsidRPr="00090F15">
              <w:rPr>
                <w:b/>
                <w:bCs/>
              </w:rPr>
              <w:t>2. 5. pantā:</w:t>
            </w:r>
          </w:p>
          <w:p w14:paraId="4E648BD6" w14:textId="77777777" w:rsidR="00714A9F" w:rsidRPr="00714A9F" w:rsidRDefault="00714A9F" w:rsidP="00714A9F">
            <w:pPr>
              <w:pBdr>
                <w:top w:val="nil"/>
                <w:left w:val="nil"/>
                <w:bottom w:val="nil"/>
                <w:right w:val="nil"/>
                <w:between w:val="nil"/>
              </w:pBdr>
              <w:rPr>
                <w:bCs/>
              </w:rPr>
            </w:pPr>
            <w:r w:rsidRPr="00714A9F">
              <w:rPr>
                <w:bCs/>
              </w:rPr>
              <w:t>izteikt trešo, ceturto un 4.</w:t>
            </w:r>
            <w:r w:rsidRPr="00714A9F">
              <w:rPr>
                <w:bCs/>
                <w:vertAlign w:val="superscript"/>
              </w:rPr>
              <w:t>1</w:t>
            </w:r>
            <w:r w:rsidRPr="00714A9F">
              <w:rPr>
                <w:bCs/>
              </w:rPr>
              <w:t xml:space="preserve"> daļu šādā redakcijā:</w:t>
            </w:r>
          </w:p>
          <w:p w14:paraId="6E28D496" w14:textId="798ADF24" w:rsidR="00A32CE3" w:rsidRDefault="00714A9F" w:rsidP="00086BC8">
            <w:pPr>
              <w:pBdr>
                <w:top w:val="nil"/>
                <w:left w:val="nil"/>
                <w:bottom w:val="nil"/>
                <w:right w:val="nil"/>
                <w:between w:val="nil"/>
              </w:pBdr>
              <w:spacing w:before="75" w:after="75"/>
              <w:jc w:val="both"/>
            </w:pPr>
            <w:r w:rsidRPr="00714A9F" w:rsidDel="00714A9F">
              <w:rPr>
                <w:bCs/>
              </w:rPr>
              <w:t xml:space="preserve"> </w:t>
            </w:r>
            <w:r w:rsidR="008B621E" w:rsidRPr="00854975">
              <w:t>“(3)</w:t>
            </w:r>
            <w:r w:rsidR="008B621E" w:rsidRPr="00402BAE">
              <w:rPr>
                <w:b/>
              </w:rPr>
              <w:t xml:space="preserve"> </w:t>
            </w:r>
            <w:r w:rsidR="0086248B" w:rsidRPr="00570595">
              <w:t xml:space="preserve">Šā panta otrajā daļā minētās speciālās atļaujas (licences) </w:t>
            </w:r>
            <w:r w:rsidR="0086248B" w:rsidRPr="00570595">
              <w:lastRenderedPageBreak/>
              <w:t xml:space="preserve">izsniegšanas, pārreģistrācijas, anulēšanas, darbības apturēšanas kārtību </w:t>
            </w:r>
            <w:r w:rsidR="0086248B" w:rsidRPr="00570595">
              <w:rPr>
                <w:u w:val="single"/>
              </w:rPr>
              <w:t>un maksājamās valsts nodevas apmēru speciālās atļaujas (licences) izsniegšanai</w:t>
            </w:r>
            <w:r w:rsidR="0086248B" w:rsidRPr="00570595">
              <w:t xml:space="preserve"> nosaka Ministru kabinets</w:t>
            </w:r>
            <w:r w:rsidR="0086248B">
              <w:t>.</w:t>
            </w:r>
          </w:p>
          <w:p w14:paraId="076EDECC" w14:textId="2BF521EF" w:rsidR="0086248B" w:rsidRDefault="008B621E" w:rsidP="00086BC8">
            <w:pPr>
              <w:pBdr>
                <w:top w:val="nil"/>
                <w:left w:val="nil"/>
                <w:bottom w:val="nil"/>
                <w:right w:val="nil"/>
                <w:between w:val="nil"/>
              </w:pBdr>
              <w:spacing w:before="75" w:after="75"/>
              <w:jc w:val="both"/>
            </w:pPr>
            <w:r>
              <w:t>...</w:t>
            </w:r>
            <w:r w:rsidR="005D0737">
              <w:t>”</w:t>
            </w:r>
          </w:p>
          <w:p w14:paraId="09E6EE2D" w14:textId="407195A7" w:rsidR="0086248B" w:rsidRPr="006822FF" w:rsidRDefault="0086248B" w:rsidP="0086248B">
            <w:pPr>
              <w:pBdr>
                <w:top w:val="nil"/>
                <w:left w:val="nil"/>
                <w:bottom w:val="nil"/>
                <w:right w:val="nil"/>
                <w:between w:val="nil"/>
              </w:pBdr>
              <w:spacing w:before="75" w:after="75"/>
              <w:jc w:val="both"/>
              <w:rPr>
                <w:b/>
              </w:rPr>
            </w:pPr>
            <w:r w:rsidRPr="006822FF">
              <w:rPr>
                <w:b/>
              </w:rPr>
              <w:t>Likumprojekta anotācija ir precizēta.</w:t>
            </w:r>
          </w:p>
        </w:tc>
      </w:tr>
      <w:tr w:rsidR="003F6436" w14:paraId="6209DF72" w14:textId="77777777" w:rsidTr="00090F15">
        <w:tc>
          <w:tcPr>
            <w:tcW w:w="707" w:type="dxa"/>
            <w:tcBorders>
              <w:top w:val="single" w:sz="4" w:space="0" w:color="auto"/>
              <w:left w:val="single" w:sz="6" w:space="0" w:color="000000"/>
              <w:bottom w:val="single" w:sz="4" w:space="0" w:color="auto"/>
              <w:right w:val="single" w:sz="6" w:space="0" w:color="000000"/>
            </w:tcBorders>
          </w:tcPr>
          <w:p w14:paraId="625C9186" w14:textId="225B0828" w:rsidR="003F6436" w:rsidRPr="003F6436" w:rsidRDefault="003F6436" w:rsidP="00E462A6">
            <w:pPr>
              <w:pBdr>
                <w:top w:val="nil"/>
                <w:left w:val="nil"/>
                <w:bottom w:val="nil"/>
                <w:right w:val="nil"/>
                <w:between w:val="nil"/>
              </w:pBdr>
              <w:ind w:firstLine="720"/>
            </w:pPr>
            <w:r w:rsidRPr="003F6436">
              <w:lastRenderedPageBreak/>
              <w:t>8</w:t>
            </w:r>
            <w:r w:rsidR="008B621E">
              <w:rPr>
                <w:b/>
              </w:rPr>
              <w:t>6</w:t>
            </w:r>
            <w:r w:rsidRPr="003F6436">
              <w:rPr>
                <w:b/>
              </w:rPr>
              <w:t>.</w:t>
            </w:r>
          </w:p>
        </w:tc>
        <w:tc>
          <w:tcPr>
            <w:tcW w:w="3721" w:type="dxa"/>
            <w:tcBorders>
              <w:top w:val="single" w:sz="4" w:space="0" w:color="auto"/>
              <w:left w:val="single" w:sz="6" w:space="0" w:color="000000"/>
              <w:bottom w:val="single" w:sz="4" w:space="0" w:color="auto"/>
              <w:right w:val="single" w:sz="6" w:space="0" w:color="000000"/>
            </w:tcBorders>
          </w:tcPr>
          <w:p w14:paraId="3802D564" w14:textId="77777777" w:rsidR="008B621E" w:rsidRPr="00090F15" w:rsidRDefault="008B621E" w:rsidP="008B621E">
            <w:pPr>
              <w:pBdr>
                <w:top w:val="nil"/>
                <w:left w:val="nil"/>
                <w:bottom w:val="nil"/>
                <w:right w:val="nil"/>
                <w:between w:val="nil"/>
              </w:pBdr>
              <w:rPr>
                <w:b/>
                <w:bCs/>
              </w:rPr>
            </w:pPr>
            <w:r w:rsidRPr="00090F15">
              <w:rPr>
                <w:b/>
                <w:bCs/>
              </w:rPr>
              <w:t>2. 5. pantā:</w:t>
            </w:r>
          </w:p>
          <w:p w14:paraId="5FC131FF" w14:textId="77777777" w:rsidR="008B621E" w:rsidRPr="00854975" w:rsidRDefault="008B621E" w:rsidP="008B621E">
            <w:pPr>
              <w:pBdr>
                <w:top w:val="nil"/>
                <w:left w:val="nil"/>
                <w:bottom w:val="nil"/>
                <w:right w:val="nil"/>
                <w:between w:val="nil"/>
              </w:pBdr>
              <w:rPr>
                <w:bCs/>
              </w:rPr>
            </w:pPr>
            <w:r w:rsidRPr="00854975">
              <w:rPr>
                <w:bCs/>
              </w:rPr>
              <w:t>izteikt trešo daļu šādā redakcijā:</w:t>
            </w:r>
          </w:p>
          <w:p w14:paraId="04A169D4" w14:textId="6BA2A3FA" w:rsidR="003F6436" w:rsidRDefault="008B621E" w:rsidP="003F6436">
            <w:pPr>
              <w:pBdr>
                <w:top w:val="nil"/>
                <w:left w:val="nil"/>
                <w:bottom w:val="nil"/>
                <w:right w:val="nil"/>
                <w:between w:val="nil"/>
              </w:pBdr>
              <w:spacing w:before="75" w:after="75"/>
              <w:jc w:val="both"/>
            </w:pPr>
            <w:r w:rsidRPr="00854975">
              <w:t>“(3)</w:t>
            </w:r>
            <w:r w:rsidRPr="00402BAE">
              <w:rPr>
                <w:b/>
              </w:rPr>
              <w:t xml:space="preserve"> </w:t>
            </w:r>
            <w:r w:rsidR="003F6436" w:rsidRPr="00570595">
              <w:t>Šā panta otrajā daļā minētās speciālās atļaujas (licences) izsniegšanas, pārreģistrācijas, anulēšanas, darbības apturēšanas kārtību un maksājamās valsts nodevas apmēru nosaka Ministru kabinets.</w:t>
            </w:r>
            <w:r>
              <w:t>”;</w:t>
            </w:r>
          </w:p>
          <w:p w14:paraId="1447BEE3" w14:textId="22DE51B1" w:rsidR="008B621E" w:rsidRPr="003F6436" w:rsidRDefault="008B621E" w:rsidP="003F6436">
            <w:pPr>
              <w:pBdr>
                <w:top w:val="nil"/>
                <w:left w:val="nil"/>
                <w:bottom w:val="nil"/>
                <w:right w:val="nil"/>
                <w:between w:val="nil"/>
              </w:pBdr>
              <w:spacing w:before="75" w:after="75"/>
              <w:jc w:val="both"/>
            </w:pPr>
            <w:r>
              <w:t>...</w:t>
            </w:r>
          </w:p>
        </w:tc>
        <w:tc>
          <w:tcPr>
            <w:tcW w:w="4590" w:type="dxa"/>
            <w:tcBorders>
              <w:top w:val="single" w:sz="4" w:space="0" w:color="auto"/>
              <w:left w:val="single" w:sz="6" w:space="0" w:color="000000"/>
              <w:bottom w:val="single" w:sz="4" w:space="0" w:color="auto"/>
              <w:right w:val="single" w:sz="6" w:space="0" w:color="000000"/>
            </w:tcBorders>
          </w:tcPr>
          <w:p w14:paraId="3811EC38" w14:textId="36093E81" w:rsidR="003F6436" w:rsidRPr="003F6436" w:rsidRDefault="003F6436" w:rsidP="003F6436">
            <w:pPr>
              <w:pBdr>
                <w:top w:val="nil"/>
                <w:left w:val="nil"/>
                <w:bottom w:val="nil"/>
                <w:right w:val="nil"/>
                <w:between w:val="nil"/>
              </w:pBdr>
              <w:spacing w:before="75" w:after="75"/>
              <w:ind w:hanging="14"/>
              <w:jc w:val="center"/>
              <w:rPr>
                <w:b/>
              </w:rPr>
            </w:pPr>
            <w:r>
              <w:rPr>
                <w:b/>
              </w:rPr>
              <w:t>Finanšu</w:t>
            </w:r>
            <w:r w:rsidRPr="003F6436">
              <w:rPr>
                <w:b/>
              </w:rPr>
              <w:t xml:space="preserve"> ministrijas iebildums</w:t>
            </w:r>
            <w:r w:rsidR="00543F6C">
              <w:rPr>
                <w:b/>
              </w:rPr>
              <w:t xml:space="preserve"> (12.09.2019.)</w:t>
            </w:r>
          </w:p>
          <w:p w14:paraId="01128216" w14:textId="0B73039F" w:rsidR="003F6436" w:rsidRPr="00570595" w:rsidRDefault="003F6436" w:rsidP="003F6436">
            <w:pPr>
              <w:jc w:val="both"/>
            </w:pPr>
            <w:r w:rsidRPr="00570595">
              <w:t>Likumprojekta 2. pantā izteiktā likuma 5. panta trešā daļa attiecībā uz valsts nodevas apmēru ir precizējama, jo skaidri nenosaka, par ko ir maksājama valsts nodeva. Norādām, ka šobrīd esošā likuma 5. panta trešā daļa ir skaidra, tādēļ, mūsuprāt, tā ir atstājama šobrīd spēkā esošā redakcija, proti, “kā arī par tās izsniegšanu un pārreģistrāciju maksājamās valsts nodevas apmēru nosaka Ministru kabinets”.</w:t>
            </w:r>
          </w:p>
          <w:p w14:paraId="1F72D1F3" w14:textId="05D28861" w:rsidR="003F6436" w:rsidRPr="003F6436" w:rsidRDefault="003F6436" w:rsidP="003F6436">
            <w:pPr>
              <w:pBdr>
                <w:top w:val="nil"/>
                <w:left w:val="nil"/>
                <w:bottom w:val="nil"/>
                <w:right w:val="nil"/>
                <w:between w:val="nil"/>
              </w:pBdr>
              <w:spacing w:before="75" w:after="75"/>
              <w:ind w:hanging="14"/>
              <w:jc w:val="both"/>
            </w:pPr>
            <w:r w:rsidRPr="00570595">
              <w:lastRenderedPageBreak/>
              <w:t xml:space="preserve">           Likumprojekta anotācijas I sadaļa 2.punkta 3.apakšpunktā ir norādīts, ka “Šobrīd Stratēģiskas nozīmes preču aprites likuma 5. panta trešā daļa nosaka, ka speciālās atļaujas (licences) pārreģistrācijai noteikta valsts nodeva, savukārt Ministru kabineta 2012. gada 8. maija noteikumu Nr. 331 “Kārtība, kādā izsniedz speciālās atļaujas (licences) komercdarbībai ar Eiropas Savienības Kopējā militāro preču sarakstā minētajām precēm” 28. punkts nosaka, ka speciālo atļauju (licenci) pārreģistrē bez maksas. Lai novērstu šo pretrunu, nepieciešami attiecīgi grozījumi Likumā.</w:t>
            </w:r>
          </w:p>
        </w:tc>
        <w:tc>
          <w:tcPr>
            <w:tcW w:w="2250" w:type="dxa"/>
            <w:tcBorders>
              <w:top w:val="single" w:sz="4" w:space="0" w:color="auto"/>
              <w:left w:val="single" w:sz="6" w:space="0" w:color="000000"/>
              <w:bottom w:val="single" w:sz="4" w:space="0" w:color="auto"/>
              <w:right w:val="single" w:sz="6" w:space="0" w:color="000000"/>
            </w:tcBorders>
          </w:tcPr>
          <w:p w14:paraId="6B001E1D" w14:textId="77777777" w:rsidR="003F6436" w:rsidRPr="003F6436" w:rsidRDefault="003F6436" w:rsidP="004A383A">
            <w:pPr>
              <w:pBdr>
                <w:top w:val="nil"/>
                <w:left w:val="nil"/>
                <w:bottom w:val="nil"/>
                <w:right w:val="nil"/>
                <w:between w:val="nil"/>
              </w:pBdr>
              <w:jc w:val="center"/>
              <w:rPr>
                <w:b/>
              </w:rPr>
            </w:pPr>
            <w:r w:rsidRPr="003F6436">
              <w:rPr>
                <w:b/>
              </w:rPr>
              <w:lastRenderedPageBreak/>
              <w:t>Ņemts vērā</w:t>
            </w:r>
          </w:p>
          <w:p w14:paraId="12ED15B2" w14:textId="77777777" w:rsidR="003F6436" w:rsidRPr="003F6436" w:rsidRDefault="003F6436" w:rsidP="00543B6E">
            <w:pPr>
              <w:pBdr>
                <w:top w:val="nil"/>
                <w:left w:val="nil"/>
                <w:bottom w:val="nil"/>
                <w:right w:val="nil"/>
                <w:between w:val="nil"/>
              </w:pBdr>
              <w:jc w:val="center"/>
              <w:rPr>
                <w:b/>
              </w:rPr>
            </w:pPr>
          </w:p>
        </w:tc>
        <w:tc>
          <w:tcPr>
            <w:tcW w:w="3723" w:type="dxa"/>
            <w:tcBorders>
              <w:top w:val="single" w:sz="4" w:space="0" w:color="000000"/>
              <w:left w:val="single" w:sz="4" w:space="0" w:color="000000"/>
              <w:bottom w:val="single" w:sz="4" w:space="0" w:color="000000"/>
            </w:tcBorders>
          </w:tcPr>
          <w:p w14:paraId="1C6021F3" w14:textId="77777777" w:rsidR="008B621E" w:rsidRPr="00090F15" w:rsidRDefault="008B621E" w:rsidP="008B621E">
            <w:pPr>
              <w:pBdr>
                <w:top w:val="nil"/>
                <w:left w:val="nil"/>
                <w:bottom w:val="nil"/>
                <w:right w:val="nil"/>
                <w:between w:val="nil"/>
              </w:pBdr>
              <w:rPr>
                <w:b/>
                <w:bCs/>
              </w:rPr>
            </w:pPr>
            <w:r w:rsidRPr="00090F15">
              <w:rPr>
                <w:b/>
                <w:bCs/>
              </w:rPr>
              <w:t>2. 5. pantā:</w:t>
            </w:r>
          </w:p>
          <w:p w14:paraId="4373CA5E" w14:textId="565337E1" w:rsidR="005D0737" w:rsidRPr="005D0737" w:rsidRDefault="005D0737" w:rsidP="005D0737">
            <w:pPr>
              <w:pBdr>
                <w:top w:val="nil"/>
                <w:left w:val="nil"/>
                <w:bottom w:val="nil"/>
                <w:right w:val="nil"/>
                <w:between w:val="nil"/>
              </w:pBdr>
              <w:rPr>
                <w:bCs/>
              </w:rPr>
            </w:pPr>
            <w:r w:rsidRPr="005D0737">
              <w:rPr>
                <w:bCs/>
              </w:rPr>
              <w:t>izteikt trešo, ceturto un 4.</w:t>
            </w:r>
            <w:r w:rsidRPr="005D0737">
              <w:rPr>
                <w:bCs/>
                <w:vertAlign w:val="superscript"/>
              </w:rPr>
              <w:t>1</w:t>
            </w:r>
            <w:r w:rsidRPr="005D0737">
              <w:rPr>
                <w:bCs/>
              </w:rPr>
              <w:t xml:space="preserve"> daļu šādā redakcijā:</w:t>
            </w:r>
          </w:p>
          <w:p w14:paraId="5D13F746" w14:textId="5421AECF" w:rsidR="003F6436" w:rsidRDefault="005D0737" w:rsidP="00FD0C32">
            <w:pPr>
              <w:pBdr>
                <w:top w:val="nil"/>
                <w:left w:val="nil"/>
                <w:bottom w:val="nil"/>
                <w:right w:val="nil"/>
                <w:between w:val="nil"/>
              </w:pBdr>
              <w:spacing w:before="75" w:after="75"/>
              <w:jc w:val="both"/>
            </w:pPr>
            <w:r w:rsidRPr="005D0737" w:rsidDel="005D0737">
              <w:rPr>
                <w:bCs/>
              </w:rPr>
              <w:t xml:space="preserve"> </w:t>
            </w:r>
            <w:r w:rsidR="008B621E" w:rsidRPr="00854975">
              <w:t>“(3)</w:t>
            </w:r>
            <w:r w:rsidR="008B621E" w:rsidRPr="00402BAE">
              <w:rPr>
                <w:b/>
              </w:rPr>
              <w:t xml:space="preserve"> </w:t>
            </w:r>
            <w:r w:rsidR="003F6436" w:rsidRPr="00570595">
              <w:t xml:space="preserve">Šā panta otrajā daļā minētās speciālās atļaujas (licences) izsniegšanas, pārreģistrācijas, anulēšanas, darbības apturēšanas kārtību </w:t>
            </w:r>
            <w:r w:rsidR="003F6436" w:rsidRPr="00570595">
              <w:rPr>
                <w:u w:val="single"/>
              </w:rPr>
              <w:t>un maksājamās valsts nodevas apmēru speciālās atļaujas (licences) izsniegšanai</w:t>
            </w:r>
            <w:r w:rsidR="003F6436" w:rsidRPr="00570595">
              <w:t xml:space="preserve"> nosaka Ministru kabinets</w:t>
            </w:r>
            <w:r w:rsidR="008B621E" w:rsidRPr="00570595">
              <w:t>.</w:t>
            </w:r>
          </w:p>
          <w:p w14:paraId="62022EF7" w14:textId="1B7EA561" w:rsidR="003F6436" w:rsidRDefault="008B621E" w:rsidP="00FD0C32">
            <w:pPr>
              <w:pBdr>
                <w:top w:val="nil"/>
                <w:left w:val="nil"/>
                <w:bottom w:val="nil"/>
                <w:right w:val="nil"/>
                <w:between w:val="nil"/>
              </w:pBdr>
              <w:spacing w:before="75" w:after="75"/>
              <w:jc w:val="both"/>
            </w:pPr>
            <w:r>
              <w:t>...</w:t>
            </w:r>
            <w:r w:rsidR="005D0737">
              <w:t>”</w:t>
            </w:r>
          </w:p>
          <w:p w14:paraId="2C660CE8" w14:textId="08D0A136" w:rsidR="003F6436" w:rsidRPr="003F6436" w:rsidRDefault="003F6436" w:rsidP="00FB0303">
            <w:pPr>
              <w:pBdr>
                <w:top w:val="nil"/>
                <w:left w:val="nil"/>
                <w:bottom w:val="nil"/>
                <w:right w:val="nil"/>
                <w:between w:val="nil"/>
              </w:pBdr>
              <w:spacing w:before="75" w:after="75"/>
              <w:jc w:val="both"/>
              <w:rPr>
                <w:b/>
              </w:rPr>
            </w:pPr>
            <w:r w:rsidRPr="006822FF">
              <w:rPr>
                <w:b/>
              </w:rPr>
              <w:lastRenderedPageBreak/>
              <w:t>Likumprojekta anotācija ir precizēta.</w:t>
            </w:r>
          </w:p>
        </w:tc>
      </w:tr>
      <w:tr w:rsidR="003F6436" w14:paraId="5EDD658E" w14:textId="77777777" w:rsidTr="00090F15">
        <w:tc>
          <w:tcPr>
            <w:tcW w:w="707" w:type="dxa"/>
            <w:tcBorders>
              <w:top w:val="single" w:sz="4" w:space="0" w:color="auto"/>
              <w:left w:val="single" w:sz="6" w:space="0" w:color="000000"/>
              <w:bottom w:val="single" w:sz="4" w:space="0" w:color="auto"/>
              <w:right w:val="single" w:sz="6" w:space="0" w:color="000000"/>
            </w:tcBorders>
          </w:tcPr>
          <w:p w14:paraId="5A0BE57E" w14:textId="35070DF0" w:rsidR="003F6436" w:rsidRPr="003F6436" w:rsidRDefault="003F6436" w:rsidP="00E462A6">
            <w:pPr>
              <w:pBdr>
                <w:top w:val="nil"/>
                <w:left w:val="nil"/>
                <w:bottom w:val="nil"/>
                <w:right w:val="nil"/>
                <w:between w:val="nil"/>
              </w:pBdr>
              <w:ind w:firstLine="720"/>
              <w:rPr>
                <w:b/>
              </w:rPr>
            </w:pPr>
            <w:r w:rsidRPr="003F6436">
              <w:rPr>
                <w:b/>
              </w:rPr>
              <w:lastRenderedPageBreak/>
              <w:t>8</w:t>
            </w:r>
            <w:r w:rsidR="008B621E">
              <w:rPr>
                <w:b/>
              </w:rPr>
              <w:t>7</w:t>
            </w:r>
            <w:r w:rsidRPr="003F6436">
              <w:rPr>
                <w:b/>
              </w:rPr>
              <w:t>.</w:t>
            </w:r>
          </w:p>
        </w:tc>
        <w:tc>
          <w:tcPr>
            <w:tcW w:w="3721" w:type="dxa"/>
            <w:tcBorders>
              <w:top w:val="single" w:sz="4" w:space="0" w:color="auto"/>
              <w:left w:val="single" w:sz="6" w:space="0" w:color="000000"/>
              <w:bottom w:val="single" w:sz="4" w:space="0" w:color="auto"/>
              <w:right w:val="single" w:sz="6" w:space="0" w:color="000000"/>
            </w:tcBorders>
          </w:tcPr>
          <w:p w14:paraId="3502DE58" w14:textId="77777777" w:rsidR="008B621E" w:rsidRPr="00680337" w:rsidRDefault="008B621E" w:rsidP="008B621E">
            <w:pPr>
              <w:pBdr>
                <w:top w:val="nil"/>
                <w:left w:val="nil"/>
                <w:bottom w:val="nil"/>
                <w:right w:val="nil"/>
                <w:between w:val="nil"/>
              </w:pBdr>
              <w:spacing w:before="75" w:after="75"/>
              <w:jc w:val="both"/>
              <w:rPr>
                <w:b/>
                <w:bCs/>
              </w:rPr>
            </w:pPr>
            <w:r w:rsidRPr="00680337">
              <w:rPr>
                <w:b/>
                <w:bCs/>
              </w:rPr>
              <w:t>2. 5. pantā:</w:t>
            </w:r>
          </w:p>
          <w:p w14:paraId="4A18AD7C" w14:textId="77777777" w:rsidR="008B621E" w:rsidRPr="00090F15" w:rsidRDefault="008B621E" w:rsidP="008B621E">
            <w:pPr>
              <w:pBdr>
                <w:top w:val="nil"/>
                <w:left w:val="nil"/>
                <w:bottom w:val="nil"/>
                <w:right w:val="nil"/>
                <w:between w:val="nil"/>
              </w:pBdr>
              <w:spacing w:before="75" w:after="75"/>
              <w:jc w:val="both"/>
              <w:rPr>
                <w:bCs/>
              </w:rPr>
            </w:pPr>
            <w:r w:rsidRPr="00090F15">
              <w:rPr>
                <w:bCs/>
              </w:rPr>
              <w:t>izteikt trešo daļu šādā redakcijā:</w:t>
            </w:r>
          </w:p>
          <w:p w14:paraId="426BA405" w14:textId="30FBD19D" w:rsidR="003F6436" w:rsidRDefault="008B621E">
            <w:pPr>
              <w:pBdr>
                <w:top w:val="nil"/>
                <w:left w:val="nil"/>
                <w:bottom w:val="nil"/>
                <w:right w:val="nil"/>
                <w:between w:val="nil"/>
              </w:pBdr>
              <w:spacing w:before="75" w:after="75"/>
              <w:jc w:val="both"/>
            </w:pPr>
            <w:r w:rsidRPr="00090F15">
              <w:t>“(3)</w:t>
            </w:r>
            <w:r>
              <w:t xml:space="preserve"> </w:t>
            </w:r>
            <w:r w:rsidR="003F6436" w:rsidRPr="00570595">
              <w:t>Šā panta otrajā daļā minētās speciālās atļaujas (licences) izsniegšanas, pārreģistrācijas, anulēšanas, darbības apturēšanas kārtību un maksājamās valsts nodevas apmēru nosaka Ministru kabinets</w:t>
            </w:r>
            <w:r w:rsidRPr="008B621E">
              <w:t>.”;</w:t>
            </w:r>
          </w:p>
          <w:p w14:paraId="156FF9F4" w14:textId="3F6A5EBB" w:rsidR="008B621E" w:rsidRPr="003F6436" w:rsidRDefault="008B621E">
            <w:pPr>
              <w:pBdr>
                <w:top w:val="nil"/>
                <w:left w:val="nil"/>
                <w:bottom w:val="nil"/>
                <w:right w:val="nil"/>
                <w:between w:val="nil"/>
              </w:pBdr>
              <w:spacing w:before="75" w:after="75"/>
              <w:jc w:val="both"/>
              <w:rPr>
                <w:b/>
              </w:rPr>
            </w:pPr>
            <w:r>
              <w:t>...</w:t>
            </w:r>
          </w:p>
        </w:tc>
        <w:tc>
          <w:tcPr>
            <w:tcW w:w="4590" w:type="dxa"/>
            <w:tcBorders>
              <w:top w:val="single" w:sz="4" w:space="0" w:color="auto"/>
              <w:left w:val="single" w:sz="6" w:space="0" w:color="000000"/>
              <w:bottom w:val="single" w:sz="4" w:space="0" w:color="auto"/>
              <w:right w:val="single" w:sz="6" w:space="0" w:color="000000"/>
            </w:tcBorders>
          </w:tcPr>
          <w:p w14:paraId="229FFF94" w14:textId="3AF9DA00" w:rsidR="003F6436" w:rsidRPr="003F6436" w:rsidRDefault="003F6436" w:rsidP="004A383A">
            <w:pPr>
              <w:pBdr>
                <w:top w:val="nil"/>
                <w:left w:val="nil"/>
                <w:bottom w:val="nil"/>
                <w:right w:val="nil"/>
                <w:between w:val="nil"/>
              </w:pBdr>
              <w:spacing w:before="75" w:after="75"/>
              <w:ind w:hanging="14"/>
              <w:jc w:val="center"/>
              <w:rPr>
                <w:b/>
              </w:rPr>
            </w:pPr>
            <w:r w:rsidRPr="003F6436">
              <w:rPr>
                <w:b/>
              </w:rPr>
              <w:t>Tieslietu ministrijas iebildums</w:t>
            </w:r>
            <w:r w:rsidR="00543F6C">
              <w:rPr>
                <w:b/>
              </w:rPr>
              <w:t xml:space="preserve"> (12.09.2019.)</w:t>
            </w:r>
          </w:p>
          <w:p w14:paraId="03D4BDB1" w14:textId="6CE95550" w:rsidR="003F6436" w:rsidRPr="003F6436" w:rsidRDefault="003F6436" w:rsidP="00AF3513">
            <w:pPr>
              <w:pBdr>
                <w:top w:val="nil"/>
                <w:left w:val="nil"/>
                <w:bottom w:val="nil"/>
                <w:right w:val="nil"/>
                <w:between w:val="nil"/>
              </w:pBdr>
              <w:spacing w:before="75" w:after="75"/>
              <w:ind w:hanging="14"/>
              <w:jc w:val="both"/>
            </w:pPr>
            <w:r w:rsidRPr="002031EA">
              <w:t>Nav viennozīmīgi skaidrs pilnvarojums Ministru kabinetam, kas ietverts likumprojekta 2. pantā izteiktajā likuma 5. panta trešajā daļā, jo nav norādīts, par ko maksājama valsts nodeva. Ievērojot minēto, lūdzam precizēt likumprojektu.</w:t>
            </w:r>
          </w:p>
        </w:tc>
        <w:tc>
          <w:tcPr>
            <w:tcW w:w="2250" w:type="dxa"/>
            <w:tcBorders>
              <w:top w:val="single" w:sz="4" w:space="0" w:color="auto"/>
              <w:left w:val="single" w:sz="6" w:space="0" w:color="000000"/>
              <w:bottom w:val="single" w:sz="4" w:space="0" w:color="auto"/>
              <w:right w:val="single" w:sz="6" w:space="0" w:color="000000"/>
            </w:tcBorders>
          </w:tcPr>
          <w:p w14:paraId="7E902209" w14:textId="77777777" w:rsidR="003F6436" w:rsidRPr="003F6436" w:rsidRDefault="003F6436" w:rsidP="004A383A">
            <w:pPr>
              <w:pBdr>
                <w:top w:val="nil"/>
                <w:left w:val="nil"/>
                <w:bottom w:val="nil"/>
                <w:right w:val="nil"/>
                <w:between w:val="nil"/>
              </w:pBdr>
              <w:jc w:val="center"/>
              <w:rPr>
                <w:b/>
              </w:rPr>
            </w:pPr>
            <w:r w:rsidRPr="003F6436">
              <w:rPr>
                <w:b/>
              </w:rPr>
              <w:t>Ņemts vērā</w:t>
            </w:r>
          </w:p>
          <w:p w14:paraId="137DDDAF" w14:textId="77777777" w:rsidR="003F6436" w:rsidRPr="003F6436" w:rsidRDefault="003F6436" w:rsidP="00543B6E">
            <w:pPr>
              <w:pBdr>
                <w:top w:val="nil"/>
                <w:left w:val="nil"/>
                <w:bottom w:val="nil"/>
                <w:right w:val="nil"/>
                <w:between w:val="nil"/>
              </w:pBdr>
              <w:jc w:val="center"/>
              <w:rPr>
                <w:b/>
              </w:rPr>
            </w:pPr>
          </w:p>
        </w:tc>
        <w:tc>
          <w:tcPr>
            <w:tcW w:w="3723" w:type="dxa"/>
            <w:tcBorders>
              <w:top w:val="single" w:sz="4" w:space="0" w:color="000000"/>
              <w:left w:val="single" w:sz="4" w:space="0" w:color="000000"/>
              <w:bottom w:val="single" w:sz="4" w:space="0" w:color="000000"/>
            </w:tcBorders>
          </w:tcPr>
          <w:p w14:paraId="7E83D6B2" w14:textId="77777777" w:rsidR="008B621E" w:rsidRPr="00090F15" w:rsidRDefault="008B621E" w:rsidP="008B621E">
            <w:pPr>
              <w:pBdr>
                <w:top w:val="nil"/>
                <w:left w:val="nil"/>
                <w:bottom w:val="nil"/>
                <w:right w:val="nil"/>
                <w:between w:val="nil"/>
              </w:pBdr>
              <w:spacing w:before="75" w:after="75"/>
              <w:jc w:val="both"/>
              <w:rPr>
                <w:b/>
                <w:bCs/>
              </w:rPr>
            </w:pPr>
            <w:r w:rsidRPr="00090F15">
              <w:rPr>
                <w:b/>
                <w:bCs/>
              </w:rPr>
              <w:t>2. 5. pantā:</w:t>
            </w:r>
          </w:p>
          <w:p w14:paraId="23CCB321" w14:textId="77777777" w:rsidR="005D0737" w:rsidRPr="005D0737" w:rsidRDefault="005D0737" w:rsidP="005D0737">
            <w:pPr>
              <w:pBdr>
                <w:top w:val="nil"/>
                <w:left w:val="nil"/>
                <w:bottom w:val="nil"/>
                <w:right w:val="nil"/>
                <w:between w:val="nil"/>
              </w:pBdr>
              <w:spacing w:before="75" w:after="75"/>
              <w:jc w:val="both"/>
              <w:rPr>
                <w:bCs/>
              </w:rPr>
            </w:pPr>
            <w:r w:rsidRPr="005D0737">
              <w:rPr>
                <w:bCs/>
              </w:rPr>
              <w:t>izteikt trešo, ceturto un 4.</w:t>
            </w:r>
            <w:r w:rsidRPr="005D0737">
              <w:rPr>
                <w:bCs/>
                <w:vertAlign w:val="superscript"/>
              </w:rPr>
              <w:t>1</w:t>
            </w:r>
            <w:r w:rsidRPr="005D0737">
              <w:rPr>
                <w:bCs/>
              </w:rPr>
              <w:t xml:space="preserve"> daļu šādā redakcijā:</w:t>
            </w:r>
          </w:p>
          <w:p w14:paraId="7E26817F" w14:textId="7A32C2D9" w:rsidR="003F6436" w:rsidRDefault="005D0737" w:rsidP="00FD0C32">
            <w:pPr>
              <w:pBdr>
                <w:top w:val="nil"/>
                <w:left w:val="nil"/>
                <w:bottom w:val="nil"/>
                <w:right w:val="nil"/>
                <w:between w:val="nil"/>
              </w:pBdr>
              <w:spacing w:before="75" w:after="75"/>
              <w:jc w:val="both"/>
            </w:pPr>
            <w:r w:rsidRPr="005D0737" w:rsidDel="005D0737">
              <w:rPr>
                <w:bCs/>
              </w:rPr>
              <w:t xml:space="preserve"> </w:t>
            </w:r>
            <w:r w:rsidR="008B621E" w:rsidRPr="00854975">
              <w:t>“(3)</w:t>
            </w:r>
            <w:r w:rsidR="008B621E">
              <w:t xml:space="preserve"> </w:t>
            </w:r>
            <w:r w:rsidR="003F6436" w:rsidRPr="00570595">
              <w:t xml:space="preserve">Šā panta otrajā daļā minētās speciālās atļaujas (licences) izsniegšanas, pārreģistrācijas, anulēšanas, darbības apturēšanas kārtību </w:t>
            </w:r>
            <w:r w:rsidR="003F6436" w:rsidRPr="00570595">
              <w:rPr>
                <w:u w:val="single"/>
              </w:rPr>
              <w:t>un maksājamās valsts nodevas apmēru speciālās atļaujas (licences) izsniegšanai</w:t>
            </w:r>
            <w:r w:rsidR="003F6436" w:rsidRPr="00570595">
              <w:t xml:space="preserve"> nosaka Ministru kabinets</w:t>
            </w:r>
            <w:r w:rsidR="003F6436">
              <w:t>.</w:t>
            </w:r>
          </w:p>
          <w:p w14:paraId="2642E15F" w14:textId="77CF9FD1" w:rsidR="003F6436" w:rsidRDefault="008B621E" w:rsidP="00FD0C32">
            <w:pPr>
              <w:pBdr>
                <w:top w:val="nil"/>
                <w:left w:val="nil"/>
                <w:bottom w:val="nil"/>
                <w:right w:val="nil"/>
                <w:between w:val="nil"/>
              </w:pBdr>
              <w:spacing w:before="75" w:after="75"/>
              <w:jc w:val="both"/>
            </w:pPr>
            <w:r>
              <w:t>...</w:t>
            </w:r>
            <w:r w:rsidR="005D0737">
              <w:t>”</w:t>
            </w:r>
          </w:p>
          <w:p w14:paraId="5EAE46C2" w14:textId="6ECCB347" w:rsidR="003F6436" w:rsidRPr="003F6436" w:rsidRDefault="003F6436" w:rsidP="00086BC8">
            <w:pPr>
              <w:pBdr>
                <w:top w:val="nil"/>
                <w:left w:val="nil"/>
                <w:bottom w:val="nil"/>
                <w:right w:val="nil"/>
                <w:between w:val="nil"/>
              </w:pBdr>
              <w:spacing w:before="75" w:after="75"/>
              <w:jc w:val="both"/>
            </w:pPr>
            <w:r w:rsidRPr="006822FF">
              <w:rPr>
                <w:b/>
              </w:rPr>
              <w:t>Likumprojekta anotācija ir precizēta.</w:t>
            </w:r>
          </w:p>
        </w:tc>
      </w:tr>
      <w:tr w:rsidR="002A0E0D" w14:paraId="42B05D95" w14:textId="77777777" w:rsidTr="00090F15">
        <w:tc>
          <w:tcPr>
            <w:tcW w:w="707" w:type="dxa"/>
            <w:tcBorders>
              <w:top w:val="single" w:sz="4" w:space="0" w:color="auto"/>
              <w:left w:val="single" w:sz="6" w:space="0" w:color="000000"/>
              <w:bottom w:val="single" w:sz="4" w:space="0" w:color="auto"/>
              <w:right w:val="single" w:sz="6" w:space="0" w:color="000000"/>
            </w:tcBorders>
          </w:tcPr>
          <w:p w14:paraId="79D5D713" w14:textId="4BC92FFF" w:rsidR="002A0E0D" w:rsidRPr="00217A15" w:rsidRDefault="002A0E0D" w:rsidP="002A0E0D">
            <w:pPr>
              <w:pBdr>
                <w:top w:val="nil"/>
                <w:left w:val="nil"/>
                <w:bottom w:val="nil"/>
                <w:right w:val="nil"/>
                <w:between w:val="nil"/>
              </w:pBdr>
              <w:ind w:firstLine="720"/>
              <w:rPr>
                <w:b/>
              </w:rPr>
            </w:pPr>
            <w:r w:rsidRPr="00217A15">
              <w:rPr>
                <w:b/>
              </w:rPr>
              <w:t>8</w:t>
            </w:r>
            <w:r w:rsidR="008B621E">
              <w:rPr>
                <w:b/>
              </w:rPr>
              <w:t>8</w:t>
            </w:r>
            <w:r w:rsidRPr="00217A15">
              <w:rPr>
                <w:b/>
              </w:rPr>
              <w:t>.</w:t>
            </w:r>
          </w:p>
        </w:tc>
        <w:tc>
          <w:tcPr>
            <w:tcW w:w="3721" w:type="dxa"/>
            <w:tcBorders>
              <w:top w:val="single" w:sz="4" w:space="0" w:color="auto"/>
              <w:left w:val="single" w:sz="6" w:space="0" w:color="000000"/>
              <w:bottom w:val="single" w:sz="4" w:space="0" w:color="auto"/>
              <w:right w:val="single" w:sz="6" w:space="0" w:color="000000"/>
            </w:tcBorders>
          </w:tcPr>
          <w:p w14:paraId="1BA8DAC8" w14:textId="338CD8C3" w:rsidR="002A0E0D" w:rsidRPr="00217A15" w:rsidRDefault="00E41AAC" w:rsidP="00FD0C32">
            <w:pPr>
              <w:pBdr>
                <w:top w:val="nil"/>
                <w:left w:val="nil"/>
                <w:bottom w:val="nil"/>
                <w:right w:val="nil"/>
                <w:between w:val="nil"/>
              </w:pBdr>
              <w:spacing w:before="75" w:after="75"/>
              <w:jc w:val="both"/>
              <w:rPr>
                <w:b/>
              </w:rPr>
            </w:pPr>
            <w:r w:rsidRPr="00217A15">
              <w:rPr>
                <w:b/>
              </w:rPr>
              <w:t>Likumprojekta anotācija</w:t>
            </w:r>
          </w:p>
        </w:tc>
        <w:tc>
          <w:tcPr>
            <w:tcW w:w="4590" w:type="dxa"/>
            <w:tcBorders>
              <w:top w:val="single" w:sz="4" w:space="0" w:color="auto"/>
              <w:left w:val="single" w:sz="6" w:space="0" w:color="000000"/>
              <w:bottom w:val="single" w:sz="4" w:space="0" w:color="auto"/>
              <w:right w:val="single" w:sz="6" w:space="0" w:color="000000"/>
            </w:tcBorders>
          </w:tcPr>
          <w:p w14:paraId="37DDED45" w14:textId="3F2C5FCC" w:rsidR="002A0E0D" w:rsidRPr="00217A15" w:rsidRDefault="00217A15" w:rsidP="00FD0C32">
            <w:pPr>
              <w:pBdr>
                <w:top w:val="nil"/>
                <w:left w:val="nil"/>
                <w:bottom w:val="nil"/>
                <w:right w:val="nil"/>
                <w:between w:val="nil"/>
              </w:pBdr>
              <w:spacing w:before="75" w:after="75"/>
              <w:ind w:hanging="14"/>
              <w:jc w:val="center"/>
              <w:rPr>
                <w:b/>
              </w:rPr>
            </w:pPr>
            <w:r>
              <w:rPr>
                <w:b/>
              </w:rPr>
              <w:t>Iekšlietu</w:t>
            </w:r>
            <w:r w:rsidR="002A0E0D" w:rsidRPr="00217A15">
              <w:rPr>
                <w:b/>
              </w:rPr>
              <w:t xml:space="preserve"> ministrijas iebildums</w:t>
            </w:r>
            <w:r w:rsidR="00543F6C">
              <w:rPr>
                <w:b/>
              </w:rPr>
              <w:t xml:space="preserve"> (12.09.2019.)</w:t>
            </w:r>
          </w:p>
          <w:p w14:paraId="57E435E6" w14:textId="3CB105B6" w:rsidR="002A0E0D" w:rsidRPr="00217A15" w:rsidRDefault="00217A15" w:rsidP="00E41AAC">
            <w:pPr>
              <w:pBdr>
                <w:top w:val="nil"/>
                <w:left w:val="nil"/>
                <w:bottom w:val="nil"/>
                <w:right w:val="nil"/>
                <w:between w:val="nil"/>
              </w:pBdr>
              <w:spacing w:before="75" w:after="75"/>
              <w:ind w:hanging="14"/>
              <w:jc w:val="both"/>
            </w:pPr>
            <w:r w:rsidRPr="00570595">
              <w:lastRenderedPageBreak/>
              <w:t xml:space="preserve">Likumprojekta anotācijā ir minēts, ka Likumā ir veikti redakcionāli labojumi, lai Likuma 5. panta ceturtajā daļā noteiktu prasības Aizsardzības </w:t>
            </w:r>
            <w:r w:rsidRPr="00570595">
              <w:rPr>
                <w:bCs/>
              </w:rPr>
              <w:t xml:space="preserve">ministrijas izsniegtās speciālās atļaujas (licences) komercdarbībai ar Eiropas Savienības Kopējā militāro preču sarakstā minēto </w:t>
            </w:r>
            <w:r w:rsidRPr="00570595">
              <w:rPr>
                <w:bCs/>
                <w:u w:val="single"/>
              </w:rPr>
              <w:t>preču saņemšanai</w:t>
            </w:r>
            <w:r w:rsidRPr="00570595">
              <w:rPr>
                <w:bCs/>
              </w:rPr>
              <w:t xml:space="preserve"> tikai fiziskajām personām un </w:t>
            </w:r>
            <w:r w:rsidRPr="00570595">
              <w:t xml:space="preserve">5. panta sestajā daļā – tikai </w:t>
            </w:r>
            <w:r w:rsidRPr="00570595">
              <w:rPr>
                <w:bCs/>
              </w:rPr>
              <w:t xml:space="preserve">juridiskajām personām. Vēršam uzmanību, ka </w:t>
            </w:r>
            <w:r w:rsidRPr="00570595">
              <w:t xml:space="preserve">Likuma 5.panta sestā daļa atruna Aizsardzības ministrijas </w:t>
            </w:r>
            <w:r w:rsidRPr="00570595">
              <w:rPr>
                <w:u w:val="single"/>
              </w:rPr>
              <w:t xml:space="preserve">tiesības neizsniegt </w:t>
            </w:r>
            <w:r w:rsidRPr="00570595">
              <w:rPr>
                <w:u w:val="single"/>
                <w:shd w:val="clear" w:color="auto" w:fill="FFFFFF"/>
              </w:rPr>
              <w:t>speciālo atļauju (licenci</w:t>
            </w:r>
            <w:r w:rsidRPr="00570595">
              <w:rPr>
                <w:shd w:val="clear" w:color="auto" w:fill="FFFFFF"/>
              </w:rPr>
              <w:t xml:space="preserve">), atteikt tās pārreģistrāciju, apturēt tās darbību uz laiku līdz diviem mēnešiem vai anulēt to pie noteiktiem nosacījumiem. Savukārt </w:t>
            </w:r>
            <w:r w:rsidRPr="00570595">
              <w:t xml:space="preserve">Likuma 5. panta ceturtā daļa nosaka prasības, kurām jāatbilst, </w:t>
            </w:r>
            <w:r w:rsidRPr="00570595">
              <w:rPr>
                <w:u w:val="single"/>
              </w:rPr>
              <w:t xml:space="preserve">lai saņemtu </w:t>
            </w:r>
            <w:r w:rsidRPr="00570595">
              <w:rPr>
                <w:u w:val="single"/>
                <w:shd w:val="clear" w:color="auto" w:fill="FFFFFF"/>
              </w:rPr>
              <w:t>speciālo atļauju (licenci)</w:t>
            </w:r>
            <w:r w:rsidRPr="00570595">
              <w:rPr>
                <w:shd w:val="clear" w:color="auto" w:fill="FFFFFF"/>
              </w:rPr>
              <w:t xml:space="preserve"> komercdarbībai ar Eiropas Savienības Kopējā militāro preču sarakstā minētajām precēm. Ņemot vērā minēto, lūdzam precizēt likumprojektu un tā anotāciju.</w:t>
            </w:r>
          </w:p>
        </w:tc>
        <w:tc>
          <w:tcPr>
            <w:tcW w:w="2250" w:type="dxa"/>
            <w:tcBorders>
              <w:top w:val="single" w:sz="4" w:space="0" w:color="auto"/>
              <w:left w:val="single" w:sz="6" w:space="0" w:color="000000"/>
              <w:bottom w:val="single" w:sz="4" w:space="0" w:color="auto"/>
              <w:right w:val="single" w:sz="6" w:space="0" w:color="000000"/>
            </w:tcBorders>
          </w:tcPr>
          <w:p w14:paraId="68F49D7B" w14:textId="77777777" w:rsidR="002A0E0D" w:rsidRPr="00217A15" w:rsidRDefault="002A0E0D" w:rsidP="00FD0C32">
            <w:pPr>
              <w:pBdr>
                <w:top w:val="nil"/>
                <w:left w:val="nil"/>
                <w:bottom w:val="nil"/>
                <w:right w:val="nil"/>
                <w:between w:val="nil"/>
              </w:pBdr>
              <w:jc w:val="center"/>
              <w:rPr>
                <w:b/>
              </w:rPr>
            </w:pPr>
            <w:r w:rsidRPr="00217A15">
              <w:rPr>
                <w:b/>
              </w:rPr>
              <w:lastRenderedPageBreak/>
              <w:t>Ņemts vērā</w:t>
            </w:r>
          </w:p>
          <w:p w14:paraId="0B4A6B3A" w14:textId="77777777" w:rsidR="002A0E0D" w:rsidRPr="00217A15" w:rsidRDefault="002A0E0D" w:rsidP="00FD0C32">
            <w:pPr>
              <w:pBdr>
                <w:top w:val="nil"/>
                <w:left w:val="nil"/>
                <w:bottom w:val="nil"/>
                <w:right w:val="nil"/>
                <w:between w:val="nil"/>
              </w:pBdr>
              <w:jc w:val="center"/>
              <w:rPr>
                <w:b/>
              </w:rPr>
            </w:pPr>
          </w:p>
        </w:tc>
        <w:tc>
          <w:tcPr>
            <w:tcW w:w="3723" w:type="dxa"/>
            <w:tcBorders>
              <w:top w:val="single" w:sz="4" w:space="0" w:color="000000"/>
              <w:left w:val="single" w:sz="4" w:space="0" w:color="000000"/>
              <w:bottom w:val="single" w:sz="4" w:space="0" w:color="000000"/>
            </w:tcBorders>
          </w:tcPr>
          <w:p w14:paraId="410046FE" w14:textId="2934EABC" w:rsidR="002A0E0D" w:rsidRPr="00217A15" w:rsidRDefault="00E41AAC" w:rsidP="00FD0C32">
            <w:pPr>
              <w:pBdr>
                <w:top w:val="nil"/>
                <w:left w:val="nil"/>
                <w:bottom w:val="nil"/>
                <w:right w:val="nil"/>
                <w:between w:val="nil"/>
              </w:pBdr>
              <w:spacing w:before="75" w:after="75"/>
              <w:jc w:val="both"/>
              <w:rPr>
                <w:b/>
              </w:rPr>
            </w:pPr>
            <w:r w:rsidRPr="00217A15">
              <w:t>Likumprojekta anotācija ir precizēta.</w:t>
            </w:r>
          </w:p>
        </w:tc>
      </w:tr>
      <w:tr w:rsidR="001D504D" w14:paraId="33BF7430" w14:textId="77777777" w:rsidTr="00090F15">
        <w:tc>
          <w:tcPr>
            <w:tcW w:w="707" w:type="dxa"/>
            <w:tcBorders>
              <w:top w:val="single" w:sz="4" w:space="0" w:color="auto"/>
              <w:left w:val="single" w:sz="6" w:space="0" w:color="000000"/>
              <w:bottom w:val="single" w:sz="4" w:space="0" w:color="auto"/>
              <w:right w:val="single" w:sz="6" w:space="0" w:color="000000"/>
            </w:tcBorders>
          </w:tcPr>
          <w:p w14:paraId="0302F8C5" w14:textId="00431B3D" w:rsidR="001D504D" w:rsidRPr="00217A15" w:rsidRDefault="00FB13CE" w:rsidP="00680337">
            <w:pPr>
              <w:pBdr>
                <w:top w:val="nil"/>
                <w:left w:val="nil"/>
                <w:bottom w:val="nil"/>
                <w:right w:val="nil"/>
                <w:between w:val="nil"/>
              </w:pBdr>
              <w:ind w:firstLine="720"/>
              <w:rPr>
                <w:b/>
              </w:rPr>
            </w:pPr>
            <w:r w:rsidRPr="00217A15">
              <w:rPr>
                <w:b/>
              </w:rPr>
              <w:t>8</w:t>
            </w:r>
            <w:r>
              <w:rPr>
                <w:b/>
              </w:rPr>
              <w:t>9</w:t>
            </w:r>
            <w:r w:rsidR="001D504D" w:rsidRPr="00217A15">
              <w:rPr>
                <w:b/>
              </w:rPr>
              <w:t>.</w:t>
            </w:r>
          </w:p>
        </w:tc>
        <w:tc>
          <w:tcPr>
            <w:tcW w:w="3721" w:type="dxa"/>
            <w:tcBorders>
              <w:top w:val="single" w:sz="4" w:space="0" w:color="auto"/>
              <w:left w:val="single" w:sz="6" w:space="0" w:color="000000"/>
              <w:bottom w:val="single" w:sz="4" w:space="0" w:color="auto"/>
              <w:right w:val="single" w:sz="6" w:space="0" w:color="000000"/>
            </w:tcBorders>
          </w:tcPr>
          <w:p w14:paraId="240E56AA" w14:textId="3EA86FC7" w:rsidR="001D504D" w:rsidRPr="00217A15" w:rsidRDefault="001D504D" w:rsidP="00FD0C32">
            <w:pPr>
              <w:pBdr>
                <w:top w:val="nil"/>
                <w:left w:val="nil"/>
                <w:bottom w:val="nil"/>
                <w:right w:val="nil"/>
                <w:between w:val="nil"/>
              </w:pBdr>
              <w:spacing w:before="75" w:after="75"/>
              <w:jc w:val="both"/>
              <w:rPr>
                <w:b/>
              </w:rPr>
            </w:pPr>
            <w:r w:rsidRPr="00217A15">
              <w:rPr>
                <w:b/>
              </w:rPr>
              <w:t>Likumprojekta anotācija</w:t>
            </w:r>
          </w:p>
        </w:tc>
        <w:tc>
          <w:tcPr>
            <w:tcW w:w="4590" w:type="dxa"/>
            <w:tcBorders>
              <w:top w:val="single" w:sz="4" w:space="0" w:color="auto"/>
              <w:left w:val="single" w:sz="6" w:space="0" w:color="000000"/>
              <w:bottom w:val="single" w:sz="4" w:space="0" w:color="auto"/>
              <w:right w:val="single" w:sz="6" w:space="0" w:color="000000"/>
            </w:tcBorders>
          </w:tcPr>
          <w:p w14:paraId="551F7AF8" w14:textId="2973AAB5" w:rsidR="001D504D" w:rsidRPr="00217A15" w:rsidRDefault="00217A15" w:rsidP="00FD0C32">
            <w:pPr>
              <w:pBdr>
                <w:top w:val="nil"/>
                <w:left w:val="nil"/>
                <w:bottom w:val="nil"/>
                <w:right w:val="nil"/>
                <w:between w:val="nil"/>
              </w:pBdr>
              <w:spacing w:before="75" w:after="75"/>
              <w:ind w:hanging="14"/>
              <w:jc w:val="center"/>
              <w:rPr>
                <w:b/>
              </w:rPr>
            </w:pPr>
            <w:r>
              <w:rPr>
                <w:b/>
              </w:rPr>
              <w:t>Iekšlietu</w:t>
            </w:r>
            <w:r w:rsidR="001D504D" w:rsidRPr="00217A15">
              <w:rPr>
                <w:b/>
              </w:rPr>
              <w:t xml:space="preserve"> ministrijas iebildums</w:t>
            </w:r>
            <w:r w:rsidR="00543F6C">
              <w:rPr>
                <w:b/>
              </w:rPr>
              <w:t xml:space="preserve"> (12.09.2019.)</w:t>
            </w:r>
          </w:p>
          <w:p w14:paraId="33BD6A50" w14:textId="7D5376AC" w:rsidR="001D504D" w:rsidRPr="00217A15" w:rsidRDefault="00FA338F" w:rsidP="001D504D">
            <w:pPr>
              <w:pBdr>
                <w:top w:val="nil"/>
                <w:left w:val="nil"/>
                <w:bottom w:val="nil"/>
                <w:right w:val="nil"/>
                <w:between w:val="nil"/>
              </w:pBdr>
              <w:spacing w:before="75" w:after="75"/>
              <w:ind w:hanging="14"/>
              <w:jc w:val="both"/>
            </w:pPr>
            <w:r w:rsidRPr="00570595">
              <w:t xml:space="preserve">Likumprojekta 2. pantā ietvertā Likuma 5. panta ceturtās daļas 1.punkts nosaka, ka speciālo atļauju (licenci) komercdarbībai ar </w:t>
            </w:r>
            <w:r w:rsidRPr="00570595">
              <w:rPr>
                <w:bCs/>
              </w:rPr>
              <w:t xml:space="preserve">Eiropas Savienības Kopējā militāro preču sarakstā minētajām precēm ir tiesīgu saņemt trešo valstu pilsoņi, ja ir saņemta Ministru kabineta atļauja. Lūdzam likumprojekta anotācijā sniegt skaidrojumu šādas atļaujas </w:t>
            </w:r>
            <w:r w:rsidRPr="00570595">
              <w:rPr>
                <w:bCs/>
              </w:rPr>
              <w:lastRenderedPageBreak/>
              <w:t>saņemšanas procedūrai.</w:t>
            </w:r>
          </w:p>
        </w:tc>
        <w:tc>
          <w:tcPr>
            <w:tcW w:w="2250" w:type="dxa"/>
            <w:tcBorders>
              <w:top w:val="single" w:sz="4" w:space="0" w:color="auto"/>
              <w:left w:val="single" w:sz="6" w:space="0" w:color="000000"/>
              <w:bottom w:val="single" w:sz="4" w:space="0" w:color="auto"/>
              <w:right w:val="single" w:sz="6" w:space="0" w:color="000000"/>
            </w:tcBorders>
          </w:tcPr>
          <w:p w14:paraId="04A46053" w14:textId="77777777" w:rsidR="001D504D" w:rsidRPr="00217A15" w:rsidRDefault="001D504D" w:rsidP="00FD0C32">
            <w:pPr>
              <w:pBdr>
                <w:top w:val="nil"/>
                <w:left w:val="nil"/>
                <w:bottom w:val="nil"/>
                <w:right w:val="nil"/>
                <w:between w:val="nil"/>
              </w:pBdr>
              <w:jc w:val="center"/>
              <w:rPr>
                <w:b/>
              </w:rPr>
            </w:pPr>
            <w:r w:rsidRPr="00217A15">
              <w:rPr>
                <w:b/>
              </w:rPr>
              <w:lastRenderedPageBreak/>
              <w:t>Ņemts vērā</w:t>
            </w:r>
          </w:p>
          <w:p w14:paraId="310FFACA" w14:textId="77777777" w:rsidR="001D504D" w:rsidRPr="00217A15" w:rsidRDefault="001D504D" w:rsidP="00FD0C32">
            <w:pPr>
              <w:pBdr>
                <w:top w:val="nil"/>
                <w:left w:val="nil"/>
                <w:bottom w:val="nil"/>
                <w:right w:val="nil"/>
                <w:between w:val="nil"/>
              </w:pBdr>
              <w:jc w:val="center"/>
              <w:rPr>
                <w:b/>
              </w:rPr>
            </w:pPr>
          </w:p>
        </w:tc>
        <w:tc>
          <w:tcPr>
            <w:tcW w:w="3723" w:type="dxa"/>
            <w:tcBorders>
              <w:top w:val="single" w:sz="4" w:space="0" w:color="000000"/>
              <w:left w:val="single" w:sz="4" w:space="0" w:color="000000"/>
              <w:bottom w:val="single" w:sz="4" w:space="0" w:color="000000"/>
            </w:tcBorders>
          </w:tcPr>
          <w:p w14:paraId="4D14D86C" w14:textId="1750BE02" w:rsidR="001D504D" w:rsidRPr="00217A15" w:rsidRDefault="001D504D" w:rsidP="00FD0C32">
            <w:pPr>
              <w:pBdr>
                <w:top w:val="nil"/>
                <w:left w:val="nil"/>
                <w:bottom w:val="nil"/>
                <w:right w:val="nil"/>
                <w:between w:val="nil"/>
              </w:pBdr>
              <w:spacing w:before="75" w:after="75"/>
              <w:jc w:val="both"/>
              <w:rPr>
                <w:b/>
              </w:rPr>
            </w:pPr>
            <w:r w:rsidRPr="00217A15">
              <w:t>Likumprojekta anotācija ir precizēta.</w:t>
            </w:r>
          </w:p>
        </w:tc>
      </w:tr>
      <w:tr w:rsidR="001D504D" w14:paraId="392067EE" w14:textId="77777777" w:rsidTr="00090F15">
        <w:tc>
          <w:tcPr>
            <w:tcW w:w="707" w:type="dxa"/>
            <w:tcBorders>
              <w:top w:val="single" w:sz="4" w:space="0" w:color="auto"/>
              <w:left w:val="single" w:sz="6" w:space="0" w:color="000000"/>
              <w:bottom w:val="single" w:sz="4" w:space="0" w:color="auto"/>
              <w:right w:val="single" w:sz="6" w:space="0" w:color="000000"/>
            </w:tcBorders>
          </w:tcPr>
          <w:p w14:paraId="52D91DD1" w14:textId="29789F38" w:rsidR="001D504D" w:rsidRPr="00CF09B5" w:rsidRDefault="00FB13CE" w:rsidP="00680337">
            <w:pPr>
              <w:pBdr>
                <w:top w:val="nil"/>
                <w:left w:val="nil"/>
                <w:bottom w:val="nil"/>
                <w:right w:val="nil"/>
                <w:between w:val="nil"/>
              </w:pBdr>
              <w:ind w:firstLine="720"/>
              <w:rPr>
                <w:b/>
              </w:rPr>
            </w:pPr>
            <w:r w:rsidRPr="00CF09B5">
              <w:rPr>
                <w:b/>
              </w:rPr>
              <w:t>8</w:t>
            </w:r>
            <w:r>
              <w:rPr>
                <w:b/>
              </w:rPr>
              <w:t>10</w:t>
            </w:r>
            <w:r w:rsidR="001D504D" w:rsidRPr="00CF09B5">
              <w:rPr>
                <w:b/>
              </w:rPr>
              <w:t>.</w:t>
            </w:r>
          </w:p>
        </w:tc>
        <w:tc>
          <w:tcPr>
            <w:tcW w:w="3721" w:type="dxa"/>
            <w:tcBorders>
              <w:top w:val="single" w:sz="4" w:space="0" w:color="auto"/>
              <w:left w:val="single" w:sz="6" w:space="0" w:color="000000"/>
              <w:bottom w:val="single" w:sz="4" w:space="0" w:color="auto"/>
              <w:right w:val="single" w:sz="6" w:space="0" w:color="000000"/>
            </w:tcBorders>
          </w:tcPr>
          <w:p w14:paraId="1B91564F" w14:textId="77777777" w:rsidR="00FB13CE" w:rsidRPr="00FB13CE" w:rsidRDefault="00FB13CE" w:rsidP="00FB13CE">
            <w:pPr>
              <w:pBdr>
                <w:top w:val="nil"/>
                <w:left w:val="nil"/>
                <w:bottom w:val="nil"/>
                <w:right w:val="nil"/>
                <w:between w:val="nil"/>
              </w:pBdr>
              <w:spacing w:before="75" w:after="75"/>
              <w:jc w:val="both"/>
              <w:rPr>
                <w:b/>
                <w:bCs/>
              </w:rPr>
            </w:pPr>
            <w:r w:rsidRPr="00FB13CE">
              <w:rPr>
                <w:b/>
                <w:bCs/>
              </w:rPr>
              <w:t>2. 5. pantā:</w:t>
            </w:r>
          </w:p>
          <w:p w14:paraId="050D352F" w14:textId="576DE076" w:rsidR="00FB13CE" w:rsidRPr="00090F15" w:rsidRDefault="00FB13CE" w:rsidP="00FD0C32">
            <w:pPr>
              <w:pBdr>
                <w:top w:val="nil"/>
                <w:left w:val="nil"/>
                <w:bottom w:val="nil"/>
                <w:right w:val="nil"/>
                <w:between w:val="nil"/>
              </w:pBdr>
              <w:spacing w:before="75" w:after="75"/>
              <w:jc w:val="both"/>
            </w:pPr>
            <w:r w:rsidRPr="00090F15">
              <w:t>...</w:t>
            </w:r>
          </w:p>
          <w:p w14:paraId="2F7EF7E2" w14:textId="0D93C61B" w:rsidR="00FB13CE" w:rsidRPr="00090F15" w:rsidRDefault="00FB13CE" w:rsidP="00FB13CE">
            <w:pPr>
              <w:pBdr>
                <w:top w:val="nil"/>
                <w:left w:val="nil"/>
                <w:bottom w:val="nil"/>
                <w:right w:val="nil"/>
                <w:between w:val="nil"/>
              </w:pBdr>
              <w:spacing w:before="75" w:after="75"/>
              <w:jc w:val="both"/>
              <w:rPr>
                <w:bCs/>
              </w:rPr>
            </w:pPr>
            <w:r w:rsidRPr="00090F15">
              <w:rPr>
                <w:bCs/>
              </w:rPr>
              <w:t>izteikt ceturto daļu šādā redakcijā:</w:t>
            </w:r>
          </w:p>
          <w:p w14:paraId="7923B8AC" w14:textId="38B50FF5" w:rsidR="00FB13CE" w:rsidRPr="00090F15" w:rsidRDefault="00FB13CE" w:rsidP="00FB13CE">
            <w:pPr>
              <w:pBdr>
                <w:top w:val="nil"/>
                <w:left w:val="nil"/>
                <w:bottom w:val="nil"/>
                <w:right w:val="nil"/>
                <w:between w:val="nil"/>
              </w:pBdr>
              <w:spacing w:before="75" w:after="75"/>
              <w:jc w:val="both"/>
              <w:rPr>
                <w:bCs/>
              </w:rPr>
            </w:pPr>
            <w:r w:rsidRPr="00090F15">
              <w:rPr>
                <w:bCs/>
              </w:rPr>
              <w:t>“....</w:t>
            </w:r>
          </w:p>
          <w:p w14:paraId="3B2C3854" w14:textId="1D6CDE84" w:rsidR="00FB13CE" w:rsidRDefault="00FB13CE" w:rsidP="00FD0C32">
            <w:pPr>
              <w:pBdr>
                <w:top w:val="nil"/>
                <w:left w:val="nil"/>
                <w:bottom w:val="nil"/>
                <w:right w:val="nil"/>
                <w:between w:val="nil"/>
              </w:pBdr>
              <w:spacing w:before="75" w:after="75"/>
              <w:jc w:val="both"/>
            </w:pPr>
            <w:r w:rsidRPr="00090F15">
              <w:t>7)</w:t>
            </w:r>
            <w:r>
              <w:rPr>
                <w:b/>
              </w:rPr>
              <w:t xml:space="preserve"> </w:t>
            </w:r>
            <w:r w:rsidR="00BC70F6" w:rsidRPr="00570595">
              <w:t>nav sodīti, tajā skaitā - ja sodāmība dzēsta vai noņemta, par krimināllikuma IX, IX</w:t>
            </w:r>
            <w:r w:rsidR="00BC70F6" w:rsidRPr="00570595">
              <w:rPr>
                <w:vertAlign w:val="superscript"/>
              </w:rPr>
              <w:t>1</w:t>
            </w:r>
            <w:r w:rsidR="00BC70F6" w:rsidRPr="00570595">
              <w:t>, X nodaļā, 116., 117., 118., 233., 234., 236., 237. pantā minētajiem noziedzīgajiem nodarījumiem, stipri iedarbīgo, indīgo vai radioaktīvo vielu, sprāgstvielu, šaujamieroču vai munīcijas zādzību; stipri iedarbīgo, indīgo vai radioaktīvo vielu, sprāgstvielu, šaujamieroču vai munīcijas laupīšanu; laupīšanu, ja tā izdarīta, lietojot šaujamieročus vai sprāgstošas vielas; krāpšanu, ja tā iegūstot stipri iedarbīgās, indīgās vai radioaktīvās vielas, sprāgstvielas, šaujam</w:t>
            </w:r>
            <w:r w:rsidR="00BC70F6" w:rsidRPr="00570595">
              <w:softHyphen/>
              <w:t>ieročus vai munīciju; stipri iedarbīgo, indīgo vai radioaktīvo vielu, sprāgstvielu, šaujamieroču vai munīcijas piesavināšanos</w:t>
            </w:r>
            <w:r>
              <w:t>;</w:t>
            </w:r>
          </w:p>
          <w:p w14:paraId="6E59C698" w14:textId="1FB5B7E2" w:rsidR="00CF09B5" w:rsidRPr="00CF09B5" w:rsidRDefault="00FB13CE" w:rsidP="00FD0C32">
            <w:pPr>
              <w:pBdr>
                <w:top w:val="nil"/>
                <w:left w:val="nil"/>
                <w:bottom w:val="nil"/>
                <w:right w:val="nil"/>
                <w:between w:val="nil"/>
              </w:pBdr>
              <w:spacing w:before="75" w:after="75"/>
              <w:jc w:val="both"/>
            </w:pPr>
            <w:r>
              <w:t>...”</w:t>
            </w:r>
          </w:p>
        </w:tc>
        <w:tc>
          <w:tcPr>
            <w:tcW w:w="4590" w:type="dxa"/>
            <w:tcBorders>
              <w:top w:val="single" w:sz="4" w:space="0" w:color="auto"/>
              <w:left w:val="single" w:sz="6" w:space="0" w:color="000000"/>
              <w:bottom w:val="single" w:sz="4" w:space="0" w:color="auto"/>
              <w:right w:val="single" w:sz="6" w:space="0" w:color="000000"/>
            </w:tcBorders>
          </w:tcPr>
          <w:p w14:paraId="0524B619" w14:textId="2DC949B4" w:rsidR="001D504D" w:rsidRPr="00CF09B5" w:rsidRDefault="00CF09B5" w:rsidP="00BC70F6">
            <w:pPr>
              <w:pBdr>
                <w:top w:val="nil"/>
                <w:left w:val="nil"/>
                <w:bottom w:val="nil"/>
                <w:right w:val="nil"/>
                <w:between w:val="nil"/>
              </w:pBdr>
              <w:spacing w:before="75" w:after="75"/>
              <w:ind w:hanging="14"/>
              <w:jc w:val="center"/>
              <w:rPr>
                <w:b/>
              </w:rPr>
            </w:pPr>
            <w:r>
              <w:rPr>
                <w:b/>
              </w:rPr>
              <w:t>Iekšlietu</w:t>
            </w:r>
            <w:r w:rsidR="001D504D" w:rsidRPr="00CF09B5">
              <w:rPr>
                <w:b/>
              </w:rPr>
              <w:t xml:space="preserve"> ministrijas </w:t>
            </w:r>
            <w:r>
              <w:rPr>
                <w:b/>
              </w:rPr>
              <w:t>iebildums</w:t>
            </w:r>
            <w:r w:rsidR="00543F6C">
              <w:rPr>
                <w:b/>
              </w:rPr>
              <w:t xml:space="preserve"> (12.09.2019.)</w:t>
            </w:r>
          </w:p>
          <w:p w14:paraId="3FF32AAA" w14:textId="6486A227" w:rsidR="00BC70F6" w:rsidRPr="00570595" w:rsidRDefault="00BC70F6" w:rsidP="00BC70F6">
            <w:pPr>
              <w:jc w:val="both"/>
              <w:rPr>
                <w:color w:val="000000"/>
              </w:rPr>
            </w:pPr>
            <w:r w:rsidRPr="00570595">
              <w:rPr>
                <w:bCs/>
              </w:rPr>
              <w:t>P</w:t>
            </w:r>
            <w:r w:rsidRPr="00570595">
              <w:t xml:space="preserve">recizēt likumprojekta 2. pantā ietvertā Likuma  5. panta ceturtās daļas 7.punktā esošo noziedzīgo nodarījumu uzskaitījumu, jo piedāvātajā redakcijā tas sastāv kā no Krimināllikuma nodaļām, tā arī no konkrētiem pantiem un noziedzīgu nodarījumu aprakstiem, kas savukārt atbilst nenosauktu, bet noteiktu Krimināllikuma pantu daļām. Vēršama uzmanība, ka nav skaidri kritēriji, pēc kuriem veidots tāds noziedzīgo nodarījumu uzskaitījums, kā arī tam nav skaidrojuma likumprojekta anotācijā. </w:t>
            </w:r>
            <w:r w:rsidRPr="00570595">
              <w:rPr>
                <w:bCs/>
              </w:rPr>
              <w:t xml:space="preserve">Vienlaikus norādām, ka </w:t>
            </w:r>
            <w:r w:rsidRPr="00570595">
              <w:rPr>
                <w:color w:val="000000"/>
              </w:rPr>
              <w:t>Sodu reģistrā (informācijas sistēmā) nevar atsevišķi nodalīt attiecīgās Krimināllikuma normas daļā norādīto prettiesisko darbību – ir jāliek atsauce likumprojektā vismaz uz visu panta daļu, jo ziņas var tikt izsniegtas par visu attiecīgo normu, nevis kādu tās daļu.</w:t>
            </w:r>
          </w:p>
          <w:p w14:paraId="6C6AA0BD" w14:textId="28E6F935" w:rsidR="001D504D" w:rsidRPr="00CF09B5" w:rsidRDefault="001D504D" w:rsidP="00BC70F6">
            <w:pPr>
              <w:pBdr>
                <w:top w:val="nil"/>
                <w:left w:val="nil"/>
                <w:bottom w:val="nil"/>
                <w:right w:val="nil"/>
                <w:between w:val="nil"/>
              </w:pBdr>
              <w:spacing w:before="75" w:after="75"/>
              <w:ind w:hanging="14"/>
              <w:jc w:val="both"/>
            </w:pPr>
          </w:p>
        </w:tc>
        <w:tc>
          <w:tcPr>
            <w:tcW w:w="2250" w:type="dxa"/>
            <w:tcBorders>
              <w:top w:val="single" w:sz="4" w:space="0" w:color="auto"/>
              <w:left w:val="single" w:sz="6" w:space="0" w:color="000000"/>
              <w:bottom w:val="single" w:sz="4" w:space="0" w:color="auto"/>
              <w:right w:val="single" w:sz="6" w:space="0" w:color="000000"/>
            </w:tcBorders>
          </w:tcPr>
          <w:p w14:paraId="51A573B0" w14:textId="77777777" w:rsidR="001D504D" w:rsidRPr="00CF09B5" w:rsidRDefault="001D504D" w:rsidP="00FD0C32">
            <w:pPr>
              <w:pBdr>
                <w:top w:val="nil"/>
                <w:left w:val="nil"/>
                <w:bottom w:val="nil"/>
                <w:right w:val="nil"/>
                <w:between w:val="nil"/>
              </w:pBdr>
              <w:jc w:val="center"/>
              <w:rPr>
                <w:b/>
              </w:rPr>
            </w:pPr>
            <w:r w:rsidRPr="00CF09B5">
              <w:rPr>
                <w:b/>
              </w:rPr>
              <w:t>Ņemts vērā</w:t>
            </w:r>
          </w:p>
          <w:p w14:paraId="5353F8AF" w14:textId="77777777" w:rsidR="001D504D" w:rsidRPr="00CF09B5" w:rsidRDefault="001D504D" w:rsidP="00FD0C32">
            <w:pPr>
              <w:pBdr>
                <w:top w:val="nil"/>
                <w:left w:val="nil"/>
                <w:bottom w:val="nil"/>
                <w:right w:val="nil"/>
                <w:between w:val="nil"/>
              </w:pBdr>
              <w:jc w:val="center"/>
              <w:rPr>
                <w:b/>
              </w:rPr>
            </w:pPr>
          </w:p>
        </w:tc>
        <w:tc>
          <w:tcPr>
            <w:tcW w:w="3723" w:type="dxa"/>
            <w:tcBorders>
              <w:top w:val="single" w:sz="4" w:space="0" w:color="000000"/>
              <w:left w:val="single" w:sz="4" w:space="0" w:color="000000"/>
              <w:bottom w:val="single" w:sz="4" w:space="0" w:color="000000"/>
            </w:tcBorders>
          </w:tcPr>
          <w:p w14:paraId="455E6FCF" w14:textId="77777777" w:rsidR="00FB13CE" w:rsidRPr="00FB13CE" w:rsidRDefault="00FB13CE" w:rsidP="00FB13CE">
            <w:pPr>
              <w:pBdr>
                <w:top w:val="nil"/>
                <w:left w:val="nil"/>
                <w:bottom w:val="nil"/>
                <w:right w:val="nil"/>
                <w:between w:val="nil"/>
              </w:pBdr>
              <w:spacing w:before="75" w:after="75"/>
              <w:jc w:val="both"/>
              <w:rPr>
                <w:b/>
                <w:bCs/>
              </w:rPr>
            </w:pPr>
            <w:r w:rsidRPr="00FB13CE">
              <w:rPr>
                <w:b/>
                <w:bCs/>
              </w:rPr>
              <w:t>2. 5. pantā:</w:t>
            </w:r>
          </w:p>
          <w:p w14:paraId="4E59F211" w14:textId="77777777" w:rsidR="005D0737" w:rsidRPr="005D0737" w:rsidRDefault="005D0737" w:rsidP="005D0737">
            <w:pPr>
              <w:pBdr>
                <w:top w:val="nil"/>
                <w:left w:val="nil"/>
                <w:bottom w:val="nil"/>
                <w:right w:val="nil"/>
                <w:between w:val="nil"/>
              </w:pBdr>
              <w:spacing w:before="75" w:after="75"/>
              <w:jc w:val="both"/>
              <w:rPr>
                <w:bCs/>
              </w:rPr>
            </w:pPr>
            <w:r w:rsidRPr="005D0737">
              <w:rPr>
                <w:bCs/>
              </w:rPr>
              <w:t>izteikt trešo, ceturto un 4.</w:t>
            </w:r>
            <w:r w:rsidRPr="005D0737">
              <w:rPr>
                <w:bCs/>
                <w:vertAlign w:val="superscript"/>
              </w:rPr>
              <w:t>1</w:t>
            </w:r>
            <w:r w:rsidRPr="005D0737">
              <w:rPr>
                <w:bCs/>
              </w:rPr>
              <w:t xml:space="preserve"> daļu šādā redakcijā:</w:t>
            </w:r>
          </w:p>
          <w:p w14:paraId="3DF84FFB" w14:textId="7EBEEE5C" w:rsidR="00FB13CE" w:rsidRPr="00090F15" w:rsidRDefault="005D0737" w:rsidP="00FB13CE">
            <w:pPr>
              <w:pBdr>
                <w:top w:val="nil"/>
                <w:left w:val="nil"/>
                <w:bottom w:val="nil"/>
                <w:right w:val="nil"/>
                <w:between w:val="nil"/>
              </w:pBdr>
              <w:spacing w:before="75" w:after="75"/>
              <w:jc w:val="both"/>
              <w:rPr>
                <w:bCs/>
              </w:rPr>
            </w:pPr>
            <w:r w:rsidRPr="005D0737" w:rsidDel="005D0737">
              <w:t xml:space="preserve"> </w:t>
            </w:r>
            <w:r w:rsidR="00FB13CE" w:rsidRPr="00090F15">
              <w:rPr>
                <w:bCs/>
              </w:rPr>
              <w:t>“....</w:t>
            </w:r>
          </w:p>
          <w:p w14:paraId="2CE4D2A2" w14:textId="5AB63958" w:rsidR="00FB13CE" w:rsidRDefault="00FB13CE" w:rsidP="00DC2682">
            <w:pPr>
              <w:pBdr>
                <w:top w:val="nil"/>
                <w:left w:val="nil"/>
                <w:bottom w:val="nil"/>
                <w:right w:val="nil"/>
                <w:between w:val="nil"/>
              </w:pBdr>
              <w:spacing w:before="75" w:after="75"/>
              <w:jc w:val="both"/>
              <w:rPr>
                <w:color w:val="000000"/>
              </w:rPr>
            </w:pPr>
            <w:r w:rsidRPr="00090F15">
              <w:t xml:space="preserve">7) </w:t>
            </w:r>
            <w:r w:rsidR="00BC70F6" w:rsidRPr="003C08F7">
              <w:rPr>
                <w:color w:val="000000"/>
              </w:rPr>
              <w:t>nav sodīti, tajā skaitā - ja sodāmība dzēsta vai noņemta, par Krimināllikuma IX, IX</w:t>
            </w:r>
            <w:r w:rsidR="00BC70F6" w:rsidRPr="003C08F7">
              <w:rPr>
                <w:color w:val="000000"/>
                <w:vertAlign w:val="superscript"/>
              </w:rPr>
              <w:t>1</w:t>
            </w:r>
            <w:r w:rsidR="00BC70F6" w:rsidRPr="003C08F7">
              <w:rPr>
                <w:color w:val="000000"/>
              </w:rPr>
              <w:t>, X nodaļā, 116., 117., 118., 175. panta 4. daļā (stipri iedarbīgo, indīgo vai radioaktīvo vielu, sprāgstvielu, šaujamieroču vai munīcijas zādzība), 176. panta 3. daļā (stipri iedarbīgo, indīgo vai radioaktīvo vielu, sprāgstvielu, šaujamieroču vai munīcijas laupīšana), 176. panta 4. daļā (laupīšana, ja tā izdarīta, lietojot šaujamieročus vai sprāgstošas vielas), 177. panta 3. daļā (krāpšana, ja tā izdarīta, iegūstot stipri iedarbīgās, indīgās vai radioaktīvās vielas, sprāgstvielas, šaujam</w:t>
            </w:r>
            <w:r w:rsidR="00BC70F6" w:rsidRPr="003C08F7">
              <w:rPr>
                <w:color w:val="000000"/>
              </w:rPr>
              <w:softHyphen/>
              <w:t>ieročus vai munīciju), 179. panta 3. daļā (stipri iedarbīgo, indīgo vai radioaktīvo vielu, sprāgstvielu, šaujamieroču vai munīcijas piesavināšanās), 233., 234., 236., 237. pantā minētajiem noziedzīgajiem nodarījumiem</w:t>
            </w:r>
            <w:r>
              <w:rPr>
                <w:color w:val="000000"/>
              </w:rPr>
              <w:t>;</w:t>
            </w:r>
          </w:p>
          <w:p w14:paraId="577831EE" w14:textId="1649F5B9" w:rsidR="00CF09B5" w:rsidRPr="00CF09B5" w:rsidRDefault="00FB13CE" w:rsidP="00DC2682">
            <w:pPr>
              <w:pBdr>
                <w:top w:val="nil"/>
                <w:left w:val="nil"/>
                <w:bottom w:val="nil"/>
                <w:right w:val="nil"/>
                <w:between w:val="nil"/>
              </w:pBdr>
              <w:spacing w:before="75" w:after="75"/>
              <w:jc w:val="both"/>
            </w:pPr>
            <w:r>
              <w:rPr>
                <w:color w:val="000000"/>
              </w:rPr>
              <w:t>...”</w:t>
            </w:r>
          </w:p>
        </w:tc>
      </w:tr>
      <w:tr w:rsidR="001D504D" w14:paraId="1FD8301A" w14:textId="77777777" w:rsidTr="00090F15">
        <w:tc>
          <w:tcPr>
            <w:tcW w:w="707" w:type="dxa"/>
            <w:tcBorders>
              <w:top w:val="single" w:sz="4" w:space="0" w:color="auto"/>
              <w:left w:val="single" w:sz="6" w:space="0" w:color="000000"/>
              <w:bottom w:val="single" w:sz="4" w:space="0" w:color="auto"/>
              <w:right w:val="single" w:sz="6" w:space="0" w:color="000000"/>
            </w:tcBorders>
          </w:tcPr>
          <w:p w14:paraId="2D85F6D9" w14:textId="2E647494" w:rsidR="001D504D" w:rsidRPr="00405FAD" w:rsidRDefault="001D504D" w:rsidP="002A0E0D">
            <w:pPr>
              <w:pBdr>
                <w:top w:val="nil"/>
                <w:left w:val="nil"/>
                <w:bottom w:val="nil"/>
                <w:right w:val="nil"/>
                <w:between w:val="nil"/>
              </w:pBdr>
              <w:ind w:firstLine="720"/>
              <w:rPr>
                <w:b/>
              </w:rPr>
            </w:pPr>
            <w:r w:rsidRPr="00405FAD">
              <w:rPr>
                <w:b/>
              </w:rPr>
              <w:lastRenderedPageBreak/>
              <w:t>81</w:t>
            </w:r>
            <w:r w:rsidR="00FB13CE">
              <w:rPr>
                <w:b/>
              </w:rPr>
              <w:t>1</w:t>
            </w:r>
            <w:r w:rsidRPr="00405FAD">
              <w:rPr>
                <w:b/>
              </w:rPr>
              <w:t>.</w:t>
            </w:r>
          </w:p>
        </w:tc>
        <w:tc>
          <w:tcPr>
            <w:tcW w:w="3721" w:type="dxa"/>
            <w:tcBorders>
              <w:top w:val="single" w:sz="4" w:space="0" w:color="auto"/>
              <w:left w:val="single" w:sz="6" w:space="0" w:color="000000"/>
              <w:bottom w:val="single" w:sz="4" w:space="0" w:color="auto"/>
              <w:right w:val="single" w:sz="6" w:space="0" w:color="000000"/>
            </w:tcBorders>
          </w:tcPr>
          <w:p w14:paraId="6B29993F" w14:textId="77777777" w:rsidR="00FB13CE" w:rsidRPr="00FB13CE" w:rsidRDefault="00FB13CE" w:rsidP="00FB13CE">
            <w:pPr>
              <w:pBdr>
                <w:top w:val="nil"/>
                <w:left w:val="nil"/>
                <w:bottom w:val="nil"/>
                <w:right w:val="nil"/>
                <w:between w:val="nil"/>
              </w:pBdr>
              <w:spacing w:before="75" w:after="75"/>
              <w:jc w:val="both"/>
              <w:rPr>
                <w:b/>
                <w:bCs/>
              </w:rPr>
            </w:pPr>
            <w:r w:rsidRPr="00FB13CE">
              <w:rPr>
                <w:b/>
                <w:bCs/>
              </w:rPr>
              <w:t>2. 5. pantā:</w:t>
            </w:r>
          </w:p>
          <w:p w14:paraId="35E8E340" w14:textId="77777777" w:rsidR="00FB13CE" w:rsidRPr="00090F15" w:rsidRDefault="00FB13CE" w:rsidP="00FB13CE">
            <w:pPr>
              <w:pBdr>
                <w:top w:val="nil"/>
                <w:left w:val="nil"/>
                <w:bottom w:val="nil"/>
                <w:right w:val="nil"/>
                <w:between w:val="nil"/>
              </w:pBdr>
              <w:spacing w:before="75" w:after="75"/>
              <w:jc w:val="both"/>
            </w:pPr>
            <w:r w:rsidRPr="00090F15">
              <w:t>...</w:t>
            </w:r>
          </w:p>
          <w:p w14:paraId="71ADD7F2" w14:textId="5ED91859" w:rsidR="006F3312" w:rsidRPr="00090F15" w:rsidRDefault="00FB13CE" w:rsidP="006F3312">
            <w:pPr>
              <w:pBdr>
                <w:top w:val="nil"/>
                <w:left w:val="nil"/>
                <w:bottom w:val="nil"/>
                <w:right w:val="nil"/>
                <w:between w:val="nil"/>
              </w:pBdr>
              <w:spacing w:before="75" w:after="75"/>
              <w:jc w:val="both"/>
              <w:rPr>
                <w:bCs/>
              </w:rPr>
            </w:pPr>
            <w:r w:rsidRPr="00090F15">
              <w:rPr>
                <w:bCs/>
              </w:rPr>
              <w:t>p</w:t>
            </w:r>
            <w:r w:rsidR="00405FAD" w:rsidRPr="00090F15">
              <w:t>apildināt 5. pantu ar 4.</w:t>
            </w:r>
            <w:r w:rsidR="00405FAD" w:rsidRPr="00090F15">
              <w:rPr>
                <w:vertAlign w:val="superscript"/>
              </w:rPr>
              <w:t>1</w:t>
            </w:r>
            <w:r w:rsidR="00405FAD" w:rsidRPr="00090F15">
              <w:t xml:space="preserve"> daļu</w:t>
            </w:r>
            <w:r w:rsidRPr="00090F15">
              <w:t xml:space="preserve"> šādā redakcijā:</w:t>
            </w:r>
          </w:p>
          <w:p w14:paraId="31895E2B" w14:textId="77777777" w:rsidR="001D504D" w:rsidRDefault="00FB13CE" w:rsidP="006F3312">
            <w:pPr>
              <w:pBdr>
                <w:top w:val="nil"/>
                <w:left w:val="nil"/>
                <w:bottom w:val="nil"/>
                <w:right w:val="nil"/>
                <w:between w:val="nil"/>
              </w:pBdr>
              <w:spacing w:before="75" w:after="75"/>
              <w:jc w:val="both"/>
            </w:pPr>
            <w:r w:rsidRPr="00FB13CE">
              <w:t>“(4.</w:t>
            </w:r>
            <w:r w:rsidRPr="00FB13CE">
              <w:rPr>
                <w:vertAlign w:val="superscript"/>
              </w:rPr>
              <w:t>1</w:t>
            </w:r>
            <w:r w:rsidRPr="00FB13CE">
              <w:t xml:space="preserve">) </w:t>
            </w:r>
            <w:r w:rsidR="00405FAD" w:rsidRPr="00405FAD">
              <w:t>Aizsardzības ministrija, izsniedzot speciālo atļauju (licenci) komercdarbībai ar Eiropas Savienības Kopējā militāro preču sarakstā minētajām precēm, norāda, ar kurām Eiropas Savienības Kopējā militāro preču sarakstā minētajām precēm individuālajam komersantam vai komercsabiedrībai ir tiesības veikt komercdarbību.</w:t>
            </w:r>
            <w:r>
              <w:t>”</w:t>
            </w:r>
          </w:p>
          <w:p w14:paraId="075BBA47" w14:textId="22078AFC" w:rsidR="00FB13CE" w:rsidRPr="00405FAD" w:rsidRDefault="00FB13CE" w:rsidP="006F3312">
            <w:pPr>
              <w:pBdr>
                <w:top w:val="nil"/>
                <w:left w:val="nil"/>
                <w:bottom w:val="nil"/>
                <w:right w:val="nil"/>
                <w:between w:val="nil"/>
              </w:pBdr>
              <w:spacing w:before="75" w:after="75"/>
              <w:jc w:val="both"/>
            </w:pPr>
            <w:r>
              <w:t>...</w:t>
            </w:r>
          </w:p>
        </w:tc>
        <w:tc>
          <w:tcPr>
            <w:tcW w:w="4590" w:type="dxa"/>
            <w:tcBorders>
              <w:top w:val="single" w:sz="4" w:space="0" w:color="auto"/>
              <w:left w:val="single" w:sz="6" w:space="0" w:color="000000"/>
              <w:bottom w:val="single" w:sz="4" w:space="0" w:color="auto"/>
              <w:right w:val="single" w:sz="6" w:space="0" w:color="000000"/>
            </w:tcBorders>
          </w:tcPr>
          <w:p w14:paraId="01E63459" w14:textId="63E342BA" w:rsidR="001D504D" w:rsidRPr="00405FAD" w:rsidRDefault="001D504D" w:rsidP="002A0E0D">
            <w:pPr>
              <w:pBdr>
                <w:top w:val="nil"/>
                <w:left w:val="nil"/>
                <w:bottom w:val="nil"/>
                <w:right w:val="nil"/>
                <w:between w:val="nil"/>
              </w:pBdr>
              <w:spacing w:before="75" w:after="75"/>
              <w:ind w:hanging="14"/>
              <w:jc w:val="center"/>
              <w:rPr>
                <w:b/>
              </w:rPr>
            </w:pPr>
            <w:r w:rsidRPr="00405FAD">
              <w:rPr>
                <w:b/>
              </w:rPr>
              <w:t xml:space="preserve">Tieslietu ministrijas </w:t>
            </w:r>
            <w:r w:rsidR="00405FAD">
              <w:rPr>
                <w:b/>
              </w:rPr>
              <w:t>iebildums</w:t>
            </w:r>
            <w:r w:rsidR="00543F6C">
              <w:rPr>
                <w:b/>
              </w:rPr>
              <w:t xml:space="preserve"> (12.09.2019.)</w:t>
            </w:r>
          </w:p>
          <w:p w14:paraId="2EAD6F6C" w14:textId="1463DEC8" w:rsidR="001D504D" w:rsidRPr="00405FAD" w:rsidRDefault="00405FAD" w:rsidP="00820619">
            <w:pPr>
              <w:pBdr>
                <w:top w:val="nil"/>
                <w:left w:val="nil"/>
                <w:bottom w:val="nil"/>
                <w:right w:val="nil"/>
                <w:between w:val="nil"/>
              </w:pBdr>
              <w:spacing w:before="75" w:after="75"/>
              <w:ind w:hanging="14"/>
              <w:jc w:val="both"/>
            </w:pPr>
            <w:r w:rsidRPr="002031EA">
              <w:t>Likumprojekta 2. pantā likuma 5. pants tiek papildināts ar 4.</w:t>
            </w:r>
            <w:r w:rsidRPr="002031EA">
              <w:rPr>
                <w:vertAlign w:val="superscript"/>
              </w:rPr>
              <w:t>1</w:t>
            </w:r>
            <w:r w:rsidRPr="002031EA">
              <w:t xml:space="preserve"> daļu. Vēršam uzmanību, ka likuma 5. pantam jau ir 4.</w:t>
            </w:r>
            <w:r w:rsidRPr="002031EA">
              <w:rPr>
                <w:vertAlign w:val="superscript"/>
              </w:rPr>
              <w:t>1</w:t>
            </w:r>
            <w:r w:rsidRPr="002031EA">
              <w:t xml:space="preserve"> daļa. Attiecīgi lūdzam precizēt likumprojektu.</w:t>
            </w:r>
          </w:p>
        </w:tc>
        <w:tc>
          <w:tcPr>
            <w:tcW w:w="2250" w:type="dxa"/>
            <w:tcBorders>
              <w:top w:val="single" w:sz="4" w:space="0" w:color="auto"/>
              <w:left w:val="single" w:sz="6" w:space="0" w:color="000000"/>
              <w:bottom w:val="single" w:sz="4" w:space="0" w:color="auto"/>
              <w:right w:val="single" w:sz="6" w:space="0" w:color="000000"/>
            </w:tcBorders>
          </w:tcPr>
          <w:p w14:paraId="4E984478" w14:textId="77777777" w:rsidR="001D504D" w:rsidRPr="00405FAD" w:rsidRDefault="001D504D" w:rsidP="00FD0C32">
            <w:pPr>
              <w:pBdr>
                <w:top w:val="nil"/>
                <w:left w:val="nil"/>
                <w:bottom w:val="nil"/>
                <w:right w:val="nil"/>
                <w:between w:val="nil"/>
              </w:pBdr>
              <w:jc w:val="center"/>
              <w:rPr>
                <w:b/>
              </w:rPr>
            </w:pPr>
            <w:r w:rsidRPr="00405FAD">
              <w:rPr>
                <w:b/>
              </w:rPr>
              <w:t>Ņemts vērā</w:t>
            </w:r>
          </w:p>
          <w:p w14:paraId="42879F50" w14:textId="5E110316" w:rsidR="001D504D" w:rsidRPr="00405FAD" w:rsidRDefault="00C42815" w:rsidP="00405FAD">
            <w:pPr>
              <w:pBdr>
                <w:top w:val="nil"/>
                <w:left w:val="nil"/>
                <w:bottom w:val="nil"/>
                <w:right w:val="nil"/>
                <w:between w:val="nil"/>
              </w:pBdr>
              <w:jc w:val="both"/>
            </w:pPr>
            <w:r w:rsidRPr="002031EA">
              <w:t>Eiropas Savienības Kopējā militāro preču sarakstā ir 22 sadaļas (ML1-ML22) un saskaņā MK noteikumu Nr. 331 2. pielikumu, Aizsardzības ministrijai speciālajā atļaujā (licencē) norāda konkrētās Eiropas Savienības Kopējā militāro preču saraksta sadaļas. Aizsardzības ministrijai nepieciešama informācija par katru komercdarbībai nepieciešamo Eiropas Savienības Kopējā militāro preču saraksta sadaļu. Stratēģiskas nozīmes preču aprites likuma 5. panta 4.</w:t>
            </w:r>
            <w:r w:rsidRPr="002031EA">
              <w:rPr>
                <w:vertAlign w:val="superscript"/>
              </w:rPr>
              <w:t>1</w:t>
            </w:r>
            <w:r w:rsidRPr="002031EA">
              <w:rPr>
                <w:b/>
                <w:vertAlign w:val="superscript"/>
              </w:rPr>
              <w:t xml:space="preserve"> </w:t>
            </w:r>
            <w:r w:rsidRPr="002031EA">
              <w:t>daļa esošā redakcija zaudēja savu aktualitāti.</w:t>
            </w:r>
          </w:p>
        </w:tc>
        <w:tc>
          <w:tcPr>
            <w:tcW w:w="3723" w:type="dxa"/>
            <w:tcBorders>
              <w:top w:val="single" w:sz="4" w:space="0" w:color="000000"/>
              <w:left w:val="single" w:sz="4" w:space="0" w:color="000000"/>
              <w:bottom w:val="single" w:sz="4" w:space="0" w:color="000000"/>
            </w:tcBorders>
          </w:tcPr>
          <w:p w14:paraId="1A3633D9" w14:textId="77777777" w:rsidR="00FB13CE" w:rsidRPr="00FB13CE" w:rsidRDefault="00FB13CE" w:rsidP="00FB13CE">
            <w:pPr>
              <w:pBdr>
                <w:top w:val="nil"/>
                <w:left w:val="nil"/>
                <w:bottom w:val="nil"/>
                <w:right w:val="nil"/>
                <w:between w:val="nil"/>
              </w:pBdr>
              <w:spacing w:before="75" w:after="75"/>
              <w:jc w:val="both"/>
              <w:rPr>
                <w:b/>
                <w:bCs/>
              </w:rPr>
            </w:pPr>
            <w:r w:rsidRPr="00FB13CE">
              <w:rPr>
                <w:b/>
                <w:bCs/>
              </w:rPr>
              <w:t>2. 5. pantā:</w:t>
            </w:r>
          </w:p>
          <w:p w14:paraId="738CAE6B" w14:textId="77777777" w:rsidR="005D0737" w:rsidRPr="005D0737" w:rsidRDefault="005D0737" w:rsidP="005D0737">
            <w:pPr>
              <w:pBdr>
                <w:top w:val="nil"/>
                <w:left w:val="nil"/>
                <w:bottom w:val="nil"/>
                <w:right w:val="nil"/>
                <w:between w:val="nil"/>
              </w:pBdr>
              <w:spacing w:before="75" w:after="75"/>
              <w:jc w:val="both"/>
              <w:rPr>
                <w:bCs/>
              </w:rPr>
            </w:pPr>
            <w:r w:rsidRPr="005D0737">
              <w:rPr>
                <w:bCs/>
              </w:rPr>
              <w:t>izteikt trešo, ceturto un 4.</w:t>
            </w:r>
            <w:r w:rsidRPr="005D0737">
              <w:rPr>
                <w:bCs/>
                <w:vertAlign w:val="superscript"/>
              </w:rPr>
              <w:t>1</w:t>
            </w:r>
            <w:r w:rsidRPr="005D0737">
              <w:rPr>
                <w:bCs/>
              </w:rPr>
              <w:t xml:space="preserve"> daļu šādā redakcijā:</w:t>
            </w:r>
          </w:p>
          <w:p w14:paraId="3AA3D790" w14:textId="18D10DCE" w:rsidR="005D0737" w:rsidRDefault="005D0737" w:rsidP="00906421">
            <w:pPr>
              <w:pBdr>
                <w:top w:val="nil"/>
                <w:left w:val="nil"/>
                <w:bottom w:val="nil"/>
                <w:right w:val="nil"/>
                <w:between w:val="nil"/>
              </w:pBdr>
              <w:spacing w:before="75" w:after="75"/>
              <w:jc w:val="both"/>
            </w:pPr>
            <w:r w:rsidRPr="005D0737" w:rsidDel="005D0737">
              <w:t xml:space="preserve"> </w:t>
            </w:r>
            <w:r w:rsidR="00FB13CE" w:rsidRPr="00FB13CE">
              <w:t>“</w:t>
            </w:r>
            <w:r>
              <w:t>...</w:t>
            </w:r>
          </w:p>
          <w:p w14:paraId="66CAD8B6" w14:textId="270B65D7" w:rsidR="001D504D" w:rsidRDefault="00FB13CE" w:rsidP="00906421">
            <w:pPr>
              <w:pBdr>
                <w:top w:val="nil"/>
                <w:left w:val="nil"/>
                <w:bottom w:val="nil"/>
                <w:right w:val="nil"/>
                <w:between w:val="nil"/>
              </w:pBdr>
              <w:spacing w:before="75" w:after="75"/>
              <w:jc w:val="both"/>
            </w:pPr>
            <w:r w:rsidRPr="00FB13CE">
              <w:t>(4.</w:t>
            </w:r>
            <w:r w:rsidRPr="00FB13CE">
              <w:rPr>
                <w:vertAlign w:val="superscript"/>
              </w:rPr>
              <w:t>1</w:t>
            </w:r>
            <w:r w:rsidRPr="00FB13CE">
              <w:t xml:space="preserve">) </w:t>
            </w:r>
            <w:r w:rsidR="00C42815" w:rsidRPr="00C42815">
              <w:t>Aizsardzības ministrija, izsniedzot speciālo atļauju (licenci) komercdarbībai ar Eiropas Savienības Kopējā militāro preču sarakstā minētajām precēm, norāda, ar kurām Eiropas Savienības Kopējā militāro preču sarakstā minētajām precēm individuālajam komersantam vai komercsabiedrībai ir tiesības veikt komercdarbību.</w:t>
            </w:r>
          </w:p>
          <w:p w14:paraId="67F7933B" w14:textId="1395A3FF" w:rsidR="00FB13CE" w:rsidRPr="00C42815" w:rsidRDefault="00FB13CE" w:rsidP="00906421">
            <w:pPr>
              <w:pBdr>
                <w:top w:val="nil"/>
                <w:left w:val="nil"/>
                <w:bottom w:val="nil"/>
                <w:right w:val="nil"/>
                <w:between w:val="nil"/>
              </w:pBdr>
              <w:spacing w:before="75" w:after="75"/>
              <w:jc w:val="both"/>
            </w:pPr>
            <w:r>
              <w:t>...</w:t>
            </w:r>
            <w:r w:rsidR="005D0737">
              <w:t>”</w:t>
            </w:r>
          </w:p>
        </w:tc>
      </w:tr>
      <w:tr w:rsidR="001D504D" w14:paraId="77288C27" w14:textId="77777777" w:rsidTr="00090F15">
        <w:tc>
          <w:tcPr>
            <w:tcW w:w="707" w:type="dxa"/>
            <w:tcBorders>
              <w:top w:val="single" w:sz="4" w:space="0" w:color="auto"/>
              <w:left w:val="single" w:sz="6" w:space="0" w:color="000000"/>
              <w:bottom w:val="single" w:sz="4" w:space="0" w:color="auto"/>
              <w:right w:val="single" w:sz="6" w:space="0" w:color="000000"/>
            </w:tcBorders>
          </w:tcPr>
          <w:p w14:paraId="43BA1DFA" w14:textId="7E7DEAAB" w:rsidR="001D504D" w:rsidRPr="009447E9" w:rsidRDefault="001D504D" w:rsidP="002A0E0D">
            <w:pPr>
              <w:pBdr>
                <w:top w:val="nil"/>
                <w:left w:val="nil"/>
                <w:bottom w:val="nil"/>
                <w:right w:val="nil"/>
                <w:between w:val="nil"/>
              </w:pBdr>
              <w:ind w:firstLine="720"/>
              <w:rPr>
                <w:b/>
              </w:rPr>
            </w:pPr>
            <w:r w:rsidRPr="009447E9">
              <w:rPr>
                <w:b/>
              </w:rPr>
              <w:t>81</w:t>
            </w:r>
            <w:r w:rsidR="00FB13CE">
              <w:rPr>
                <w:b/>
              </w:rPr>
              <w:t>2</w:t>
            </w:r>
            <w:r w:rsidRPr="009447E9">
              <w:rPr>
                <w:b/>
              </w:rPr>
              <w:t>.</w:t>
            </w:r>
          </w:p>
        </w:tc>
        <w:tc>
          <w:tcPr>
            <w:tcW w:w="3721" w:type="dxa"/>
            <w:tcBorders>
              <w:top w:val="single" w:sz="4" w:space="0" w:color="auto"/>
              <w:left w:val="single" w:sz="6" w:space="0" w:color="000000"/>
              <w:bottom w:val="single" w:sz="4" w:space="0" w:color="auto"/>
              <w:right w:val="single" w:sz="6" w:space="0" w:color="000000"/>
            </w:tcBorders>
          </w:tcPr>
          <w:p w14:paraId="11201C76" w14:textId="77777777" w:rsidR="00FB13CE" w:rsidRPr="00FB13CE" w:rsidRDefault="00FB13CE" w:rsidP="00FB13CE">
            <w:pPr>
              <w:pBdr>
                <w:top w:val="nil"/>
                <w:left w:val="nil"/>
                <w:bottom w:val="nil"/>
                <w:right w:val="nil"/>
                <w:between w:val="nil"/>
              </w:pBdr>
              <w:spacing w:before="75" w:after="75"/>
              <w:jc w:val="both"/>
              <w:rPr>
                <w:b/>
                <w:bCs/>
              </w:rPr>
            </w:pPr>
            <w:r w:rsidRPr="00FB13CE">
              <w:rPr>
                <w:b/>
                <w:bCs/>
              </w:rPr>
              <w:t>2. 5. pantā:</w:t>
            </w:r>
          </w:p>
          <w:p w14:paraId="17F09889" w14:textId="77777777" w:rsidR="00FB13CE" w:rsidRPr="00090F15" w:rsidRDefault="00FB13CE" w:rsidP="00FB13CE">
            <w:pPr>
              <w:pBdr>
                <w:top w:val="nil"/>
                <w:left w:val="nil"/>
                <w:bottom w:val="nil"/>
                <w:right w:val="nil"/>
                <w:between w:val="nil"/>
              </w:pBdr>
              <w:spacing w:before="75" w:after="75"/>
              <w:jc w:val="both"/>
            </w:pPr>
            <w:r w:rsidRPr="00090F15">
              <w:lastRenderedPageBreak/>
              <w:t>...</w:t>
            </w:r>
          </w:p>
          <w:p w14:paraId="71F0ABEA" w14:textId="77777777" w:rsidR="00FB13CE" w:rsidRPr="00090F15" w:rsidRDefault="00FB13CE" w:rsidP="00FB13CE">
            <w:pPr>
              <w:pBdr>
                <w:top w:val="nil"/>
                <w:left w:val="nil"/>
                <w:bottom w:val="nil"/>
                <w:right w:val="nil"/>
                <w:between w:val="nil"/>
              </w:pBdr>
              <w:spacing w:before="75" w:after="75"/>
              <w:jc w:val="both"/>
              <w:rPr>
                <w:bCs/>
              </w:rPr>
            </w:pPr>
            <w:r w:rsidRPr="00090F15">
              <w:rPr>
                <w:bCs/>
              </w:rPr>
              <w:t>papildināt sesto daļu ar 8., 9., 10. un 11. punktu šādā redakcijā:</w:t>
            </w:r>
          </w:p>
          <w:p w14:paraId="42012716" w14:textId="73C5BC88" w:rsidR="00FB13CE" w:rsidRPr="00090F15" w:rsidRDefault="00FB13CE" w:rsidP="00FD0C32">
            <w:pPr>
              <w:pBdr>
                <w:top w:val="nil"/>
                <w:left w:val="nil"/>
                <w:bottom w:val="nil"/>
                <w:right w:val="nil"/>
                <w:between w:val="nil"/>
              </w:pBdr>
              <w:spacing w:before="75" w:after="75"/>
              <w:jc w:val="both"/>
            </w:pPr>
            <w:r w:rsidRPr="00090F15">
              <w:t>“...</w:t>
            </w:r>
          </w:p>
          <w:p w14:paraId="2F98A7C0" w14:textId="6C6EBC93" w:rsidR="009447E9" w:rsidRDefault="00FB13CE" w:rsidP="00FD0C32">
            <w:pPr>
              <w:pBdr>
                <w:top w:val="nil"/>
                <w:left w:val="nil"/>
                <w:bottom w:val="nil"/>
                <w:right w:val="nil"/>
                <w:between w:val="nil"/>
              </w:pBdr>
              <w:spacing w:before="75" w:after="75"/>
              <w:jc w:val="both"/>
            </w:pPr>
            <w:r w:rsidRPr="00090F15">
              <w:t>10)</w:t>
            </w:r>
            <w:r>
              <w:rPr>
                <w:b/>
              </w:rPr>
              <w:t xml:space="preserve"> </w:t>
            </w:r>
            <w:r w:rsidR="008824B3" w:rsidRPr="002031EA">
              <w:t>komersants pārkāpj starptautiskajos līgumos ietvertos vai starptautisko organizāciju noteiktos ierobežojumus, vai tā darbība vērsta pret Latvijas Republikas drošību, ir saistīta ar organizēto noziedzību vai citām kriminālsodāmām darbībām saskaņā ar valsts drošības iestāžu rīcībā esošām ziņām</w:t>
            </w:r>
            <w:r w:rsidR="00815F2B">
              <w:t>;</w:t>
            </w:r>
          </w:p>
          <w:p w14:paraId="561CD311" w14:textId="763E87A3" w:rsidR="00FB13CE" w:rsidRPr="009447E9" w:rsidRDefault="00FB13CE" w:rsidP="00FD0C32">
            <w:pPr>
              <w:pBdr>
                <w:top w:val="nil"/>
                <w:left w:val="nil"/>
                <w:bottom w:val="nil"/>
                <w:right w:val="nil"/>
                <w:between w:val="nil"/>
              </w:pBdr>
              <w:spacing w:before="75" w:after="75"/>
              <w:jc w:val="both"/>
            </w:pPr>
            <w:r>
              <w:t>...”</w:t>
            </w:r>
          </w:p>
        </w:tc>
        <w:tc>
          <w:tcPr>
            <w:tcW w:w="4590" w:type="dxa"/>
            <w:tcBorders>
              <w:top w:val="single" w:sz="4" w:space="0" w:color="auto"/>
              <w:left w:val="single" w:sz="6" w:space="0" w:color="000000"/>
              <w:bottom w:val="single" w:sz="4" w:space="0" w:color="auto"/>
              <w:right w:val="single" w:sz="6" w:space="0" w:color="000000"/>
            </w:tcBorders>
          </w:tcPr>
          <w:p w14:paraId="7772DAA0" w14:textId="7CCD9808" w:rsidR="001D504D" w:rsidRPr="009447E9" w:rsidRDefault="001D504D" w:rsidP="002A0E0D">
            <w:pPr>
              <w:pBdr>
                <w:top w:val="nil"/>
                <w:left w:val="nil"/>
                <w:bottom w:val="nil"/>
                <w:right w:val="nil"/>
                <w:between w:val="nil"/>
              </w:pBdr>
              <w:spacing w:before="75" w:after="75"/>
              <w:ind w:hanging="14"/>
              <w:jc w:val="center"/>
              <w:rPr>
                <w:b/>
              </w:rPr>
            </w:pPr>
            <w:r w:rsidRPr="009447E9">
              <w:rPr>
                <w:b/>
              </w:rPr>
              <w:lastRenderedPageBreak/>
              <w:t xml:space="preserve">Tieslietu ministrijas </w:t>
            </w:r>
            <w:r w:rsidR="008824B3">
              <w:rPr>
                <w:b/>
              </w:rPr>
              <w:t>iebildums</w:t>
            </w:r>
            <w:r w:rsidR="00543F6C">
              <w:rPr>
                <w:b/>
              </w:rPr>
              <w:t xml:space="preserve"> </w:t>
            </w:r>
            <w:r w:rsidR="00543F6C">
              <w:rPr>
                <w:b/>
              </w:rPr>
              <w:lastRenderedPageBreak/>
              <w:t>(12.09.2019.)</w:t>
            </w:r>
          </w:p>
          <w:p w14:paraId="488DF76C" w14:textId="77777777" w:rsidR="001B19FB" w:rsidRPr="002031EA" w:rsidRDefault="001B19FB" w:rsidP="001B19FB">
            <w:pPr>
              <w:ind w:right="12"/>
              <w:jc w:val="both"/>
            </w:pPr>
            <w:r w:rsidRPr="002031EA">
              <w:t>Likumprojekta 2. pantā izteiktajā likuma 5. panta sestās daļas 10. punktā norādīta atsauce uz starptautiskajos līgumos ietvertajiem vai starptautisko organizāciju noteiktajiem ierobežojumiem. Vēršam uzmanību, ka starptautiska organizācija var noteikt ierobežojumu Latvijas Republikai, ja tas izriet no starptautiska līguma, kura puses ir Latvijas Republika un attiecīgā starptautiskā organizācija. Ievērojot minēto, lūdzam svītrot atsauci uz starptautiskās organizācijas noteiktu ierobežojumu.</w:t>
            </w:r>
          </w:p>
          <w:p w14:paraId="0F216D40" w14:textId="0959C87F" w:rsidR="001D504D" w:rsidRPr="009447E9" w:rsidRDefault="001B19FB" w:rsidP="001B19FB">
            <w:pPr>
              <w:pBdr>
                <w:top w:val="nil"/>
                <w:left w:val="nil"/>
                <w:bottom w:val="nil"/>
                <w:right w:val="nil"/>
                <w:between w:val="nil"/>
              </w:pBdr>
              <w:spacing w:before="75" w:after="75"/>
              <w:ind w:hanging="14"/>
              <w:jc w:val="both"/>
            </w:pPr>
            <w:r w:rsidRPr="002031EA">
              <w:t>Vienlaikus saistībā ar minēto regulējumu lūdzam papildināt likumprojekta anotācijas V sadaļas 2. punktu un 2. tabulu atbilstoši Ministru kabineta 2009. gada 15. decembra instrukcijas Nr. 19 “Tiesību akta projekta sākotnējās ietekmes izvērtēšanas kārtība” 57. un 58. punktam.</w:t>
            </w:r>
          </w:p>
          <w:p w14:paraId="090FD131" w14:textId="0B061070" w:rsidR="007409D5" w:rsidRPr="009447E9" w:rsidRDefault="007409D5" w:rsidP="007409D5">
            <w:pPr>
              <w:pBdr>
                <w:top w:val="nil"/>
                <w:left w:val="nil"/>
                <w:bottom w:val="nil"/>
                <w:right w:val="nil"/>
                <w:between w:val="nil"/>
              </w:pBdr>
              <w:spacing w:before="75" w:after="75"/>
              <w:ind w:hanging="14"/>
              <w:jc w:val="both"/>
            </w:pPr>
          </w:p>
        </w:tc>
        <w:tc>
          <w:tcPr>
            <w:tcW w:w="2250" w:type="dxa"/>
            <w:tcBorders>
              <w:top w:val="single" w:sz="4" w:space="0" w:color="auto"/>
              <w:left w:val="single" w:sz="6" w:space="0" w:color="000000"/>
              <w:bottom w:val="single" w:sz="4" w:space="0" w:color="auto"/>
              <w:right w:val="single" w:sz="6" w:space="0" w:color="000000"/>
            </w:tcBorders>
          </w:tcPr>
          <w:p w14:paraId="3ED8F20F" w14:textId="77777777" w:rsidR="001D504D" w:rsidRPr="009447E9" w:rsidRDefault="001D504D" w:rsidP="00FD0C32">
            <w:pPr>
              <w:pBdr>
                <w:top w:val="nil"/>
                <w:left w:val="nil"/>
                <w:bottom w:val="nil"/>
                <w:right w:val="nil"/>
                <w:between w:val="nil"/>
              </w:pBdr>
              <w:jc w:val="center"/>
              <w:rPr>
                <w:b/>
              </w:rPr>
            </w:pPr>
            <w:r w:rsidRPr="009447E9">
              <w:rPr>
                <w:b/>
              </w:rPr>
              <w:lastRenderedPageBreak/>
              <w:t>Ņemts vērā</w:t>
            </w:r>
          </w:p>
          <w:p w14:paraId="23CAF833" w14:textId="77777777" w:rsidR="001D504D" w:rsidRPr="009447E9" w:rsidRDefault="001D504D" w:rsidP="00FD0C32">
            <w:pPr>
              <w:pBdr>
                <w:top w:val="nil"/>
                <w:left w:val="nil"/>
                <w:bottom w:val="nil"/>
                <w:right w:val="nil"/>
                <w:between w:val="nil"/>
              </w:pBdr>
              <w:jc w:val="center"/>
              <w:rPr>
                <w:b/>
              </w:rPr>
            </w:pPr>
          </w:p>
        </w:tc>
        <w:tc>
          <w:tcPr>
            <w:tcW w:w="3723" w:type="dxa"/>
            <w:tcBorders>
              <w:top w:val="single" w:sz="4" w:space="0" w:color="000000"/>
              <w:left w:val="single" w:sz="4" w:space="0" w:color="000000"/>
              <w:bottom w:val="single" w:sz="4" w:space="0" w:color="000000"/>
            </w:tcBorders>
          </w:tcPr>
          <w:p w14:paraId="5BAE9938" w14:textId="77777777" w:rsidR="00FB13CE" w:rsidRPr="00FB13CE" w:rsidRDefault="00FB13CE" w:rsidP="00FB13CE">
            <w:pPr>
              <w:pBdr>
                <w:top w:val="nil"/>
                <w:left w:val="nil"/>
                <w:bottom w:val="nil"/>
                <w:right w:val="nil"/>
                <w:between w:val="nil"/>
              </w:pBdr>
              <w:spacing w:before="75" w:after="75"/>
              <w:jc w:val="both"/>
              <w:rPr>
                <w:b/>
                <w:bCs/>
              </w:rPr>
            </w:pPr>
            <w:r w:rsidRPr="00FB13CE">
              <w:rPr>
                <w:b/>
                <w:bCs/>
              </w:rPr>
              <w:t>2. 5. pantā:</w:t>
            </w:r>
          </w:p>
          <w:p w14:paraId="5438E7B6" w14:textId="77777777" w:rsidR="00FB13CE" w:rsidRPr="00854975" w:rsidRDefault="00FB13CE" w:rsidP="00FB13CE">
            <w:pPr>
              <w:pBdr>
                <w:top w:val="nil"/>
                <w:left w:val="nil"/>
                <w:bottom w:val="nil"/>
                <w:right w:val="nil"/>
                <w:between w:val="nil"/>
              </w:pBdr>
              <w:spacing w:before="75" w:after="75"/>
              <w:jc w:val="both"/>
            </w:pPr>
            <w:r w:rsidRPr="00854975">
              <w:lastRenderedPageBreak/>
              <w:t>...</w:t>
            </w:r>
          </w:p>
          <w:p w14:paraId="261E2050" w14:textId="77777777" w:rsidR="00FB13CE" w:rsidRPr="00854975" w:rsidRDefault="00FB13CE" w:rsidP="00FB13CE">
            <w:pPr>
              <w:pBdr>
                <w:top w:val="nil"/>
                <w:left w:val="nil"/>
                <w:bottom w:val="nil"/>
                <w:right w:val="nil"/>
                <w:between w:val="nil"/>
              </w:pBdr>
              <w:spacing w:before="75" w:after="75"/>
              <w:jc w:val="both"/>
              <w:rPr>
                <w:bCs/>
              </w:rPr>
            </w:pPr>
            <w:r w:rsidRPr="00854975">
              <w:rPr>
                <w:bCs/>
              </w:rPr>
              <w:t>papildināt sesto daļu ar 8., 9., 10. un 11. punktu šādā redakcijā:</w:t>
            </w:r>
          </w:p>
          <w:p w14:paraId="6CCA65D1" w14:textId="77777777" w:rsidR="00FB13CE" w:rsidRPr="00854975" w:rsidRDefault="00FB13CE" w:rsidP="00FB13CE">
            <w:pPr>
              <w:pBdr>
                <w:top w:val="nil"/>
                <w:left w:val="nil"/>
                <w:bottom w:val="nil"/>
                <w:right w:val="nil"/>
                <w:between w:val="nil"/>
              </w:pBdr>
              <w:spacing w:before="75" w:after="75"/>
              <w:jc w:val="both"/>
            </w:pPr>
            <w:r w:rsidRPr="00854975">
              <w:t>“...</w:t>
            </w:r>
          </w:p>
          <w:p w14:paraId="5328A5AC" w14:textId="3DFCEDEC" w:rsidR="001D504D" w:rsidRDefault="00FB13CE" w:rsidP="00FD0C32">
            <w:pPr>
              <w:pBdr>
                <w:top w:val="nil"/>
                <w:left w:val="nil"/>
                <w:bottom w:val="nil"/>
                <w:right w:val="nil"/>
                <w:between w:val="nil"/>
              </w:pBdr>
              <w:spacing w:before="75" w:after="75"/>
              <w:jc w:val="both"/>
            </w:pPr>
            <w:r w:rsidRPr="00854975">
              <w:t>10)</w:t>
            </w:r>
            <w:r>
              <w:rPr>
                <w:b/>
              </w:rPr>
              <w:t xml:space="preserve"> </w:t>
            </w:r>
            <w:r w:rsidR="00F378AE" w:rsidRPr="002031EA">
              <w:t>komersants pārkāpj starptautiskajos līgumos ietvertos ierobežojumus, vai tā darbība vērsta pret Latvijas Republikas drošību, ir saistīta ar organizēto noziedzību vai citām kriminālsodāmām darbībām saskaņā ar valsts drošības iestāžu rīcībā esošām ziņām</w:t>
            </w:r>
            <w:r w:rsidR="00815F2B">
              <w:t>.</w:t>
            </w:r>
          </w:p>
          <w:p w14:paraId="3CA092B2" w14:textId="0CD46883" w:rsidR="00FB13CE" w:rsidRPr="001B19FB" w:rsidRDefault="00FB13CE" w:rsidP="00FD0C32">
            <w:pPr>
              <w:pBdr>
                <w:top w:val="nil"/>
                <w:left w:val="nil"/>
                <w:bottom w:val="nil"/>
                <w:right w:val="nil"/>
                <w:between w:val="nil"/>
              </w:pBdr>
              <w:spacing w:before="75" w:after="75"/>
              <w:jc w:val="both"/>
            </w:pPr>
            <w:r>
              <w:t>...”</w:t>
            </w:r>
          </w:p>
        </w:tc>
      </w:tr>
      <w:tr w:rsidR="001D504D" w14:paraId="6F476D47" w14:textId="77777777" w:rsidTr="00090F15">
        <w:tc>
          <w:tcPr>
            <w:tcW w:w="707" w:type="dxa"/>
            <w:tcBorders>
              <w:top w:val="single" w:sz="4" w:space="0" w:color="auto"/>
              <w:left w:val="single" w:sz="6" w:space="0" w:color="000000"/>
              <w:bottom w:val="single" w:sz="4" w:space="0" w:color="auto"/>
              <w:right w:val="single" w:sz="6" w:space="0" w:color="000000"/>
            </w:tcBorders>
          </w:tcPr>
          <w:p w14:paraId="6995BE09" w14:textId="2B404DF4" w:rsidR="001D504D" w:rsidRPr="009D1C07" w:rsidRDefault="001D504D" w:rsidP="002A0E0D">
            <w:pPr>
              <w:pBdr>
                <w:top w:val="nil"/>
                <w:left w:val="nil"/>
                <w:bottom w:val="nil"/>
                <w:right w:val="nil"/>
                <w:between w:val="nil"/>
              </w:pBdr>
              <w:ind w:firstLine="720"/>
              <w:rPr>
                <w:b/>
              </w:rPr>
            </w:pPr>
            <w:r w:rsidRPr="009D1C07">
              <w:rPr>
                <w:b/>
              </w:rPr>
              <w:lastRenderedPageBreak/>
              <w:t>81</w:t>
            </w:r>
            <w:r w:rsidR="00FB13CE">
              <w:rPr>
                <w:b/>
              </w:rPr>
              <w:t>3</w:t>
            </w:r>
            <w:r w:rsidRPr="009D1C07">
              <w:rPr>
                <w:b/>
              </w:rPr>
              <w:t>.</w:t>
            </w:r>
          </w:p>
        </w:tc>
        <w:tc>
          <w:tcPr>
            <w:tcW w:w="3721" w:type="dxa"/>
            <w:tcBorders>
              <w:top w:val="single" w:sz="4" w:space="0" w:color="auto"/>
              <w:left w:val="single" w:sz="6" w:space="0" w:color="000000"/>
              <w:bottom w:val="single" w:sz="4" w:space="0" w:color="auto"/>
              <w:right w:val="single" w:sz="6" w:space="0" w:color="000000"/>
            </w:tcBorders>
          </w:tcPr>
          <w:p w14:paraId="27F402E5" w14:textId="77777777" w:rsidR="0079533C" w:rsidRPr="0079533C" w:rsidRDefault="0079533C" w:rsidP="0079533C">
            <w:pPr>
              <w:pBdr>
                <w:top w:val="nil"/>
                <w:left w:val="nil"/>
                <w:bottom w:val="nil"/>
                <w:right w:val="nil"/>
                <w:between w:val="nil"/>
              </w:pBdr>
              <w:spacing w:before="75" w:after="75"/>
              <w:jc w:val="both"/>
              <w:rPr>
                <w:b/>
                <w:bCs/>
              </w:rPr>
            </w:pPr>
            <w:r w:rsidRPr="0079533C">
              <w:rPr>
                <w:b/>
                <w:bCs/>
              </w:rPr>
              <w:t>2. 5. pantā:</w:t>
            </w:r>
          </w:p>
          <w:p w14:paraId="571FCE53" w14:textId="77777777" w:rsidR="0079533C" w:rsidRPr="00090F15" w:rsidRDefault="0079533C" w:rsidP="0079533C">
            <w:pPr>
              <w:pBdr>
                <w:top w:val="nil"/>
                <w:left w:val="nil"/>
                <w:bottom w:val="nil"/>
                <w:right w:val="nil"/>
                <w:between w:val="nil"/>
              </w:pBdr>
              <w:spacing w:before="75" w:after="75"/>
              <w:jc w:val="both"/>
            </w:pPr>
            <w:r w:rsidRPr="00090F15">
              <w:t>...</w:t>
            </w:r>
          </w:p>
          <w:p w14:paraId="75BEC736" w14:textId="3D6A4662" w:rsidR="0079533C" w:rsidRPr="00090F15" w:rsidRDefault="0079533C" w:rsidP="00FD0C32">
            <w:pPr>
              <w:pBdr>
                <w:top w:val="nil"/>
                <w:left w:val="nil"/>
                <w:bottom w:val="nil"/>
                <w:right w:val="nil"/>
                <w:between w:val="nil"/>
              </w:pBdr>
              <w:spacing w:before="75" w:after="75"/>
              <w:jc w:val="both"/>
              <w:rPr>
                <w:bCs/>
              </w:rPr>
            </w:pPr>
            <w:r w:rsidRPr="00090F15">
              <w:rPr>
                <w:bCs/>
              </w:rPr>
              <w:t>papildināt ar piecpadsmito, daļu šādā redakcijā:</w:t>
            </w:r>
          </w:p>
          <w:p w14:paraId="3116BA8E" w14:textId="471BAF60" w:rsidR="009D1C07" w:rsidRDefault="0079533C" w:rsidP="00FD0C32">
            <w:pPr>
              <w:pBdr>
                <w:top w:val="nil"/>
                <w:left w:val="nil"/>
                <w:bottom w:val="nil"/>
                <w:right w:val="nil"/>
                <w:between w:val="nil"/>
              </w:pBdr>
              <w:spacing w:before="75" w:after="75"/>
              <w:jc w:val="both"/>
            </w:pPr>
            <w:r w:rsidRPr="00090F15">
              <w:t>“ (15)</w:t>
            </w:r>
            <w:r>
              <w:rPr>
                <w:b/>
              </w:rPr>
              <w:t xml:space="preserve"> </w:t>
            </w:r>
            <w:r w:rsidR="008C7581" w:rsidRPr="002031EA">
              <w:t xml:space="preserve">Aizsardzības ministrijas izveidotā komisija militāram ražotājam izsniedz īpašus nosacījumus konkrētās stratēģiskas nozīmes preces ražošanai atbilstoši Ieroču aprites likumā noteiktajam </w:t>
            </w:r>
            <w:r w:rsidR="008C7581" w:rsidRPr="002031EA">
              <w:lastRenderedPageBreak/>
              <w:t>un kontrolē to izpildi. Īpašo nosacījumu pārsūdzēšanas laikā militārā ražotāja sertifikāta darbība tiek apturēta.</w:t>
            </w:r>
            <w:r>
              <w:t>”.</w:t>
            </w:r>
          </w:p>
          <w:p w14:paraId="30A84180" w14:textId="6D55C9E6" w:rsidR="0079533C" w:rsidRPr="009D1C07" w:rsidRDefault="0079533C" w:rsidP="00FD0C32">
            <w:pPr>
              <w:pBdr>
                <w:top w:val="nil"/>
                <w:left w:val="nil"/>
                <w:bottom w:val="nil"/>
                <w:right w:val="nil"/>
                <w:between w:val="nil"/>
              </w:pBdr>
              <w:spacing w:before="75" w:after="75"/>
              <w:jc w:val="both"/>
            </w:pPr>
            <w:r>
              <w:t>...</w:t>
            </w:r>
          </w:p>
        </w:tc>
        <w:tc>
          <w:tcPr>
            <w:tcW w:w="4590" w:type="dxa"/>
            <w:tcBorders>
              <w:top w:val="single" w:sz="4" w:space="0" w:color="auto"/>
              <w:left w:val="single" w:sz="6" w:space="0" w:color="000000"/>
              <w:bottom w:val="single" w:sz="4" w:space="0" w:color="auto"/>
              <w:right w:val="single" w:sz="6" w:space="0" w:color="000000"/>
            </w:tcBorders>
          </w:tcPr>
          <w:p w14:paraId="0C3A10FC" w14:textId="36900407" w:rsidR="001D504D" w:rsidRPr="009D1C07" w:rsidRDefault="001D504D" w:rsidP="002A0E0D">
            <w:pPr>
              <w:pBdr>
                <w:top w:val="nil"/>
                <w:left w:val="nil"/>
                <w:bottom w:val="nil"/>
                <w:right w:val="nil"/>
                <w:between w:val="nil"/>
              </w:pBdr>
              <w:spacing w:before="75" w:after="75"/>
              <w:ind w:hanging="14"/>
              <w:jc w:val="center"/>
              <w:rPr>
                <w:b/>
              </w:rPr>
            </w:pPr>
            <w:r w:rsidRPr="009D1C07">
              <w:rPr>
                <w:b/>
              </w:rPr>
              <w:lastRenderedPageBreak/>
              <w:t xml:space="preserve">Tieslietu ministrijas </w:t>
            </w:r>
            <w:r w:rsidR="00AC33D2">
              <w:rPr>
                <w:b/>
              </w:rPr>
              <w:t>iebildums</w:t>
            </w:r>
            <w:r w:rsidR="00543F6C">
              <w:rPr>
                <w:b/>
              </w:rPr>
              <w:t xml:space="preserve"> (12.09.2019.)</w:t>
            </w:r>
          </w:p>
          <w:p w14:paraId="599132E7" w14:textId="77777777" w:rsidR="008C7581" w:rsidRPr="002031EA" w:rsidRDefault="008C7581" w:rsidP="008C7581">
            <w:pPr>
              <w:ind w:right="12"/>
              <w:jc w:val="both"/>
            </w:pPr>
            <w:r w:rsidRPr="002031EA">
              <w:t xml:space="preserve">Likumprojekta 2. pantā izteiktajā likuma 5. panta 15. daļā noradīts, ka “Aizsardzības ministrijas izveidota komisija militāram ražotājam izsniedz īpašus nosacījumus konkrētās stratēģiskās nozīmes preces ražošanai atbilstoši Ieroču aprites likumā noteiktajam un kontrolē to izpildi. Īpašo nosacījumu pārsūdzēšanas laikā militārā </w:t>
            </w:r>
            <w:r w:rsidRPr="002031EA">
              <w:lastRenderedPageBreak/>
              <w:t>ražotāja sertifikāta darbība tiek apturēta”.</w:t>
            </w:r>
          </w:p>
          <w:p w14:paraId="325AA07C" w14:textId="77777777" w:rsidR="008C7581" w:rsidRPr="002031EA" w:rsidRDefault="008C7581" w:rsidP="008C7581">
            <w:pPr>
              <w:ind w:right="12"/>
              <w:jc w:val="both"/>
            </w:pPr>
            <w:r w:rsidRPr="002031EA">
              <w:t xml:space="preserve">Pirmkārt, nav saprotams, kā iespējams “izsniegt nosacījumus”. </w:t>
            </w:r>
          </w:p>
          <w:p w14:paraId="22C5639D" w14:textId="59CB8358" w:rsidR="001D504D" w:rsidRPr="009D1C07" w:rsidRDefault="008C7581" w:rsidP="008C7581">
            <w:pPr>
              <w:pBdr>
                <w:top w:val="nil"/>
                <w:left w:val="nil"/>
                <w:bottom w:val="nil"/>
                <w:right w:val="nil"/>
                <w:between w:val="nil"/>
              </w:pBdr>
              <w:spacing w:before="75" w:after="75"/>
              <w:ind w:hanging="14"/>
              <w:jc w:val="both"/>
            </w:pPr>
            <w:r w:rsidRPr="002031EA">
              <w:t>Otrkārt, uzsveram, ka nosacījumu pārsūdzēšanas kārtība, kas ietekmē privātpersonu tiesības un pienākumus, ietverama ārējā normatīvā aktā. Ievērojot minēto, lūdzam attiecīgo nosacījumu pārsūdzēšanas kārtību ietvert likumprojektā, vienlaikus gramatiski precizējot likumprojektu.</w:t>
            </w:r>
          </w:p>
        </w:tc>
        <w:tc>
          <w:tcPr>
            <w:tcW w:w="2250" w:type="dxa"/>
            <w:tcBorders>
              <w:top w:val="single" w:sz="4" w:space="0" w:color="auto"/>
              <w:left w:val="single" w:sz="6" w:space="0" w:color="000000"/>
              <w:bottom w:val="single" w:sz="4" w:space="0" w:color="auto"/>
              <w:right w:val="single" w:sz="6" w:space="0" w:color="000000"/>
            </w:tcBorders>
          </w:tcPr>
          <w:p w14:paraId="098B4FDC" w14:textId="77777777" w:rsidR="001D504D" w:rsidRPr="009D1C07" w:rsidRDefault="001D504D" w:rsidP="00FD0C32">
            <w:pPr>
              <w:pBdr>
                <w:top w:val="nil"/>
                <w:left w:val="nil"/>
                <w:bottom w:val="nil"/>
                <w:right w:val="nil"/>
                <w:between w:val="nil"/>
              </w:pBdr>
              <w:jc w:val="center"/>
              <w:rPr>
                <w:b/>
              </w:rPr>
            </w:pPr>
            <w:r w:rsidRPr="009D1C07">
              <w:rPr>
                <w:b/>
              </w:rPr>
              <w:lastRenderedPageBreak/>
              <w:t>Ņemts vērā</w:t>
            </w:r>
          </w:p>
          <w:p w14:paraId="40836BE3" w14:textId="12F1A4AE" w:rsidR="001D504D" w:rsidRPr="008C7581" w:rsidRDefault="00EE20D5" w:rsidP="008C7581">
            <w:pPr>
              <w:pBdr>
                <w:top w:val="nil"/>
                <w:left w:val="nil"/>
                <w:bottom w:val="nil"/>
                <w:right w:val="nil"/>
                <w:between w:val="nil"/>
              </w:pBdr>
              <w:jc w:val="both"/>
            </w:pPr>
            <w:r w:rsidRPr="002031EA">
              <w:t>Saskaņā ar Ieroču aprites likuma 79. panta ceturto daļu,</w:t>
            </w:r>
            <w:r w:rsidR="00CA6D01" w:rsidRPr="002031EA">
              <w:t xml:space="preserve"> </w:t>
            </w:r>
            <w:r w:rsidRPr="002031EA">
              <w:t xml:space="preserve">militārā ražotāja sertifikāta izsniegšanai izveidotā Aizsardzības ministrijas komisija šā sertifikāta </w:t>
            </w:r>
            <w:r w:rsidRPr="002031EA">
              <w:rPr>
                <w:u w:val="single"/>
              </w:rPr>
              <w:lastRenderedPageBreak/>
              <w:t>īpašajos nosacījumos</w:t>
            </w:r>
            <w:r w:rsidRPr="002031EA">
              <w:t xml:space="preserve"> iekļauj prasības tajā norādītā konkrētā militārā ieroča vai speciālā līdzekļa izgatavošanai. Tādējādi, vienlaikus ar militārā ražotāja sertifikātu tiek izsniegti ražošanas īpaši nosacījumi.</w:t>
            </w:r>
          </w:p>
        </w:tc>
        <w:tc>
          <w:tcPr>
            <w:tcW w:w="3723" w:type="dxa"/>
            <w:tcBorders>
              <w:top w:val="single" w:sz="4" w:space="0" w:color="000000"/>
              <w:left w:val="single" w:sz="4" w:space="0" w:color="000000"/>
              <w:bottom w:val="single" w:sz="4" w:space="0" w:color="000000"/>
            </w:tcBorders>
          </w:tcPr>
          <w:p w14:paraId="32D2A437" w14:textId="77777777" w:rsidR="0079533C" w:rsidRPr="0079533C" w:rsidRDefault="0079533C" w:rsidP="0079533C">
            <w:pPr>
              <w:pBdr>
                <w:top w:val="nil"/>
                <w:left w:val="nil"/>
                <w:bottom w:val="nil"/>
                <w:right w:val="nil"/>
                <w:between w:val="nil"/>
              </w:pBdr>
              <w:spacing w:before="75" w:after="75"/>
              <w:jc w:val="both"/>
              <w:rPr>
                <w:b/>
                <w:bCs/>
              </w:rPr>
            </w:pPr>
            <w:r w:rsidRPr="0079533C">
              <w:rPr>
                <w:b/>
                <w:bCs/>
              </w:rPr>
              <w:lastRenderedPageBreak/>
              <w:t>2. 5. pantā:</w:t>
            </w:r>
          </w:p>
          <w:p w14:paraId="55F29D6F" w14:textId="77777777" w:rsidR="0079533C" w:rsidRPr="00854975" w:rsidRDefault="0079533C" w:rsidP="0079533C">
            <w:pPr>
              <w:pBdr>
                <w:top w:val="nil"/>
                <w:left w:val="nil"/>
                <w:bottom w:val="nil"/>
                <w:right w:val="nil"/>
                <w:between w:val="nil"/>
              </w:pBdr>
              <w:spacing w:before="75" w:after="75"/>
              <w:jc w:val="both"/>
            </w:pPr>
            <w:r w:rsidRPr="00854975">
              <w:t>...</w:t>
            </w:r>
          </w:p>
          <w:p w14:paraId="586CFAD4" w14:textId="0EF0E729" w:rsidR="0079533C" w:rsidRPr="00090F15" w:rsidRDefault="0079533C" w:rsidP="00EE20D5">
            <w:pPr>
              <w:pBdr>
                <w:top w:val="nil"/>
                <w:left w:val="nil"/>
                <w:bottom w:val="nil"/>
                <w:right w:val="nil"/>
                <w:between w:val="nil"/>
              </w:pBdr>
              <w:spacing w:before="75" w:after="75"/>
              <w:jc w:val="both"/>
              <w:rPr>
                <w:bCs/>
              </w:rPr>
            </w:pPr>
            <w:r w:rsidRPr="00090F15">
              <w:rPr>
                <w:bCs/>
              </w:rPr>
              <w:t>papildināt ar piecpadsmito, sešpadsmito, septiņpadsmito, un astoņpadsmito daļu šādā redakcijā:</w:t>
            </w:r>
          </w:p>
          <w:p w14:paraId="73ED5DE0" w14:textId="54015B5E" w:rsidR="0079533C" w:rsidRDefault="0079533C" w:rsidP="00090F15">
            <w:pPr>
              <w:jc w:val="both"/>
            </w:pPr>
            <w:r w:rsidRPr="00090F15">
              <w:t xml:space="preserve">“ (15) </w:t>
            </w:r>
            <w:r w:rsidR="00CB606D" w:rsidRPr="002031EA">
              <w:t xml:space="preserve">Aizsardzības ministrijas izveidotā komisija militāram ražotājam izsniedz </w:t>
            </w:r>
            <w:r w:rsidR="00CB606D" w:rsidRPr="002031EA">
              <w:rPr>
                <w:u w:val="single"/>
              </w:rPr>
              <w:t>lēmumu ar īpašiem nosacījumiem</w:t>
            </w:r>
            <w:r w:rsidR="00CB606D" w:rsidRPr="002031EA">
              <w:t xml:space="preserve"> konkrētās stratēģiskas nozīmes preces </w:t>
            </w:r>
            <w:r w:rsidR="00CB606D" w:rsidRPr="002031EA">
              <w:lastRenderedPageBreak/>
              <w:t>ražošanai atbilstoši Ieroču aprites likumā noteiktajam un kontrolē to izpildi.</w:t>
            </w:r>
          </w:p>
          <w:p w14:paraId="4F5B0A30" w14:textId="43384F79" w:rsidR="001D504D" w:rsidRDefault="0079533C" w:rsidP="00090F15">
            <w:pPr>
              <w:jc w:val="both"/>
            </w:pPr>
            <w:r w:rsidRPr="002031EA" w:rsidDel="0079533C">
              <w:t xml:space="preserve"> </w:t>
            </w:r>
            <w:r>
              <w:t xml:space="preserve">(16) </w:t>
            </w:r>
            <w:r w:rsidR="00CB606D">
              <w:t>Š</w:t>
            </w:r>
            <w:r w:rsidR="00CB606D" w:rsidRPr="002031EA">
              <w:t>ā panta piecpadsmitās daļas lēmumu var apstrīdēt un pārsūdzēt Administratīvā procesa likumā noteiktajā kārtībā. Lēmuma apstrīdēšana un pārsūdzēšana neaptur tā darbību.</w:t>
            </w:r>
          </w:p>
          <w:p w14:paraId="0CCEA974" w14:textId="3571EF6E" w:rsidR="0079533C" w:rsidRPr="00EE20D5" w:rsidRDefault="0079533C" w:rsidP="00090F15">
            <w:pPr>
              <w:jc w:val="both"/>
            </w:pPr>
            <w:r>
              <w:t>...”.</w:t>
            </w:r>
          </w:p>
        </w:tc>
      </w:tr>
      <w:tr w:rsidR="001D504D" w14:paraId="1DFBCDD4" w14:textId="77777777" w:rsidTr="00090F15">
        <w:tc>
          <w:tcPr>
            <w:tcW w:w="707" w:type="dxa"/>
            <w:tcBorders>
              <w:top w:val="single" w:sz="4" w:space="0" w:color="auto"/>
              <w:left w:val="single" w:sz="6" w:space="0" w:color="000000"/>
              <w:bottom w:val="single" w:sz="4" w:space="0" w:color="auto"/>
              <w:right w:val="single" w:sz="6" w:space="0" w:color="000000"/>
            </w:tcBorders>
          </w:tcPr>
          <w:p w14:paraId="3B6ED509" w14:textId="624DBA68" w:rsidR="001D504D" w:rsidRPr="00837BC2" w:rsidRDefault="001D504D" w:rsidP="00FD0C32">
            <w:pPr>
              <w:pBdr>
                <w:top w:val="nil"/>
                <w:left w:val="nil"/>
                <w:bottom w:val="nil"/>
                <w:right w:val="nil"/>
                <w:between w:val="nil"/>
              </w:pBdr>
              <w:ind w:firstLine="720"/>
              <w:rPr>
                <w:b/>
              </w:rPr>
            </w:pPr>
            <w:r w:rsidRPr="00837BC2">
              <w:rPr>
                <w:b/>
              </w:rPr>
              <w:lastRenderedPageBreak/>
              <w:t>8</w:t>
            </w:r>
            <w:r w:rsidR="0079533C">
              <w:rPr>
                <w:b/>
              </w:rPr>
              <w:t>14</w:t>
            </w:r>
            <w:r w:rsidRPr="00837BC2">
              <w:rPr>
                <w:b/>
              </w:rPr>
              <w:t>.</w:t>
            </w:r>
          </w:p>
        </w:tc>
        <w:tc>
          <w:tcPr>
            <w:tcW w:w="3721" w:type="dxa"/>
            <w:tcBorders>
              <w:top w:val="single" w:sz="4" w:space="0" w:color="auto"/>
              <w:left w:val="single" w:sz="6" w:space="0" w:color="000000"/>
              <w:bottom w:val="single" w:sz="4" w:space="0" w:color="auto"/>
              <w:right w:val="single" w:sz="6" w:space="0" w:color="000000"/>
            </w:tcBorders>
          </w:tcPr>
          <w:p w14:paraId="25EF7F21" w14:textId="3EB7B4B0" w:rsidR="001D504D" w:rsidRPr="00837BC2" w:rsidRDefault="00126CDE" w:rsidP="00FD0C32">
            <w:pPr>
              <w:pBdr>
                <w:top w:val="nil"/>
                <w:left w:val="nil"/>
                <w:bottom w:val="nil"/>
                <w:right w:val="nil"/>
                <w:between w:val="nil"/>
              </w:pBdr>
              <w:spacing w:before="75" w:after="75"/>
              <w:jc w:val="both"/>
              <w:rPr>
                <w:b/>
              </w:rPr>
            </w:pPr>
            <w:r w:rsidRPr="00837BC2">
              <w:rPr>
                <w:b/>
              </w:rPr>
              <w:t>Likumprojekta anotācija</w:t>
            </w:r>
          </w:p>
        </w:tc>
        <w:tc>
          <w:tcPr>
            <w:tcW w:w="4590" w:type="dxa"/>
            <w:tcBorders>
              <w:top w:val="single" w:sz="4" w:space="0" w:color="auto"/>
              <w:left w:val="single" w:sz="6" w:space="0" w:color="000000"/>
              <w:bottom w:val="single" w:sz="4" w:space="0" w:color="auto"/>
              <w:right w:val="single" w:sz="6" w:space="0" w:color="000000"/>
            </w:tcBorders>
          </w:tcPr>
          <w:p w14:paraId="7816C58D" w14:textId="23704901" w:rsidR="001D504D" w:rsidRPr="00837BC2" w:rsidRDefault="00837BC2" w:rsidP="002A0E0D">
            <w:pPr>
              <w:pBdr>
                <w:top w:val="nil"/>
                <w:left w:val="nil"/>
                <w:bottom w:val="nil"/>
                <w:right w:val="nil"/>
                <w:between w:val="nil"/>
              </w:pBdr>
              <w:spacing w:before="75" w:after="75"/>
              <w:ind w:hanging="14"/>
              <w:jc w:val="center"/>
              <w:rPr>
                <w:b/>
              </w:rPr>
            </w:pPr>
            <w:r>
              <w:rPr>
                <w:b/>
              </w:rPr>
              <w:t xml:space="preserve">Iekšlietu </w:t>
            </w:r>
            <w:r w:rsidR="001D504D" w:rsidRPr="00837BC2">
              <w:rPr>
                <w:b/>
              </w:rPr>
              <w:t xml:space="preserve">ministrijas </w:t>
            </w:r>
            <w:r>
              <w:rPr>
                <w:b/>
              </w:rPr>
              <w:t>iebildums</w:t>
            </w:r>
            <w:r w:rsidR="00543F6C">
              <w:rPr>
                <w:b/>
              </w:rPr>
              <w:t xml:space="preserve"> (12.09.2019.)</w:t>
            </w:r>
          </w:p>
          <w:p w14:paraId="22329CC3" w14:textId="77777777" w:rsidR="00837BC2" w:rsidRPr="00570595" w:rsidRDefault="00837BC2" w:rsidP="00837BC2">
            <w:pPr>
              <w:jc w:val="both"/>
            </w:pPr>
            <w:r w:rsidRPr="00570595">
              <w:t>Precizēt likumprojekta anotācijas IV. sadaļu, jo šobrīd anotācijas IV. sadaļā nav sniegts pilnīgs priekšstats par likumprojekta radīto ietekmi uz spēkā esošo tiesību normu sistēmu.</w:t>
            </w:r>
          </w:p>
          <w:p w14:paraId="0AB49792" w14:textId="77777777" w:rsidR="00837BC2" w:rsidRPr="00570595" w:rsidRDefault="00837BC2" w:rsidP="00837BC2">
            <w:pPr>
              <w:jc w:val="both"/>
            </w:pPr>
            <w:r w:rsidRPr="00570595">
              <w:t xml:space="preserve">Izstrādājot likumprojektu, nav ņemts vērā Ministru kabineta 2012. gada 8. maija noteikumu Nr. 331 “Kārtība, kādā izsniedz speciālās atļaujas (licences) komercdarbībai ar Eiropas Savienības Kopējā militāro preču sarakstā minētajām precēm” (turpmāk - MK noteikumi) 7. punktā ietvertais tiesiskais regulējums.  </w:t>
            </w:r>
          </w:p>
          <w:p w14:paraId="4D276E64" w14:textId="77777777" w:rsidR="00837BC2" w:rsidRPr="00570595" w:rsidRDefault="00837BC2" w:rsidP="00837BC2">
            <w:pPr>
              <w:jc w:val="both"/>
            </w:pPr>
            <w:r w:rsidRPr="00570595">
              <w:t xml:space="preserve">MK noteikumu 7. punkta 7.6.2. apakšpunkts noteic, ka gadījumā, ja licencēšanas komisija valsts informācijas sistēmās vai datubāzēs nevar iegūt informāciju, lai izvērtētu licences pretendenta atbilstību Stratēģiskas nozīmes preču aprites likuma 5. panta ceturtajā daļā </w:t>
            </w:r>
            <w:r w:rsidRPr="00570595">
              <w:lastRenderedPageBreak/>
              <w:t>izvirzītajām prasībām, tā pēc šo noteikumu 3. punktā minētā iesnieguma saņemšanas pieprasa Valsts policijai ziņas par tiem komersantiem, kuriem ir anulēta speciālā atļauja (licence) komercdarbībai ar ieročiem, munīciju vai pirotehniskiem izstrādājumiem, sprāgstvielām un spridzināšanas ietaisēm saskaņā ar Stratēģiskas nozīmes preču aprites likuma 5. panta ceturtās daļas 14. punktu.</w:t>
            </w:r>
          </w:p>
          <w:p w14:paraId="7CC2CE90" w14:textId="0F64D64A" w:rsidR="00837BC2" w:rsidRPr="00570595" w:rsidRDefault="00837BC2" w:rsidP="00837BC2">
            <w:pPr>
              <w:jc w:val="both"/>
            </w:pPr>
            <w:r w:rsidRPr="00570595">
              <w:t>Izstrādājot likumprojektu un tā anotāciju, nav ņemts vērā, ka, izsakot Likuma 5. panta ceturto daļu jaunā redakcijā, izveidojas pretruna ar MK noteikumu 7. punkta 7.6.2. apakšpunktu, jo</w:t>
            </w:r>
            <w:r>
              <w:t>,</w:t>
            </w:r>
            <w:r w:rsidRPr="00570595">
              <w:t xml:space="preserve"> izdarot likumprojektā ietvertos grozījumus Likuma 5. panta ceturtajā daļā, MK noteikumu 7. punkta 7.6.2. apakšpunktā būs atsauce uz neesošu tiesību normu – Stratēģiskas nozīmes preču aprites likuma 5. panta ceturtās daļas 14. punktu. </w:t>
            </w:r>
          </w:p>
          <w:p w14:paraId="6F28B178" w14:textId="587B5B27" w:rsidR="001D504D" w:rsidRPr="00837BC2" w:rsidRDefault="00837BC2" w:rsidP="00837BC2">
            <w:pPr>
              <w:pBdr>
                <w:top w:val="nil"/>
                <w:left w:val="nil"/>
                <w:bottom w:val="nil"/>
                <w:right w:val="nil"/>
                <w:between w:val="nil"/>
              </w:pBdr>
              <w:spacing w:before="75" w:after="75"/>
              <w:ind w:hanging="14"/>
              <w:jc w:val="both"/>
            </w:pPr>
            <w:r w:rsidRPr="00570595">
              <w:t>Ņemot vērā minēto, likumprojekta anotācijas IV. sadaļā ir jāprecizē, ka saistībā ar likumprojektu ir jāizstrādā grozījumi arī MK noteikumos.</w:t>
            </w:r>
          </w:p>
        </w:tc>
        <w:tc>
          <w:tcPr>
            <w:tcW w:w="2250" w:type="dxa"/>
            <w:tcBorders>
              <w:top w:val="single" w:sz="4" w:space="0" w:color="auto"/>
              <w:left w:val="single" w:sz="6" w:space="0" w:color="000000"/>
              <w:bottom w:val="single" w:sz="4" w:space="0" w:color="auto"/>
              <w:right w:val="single" w:sz="6" w:space="0" w:color="000000"/>
            </w:tcBorders>
          </w:tcPr>
          <w:p w14:paraId="072D4773" w14:textId="77777777" w:rsidR="001D504D" w:rsidRPr="00837BC2" w:rsidRDefault="001D504D" w:rsidP="00FD0C32">
            <w:pPr>
              <w:pBdr>
                <w:top w:val="nil"/>
                <w:left w:val="nil"/>
                <w:bottom w:val="nil"/>
                <w:right w:val="nil"/>
                <w:between w:val="nil"/>
              </w:pBdr>
              <w:jc w:val="center"/>
              <w:rPr>
                <w:b/>
              </w:rPr>
            </w:pPr>
            <w:r w:rsidRPr="00837BC2">
              <w:rPr>
                <w:b/>
              </w:rPr>
              <w:lastRenderedPageBreak/>
              <w:t>Ņemts vērā</w:t>
            </w:r>
          </w:p>
          <w:p w14:paraId="6F1ACE2E" w14:textId="77777777" w:rsidR="001D504D" w:rsidRPr="00837BC2" w:rsidRDefault="001D504D" w:rsidP="00FD0C32">
            <w:pPr>
              <w:pBdr>
                <w:top w:val="nil"/>
                <w:left w:val="nil"/>
                <w:bottom w:val="nil"/>
                <w:right w:val="nil"/>
                <w:between w:val="nil"/>
              </w:pBdr>
              <w:jc w:val="center"/>
              <w:rPr>
                <w:b/>
              </w:rPr>
            </w:pPr>
          </w:p>
        </w:tc>
        <w:tc>
          <w:tcPr>
            <w:tcW w:w="3723" w:type="dxa"/>
            <w:tcBorders>
              <w:top w:val="single" w:sz="4" w:space="0" w:color="000000"/>
              <w:left w:val="single" w:sz="4" w:space="0" w:color="000000"/>
              <w:bottom w:val="single" w:sz="4" w:space="0" w:color="000000"/>
            </w:tcBorders>
          </w:tcPr>
          <w:p w14:paraId="7264BEE2" w14:textId="5A5B0847" w:rsidR="001D504D" w:rsidRPr="00837BC2" w:rsidRDefault="00126CDE" w:rsidP="00FD0C32">
            <w:pPr>
              <w:pBdr>
                <w:top w:val="nil"/>
                <w:left w:val="nil"/>
                <w:bottom w:val="nil"/>
                <w:right w:val="nil"/>
                <w:between w:val="nil"/>
              </w:pBdr>
              <w:spacing w:before="75" w:after="75"/>
              <w:jc w:val="both"/>
              <w:rPr>
                <w:b/>
              </w:rPr>
            </w:pPr>
            <w:r w:rsidRPr="00837BC2">
              <w:t>Likumprojekta anotācija ir precizēta.</w:t>
            </w:r>
          </w:p>
        </w:tc>
      </w:tr>
      <w:tr w:rsidR="00AF0198" w14:paraId="355E3754" w14:textId="77777777" w:rsidTr="00090F15">
        <w:tc>
          <w:tcPr>
            <w:tcW w:w="707" w:type="dxa"/>
            <w:tcBorders>
              <w:top w:val="single" w:sz="4" w:space="0" w:color="auto"/>
              <w:left w:val="single" w:sz="6" w:space="0" w:color="000000"/>
              <w:bottom w:val="single" w:sz="4" w:space="0" w:color="auto"/>
              <w:right w:val="single" w:sz="6" w:space="0" w:color="000000"/>
            </w:tcBorders>
          </w:tcPr>
          <w:p w14:paraId="24B4BFD9" w14:textId="5AF525BC" w:rsidR="00AF0198" w:rsidRPr="00060FEA" w:rsidRDefault="00AF0198" w:rsidP="002A0E0D">
            <w:pPr>
              <w:pBdr>
                <w:top w:val="nil"/>
                <w:left w:val="nil"/>
                <w:bottom w:val="nil"/>
                <w:right w:val="nil"/>
                <w:between w:val="nil"/>
              </w:pBdr>
              <w:ind w:firstLine="720"/>
              <w:rPr>
                <w:b/>
              </w:rPr>
            </w:pPr>
            <w:r w:rsidRPr="00060FEA">
              <w:rPr>
                <w:b/>
              </w:rPr>
              <w:t>8</w:t>
            </w:r>
            <w:r w:rsidR="0079533C">
              <w:rPr>
                <w:b/>
              </w:rPr>
              <w:t>15</w:t>
            </w:r>
            <w:r w:rsidRPr="00060FEA">
              <w:rPr>
                <w:b/>
              </w:rPr>
              <w:t>.</w:t>
            </w:r>
          </w:p>
        </w:tc>
        <w:tc>
          <w:tcPr>
            <w:tcW w:w="3721" w:type="dxa"/>
            <w:tcBorders>
              <w:top w:val="single" w:sz="4" w:space="0" w:color="auto"/>
              <w:left w:val="single" w:sz="6" w:space="0" w:color="000000"/>
              <w:bottom w:val="single" w:sz="4" w:space="0" w:color="auto"/>
              <w:right w:val="single" w:sz="6" w:space="0" w:color="000000"/>
            </w:tcBorders>
          </w:tcPr>
          <w:p w14:paraId="36B77786" w14:textId="77777777" w:rsidR="0079533C" w:rsidRPr="00090F15" w:rsidRDefault="0079533C" w:rsidP="0079533C">
            <w:pPr>
              <w:pBdr>
                <w:top w:val="nil"/>
                <w:left w:val="nil"/>
                <w:bottom w:val="nil"/>
                <w:right w:val="nil"/>
                <w:between w:val="nil"/>
              </w:pBdr>
              <w:spacing w:before="75" w:after="75"/>
              <w:jc w:val="both"/>
              <w:rPr>
                <w:bCs/>
              </w:rPr>
            </w:pPr>
            <w:r w:rsidRPr="00090F15">
              <w:rPr>
                <w:bCs/>
              </w:rPr>
              <w:t>2. 5. pantā:</w:t>
            </w:r>
          </w:p>
          <w:p w14:paraId="3771228D" w14:textId="77777777" w:rsidR="0079533C" w:rsidRPr="00090F15" w:rsidRDefault="0079533C" w:rsidP="0079533C">
            <w:pPr>
              <w:pBdr>
                <w:top w:val="nil"/>
                <w:left w:val="nil"/>
                <w:bottom w:val="nil"/>
                <w:right w:val="nil"/>
                <w:between w:val="nil"/>
              </w:pBdr>
              <w:spacing w:before="75" w:after="75"/>
              <w:jc w:val="both"/>
            </w:pPr>
            <w:r w:rsidRPr="00090F15">
              <w:t>...</w:t>
            </w:r>
          </w:p>
          <w:p w14:paraId="0A475105" w14:textId="77777777" w:rsidR="0079533C" w:rsidRPr="00090F15" w:rsidRDefault="0079533C" w:rsidP="0079533C">
            <w:pPr>
              <w:pBdr>
                <w:top w:val="nil"/>
                <w:left w:val="nil"/>
                <w:bottom w:val="nil"/>
                <w:right w:val="nil"/>
                <w:between w:val="nil"/>
              </w:pBdr>
              <w:spacing w:before="75" w:after="75"/>
              <w:jc w:val="both"/>
              <w:rPr>
                <w:bCs/>
              </w:rPr>
            </w:pPr>
            <w:r w:rsidRPr="00090F15">
              <w:rPr>
                <w:bCs/>
              </w:rPr>
              <w:t>papildināt sesto daļu ar 8., 9., 10. un 11. punktu šādā redakcijā:</w:t>
            </w:r>
          </w:p>
          <w:p w14:paraId="6CFBDF77" w14:textId="77777777" w:rsidR="0079533C" w:rsidRPr="00090F15" w:rsidRDefault="0079533C" w:rsidP="0079533C">
            <w:pPr>
              <w:pBdr>
                <w:top w:val="nil"/>
                <w:left w:val="nil"/>
                <w:bottom w:val="nil"/>
                <w:right w:val="nil"/>
                <w:between w:val="nil"/>
              </w:pBdr>
              <w:spacing w:before="75" w:after="75"/>
              <w:jc w:val="both"/>
            </w:pPr>
            <w:r w:rsidRPr="00090F15">
              <w:t>“...</w:t>
            </w:r>
          </w:p>
          <w:p w14:paraId="1D61170C" w14:textId="13999504" w:rsidR="0079533C" w:rsidRDefault="0079533C" w:rsidP="00FD0C32">
            <w:pPr>
              <w:pBdr>
                <w:top w:val="nil"/>
                <w:left w:val="nil"/>
                <w:bottom w:val="nil"/>
                <w:right w:val="nil"/>
                <w:between w:val="nil"/>
              </w:pBdr>
              <w:spacing w:before="75" w:after="75"/>
              <w:jc w:val="both"/>
            </w:pPr>
            <w:r w:rsidRPr="00090F15">
              <w:t xml:space="preserve">9) </w:t>
            </w:r>
            <w:r w:rsidR="00AF0198" w:rsidRPr="00680337">
              <w:t>ja</w:t>
            </w:r>
            <w:r w:rsidR="00AF0198" w:rsidRPr="00AF0198">
              <w:t xml:space="preserve"> komersantam ir anulēta speciālā atļauja (licence) </w:t>
            </w:r>
            <w:r w:rsidR="00AF0198" w:rsidRPr="00AF0198">
              <w:lastRenderedPageBreak/>
              <w:t>komercdarbībai ar ieročiem, munīciju vai pirotehniskiem izstrādājumiem, sprāgstvielām un spridzināšanas ietaisēm saskaņā ar Civilām vajadzībām paredzētu sprāgstvielu aprites likumu, Ieroču un speciālo līdzekļu aprites likumu vai Pirotehnisko izstrādājumu aprites likumu, iekams nav pagājis gads pēc tās anulēšanas</w:t>
            </w:r>
            <w:r>
              <w:t>;</w:t>
            </w:r>
          </w:p>
          <w:p w14:paraId="4530AFEA" w14:textId="05F67D71" w:rsidR="00AF0198" w:rsidRPr="00AF0198" w:rsidRDefault="0079533C" w:rsidP="00FD0C32">
            <w:pPr>
              <w:pBdr>
                <w:top w:val="nil"/>
                <w:left w:val="nil"/>
                <w:bottom w:val="nil"/>
                <w:right w:val="nil"/>
                <w:between w:val="nil"/>
              </w:pBdr>
              <w:spacing w:before="75" w:after="75"/>
              <w:jc w:val="both"/>
            </w:pPr>
            <w:r>
              <w:t>...”.</w:t>
            </w:r>
          </w:p>
        </w:tc>
        <w:tc>
          <w:tcPr>
            <w:tcW w:w="4590" w:type="dxa"/>
            <w:tcBorders>
              <w:top w:val="single" w:sz="4" w:space="0" w:color="auto"/>
              <w:left w:val="single" w:sz="6" w:space="0" w:color="000000"/>
              <w:bottom w:val="single" w:sz="4" w:space="0" w:color="auto"/>
              <w:right w:val="single" w:sz="6" w:space="0" w:color="000000"/>
            </w:tcBorders>
          </w:tcPr>
          <w:p w14:paraId="1C9267B9" w14:textId="074FED74" w:rsidR="00AF0198" w:rsidRPr="00060FEA" w:rsidRDefault="00AF0198" w:rsidP="002A0E0D">
            <w:pPr>
              <w:pBdr>
                <w:top w:val="nil"/>
                <w:left w:val="nil"/>
                <w:bottom w:val="nil"/>
                <w:right w:val="nil"/>
                <w:between w:val="nil"/>
              </w:pBdr>
              <w:spacing w:before="75" w:after="75"/>
              <w:ind w:hanging="14"/>
              <w:jc w:val="center"/>
              <w:rPr>
                <w:b/>
              </w:rPr>
            </w:pPr>
            <w:r>
              <w:rPr>
                <w:b/>
              </w:rPr>
              <w:lastRenderedPageBreak/>
              <w:t>Finanšu</w:t>
            </w:r>
            <w:r w:rsidRPr="00060FEA">
              <w:rPr>
                <w:b/>
              </w:rPr>
              <w:t xml:space="preserve"> ministrijas </w:t>
            </w:r>
            <w:r>
              <w:rPr>
                <w:b/>
              </w:rPr>
              <w:t>iebildums</w:t>
            </w:r>
            <w:r w:rsidR="00543F6C">
              <w:rPr>
                <w:b/>
              </w:rPr>
              <w:t xml:space="preserve"> (12.09.2019.)</w:t>
            </w:r>
          </w:p>
          <w:p w14:paraId="6C3C90D5" w14:textId="42930E5C" w:rsidR="00AF0198" w:rsidRPr="00060FEA" w:rsidRDefault="00AF0198" w:rsidP="003C22E2">
            <w:pPr>
              <w:pBdr>
                <w:top w:val="nil"/>
                <w:left w:val="nil"/>
                <w:bottom w:val="nil"/>
                <w:right w:val="nil"/>
                <w:between w:val="nil"/>
              </w:pBdr>
              <w:spacing w:before="75" w:after="75"/>
              <w:ind w:hanging="14"/>
              <w:jc w:val="both"/>
            </w:pPr>
            <w:r w:rsidRPr="00570595">
              <w:t xml:space="preserve">Likumprojekta 2. pantā attiecībā uz Stratēģiskas nozīmes preču aprites likuma 5. panta sestās daļas papildinājumu ar 9. punktu, lūdzam minētajā punktā aizstāt vārdus “Ieroču un speciālo līdzekļu aprites likumu” ar vārdiem “Ieroču aprites likumu”, </w:t>
            </w:r>
            <w:r w:rsidRPr="00570595">
              <w:lastRenderedPageBreak/>
              <w:t>tā kā Ieroču un speciālo līdzekļu aprites likums ir zaudējis spēku 2019. gada 10. aprīlī.</w:t>
            </w:r>
          </w:p>
        </w:tc>
        <w:tc>
          <w:tcPr>
            <w:tcW w:w="2250" w:type="dxa"/>
            <w:tcBorders>
              <w:top w:val="single" w:sz="4" w:space="0" w:color="auto"/>
              <w:left w:val="single" w:sz="6" w:space="0" w:color="000000"/>
              <w:bottom w:val="single" w:sz="4" w:space="0" w:color="auto"/>
              <w:right w:val="single" w:sz="6" w:space="0" w:color="000000"/>
            </w:tcBorders>
          </w:tcPr>
          <w:p w14:paraId="6A8D23E7" w14:textId="77777777" w:rsidR="00AF0198" w:rsidRPr="00060FEA" w:rsidRDefault="00AF0198" w:rsidP="00FD0C32">
            <w:pPr>
              <w:pBdr>
                <w:top w:val="nil"/>
                <w:left w:val="nil"/>
                <w:bottom w:val="nil"/>
                <w:right w:val="nil"/>
                <w:between w:val="nil"/>
              </w:pBdr>
              <w:jc w:val="center"/>
              <w:rPr>
                <w:b/>
              </w:rPr>
            </w:pPr>
            <w:r w:rsidRPr="00060FEA">
              <w:rPr>
                <w:b/>
              </w:rPr>
              <w:lastRenderedPageBreak/>
              <w:t>Ņemts vērā</w:t>
            </w:r>
          </w:p>
          <w:p w14:paraId="43A73DBE" w14:textId="77777777" w:rsidR="00AF0198" w:rsidRPr="00060FEA" w:rsidRDefault="00AF0198" w:rsidP="00FD0C32">
            <w:pPr>
              <w:pBdr>
                <w:top w:val="nil"/>
                <w:left w:val="nil"/>
                <w:bottom w:val="nil"/>
                <w:right w:val="nil"/>
                <w:between w:val="nil"/>
              </w:pBdr>
              <w:jc w:val="center"/>
              <w:rPr>
                <w:b/>
              </w:rPr>
            </w:pPr>
          </w:p>
        </w:tc>
        <w:tc>
          <w:tcPr>
            <w:tcW w:w="3723" w:type="dxa"/>
            <w:tcBorders>
              <w:top w:val="single" w:sz="4" w:space="0" w:color="000000"/>
              <w:left w:val="single" w:sz="4" w:space="0" w:color="000000"/>
              <w:bottom w:val="single" w:sz="4" w:space="0" w:color="000000"/>
            </w:tcBorders>
          </w:tcPr>
          <w:p w14:paraId="6D391C11" w14:textId="77777777" w:rsidR="0079533C" w:rsidRPr="00854975" w:rsidRDefault="0079533C" w:rsidP="0079533C">
            <w:pPr>
              <w:pBdr>
                <w:top w:val="nil"/>
                <w:left w:val="nil"/>
                <w:bottom w:val="nil"/>
                <w:right w:val="nil"/>
                <w:between w:val="nil"/>
              </w:pBdr>
              <w:spacing w:before="75" w:after="75"/>
              <w:jc w:val="both"/>
              <w:rPr>
                <w:bCs/>
              </w:rPr>
            </w:pPr>
            <w:r w:rsidRPr="00854975">
              <w:rPr>
                <w:bCs/>
              </w:rPr>
              <w:t>2. 5. pantā:</w:t>
            </w:r>
          </w:p>
          <w:p w14:paraId="42F6AA71" w14:textId="77777777" w:rsidR="0079533C" w:rsidRPr="00854975" w:rsidRDefault="0079533C" w:rsidP="0079533C">
            <w:pPr>
              <w:pBdr>
                <w:top w:val="nil"/>
                <w:left w:val="nil"/>
                <w:bottom w:val="nil"/>
                <w:right w:val="nil"/>
                <w:between w:val="nil"/>
              </w:pBdr>
              <w:spacing w:before="75" w:after="75"/>
              <w:jc w:val="both"/>
            </w:pPr>
            <w:r w:rsidRPr="00854975">
              <w:t>...</w:t>
            </w:r>
          </w:p>
          <w:p w14:paraId="0BF58B0B" w14:textId="77777777" w:rsidR="0079533C" w:rsidRPr="00854975" w:rsidRDefault="0079533C" w:rsidP="0079533C">
            <w:pPr>
              <w:pBdr>
                <w:top w:val="nil"/>
                <w:left w:val="nil"/>
                <w:bottom w:val="nil"/>
                <w:right w:val="nil"/>
                <w:between w:val="nil"/>
              </w:pBdr>
              <w:spacing w:before="75" w:after="75"/>
              <w:jc w:val="both"/>
              <w:rPr>
                <w:bCs/>
              </w:rPr>
            </w:pPr>
            <w:r w:rsidRPr="00854975">
              <w:rPr>
                <w:bCs/>
              </w:rPr>
              <w:t>papildināt sesto daļu ar 8., 9., 10. un 11. punktu šādā redakcijā:</w:t>
            </w:r>
          </w:p>
          <w:p w14:paraId="65E3DE3D" w14:textId="77777777" w:rsidR="0079533C" w:rsidRPr="00854975" w:rsidRDefault="0079533C" w:rsidP="0079533C">
            <w:pPr>
              <w:pBdr>
                <w:top w:val="nil"/>
                <w:left w:val="nil"/>
                <w:bottom w:val="nil"/>
                <w:right w:val="nil"/>
                <w:between w:val="nil"/>
              </w:pBdr>
              <w:spacing w:before="75" w:after="75"/>
              <w:jc w:val="both"/>
            </w:pPr>
            <w:r w:rsidRPr="00854975">
              <w:t>“...</w:t>
            </w:r>
          </w:p>
          <w:p w14:paraId="2461DF78" w14:textId="77777777" w:rsidR="0079533C" w:rsidRDefault="0079533C" w:rsidP="00AF0198">
            <w:pPr>
              <w:pBdr>
                <w:top w:val="nil"/>
                <w:left w:val="nil"/>
                <w:bottom w:val="nil"/>
                <w:right w:val="nil"/>
                <w:between w:val="nil"/>
              </w:pBdr>
              <w:spacing w:before="75" w:after="75"/>
              <w:jc w:val="both"/>
            </w:pPr>
            <w:r>
              <w:t xml:space="preserve">9) </w:t>
            </w:r>
            <w:r w:rsidR="00AF0198" w:rsidRPr="00AF0198">
              <w:t xml:space="preserve">ja komersantam ir anulēta speciālā atļauja (licence) </w:t>
            </w:r>
            <w:r w:rsidR="00AF0198" w:rsidRPr="00AF0198">
              <w:lastRenderedPageBreak/>
              <w:t>komercdarbībai ar ieročiem, munīciju vai pirotehniskiem izstrādājumiem, sprāgstvielām un spridzināšanas ietaisēm saskaņā ar Civilām vajadzībām paredzētu sprāgstvielu aprites likumu, Ieroču aprites likumu vai Pirotehnisko izstrādājumu aprites likumu, iekams nav pagājis gads pēc tās anulēšanas</w:t>
            </w:r>
            <w:r>
              <w:t>;</w:t>
            </w:r>
          </w:p>
          <w:p w14:paraId="01F8804A" w14:textId="48FB321C" w:rsidR="00AF0198" w:rsidRPr="00060FEA" w:rsidRDefault="0079533C" w:rsidP="00AF0198">
            <w:pPr>
              <w:pBdr>
                <w:top w:val="nil"/>
                <w:left w:val="nil"/>
                <w:bottom w:val="nil"/>
                <w:right w:val="nil"/>
                <w:between w:val="nil"/>
              </w:pBdr>
              <w:spacing w:before="75" w:after="75"/>
              <w:jc w:val="both"/>
              <w:rPr>
                <w:b/>
              </w:rPr>
            </w:pPr>
            <w:r>
              <w:t>...”.</w:t>
            </w:r>
          </w:p>
        </w:tc>
      </w:tr>
      <w:tr w:rsidR="001D504D" w14:paraId="338E3397" w14:textId="77777777" w:rsidTr="00090F15">
        <w:tc>
          <w:tcPr>
            <w:tcW w:w="707" w:type="dxa"/>
            <w:tcBorders>
              <w:top w:val="single" w:sz="4" w:space="0" w:color="auto"/>
              <w:left w:val="single" w:sz="6" w:space="0" w:color="000000"/>
              <w:bottom w:val="single" w:sz="4" w:space="0" w:color="auto"/>
              <w:right w:val="single" w:sz="6" w:space="0" w:color="000000"/>
            </w:tcBorders>
          </w:tcPr>
          <w:p w14:paraId="363D5DE1" w14:textId="67BE2B38" w:rsidR="001D504D" w:rsidRPr="0085169A" w:rsidRDefault="001D504D" w:rsidP="00FD0C32">
            <w:pPr>
              <w:pBdr>
                <w:top w:val="nil"/>
                <w:left w:val="nil"/>
                <w:bottom w:val="nil"/>
                <w:right w:val="nil"/>
                <w:between w:val="nil"/>
              </w:pBdr>
              <w:ind w:firstLine="720"/>
              <w:rPr>
                <w:b/>
              </w:rPr>
            </w:pPr>
            <w:r w:rsidRPr="0085169A">
              <w:rPr>
                <w:b/>
              </w:rPr>
              <w:lastRenderedPageBreak/>
              <w:t>8</w:t>
            </w:r>
            <w:r w:rsidR="0079533C">
              <w:rPr>
                <w:b/>
              </w:rPr>
              <w:t>16</w:t>
            </w:r>
            <w:r w:rsidRPr="0085169A">
              <w:rPr>
                <w:b/>
              </w:rPr>
              <w:t>.</w:t>
            </w:r>
          </w:p>
        </w:tc>
        <w:tc>
          <w:tcPr>
            <w:tcW w:w="3721" w:type="dxa"/>
            <w:tcBorders>
              <w:top w:val="single" w:sz="4" w:space="0" w:color="auto"/>
              <w:left w:val="single" w:sz="6" w:space="0" w:color="000000"/>
              <w:bottom w:val="single" w:sz="4" w:space="0" w:color="auto"/>
              <w:right w:val="single" w:sz="6" w:space="0" w:color="000000"/>
            </w:tcBorders>
          </w:tcPr>
          <w:p w14:paraId="6B475867" w14:textId="1C64F88B" w:rsidR="001D504D" w:rsidRPr="0085169A" w:rsidRDefault="00126CDE" w:rsidP="00FD0C32">
            <w:pPr>
              <w:pBdr>
                <w:top w:val="nil"/>
                <w:left w:val="nil"/>
                <w:bottom w:val="nil"/>
                <w:right w:val="nil"/>
                <w:between w:val="nil"/>
              </w:pBdr>
              <w:spacing w:before="75" w:after="75"/>
              <w:jc w:val="both"/>
              <w:rPr>
                <w:b/>
              </w:rPr>
            </w:pPr>
            <w:r w:rsidRPr="0085169A">
              <w:rPr>
                <w:b/>
              </w:rPr>
              <w:t>Likumprojekta anotācija</w:t>
            </w:r>
          </w:p>
        </w:tc>
        <w:tc>
          <w:tcPr>
            <w:tcW w:w="4590" w:type="dxa"/>
            <w:tcBorders>
              <w:top w:val="single" w:sz="4" w:space="0" w:color="auto"/>
              <w:left w:val="single" w:sz="6" w:space="0" w:color="000000"/>
              <w:bottom w:val="single" w:sz="4" w:space="0" w:color="auto"/>
              <w:right w:val="single" w:sz="6" w:space="0" w:color="000000"/>
            </w:tcBorders>
          </w:tcPr>
          <w:p w14:paraId="2B175531" w14:textId="09319385" w:rsidR="001D504D" w:rsidRPr="0085169A" w:rsidRDefault="00980546" w:rsidP="00FD0C32">
            <w:pPr>
              <w:pBdr>
                <w:top w:val="nil"/>
                <w:left w:val="nil"/>
                <w:bottom w:val="nil"/>
                <w:right w:val="nil"/>
                <w:between w:val="nil"/>
              </w:pBdr>
              <w:spacing w:before="75" w:after="75"/>
              <w:ind w:hanging="14"/>
              <w:jc w:val="center"/>
              <w:rPr>
                <w:b/>
              </w:rPr>
            </w:pPr>
            <w:r w:rsidRPr="0085169A">
              <w:rPr>
                <w:b/>
              </w:rPr>
              <w:t>Ekonomikas</w:t>
            </w:r>
            <w:r w:rsidR="001D504D" w:rsidRPr="0085169A">
              <w:rPr>
                <w:b/>
              </w:rPr>
              <w:t xml:space="preserve"> ministrijas priekšlikums</w:t>
            </w:r>
            <w:r w:rsidR="00672B80">
              <w:rPr>
                <w:b/>
              </w:rPr>
              <w:t xml:space="preserve"> (12.09.2019.)</w:t>
            </w:r>
          </w:p>
          <w:p w14:paraId="392BF053" w14:textId="6BBD4DED" w:rsidR="001D504D" w:rsidRPr="0085169A" w:rsidRDefault="0085169A" w:rsidP="0085169A">
            <w:pPr>
              <w:pBdr>
                <w:top w:val="nil"/>
                <w:left w:val="nil"/>
                <w:bottom w:val="nil"/>
                <w:right w:val="nil"/>
                <w:between w:val="nil"/>
              </w:pBdr>
              <w:spacing w:before="75" w:after="75"/>
              <w:ind w:hanging="14"/>
              <w:jc w:val="both"/>
            </w:pPr>
            <w:r w:rsidRPr="0085169A">
              <w:rPr>
                <w:noProof/>
              </w:rPr>
              <w:t>Aicinām</w:t>
            </w:r>
            <w:r w:rsidRPr="0085169A">
              <w:t xml:space="preserve"> papildināt anotācijas 1.sadaļas “Tiesību akta projekta izstrādes nepieciešamība” 2.apakšsadaļas “</w:t>
            </w:r>
            <w:r w:rsidRPr="0085169A">
              <w:rPr>
                <w:iCs/>
              </w:rPr>
              <w:t xml:space="preserve">Pašreizējā situācija un problēmas, kuru risināšanai tiesību akta projekts izstrādāts, tiesiskā regulējuma mērķis un būtība” </w:t>
            </w:r>
            <w:r w:rsidRPr="0085169A">
              <w:t>10. punktu ar detalizētāku informāciju par Likumprojekta 4. punktā minētā pārskatā sniedzamās informācijas nepieciešamību likuma 5. panta sestajā daļā noteikto nosacījumu pārbaudei. Ņemot vērā to, ka Likumprojekts paredz papildus pienākumu uzņēmējam, lūdzam skaidrot komersantam paredzētās papildus informācijas sniegšanas pamatotību.</w:t>
            </w:r>
          </w:p>
        </w:tc>
        <w:tc>
          <w:tcPr>
            <w:tcW w:w="2250" w:type="dxa"/>
            <w:tcBorders>
              <w:top w:val="single" w:sz="4" w:space="0" w:color="auto"/>
              <w:left w:val="single" w:sz="6" w:space="0" w:color="000000"/>
              <w:bottom w:val="single" w:sz="4" w:space="0" w:color="auto"/>
              <w:right w:val="single" w:sz="6" w:space="0" w:color="000000"/>
            </w:tcBorders>
          </w:tcPr>
          <w:p w14:paraId="65AF6A7B" w14:textId="77777777" w:rsidR="001D504D" w:rsidRPr="0085169A" w:rsidRDefault="001D504D" w:rsidP="00FD0C32">
            <w:pPr>
              <w:pBdr>
                <w:top w:val="nil"/>
                <w:left w:val="nil"/>
                <w:bottom w:val="nil"/>
                <w:right w:val="nil"/>
                <w:between w:val="nil"/>
              </w:pBdr>
              <w:jc w:val="center"/>
              <w:rPr>
                <w:b/>
              </w:rPr>
            </w:pPr>
            <w:r w:rsidRPr="0085169A">
              <w:rPr>
                <w:b/>
              </w:rPr>
              <w:t>Ņemts vērā</w:t>
            </w:r>
          </w:p>
          <w:p w14:paraId="1594D1B8" w14:textId="77777777" w:rsidR="001D504D" w:rsidRPr="0085169A" w:rsidRDefault="001D504D" w:rsidP="00FD0C32">
            <w:pPr>
              <w:pBdr>
                <w:top w:val="nil"/>
                <w:left w:val="nil"/>
                <w:bottom w:val="nil"/>
                <w:right w:val="nil"/>
                <w:between w:val="nil"/>
              </w:pBdr>
              <w:jc w:val="center"/>
              <w:rPr>
                <w:b/>
              </w:rPr>
            </w:pPr>
          </w:p>
        </w:tc>
        <w:tc>
          <w:tcPr>
            <w:tcW w:w="3723" w:type="dxa"/>
            <w:tcBorders>
              <w:top w:val="single" w:sz="4" w:space="0" w:color="000000"/>
              <w:left w:val="single" w:sz="4" w:space="0" w:color="000000"/>
              <w:bottom w:val="single" w:sz="4" w:space="0" w:color="000000"/>
            </w:tcBorders>
          </w:tcPr>
          <w:p w14:paraId="093E3BF1" w14:textId="3F4B78F9" w:rsidR="001D504D" w:rsidRPr="0085169A" w:rsidRDefault="00126CDE" w:rsidP="00FD0C32">
            <w:pPr>
              <w:pBdr>
                <w:top w:val="nil"/>
                <w:left w:val="nil"/>
                <w:bottom w:val="nil"/>
                <w:right w:val="nil"/>
                <w:between w:val="nil"/>
              </w:pBdr>
              <w:spacing w:before="75" w:after="75"/>
              <w:jc w:val="both"/>
              <w:rPr>
                <w:b/>
              </w:rPr>
            </w:pPr>
            <w:r w:rsidRPr="0085169A">
              <w:t>Likumprojekta anotācija ir precizēta.</w:t>
            </w:r>
          </w:p>
        </w:tc>
      </w:tr>
      <w:tr w:rsidR="001B250F" w:rsidRPr="0079533C" w14:paraId="5BAACB3C" w14:textId="77777777" w:rsidTr="00090F15">
        <w:tc>
          <w:tcPr>
            <w:tcW w:w="707" w:type="dxa"/>
            <w:tcBorders>
              <w:top w:val="single" w:sz="4" w:space="0" w:color="auto"/>
              <w:left w:val="single" w:sz="6" w:space="0" w:color="000000"/>
              <w:bottom w:val="single" w:sz="4" w:space="0" w:color="auto"/>
              <w:right w:val="single" w:sz="6" w:space="0" w:color="000000"/>
            </w:tcBorders>
          </w:tcPr>
          <w:p w14:paraId="20DE3D38" w14:textId="058CF563" w:rsidR="001B250F" w:rsidRPr="00680337" w:rsidRDefault="001B250F" w:rsidP="00FD0C32">
            <w:pPr>
              <w:pBdr>
                <w:top w:val="nil"/>
                <w:left w:val="nil"/>
                <w:bottom w:val="nil"/>
                <w:right w:val="nil"/>
                <w:between w:val="nil"/>
              </w:pBdr>
              <w:ind w:firstLine="720"/>
              <w:rPr>
                <w:b/>
              </w:rPr>
            </w:pPr>
            <w:r w:rsidRPr="00680337">
              <w:rPr>
                <w:b/>
              </w:rPr>
              <w:t>8</w:t>
            </w:r>
            <w:r w:rsidR="00821EAB">
              <w:rPr>
                <w:b/>
              </w:rPr>
              <w:t>17</w:t>
            </w:r>
            <w:r w:rsidRPr="00680337">
              <w:rPr>
                <w:b/>
              </w:rPr>
              <w:t>.</w:t>
            </w:r>
          </w:p>
        </w:tc>
        <w:tc>
          <w:tcPr>
            <w:tcW w:w="3721" w:type="dxa"/>
            <w:tcBorders>
              <w:top w:val="single" w:sz="4" w:space="0" w:color="auto"/>
              <w:left w:val="single" w:sz="6" w:space="0" w:color="000000"/>
              <w:bottom w:val="single" w:sz="4" w:space="0" w:color="auto"/>
              <w:right w:val="single" w:sz="6" w:space="0" w:color="000000"/>
            </w:tcBorders>
          </w:tcPr>
          <w:p w14:paraId="08DF4AB7" w14:textId="756A1A7F" w:rsidR="001B250F" w:rsidRPr="00680337" w:rsidRDefault="00224859" w:rsidP="00FD0C32">
            <w:pPr>
              <w:pBdr>
                <w:top w:val="nil"/>
                <w:left w:val="nil"/>
                <w:bottom w:val="nil"/>
                <w:right w:val="nil"/>
                <w:between w:val="nil"/>
              </w:pBdr>
              <w:spacing w:before="75" w:after="75"/>
              <w:jc w:val="both"/>
              <w:rPr>
                <w:b/>
              </w:rPr>
            </w:pPr>
            <w:r w:rsidRPr="00680337">
              <w:rPr>
                <w:b/>
              </w:rPr>
              <w:t>Likumprojekts</w:t>
            </w:r>
          </w:p>
        </w:tc>
        <w:tc>
          <w:tcPr>
            <w:tcW w:w="4590" w:type="dxa"/>
            <w:tcBorders>
              <w:top w:val="single" w:sz="4" w:space="0" w:color="auto"/>
              <w:left w:val="single" w:sz="6" w:space="0" w:color="000000"/>
              <w:bottom w:val="single" w:sz="4" w:space="0" w:color="auto"/>
              <w:right w:val="single" w:sz="6" w:space="0" w:color="000000"/>
            </w:tcBorders>
          </w:tcPr>
          <w:p w14:paraId="7941F8E3" w14:textId="4B737006" w:rsidR="001B250F" w:rsidRPr="00946BD1" w:rsidRDefault="00980546" w:rsidP="00FD0C32">
            <w:pPr>
              <w:pBdr>
                <w:top w:val="nil"/>
                <w:left w:val="nil"/>
                <w:bottom w:val="nil"/>
                <w:right w:val="nil"/>
                <w:between w:val="nil"/>
              </w:pBdr>
              <w:spacing w:before="75" w:after="75"/>
              <w:ind w:hanging="14"/>
              <w:jc w:val="center"/>
              <w:rPr>
                <w:b/>
              </w:rPr>
            </w:pPr>
            <w:r w:rsidRPr="00946BD1">
              <w:rPr>
                <w:b/>
              </w:rPr>
              <w:t>Iekšlietu</w:t>
            </w:r>
            <w:r w:rsidR="001B250F" w:rsidRPr="00946BD1">
              <w:rPr>
                <w:b/>
              </w:rPr>
              <w:t xml:space="preserve"> ministrijas priekšlikums</w:t>
            </w:r>
            <w:r w:rsidR="00672B80">
              <w:rPr>
                <w:b/>
              </w:rPr>
              <w:t xml:space="preserve"> (12.09.2019.)</w:t>
            </w:r>
          </w:p>
          <w:p w14:paraId="72F61552" w14:textId="59CE2E8F" w:rsidR="001B250F" w:rsidRPr="0079533C" w:rsidRDefault="00224859" w:rsidP="00FD0C32">
            <w:pPr>
              <w:pBdr>
                <w:top w:val="nil"/>
                <w:left w:val="nil"/>
                <w:bottom w:val="nil"/>
                <w:right w:val="nil"/>
                <w:between w:val="nil"/>
              </w:pBdr>
              <w:spacing w:before="75" w:after="75"/>
              <w:ind w:hanging="14"/>
              <w:jc w:val="both"/>
            </w:pPr>
            <w:r w:rsidRPr="0079533C">
              <w:t xml:space="preserve">Precizēt likumprojektu, aizstājot visā tekstā vārdus “Drošības policija” ar vārdiem </w:t>
            </w:r>
            <w:r w:rsidRPr="0079533C">
              <w:lastRenderedPageBreak/>
              <w:t>“Valsts drošības dienests” attiecīgajā locījumā, saskaņā ar grozījumiem Valsts drošības iestāžu likumā, kas stājās spēkā 2019. gada 1. janvārī.</w:t>
            </w:r>
          </w:p>
        </w:tc>
        <w:tc>
          <w:tcPr>
            <w:tcW w:w="2250" w:type="dxa"/>
            <w:tcBorders>
              <w:top w:val="single" w:sz="4" w:space="0" w:color="auto"/>
              <w:left w:val="single" w:sz="6" w:space="0" w:color="000000"/>
              <w:bottom w:val="single" w:sz="4" w:space="0" w:color="auto"/>
              <w:right w:val="single" w:sz="6" w:space="0" w:color="000000"/>
            </w:tcBorders>
          </w:tcPr>
          <w:p w14:paraId="659CEA8A" w14:textId="77777777" w:rsidR="001B250F" w:rsidRPr="0079533C" w:rsidRDefault="001B250F" w:rsidP="00FD0C32">
            <w:pPr>
              <w:pBdr>
                <w:top w:val="nil"/>
                <w:left w:val="nil"/>
                <w:bottom w:val="nil"/>
                <w:right w:val="nil"/>
                <w:between w:val="nil"/>
              </w:pBdr>
              <w:jc w:val="center"/>
              <w:rPr>
                <w:b/>
              </w:rPr>
            </w:pPr>
            <w:r w:rsidRPr="0079533C">
              <w:rPr>
                <w:b/>
              </w:rPr>
              <w:lastRenderedPageBreak/>
              <w:t>Ņemts vērā</w:t>
            </w:r>
          </w:p>
          <w:p w14:paraId="4FDEA4CC" w14:textId="77777777" w:rsidR="001B250F" w:rsidRPr="0079533C" w:rsidRDefault="001B250F" w:rsidP="00FD0C32">
            <w:pPr>
              <w:pBdr>
                <w:top w:val="nil"/>
                <w:left w:val="nil"/>
                <w:bottom w:val="nil"/>
                <w:right w:val="nil"/>
                <w:between w:val="nil"/>
              </w:pBdr>
              <w:jc w:val="center"/>
              <w:rPr>
                <w:b/>
              </w:rPr>
            </w:pPr>
          </w:p>
        </w:tc>
        <w:tc>
          <w:tcPr>
            <w:tcW w:w="3723" w:type="dxa"/>
            <w:tcBorders>
              <w:top w:val="single" w:sz="4" w:space="0" w:color="000000"/>
              <w:left w:val="single" w:sz="4" w:space="0" w:color="000000"/>
              <w:bottom w:val="single" w:sz="4" w:space="0" w:color="000000"/>
            </w:tcBorders>
          </w:tcPr>
          <w:p w14:paraId="2B64F8D5" w14:textId="10FD8EB8" w:rsidR="001B250F" w:rsidRPr="00090F15" w:rsidRDefault="0079533C" w:rsidP="00FD0C32">
            <w:pPr>
              <w:pBdr>
                <w:top w:val="nil"/>
                <w:left w:val="nil"/>
                <w:bottom w:val="nil"/>
                <w:right w:val="nil"/>
                <w:between w:val="nil"/>
              </w:pBdr>
              <w:spacing w:before="75" w:after="75"/>
              <w:jc w:val="both"/>
            </w:pPr>
            <w:r w:rsidRPr="00090F15">
              <w:t>Likumprojektā aizstāti vārdi “Drošības policija” ar vārdiem “Valsts drošības dienests” attiecīgā locījumā.</w:t>
            </w:r>
          </w:p>
        </w:tc>
      </w:tr>
      <w:tr w:rsidR="001B250F" w14:paraId="03BB2E7E" w14:textId="77777777" w:rsidTr="00090F15">
        <w:tc>
          <w:tcPr>
            <w:tcW w:w="707" w:type="dxa"/>
            <w:tcBorders>
              <w:top w:val="single" w:sz="4" w:space="0" w:color="auto"/>
              <w:left w:val="single" w:sz="6" w:space="0" w:color="000000"/>
              <w:bottom w:val="single" w:sz="4" w:space="0" w:color="auto"/>
              <w:right w:val="single" w:sz="6" w:space="0" w:color="000000"/>
            </w:tcBorders>
          </w:tcPr>
          <w:p w14:paraId="7AF41D07" w14:textId="0BAE9BFA" w:rsidR="001B250F" w:rsidRPr="00877064" w:rsidRDefault="001B250F" w:rsidP="001B250F">
            <w:pPr>
              <w:pBdr>
                <w:top w:val="nil"/>
                <w:left w:val="nil"/>
                <w:bottom w:val="nil"/>
                <w:right w:val="nil"/>
                <w:between w:val="nil"/>
              </w:pBdr>
              <w:ind w:firstLine="720"/>
              <w:rPr>
                <w:b/>
              </w:rPr>
            </w:pPr>
            <w:r w:rsidRPr="00877064">
              <w:rPr>
                <w:b/>
              </w:rPr>
              <w:t>8</w:t>
            </w:r>
            <w:r w:rsidR="00821EAB">
              <w:rPr>
                <w:b/>
              </w:rPr>
              <w:t>18</w:t>
            </w:r>
            <w:r w:rsidRPr="00877064">
              <w:rPr>
                <w:b/>
              </w:rPr>
              <w:t>.</w:t>
            </w:r>
          </w:p>
        </w:tc>
        <w:tc>
          <w:tcPr>
            <w:tcW w:w="3721" w:type="dxa"/>
            <w:tcBorders>
              <w:top w:val="single" w:sz="4" w:space="0" w:color="auto"/>
              <w:left w:val="single" w:sz="6" w:space="0" w:color="000000"/>
              <w:bottom w:val="single" w:sz="4" w:space="0" w:color="auto"/>
              <w:right w:val="single" w:sz="6" w:space="0" w:color="000000"/>
            </w:tcBorders>
          </w:tcPr>
          <w:p w14:paraId="6B93212F" w14:textId="0A6F55FF" w:rsidR="00F85793" w:rsidRPr="00680337" w:rsidRDefault="00F85793" w:rsidP="00090F15">
            <w:pPr>
              <w:pBdr>
                <w:top w:val="nil"/>
                <w:left w:val="nil"/>
                <w:bottom w:val="nil"/>
                <w:right w:val="nil"/>
                <w:between w:val="nil"/>
              </w:pBdr>
              <w:rPr>
                <w:b/>
                <w:bCs/>
              </w:rPr>
            </w:pPr>
            <w:r w:rsidRPr="00680337">
              <w:rPr>
                <w:b/>
                <w:bCs/>
              </w:rPr>
              <w:t>2. 5. pantā</w:t>
            </w:r>
          </w:p>
          <w:p w14:paraId="1BC91DCB" w14:textId="77777777" w:rsidR="00F85793" w:rsidRPr="00090F15" w:rsidRDefault="00F85793" w:rsidP="00680337">
            <w:pPr>
              <w:pBdr>
                <w:top w:val="nil"/>
                <w:left w:val="nil"/>
                <w:bottom w:val="nil"/>
                <w:right w:val="nil"/>
                <w:between w:val="nil"/>
              </w:pBdr>
              <w:spacing w:before="75" w:after="75"/>
              <w:jc w:val="both"/>
            </w:pPr>
            <w:r w:rsidRPr="00090F15">
              <w:t>...</w:t>
            </w:r>
          </w:p>
          <w:p w14:paraId="49436B51" w14:textId="77777777" w:rsidR="00F85793" w:rsidRPr="00090F15" w:rsidRDefault="00F85793" w:rsidP="00F85793">
            <w:pPr>
              <w:pBdr>
                <w:top w:val="nil"/>
                <w:left w:val="nil"/>
                <w:bottom w:val="nil"/>
                <w:right w:val="nil"/>
                <w:between w:val="nil"/>
              </w:pBdr>
              <w:spacing w:before="75" w:after="75"/>
              <w:jc w:val="both"/>
              <w:rPr>
                <w:bCs/>
              </w:rPr>
            </w:pPr>
            <w:r w:rsidRPr="00090F15">
              <w:rPr>
                <w:bCs/>
              </w:rPr>
              <w:t>izteikt ceturto daļu šādā redakcijā:</w:t>
            </w:r>
          </w:p>
          <w:p w14:paraId="251226F4" w14:textId="77777777" w:rsidR="00821EAB" w:rsidRPr="00090F15" w:rsidRDefault="00821EAB" w:rsidP="00680337">
            <w:pPr>
              <w:pBdr>
                <w:top w:val="nil"/>
                <w:left w:val="nil"/>
                <w:bottom w:val="nil"/>
                <w:right w:val="nil"/>
                <w:between w:val="nil"/>
              </w:pBdr>
              <w:spacing w:before="75" w:after="75"/>
              <w:jc w:val="both"/>
            </w:pPr>
            <w:r w:rsidRPr="00090F15">
              <w:t>“...</w:t>
            </w:r>
          </w:p>
          <w:p w14:paraId="27C6D352" w14:textId="776D6391" w:rsidR="00821EAB" w:rsidRPr="00090F15" w:rsidRDefault="00821EAB" w:rsidP="00090F15">
            <w:pPr>
              <w:pBdr>
                <w:top w:val="nil"/>
                <w:left w:val="nil"/>
                <w:bottom w:val="nil"/>
                <w:right w:val="nil"/>
                <w:between w:val="nil"/>
              </w:pBdr>
              <w:spacing w:before="75" w:after="75"/>
            </w:pPr>
            <w:r w:rsidRPr="00090F15">
              <w:t>1)</w:t>
            </w:r>
            <w:r w:rsidRPr="00090F15">
              <w:rPr>
                <w:sz w:val="28"/>
                <w:szCs w:val="28"/>
                <w:lang w:eastAsia="en-US"/>
              </w:rPr>
              <w:t xml:space="preserve"> </w:t>
            </w:r>
            <w:r w:rsidRPr="00090F15">
              <w:t>ir vismaz 21 gada vecumu sasnieguši Latvijas Republikas pilsoņi, Eiropas Savienības dalībvalstu pilsoņi vai Eiropas Ekonomikas zonas valstu pilsoņi, vai Ziemeļatlantijas līguma organizācijas dalībvalstu pilsoņi, vai iepriekš neminētas valsts pilsoņi, ja ir saņemta Ministru kabineta atļauja.”;</w:t>
            </w:r>
          </w:p>
          <w:p w14:paraId="020A88DD" w14:textId="29C07703" w:rsidR="001B250F" w:rsidRPr="00877064" w:rsidRDefault="00821EAB" w:rsidP="00680337">
            <w:pPr>
              <w:pBdr>
                <w:top w:val="nil"/>
                <w:left w:val="nil"/>
                <w:bottom w:val="nil"/>
                <w:right w:val="nil"/>
                <w:between w:val="nil"/>
              </w:pBdr>
              <w:spacing w:before="75" w:after="75"/>
              <w:jc w:val="both"/>
              <w:rPr>
                <w:b/>
              </w:rPr>
            </w:pPr>
            <w:r w:rsidRPr="00090F15">
              <w:t>....”.</w:t>
            </w:r>
          </w:p>
        </w:tc>
        <w:tc>
          <w:tcPr>
            <w:tcW w:w="4590" w:type="dxa"/>
            <w:tcBorders>
              <w:top w:val="single" w:sz="4" w:space="0" w:color="auto"/>
              <w:left w:val="single" w:sz="6" w:space="0" w:color="000000"/>
              <w:bottom w:val="single" w:sz="4" w:space="0" w:color="auto"/>
              <w:right w:val="single" w:sz="6" w:space="0" w:color="000000"/>
            </w:tcBorders>
          </w:tcPr>
          <w:p w14:paraId="69312860" w14:textId="7FB44EEF" w:rsidR="001B250F" w:rsidRPr="00877064" w:rsidRDefault="00980546" w:rsidP="00FD0C32">
            <w:pPr>
              <w:pBdr>
                <w:top w:val="nil"/>
                <w:left w:val="nil"/>
                <w:bottom w:val="nil"/>
                <w:right w:val="nil"/>
                <w:between w:val="nil"/>
              </w:pBdr>
              <w:spacing w:before="75" w:after="75"/>
              <w:ind w:hanging="14"/>
              <w:jc w:val="center"/>
              <w:rPr>
                <w:b/>
              </w:rPr>
            </w:pPr>
            <w:r w:rsidRPr="00877064">
              <w:rPr>
                <w:b/>
              </w:rPr>
              <w:t>Iekšlietu</w:t>
            </w:r>
            <w:r w:rsidR="001B250F" w:rsidRPr="00877064">
              <w:rPr>
                <w:b/>
              </w:rPr>
              <w:t xml:space="preserve"> ministrijas priekšlikums</w:t>
            </w:r>
            <w:r w:rsidR="00672B80">
              <w:rPr>
                <w:b/>
              </w:rPr>
              <w:t xml:space="preserve"> (12.09.2019.)</w:t>
            </w:r>
          </w:p>
          <w:p w14:paraId="1DE6DD85" w14:textId="25FE727B" w:rsidR="001B250F" w:rsidRPr="00877064" w:rsidRDefault="00877064" w:rsidP="00FD0C32">
            <w:pPr>
              <w:pBdr>
                <w:top w:val="nil"/>
                <w:left w:val="nil"/>
                <w:bottom w:val="nil"/>
                <w:right w:val="nil"/>
                <w:between w:val="nil"/>
              </w:pBdr>
              <w:spacing w:before="75" w:after="75"/>
              <w:ind w:hanging="14"/>
              <w:jc w:val="both"/>
            </w:pPr>
            <w:r w:rsidRPr="00570595">
              <w:t>Dzēst likumprojekta 2. pantā ietvertā Likuma  5. panta ceturtās daļas 1. punkta teksta beigās liekās pieturzīmes.</w:t>
            </w:r>
          </w:p>
        </w:tc>
        <w:tc>
          <w:tcPr>
            <w:tcW w:w="2250" w:type="dxa"/>
            <w:tcBorders>
              <w:top w:val="single" w:sz="4" w:space="0" w:color="auto"/>
              <w:left w:val="single" w:sz="6" w:space="0" w:color="000000"/>
              <w:bottom w:val="single" w:sz="4" w:space="0" w:color="auto"/>
              <w:right w:val="single" w:sz="6" w:space="0" w:color="000000"/>
            </w:tcBorders>
          </w:tcPr>
          <w:p w14:paraId="3CCCFE59" w14:textId="77777777" w:rsidR="001B250F" w:rsidRPr="00877064" w:rsidRDefault="001B250F" w:rsidP="00FD0C32">
            <w:pPr>
              <w:pBdr>
                <w:top w:val="nil"/>
                <w:left w:val="nil"/>
                <w:bottom w:val="nil"/>
                <w:right w:val="nil"/>
                <w:between w:val="nil"/>
              </w:pBdr>
              <w:jc w:val="center"/>
              <w:rPr>
                <w:b/>
              </w:rPr>
            </w:pPr>
            <w:r w:rsidRPr="00877064">
              <w:rPr>
                <w:b/>
              </w:rPr>
              <w:t>Ņemts vērā</w:t>
            </w:r>
          </w:p>
          <w:p w14:paraId="1F467DAB" w14:textId="77777777" w:rsidR="001B250F" w:rsidRPr="00877064" w:rsidRDefault="001B250F" w:rsidP="00FD0C32">
            <w:pPr>
              <w:pBdr>
                <w:top w:val="nil"/>
                <w:left w:val="nil"/>
                <w:bottom w:val="nil"/>
                <w:right w:val="nil"/>
                <w:between w:val="nil"/>
              </w:pBdr>
              <w:jc w:val="center"/>
              <w:rPr>
                <w:b/>
              </w:rPr>
            </w:pPr>
          </w:p>
        </w:tc>
        <w:tc>
          <w:tcPr>
            <w:tcW w:w="3723" w:type="dxa"/>
            <w:tcBorders>
              <w:top w:val="single" w:sz="4" w:space="0" w:color="000000"/>
              <w:left w:val="single" w:sz="4" w:space="0" w:color="000000"/>
              <w:bottom w:val="single" w:sz="4" w:space="0" w:color="000000"/>
            </w:tcBorders>
          </w:tcPr>
          <w:p w14:paraId="680A5F30" w14:textId="77777777" w:rsidR="00821EAB" w:rsidRPr="00854975" w:rsidRDefault="00821EAB" w:rsidP="00821EAB">
            <w:pPr>
              <w:pBdr>
                <w:top w:val="nil"/>
                <w:left w:val="nil"/>
                <w:bottom w:val="nil"/>
                <w:right w:val="nil"/>
                <w:between w:val="nil"/>
              </w:pBdr>
              <w:rPr>
                <w:b/>
                <w:bCs/>
              </w:rPr>
            </w:pPr>
            <w:r w:rsidRPr="00854975">
              <w:rPr>
                <w:b/>
                <w:bCs/>
              </w:rPr>
              <w:t>2. 5. pantā</w:t>
            </w:r>
          </w:p>
          <w:p w14:paraId="32F4AF4D" w14:textId="77777777" w:rsidR="005D0737" w:rsidRPr="005D0737" w:rsidRDefault="005D0737" w:rsidP="005D0737">
            <w:pPr>
              <w:pBdr>
                <w:top w:val="nil"/>
                <w:left w:val="nil"/>
                <w:bottom w:val="nil"/>
                <w:right w:val="nil"/>
                <w:between w:val="nil"/>
              </w:pBdr>
              <w:spacing w:before="75" w:after="75"/>
              <w:jc w:val="both"/>
              <w:rPr>
                <w:bCs/>
              </w:rPr>
            </w:pPr>
            <w:r w:rsidRPr="005D0737">
              <w:rPr>
                <w:bCs/>
              </w:rPr>
              <w:t>izteikt trešo, ceturto un 4.</w:t>
            </w:r>
            <w:r w:rsidRPr="005D0737">
              <w:rPr>
                <w:bCs/>
                <w:vertAlign w:val="superscript"/>
              </w:rPr>
              <w:t>1</w:t>
            </w:r>
            <w:r w:rsidRPr="005D0737">
              <w:rPr>
                <w:bCs/>
              </w:rPr>
              <w:t xml:space="preserve"> daļu šādā redakcijā:</w:t>
            </w:r>
          </w:p>
          <w:p w14:paraId="585D5416" w14:textId="4846AB81" w:rsidR="00821EAB" w:rsidRPr="00854975" w:rsidRDefault="005D0737" w:rsidP="00821EAB">
            <w:pPr>
              <w:pBdr>
                <w:top w:val="nil"/>
                <w:left w:val="nil"/>
                <w:bottom w:val="nil"/>
                <w:right w:val="nil"/>
                <w:between w:val="nil"/>
              </w:pBdr>
              <w:spacing w:before="75" w:after="75"/>
              <w:jc w:val="both"/>
            </w:pPr>
            <w:r w:rsidRPr="005D0737" w:rsidDel="005D0737">
              <w:t xml:space="preserve"> </w:t>
            </w:r>
            <w:r w:rsidR="00821EAB" w:rsidRPr="00854975">
              <w:t>“...</w:t>
            </w:r>
          </w:p>
          <w:p w14:paraId="0F6FB18D" w14:textId="77AB8F3F" w:rsidR="00821EAB" w:rsidRPr="00854975" w:rsidRDefault="00821EAB" w:rsidP="00C77EE9">
            <w:pPr>
              <w:pBdr>
                <w:top w:val="nil"/>
                <w:left w:val="nil"/>
                <w:bottom w:val="nil"/>
                <w:right w:val="nil"/>
                <w:between w:val="nil"/>
              </w:pBdr>
              <w:spacing w:before="75" w:after="75"/>
              <w:jc w:val="both"/>
            </w:pPr>
            <w:r w:rsidRPr="00854975">
              <w:t>1)</w:t>
            </w:r>
            <w:r w:rsidRPr="00854975">
              <w:rPr>
                <w:sz w:val="28"/>
                <w:szCs w:val="28"/>
                <w:lang w:eastAsia="en-US"/>
              </w:rPr>
              <w:t xml:space="preserve"> </w:t>
            </w:r>
            <w:r w:rsidRPr="00821EAB">
              <w:t>ir vismaz 21 gada vecumu sasnieguši Latvijas Republikas pilsoņi, Eiropas Savienības dalībvalstu pilsoņi vai Eiropas Ekonomikas zonas valstu pilsoņi, vai Ziemeļatlantijas līguma organizācijas dalībvalstu pilsoņi, vai iepriekš neminētas valsts pilsoņi, ja ir saņemta Ministru kabineta atļauja;</w:t>
            </w:r>
          </w:p>
          <w:p w14:paraId="6E4FBAB9" w14:textId="4AFB34BB" w:rsidR="001B250F" w:rsidRPr="00877064" w:rsidRDefault="00821EAB" w:rsidP="00821EAB">
            <w:pPr>
              <w:pBdr>
                <w:top w:val="nil"/>
                <w:left w:val="nil"/>
                <w:bottom w:val="nil"/>
                <w:right w:val="nil"/>
                <w:between w:val="nil"/>
              </w:pBdr>
              <w:spacing w:before="75" w:after="75"/>
              <w:jc w:val="both"/>
              <w:rPr>
                <w:b/>
              </w:rPr>
            </w:pPr>
            <w:r w:rsidRPr="00854975">
              <w:t>....”.</w:t>
            </w:r>
          </w:p>
        </w:tc>
      </w:tr>
      <w:tr w:rsidR="00171B24" w14:paraId="596E075D" w14:textId="77777777" w:rsidTr="00090F15">
        <w:tc>
          <w:tcPr>
            <w:tcW w:w="707" w:type="dxa"/>
            <w:tcBorders>
              <w:top w:val="single" w:sz="4" w:space="0" w:color="auto"/>
              <w:left w:val="single" w:sz="6" w:space="0" w:color="000000"/>
              <w:bottom w:val="single" w:sz="4" w:space="0" w:color="auto"/>
              <w:right w:val="single" w:sz="6" w:space="0" w:color="000000"/>
            </w:tcBorders>
          </w:tcPr>
          <w:p w14:paraId="6059F7AF" w14:textId="57A28741" w:rsidR="00171B24" w:rsidRPr="001342DD" w:rsidRDefault="00171B24" w:rsidP="00FD0C32">
            <w:pPr>
              <w:pBdr>
                <w:top w:val="nil"/>
                <w:left w:val="nil"/>
                <w:bottom w:val="nil"/>
                <w:right w:val="nil"/>
                <w:between w:val="nil"/>
              </w:pBdr>
              <w:ind w:firstLine="720"/>
              <w:rPr>
                <w:b/>
              </w:rPr>
            </w:pPr>
            <w:r w:rsidRPr="001342DD">
              <w:rPr>
                <w:b/>
              </w:rPr>
              <w:t>8</w:t>
            </w:r>
            <w:r w:rsidR="00821EAB">
              <w:rPr>
                <w:b/>
              </w:rPr>
              <w:t>19</w:t>
            </w:r>
            <w:r w:rsidRPr="001342DD">
              <w:rPr>
                <w:b/>
              </w:rPr>
              <w:t>.</w:t>
            </w:r>
          </w:p>
        </w:tc>
        <w:tc>
          <w:tcPr>
            <w:tcW w:w="3721" w:type="dxa"/>
            <w:tcBorders>
              <w:top w:val="single" w:sz="4" w:space="0" w:color="auto"/>
              <w:left w:val="single" w:sz="6" w:space="0" w:color="000000"/>
              <w:bottom w:val="single" w:sz="4" w:space="0" w:color="auto"/>
              <w:right w:val="single" w:sz="6" w:space="0" w:color="000000"/>
            </w:tcBorders>
          </w:tcPr>
          <w:p w14:paraId="5310A1BA" w14:textId="77777777" w:rsidR="00821EAB" w:rsidRPr="00821EAB" w:rsidRDefault="00821EAB" w:rsidP="00821EAB">
            <w:pPr>
              <w:pBdr>
                <w:top w:val="nil"/>
                <w:left w:val="nil"/>
                <w:bottom w:val="nil"/>
                <w:right w:val="nil"/>
                <w:between w:val="nil"/>
              </w:pBdr>
              <w:spacing w:before="75" w:after="75"/>
              <w:jc w:val="both"/>
              <w:rPr>
                <w:b/>
                <w:bCs/>
              </w:rPr>
            </w:pPr>
            <w:r w:rsidRPr="00821EAB">
              <w:rPr>
                <w:b/>
                <w:bCs/>
              </w:rPr>
              <w:t>2. 5. pantā</w:t>
            </w:r>
          </w:p>
          <w:p w14:paraId="40194159" w14:textId="77777777" w:rsidR="00821EAB" w:rsidRPr="00090F15" w:rsidRDefault="00821EAB" w:rsidP="00821EAB">
            <w:pPr>
              <w:pBdr>
                <w:top w:val="nil"/>
                <w:left w:val="nil"/>
                <w:bottom w:val="nil"/>
                <w:right w:val="nil"/>
                <w:between w:val="nil"/>
              </w:pBdr>
              <w:spacing w:before="75" w:after="75"/>
              <w:jc w:val="both"/>
            </w:pPr>
            <w:r w:rsidRPr="00090F15">
              <w:t>...</w:t>
            </w:r>
          </w:p>
          <w:p w14:paraId="23ECD8F0" w14:textId="77777777" w:rsidR="00821EAB" w:rsidRPr="00090F15" w:rsidRDefault="00821EAB" w:rsidP="00821EAB">
            <w:pPr>
              <w:pBdr>
                <w:top w:val="nil"/>
                <w:left w:val="nil"/>
                <w:bottom w:val="nil"/>
                <w:right w:val="nil"/>
                <w:between w:val="nil"/>
              </w:pBdr>
              <w:spacing w:before="75" w:after="75"/>
              <w:jc w:val="both"/>
              <w:rPr>
                <w:bCs/>
              </w:rPr>
            </w:pPr>
            <w:r w:rsidRPr="00090F15">
              <w:rPr>
                <w:bCs/>
              </w:rPr>
              <w:t>izteikt ceturto daļu šādā redakcijā:</w:t>
            </w:r>
          </w:p>
          <w:p w14:paraId="40B109B4" w14:textId="112BA84D" w:rsidR="00171B24" w:rsidRPr="00090F15" w:rsidRDefault="00821EAB" w:rsidP="00FD0C32">
            <w:pPr>
              <w:pBdr>
                <w:top w:val="nil"/>
                <w:left w:val="nil"/>
                <w:bottom w:val="nil"/>
                <w:right w:val="nil"/>
                <w:between w:val="nil"/>
              </w:pBdr>
              <w:spacing w:before="75" w:after="75"/>
              <w:jc w:val="both"/>
            </w:pPr>
            <w:r w:rsidRPr="00090F15">
              <w:t>“...</w:t>
            </w:r>
          </w:p>
          <w:p w14:paraId="3F136AFC" w14:textId="77777777" w:rsidR="001342DD" w:rsidRDefault="00567E68" w:rsidP="00FD0C32">
            <w:pPr>
              <w:pBdr>
                <w:top w:val="nil"/>
                <w:left w:val="nil"/>
                <w:bottom w:val="nil"/>
                <w:right w:val="nil"/>
                <w:between w:val="nil"/>
              </w:pBdr>
              <w:spacing w:before="75" w:after="75"/>
              <w:jc w:val="both"/>
            </w:pPr>
            <w:r w:rsidRPr="00680337">
              <w:t>5)</w:t>
            </w:r>
            <w:r>
              <w:t xml:space="preserve"> </w:t>
            </w:r>
            <w:r w:rsidR="001342DD" w:rsidRPr="00C85E66">
              <w:t xml:space="preserve">pēdējā gada laikā nav administratīvi sodīti par alkohola, narkotisko, psihotropo, toksisko vai citu apreibinošo vielu ietekmē izdarītiem pārkāpumiem, kā arī nav administratīvi sodīti par ieroču un munīcijas iegādāšanās, glabāšanas </w:t>
            </w:r>
            <w:r w:rsidR="001342DD" w:rsidRPr="00C85E66">
              <w:lastRenderedPageBreak/>
              <w:t>un nēsāšanas noteikumu pārkāpumiem</w:t>
            </w:r>
            <w:r w:rsidR="00E67E2C">
              <w:t>;</w:t>
            </w:r>
          </w:p>
          <w:p w14:paraId="767FE1E4" w14:textId="29A90162" w:rsidR="00567E68" w:rsidRPr="001342DD" w:rsidRDefault="00567E68" w:rsidP="00FD0C32">
            <w:pPr>
              <w:pBdr>
                <w:top w:val="nil"/>
                <w:left w:val="nil"/>
                <w:bottom w:val="nil"/>
                <w:right w:val="nil"/>
                <w:between w:val="nil"/>
              </w:pBdr>
              <w:spacing w:before="75" w:after="75"/>
              <w:jc w:val="both"/>
            </w:pPr>
            <w:r>
              <w:t>...”.</w:t>
            </w:r>
          </w:p>
        </w:tc>
        <w:tc>
          <w:tcPr>
            <w:tcW w:w="4590" w:type="dxa"/>
            <w:tcBorders>
              <w:top w:val="single" w:sz="4" w:space="0" w:color="auto"/>
              <w:left w:val="single" w:sz="6" w:space="0" w:color="000000"/>
              <w:bottom w:val="single" w:sz="4" w:space="0" w:color="auto"/>
              <w:right w:val="single" w:sz="6" w:space="0" w:color="000000"/>
            </w:tcBorders>
          </w:tcPr>
          <w:p w14:paraId="2309E88F" w14:textId="4FE2BEAF" w:rsidR="00171B24" w:rsidRPr="001342DD" w:rsidRDefault="00980546" w:rsidP="00FD0C32">
            <w:pPr>
              <w:pBdr>
                <w:top w:val="nil"/>
                <w:left w:val="nil"/>
                <w:bottom w:val="nil"/>
                <w:right w:val="nil"/>
                <w:between w:val="nil"/>
              </w:pBdr>
              <w:spacing w:before="75" w:after="75"/>
              <w:ind w:hanging="14"/>
              <w:jc w:val="center"/>
              <w:rPr>
                <w:b/>
              </w:rPr>
            </w:pPr>
            <w:r w:rsidRPr="001342DD">
              <w:rPr>
                <w:b/>
              </w:rPr>
              <w:lastRenderedPageBreak/>
              <w:t>Iekšlietu</w:t>
            </w:r>
            <w:r w:rsidR="00171B24" w:rsidRPr="001342DD">
              <w:rPr>
                <w:b/>
              </w:rPr>
              <w:t xml:space="preserve"> ministrijas priekšlikums</w:t>
            </w:r>
            <w:r w:rsidR="00672B80">
              <w:rPr>
                <w:b/>
              </w:rPr>
              <w:t xml:space="preserve"> (12.09.2019.)</w:t>
            </w:r>
          </w:p>
          <w:p w14:paraId="4E2B6BD2" w14:textId="31596F24" w:rsidR="00171B24" w:rsidRPr="001342DD" w:rsidRDefault="001342DD" w:rsidP="00FD0C32">
            <w:pPr>
              <w:pBdr>
                <w:top w:val="nil"/>
                <w:left w:val="nil"/>
                <w:bottom w:val="nil"/>
                <w:right w:val="nil"/>
                <w:between w:val="nil"/>
              </w:pBdr>
              <w:spacing w:before="75" w:after="75"/>
              <w:ind w:hanging="14"/>
              <w:jc w:val="both"/>
            </w:pPr>
            <w:r w:rsidRPr="00570595">
              <w:t xml:space="preserve">Izvērtēt nepieciešamību precizēt  likumprojekta 2. pantā ietvertā Likuma  5. panta ceturtās daļas 5.punkta redakciju attiecībā uz administratīvo sodāmību, ņemot vērā, ka Latvijas Administratīvo pārkāpumu kodekss nosaka, ka persona atzīstama par administratīvi nesodītu, ja gada laikā no dienas, kad beigusies soda izpildīšana, tā nav izdarījusi </w:t>
            </w:r>
            <w:r w:rsidRPr="00570595">
              <w:lastRenderedPageBreak/>
              <w:t>jaunu administratīvo pārkāpumu. Savukārt Administratīvās atbildības likums (spēkā no 01.01.2020.) paredz, ka persona atzīstama par administratīvi nesodītu gadu pēc soda izpildes. Administratīvās sodāmības dzēšanas termiņu skaita no dienas, kad pilnībā ir izpildīts pamatsods un papildsods. Ja sods nav izpildīts, persona uzskatāma par administratīvi sodītu vēl gadu pēc soda izpildes noilguma termiņa beigām.</w:t>
            </w:r>
            <w:r w:rsidR="00171B24" w:rsidRPr="001342DD">
              <w:t xml:space="preserve"> </w:t>
            </w:r>
          </w:p>
        </w:tc>
        <w:tc>
          <w:tcPr>
            <w:tcW w:w="2250" w:type="dxa"/>
            <w:tcBorders>
              <w:top w:val="single" w:sz="4" w:space="0" w:color="auto"/>
              <w:left w:val="single" w:sz="6" w:space="0" w:color="000000"/>
              <w:bottom w:val="single" w:sz="4" w:space="0" w:color="auto"/>
              <w:right w:val="single" w:sz="6" w:space="0" w:color="000000"/>
            </w:tcBorders>
          </w:tcPr>
          <w:p w14:paraId="72D44821" w14:textId="77777777" w:rsidR="00171B24" w:rsidRPr="001342DD" w:rsidRDefault="00171B24" w:rsidP="00FD0C32">
            <w:pPr>
              <w:pBdr>
                <w:top w:val="nil"/>
                <w:left w:val="nil"/>
                <w:bottom w:val="nil"/>
                <w:right w:val="nil"/>
                <w:between w:val="nil"/>
              </w:pBdr>
              <w:jc w:val="center"/>
              <w:rPr>
                <w:b/>
              </w:rPr>
            </w:pPr>
            <w:r w:rsidRPr="001342DD">
              <w:rPr>
                <w:b/>
              </w:rPr>
              <w:lastRenderedPageBreak/>
              <w:t>Ņemts vērā</w:t>
            </w:r>
          </w:p>
          <w:p w14:paraId="54E008F5" w14:textId="77777777" w:rsidR="00171B24" w:rsidRPr="001342DD" w:rsidRDefault="00171B24" w:rsidP="00FD0C32">
            <w:pPr>
              <w:pBdr>
                <w:top w:val="nil"/>
                <w:left w:val="nil"/>
                <w:bottom w:val="nil"/>
                <w:right w:val="nil"/>
                <w:between w:val="nil"/>
              </w:pBdr>
              <w:jc w:val="center"/>
              <w:rPr>
                <w:b/>
              </w:rPr>
            </w:pPr>
          </w:p>
        </w:tc>
        <w:tc>
          <w:tcPr>
            <w:tcW w:w="3723" w:type="dxa"/>
            <w:tcBorders>
              <w:top w:val="single" w:sz="4" w:space="0" w:color="000000"/>
              <w:left w:val="single" w:sz="4" w:space="0" w:color="000000"/>
              <w:bottom w:val="single" w:sz="4" w:space="0" w:color="000000"/>
            </w:tcBorders>
          </w:tcPr>
          <w:p w14:paraId="0687AF03" w14:textId="77777777" w:rsidR="00567E68" w:rsidRPr="00821EAB" w:rsidRDefault="00567E68" w:rsidP="00567E68">
            <w:pPr>
              <w:pBdr>
                <w:top w:val="nil"/>
                <w:left w:val="nil"/>
                <w:bottom w:val="nil"/>
                <w:right w:val="nil"/>
                <w:between w:val="nil"/>
              </w:pBdr>
              <w:spacing w:before="75" w:after="75"/>
              <w:jc w:val="both"/>
              <w:rPr>
                <w:b/>
                <w:bCs/>
              </w:rPr>
            </w:pPr>
            <w:r w:rsidRPr="00821EAB">
              <w:rPr>
                <w:b/>
                <w:bCs/>
              </w:rPr>
              <w:t>2. 5. pantā</w:t>
            </w:r>
          </w:p>
          <w:p w14:paraId="7AF270C5" w14:textId="77777777" w:rsidR="005D0737" w:rsidRPr="005D0737" w:rsidRDefault="005D0737" w:rsidP="005D0737">
            <w:pPr>
              <w:pBdr>
                <w:top w:val="nil"/>
                <w:left w:val="nil"/>
                <w:bottom w:val="nil"/>
                <w:right w:val="nil"/>
                <w:between w:val="nil"/>
              </w:pBdr>
              <w:spacing w:before="75" w:after="75"/>
              <w:jc w:val="both"/>
              <w:rPr>
                <w:bCs/>
              </w:rPr>
            </w:pPr>
            <w:r w:rsidRPr="005D0737">
              <w:rPr>
                <w:bCs/>
              </w:rPr>
              <w:t>izteikt trešo, ceturto un 4.</w:t>
            </w:r>
            <w:r w:rsidRPr="005D0737">
              <w:rPr>
                <w:bCs/>
                <w:vertAlign w:val="superscript"/>
              </w:rPr>
              <w:t>1</w:t>
            </w:r>
            <w:r w:rsidRPr="005D0737">
              <w:rPr>
                <w:bCs/>
              </w:rPr>
              <w:t xml:space="preserve"> daļu šādā redakcijā:</w:t>
            </w:r>
          </w:p>
          <w:p w14:paraId="40A8DD24" w14:textId="5B5CA913" w:rsidR="00567E68" w:rsidRPr="00090F15" w:rsidRDefault="005D0737" w:rsidP="00567E68">
            <w:pPr>
              <w:pBdr>
                <w:top w:val="nil"/>
                <w:left w:val="nil"/>
                <w:bottom w:val="nil"/>
                <w:right w:val="nil"/>
                <w:between w:val="nil"/>
              </w:pBdr>
              <w:spacing w:before="75" w:after="75"/>
              <w:jc w:val="both"/>
            </w:pPr>
            <w:r w:rsidRPr="005D0737" w:rsidDel="005D0737">
              <w:t xml:space="preserve"> </w:t>
            </w:r>
            <w:r w:rsidR="00567E68" w:rsidRPr="00090F15">
              <w:t>“...</w:t>
            </w:r>
          </w:p>
          <w:p w14:paraId="64B74057" w14:textId="1A07016D" w:rsidR="00171B24" w:rsidRDefault="00567E68" w:rsidP="00FD0C32">
            <w:pPr>
              <w:pBdr>
                <w:top w:val="nil"/>
                <w:left w:val="nil"/>
                <w:bottom w:val="nil"/>
                <w:right w:val="nil"/>
                <w:between w:val="nil"/>
              </w:pBdr>
              <w:spacing w:before="75" w:after="75"/>
              <w:jc w:val="both"/>
            </w:pPr>
            <w:r w:rsidRPr="00090F15">
              <w:t>5)</w:t>
            </w:r>
            <w:r>
              <w:rPr>
                <w:b/>
              </w:rPr>
              <w:t xml:space="preserve"> </w:t>
            </w:r>
            <w:r w:rsidR="00E67E2C" w:rsidRPr="00C85E66">
              <w:t xml:space="preserve">nav administratīvi sodīti par alkohola, narkotisko, psihotropo, toksisko vai citu apreibinošo vielu ietekmē izdarītiem pārkāpumiem, kā arī nav administratīvi sodīti par ieroču un munīcijas iegādāšanās, </w:t>
            </w:r>
            <w:r w:rsidR="00E67E2C" w:rsidRPr="00426D01">
              <w:t xml:space="preserve">glabāšanas un nēsāšanas noteikumu </w:t>
            </w:r>
            <w:r w:rsidR="00E67E2C" w:rsidRPr="00426D01">
              <w:lastRenderedPageBreak/>
              <w:t>pārkāpumiem — kamēr nav pagājis gads pēc administratīvā soda izpildes;</w:t>
            </w:r>
          </w:p>
          <w:p w14:paraId="31C4794B" w14:textId="66A8B929" w:rsidR="00567E68" w:rsidRPr="001342DD" w:rsidRDefault="00567E68" w:rsidP="00FD0C32">
            <w:pPr>
              <w:pBdr>
                <w:top w:val="nil"/>
                <w:left w:val="nil"/>
                <w:bottom w:val="nil"/>
                <w:right w:val="nil"/>
                <w:between w:val="nil"/>
              </w:pBdr>
              <w:spacing w:before="75" w:after="75"/>
              <w:jc w:val="both"/>
            </w:pPr>
            <w:r>
              <w:t>...”.</w:t>
            </w:r>
          </w:p>
        </w:tc>
      </w:tr>
      <w:tr w:rsidR="00171B24" w14:paraId="7608E6CF" w14:textId="77777777" w:rsidTr="00090F15">
        <w:tc>
          <w:tcPr>
            <w:tcW w:w="707" w:type="dxa"/>
            <w:tcBorders>
              <w:top w:val="single" w:sz="4" w:space="0" w:color="auto"/>
              <w:left w:val="single" w:sz="6" w:space="0" w:color="000000"/>
              <w:bottom w:val="single" w:sz="4" w:space="0" w:color="auto"/>
              <w:right w:val="single" w:sz="6" w:space="0" w:color="000000"/>
            </w:tcBorders>
          </w:tcPr>
          <w:p w14:paraId="6D1D61CF" w14:textId="19CE77AF" w:rsidR="00171B24" w:rsidRPr="00090F15" w:rsidRDefault="00171B24" w:rsidP="00171B24">
            <w:pPr>
              <w:pBdr>
                <w:top w:val="nil"/>
                <w:left w:val="nil"/>
                <w:bottom w:val="nil"/>
                <w:right w:val="nil"/>
                <w:between w:val="nil"/>
              </w:pBdr>
              <w:ind w:firstLine="720"/>
              <w:rPr>
                <w:b/>
                <w:sz w:val="22"/>
                <w:szCs w:val="22"/>
              </w:rPr>
            </w:pPr>
            <w:r w:rsidRPr="00090F15">
              <w:rPr>
                <w:b/>
                <w:sz w:val="22"/>
                <w:szCs w:val="22"/>
              </w:rPr>
              <w:lastRenderedPageBreak/>
              <w:t>8</w:t>
            </w:r>
            <w:r w:rsidR="00821EAB" w:rsidRPr="00090F15">
              <w:rPr>
                <w:b/>
                <w:sz w:val="22"/>
                <w:szCs w:val="22"/>
              </w:rPr>
              <w:t>20</w:t>
            </w:r>
            <w:r w:rsidRPr="00090F15">
              <w:rPr>
                <w:b/>
                <w:sz w:val="22"/>
                <w:szCs w:val="22"/>
              </w:rPr>
              <w:t>.</w:t>
            </w:r>
          </w:p>
        </w:tc>
        <w:tc>
          <w:tcPr>
            <w:tcW w:w="3721" w:type="dxa"/>
            <w:tcBorders>
              <w:top w:val="single" w:sz="4" w:space="0" w:color="auto"/>
              <w:left w:val="single" w:sz="6" w:space="0" w:color="000000"/>
              <w:bottom w:val="single" w:sz="4" w:space="0" w:color="auto"/>
              <w:right w:val="single" w:sz="6" w:space="0" w:color="000000"/>
            </w:tcBorders>
          </w:tcPr>
          <w:p w14:paraId="6AEC7626" w14:textId="77777777" w:rsidR="00567E68" w:rsidRPr="00090F15" w:rsidRDefault="00567E68" w:rsidP="00567E68">
            <w:pPr>
              <w:pBdr>
                <w:top w:val="nil"/>
                <w:left w:val="nil"/>
                <w:bottom w:val="nil"/>
                <w:right w:val="nil"/>
                <w:between w:val="nil"/>
              </w:pBdr>
              <w:spacing w:before="75" w:after="75"/>
              <w:jc w:val="both"/>
              <w:rPr>
                <w:b/>
                <w:bCs/>
                <w:sz w:val="22"/>
                <w:szCs w:val="22"/>
              </w:rPr>
            </w:pPr>
            <w:r w:rsidRPr="00090F15">
              <w:rPr>
                <w:b/>
                <w:bCs/>
                <w:sz w:val="22"/>
                <w:szCs w:val="22"/>
              </w:rPr>
              <w:t>2. 5. pantā</w:t>
            </w:r>
          </w:p>
          <w:p w14:paraId="0C7D89F1" w14:textId="77777777" w:rsidR="00567E68" w:rsidRPr="00090F15" w:rsidRDefault="00567E68" w:rsidP="00567E68">
            <w:pPr>
              <w:pBdr>
                <w:top w:val="nil"/>
                <w:left w:val="nil"/>
                <w:bottom w:val="nil"/>
                <w:right w:val="nil"/>
                <w:between w:val="nil"/>
              </w:pBdr>
              <w:spacing w:before="75" w:after="75"/>
              <w:jc w:val="both"/>
              <w:rPr>
                <w:sz w:val="22"/>
                <w:szCs w:val="22"/>
              </w:rPr>
            </w:pPr>
            <w:r w:rsidRPr="00090F15">
              <w:rPr>
                <w:sz w:val="22"/>
                <w:szCs w:val="22"/>
              </w:rPr>
              <w:t>...</w:t>
            </w:r>
          </w:p>
          <w:p w14:paraId="47219906" w14:textId="77777777" w:rsidR="00567E68" w:rsidRPr="00090F15" w:rsidRDefault="00567E68" w:rsidP="00567E68">
            <w:pPr>
              <w:pBdr>
                <w:top w:val="nil"/>
                <w:left w:val="nil"/>
                <w:bottom w:val="nil"/>
                <w:right w:val="nil"/>
                <w:between w:val="nil"/>
              </w:pBdr>
              <w:spacing w:before="75" w:after="75"/>
              <w:jc w:val="both"/>
              <w:rPr>
                <w:bCs/>
                <w:sz w:val="22"/>
                <w:szCs w:val="22"/>
              </w:rPr>
            </w:pPr>
            <w:r w:rsidRPr="00090F15">
              <w:rPr>
                <w:bCs/>
                <w:sz w:val="22"/>
                <w:szCs w:val="22"/>
              </w:rPr>
              <w:t>izteikt ceturto daļu šādā redakcijā:</w:t>
            </w:r>
          </w:p>
          <w:p w14:paraId="05910012" w14:textId="23AAB1A0" w:rsidR="00151E72" w:rsidRPr="00090F15" w:rsidRDefault="006D72F4" w:rsidP="00FD0C32">
            <w:pPr>
              <w:pBdr>
                <w:top w:val="nil"/>
                <w:left w:val="nil"/>
                <w:bottom w:val="nil"/>
                <w:right w:val="nil"/>
                <w:between w:val="nil"/>
              </w:pBdr>
              <w:spacing w:before="75" w:after="75"/>
              <w:jc w:val="both"/>
              <w:rPr>
                <w:sz w:val="22"/>
                <w:szCs w:val="22"/>
              </w:rPr>
            </w:pPr>
            <w:r w:rsidRPr="00090F15">
              <w:rPr>
                <w:sz w:val="22"/>
                <w:szCs w:val="22"/>
                <w:lang w:eastAsia="en-US"/>
              </w:rPr>
              <w:t xml:space="preserve">“(4) </w:t>
            </w:r>
            <w:r w:rsidR="00151E72" w:rsidRPr="00090F15">
              <w:rPr>
                <w:sz w:val="22"/>
                <w:szCs w:val="22"/>
              </w:rPr>
              <w:t xml:space="preserve">Aizsardzības ministrijas izsniegto speciālo atļauju (licenci) komercdarbībai ar Eiropas Savienības Kopējā militāro preču sarakstā minētajām precēm ir tiesīgi saņemt Latvijas Republikā reģistrēti individuālie komersanti vai komercsabiedrības, to dalībnieki (fiziskās personas), izņemot akcionārus, kuru līdzdalība sabiedrības pamatkapitālā ir mazāka par 10 procentiem no sabiedrības pamatkapitāla, prokūristi, vadītāji un personas, kas ieņem amatus pārvaldes institūcijās, kā arī darbinieki, kas tieši saistīti ar Eiropas Savienības Kopējā militāro preču sarakstā minēto preču ražošanu, remontu, realizēšanu, glabāšanu, transportēšanu ar tiem saistīto pakalpojumu sniegšanu vai apsardzi un kuri atbilst šādām </w:t>
            </w:r>
            <w:r w:rsidR="00151E72" w:rsidRPr="00090F15">
              <w:rPr>
                <w:sz w:val="22"/>
                <w:szCs w:val="22"/>
              </w:rPr>
              <w:lastRenderedPageBreak/>
              <w:t>prasībām:</w:t>
            </w:r>
          </w:p>
          <w:p w14:paraId="1B3E390A" w14:textId="47DC0180" w:rsidR="00204930" w:rsidRPr="00090F15" w:rsidRDefault="006D72F4" w:rsidP="00FD0C32">
            <w:pPr>
              <w:pBdr>
                <w:top w:val="nil"/>
                <w:left w:val="nil"/>
                <w:bottom w:val="nil"/>
                <w:right w:val="nil"/>
                <w:between w:val="nil"/>
              </w:pBdr>
              <w:spacing w:before="75" w:after="75"/>
              <w:jc w:val="both"/>
              <w:rPr>
                <w:sz w:val="22"/>
                <w:szCs w:val="22"/>
              </w:rPr>
            </w:pPr>
            <w:r>
              <w:rPr>
                <w:sz w:val="22"/>
                <w:szCs w:val="22"/>
              </w:rPr>
              <w:t>...”.</w:t>
            </w:r>
          </w:p>
        </w:tc>
        <w:tc>
          <w:tcPr>
            <w:tcW w:w="4590" w:type="dxa"/>
            <w:tcBorders>
              <w:top w:val="single" w:sz="4" w:space="0" w:color="auto"/>
              <w:left w:val="single" w:sz="6" w:space="0" w:color="000000"/>
              <w:bottom w:val="single" w:sz="4" w:space="0" w:color="auto"/>
              <w:right w:val="single" w:sz="6" w:space="0" w:color="000000"/>
            </w:tcBorders>
          </w:tcPr>
          <w:p w14:paraId="3D1EEB68" w14:textId="28819142" w:rsidR="00171B24" w:rsidRPr="00151E72" w:rsidRDefault="00980546" w:rsidP="00FD0C32">
            <w:pPr>
              <w:pBdr>
                <w:top w:val="nil"/>
                <w:left w:val="nil"/>
                <w:bottom w:val="nil"/>
                <w:right w:val="nil"/>
                <w:between w:val="nil"/>
              </w:pBdr>
              <w:spacing w:before="75" w:after="75"/>
              <w:ind w:hanging="14"/>
              <w:jc w:val="center"/>
              <w:rPr>
                <w:b/>
              </w:rPr>
            </w:pPr>
            <w:r w:rsidRPr="00151E72">
              <w:rPr>
                <w:b/>
              </w:rPr>
              <w:lastRenderedPageBreak/>
              <w:t>Aizsardzības</w:t>
            </w:r>
            <w:r w:rsidR="00171B24" w:rsidRPr="00151E72">
              <w:rPr>
                <w:b/>
              </w:rPr>
              <w:t xml:space="preserve"> ministrijas priekšlikums</w:t>
            </w:r>
            <w:r w:rsidR="00672B80">
              <w:rPr>
                <w:b/>
              </w:rPr>
              <w:t xml:space="preserve"> (12.09.2019.)</w:t>
            </w:r>
          </w:p>
          <w:p w14:paraId="6639C627" w14:textId="1080D1ED" w:rsidR="00171B24" w:rsidRPr="00151E72" w:rsidRDefault="00151E72" w:rsidP="00FD0C32">
            <w:pPr>
              <w:pBdr>
                <w:top w:val="nil"/>
                <w:left w:val="nil"/>
                <w:bottom w:val="nil"/>
                <w:right w:val="nil"/>
                <w:between w:val="nil"/>
              </w:pBdr>
              <w:spacing w:before="75" w:after="75"/>
              <w:ind w:hanging="14"/>
              <w:jc w:val="both"/>
            </w:pPr>
            <w:r w:rsidRPr="00151E72">
              <w:t>Papildināt likumprojekta 2. pantā (Stratēģiskas nozīmes preču aprites likuma 5. panta ceturtajā daļā) aiz vārdiem “vai komercdarbības,” ar vārdu “un”. Precizējums nepieciešams skaidrākai interpretācijai - speciālā atļauja (licence) tiek izsniegta tikai individuāliem komersantiem un komercdarbībām.</w:t>
            </w:r>
          </w:p>
        </w:tc>
        <w:tc>
          <w:tcPr>
            <w:tcW w:w="2250" w:type="dxa"/>
            <w:tcBorders>
              <w:top w:val="single" w:sz="4" w:space="0" w:color="auto"/>
              <w:left w:val="single" w:sz="6" w:space="0" w:color="000000"/>
              <w:bottom w:val="single" w:sz="4" w:space="0" w:color="auto"/>
              <w:right w:val="single" w:sz="6" w:space="0" w:color="000000"/>
            </w:tcBorders>
          </w:tcPr>
          <w:p w14:paraId="5173AA0C" w14:textId="77777777" w:rsidR="00171B24" w:rsidRPr="00151E72" w:rsidRDefault="00171B24" w:rsidP="00FD0C32">
            <w:pPr>
              <w:pBdr>
                <w:top w:val="nil"/>
                <w:left w:val="nil"/>
                <w:bottom w:val="nil"/>
                <w:right w:val="nil"/>
                <w:between w:val="nil"/>
              </w:pBdr>
              <w:jc w:val="center"/>
              <w:rPr>
                <w:b/>
              </w:rPr>
            </w:pPr>
            <w:r w:rsidRPr="00151E72">
              <w:rPr>
                <w:b/>
              </w:rPr>
              <w:t>Ņemts vērā</w:t>
            </w:r>
          </w:p>
          <w:p w14:paraId="5D4F6D11" w14:textId="77777777" w:rsidR="00171B24" w:rsidRPr="00151E72" w:rsidRDefault="00171B24" w:rsidP="00FD0C32">
            <w:pPr>
              <w:pBdr>
                <w:top w:val="nil"/>
                <w:left w:val="nil"/>
                <w:bottom w:val="nil"/>
                <w:right w:val="nil"/>
                <w:between w:val="nil"/>
              </w:pBdr>
              <w:jc w:val="center"/>
              <w:rPr>
                <w:b/>
              </w:rPr>
            </w:pPr>
          </w:p>
        </w:tc>
        <w:tc>
          <w:tcPr>
            <w:tcW w:w="3723" w:type="dxa"/>
            <w:tcBorders>
              <w:top w:val="single" w:sz="4" w:space="0" w:color="000000"/>
              <w:left w:val="single" w:sz="4" w:space="0" w:color="000000"/>
              <w:bottom w:val="single" w:sz="4" w:space="0" w:color="000000"/>
            </w:tcBorders>
          </w:tcPr>
          <w:p w14:paraId="71CCF96E" w14:textId="77777777" w:rsidR="006D72F4" w:rsidRPr="00854975" w:rsidRDefault="006D72F4" w:rsidP="006D72F4">
            <w:pPr>
              <w:pBdr>
                <w:top w:val="nil"/>
                <w:left w:val="nil"/>
                <w:bottom w:val="nil"/>
                <w:right w:val="nil"/>
                <w:between w:val="nil"/>
              </w:pBdr>
              <w:spacing w:before="75" w:after="75"/>
              <w:jc w:val="both"/>
              <w:rPr>
                <w:b/>
                <w:bCs/>
                <w:sz w:val="22"/>
                <w:szCs w:val="22"/>
              </w:rPr>
            </w:pPr>
            <w:r w:rsidRPr="00854975">
              <w:rPr>
                <w:b/>
                <w:bCs/>
                <w:sz w:val="22"/>
                <w:szCs w:val="22"/>
              </w:rPr>
              <w:t>2. 5. pantā</w:t>
            </w:r>
          </w:p>
          <w:p w14:paraId="3CC52A9D" w14:textId="77777777" w:rsidR="005D0737" w:rsidRPr="005D0737" w:rsidRDefault="005D0737" w:rsidP="005D0737">
            <w:pPr>
              <w:pBdr>
                <w:top w:val="nil"/>
                <w:left w:val="nil"/>
                <w:bottom w:val="nil"/>
                <w:right w:val="nil"/>
                <w:between w:val="nil"/>
              </w:pBdr>
              <w:spacing w:before="75" w:after="75"/>
              <w:jc w:val="both"/>
              <w:rPr>
                <w:bCs/>
                <w:sz w:val="22"/>
                <w:szCs w:val="22"/>
              </w:rPr>
            </w:pPr>
            <w:r w:rsidRPr="005D0737">
              <w:rPr>
                <w:bCs/>
                <w:sz w:val="22"/>
                <w:szCs w:val="22"/>
              </w:rPr>
              <w:t>izteikt trešo, ceturto un 4.</w:t>
            </w:r>
            <w:r w:rsidRPr="005D0737">
              <w:rPr>
                <w:bCs/>
                <w:sz w:val="22"/>
                <w:szCs w:val="22"/>
                <w:vertAlign w:val="superscript"/>
              </w:rPr>
              <w:t>1</w:t>
            </w:r>
            <w:r w:rsidRPr="005D0737">
              <w:rPr>
                <w:bCs/>
                <w:sz w:val="22"/>
                <w:szCs w:val="22"/>
              </w:rPr>
              <w:t xml:space="preserve"> daļu šādā redakcijā:</w:t>
            </w:r>
          </w:p>
          <w:p w14:paraId="256FDB6A" w14:textId="72158BA3" w:rsidR="005D0737" w:rsidRDefault="005D0737" w:rsidP="00FD0C32">
            <w:pPr>
              <w:pBdr>
                <w:top w:val="nil"/>
                <w:left w:val="nil"/>
                <w:bottom w:val="nil"/>
                <w:right w:val="nil"/>
                <w:between w:val="nil"/>
              </w:pBdr>
              <w:spacing w:before="75" w:after="75"/>
              <w:jc w:val="both"/>
              <w:rPr>
                <w:sz w:val="22"/>
                <w:szCs w:val="22"/>
                <w:lang w:eastAsia="en-US"/>
              </w:rPr>
            </w:pPr>
            <w:r w:rsidRPr="005D0737" w:rsidDel="005D0737">
              <w:rPr>
                <w:sz w:val="22"/>
                <w:szCs w:val="22"/>
              </w:rPr>
              <w:t xml:space="preserve"> </w:t>
            </w:r>
            <w:r w:rsidR="006D72F4" w:rsidRPr="00854975">
              <w:rPr>
                <w:sz w:val="22"/>
                <w:szCs w:val="22"/>
                <w:lang w:eastAsia="en-US"/>
              </w:rPr>
              <w:t>“</w:t>
            </w:r>
            <w:r>
              <w:rPr>
                <w:sz w:val="22"/>
                <w:szCs w:val="22"/>
                <w:lang w:eastAsia="en-US"/>
              </w:rPr>
              <w:t>...</w:t>
            </w:r>
          </w:p>
          <w:p w14:paraId="48137FD0" w14:textId="06EF4D29" w:rsidR="00171B24" w:rsidRDefault="006D72F4" w:rsidP="00FD0C32">
            <w:pPr>
              <w:pBdr>
                <w:top w:val="nil"/>
                <w:left w:val="nil"/>
                <w:bottom w:val="nil"/>
                <w:right w:val="nil"/>
                <w:between w:val="nil"/>
              </w:pBdr>
              <w:spacing w:before="75" w:after="75"/>
              <w:jc w:val="both"/>
            </w:pPr>
            <w:r w:rsidRPr="00854975">
              <w:rPr>
                <w:sz w:val="22"/>
                <w:szCs w:val="22"/>
                <w:lang w:eastAsia="en-US"/>
              </w:rPr>
              <w:t xml:space="preserve">(4) </w:t>
            </w:r>
            <w:r w:rsidR="007374E8" w:rsidRPr="007374E8">
              <w:t xml:space="preserve">Aizsardzības ministrijas izsniegto speciālo atļauju (licenci) komercdarbībai ar Eiropas Savienības Kopējā militāro preču sarakstā minētajām precēm ir tiesīgi saņemt Latvijas Republikā reģistrēti individuālie komersanti vai komercsabiedrības, </w:t>
            </w:r>
            <w:r w:rsidR="007374E8" w:rsidRPr="007374E8">
              <w:rPr>
                <w:u w:val="single"/>
              </w:rPr>
              <w:t>un</w:t>
            </w:r>
            <w:r w:rsidR="007374E8" w:rsidRPr="007374E8">
              <w:t xml:space="preserve"> to dalībnieki (fiziskās personas), izņemot akcionārus, kuru līdzdalība sabiedrības pamatkapitālā ir mazāka par 10 procentiem no sabiedrības pamatkapitāla, prokūristi, vadītāji un personas, kas ieņem amatus pārvaldes institūcijās, kā arī darbinieki, kas tieši saistīti ar Eiropas Savienības Kopējā militāro preču sarakstā minēto preču </w:t>
            </w:r>
            <w:r w:rsidR="007374E8" w:rsidRPr="007374E8">
              <w:lastRenderedPageBreak/>
              <w:t>ražošanu, remontu, realizēšanu, glabāšanu, transportēšanu ar tiem saistīto pakalpojumu sniegšanu vai apsardzi un kuri atbilst šādām prasībām:</w:t>
            </w:r>
          </w:p>
          <w:p w14:paraId="4B1815CB" w14:textId="71AA4F1C" w:rsidR="006D72F4" w:rsidRPr="007374E8" w:rsidRDefault="006D72F4" w:rsidP="00FD0C32">
            <w:pPr>
              <w:pBdr>
                <w:top w:val="nil"/>
                <w:left w:val="nil"/>
                <w:bottom w:val="nil"/>
                <w:right w:val="nil"/>
                <w:between w:val="nil"/>
              </w:pBdr>
              <w:spacing w:before="75" w:after="75"/>
              <w:jc w:val="both"/>
            </w:pPr>
            <w:r>
              <w:t>...”.</w:t>
            </w:r>
          </w:p>
        </w:tc>
      </w:tr>
      <w:tr w:rsidR="001D504D" w14:paraId="09941CDF" w14:textId="77777777" w:rsidTr="00090F15">
        <w:tc>
          <w:tcPr>
            <w:tcW w:w="707" w:type="dxa"/>
            <w:tcBorders>
              <w:top w:val="single" w:sz="4" w:space="0" w:color="auto"/>
              <w:left w:val="single" w:sz="6" w:space="0" w:color="000000"/>
              <w:bottom w:val="single" w:sz="4" w:space="0" w:color="auto"/>
              <w:right w:val="single" w:sz="6" w:space="0" w:color="000000"/>
            </w:tcBorders>
          </w:tcPr>
          <w:p w14:paraId="7A7D5DF1" w14:textId="254226E5" w:rsidR="001D504D" w:rsidRPr="002C1556" w:rsidRDefault="001D504D" w:rsidP="00171B24">
            <w:pPr>
              <w:pBdr>
                <w:top w:val="nil"/>
                <w:left w:val="nil"/>
                <w:bottom w:val="nil"/>
                <w:right w:val="nil"/>
                <w:between w:val="nil"/>
              </w:pBdr>
              <w:ind w:firstLine="720"/>
              <w:rPr>
                <w:b/>
              </w:rPr>
            </w:pPr>
            <w:r w:rsidRPr="002C1556">
              <w:rPr>
                <w:b/>
              </w:rPr>
              <w:lastRenderedPageBreak/>
              <w:t>8</w:t>
            </w:r>
            <w:r w:rsidR="00821EAB">
              <w:rPr>
                <w:b/>
              </w:rPr>
              <w:t>21</w:t>
            </w:r>
            <w:r w:rsidRPr="002C1556">
              <w:rPr>
                <w:b/>
              </w:rPr>
              <w:t>.</w:t>
            </w:r>
          </w:p>
        </w:tc>
        <w:tc>
          <w:tcPr>
            <w:tcW w:w="3721" w:type="dxa"/>
            <w:tcBorders>
              <w:top w:val="single" w:sz="4" w:space="0" w:color="auto"/>
              <w:left w:val="single" w:sz="6" w:space="0" w:color="000000"/>
              <w:bottom w:val="single" w:sz="4" w:space="0" w:color="auto"/>
              <w:right w:val="single" w:sz="6" w:space="0" w:color="000000"/>
            </w:tcBorders>
          </w:tcPr>
          <w:p w14:paraId="3689E1E2" w14:textId="689FB5D9" w:rsidR="001D504D" w:rsidRPr="002C1556" w:rsidRDefault="00126CDE" w:rsidP="00FD0C32">
            <w:pPr>
              <w:pBdr>
                <w:top w:val="nil"/>
                <w:left w:val="nil"/>
                <w:bottom w:val="nil"/>
                <w:right w:val="nil"/>
                <w:between w:val="nil"/>
              </w:pBdr>
              <w:spacing w:before="75" w:after="75"/>
              <w:jc w:val="both"/>
              <w:rPr>
                <w:b/>
              </w:rPr>
            </w:pPr>
            <w:r w:rsidRPr="002C1556">
              <w:rPr>
                <w:b/>
              </w:rPr>
              <w:t>Likumprojekta anotācija</w:t>
            </w:r>
          </w:p>
        </w:tc>
        <w:tc>
          <w:tcPr>
            <w:tcW w:w="4590" w:type="dxa"/>
            <w:tcBorders>
              <w:top w:val="single" w:sz="4" w:space="0" w:color="auto"/>
              <w:left w:val="single" w:sz="6" w:space="0" w:color="000000"/>
              <w:bottom w:val="single" w:sz="4" w:space="0" w:color="auto"/>
              <w:right w:val="single" w:sz="6" w:space="0" w:color="000000"/>
            </w:tcBorders>
          </w:tcPr>
          <w:p w14:paraId="4E8D095C" w14:textId="722E802E" w:rsidR="001D504D" w:rsidRPr="002C1556" w:rsidRDefault="001D504D" w:rsidP="00BA18A4">
            <w:pPr>
              <w:pBdr>
                <w:top w:val="nil"/>
                <w:left w:val="nil"/>
                <w:bottom w:val="nil"/>
                <w:right w:val="nil"/>
                <w:between w:val="nil"/>
              </w:pBdr>
              <w:spacing w:before="75" w:after="75"/>
              <w:ind w:hanging="14"/>
              <w:jc w:val="center"/>
              <w:rPr>
                <w:b/>
              </w:rPr>
            </w:pPr>
            <w:r w:rsidRPr="002C1556">
              <w:rPr>
                <w:b/>
              </w:rPr>
              <w:t>Tieslietu ministrijas priekšlikums</w:t>
            </w:r>
            <w:r w:rsidR="00672B80">
              <w:rPr>
                <w:b/>
              </w:rPr>
              <w:t xml:space="preserve"> (12.09.2019.)</w:t>
            </w:r>
          </w:p>
          <w:p w14:paraId="669B1441" w14:textId="29D2E9A4" w:rsidR="001A7CA3" w:rsidRPr="002C1556" w:rsidRDefault="002C1556" w:rsidP="00171B24">
            <w:pPr>
              <w:pBdr>
                <w:top w:val="nil"/>
                <w:left w:val="nil"/>
                <w:bottom w:val="nil"/>
                <w:right w:val="nil"/>
                <w:between w:val="nil"/>
              </w:pBdr>
              <w:spacing w:before="75" w:after="75"/>
              <w:ind w:hanging="14"/>
              <w:jc w:val="both"/>
            </w:pPr>
            <w:r w:rsidRPr="002C1556">
              <w:t>Precizēt likumprojekta anotācijas I sadaļas 1. punktā ietverto informāciju, norādot juridiski korektu atsauci uz Ministru kabineta noteikumiem</w:t>
            </w:r>
            <w:r>
              <w:t>.</w:t>
            </w:r>
          </w:p>
        </w:tc>
        <w:tc>
          <w:tcPr>
            <w:tcW w:w="2250" w:type="dxa"/>
            <w:tcBorders>
              <w:top w:val="single" w:sz="4" w:space="0" w:color="auto"/>
              <w:left w:val="single" w:sz="6" w:space="0" w:color="000000"/>
              <w:bottom w:val="single" w:sz="4" w:space="0" w:color="auto"/>
              <w:right w:val="single" w:sz="6" w:space="0" w:color="000000"/>
            </w:tcBorders>
          </w:tcPr>
          <w:p w14:paraId="6664FBF8" w14:textId="77777777" w:rsidR="001D504D" w:rsidRPr="002C1556" w:rsidRDefault="001D504D" w:rsidP="00FD0C32">
            <w:pPr>
              <w:pBdr>
                <w:top w:val="nil"/>
                <w:left w:val="nil"/>
                <w:bottom w:val="nil"/>
                <w:right w:val="nil"/>
                <w:between w:val="nil"/>
              </w:pBdr>
              <w:jc w:val="center"/>
              <w:rPr>
                <w:b/>
              </w:rPr>
            </w:pPr>
            <w:r w:rsidRPr="002C1556">
              <w:rPr>
                <w:b/>
              </w:rPr>
              <w:t>Ņemts vērā</w:t>
            </w:r>
          </w:p>
          <w:p w14:paraId="4B234AAF" w14:textId="77777777" w:rsidR="001D504D" w:rsidRPr="002C1556" w:rsidRDefault="001D504D" w:rsidP="00FD0C32">
            <w:pPr>
              <w:pBdr>
                <w:top w:val="nil"/>
                <w:left w:val="nil"/>
                <w:bottom w:val="nil"/>
                <w:right w:val="nil"/>
                <w:between w:val="nil"/>
              </w:pBdr>
              <w:jc w:val="center"/>
              <w:rPr>
                <w:b/>
              </w:rPr>
            </w:pPr>
          </w:p>
        </w:tc>
        <w:tc>
          <w:tcPr>
            <w:tcW w:w="3723" w:type="dxa"/>
            <w:tcBorders>
              <w:top w:val="single" w:sz="4" w:space="0" w:color="000000"/>
              <w:left w:val="single" w:sz="4" w:space="0" w:color="000000"/>
              <w:bottom w:val="single" w:sz="4" w:space="0" w:color="000000"/>
            </w:tcBorders>
          </w:tcPr>
          <w:p w14:paraId="23F50380" w14:textId="7333533E" w:rsidR="001D504D" w:rsidRPr="002C1556" w:rsidRDefault="00321B04" w:rsidP="00FD0C32">
            <w:pPr>
              <w:pBdr>
                <w:top w:val="nil"/>
                <w:left w:val="nil"/>
                <w:bottom w:val="nil"/>
                <w:right w:val="nil"/>
                <w:between w:val="nil"/>
              </w:pBdr>
              <w:spacing w:before="75" w:after="75"/>
              <w:jc w:val="both"/>
              <w:rPr>
                <w:b/>
              </w:rPr>
            </w:pPr>
            <w:r w:rsidRPr="002C1556">
              <w:t>Likumprojekta anotācija ir precizēta.</w:t>
            </w:r>
          </w:p>
        </w:tc>
      </w:tr>
      <w:tr w:rsidR="00D638E1" w:rsidRPr="00714A9F" w14:paraId="088C9DC6" w14:textId="77777777" w:rsidTr="00090F15">
        <w:tc>
          <w:tcPr>
            <w:tcW w:w="707" w:type="dxa"/>
            <w:tcBorders>
              <w:top w:val="single" w:sz="4" w:space="0" w:color="auto"/>
              <w:left w:val="single" w:sz="6" w:space="0" w:color="000000"/>
              <w:bottom w:val="single" w:sz="4" w:space="0" w:color="auto"/>
              <w:right w:val="single" w:sz="6" w:space="0" w:color="000000"/>
            </w:tcBorders>
          </w:tcPr>
          <w:p w14:paraId="37E384B0" w14:textId="78E1BDEE" w:rsidR="00D638E1" w:rsidRPr="00714A9F" w:rsidRDefault="00672B80" w:rsidP="00D638E1">
            <w:pPr>
              <w:pBdr>
                <w:top w:val="nil"/>
                <w:left w:val="nil"/>
                <w:bottom w:val="nil"/>
                <w:right w:val="nil"/>
                <w:between w:val="nil"/>
              </w:pBdr>
              <w:ind w:firstLine="720"/>
              <w:rPr>
                <w:b/>
              </w:rPr>
            </w:pPr>
            <w:r w:rsidRPr="00714A9F">
              <w:rPr>
                <w:b/>
              </w:rPr>
              <w:t>222.</w:t>
            </w:r>
          </w:p>
        </w:tc>
        <w:tc>
          <w:tcPr>
            <w:tcW w:w="3721" w:type="dxa"/>
            <w:tcBorders>
              <w:top w:val="single" w:sz="4" w:space="0" w:color="auto"/>
              <w:left w:val="single" w:sz="6" w:space="0" w:color="000000"/>
              <w:bottom w:val="single" w:sz="4" w:space="0" w:color="auto"/>
              <w:right w:val="single" w:sz="6" w:space="0" w:color="000000"/>
            </w:tcBorders>
          </w:tcPr>
          <w:p w14:paraId="3AC6FE0F" w14:textId="77777777" w:rsidR="00D638E1" w:rsidRPr="00714A9F" w:rsidRDefault="00D638E1" w:rsidP="00D638E1">
            <w:pPr>
              <w:pBdr>
                <w:top w:val="nil"/>
                <w:left w:val="nil"/>
                <w:bottom w:val="nil"/>
                <w:right w:val="nil"/>
                <w:between w:val="nil"/>
              </w:pBdr>
              <w:spacing w:before="75" w:after="75"/>
              <w:jc w:val="both"/>
              <w:rPr>
                <w:b/>
                <w:bCs/>
              </w:rPr>
            </w:pPr>
            <w:r w:rsidRPr="00714A9F">
              <w:rPr>
                <w:b/>
                <w:bCs/>
              </w:rPr>
              <w:t>2. 5. pantā:</w:t>
            </w:r>
          </w:p>
          <w:p w14:paraId="7F0D56E5" w14:textId="77777777" w:rsidR="00D638E1" w:rsidRPr="00714A9F" w:rsidRDefault="00D638E1" w:rsidP="00D638E1">
            <w:pPr>
              <w:pBdr>
                <w:top w:val="nil"/>
                <w:left w:val="nil"/>
                <w:bottom w:val="nil"/>
                <w:right w:val="nil"/>
                <w:between w:val="nil"/>
              </w:pBdr>
              <w:spacing w:before="75" w:after="75"/>
              <w:jc w:val="both"/>
            </w:pPr>
            <w:r w:rsidRPr="00714A9F">
              <w:t>...</w:t>
            </w:r>
          </w:p>
          <w:p w14:paraId="3DCB7A0A" w14:textId="77777777" w:rsidR="00D638E1" w:rsidRPr="00714A9F" w:rsidRDefault="00D638E1" w:rsidP="00D638E1">
            <w:pPr>
              <w:pBdr>
                <w:top w:val="nil"/>
                <w:left w:val="nil"/>
                <w:bottom w:val="nil"/>
                <w:right w:val="nil"/>
                <w:between w:val="nil"/>
              </w:pBdr>
              <w:spacing w:before="75" w:after="75"/>
              <w:jc w:val="both"/>
              <w:rPr>
                <w:bCs/>
              </w:rPr>
            </w:pPr>
            <w:r w:rsidRPr="00714A9F">
              <w:rPr>
                <w:bCs/>
              </w:rPr>
              <w:t>izteikt ceturto daļu šādā redakcijā:</w:t>
            </w:r>
          </w:p>
          <w:p w14:paraId="4215AC5F" w14:textId="77777777" w:rsidR="00D638E1" w:rsidRPr="00714A9F" w:rsidRDefault="00D638E1" w:rsidP="00D638E1">
            <w:pPr>
              <w:pBdr>
                <w:top w:val="nil"/>
                <w:left w:val="nil"/>
                <w:bottom w:val="nil"/>
                <w:right w:val="nil"/>
                <w:between w:val="nil"/>
              </w:pBdr>
              <w:spacing w:before="75" w:after="75"/>
              <w:jc w:val="both"/>
              <w:rPr>
                <w:bCs/>
              </w:rPr>
            </w:pPr>
            <w:r w:rsidRPr="00714A9F">
              <w:rPr>
                <w:bCs/>
              </w:rPr>
              <w:t>“....</w:t>
            </w:r>
          </w:p>
          <w:p w14:paraId="54829113" w14:textId="77777777" w:rsidR="00D638E1" w:rsidRPr="00C77EE9" w:rsidRDefault="00D638E1" w:rsidP="00D638E1">
            <w:pPr>
              <w:pStyle w:val="ListParagraph"/>
              <w:numPr>
                <w:ilvl w:val="0"/>
                <w:numId w:val="17"/>
              </w:numPr>
              <w:ind w:left="5" w:hanging="5"/>
              <w:jc w:val="both"/>
            </w:pPr>
            <w:r w:rsidRPr="00C77EE9">
              <w:t>tiem netiek piemērots aizdomās turētā statuss par tīša noziedzīga nodarījuma izdarīšanu;</w:t>
            </w:r>
          </w:p>
          <w:p w14:paraId="30047A91" w14:textId="77777777" w:rsidR="00D638E1" w:rsidRPr="00C77EE9" w:rsidRDefault="00D638E1" w:rsidP="00D638E1">
            <w:pPr>
              <w:pStyle w:val="ListParagraph"/>
              <w:numPr>
                <w:ilvl w:val="0"/>
                <w:numId w:val="17"/>
              </w:numPr>
              <w:ind w:left="5" w:hanging="5"/>
              <w:jc w:val="both"/>
            </w:pPr>
            <w:r w:rsidRPr="00C77EE9">
              <w:t>netiek saukti pie kriminālatbildības par tīša noziedzīga nodarījuma izdarīšanu.”;</w:t>
            </w:r>
          </w:p>
          <w:p w14:paraId="2E661CD8" w14:textId="77777777" w:rsidR="00D638E1" w:rsidRPr="00714A9F" w:rsidRDefault="00D638E1" w:rsidP="00D638E1">
            <w:pPr>
              <w:pBdr>
                <w:top w:val="nil"/>
                <w:left w:val="nil"/>
                <w:bottom w:val="nil"/>
                <w:right w:val="nil"/>
                <w:between w:val="nil"/>
              </w:pBdr>
              <w:spacing w:before="75" w:after="75"/>
              <w:jc w:val="both"/>
              <w:rPr>
                <w:b/>
              </w:rPr>
            </w:pPr>
          </w:p>
        </w:tc>
        <w:tc>
          <w:tcPr>
            <w:tcW w:w="4590" w:type="dxa"/>
            <w:tcBorders>
              <w:top w:val="single" w:sz="4" w:space="0" w:color="auto"/>
              <w:left w:val="single" w:sz="6" w:space="0" w:color="000000"/>
              <w:bottom w:val="single" w:sz="4" w:space="0" w:color="auto"/>
              <w:right w:val="single" w:sz="6" w:space="0" w:color="000000"/>
            </w:tcBorders>
          </w:tcPr>
          <w:p w14:paraId="36DEDF66" w14:textId="25295791" w:rsidR="00D638E1" w:rsidRPr="00C77EE9" w:rsidRDefault="00D638E1" w:rsidP="00D638E1">
            <w:pPr>
              <w:pBdr>
                <w:top w:val="nil"/>
                <w:left w:val="nil"/>
                <w:bottom w:val="nil"/>
                <w:right w:val="nil"/>
                <w:between w:val="nil"/>
              </w:pBdr>
              <w:spacing w:before="75" w:after="75"/>
              <w:ind w:hanging="14"/>
              <w:jc w:val="center"/>
              <w:rPr>
                <w:b/>
              </w:rPr>
            </w:pPr>
            <w:r w:rsidRPr="00714A9F">
              <w:rPr>
                <w:b/>
              </w:rPr>
              <w:t>Iekšlietu ministrija</w:t>
            </w:r>
            <w:r w:rsidR="00672B80" w:rsidRPr="00714A9F">
              <w:rPr>
                <w:b/>
              </w:rPr>
              <w:t>s iebildums (20.01.2020.)</w:t>
            </w:r>
          </w:p>
          <w:p w14:paraId="1E6D5A32" w14:textId="3605D41F" w:rsidR="00D638E1" w:rsidRPr="00714A9F" w:rsidRDefault="00D638E1" w:rsidP="00F87908">
            <w:pPr>
              <w:pBdr>
                <w:top w:val="nil"/>
                <w:left w:val="nil"/>
                <w:bottom w:val="nil"/>
                <w:right w:val="nil"/>
                <w:between w:val="nil"/>
              </w:pBdr>
              <w:spacing w:before="75" w:after="75"/>
              <w:ind w:hanging="14"/>
              <w:jc w:val="both"/>
              <w:rPr>
                <w:b/>
              </w:rPr>
            </w:pPr>
            <w:r w:rsidRPr="00C77EE9">
              <w:t xml:space="preserve">Krimināllikuma pantos noteiktās vainas formas ir vērtējamās, t.i., persona var tikt atzīta par aizdomās turēto vai saukta pie kriminālatbildības pēc Krimināllikuma panta, kurš </w:t>
            </w:r>
            <w:r w:rsidR="00CE7C6D" w:rsidRPr="00C77EE9">
              <w:t>vienlaikus var</w:t>
            </w:r>
            <w:r w:rsidRPr="00C77EE9">
              <w:t xml:space="preserve"> būt vērtējams kā tīšs noziedzīgs nodarījums vai noziedzīgs nodarījums, kurš izdarīts aiz neuzmanības, un kamēr personas vaina noziedzīgajā nodarījumā nav pierādīta ar spēkā stājušos nolēmumu par šādiem Krimināllikuma pantiem Sodu reģistrā nebūs pieejamas ziņas, vai šāds noziedzīgs nodarījums ir tīšs vai tomēr tas bija izdarīts aiz neuzmanības. Līdz ar to Iekšlietu ministrijas Informācijas centram nebūs iespējas visos gadījumos sniegt informāciju atbilstoši likumprojekta 2. pantā ietvertā Likuma  5. panta ceturtās daļas </w:t>
            </w:r>
            <w:r w:rsidRPr="00C77EE9">
              <w:lastRenderedPageBreak/>
              <w:t>11. un 12.punktam. Ņemot vērā minēto, lūdzam attiecīgi precizēt likumprojektu, vai arī norādīt likumprojekta anotācijā iepriekš minēto izklāstu par Sodu reģistrā pieejamo informāciju un tās apjomu.</w:t>
            </w:r>
          </w:p>
        </w:tc>
        <w:tc>
          <w:tcPr>
            <w:tcW w:w="2250" w:type="dxa"/>
            <w:tcBorders>
              <w:top w:val="single" w:sz="4" w:space="0" w:color="auto"/>
              <w:left w:val="single" w:sz="6" w:space="0" w:color="000000"/>
              <w:bottom w:val="single" w:sz="4" w:space="0" w:color="auto"/>
              <w:right w:val="single" w:sz="6" w:space="0" w:color="000000"/>
            </w:tcBorders>
          </w:tcPr>
          <w:p w14:paraId="6429EDD4" w14:textId="1F61B2E7" w:rsidR="00D638E1" w:rsidRPr="00714A9F" w:rsidRDefault="00D638E1" w:rsidP="00D638E1">
            <w:pPr>
              <w:pBdr>
                <w:top w:val="nil"/>
                <w:left w:val="nil"/>
                <w:bottom w:val="nil"/>
                <w:right w:val="nil"/>
                <w:between w:val="nil"/>
              </w:pBdr>
              <w:jc w:val="center"/>
              <w:rPr>
                <w:b/>
              </w:rPr>
            </w:pPr>
            <w:r w:rsidRPr="00714A9F">
              <w:rPr>
                <w:b/>
              </w:rPr>
              <w:lastRenderedPageBreak/>
              <w:t>Ņemts vērā</w:t>
            </w:r>
          </w:p>
        </w:tc>
        <w:tc>
          <w:tcPr>
            <w:tcW w:w="3723" w:type="dxa"/>
            <w:tcBorders>
              <w:top w:val="single" w:sz="4" w:space="0" w:color="000000"/>
              <w:left w:val="single" w:sz="4" w:space="0" w:color="000000"/>
              <w:bottom w:val="single" w:sz="4" w:space="0" w:color="000000"/>
            </w:tcBorders>
          </w:tcPr>
          <w:p w14:paraId="3795CAAA" w14:textId="3F9AE429" w:rsidR="00D638E1" w:rsidRPr="00714A9F" w:rsidRDefault="00D638E1" w:rsidP="00D638E1">
            <w:pPr>
              <w:pBdr>
                <w:top w:val="nil"/>
                <w:left w:val="nil"/>
                <w:bottom w:val="nil"/>
                <w:right w:val="nil"/>
                <w:between w:val="nil"/>
              </w:pBdr>
              <w:spacing w:before="75" w:after="75"/>
              <w:jc w:val="both"/>
            </w:pPr>
            <w:r w:rsidRPr="00C77EE9">
              <w:rPr>
                <w:bCs/>
              </w:rPr>
              <w:t>Svītrots Likumprojekta 2. pantā ietvert</w:t>
            </w:r>
            <w:r w:rsidR="005D0737">
              <w:rPr>
                <w:bCs/>
              </w:rPr>
              <w:t>ai</w:t>
            </w:r>
            <w:r w:rsidRPr="00C77EE9">
              <w:rPr>
                <w:bCs/>
              </w:rPr>
              <w:t>s likuma 5. panta ceturtās daļas 11. un 12. punkts</w:t>
            </w:r>
            <w:r w:rsidR="00714A9F" w:rsidRPr="00C77EE9">
              <w:rPr>
                <w:bCs/>
              </w:rPr>
              <w:t>.</w:t>
            </w:r>
          </w:p>
        </w:tc>
      </w:tr>
      <w:tr w:rsidR="00D638E1" w14:paraId="4762F993" w14:textId="77777777" w:rsidTr="00090F15">
        <w:tc>
          <w:tcPr>
            <w:tcW w:w="707" w:type="dxa"/>
            <w:tcBorders>
              <w:top w:val="single" w:sz="4" w:space="0" w:color="auto"/>
              <w:left w:val="single" w:sz="6" w:space="0" w:color="000000"/>
              <w:bottom w:val="single" w:sz="4" w:space="0" w:color="auto"/>
              <w:right w:val="single" w:sz="6" w:space="0" w:color="000000"/>
            </w:tcBorders>
          </w:tcPr>
          <w:p w14:paraId="1C255ECA" w14:textId="37B73642" w:rsidR="00D638E1" w:rsidRPr="002C1556" w:rsidRDefault="00672B80" w:rsidP="00D638E1">
            <w:pPr>
              <w:pBdr>
                <w:top w:val="nil"/>
                <w:left w:val="nil"/>
                <w:bottom w:val="nil"/>
                <w:right w:val="nil"/>
                <w:between w:val="nil"/>
              </w:pBdr>
              <w:ind w:firstLine="720"/>
              <w:rPr>
                <w:b/>
              </w:rPr>
            </w:pPr>
            <w:r>
              <w:rPr>
                <w:b/>
              </w:rPr>
              <w:t>223.</w:t>
            </w:r>
          </w:p>
        </w:tc>
        <w:tc>
          <w:tcPr>
            <w:tcW w:w="3721" w:type="dxa"/>
            <w:tcBorders>
              <w:top w:val="single" w:sz="4" w:space="0" w:color="auto"/>
              <w:left w:val="single" w:sz="6" w:space="0" w:color="000000"/>
              <w:bottom w:val="single" w:sz="4" w:space="0" w:color="auto"/>
              <w:right w:val="single" w:sz="6" w:space="0" w:color="000000"/>
            </w:tcBorders>
          </w:tcPr>
          <w:p w14:paraId="60B23ABB" w14:textId="17DDB069" w:rsidR="00D638E1" w:rsidRPr="002C1556" w:rsidRDefault="00D638E1" w:rsidP="00D638E1">
            <w:pPr>
              <w:pBdr>
                <w:top w:val="nil"/>
                <w:left w:val="nil"/>
                <w:bottom w:val="nil"/>
                <w:right w:val="nil"/>
                <w:between w:val="nil"/>
              </w:pBdr>
              <w:spacing w:before="75" w:after="75"/>
              <w:jc w:val="both"/>
              <w:rPr>
                <w:b/>
              </w:rPr>
            </w:pPr>
            <w:r w:rsidRPr="0085169A">
              <w:rPr>
                <w:b/>
              </w:rPr>
              <w:t>Likumprojekta anotācija</w:t>
            </w:r>
          </w:p>
        </w:tc>
        <w:tc>
          <w:tcPr>
            <w:tcW w:w="4590" w:type="dxa"/>
            <w:tcBorders>
              <w:top w:val="single" w:sz="4" w:space="0" w:color="auto"/>
              <w:left w:val="single" w:sz="6" w:space="0" w:color="000000"/>
              <w:bottom w:val="single" w:sz="4" w:space="0" w:color="auto"/>
              <w:right w:val="single" w:sz="6" w:space="0" w:color="000000"/>
            </w:tcBorders>
          </w:tcPr>
          <w:p w14:paraId="2EC57919" w14:textId="3E110F72" w:rsidR="00D638E1" w:rsidRPr="00F40146" w:rsidRDefault="00D638E1" w:rsidP="00D638E1">
            <w:pPr>
              <w:pBdr>
                <w:top w:val="nil"/>
                <w:left w:val="nil"/>
                <w:bottom w:val="nil"/>
                <w:right w:val="nil"/>
                <w:between w:val="nil"/>
              </w:pBdr>
              <w:spacing w:before="75" w:after="75"/>
              <w:ind w:hanging="14"/>
              <w:jc w:val="center"/>
              <w:rPr>
                <w:b/>
              </w:rPr>
            </w:pPr>
            <w:r w:rsidRPr="00F40146">
              <w:rPr>
                <w:b/>
              </w:rPr>
              <w:t>Vides aizsardzības un reģionālās attīstības ministrija</w:t>
            </w:r>
            <w:r w:rsidR="00672B80">
              <w:rPr>
                <w:b/>
              </w:rPr>
              <w:t>s iebildums (20.01.2020.)</w:t>
            </w:r>
          </w:p>
          <w:p w14:paraId="3083FF7C" w14:textId="68C39377" w:rsidR="00D638E1" w:rsidRPr="002C1556" w:rsidRDefault="00D638E1" w:rsidP="00F87908">
            <w:pPr>
              <w:pBdr>
                <w:top w:val="nil"/>
                <w:left w:val="nil"/>
                <w:bottom w:val="nil"/>
                <w:right w:val="nil"/>
                <w:between w:val="nil"/>
              </w:pBdr>
              <w:spacing w:before="75" w:after="75"/>
              <w:ind w:hanging="14"/>
              <w:jc w:val="both"/>
              <w:rPr>
                <w:b/>
              </w:rPr>
            </w:pPr>
            <w:r w:rsidRPr="00207E45">
              <w:t>Likumprojekta sākotnējās ietekmes novērtējuma (anotācijas) I sadaļas 2.punkta 1.apakšpunkta otrajā teikumā svītrot vārdus “un iznīcināšanai”, savukārt trešajā teikumā svītrot vārdus “pārstrādei, iznīcināšanai vai”</w:t>
            </w:r>
          </w:p>
        </w:tc>
        <w:tc>
          <w:tcPr>
            <w:tcW w:w="2250" w:type="dxa"/>
            <w:tcBorders>
              <w:top w:val="single" w:sz="4" w:space="0" w:color="auto"/>
              <w:left w:val="single" w:sz="6" w:space="0" w:color="000000"/>
              <w:bottom w:val="single" w:sz="4" w:space="0" w:color="auto"/>
              <w:right w:val="single" w:sz="6" w:space="0" w:color="000000"/>
            </w:tcBorders>
          </w:tcPr>
          <w:p w14:paraId="52ED12EF" w14:textId="31FD1ED6" w:rsidR="00D638E1" w:rsidRPr="002C1556" w:rsidRDefault="00D638E1" w:rsidP="00D638E1">
            <w:pPr>
              <w:pBdr>
                <w:top w:val="nil"/>
                <w:left w:val="nil"/>
                <w:bottom w:val="nil"/>
                <w:right w:val="nil"/>
                <w:between w:val="nil"/>
              </w:pBdr>
              <w:jc w:val="center"/>
              <w:rPr>
                <w:b/>
              </w:rPr>
            </w:pPr>
            <w:r>
              <w:rPr>
                <w:b/>
              </w:rPr>
              <w:t>Ņemts vērā</w:t>
            </w:r>
          </w:p>
        </w:tc>
        <w:tc>
          <w:tcPr>
            <w:tcW w:w="3723" w:type="dxa"/>
            <w:tcBorders>
              <w:top w:val="single" w:sz="4" w:space="0" w:color="000000"/>
              <w:left w:val="single" w:sz="4" w:space="0" w:color="000000"/>
              <w:bottom w:val="single" w:sz="4" w:space="0" w:color="000000"/>
            </w:tcBorders>
          </w:tcPr>
          <w:p w14:paraId="6BFC4153" w14:textId="5694D314" w:rsidR="00D638E1" w:rsidRPr="002C1556" w:rsidRDefault="00D638E1" w:rsidP="00D638E1">
            <w:pPr>
              <w:pBdr>
                <w:top w:val="nil"/>
                <w:left w:val="nil"/>
                <w:bottom w:val="nil"/>
                <w:right w:val="nil"/>
                <w:between w:val="nil"/>
              </w:pBdr>
              <w:spacing w:before="75" w:after="75"/>
              <w:jc w:val="both"/>
            </w:pPr>
            <w:r w:rsidRPr="0085169A">
              <w:t>Likumprojekta anotācija ir precizēta.</w:t>
            </w:r>
          </w:p>
        </w:tc>
      </w:tr>
      <w:tr w:rsidR="00D638E1" w14:paraId="7FB90B0C" w14:textId="77777777" w:rsidTr="00090F15">
        <w:tc>
          <w:tcPr>
            <w:tcW w:w="707" w:type="dxa"/>
            <w:tcBorders>
              <w:top w:val="single" w:sz="4" w:space="0" w:color="auto"/>
              <w:left w:val="single" w:sz="6" w:space="0" w:color="000000"/>
              <w:bottom w:val="single" w:sz="4" w:space="0" w:color="auto"/>
              <w:right w:val="single" w:sz="6" w:space="0" w:color="000000"/>
            </w:tcBorders>
          </w:tcPr>
          <w:p w14:paraId="0F283B36" w14:textId="342FDAD4" w:rsidR="00D638E1" w:rsidRPr="002C1556" w:rsidRDefault="00672B80" w:rsidP="00D638E1">
            <w:pPr>
              <w:pBdr>
                <w:top w:val="nil"/>
                <w:left w:val="nil"/>
                <w:bottom w:val="nil"/>
                <w:right w:val="nil"/>
                <w:between w:val="nil"/>
              </w:pBdr>
              <w:ind w:firstLine="720"/>
              <w:rPr>
                <w:b/>
              </w:rPr>
            </w:pPr>
            <w:r>
              <w:rPr>
                <w:b/>
              </w:rPr>
              <w:t>22</w:t>
            </w:r>
            <w:r w:rsidR="00993D16">
              <w:rPr>
                <w:b/>
              </w:rPr>
              <w:t>4</w:t>
            </w:r>
            <w:r>
              <w:rPr>
                <w:b/>
              </w:rPr>
              <w:t>.</w:t>
            </w:r>
          </w:p>
        </w:tc>
        <w:tc>
          <w:tcPr>
            <w:tcW w:w="3721" w:type="dxa"/>
            <w:tcBorders>
              <w:top w:val="single" w:sz="4" w:space="0" w:color="auto"/>
              <w:left w:val="single" w:sz="6" w:space="0" w:color="000000"/>
              <w:bottom w:val="single" w:sz="4" w:space="0" w:color="auto"/>
              <w:right w:val="single" w:sz="6" w:space="0" w:color="000000"/>
            </w:tcBorders>
          </w:tcPr>
          <w:p w14:paraId="15743D18" w14:textId="77777777" w:rsidR="00D638E1" w:rsidRPr="002C1556" w:rsidRDefault="00D638E1" w:rsidP="00D638E1">
            <w:pPr>
              <w:pBdr>
                <w:top w:val="nil"/>
                <w:left w:val="nil"/>
                <w:bottom w:val="nil"/>
                <w:right w:val="nil"/>
                <w:between w:val="nil"/>
              </w:pBdr>
              <w:spacing w:before="75" w:after="75"/>
              <w:jc w:val="both"/>
              <w:rPr>
                <w:b/>
              </w:rPr>
            </w:pPr>
          </w:p>
        </w:tc>
        <w:tc>
          <w:tcPr>
            <w:tcW w:w="4590" w:type="dxa"/>
            <w:tcBorders>
              <w:top w:val="single" w:sz="4" w:space="0" w:color="auto"/>
              <w:left w:val="single" w:sz="6" w:space="0" w:color="000000"/>
              <w:bottom w:val="single" w:sz="4" w:space="0" w:color="auto"/>
              <w:right w:val="single" w:sz="6" w:space="0" w:color="000000"/>
            </w:tcBorders>
          </w:tcPr>
          <w:p w14:paraId="54BF1E92" w14:textId="4FD83265" w:rsidR="00672B80" w:rsidRDefault="00672B80" w:rsidP="00D638E1">
            <w:pPr>
              <w:pBdr>
                <w:top w:val="nil"/>
                <w:left w:val="nil"/>
                <w:bottom w:val="nil"/>
                <w:right w:val="nil"/>
                <w:between w:val="nil"/>
              </w:pBdr>
              <w:spacing w:before="75" w:after="75"/>
              <w:ind w:hanging="14"/>
              <w:jc w:val="center"/>
              <w:rPr>
                <w:lang w:eastAsia="en-US"/>
              </w:rPr>
            </w:pPr>
            <w:r>
              <w:rPr>
                <w:b/>
              </w:rPr>
              <w:t>Tieslietu ministrijas iebildums (20.01.2020.)</w:t>
            </w:r>
          </w:p>
          <w:p w14:paraId="27587738" w14:textId="14A476D6" w:rsidR="00D638E1" w:rsidRPr="002C1556" w:rsidRDefault="00D638E1" w:rsidP="001C413F">
            <w:pPr>
              <w:pBdr>
                <w:top w:val="nil"/>
                <w:left w:val="nil"/>
                <w:bottom w:val="nil"/>
                <w:right w:val="nil"/>
                <w:between w:val="nil"/>
              </w:pBdr>
              <w:spacing w:before="75" w:after="75"/>
              <w:ind w:hanging="14"/>
              <w:jc w:val="both"/>
              <w:rPr>
                <w:b/>
              </w:rPr>
            </w:pPr>
            <w:r>
              <w:rPr>
                <w:lang w:eastAsia="en-US"/>
              </w:rPr>
              <w:t>Izziņas I sadaļas 4. punkts. Izziņā ietverto skaidrojumu ietvert likumprojekta anotācijā, tādējādi skaidri norādot likumprojekta piemērošanas jomu.</w:t>
            </w:r>
          </w:p>
        </w:tc>
        <w:tc>
          <w:tcPr>
            <w:tcW w:w="2250" w:type="dxa"/>
            <w:tcBorders>
              <w:top w:val="single" w:sz="4" w:space="0" w:color="auto"/>
              <w:left w:val="single" w:sz="6" w:space="0" w:color="000000"/>
              <w:bottom w:val="single" w:sz="4" w:space="0" w:color="auto"/>
              <w:right w:val="single" w:sz="6" w:space="0" w:color="000000"/>
            </w:tcBorders>
          </w:tcPr>
          <w:p w14:paraId="07E26D59" w14:textId="046FA791" w:rsidR="00D638E1" w:rsidRPr="002C1556" w:rsidRDefault="00D638E1" w:rsidP="00D638E1">
            <w:pPr>
              <w:pBdr>
                <w:top w:val="nil"/>
                <w:left w:val="nil"/>
                <w:bottom w:val="nil"/>
                <w:right w:val="nil"/>
                <w:between w:val="nil"/>
              </w:pBdr>
              <w:jc w:val="center"/>
              <w:rPr>
                <w:b/>
              </w:rPr>
            </w:pPr>
            <w:r>
              <w:rPr>
                <w:b/>
              </w:rPr>
              <w:t>Ņemts vērā</w:t>
            </w:r>
          </w:p>
        </w:tc>
        <w:tc>
          <w:tcPr>
            <w:tcW w:w="3723" w:type="dxa"/>
            <w:tcBorders>
              <w:top w:val="single" w:sz="4" w:space="0" w:color="000000"/>
              <w:left w:val="single" w:sz="4" w:space="0" w:color="000000"/>
              <w:bottom w:val="single" w:sz="4" w:space="0" w:color="000000"/>
            </w:tcBorders>
          </w:tcPr>
          <w:p w14:paraId="4A7C2584" w14:textId="77777777" w:rsidR="00D638E1" w:rsidRPr="00C77EE9" w:rsidRDefault="00D638E1" w:rsidP="00D638E1">
            <w:pPr>
              <w:pBdr>
                <w:top w:val="nil"/>
                <w:left w:val="nil"/>
                <w:bottom w:val="nil"/>
                <w:right w:val="nil"/>
                <w:between w:val="nil"/>
              </w:pBdr>
              <w:spacing w:before="75" w:after="75"/>
              <w:jc w:val="both"/>
            </w:pPr>
            <w:r w:rsidRPr="00C77EE9">
              <w:t>Likumprojekta anotācija ir precizēta.</w:t>
            </w:r>
          </w:p>
          <w:p w14:paraId="1489A62F" w14:textId="77777777" w:rsidR="00D638E1" w:rsidRPr="002C1556" w:rsidRDefault="00D638E1" w:rsidP="00D638E1">
            <w:pPr>
              <w:pBdr>
                <w:top w:val="nil"/>
                <w:left w:val="nil"/>
                <w:bottom w:val="nil"/>
                <w:right w:val="nil"/>
                <w:between w:val="nil"/>
              </w:pBdr>
              <w:spacing w:before="75" w:after="75"/>
              <w:jc w:val="both"/>
            </w:pPr>
          </w:p>
        </w:tc>
      </w:tr>
      <w:tr w:rsidR="008A7862" w14:paraId="1BB92AD6" w14:textId="77777777" w:rsidTr="00090F15">
        <w:tc>
          <w:tcPr>
            <w:tcW w:w="707" w:type="dxa"/>
            <w:tcBorders>
              <w:top w:val="single" w:sz="4" w:space="0" w:color="auto"/>
              <w:left w:val="single" w:sz="6" w:space="0" w:color="000000"/>
              <w:bottom w:val="single" w:sz="4" w:space="0" w:color="auto"/>
              <w:right w:val="single" w:sz="6" w:space="0" w:color="000000"/>
            </w:tcBorders>
          </w:tcPr>
          <w:p w14:paraId="0C8E2699" w14:textId="200D148F" w:rsidR="008A7862" w:rsidRDefault="008A7862" w:rsidP="008A7862">
            <w:pPr>
              <w:pBdr>
                <w:top w:val="nil"/>
                <w:left w:val="nil"/>
                <w:bottom w:val="nil"/>
                <w:right w:val="nil"/>
                <w:between w:val="nil"/>
              </w:pBdr>
              <w:ind w:firstLine="720"/>
              <w:rPr>
                <w:b/>
              </w:rPr>
            </w:pPr>
            <w:r>
              <w:rPr>
                <w:b/>
              </w:rPr>
              <w:t>225</w:t>
            </w:r>
            <w:r w:rsidRPr="009445D3">
              <w:rPr>
                <w:b/>
              </w:rPr>
              <w:t>.</w:t>
            </w:r>
          </w:p>
        </w:tc>
        <w:tc>
          <w:tcPr>
            <w:tcW w:w="3721" w:type="dxa"/>
            <w:tcBorders>
              <w:top w:val="single" w:sz="4" w:space="0" w:color="auto"/>
              <w:left w:val="single" w:sz="6" w:space="0" w:color="000000"/>
              <w:bottom w:val="single" w:sz="4" w:space="0" w:color="auto"/>
              <w:right w:val="single" w:sz="6" w:space="0" w:color="000000"/>
            </w:tcBorders>
          </w:tcPr>
          <w:p w14:paraId="02AA26F1" w14:textId="77777777" w:rsidR="008A7862" w:rsidRPr="009445D3" w:rsidRDefault="008A7862" w:rsidP="00315075">
            <w:pPr>
              <w:pBdr>
                <w:top w:val="nil"/>
                <w:left w:val="nil"/>
                <w:bottom w:val="nil"/>
                <w:right w:val="nil"/>
                <w:between w:val="nil"/>
              </w:pBdr>
              <w:rPr>
                <w:b/>
                <w:bCs/>
              </w:rPr>
            </w:pPr>
            <w:r w:rsidRPr="009445D3">
              <w:rPr>
                <w:b/>
                <w:bCs/>
              </w:rPr>
              <w:t>1. 4. pantā:</w:t>
            </w:r>
          </w:p>
          <w:p w14:paraId="54A498CE" w14:textId="77777777" w:rsidR="008A7862" w:rsidRPr="009445D3" w:rsidRDefault="008A7862" w:rsidP="00315075">
            <w:pPr>
              <w:pBdr>
                <w:top w:val="nil"/>
                <w:left w:val="nil"/>
                <w:bottom w:val="nil"/>
                <w:right w:val="nil"/>
                <w:between w:val="nil"/>
              </w:pBdr>
              <w:rPr>
                <w:bCs/>
              </w:rPr>
            </w:pPr>
            <w:r w:rsidRPr="009445D3">
              <w:rPr>
                <w:bCs/>
              </w:rPr>
              <w:t>izteikt pirmo daļu šādā redakcijā:</w:t>
            </w:r>
          </w:p>
          <w:p w14:paraId="49870BF3" w14:textId="77777777" w:rsidR="008A7862" w:rsidRPr="009445D3" w:rsidRDefault="008A7862" w:rsidP="00315075">
            <w:pPr>
              <w:pBdr>
                <w:top w:val="nil"/>
                <w:left w:val="nil"/>
                <w:bottom w:val="nil"/>
                <w:right w:val="nil"/>
                <w:between w:val="nil"/>
              </w:pBdr>
              <w:jc w:val="both"/>
            </w:pPr>
            <w:r w:rsidRPr="009445D3">
              <w:t>“ (1)</w:t>
            </w:r>
            <w:r w:rsidRPr="009445D3">
              <w:rPr>
                <w:b/>
              </w:rPr>
              <w:t xml:space="preserve"> </w:t>
            </w:r>
            <w:r w:rsidRPr="009445D3">
              <w:t xml:space="preserve">Stratēģiskas nozīmes preču importa licence nav nepieciešama, ja Ieslodzījuma vietu pārvalde vai Iekšlietu ministrijas un Aizsardzības ministrijas pakļautībā vai pārraudzībā esošās iestādes Eiropas Savienības Kopējā militāro preču sarakstā minētās preces pārvieto no citas Eiropas Savienības dalībvalsts vai importē bez komersantu starpniecības. </w:t>
            </w:r>
          </w:p>
          <w:p w14:paraId="5CE25672" w14:textId="77777777" w:rsidR="008A7862" w:rsidRPr="009445D3" w:rsidRDefault="008A7862" w:rsidP="00315075">
            <w:pPr>
              <w:pBdr>
                <w:top w:val="nil"/>
                <w:left w:val="nil"/>
                <w:bottom w:val="nil"/>
                <w:right w:val="nil"/>
                <w:between w:val="nil"/>
              </w:pBdr>
              <w:jc w:val="both"/>
            </w:pPr>
            <w:r w:rsidRPr="009445D3">
              <w:lastRenderedPageBreak/>
              <w:t xml:space="preserve">Stratēģiskas nozīmes preču eksporta licence nav nepieciešama, ja Iekšlietu ministrijas un Aizsardzības ministrijas pakļautībā vai pārraudzībā esošās iestādes Eiropas Savienības Kopējā militāro preču sarakstā minētās preces pārvieto uz citu Eiropas Savienības dalībvalsti vai eksportē bez komersantu starpniecības un ja minētās preces šīm iestādēm ir nepieciešamas Ziemeļatlantijas līguma organizācijas, Eiropas Savienības, Apvienoto Nāciju Organizācijas vai Eiropas Drošības un sadarbības organizācijas misiju ietvaros. </w:t>
            </w:r>
          </w:p>
          <w:p w14:paraId="721B4634" w14:textId="77777777" w:rsidR="008A7862" w:rsidRPr="009445D3" w:rsidRDefault="008A7862" w:rsidP="00315075">
            <w:pPr>
              <w:pBdr>
                <w:top w:val="nil"/>
                <w:left w:val="nil"/>
                <w:bottom w:val="nil"/>
                <w:right w:val="nil"/>
                <w:between w:val="nil"/>
              </w:pBdr>
              <w:ind w:firstLine="720"/>
              <w:jc w:val="both"/>
            </w:pPr>
            <w:r w:rsidRPr="009445D3">
              <w:t>Stratēģiskas nozīmes preču eksporta licence nav nepieciešama gadījumos, kad Kopējā militāro preču sarakstā minētās preces, Iekšlietu ministrijas un Aizsardzības ministrijas pakļautībā vai pārraudzībā esošās iestādes, izved pārstrādei, iznīcināšanai vai remontam uz Eiropas Savienības, Eiropas Ekonomikas zonas un Ziemeļatlantijas līguma organizācijas dalībvalstīm.”;</w:t>
            </w:r>
          </w:p>
          <w:p w14:paraId="446B60D2" w14:textId="1B611D39" w:rsidR="008A7862" w:rsidRPr="002C1556" w:rsidRDefault="008A7862" w:rsidP="00D638E1">
            <w:pPr>
              <w:pBdr>
                <w:top w:val="nil"/>
                <w:left w:val="nil"/>
                <w:bottom w:val="nil"/>
                <w:right w:val="nil"/>
                <w:between w:val="nil"/>
              </w:pBdr>
              <w:spacing w:before="75" w:after="75"/>
              <w:jc w:val="both"/>
              <w:rPr>
                <w:b/>
              </w:rPr>
            </w:pPr>
            <w:r w:rsidRPr="009445D3">
              <w:t>...</w:t>
            </w:r>
          </w:p>
        </w:tc>
        <w:tc>
          <w:tcPr>
            <w:tcW w:w="4590" w:type="dxa"/>
            <w:tcBorders>
              <w:top w:val="single" w:sz="4" w:space="0" w:color="auto"/>
              <w:left w:val="single" w:sz="6" w:space="0" w:color="000000"/>
              <w:bottom w:val="single" w:sz="4" w:space="0" w:color="auto"/>
              <w:right w:val="single" w:sz="6" w:space="0" w:color="000000"/>
            </w:tcBorders>
          </w:tcPr>
          <w:p w14:paraId="77AACF92" w14:textId="77777777" w:rsidR="008A7862" w:rsidRPr="009445D3" w:rsidRDefault="008A7862" w:rsidP="00315075">
            <w:pPr>
              <w:pBdr>
                <w:top w:val="nil"/>
                <w:left w:val="nil"/>
                <w:bottom w:val="nil"/>
                <w:right w:val="nil"/>
                <w:between w:val="nil"/>
              </w:pBdr>
              <w:jc w:val="center"/>
              <w:rPr>
                <w:b/>
              </w:rPr>
            </w:pPr>
            <w:r w:rsidRPr="009445D3">
              <w:rPr>
                <w:b/>
              </w:rPr>
              <w:lastRenderedPageBreak/>
              <w:t>Iekšlietu ministrijas iebildums (12.09.2019.)</w:t>
            </w:r>
          </w:p>
          <w:p w14:paraId="6EEA1942" w14:textId="77777777" w:rsidR="008A7862" w:rsidRPr="009445D3" w:rsidRDefault="008A7862" w:rsidP="008A7862">
            <w:pPr>
              <w:pBdr>
                <w:top w:val="nil"/>
                <w:left w:val="nil"/>
                <w:bottom w:val="nil"/>
                <w:right w:val="nil"/>
                <w:between w:val="nil"/>
              </w:pBdr>
              <w:jc w:val="both"/>
            </w:pPr>
            <w:r w:rsidRPr="009445D3">
              <w:t xml:space="preserve">Precizēt likumprojekta 1. pantā ietvertā Stratēģiskas nozīmes preču aprites likuma (turpmāk – Likums) 4. panta pirmās daļas redakciju, harmonizējot to ar Ieroču aprites likuma 94. panta pirmo daļu. Šobrīd likumprojekta 4. panta pirmās daļas redakcijā nav pilnībā uzskaitītas visas valsts un pašvaldību institūcijas, kas ir atbrīvojamas no importa vai eksporta licences saņemšanas. Ieroču aprites likuma 94. panta pirmajā daļā ir uzskaitītas visas valsts un pašvaldību </w:t>
            </w:r>
            <w:r w:rsidRPr="009445D3">
              <w:lastRenderedPageBreak/>
              <w:t xml:space="preserve">institūcijas, kurām likumdevējs, ņemot vērā minēto institūciju kompetenci, ir nostiprinājis tiesības būt par patstāvīgiem subjektiem ieroču, speciālo līdzekļu un munīcijas apritē. </w:t>
            </w:r>
          </w:p>
          <w:p w14:paraId="666E3CB1" w14:textId="25D7F7AF" w:rsidR="008A7862" w:rsidRDefault="008A7862" w:rsidP="008A7862">
            <w:pPr>
              <w:pBdr>
                <w:top w:val="nil"/>
                <w:left w:val="nil"/>
                <w:bottom w:val="nil"/>
                <w:right w:val="nil"/>
                <w:between w:val="nil"/>
              </w:pBdr>
              <w:spacing w:before="75" w:after="75"/>
              <w:ind w:hanging="14"/>
              <w:jc w:val="both"/>
              <w:rPr>
                <w:b/>
              </w:rPr>
            </w:pPr>
            <w:r w:rsidRPr="009445D3">
              <w:t>Gadījumā, ja likumprojekta 1. pantā ietvertā Likuma 4. panta pirmās daļas redakcija netiks precizēta, izveidosies nevienlīdzīga situācija, kad vienai no valsts drošības iestādēm - Valsts drošības dienestam nevajadzēs saņemt importa licenci iegādājoties šaujamieroču munīciju bez komersantu starpniecības, jo Valsts drošības dienests ir Iekšlietu ministrijas pakļautībā esoša iestāde, bet citai valsts drošības iestādei - Satversmes aizsardzības birojam, iegādājoties munīciju bez komersantu starpniecības, vajadzēs saņemt importa licenci, jo minētā iestāde nav nedz Iekšlietu ministrijas, nedz Aizsardzības ministrijas pakļautības vai pārraudzības iestāde.</w:t>
            </w:r>
          </w:p>
        </w:tc>
        <w:tc>
          <w:tcPr>
            <w:tcW w:w="2250" w:type="dxa"/>
            <w:tcBorders>
              <w:top w:val="single" w:sz="4" w:space="0" w:color="auto"/>
              <w:left w:val="single" w:sz="6" w:space="0" w:color="000000"/>
              <w:bottom w:val="single" w:sz="4" w:space="0" w:color="auto"/>
              <w:right w:val="single" w:sz="6" w:space="0" w:color="000000"/>
            </w:tcBorders>
          </w:tcPr>
          <w:p w14:paraId="6945AE0B" w14:textId="2937899C" w:rsidR="008A7862" w:rsidRPr="009445D3" w:rsidRDefault="008A7862" w:rsidP="00315075">
            <w:pPr>
              <w:pBdr>
                <w:top w:val="nil"/>
                <w:left w:val="nil"/>
                <w:bottom w:val="nil"/>
                <w:right w:val="nil"/>
                <w:between w:val="nil"/>
              </w:pBdr>
              <w:jc w:val="center"/>
              <w:rPr>
                <w:b/>
              </w:rPr>
            </w:pPr>
            <w:r>
              <w:rPr>
                <w:b/>
              </w:rPr>
              <w:lastRenderedPageBreak/>
              <w:t>Saskaņots elektroniskajā saskaņošanā (20.01.2020.)</w:t>
            </w:r>
          </w:p>
          <w:p w14:paraId="2E1B3B6D" w14:textId="3132C20D" w:rsidR="008A7862" w:rsidRDefault="008A7862" w:rsidP="008A7862">
            <w:pPr>
              <w:pBdr>
                <w:top w:val="nil"/>
                <w:left w:val="nil"/>
                <w:bottom w:val="nil"/>
                <w:right w:val="nil"/>
                <w:between w:val="nil"/>
              </w:pBdr>
              <w:jc w:val="both"/>
              <w:rPr>
                <w:b/>
              </w:rPr>
            </w:pPr>
            <w:r w:rsidRPr="009445D3">
              <w:t xml:space="preserve">Saraksts papildināts ar Tieslietu ministrijas padotībā esošajām iestādēm, bet nav iekļautas visas Ieroču aprites likuma 94. panta minētās iestādes, lai efektīvi nodrošinātu </w:t>
            </w:r>
            <w:r w:rsidRPr="009445D3">
              <w:lastRenderedPageBreak/>
              <w:t>stratēģiskas preču aprites kontroli. Izņēmumi attiecās uz valsts iestādēm, kuri veic iegādes (veic darījumus) tieši no ražotājiem / ārzemju partneriem (bez starpniekiem).  Ieroču aprites likuma 94. pantā minētās iestādes (izņemot Aizsardzības ministriju, Iekšlietu ministriju, Tieslietu ministriju) stratēģisko preču iegādei pamatā izmanto starpniecības pakalpojumus.</w:t>
            </w:r>
          </w:p>
        </w:tc>
        <w:tc>
          <w:tcPr>
            <w:tcW w:w="3723" w:type="dxa"/>
            <w:tcBorders>
              <w:top w:val="single" w:sz="4" w:space="0" w:color="000000"/>
              <w:left w:val="single" w:sz="4" w:space="0" w:color="000000"/>
              <w:bottom w:val="single" w:sz="4" w:space="0" w:color="000000"/>
            </w:tcBorders>
          </w:tcPr>
          <w:p w14:paraId="259E0DEF" w14:textId="77777777" w:rsidR="008A7862" w:rsidRPr="006D72F4" w:rsidRDefault="008A7862" w:rsidP="00315075">
            <w:pPr>
              <w:pBdr>
                <w:top w:val="nil"/>
                <w:left w:val="nil"/>
                <w:bottom w:val="nil"/>
                <w:right w:val="nil"/>
                <w:between w:val="nil"/>
              </w:pBdr>
              <w:rPr>
                <w:b/>
                <w:bCs/>
              </w:rPr>
            </w:pPr>
            <w:r>
              <w:rPr>
                <w:b/>
                <w:bCs/>
              </w:rPr>
              <w:lastRenderedPageBreak/>
              <w:t xml:space="preserve">1. </w:t>
            </w:r>
            <w:r w:rsidRPr="006D72F4">
              <w:rPr>
                <w:b/>
                <w:bCs/>
              </w:rPr>
              <w:t>4. pantā:</w:t>
            </w:r>
          </w:p>
          <w:p w14:paraId="3B893FFF" w14:textId="77777777" w:rsidR="008A7862" w:rsidRPr="00854975" w:rsidRDefault="008A7862" w:rsidP="00315075">
            <w:pPr>
              <w:pBdr>
                <w:top w:val="nil"/>
                <w:left w:val="nil"/>
                <w:bottom w:val="nil"/>
                <w:right w:val="nil"/>
                <w:between w:val="nil"/>
              </w:pBdr>
              <w:rPr>
                <w:bCs/>
              </w:rPr>
            </w:pPr>
            <w:r w:rsidRPr="00854975">
              <w:rPr>
                <w:bCs/>
              </w:rPr>
              <w:t>izteikt pirmo daļu šādā redakcijā:</w:t>
            </w:r>
          </w:p>
          <w:p w14:paraId="1B68FFFE" w14:textId="77777777" w:rsidR="008A7862" w:rsidRPr="00714A9F" w:rsidRDefault="008A7862" w:rsidP="00315075">
            <w:pPr>
              <w:jc w:val="both"/>
            </w:pPr>
            <w:r w:rsidRPr="00714A9F">
              <w:t xml:space="preserve">“(1) Stratēģiskas nozīmes preču importa licence nav nepieciešama, ja Tieslietu ministrijas, Iekšlietu ministrijas vai Aizsardzības ministrijas pakļautībā vai pārraudzībā esošās iestādes Eiropas Savienības Kopējā militāro preču sarakstā minētās preces pārvieto no citas Eiropas Savienības dalībvalsts vai Eiropas Ekonomikas zonas valsts vai importē bez komersantu </w:t>
            </w:r>
            <w:r w:rsidRPr="00714A9F">
              <w:lastRenderedPageBreak/>
              <w:t xml:space="preserve">starpniecības. </w:t>
            </w:r>
          </w:p>
          <w:p w14:paraId="26316B66" w14:textId="77777777" w:rsidR="008A7862" w:rsidRPr="00714A9F" w:rsidRDefault="008A7862" w:rsidP="00315075">
            <w:pPr>
              <w:jc w:val="both"/>
            </w:pPr>
            <w:r w:rsidRPr="00714A9F">
              <w:t xml:space="preserve">Stratēģiskas nozīmes preču eksporta licence nav nepieciešama, ja Tieslietu ministrijas, Iekšlietu ministrija vai Aizsardzības ministrijas pakļautībā vai pārraudzībā esošās iestādes Eiropas Savienības Kopējā militāro preču sarakstā minētās preces pārvieto uz citu Eiropas Savienības dalībvalsti vai Eiropas Ekonomikas zonas valsts vai eksportē bez komersantu starpniecības un ja minētās preces šīm iestādēm ir nepieciešamas Ziemeļatlantijas līguma organizācijas, Eiropas Savienības, Apvienoto Nāciju Organizācijas vai Eiropas Drošības un sadarbības organizācijas misiju ietvaros. </w:t>
            </w:r>
          </w:p>
          <w:p w14:paraId="50F1DD67" w14:textId="77777777" w:rsidR="008A7862" w:rsidRPr="00714A9F" w:rsidRDefault="008A7862" w:rsidP="00315075">
            <w:pPr>
              <w:jc w:val="both"/>
            </w:pPr>
            <w:r w:rsidRPr="00714A9F">
              <w:t>Stratēģiskas nozīmes preču eksporta licence nav nepieciešama gadījumos, kad Eiropas Savienības Kopējā militāro preču sarakstā minētās preces, Tieslietu ministrijas, Iekšlietu ministrijas vai Aizsardzības ministrijas pakļautībā vai pārraudzībā esošās iestādes, izved remontam uz Eiropas Savienības, Eiropas Ekonomikas zonas un Ziemeļatlantijas līguma organizācijas dalībvalstīm.”;</w:t>
            </w:r>
          </w:p>
          <w:p w14:paraId="65C3985E" w14:textId="69C79ED8" w:rsidR="008A7862" w:rsidRPr="00C77EE9" w:rsidRDefault="008A7862" w:rsidP="00D638E1">
            <w:pPr>
              <w:pBdr>
                <w:top w:val="nil"/>
                <w:left w:val="nil"/>
                <w:bottom w:val="nil"/>
                <w:right w:val="nil"/>
                <w:between w:val="nil"/>
              </w:pBdr>
              <w:spacing w:before="75" w:after="75"/>
              <w:jc w:val="both"/>
            </w:pPr>
            <w:r>
              <w:t>...</w:t>
            </w:r>
          </w:p>
        </w:tc>
      </w:tr>
      <w:tr w:rsidR="00AB74D2" w14:paraId="31A25B64" w14:textId="77777777" w:rsidTr="00090F15">
        <w:tc>
          <w:tcPr>
            <w:tcW w:w="707" w:type="dxa"/>
            <w:tcBorders>
              <w:top w:val="single" w:sz="4" w:space="0" w:color="auto"/>
              <w:left w:val="single" w:sz="6" w:space="0" w:color="000000"/>
              <w:bottom w:val="single" w:sz="4" w:space="0" w:color="auto"/>
              <w:right w:val="single" w:sz="6" w:space="0" w:color="000000"/>
            </w:tcBorders>
          </w:tcPr>
          <w:p w14:paraId="400F20FF" w14:textId="3C65241C" w:rsidR="00AB74D2" w:rsidRDefault="00AB74D2" w:rsidP="008A7862">
            <w:pPr>
              <w:pBdr>
                <w:top w:val="nil"/>
                <w:left w:val="nil"/>
                <w:bottom w:val="nil"/>
                <w:right w:val="nil"/>
                <w:between w:val="nil"/>
              </w:pBdr>
              <w:ind w:firstLine="720"/>
              <w:rPr>
                <w:b/>
              </w:rPr>
            </w:pPr>
            <w:r w:rsidRPr="009445D3">
              <w:rPr>
                <w:b/>
              </w:rPr>
              <w:lastRenderedPageBreak/>
              <w:t>2</w:t>
            </w:r>
            <w:r>
              <w:rPr>
                <w:b/>
              </w:rPr>
              <w:t>26</w:t>
            </w:r>
            <w:r w:rsidRPr="009445D3">
              <w:rPr>
                <w:b/>
              </w:rPr>
              <w:t>.</w:t>
            </w:r>
          </w:p>
        </w:tc>
        <w:tc>
          <w:tcPr>
            <w:tcW w:w="3721" w:type="dxa"/>
            <w:tcBorders>
              <w:top w:val="single" w:sz="4" w:space="0" w:color="auto"/>
              <w:left w:val="single" w:sz="6" w:space="0" w:color="000000"/>
              <w:bottom w:val="single" w:sz="4" w:space="0" w:color="auto"/>
              <w:right w:val="single" w:sz="6" w:space="0" w:color="000000"/>
            </w:tcBorders>
          </w:tcPr>
          <w:p w14:paraId="79C91E50" w14:textId="77777777" w:rsidR="00AB74D2" w:rsidRPr="009445D3" w:rsidRDefault="00AB74D2" w:rsidP="00315075">
            <w:pPr>
              <w:pBdr>
                <w:top w:val="nil"/>
                <w:left w:val="nil"/>
                <w:bottom w:val="nil"/>
                <w:right w:val="nil"/>
                <w:between w:val="nil"/>
              </w:pBdr>
              <w:jc w:val="both"/>
              <w:rPr>
                <w:b/>
                <w:bCs/>
              </w:rPr>
            </w:pPr>
            <w:r w:rsidRPr="009445D3">
              <w:rPr>
                <w:b/>
                <w:bCs/>
              </w:rPr>
              <w:t>1. 4. pantā:</w:t>
            </w:r>
          </w:p>
          <w:p w14:paraId="339CDDA5" w14:textId="77777777" w:rsidR="00AB74D2" w:rsidRPr="009445D3" w:rsidRDefault="00AB74D2" w:rsidP="00315075">
            <w:pPr>
              <w:pBdr>
                <w:top w:val="nil"/>
                <w:left w:val="nil"/>
                <w:bottom w:val="nil"/>
                <w:right w:val="nil"/>
                <w:between w:val="nil"/>
              </w:pBdr>
              <w:jc w:val="both"/>
              <w:rPr>
                <w:bCs/>
              </w:rPr>
            </w:pPr>
            <w:r w:rsidRPr="009445D3">
              <w:rPr>
                <w:bCs/>
              </w:rPr>
              <w:t>izteikt pirmo daļu šādā redakcijā:</w:t>
            </w:r>
          </w:p>
          <w:p w14:paraId="23EFE314" w14:textId="77777777" w:rsidR="00AB74D2" w:rsidRPr="009445D3" w:rsidRDefault="00AB74D2" w:rsidP="00315075">
            <w:pPr>
              <w:pBdr>
                <w:top w:val="nil"/>
                <w:left w:val="nil"/>
                <w:bottom w:val="nil"/>
                <w:right w:val="nil"/>
                <w:between w:val="nil"/>
              </w:pBdr>
              <w:jc w:val="both"/>
            </w:pPr>
            <w:r w:rsidRPr="009445D3">
              <w:t>“(1)</w:t>
            </w:r>
            <w:r w:rsidRPr="009445D3">
              <w:rPr>
                <w:b/>
              </w:rPr>
              <w:t xml:space="preserve"> </w:t>
            </w:r>
            <w:r w:rsidRPr="009445D3">
              <w:t xml:space="preserve">Stratēģiskas nozīmes preču importa licence nav nepieciešama, ja Ieslodzījuma vietu pārvalde vai Iekšlietu ministrijas un Aizsardzības ministrijas pakļautībā vai pārraudzībā esošās iestādes Eiropas Savienības Kopējā militāro preču sarakstā minētās preces pārvieto no citas Eiropas Savienības dalībvalsts vai importē bez komersantu starpniecības. </w:t>
            </w:r>
          </w:p>
          <w:p w14:paraId="44E72B77" w14:textId="77777777" w:rsidR="00AB74D2" w:rsidRPr="009445D3" w:rsidRDefault="00AB74D2" w:rsidP="00315075">
            <w:pPr>
              <w:pBdr>
                <w:top w:val="nil"/>
                <w:left w:val="nil"/>
                <w:bottom w:val="nil"/>
                <w:right w:val="nil"/>
                <w:between w:val="nil"/>
              </w:pBdr>
              <w:jc w:val="both"/>
            </w:pPr>
            <w:r w:rsidRPr="009445D3">
              <w:t xml:space="preserve">Stratēģiskas nozīmes preču eksporta licence nav nepieciešama, ja Iekšlietu ministrijas un Aizsardzības ministrijas pakļautībā vai pārraudzībā esošās iestādes Eiropas Savienības Kopējā militāro preču sarakstā minētās preces pārvieto uz citu Eiropas Savienības dalībvalsti vai eksportē bez komersantu starpniecības un ja minētās preces šīm iestādēm ir nepieciešamas Ziemeļatlantijas līguma organizācijas, Eiropas Savienības, Apvienoto Nāciju Organizācijas vai Eiropas Drošības un sadarbības organizācijas misiju ietvaros. </w:t>
            </w:r>
          </w:p>
          <w:p w14:paraId="737B4CB8" w14:textId="77777777" w:rsidR="00AB74D2" w:rsidRPr="009445D3" w:rsidRDefault="00AB74D2" w:rsidP="00315075">
            <w:pPr>
              <w:pBdr>
                <w:top w:val="nil"/>
                <w:left w:val="nil"/>
                <w:bottom w:val="nil"/>
                <w:right w:val="nil"/>
                <w:between w:val="nil"/>
              </w:pBdr>
              <w:ind w:firstLine="720"/>
              <w:jc w:val="both"/>
            </w:pPr>
            <w:r w:rsidRPr="009445D3">
              <w:t xml:space="preserve">Stratēģiskas nozīmes preču eksporta licence nav nepieciešama gadījumos, kad Kopējā militāro preču sarakstā minētās preces, </w:t>
            </w:r>
            <w:r w:rsidRPr="009445D3">
              <w:lastRenderedPageBreak/>
              <w:t>Iekšlietu ministrijas un Aizsardzības ministrijas pakļautībā vai pārraudzībā esošās iestādes, izved pārstrādei, iznīcināšanai vai remontam uz Eiropas Savienības, Eiropas Ekonomikas zonas un Ziemeļatlantijas līguma organizācijas dalībvalstīm.”;</w:t>
            </w:r>
          </w:p>
          <w:p w14:paraId="1F71A790" w14:textId="5C3B1C8A" w:rsidR="00AB74D2" w:rsidRPr="009445D3" w:rsidRDefault="00AB74D2" w:rsidP="00315075">
            <w:pPr>
              <w:pBdr>
                <w:top w:val="nil"/>
                <w:left w:val="nil"/>
                <w:bottom w:val="nil"/>
                <w:right w:val="nil"/>
                <w:between w:val="nil"/>
              </w:pBdr>
              <w:rPr>
                <w:b/>
                <w:bCs/>
              </w:rPr>
            </w:pPr>
            <w:r w:rsidRPr="009445D3">
              <w:t>...</w:t>
            </w:r>
          </w:p>
        </w:tc>
        <w:tc>
          <w:tcPr>
            <w:tcW w:w="4590" w:type="dxa"/>
            <w:tcBorders>
              <w:top w:val="single" w:sz="4" w:space="0" w:color="auto"/>
              <w:left w:val="single" w:sz="6" w:space="0" w:color="000000"/>
              <w:bottom w:val="single" w:sz="4" w:space="0" w:color="auto"/>
              <w:right w:val="single" w:sz="6" w:space="0" w:color="000000"/>
            </w:tcBorders>
          </w:tcPr>
          <w:p w14:paraId="62C2B0F9" w14:textId="77777777" w:rsidR="00AB74D2" w:rsidRPr="009445D3" w:rsidRDefault="00AB74D2" w:rsidP="00315075">
            <w:pPr>
              <w:pBdr>
                <w:top w:val="nil"/>
                <w:left w:val="nil"/>
                <w:bottom w:val="nil"/>
                <w:right w:val="nil"/>
                <w:between w:val="nil"/>
              </w:pBdr>
              <w:jc w:val="center"/>
              <w:rPr>
                <w:b/>
              </w:rPr>
            </w:pPr>
            <w:r w:rsidRPr="009445D3">
              <w:rPr>
                <w:b/>
              </w:rPr>
              <w:lastRenderedPageBreak/>
              <w:t>Tieslietu ministrijas iebildums (12.09.2019.)</w:t>
            </w:r>
          </w:p>
          <w:p w14:paraId="620C2E4D" w14:textId="77777777" w:rsidR="00AB74D2" w:rsidRPr="009445D3" w:rsidRDefault="00AB74D2" w:rsidP="00315075">
            <w:pPr>
              <w:jc w:val="both"/>
            </w:pPr>
            <w:r w:rsidRPr="009445D3">
              <w:t xml:space="preserve">Likumprojekta 1. pantā izteiktajā Stratēģiskas nozīmes preču aprites likuma (turpmāk – likums) 4. panta pirmajā daļā norādīts uz gadījumiem, kad preču eksporta licence nav nepieciešama. Atbilstoši likuma 1. panta 1. punktam regulējumu attiecībā uz stratēģiskās nozīmes precēm cita starpā noteic Padomes 2009. gada 5. maija Regula (EK) Nr. 428/2009, ar ko izveido Kopienas režīmu divējāda lietojuma preču eksporta, pārvadājumu, starpniecības un tranzīta kontrolei (turpmāk – Regula). Vēršam uzmanību, ka Tieslietu ministrijas ieskatā no Regulas </w:t>
            </w:r>
            <w:r w:rsidRPr="009445D3">
              <w:rPr>
                <w:u w:val="single"/>
              </w:rPr>
              <w:t>tieši neizriet</w:t>
            </w:r>
            <w:r w:rsidRPr="009445D3">
              <w:t xml:space="preserve"> dalībvalstu rīcības brīvība attiecībā uz stratēģiskas nozīmes preču eksporta licences atbrīvojumiem.</w:t>
            </w:r>
          </w:p>
          <w:p w14:paraId="085924C1" w14:textId="77777777" w:rsidR="00AB74D2" w:rsidRPr="009445D3" w:rsidRDefault="00AB74D2" w:rsidP="00315075">
            <w:pPr>
              <w:ind w:firstLine="567"/>
              <w:jc w:val="both"/>
            </w:pPr>
            <w:r w:rsidRPr="009445D3">
              <w:t xml:space="preserve">Ievērojot minēto, lūdzam pamatot likumprojektā ietvertā regulējuma atbilstību Regulai, īpaši pamatojot, vai dalībvalstij pastāv rīcības brīvība noteikt stratēģiskas nozīmes preču eksporta licences atbrīvojumu, to norādot likumprojekta anotācijas V sadaļā atbilstoši Ministru kabineta 2009. gada 15. decembra instrukcijas Nr. 19 “Tiesību akta projekta sākotnējās ietekmes izvērtēšanas kārtība” (turpmāk – instrukcija) 56.5. apakšpunktam, kā arī aizpildot visas likumprojekta anotācijas V sadaļas ailes atbilstoši instrukcijas 55. un 56. punktam. </w:t>
            </w:r>
          </w:p>
          <w:p w14:paraId="6635F961" w14:textId="5EE3BF5A" w:rsidR="00AB74D2" w:rsidRPr="009445D3" w:rsidRDefault="00AB74D2" w:rsidP="00AB74D2">
            <w:pPr>
              <w:pBdr>
                <w:top w:val="nil"/>
                <w:left w:val="nil"/>
                <w:bottom w:val="nil"/>
                <w:right w:val="nil"/>
                <w:between w:val="nil"/>
              </w:pBdr>
              <w:jc w:val="both"/>
              <w:rPr>
                <w:b/>
              </w:rPr>
            </w:pPr>
            <w:r w:rsidRPr="009445D3">
              <w:rPr>
                <w:u w:val="single"/>
              </w:rPr>
              <w:t xml:space="preserve">Ja minēto skaidrojumu nav iespējams sniegt, </w:t>
            </w:r>
            <w:r w:rsidRPr="009445D3">
              <w:rPr>
                <w:u w:val="single"/>
              </w:rPr>
              <w:lastRenderedPageBreak/>
              <w:t>lūdzam svītrot attiecīgo likumprojekta regulējumu, vienlaikus papildinot likumprojektu ar grozījumiem citviet likumā, kas attiecas uz stratēģiskas nozīmes preču eksporta licences atbrīvojumiem</w:t>
            </w:r>
            <w:r w:rsidRPr="009445D3">
              <w:t>. Minētais attiecas arī uz stratēģiskas nozīmes preču tranzīta un importa licences atbrīvojumiem.</w:t>
            </w:r>
          </w:p>
        </w:tc>
        <w:tc>
          <w:tcPr>
            <w:tcW w:w="2250" w:type="dxa"/>
            <w:tcBorders>
              <w:top w:val="single" w:sz="4" w:space="0" w:color="auto"/>
              <w:left w:val="single" w:sz="6" w:space="0" w:color="000000"/>
              <w:bottom w:val="single" w:sz="4" w:space="0" w:color="auto"/>
              <w:right w:val="single" w:sz="6" w:space="0" w:color="000000"/>
            </w:tcBorders>
          </w:tcPr>
          <w:p w14:paraId="6230C539" w14:textId="70F8CCA5" w:rsidR="00AB74D2" w:rsidRPr="009445D3" w:rsidRDefault="00AB74D2" w:rsidP="00315075">
            <w:pPr>
              <w:pBdr>
                <w:top w:val="nil"/>
                <w:left w:val="nil"/>
                <w:bottom w:val="nil"/>
                <w:right w:val="nil"/>
                <w:between w:val="nil"/>
              </w:pBdr>
              <w:ind w:firstLine="1"/>
              <w:jc w:val="center"/>
              <w:rPr>
                <w:b/>
              </w:rPr>
            </w:pPr>
            <w:r>
              <w:rPr>
                <w:b/>
              </w:rPr>
              <w:lastRenderedPageBreak/>
              <w:t>Saskaņots elektroniskajā saskaņošanā (20.01.2020.)</w:t>
            </w:r>
          </w:p>
          <w:p w14:paraId="040AFA45" w14:textId="77777777" w:rsidR="00AB74D2" w:rsidRPr="009445D3" w:rsidRDefault="00AB74D2" w:rsidP="00315075">
            <w:pPr>
              <w:pBdr>
                <w:top w:val="nil"/>
                <w:left w:val="nil"/>
                <w:bottom w:val="nil"/>
                <w:right w:val="nil"/>
                <w:between w:val="nil"/>
              </w:pBdr>
              <w:ind w:firstLine="1"/>
              <w:jc w:val="both"/>
            </w:pPr>
            <w:r w:rsidRPr="009445D3">
              <w:t xml:space="preserve">Likumprojekta nacionālais regulējums nav pretrunā ar Padomes 2009. gada 5. maija Regulu (EK) Nr. 428/2009, bet paredz atvieglojumus attiecībā uz eksporta un importa licences saņemšanu. Tāpat Regula attiecas uz divējāda pielietojuma precēm, kas savukārt nav Eiropas Savienības Kopējā militāro preču sarakstā iekļautās preces. Svītrojot likumprojekta regulējumu, izveidosies situācija, kad karavīram piedaloties misijā, ir nepieciešama Ārlietu ministrijas eksporta licence uz personisko ieroci.  </w:t>
            </w:r>
            <w:r w:rsidRPr="009445D3">
              <w:lastRenderedPageBreak/>
              <w:t>Likumprojekta regulējums paplašina jau esošo Stratēģiskas nozīmes preču aprites likuma regulējumu un paredz, ka eksporta licence nav nepieciešama preču pārstrādei, iznicināšanai vai remontam. Piemēram, ja Nacionālo bruņoto spēki (turpmāk - NBS) militāro tehniku transportē remontam uz Lietuvu – NBS nav nepieciešama Ārlietu ministrijas eksporta licence.</w:t>
            </w:r>
          </w:p>
          <w:p w14:paraId="3FACF5AD" w14:textId="342FE562" w:rsidR="00AB74D2" w:rsidRDefault="00AB74D2" w:rsidP="00AB74D2">
            <w:pPr>
              <w:pBdr>
                <w:top w:val="nil"/>
                <w:left w:val="nil"/>
                <w:bottom w:val="nil"/>
                <w:right w:val="nil"/>
                <w:between w:val="nil"/>
              </w:pBdr>
              <w:jc w:val="both"/>
              <w:rPr>
                <w:b/>
              </w:rPr>
            </w:pPr>
            <w:r w:rsidRPr="009445D3">
              <w:t>Veikti redakcionāli precizējumi.</w:t>
            </w:r>
          </w:p>
        </w:tc>
        <w:tc>
          <w:tcPr>
            <w:tcW w:w="3723" w:type="dxa"/>
            <w:tcBorders>
              <w:top w:val="single" w:sz="4" w:space="0" w:color="000000"/>
              <w:left w:val="single" w:sz="4" w:space="0" w:color="000000"/>
              <w:bottom w:val="single" w:sz="4" w:space="0" w:color="000000"/>
            </w:tcBorders>
          </w:tcPr>
          <w:p w14:paraId="7B2DF54D" w14:textId="77777777" w:rsidR="00AB74D2" w:rsidRPr="006D72F4" w:rsidRDefault="00AB74D2" w:rsidP="00315075">
            <w:pPr>
              <w:pBdr>
                <w:top w:val="nil"/>
                <w:left w:val="nil"/>
                <w:bottom w:val="nil"/>
                <w:right w:val="nil"/>
                <w:between w:val="nil"/>
              </w:pBdr>
              <w:jc w:val="both"/>
              <w:rPr>
                <w:b/>
                <w:bCs/>
              </w:rPr>
            </w:pPr>
            <w:r w:rsidRPr="006D72F4">
              <w:rPr>
                <w:b/>
                <w:bCs/>
              </w:rPr>
              <w:lastRenderedPageBreak/>
              <w:t>1. 4. pantā:</w:t>
            </w:r>
          </w:p>
          <w:p w14:paraId="2D287FDD" w14:textId="77777777" w:rsidR="00AB74D2" w:rsidRPr="006D72F4" w:rsidRDefault="00AB74D2" w:rsidP="00315075">
            <w:pPr>
              <w:pBdr>
                <w:top w:val="nil"/>
                <w:left w:val="nil"/>
                <w:bottom w:val="nil"/>
                <w:right w:val="nil"/>
                <w:between w:val="nil"/>
              </w:pBdr>
              <w:jc w:val="both"/>
              <w:rPr>
                <w:bCs/>
              </w:rPr>
            </w:pPr>
            <w:r w:rsidRPr="006D72F4">
              <w:rPr>
                <w:bCs/>
              </w:rPr>
              <w:t>izteikt pirmo daļu šādā redakcijā:</w:t>
            </w:r>
          </w:p>
          <w:p w14:paraId="05BE028D" w14:textId="77777777" w:rsidR="00AB74D2" w:rsidRPr="00714A9F" w:rsidRDefault="00AB74D2" w:rsidP="00315075">
            <w:pPr>
              <w:pBdr>
                <w:top w:val="nil"/>
                <w:left w:val="nil"/>
                <w:bottom w:val="nil"/>
                <w:right w:val="nil"/>
                <w:between w:val="nil"/>
              </w:pBdr>
              <w:jc w:val="both"/>
            </w:pPr>
            <w:r w:rsidRPr="00714A9F">
              <w:t xml:space="preserve">“(1) Stratēģiskas nozīmes preču importa licence nav nepieciešama, ja Tieslietu ministrijas, Iekšlietu ministrijas vai Aizsardzības ministrijas pakļautībā vai pārraudzībā esošās iestādes Eiropas Savienības Kopējā militāro preču sarakstā minētās preces pārvieto no citas Eiropas Savienības dalībvalsts vai Eiropas Ekonomikas zonas valsts vai importē bez komersantu starpniecības. </w:t>
            </w:r>
          </w:p>
          <w:p w14:paraId="657496B7" w14:textId="77777777" w:rsidR="00AB74D2" w:rsidRPr="00714A9F" w:rsidRDefault="00AB74D2" w:rsidP="00315075">
            <w:pPr>
              <w:pBdr>
                <w:top w:val="nil"/>
                <w:left w:val="nil"/>
                <w:bottom w:val="nil"/>
                <w:right w:val="nil"/>
                <w:between w:val="nil"/>
              </w:pBdr>
              <w:jc w:val="both"/>
            </w:pPr>
            <w:r w:rsidRPr="00714A9F">
              <w:t xml:space="preserve">Stratēģiskas nozīmes preču eksporta licence nav nepieciešama, ja Tieslietu ministrijas, Iekšlietu ministrija vai Aizsardzības ministrijas pakļautībā vai pārraudzībā esošās iestādes Eiropas Savienības Kopējā militāro preču sarakstā minētās preces pārvieto uz citu Eiropas Savienības dalībvalsti vai Eiropas Ekonomikas zonas valsts vai eksportē bez komersantu starpniecības un ja minētās preces šīm iestādēm ir nepieciešamas Ziemeļatlantijas līguma organizācijas, Eiropas Savienības, Apvienoto Nāciju Organizācijas vai Eiropas Drošības un sadarbības organizācijas misiju ietvaros. </w:t>
            </w:r>
          </w:p>
          <w:p w14:paraId="44C6CCDD" w14:textId="77777777" w:rsidR="00AB74D2" w:rsidRPr="00714A9F" w:rsidRDefault="00AB74D2" w:rsidP="00315075">
            <w:pPr>
              <w:pBdr>
                <w:top w:val="nil"/>
                <w:left w:val="nil"/>
                <w:bottom w:val="nil"/>
                <w:right w:val="nil"/>
                <w:between w:val="nil"/>
              </w:pBdr>
              <w:jc w:val="both"/>
            </w:pPr>
            <w:r w:rsidRPr="00714A9F">
              <w:t xml:space="preserve">Stratēģiskas nozīmes preču eksporta </w:t>
            </w:r>
            <w:r w:rsidRPr="00714A9F">
              <w:lastRenderedPageBreak/>
              <w:t>licence nav nepieciešama gadījumos, kad Eiropas Savienības Kopējā militāro preču sarakstā minētās preces, Tieslietu ministrijas, Iekšlietu ministrijas vai Aizsardzības ministrijas pakļautībā vai pārraudzībā esošās iestādes, izved remontam uz Eiropas Savienības, Eiropas Ekonomikas zonas un Ziemeļatlantijas līguma organizācijas dalībvalstīm.”;</w:t>
            </w:r>
          </w:p>
          <w:p w14:paraId="6959B5DA" w14:textId="19AE00B8" w:rsidR="00AB74D2" w:rsidRDefault="00AB74D2" w:rsidP="00315075">
            <w:pPr>
              <w:pBdr>
                <w:top w:val="nil"/>
                <w:left w:val="nil"/>
                <w:bottom w:val="nil"/>
                <w:right w:val="nil"/>
                <w:between w:val="nil"/>
              </w:pBdr>
              <w:rPr>
                <w:b/>
                <w:bCs/>
              </w:rPr>
            </w:pPr>
            <w:r>
              <w:t>...</w:t>
            </w:r>
          </w:p>
        </w:tc>
      </w:tr>
      <w:tr w:rsidR="00AB74D2" w14:paraId="461AC66C" w14:textId="77777777" w:rsidTr="00090F15">
        <w:tc>
          <w:tcPr>
            <w:tcW w:w="707" w:type="dxa"/>
            <w:tcBorders>
              <w:top w:val="single" w:sz="4" w:space="0" w:color="auto"/>
              <w:left w:val="single" w:sz="6" w:space="0" w:color="000000"/>
              <w:bottom w:val="single" w:sz="4" w:space="0" w:color="auto"/>
              <w:right w:val="single" w:sz="6" w:space="0" w:color="000000"/>
            </w:tcBorders>
          </w:tcPr>
          <w:p w14:paraId="0EC248FF" w14:textId="77777777" w:rsidR="00AB74D2" w:rsidRPr="009445D3" w:rsidRDefault="00AB74D2" w:rsidP="00315075">
            <w:pPr>
              <w:pBdr>
                <w:top w:val="nil"/>
                <w:left w:val="nil"/>
                <w:bottom w:val="nil"/>
                <w:right w:val="nil"/>
                <w:between w:val="nil"/>
              </w:pBdr>
              <w:ind w:firstLine="720"/>
              <w:jc w:val="center"/>
            </w:pPr>
            <w:r w:rsidRPr="009445D3">
              <w:lastRenderedPageBreak/>
              <w:t>2</w:t>
            </w:r>
          </w:p>
          <w:p w14:paraId="0E95ACB0" w14:textId="4B4EE1F6" w:rsidR="00AB74D2" w:rsidRPr="009445D3" w:rsidRDefault="00AB74D2" w:rsidP="008A7862">
            <w:pPr>
              <w:pBdr>
                <w:top w:val="nil"/>
                <w:left w:val="nil"/>
                <w:bottom w:val="nil"/>
                <w:right w:val="nil"/>
                <w:between w:val="nil"/>
              </w:pBdr>
              <w:ind w:firstLine="720"/>
              <w:rPr>
                <w:b/>
              </w:rPr>
            </w:pPr>
            <w:r w:rsidRPr="009445D3">
              <w:rPr>
                <w:b/>
              </w:rPr>
              <w:t>3</w:t>
            </w:r>
            <w:r>
              <w:rPr>
                <w:b/>
              </w:rPr>
              <w:t>27</w:t>
            </w:r>
            <w:r w:rsidRPr="009445D3">
              <w:rPr>
                <w:b/>
              </w:rPr>
              <w:t>.</w:t>
            </w:r>
          </w:p>
        </w:tc>
        <w:tc>
          <w:tcPr>
            <w:tcW w:w="3721" w:type="dxa"/>
            <w:tcBorders>
              <w:top w:val="single" w:sz="4" w:space="0" w:color="auto"/>
              <w:left w:val="single" w:sz="6" w:space="0" w:color="000000"/>
              <w:bottom w:val="single" w:sz="4" w:space="0" w:color="auto"/>
              <w:right w:val="single" w:sz="6" w:space="0" w:color="000000"/>
            </w:tcBorders>
          </w:tcPr>
          <w:p w14:paraId="47862526" w14:textId="77777777" w:rsidR="00AB74D2" w:rsidRPr="009445D3" w:rsidRDefault="00AB74D2" w:rsidP="00315075">
            <w:pPr>
              <w:keepNext/>
              <w:keepLines/>
              <w:tabs>
                <w:tab w:val="left" w:pos="990"/>
              </w:tabs>
              <w:spacing w:before="100" w:beforeAutospacing="1"/>
              <w:outlineLvl w:val="0"/>
              <w:rPr>
                <w:b/>
                <w:bCs/>
                <w:lang w:eastAsia="en-US"/>
              </w:rPr>
            </w:pPr>
            <w:r w:rsidRPr="009445D3">
              <w:rPr>
                <w:b/>
                <w:bCs/>
                <w:lang w:eastAsia="en-US"/>
              </w:rPr>
              <w:t>1. 4. pantā:</w:t>
            </w:r>
          </w:p>
          <w:p w14:paraId="004BFEF8" w14:textId="77777777" w:rsidR="00AB74D2" w:rsidRPr="009445D3" w:rsidRDefault="00AB74D2" w:rsidP="00315075">
            <w:pPr>
              <w:pBdr>
                <w:top w:val="nil"/>
                <w:left w:val="nil"/>
                <w:bottom w:val="nil"/>
                <w:right w:val="nil"/>
                <w:between w:val="nil"/>
              </w:pBdr>
              <w:spacing w:before="75" w:after="75"/>
              <w:jc w:val="both"/>
            </w:pPr>
            <w:r w:rsidRPr="009445D3">
              <w:t>...</w:t>
            </w:r>
          </w:p>
          <w:p w14:paraId="7E81339A" w14:textId="77777777" w:rsidR="00AB74D2" w:rsidRPr="009445D3" w:rsidRDefault="00AB74D2" w:rsidP="00315075">
            <w:pPr>
              <w:keepNext/>
              <w:keepLines/>
              <w:jc w:val="both"/>
              <w:outlineLvl w:val="0"/>
              <w:rPr>
                <w:bCs/>
                <w:lang w:eastAsia="en-US"/>
              </w:rPr>
            </w:pPr>
            <w:r w:rsidRPr="009445D3">
              <w:rPr>
                <w:bCs/>
                <w:lang w:eastAsia="en-US"/>
              </w:rPr>
              <w:t>papildināt ar 2¹ daļu šādā redakcijā:</w:t>
            </w:r>
          </w:p>
          <w:p w14:paraId="1F0EA79E" w14:textId="3DA58E09" w:rsidR="00AB74D2" w:rsidRPr="009445D3" w:rsidRDefault="00AB74D2" w:rsidP="00315075">
            <w:pPr>
              <w:pBdr>
                <w:top w:val="nil"/>
                <w:left w:val="nil"/>
                <w:bottom w:val="nil"/>
                <w:right w:val="nil"/>
                <w:between w:val="nil"/>
              </w:pBdr>
              <w:jc w:val="both"/>
              <w:rPr>
                <w:b/>
                <w:bCs/>
              </w:rPr>
            </w:pPr>
            <w:r w:rsidRPr="009445D3">
              <w:rPr>
                <w:bCs/>
                <w:lang w:eastAsia="en-US"/>
              </w:rPr>
              <w:t>“</w:t>
            </w:r>
            <w:r w:rsidRPr="009445D3">
              <w:rPr>
                <w:lang w:eastAsia="en-US"/>
              </w:rPr>
              <w:t xml:space="preserve">(2¹) </w:t>
            </w:r>
            <w:r w:rsidRPr="009445D3">
              <w:t xml:space="preserve">Fiziskām personām aizliegta Eiropas Savienības Kopējā militāro preču sarakstā minēto preču iegādāšanās, glabāšana un lietošana, izņemot šaujamieročus, tiem </w:t>
            </w:r>
            <w:r w:rsidRPr="009445D3">
              <w:lastRenderedPageBreak/>
              <w:t>speciāli izstrādātas sastāvdaļas un to piederumus, munīciju, kā arī, munīcijas lādējamās iekārtas, kas nav speciāli paredzētas vai pielāgotas militārajam lietojumam. Šaujamieroču piederumu un munīcijas izņēmums ir spēkā, ja tie ir paredzēti lietošanai fiziskai personai vai uzstādīšanai uz  fiziskās personas īpašumā esošajiem šaujamieročiem.”</w:t>
            </w:r>
          </w:p>
        </w:tc>
        <w:tc>
          <w:tcPr>
            <w:tcW w:w="4590" w:type="dxa"/>
            <w:tcBorders>
              <w:top w:val="single" w:sz="4" w:space="0" w:color="auto"/>
              <w:left w:val="single" w:sz="6" w:space="0" w:color="000000"/>
              <w:bottom w:val="single" w:sz="4" w:space="0" w:color="auto"/>
              <w:right w:val="single" w:sz="6" w:space="0" w:color="000000"/>
            </w:tcBorders>
          </w:tcPr>
          <w:p w14:paraId="1346D77F" w14:textId="77777777" w:rsidR="00AB74D2" w:rsidRPr="009445D3" w:rsidRDefault="00AB74D2" w:rsidP="00315075">
            <w:pPr>
              <w:pBdr>
                <w:top w:val="nil"/>
                <w:left w:val="nil"/>
                <w:bottom w:val="nil"/>
                <w:right w:val="nil"/>
                <w:between w:val="nil"/>
              </w:pBdr>
              <w:spacing w:before="75" w:after="75"/>
              <w:ind w:hanging="14"/>
              <w:jc w:val="center"/>
            </w:pPr>
            <w:r w:rsidRPr="009445D3">
              <w:rPr>
                <w:b/>
              </w:rPr>
              <w:lastRenderedPageBreak/>
              <w:t>Tieslietu ministrijas iebildums (12.09.2019.)</w:t>
            </w:r>
          </w:p>
          <w:p w14:paraId="10411D69" w14:textId="1FC5F004" w:rsidR="00AB74D2" w:rsidRPr="009445D3" w:rsidRDefault="00AB74D2" w:rsidP="00AB74D2">
            <w:pPr>
              <w:pBdr>
                <w:top w:val="nil"/>
                <w:left w:val="nil"/>
                <w:bottom w:val="nil"/>
                <w:right w:val="nil"/>
                <w:between w:val="nil"/>
              </w:pBdr>
              <w:jc w:val="both"/>
              <w:rPr>
                <w:b/>
              </w:rPr>
            </w:pPr>
            <w:r w:rsidRPr="009445D3">
              <w:t>Likumprojekta 1. pantā izteiktajā likuma 4. panta 2.</w:t>
            </w:r>
            <w:r w:rsidRPr="009445D3">
              <w:rPr>
                <w:vertAlign w:val="superscript"/>
              </w:rPr>
              <w:t>1</w:t>
            </w:r>
            <w:r w:rsidRPr="009445D3">
              <w:t xml:space="preserve"> daļā norādīts, ka stratēģiski nozīmīgo preču aizliegums neattiecas uz šaujamieroču munīcijas un piederumu lietošanu fiziskai personai. Norādām, ka minētais izņēmums izteikts atsevišķi no </w:t>
            </w:r>
            <w:r w:rsidRPr="009445D3">
              <w:lastRenderedPageBreak/>
              <w:t>munīcijas un piederumu lietošanas saistībā ar šaujamieroci. Attiecīgi nav saprotams, kā praksē iespējams lietot šaujamieroča munīciju un piederumus, neizmantojot šaujamieroci. Ievērojot minēto, lūdzam skaidrot minētās normas piemērošanu praksē, nepieciešamības gadījumā precizējot likumprojektu.</w:t>
            </w:r>
          </w:p>
        </w:tc>
        <w:tc>
          <w:tcPr>
            <w:tcW w:w="2250" w:type="dxa"/>
            <w:tcBorders>
              <w:top w:val="single" w:sz="4" w:space="0" w:color="auto"/>
              <w:left w:val="single" w:sz="6" w:space="0" w:color="000000"/>
              <w:bottom w:val="single" w:sz="4" w:space="0" w:color="auto"/>
              <w:right w:val="single" w:sz="6" w:space="0" w:color="000000"/>
            </w:tcBorders>
          </w:tcPr>
          <w:p w14:paraId="07958ADF" w14:textId="737B96A6" w:rsidR="00AB74D2" w:rsidRPr="009445D3" w:rsidRDefault="00AB74D2" w:rsidP="00315075">
            <w:pPr>
              <w:pBdr>
                <w:top w:val="nil"/>
                <w:left w:val="nil"/>
                <w:bottom w:val="nil"/>
                <w:right w:val="nil"/>
                <w:between w:val="nil"/>
              </w:pBdr>
              <w:jc w:val="center"/>
              <w:rPr>
                <w:b/>
              </w:rPr>
            </w:pPr>
            <w:r>
              <w:rPr>
                <w:b/>
              </w:rPr>
              <w:lastRenderedPageBreak/>
              <w:t>Saskaņots elektroniskajā saskaņošanā (20.01.2020.)</w:t>
            </w:r>
          </w:p>
          <w:p w14:paraId="0EFD3015" w14:textId="77777777" w:rsidR="00AB74D2" w:rsidRPr="009445D3" w:rsidRDefault="00AB74D2" w:rsidP="00AB74D2">
            <w:pPr>
              <w:ind w:right="12"/>
              <w:jc w:val="both"/>
            </w:pPr>
            <w:r w:rsidRPr="009445D3">
              <w:t xml:space="preserve">Munīcijas vai ieroču piederumus var izmantot atsevišķi - bez ieroča. Ierocis ir nepieciešams, lai </w:t>
            </w:r>
            <w:r w:rsidRPr="009445D3">
              <w:lastRenderedPageBreak/>
              <w:t xml:space="preserve">virzītu lodi mērķi. Bet ja precizitātē nav svarīga, tad jebkurš priekšmets, ar kuru var izdarīt sitienu pa patronas kapseli, indicēs  lodes izšaušanu. </w:t>
            </w:r>
          </w:p>
          <w:p w14:paraId="2D1203C9" w14:textId="222A4968" w:rsidR="00AB74D2" w:rsidRDefault="00AB74D2" w:rsidP="00AB74D2">
            <w:pPr>
              <w:pBdr>
                <w:top w:val="nil"/>
                <w:left w:val="nil"/>
                <w:bottom w:val="nil"/>
                <w:right w:val="nil"/>
                <w:between w:val="nil"/>
              </w:pBdr>
              <w:ind w:firstLine="1"/>
              <w:jc w:val="both"/>
              <w:rPr>
                <w:b/>
              </w:rPr>
            </w:pPr>
            <w:r w:rsidRPr="009445D3">
              <w:t>Atkārtoti izvērtējot regulējumu – tiek veikti redakcionāli precizējumi.</w:t>
            </w:r>
          </w:p>
        </w:tc>
        <w:tc>
          <w:tcPr>
            <w:tcW w:w="3723" w:type="dxa"/>
            <w:tcBorders>
              <w:top w:val="single" w:sz="4" w:space="0" w:color="000000"/>
              <w:left w:val="single" w:sz="4" w:space="0" w:color="000000"/>
              <w:bottom w:val="single" w:sz="4" w:space="0" w:color="000000"/>
            </w:tcBorders>
          </w:tcPr>
          <w:p w14:paraId="6BCDCA55" w14:textId="77777777" w:rsidR="00AB74D2" w:rsidRPr="00854975" w:rsidRDefault="00AB74D2" w:rsidP="00315075">
            <w:pPr>
              <w:keepNext/>
              <w:keepLines/>
              <w:tabs>
                <w:tab w:val="left" w:pos="990"/>
              </w:tabs>
              <w:spacing w:before="100" w:beforeAutospacing="1"/>
              <w:outlineLvl w:val="0"/>
              <w:rPr>
                <w:b/>
                <w:bCs/>
                <w:lang w:eastAsia="en-US"/>
              </w:rPr>
            </w:pPr>
            <w:r w:rsidRPr="00854975">
              <w:rPr>
                <w:b/>
                <w:bCs/>
                <w:lang w:eastAsia="en-US"/>
              </w:rPr>
              <w:lastRenderedPageBreak/>
              <w:t>1. 4. pantā:</w:t>
            </w:r>
          </w:p>
          <w:p w14:paraId="50D80F32" w14:textId="77777777" w:rsidR="00AB74D2" w:rsidRPr="00854975" w:rsidRDefault="00AB74D2" w:rsidP="00315075">
            <w:pPr>
              <w:pBdr>
                <w:top w:val="nil"/>
                <w:left w:val="nil"/>
                <w:bottom w:val="nil"/>
                <w:right w:val="nil"/>
                <w:between w:val="nil"/>
              </w:pBdr>
              <w:spacing w:before="75" w:after="75"/>
              <w:jc w:val="both"/>
            </w:pPr>
            <w:r w:rsidRPr="00854975">
              <w:t>...</w:t>
            </w:r>
          </w:p>
          <w:p w14:paraId="0BCBD5CC" w14:textId="77777777" w:rsidR="00AB74D2" w:rsidRPr="00854975" w:rsidRDefault="00AB74D2" w:rsidP="00315075">
            <w:pPr>
              <w:keepNext/>
              <w:keepLines/>
              <w:jc w:val="both"/>
              <w:outlineLvl w:val="0"/>
              <w:rPr>
                <w:bCs/>
                <w:lang w:eastAsia="en-US"/>
              </w:rPr>
            </w:pPr>
            <w:r w:rsidRPr="00854975">
              <w:rPr>
                <w:bCs/>
                <w:lang w:eastAsia="en-US"/>
              </w:rPr>
              <w:t>papildināt ar 2¹ daļu šādā redakcijā:</w:t>
            </w:r>
          </w:p>
          <w:p w14:paraId="27280A2A" w14:textId="25D5A46A" w:rsidR="00AB74D2" w:rsidRPr="006D72F4" w:rsidRDefault="00AB74D2" w:rsidP="00315075">
            <w:pPr>
              <w:pBdr>
                <w:top w:val="nil"/>
                <w:left w:val="nil"/>
                <w:bottom w:val="nil"/>
                <w:right w:val="nil"/>
                <w:between w:val="nil"/>
              </w:pBdr>
              <w:jc w:val="both"/>
              <w:rPr>
                <w:b/>
                <w:bCs/>
              </w:rPr>
            </w:pPr>
            <w:r w:rsidRPr="00854975">
              <w:rPr>
                <w:bCs/>
                <w:lang w:eastAsia="en-US"/>
              </w:rPr>
              <w:t>“</w:t>
            </w:r>
            <w:r w:rsidRPr="00854975">
              <w:rPr>
                <w:lang w:eastAsia="en-US"/>
              </w:rPr>
              <w:t xml:space="preserve">(2¹) </w:t>
            </w:r>
            <w:r w:rsidRPr="00570595">
              <w:t xml:space="preserve">Fiziskām personām aizliegta Eiropas Savienības Kopējā militāro preču sarakstā minēto preču iegādāšanās, glabāšana un lietošana, izņemot šaujamieročus, tiem </w:t>
            </w:r>
            <w:r w:rsidRPr="00570595">
              <w:lastRenderedPageBreak/>
              <w:t>speciāli izstrādātas sastāvdaļas un to piederumus, munīciju, kā arī, munīcijas lādējamās iekārtas, kas nav speciāli ražotas vai pārveidotas militārajām vajadzībām. Šaujamieroču piederumu un munīcijas izņēmums ir spēkā, ja tie ir paredzēti lietošanai fiziskai personai vai uzstādīšanai uz fiziskās personas īpašumā esošajiem šaujamieročiem.</w:t>
            </w:r>
            <w:r>
              <w:t>”</w:t>
            </w:r>
          </w:p>
        </w:tc>
      </w:tr>
      <w:tr w:rsidR="00431291" w14:paraId="3C72DE34" w14:textId="77777777" w:rsidTr="00090F15">
        <w:tc>
          <w:tcPr>
            <w:tcW w:w="707" w:type="dxa"/>
            <w:tcBorders>
              <w:top w:val="single" w:sz="4" w:space="0" w:color="auto"/>
              <w:left w:val="single" w:sz="6" w:space="0" w:color="000000"/>
              <w:bottom w:val="single" w:sz="4" w:space="0" w:color="auto"/>
              <w:right w:val="single" w:sz="6" w:space="0" w:color="000000"/>
            </w:tcBorders>
          </w:tcPr>
          <w:p w14:paraId="0C0EA371" w14:textId="77777777" w:rsidR="00431291" w:rsidRPr="009445D3" w:rsidRDefault="00431291" w:rsidP="00315075">
            <w:pPr>
              <w:pBdr>
                <w:top w:val="nil"/>
                <w:left w:val="nil"/>
                <w:bottom w:val="nil"/>
                <w:right w:val="nil"/>
                <w:between w:val="nil"/>
              </w:pBdr>
              <w:rPr>
                <w:b/>
              </w:rPr>
            </w:pPr>
          </w:p>
          <w:p w14:paraId="791DD5A1" w14:textId="61FF17C7" w:rsidR="00431291" w:rsidRPr="009445D3" w:rsidRDefault="00431291" w:rsidP="00315075">
            <w:pPr>
              <w:pBdr>
                <w:top w:val="nil"/>
                <w:left w:val="nil"/>
                <w:bottom w:val="nil"/>
                <w:right w:val="nil"/>
                <w:between w:val="nil"/>
              </w:pBdr>
              <w:ind w:firstLine="720"/>
              <w:jc w:val="center"/>
            </w:pPr>
            <w:r>
              <w:rPr>
                <w:b/>
              </w:rPr>
              <w:t>228</w:t>
            </w:r>
            <w:r w:rsidRPr="009445D3">
              <w:rPr>
                <w:b/>
              </w:rPr>
              <w:t>.</w:t>
            </w:r>
          </w:p>
        </w:tc>
        <w:tc>
          <w:tcPr>
            <w:tcW w:w="3721" w:type="dxa"/>
            <w:tcBorders>
              <w:top w:val="single" w:sz="4" w:space="0" w:color="auto"/>
              <w:left w:val="single" w:sz="6" w:space="0" w:color="000000"/>
              <w:bottom w:val="single" w:sz="4" w:space="0" w:color="auto"/>
              <w:right w:val="single" w:sz="6" w:space="0" w:color="000000"/>
            </w:tcBorders>
          </w:tcPr>
          <w:p w14:paraId="3D36282E" w14:textId="77777777" w:rsidR="00431291" w:rsidRPr="009445D3" w:rsidRDefault="00431291" w:rsidP="00315075">
            <w:pPr>
              <w:pBdr>
                <w:top w:val="nil"/>
                <w:left w:val="nil"/>
                <w:bottom w:val="nil"/>
                <w:right w:val="nil"/>
                <w:between w:val="nil"/>
              </w:pBdr>
              <w:spacing w:before="75" w:after="75"/>
              <w:jc w:val="both"/>
              <w:rPr>
                <w:b/>
                <w:bCs/>
              </w:rPr>
            </w:pPr>
            <w:r w:rsidRPr="009445D3">
              <w:rPr>
                <w:b/>
                <w:bCs/>
              </w:rPr>
              <w:t>2. 5. pantā:</w:t>
            </w:r>
          </w:p>
          <w:p w14:paraId="61B05456" w14:textId="77777777" w:rsidR="00431291" w:rsidRPr="009445D3" w:rsidRDefault="00431291" w:rsidP="00315075">
            <w:pPr>
              <w:pBdr>
                <w:top w:val="nil"/>
                <w:left w:val="nil"/>
                <w:bottom w:val="nil"/>
                <w:right w:val="nil"/>
                <w:between w:val="nil"/>
              </w:pBdr>
              <w:spacing w:before="75" w:after="75"/>
              <w:jc w:val="both"/>
            </w:pPr>
            <w:r w:rsidRPr="009445D3">
              <w:t>...</w:t>
            </w:r>
          </w:p>
          <w:p w14:paraId="44A04919" w14:textId="77777777" w:rsidR="00431291" w:rsidRPr="009445D3" w:rsidRDefault="00431291" w:rsidP="00315075">
            <w:pPr>
              <w:pBdr>
                <w:top w:val="nil"/>
                <w:left w:val="nil"/>
                <w:bottom w:val="nil"/>
                <w:right w:val="nil"/>
                <w:between w:val="nil"/>
              </w:pBdr>
              <w:spacing w:before="75" w:after="75"/>
              <w:jc w:val="both"/>
              <w:rPr>
                <w:bCs/>
              </w:rPr>
            </w:pPr>
            <w:r w:rsidRPr="009445D3">
              <w:rPr>
                <w:bCs/>
              </w:rPr>
              <w:t>izteikt ceturto daļu šādā redakcijā:</w:t>
            </w:r>
          </w:p>
          <w:p w14:paraId="54212676" w14:textId="77777777" w:rsidR="00431291" w:rsidRPr="009445D3" w:rsidRDefault="00431291" w:rsidP="00315075">
            <w:pPr>
              <w:pBdr>
                <w:top w:val="nil"/>
                <w:left w:val="nil"/>
                <w:bottom w:val="nil"/>
                <w:right w:val="nil"/>
                <w:between w:val="nil"/>
              </w:pBdr>
              <w:spacing w:before="75" w:after="75"/>
              <w:jc w:val="both"/>
              <w:rPr>
                <w:bCs/>
              </w:rPr>
            </w:pPr>
            <w:r w:rsidRPr="009445D3">
              <w:rPr>
                <w:bCs/>
              </w:rPr>
              <w:t>“....</w:t>
            </w:r>
          </w:p>
          <w:p w14:paraId="16CD69AA" w14:textId="77777777" w:rsidR="00431291" w:rsidRPr="009445D3" w:rsidRDefault="00431291" w:rsidP="00315075">
            <w:pPr>
              <w:pBdr>
                <w:top w:val="nil"/>
                <w:left w:val="nil"/>
                <w:bottom w:val="nil"/>
                <w:right w:val="nil"/>
                <w:between w:val="nil"/>
              </w:pBdr>
              <w:spacing w:before="75" w:after="75"/>
              <w:jc w:val="both"/>
            </w:pPr>
            <w:r w:rsidRPr="009445D3">
              <w:rPr>
                <w:bCs/>
              </w:rPr>
              <w:t xml:space="preserve">7) </w:t>
            </w:r>
            <w:r w:rsidRPr="009445D3">
              <w:t>nav sodīti, tajā skaitā - ja sodāmība dzēsta vai noņemta, par krimināllikuma IX, IX</w:t>
            </w:r>
            <w:r w:rsidRPr="009445D3">
              <w:rPr>
                <w:vertAlign w:val="superscript"/>
              </w:rPr>
              <w:t>1</w:t>
            </w:r>
            <w:r w:rsidRPr="009445D3">
              <w:t xml:space="preserve">, X nodaļā, 116., 117., 118., 233., 234., 236., 237. pantā minētajiem noziedzīgajiem nodarījumiem, stipri iedarbīgo, indīgo vai radioaktīvo vielu, sprāgstvielu, šaujamieroču vai munīcijas zādzību; stipri iedarbīgo, indīgo vai radioaktīvo vielu, sprāgstvielu, šaujamieroču vai munīcijas laupīšanu; laupīšanu, ja tā izdarīta, lietojot šaujamieročus vai sprāgstošas vielas; krāpšanu, ja tā iegūstot stipri iedarbīgās, indīgās </w:t>
            </w:r>
            <w:r w:rsidRPr="009445D3">
              <w:lastRenderedPageBreak/>
              <w:t>vai radioaktīvās vielas, sprāgstvielas, šaujam</w:t>
            </w:r>
            <w:r w:rsidRPr="009445D3">
              <w:softHyphen/>
              <w:t>ieročus vai munīciju; stipri iedarbīgo, indīgo vai radioaktīvo vielu, sprāgstvielu, šaujamieroču vai munīcijas piesavināšanos;</w:t>
            </w:r>
          </w:p>
          <w:p w14:paraId="08996991" w14:textId="615B6EB4" w:rsidR="00431291" w:rsidRPr="009445D3" w:rsidRDefault="00431291" w:rsidP="00315075">
            <w:pPr>
              <w:keepNext/>
              <w:keepLines/>
              <w:tabs>
                <w:tab w:val="left" w:pos="990"/>
              </w:tabs>
              <w:spacing w:before="100" w:beforeAutospacing="1"/>
              <w:outlineLvl w:val="0"/>
              <w:rPr>
                <w:b/>
                <w:bCs/>
                <w:lang w:eastAsia="en-US"/>
              </w:rPr>
            </w:pPr>
            <w:r w:rsidRPr="009445D3">
              <w:t>...”.</w:t>
            </w:r>
          </w:p>
        </w:tc>
        <w:tc>
          <w:tcPr>
            <w:tcW w:w="4590" w:type="dxa"/>
            <w:tcBorders>
              <w:top w:val="single" w:sz="4" w:space="0" w:color="auto"/>
              <w:left w:val="single" w:sz="6" w:space="0" w:color="000000"/>
              <w:bottom w:val="single" w:sz="4" w:space="0" w:color="auto"/>
              <w:right w:val="single" w:sz="6" w:space="0" w:color="000000"/>
            </w:tcBorders>
          </w:tcPr>
          <w:p w14:paraId="0BB2E854" w14:textId="77777777" w:rsidR="00431291" w:rsidRPr="009445D3" w:rsidRDefault="00431291" w:rsidP="00315075">
            <w:pPr>
              <w:pBdr>
                <w:top w:val="nil"/>
                <w:left w:val="nil"/>
                <w:bottom w:val="nil"/>
                <w:right w:val="nil"/>
                <w:between w:val="nil"/>
              </w:pBdr>
              <w:spacing w:before="75" w:after="75"/>
              <w:ind w:hanging="14"/>
              <w:jc w:val="center"/>
              <w:rPr>
                <w:b/>
              </w:rPr>
            </w:pPr>
            <w:r w:rsidRPr="009445D3">
              <w:rPr>
                <w:b/>
              </w:rPr>
              <w:lastRenderedPageBreak/>
              <w:t>Tieslietu ministrijas iebildums (12.09.2019.)</w:t>
            </w:r>
          </w:p>
          <w:p w14:paraId="6987986F" w14:textId="77777777" w:rsidR="00431291" w:rsidRPr="009445D3" w:rsidRDefault="00431291" w:rsidP="00315075">
            <w:pPr>
              <w:ind w:right="12"/>
              <w:jc w:val="both"/>
            </w:pPr>
            <w:r w:rsidRPr="009445D3">
              <w:t xml:space="preserve">Likumprojekts paredz likuma 5. panta ceturtās daļas 7. punktā noteikt prasības attiecībā uz Aizsardzības ministrijas izsniegtajām speciālajām atļaujām (licencēm) komercdarbībai ar Eiropas Savienības Kopējā militāro preču sarakstā minēto preču saņemšanai tikai fiziskajām personām.  Proti, ka fiziska persona nav sodīta, tajā skaitā - ja sodāmība dzēsta vai noņemta, par Krimināllikuma IX, IX1, X nodaļā, 116., 117., 118., 233., 234., 236., 237. pantā minētajiem noziedzīgajiem nodarījumiem, stipri iedarbīgo, indīgo vai radioaktīvo vielu, sprāgstvielu, šaujamieroču vai munīcijas zādzību; stipri iedarbīgo, indīgo vai radioaktīvo vielu, sprāgstvielu, šaujamieroču vai munīcijas laupīšanu; </w:t>
            </w:r>
            <w:r w:rsidRPr="009445D3">
              <w:lastRenderedPageBreak/>
              <w:t xml:space="preserve">laupīšanu, ja tā izdarīta, lietojot šaujamieročus vai sprāgstošas vielas; krāpšanu, ja tā iegūstot stipri iedarbīgās, indīgās vai radioaktīvās vielas, sprāgstvielas, šaujamieročus vai munīciju; stipri iedarbīgo, indīgo vai radioaktīvo vielu, sprāgstvielu, šaujamieroču vai munīcijas piesavināšanos. </w:t>
            </w:r>
          </w:p>
          <w:p w14:paraId="11EFC3D4" w14:textId="77777777" w:rsidR="00431291" w:rsidRPr="009445D3" w:rsidRDefault="00431291" w:rsidP="00315075">
            <w:pPr>
              <w:ind w:right="12"/>
              <w:jc w:val="both"/>
            </w:pPr>
            <w:r w:rsidRPr="009445D3">
              <w:t xml:space="preserve">Vēršam uzmanību uz to, ka likumprojekta anotācijā nav ietverts pamatojums šāda jauna ierobežojuma ietveršanai likuma 5. panta ceturtās daļas 7. punktā, kas paredz ierobežojumu noteikt neatkarīgi no sodāmības dzēšanas vai noņemšanas. Ievērojot to, ka šāds grozījums būtiski skar Latvijas Republikas Satversmes 106. pantā garantētās cilvēka pamattiesības uz nodarbošanās brīvību, par to ir nepieciešams ietvert </w:t>
            </w:r>
            <w:r w:rsidRPr="009445D3">
              <w:rPr>
                <w:u w:val="single"/>
              </w:rPr>
              <w:t>izvērstu</w:t>
            </w:r>
            <w:r w:rsidRPr="009445D3">
              <w:t xml:space="preserve"> pamatojumu likumprojekta anotācijas I sadaļas 2. punktā.</w:t>
            </w:r>
          </w:p>
          <w:p w14:paraId="00739EB2" w14:textId="363845E7" w:rsidR="00431291" w:rsidRPr="009445D3" w:rsidRDefault="00431291" w:rsidP="00431291">
            <w:pPr>
              <w:pBdr>
                <w:top w:val="nil"/>
                <w:left w:val="nil"/>
                <w:bottom w:val="nil"/>
                <w:right w:val="nil"/>
                <w:between w:val="nil"/>
              </w:pBdr>
              <w:spacing w:before="75" w:after="75"/>
              <w:ind w:hanging="14"/>
              <w:jc w:val="both"/>
              <w:rPr>
                <w:b/>
              </w:rPr>
            </w:pPr>
            <w:r w:rsidRPr="009445D3">
              <w:t>Vienlaikus lūdzam grozījumus likuma 5. panta ceturtajā daļā izteikt tādā redakcijā, lai tie attiektos tikai uz tiem likuma 5. panta ceturtās daļas punktiem, kuri ar likumprojektu tiek grozīti. Tāpat uzsveram, ka atbilstoši juridiskās tehnikas prasībām likuma dzēsto vienību vietā jaunu regulējumu neveido, bet likumā ietver jaunas vienības ar jaunu regulējumu. Attiecīgi lūdzam precizēt likumprojektu.</w:t>
            </w:r>
          </w:p>
        </w:tc>
        <w:tc>
          <w:tcPr>
            <w:tcW w:w="2250" w:type="dxa"/>
            <w:tcBorders>
              <w:top w:val="single" w:sz="4" w:space="0" w:color="auto"/>
              <w:left w:val="single" w:sz="6" w:space="0" w:color="000000"/>
              <w:bottom w:val="single" w:sz="4" w:space="0" w:color="auto"/>
              <w:right w:val="single" w:sz="6" w:space="0" w:color="000000"/>
            </w:tcBorders>
          </w:tcPr>
          <w:p w14:paraId="27DE7700" w14:textId="442C8A17" w:rsidR="00431291" w:rsidRPr="009445D3" w:rsidRDefault="00431291" w:rsidP="00315075">
            <w:pPr>
              <w:pBdr>
                <w:top w:val="nil"/>
                <w:left w:val="nil"/>
                <w:bottom w:val="nil"/>
                <w:right w:val="nil"/>
                <w:between w:val="nil"/>
              </w:pBdr>
              <w:jc w:val="center"/>
              <w:rPr>
                <w:b/>
              </w:rPr>
            </w:pPr>
            <w:r>
              <w:rPr>
                <w:b/>
              </w:rPr>
              <w:lastRenderedPageBreak/>
              <w:t>Saskaņots elektroniskajā saskaņošanā (20.01.2020.)</w:t>
            </w:r>
          </w:p>
          <w:p w14:paraId="1C880ACD" w14:textId="77777777" w:rsidR="00431291" w:rsidRPr="009445D3" w:rsidRDefault="00431291" w:rsidP="00315075">
            <w:pPr>
              <w:pStyle w:val="naisc"/>
              <w:spacing w:before="0" w:after="0"/>
              <w:jc w:val="both"/>
              <w:rPr>
                <w:color w:val="000000"/>
              </w:rPr>
            </w:pPr>
            <w:r w:rsidRPr="009445D3">
              <w:rPr>
                <w:color w:val="000000"/>
              </w:rPr>
              <w:t xml:space="preserve">Grozījumu mērķis ir, papildus likuma 5. panta ceturtās daļas 2. punktā noteiktajam ierobežojumam veikt darbības ar stratēģiskas nozīmes precēm tādām personām, kuras notiesātas par tīšu noziedzīgu nodarījumu, noteikt ierobežojumu turpmākās dzīves laikā veikt darbu ar </w:t>
            </w:r>
            <w:r w:rsidRPr="009445D3">
              <w:rPr>
                <w:color w:val="000000"/>
              </w:rPr>
              <w:lastRenderedPageBreak/>
              <w:t xml:space="preserve">stratēģiskas nozīmes precēm tādām personām, kuras ir izdarījušas tādu  noziedzīgu nodarījumu, kura raksturs ir bijis īpaši kaitīgs sabiedriskajai drošībai vai  ir bijis saistīts ar stratēģiskas nozīmes preču izmantošanu. Ņemot vērā to, ka stratēģiskas nozīmes preču pieejamība šādām personām,  var radīt sabiedriskās drošības apdraudējumu, šāds ierobežojums samazinātu iespējamību, ka personai, kura jau vienreiz ir bijusi sodīta par noziedzīgiem nodarījumiem, kas saistīti ar stratēģiskas nozīmes precēm, atkārtoti rodas vēlme vai iespēja izdarīt līdzīga rakstura </w:t>
            </w:r>
            <w:r w:rsidRPr="009445D3">
              <w:rPr>
                <w:color w:val="000000"/>
              </w:rPr>
              <w:lastRenderedPageBreak/>
              <w:t>noziedzīgu nodarījumu vai iespēja izmantot stratēģiskas nozīmes preces sevišķi smagu noziedzīgu nodarījumu veikšanai.</w:t>
            </w:r>
          </w:p>
          <w:p w14:paraId="6E9BBCEC" w14:textId="2A131F1C" w:rsidR="00431291" w:rsidRDefault="00431291" w:rsidP="00431291">
            <w:pPr>
              <w:pBdr>
                <w:top w:val="nil"/>
                <w:left w:val="nil"/>
                <w:bottom w:val="nil"/>
                <w:right w:val="nil"/>
                <w:between w:val="nil"/>
              </w:pBdr>
              <w:jc w:val="both"/>
              <w:rPr>
                <w:b/>
              </w:rPr>
            </w:pPr>
            <w:r w:rsidRPr="009445D3">
              <w:t>Likuma 5. panta ceturtā daļa pilnībā izteiktā jaunā redakcijā (un attiecīgi noteikti jaunie punkti).</w:t>
            </w:r>
          </w:p>
        </w:tc>
        <w:tc>
          <w:tcPr>
            <w:tcW w:w="3723" w:type="dxa"/>
            <w:tcBorders>
              <w:top w:val="single" w:sz="4" w:space="0" w:color="000000"/>
              <w:left w:val="single" w:sz="4" w:space="0" w:color="000000"/>
              <w:bottom w:val="single" w:sz="4" w:space="0" w:color="000000"/>
            </w:tcBorders>
          </w:tcPr>
          <w:p w14:paraId="34B5CE42" w14:textId="77777777" w:rsidR="00431291" w:rsidRPr="00FB13CE" w:rsidRDefault="00431291" w:rsidP="00315075">
            <w:pPr>
              <w:pBdr>
                <w:top w:val="nil"/>
                <w:left w:val="nil"/>
                <w:bottom w:val="nil"/>
                <w:right w:val="nil"/>
                <w:between w:val="nil"/>
              </w:pBdr>
              <w:spacing w:before="75" w:after="75"/>
              <w:jc w:val="both"/>
              <w:rPr>
                <w:b/>
                <w:bCs/>
              </w:rPr>
            </w:pPr>
            <w:r w:rsidRPr="00FB13CE">
              <w:rPr>
                <w:b/>
                <w:bCs/>
              </w:rPr>
              <w:lastRenderedPageBreak/>
              <w:t>2. 5. pantā:</w:t>
            </w:r>
          </w:p>
          <w:p w14:paraId="3DB69A1C" w14:textId="77777777" w:rsidR="00431291" w:rsidRPr="00854975" w:rsidRDefault="00431291" w:rsidP="00315075">
            <w:pPr>
              <w:pBdr>
                <w:top w:val="nil"/>
                <w:left w:val="nil"/>
                <w:bottom w:val="nil"/>
                <w:right w:val="nil"/>
                <w:between w:val="nil"/>
              </w:pBdr>
              <w:spacing w:before="75" w:after="75"/>
              <w:jc w:val="both"/>
            </w:pPr>
            <w:r w:rsidRPr="00854975">
              <w:t>...</w:t>
            </w:r>
          </w:p>
          <w:p w14:paraId="2142FFBD" w14:textId="77777777" w:rsidR="00431291" w:rsidRPr="00854975" w:rsidRDefault="00431291" w:rsidP="00315075">
            <w:pPr>
              <w:pBdr>
                <w:top w:val="nil"/>
                <w:left w:val="nil"/>
                <w:bottom w:val="nil"/>
                <w:right w:val="nil"/>
                <w:between w:val="nil"/>
              </w:pBdr>
              <w:spacing w:before="75" w:after="75"/>
              <w:jc w:val="both"/>
              <w:rPr>
                <w:bCs/>
              </w:rPr>
            </w:pPr>
            <w:r w:rsidRPr="00854975">
              <w:rPr>
                <w:bCs/>
              </w:rPr>
              <w:t xml:space="preserve">izteikt </w:t>
            </w:r>
            <w:r>
              <w:rPr>
                <w:bCs/>
              </w:rPr>
              <w:t xml:space="preserve">trešo, </w:t>
            </w:r>
            <w:r w:rsidRPr="00854975">
              <w:rPr>
                <w:bCs/>
              </w:rPr>
              <w:t xml:space="preserve">ceturto </w:t>
            </w:r>
            <w:r w:rsidRPr="00714A9F">
              <w:rPr>
                <w:bCs/>
              </w:rPr>
              <w:t>un 4.</w:t>
            </w:r>
            <w:r w:rsidRPr="00714A9F">
              <w:rPr>
                <w:bCs/>
                <w:vertAlign w:val="superscript"/>
              </w:rPr>
              <w:t>1</w:t>
            </w:r>
            <w:r w:rsidRPr="00714A9F">
              <w:rPr>
                <w:bCs/>
              </w:rPr>
              <w:t xml:space="preserve"> </w:t>
            </w:r>
            <w:r w:rsidRPr="00854975">
              <w:rPr>
                <w:bCs/>
              </w:rPr>
              <w:t>daļu šādā redakcijā:</w:t>
            </w:r>
          </w:p>
          <w:p w14:paraId="2259A7CA" w14:textId="77777777" w:rsidR="00431291" w:rsidRDefault="00431291" w:rsidP="00315075">
            <w:pPr>
              <w:pBdr>
                <w:top w:val="nil"/>
                <w:left w:val="nil"/>
                <w:bottom w:val="nil"/>
                <w:right w:val="nil"/>
                <w:between w:val="nil"/>
              </w:pBdr>
              <w:spacing w:before="75" w:after="75"/>
              <w:jc w:val="both"/>
              <w:rPr>
                <w:bCs/>
              </w:rPr>
            </w:pPr>
            <w:r w:rsidRPr="00854975">
              <w:rPr>
                <w:bCs/>
              </w:rPr>
              <w:t>“....</w:t>
            </w:r>
          </w:p>
          <w:p w14:paraId="6486B7B6" w14:textId="77777777" w:rsidR="00431291" w:rsidRDefault="00431291" w:rsidP="00315075">
            <w:pPr>
              <w:jc w:val="both"/>
            </w:pPr>
            <w:r>
              <w:rPr>
                <w:bCs/>
              </w:rPr>
              <w:t xml:space="preserve">7) </w:t>
            </w:r>
            <w:r w:rsidRPr="00090F15">
              <w:t>nav sodīti, tajā skaitā - ja sodāmība dzēsta vai noņemta, par Krimināllikuma IX, IX</w:t>
            </w:r>
            <w:r w:rsidRPr="00090F15">
              <w:rPr>
                <w:vertAlign w:val="superscript"/>
              </w:rPr>
              <w:t>1</w:t>
            </w:r>
            <w:r w:rsidRPr="00090F15">
              <w:t xml:space="preserve">, X nodaļā, 116., 117., 118., 175. panta 4. daļā (stipri iedarbīgo, indīgo vai radioaktīvo vielu, sprāgstvielu, šaujamieroču vai munīcijas zādzība), 176. panta 3. daļā (stipri iedarbīgo, indīgo vai radioaktīvo vielu, sprāgstvielu, šaujamieroču vai munīcijas laupīšana), 176. panta 4. daļā (laupīšana, ja tā izdarīta, lietojot šaujamieročus vai sprāgstošas vielas), 177. panta 3. </w:t>
            </w:r>
            <w:r w:rsidRPr="00090F15">
              <w:lastRenderedPageBreak/>
              <w:t>daļā (krāpšana, ja tā izdarīta, iegūstot stipri iedarbīgās, indīgās vai radioaktīvās vielas, sprāgstvielas, šaujam</w:t>
            </w:r>
            <w:r w:rsidRPr="00090F15">
              <w:softHyphen/>
              <w:t>ieročus vai munīciju), 179. panta 3. daļā (stipri iedarbīgo, indīgo vai radioaktīvo vielu, sprāgstvielu, šaujamieroču vai munīcijas piesavināšanās), 233., 234., 236., 237. pantā minētajiem noziedzīgajiem nodarījumiem</w:t>
            </w:r>
            <w:r>
              <w:t>;</w:t>
            </w:r>
          </w:p>
          <w:p w14:paraId="67AB94A8" w14:textId="1F42BE53" w:rsidR="00431291" w:rsidRPr="00854975" w:rsidRDefault="00431291" w:rsidP="00315075">
            <w:pPr>
              <w:keepNext/>
              <w:keepLines/>
              <w:tabs>
                <w:tab w:val="left" w:pos="990"/>
              </w:tabs>
              <w:spacing w:before="100" w:beforeAutospacing="1"/>
              <w:outlineLvl w:val="0"/>
              <w:rPr>
                <w:b/>
                <w:bCs/>
                <w:lang w:eastAsia="en-US"/>
              </w:rPr>
            </w:pPr>
            <w:r>
              <w:t>...”.</w:t>
            </w:r>
          </w:p>
        </w:tc>
      </w:tr>
      <w:tr w:rsidR="00C61C6D" w14:paraId="250A382D" w14:textId="77777777" w:rsidTr="00090F15">
        <w:tc>
          <w:tcPr>
            <w:tcW w:w="707" w:type="dxa"/>
            <w:tcBorders>
              <w:top w:val="single" w:sz="4" w:space="0" w:color="auto"/>
              <w:left w:val="single" w:sz="6" w:space="0" w:color="000000"/>
              <w:bottom w:val="single" w:sz="4" w:space="0" w:color="auto"/>
              <w:right w:val="single" w:sz="6" w:space="0" w:color="000000"/>
            </w:tcBorders>
          </w:tcPr>
          <w:p w14:paraId="0D39C984" w14:textId="77777777" w:rsidR="00C61C6D" w:rsidRPr="009445D3" w:rsidRDefault="00C61C6D" w:rsidP="00315075">
            <w:pPr>
              <w:pBdr>
                <w:top w:val="nil"/>
                <w:left w:val="nil"/>
                <w:bottom w:val="nil"/>
                <w:right w:val="nil"/>
                <w:between w:val="nil"/>
              </w:pBdr>
              <w:jc w:val="center"/>
              <w:rPr>
                <w:b/>
              </w:rPr>
            </w:pPr>
          </w:p>
          <w:p w14:paraId="0EC62E1C" w14:textId="23A83755" w:rsidR="00C61C6D" w:rsidRPr="009445D3" w:rsidRDefault="00C61C6D" w:rsidP="00315075">
            <w:pPr>
              <w:pBdr>
                <w:top w:val="nil"/>
                <w:left w:val="nil"/>
                <w:bottom w:val="nil"/>
                <w:right w:val="nil"/>
                <w:between w:val="nil"/>
              </w:pBdr>
              <w:rPr>
                <w:b/>
              </w:rPr>
            </w:pPr>
            <w:r>
              <w:rPr>
                <w:b/>
              </w:rPr>
              <w:t>29</w:t>
            </w:r>
            <w:r w:rsidRPr="009445D3">
              <w:rPr>
                <w:b/>
              </w:rPr>
              <w:t>.</w:t>
            </w:r>
          </w:p>
        </w:tc>
        <w:tc>
          <w:tcPr>
            <w:tcW w:w="3721" w:type="dxa"/>
            <w:tcBorders>
              <w:top w:val="single" w:sz="4" w:space="0" w:color="auto"/>
              <w:left w:val="single" w:sz="6" w:space="0" w:color="000000"/>
              <w:bottom w:val="single" w:sz="4" w:space="0" w:color="auto"/>
              <w:right w:val="single" w:sz="6" w:space="0" w:color="000000"/>
            </w:tcBorders>
          </w:tcPr>
          <w:p w14:paraId="4CC178AE" w14:textId="77777777" w:rsidR="00C61C6D" w:rsidRPr="009445D3" w:rsidRDefault="00C61C6D" w:rsidP="00315075">
            <w:pPr>
              <w:pBdr>
                <w:top w:val="nil"/>
                <w:left w:val="nil"/>
                <w:bottom w:val="nil"/>
                <w:right w:val="nil"/>
                <w:between w:val="nil"/>
              </w:pBdr>
              <w:spacing w:before="75" w:after="75"/>
              <w:jc w:val="both"/>
              <w:rPr>
                <w:b/>
                <w:bCs/>
              </w:rPr>
            </w:pPr>
            <w:r w:rsidRPr="009445D3">
              <w:rPr>
                <w:b/>
                <w:bCs/>
              </w:rPr>
              <w:t>3. Papildināt V nodaļu ar 16.</w:t>
            </w:r>
            <w:r w:rsidRPr="009445D3">
              <w:rPr>
                <w:b/>
                <w:bCs/>
                <w:vertAlign w:val="superscript"/>
              </w:rPr>
              <w:t>1</w:t>
            </w:r>
            <w:r w:rsidRPr="009445D3">
              <w:rPr>
                <w:b/>
                <w:bCs/>
              </w:rPr>
              <w:t> pantu šādā redakcijā:</w:t>
            </w:r>
          </w:p>
          <w:p w14:paraId="63E3AA42" w14:textId="353F9B88" w:rsidR="00C61C6D" w:rsidRPr="009445D3" w:rsidRDefault="00C61C6D" w:rsidP="00315075">
            <w:pPr>
              <w:pBdr>
                <w:top w:val="nil"/>
                <w:left w:val="nil"/>
                <w:bottom w:val="nil"/>
                <w:right w:val="nil"/>
                <w:between w:val="nil"/>
              </w:pBdr>
              <w:spacing w:before="75" w:after="75"/>
              <w:jc w:val="both"/>
              <w:rPr>
                <w:b/>
                <w:bCs/>
              </w:rPr>
            </w:pPr>
            <w:r w:rsidRPr="009445D3">
              <w:rPr>
                <w:lang w:eastAsia="en-US"/>
              </w:rPr>
              <w:t>“16.</w:t>
            </w:r>
            <w:r w:rsidRPr="009445D3">
              <w:rPr>
                <w:vertAlign w:val="superscript"/>
                <w:lang w:eastAsia="en-US"/>
              </w:rPr>
              <w:t xml:space="preserve">1 </w:t>
            </w:r>
            <w:r w:rsidRPr="009445D3">
              <w:t>Aizsardzības ministrija ir tiesīga veikt Aizsardzības ministrijas izsniegto speciālo atļauju (licenci) komercdarbībai ar Eiropas Savienības Kopējā militāro preču sarakstā minētajām precēm saņēmušo komersantu darbības kontroli un glabātavu apsekošanu.”.</w:t>
            </w:r>
          </w:p>
        </w:tc>
        <w:tc>
          <w:tcPr>
            <w:tcW w:w="4590" w:type="dxa"/>
            <w:tcBorders>
              <w:top w:val="single" w:sz="4" w:space="0" w:color="auto"/>
              <w:left w:val="single" w:sz="6" w:space="0" w:color="000000"/>
              <w:bottom w:val="single" w:sz="4" w:space="0" w:color="auto"/>
              <w:right w:val="single" w:sz="6" w:space="0" w:color="000000"/>
            </w:tcBorders>
          </w:tcPr>
          <w:p w14:paraId="643E6E98" w14:textId="77777777" w:rsidR="00C61C6D" w:rsidRPr="009445D3" w:rsidRDefault="00C61C6D" w:rsidP="00315075">
            <w:pPr>
              <w:pBdr>
                <w:top w:val="nil"/>
                <w:left w:val="nil"/>
                <w:bottom w:val="nil"/>
                <w:right w:val="nil"/>
                <w:between w:val="nil"/>
              </w:pBdr>
              <w:spacing w:before="75" w:after="75"/>
              <w:ind w:hanging="14"/>
              <w:jc w:val="center"/>
              <w:rPr>
                <w:b/>
              </w:rPr>
            </w:pPr>
            <w:r w:rsidRPr="009445D3">
              <w:rPr>
                <w:b/>
              </w:rPr>
              <w:t>Tieslietu ministrijas iebildums (12.09.2019.)</w:t>
            </w:r>
          </w:p>
          <w:p w14:paraId="300787C2" w14:textId="4A25B448" w:rsidR="00C61C6D" w:rsidRPr="009445D3" w:rsidRDefault="00C61C6D" w:rsidP="00C61C6D">
            <w:pPr>
              <w:pBdr>
                <w:top w:val="nil"/>
                <w:left w:val="nil"/>
                <w:bottom w:val="nil"/>
                <w:right w:val="nil"/>
                <w:between w:val="nil"/>
              </w:pBdr>
              <w:spacing w:before="75" w:after="75"/>
              <w:ind w:hanging="14"/>
              <w:jc w:val="both"/>
              <w:rPr>
                <w:b/>
              </w:rPr>
            </w:pPr>
            <w:r w:rsidRPr="009445D3">
              <w:t>Lūdzam izvērtēt, vai likumprojekta 3. pantā ietvertais regulējums nebūtu nosakāms kā Aizsardzības ministrijas pienākums, nevis tiesības. Turklāt pašlaik minētā norma var būt deklaratīva, jo likumprojektā nav ietverts darbības kontroles un glabātavu apsekošanas biežums. Ievērojot minēto, lūdzam sniegt skaidrojumu par likumprojekta 3. panta piemērošanu praksē, nepieciešamības gadījumā precizējot likumprojektu.</w:t>
            </w:r>
          </w:p>
        </w:tc>
        <w:tc>
          <w:tcPr>
            <w:tcW w:w="2250" w:type="dxa"/>
            <w:tcBorders>
              <w:top w:val="single" w:sz="4" w:space="0" w:color="auto"/>
              <w:left w:val="single" w:sz="6" w:space="0" w:color="000000"/>
              <w:bottom w:val="single" w:sz="4" w:space="0" w:color="auto"/>
              <w:right w:val="single" w:sz="6" w:space="0" w:color="000000"/>
            </w:tcBorders>
          </w:tcPr>
          <w:p w14:paraId="2381F9B0" w14:textId="5F4F281A" w:rsidR="00C61C6D" w:rsidRPr="009445D3" w:rsidRDefault="00C61C6D" w:rsidP="00315075">
            <w:pPr>
              <w:pBdr>
                <w:top w:val="nil"/>
                <w:left w:val="nil"/>
                <w:bottom w:val="nil"/>
                <w:right w:val="nil"/>
                <w:between w:val="nil"/>
              </w:pBdr>
              <w:jc w:val="center"/>
              <w:rPr>
                <w:b/>
              </w:rPr>
            </w:pPr>
            <w:r>
              <w:rPr>
                <w:b/>
              </w:rPr>
              <w:t>Saskaņots elektroniskajā saskaņošanā (20.01.2020.)</w:t>
            </w:r>
          </w:p>
          <w:p w14:paraId="4C548C02" w14:textId="77777777" w:rsidR="00C61C6D" w:rsidRPr="009445D3" w:rsidRDefault="00C61C6D" w:rsidP="00C61C6D">
            <w:pPr>
              <w:pStyle w:val="naisc"/>
              <w:spacing w:before="0" w:after="0"/>
              <w:jc w:val="both"/>
            </w:pPr>
            <w:r w:rsidRPr="009445D3">
              <w:t xml:space="preserve">Speciālās atļaujas (licences) izsniegšanai, pārreģistrācijai vai darbības apturēšanai Aizsardzības ministrija veic pārbaudes atbilstoši Stratēģiskas nozīmes preču aprites likuma 5. panta sestajā daļā noteiktajiem kritērijiem, pamatojoties uz saņemtajiem </w:t>
            </w:r>
            <w:r w:rsidRPr="009445D3">
              <w:lastRenderedPageBreak/>
              <w:t xml:space="preserve">dokumentiem vai datubāzēs iegūto informāciju. Gadījumā, ja Aizsardzības ministrijai rodas šaubas par komersanta sniegtajām ziņām vai ir informācija, ka glabātavā atrodas aizliegta prece - Aizsardzības ministrija patur tiesības apsekot komersanta glabātavu. </w:t>
            </w:r>
          </w:p>
          <w:p w14:paraId="2BEFF8E4" w14:textId="628C15F8" w:rsidR="00C61C6D" w:rsidRDefault="00C61C6D" w:rsidP="00C61C6D">
            <w:pPr>
              <w:pBdr>
                <w:top w:val="nil"/>
                <w:left w:val="nil"/>
                <w:bottom w:val="nil"/>
                <w:right w:val="nil"/>
                <w:between w:val="nil"/>
              </w:pBdr>
              <w:jc w:val="both"/>
              <w:rPr>
                <w:b/>
              </w:rPr>
            </w:pPr>
            <w:r w:rsidRPr="009445D3">
              <w:t>Veikti redakcionāli labojumi (5. panta daļu numerācija).</w:t>
            </w:r>
          </w:p>
        </w:tc>
        <w:tc>
          <w:tcPr>
            <w:tcW w:w="3723" w:type="dxa"/>
            <w:tcBorders>
              <w:top w:val="single" w:sz="4" w:space="0" w:color="000000"/>
              <w:left w:val="single" w:sz="4" w:space="0" w:color="000000"/>
              <w:bottom w:val="single" w:sz="4" w:space="0" w:color="000000"/>
            </w:tcBorders>
          </w:tcPr>
          <w:p w14:paraId="3333C4DA" w14:textId="77777777" w:rsidR="00C61C6D" w:rsidRDefault="00C61C6D" w:rsidP="00315075">
            <w:pPr>
              <w:rPr>
                <w:b/>
                <w:bCs/>
                <w:szCs w:val="20"/>
              </w:rPr>
            </w:pPr>
            <w:r w:rsidRPr="00815F2B">
              <w:rPr>
                <w:b/>
                <w:bCs/>
                <w:szCs w:val="20"/>
              </w:rPr>
              <w:lastRenderedPageBreak/>
              <w:t>5. pantā:</w:t>
            </w:r>
          </w:p>
          <w:p w14:paraId="6413BF67" w14:textId="77777777" w:rsidR="00C61C6D" w:rsidRPr="00090F15" w:rsidRDefault="00C61C6D" w:rsidP="00315075">
            <w:pPr>
              <w:jc w:val="both"/>
              <w:rPr>
                <w:bCs/>
                <w:szCs w:val="20"/>
              </w:rPr>
            </w:pPr>
            <w:r w:rsidRPr="00090F15">
              <w:rPr>
                <w:bCs/>
                <w:szCs w:val="20"/>
              </w:rPr>
              <w:t>...</w:t>
            </w:r>
          </w:p>
          <w:p w14:paraId="64A2B4F2" w14:textId="77777777" w:rsidR="00C61C6D" w:rsidRPr="00090F15" w:rsidRDefault="00C61C6D" w:rsidP="00315075">
            <w:pPr>
              <w:jc w:val="both"/>
              <w:rPr>
                <w:bCs/>
                <w:szCs w:val="20"/>
              </w:rPr>
            </w:pPr>
            <w:r w:rsidRPr="00090F15">
              <w:rPr>
                <w:bCs/>
                <w:szCs w:val="20"/>
              </w:rPr>
              <w:t>papildināt ar piecpadsmito, sešpadsmito, septiņpadsmito, un astoņpadsmito daļu šādā redakcijā:</w:t>
            </w:r>
          </w:p>
          <w:p w14:paraId="5104A2A5" w14:textId="77777777" w:rsidR="00C61C6D" w:rsidRPr="00090F15" w:rsidRDefault="00C61C6D" w:rsidP="00315075">
            <w:pPr>
              <w:jc w:val="both"/>
              <w:rPr>
                <w:szCs w:val="20"/>
              </w:rPr>
            </w:pPr>
            <w:r w:rsidRPr="00090F15">
              <w:rPr>
                <w:szCs w:val="20"/>
              </w:rPr>
              <w:t>“...</w:t>
            </w:r>
          </w:p>
          <w:p w14:paraId="39E08203" w14:textId="77777777" w:rsidR="00C61C6D" w:rsidRPr="00680337" w:rsidRDefault="00C61C6D" w:rsidP="00315075">
            <w:pPr>
              <w:jc w:val="both"/>
              <w:rPr>
                <w:szCs w:val="20"/>
              </w:rPr>
            </w:pPr>
            <w:r>
              <w:rPr>
                <w:szCs w:val="20"/>
              </w:rPr>
              <w:t xml:space="preserve">(17) </w:t>
            </w:r>
            <w:r w:rsidRPr="00090F15">
              <w:rPr>
                <w:szCs w:val="20"/>
              </w:rPr>
              <w:t>Aizsardzības ministrija ir tiesīga veikt Aizsardzības ministrijas izsniegto speciālo atļauju (licenci) komercdarbībai ar Eiropas Savienības Kopējā militāro preču sarakstā minētajām precēm saņēmušo komersantu darbības kontroli un glabātavu apsekošanu</w:t>
            </w:r>
            <w:r w:rsidRPr="00680337">
              <w:rPr>
                <w:szCs w:val="20"/>
              </w:rPr>
              <w:t>.</w:t>
            </w:r>
          </w:p>
          <w:p w14:paraId="302C0D62" w14:textId="74E88068" w:rsidR="00C61C6D" w:rsidRPr="00FB13CE" w:rsidRDefault="00C61C6D" w:rsidP="00315075">
            <w:pPr>
              <w:pBdr>
                <w:top w:val="nil"/>
                <w:left w:val="nil"/>
                <w:bottom w:val="nil"/>
                <w:right w:val="nil"/>
                <w:between w:val="nil"/>
              </w:pBdr>
              <w:spacing w:before="75" w:after="75"/>
              <w:jc w:val="both"/>
              <w:rPr>
                <w:b/>
                <w:bCs/>
              </w:rPr>
            </w:pPr>
            <w:r>
              <w:rPr>
                <w:szCs w:val="20"/>
              </w:rPr>
              <w:t>...”.</w:t>
            </w:r>
          </w:p>
        </w:tc>
      </w:tr>
      <w:tr w:rsidR="00D9130D" w14:paraId="38C22564" w14:textId="77777777" w:rsidTr="00090F15">
        <w:tc>
          <w:tcPr>
            <w:tcW w:w="707" w:type="dxa"/>
            <w:tcBorders>
              <w:top w:val="single" w:sz="4" w:space="0" w:color="auto"/>
              <w:left w:val="single" w:sz="6" w:space="0" w:color="000000"/>
              <w:bottom w:val="single" w:sz="4" w:space="0" w:color="auto"/>
              <w:right w:val="single" w:sz="6" w:space="0" w:color="000000"/>
            </w:tcBorders>
          </w:tcPr>
          <w:p w14:paraId="7066D640" w14:textId="77777777" w:rsidR="00D9130D" w:rsidRPr="009445D3" w:rsidRDefault="00D9130D" w:rsidP="00315075">
            <w:pPr>
              <w:pBdr>
                <w:top w:val="nil"/>
                <w:left w:val="nil"/>
                <w:bottom w:val="nil"/>
                <w:right w:val="nil"/>
                <w:between w:val="nil"/>
              </w:pBdr>
              <w:rPr>
                <w:b/>
              </w:rPr>
            </w:pPr>
          </w:p>
          <w:p w14:paraId="49C4D64E" w14:textId="505771A2" w:rsidR="00D9130D" w:rsidRPr="009445D3" w:rsidRDefault="00D9130D" w:rsidP="00315075">
            <w:pPr>
              <w:pBdr>
                <w:top w:val="nil"/>
                <w:left w:val="nil"/>
                <w:bottom w:val="nil"/>
                <w:right w:val="nil"/>
                <w:between w:val="nil"/>
              </w:pBdr>
              <w:jc w:val="center"/>
              <w:rPr>
                <w:b/>
              </w:rPr>
            </w:pPr>
            <w:r>
              <w:rPr>
                <w:b/>
              </w:rPr>
              <w:t>30</w:t>
            </w:r>
            <w:r w:rsidRPr="009445D3">
              <w:rPr>
                <w:b/>
              </w:rPr>
              <w:t>.</w:t>
            </w:r>
          </w:p>
        </w:tc>
        <w:tc>
          <w:tcPr>
            <w:tcW w:w="3721" w:type="dxa"/>
            <w:tcBorders>
              <w:top w:val="single" w:sz="4" w:space="0" w:color="auto"/>
              <w:left w:val="single" w:sz="6" w:space="0" w:color="000000"/>
              <w:bottom w:val="single" w:sz="4" w:space="0" w:color="auto"/>
              <w:right w:val="single" w:sz="6" w:space="0" w:color="000000"/>
            </w:tcBorders>
          </w:tcPr>
          <w:p w14:paraId="21990A69" w14:textId="77777777" w:rsidR="00D9130D" w:rsidRPr="009445D3" w:rsidRDefault="00D9130D" w:rsidP="00315075">
            <w:pPr>
              <w:pBdr>
                <w:top w:val="nil"/>
                <w:left w:val="nil"/>
                <w:bottom w:val="nil"/>
                <w:right w:val="nil"/>
                <w:between w:val="nil"/>
              </w:pBdr>
              <w:rPr>
                <w:b/>
              </w:rPr>
            </w:pPr>
            <w:r w:rsidRPr="009445D3">
              <w:rPr>
                <w:b/>
              </w:rPr>
              <w:t>4.  Papildināt 17. pantu ar piekto daļu šādā redakcijā:</w:t>
            </w:r>
          </w:p>
          <w:p w14:paraId="1F5E5D15" w14:textId="07313537" w:rsidR="00D9130D" w:rsidRPr="009445D3" w:rsidRDefault="00D9130D" w:rsidP="00315075">
            <w:pPr>
              <w:pBdr>
                <w:top w:val="nil"/>
                <w:left w:val="nil"/>
                <w:bottom w:val="nil"/>
                <w:right w:val="nil"/>
                <w:between w:val="nil"/>
              </w:pBdr>
              <w:spacing w:before="75" w:after="75"/>
              <w:jc w:val="both"/>
              <w:rPr>
                <w:b/>
                <w:bCs/>
              </w:rPr>
            </w:pPr>
            <w:r w:rsidRPr="009445D3">
              <w:t xml:space="preserve">“(5) Aizsardzības ministrijas izsniegto speciālo atļauju (licenci) komercdarbībai ar Eiropas Savienības Kopējā militāro preču sarakstā minētajām precēm saņēmušie komersanti līdz katra gada 31. janvārim iesniedz Aizsardzības ministrijā iepriekšējā gada pārskatu par komercdarbības veidiem, eksporta, importa, ražošanas apjomiem, mārketinga </w:t>
            </w:r>
            <w:r w:rsidRPr="009445D3">
              <w:lastRenderedPageBreak/>
              <w:t>pasākumiem, veiktajiem un plānotajiem darījumiem. Ministru kabinets nosaka pārskata saturu un iesniegšanas kārtību.”.</w:t>
            </w:r>
          </w:p>
        </w:tc>
        <w:tc>
          <w:tcPr>
            <w:tcW w:w="4590" w:type="dxa"/>
            <w:tcBorders>
              <w:top w:val="single" w:sz="4" w:space="0" w:color="auto"/>
              <w:left w:val="single" w:sz="6" w:space="0" w:color="000000"/>
              <w:bottom w:val="single" w:sz="4" w:space="0" w:color="auto"/>
              <w:right w:val="single" w:sz="6" w:space="0" w:color="000000"/>
            </w:tcBorders>
          </w:tcPr>
          <w:p w14:paraId="05D33502" w14:textId="77777777" w:rsidR="00D9130D" w:rsidRPr="009445D3" w:rsidRDefault="00D9130D" w:rsidP="00315075">
            <w:pPr>
              <w:pBdr>
                <w:top w:val="nil"/>
                <w:left w:val="nil"/>
                <w:bottom w:val="nil"/>
                <w:right w:val="nil"/>
                <w:between w:val="nil"/>
              </w:pBdr>
              <w:spacing w:before="75" w:after="75"/>
              <w:ind w:hanging="14"/>
              <w:jc w:val="center"/>
              <w:rPr>
                <w:b/>
              </w:rPr>
            </w:pPr>
            <w:r w:rsidRPr="009445D3">
              <w:rPr>
                <w:b/>
              </w:rPr>
              <w:lastRenderedPageBreak/>
              <w:t>Tieslietu ministrijas iebildums (12.09.2019.)</w:t>
            </w:r>
          </w:p>
          <w:p w14:paraId="0225B3F1" w14:textId="12A53FC8" w:rsidR="00D9130D" w:rsidRPr="009445D3" w:rsidRDefault="00D9130D" w:rsidP="00D9130D">
            <w:pPr>
              <w:pBdr>
                <w:top w:val="nil"/>
                <w:left w:val="nil"/>
                <w:bottom w:val="nil"/>
                <w:right w:val="nil"/>
                <w:between w:val="nil"/>
              </w:pBdr>
              <w:spacing w:before="75" w:after="75"/>
              <w:ind w:hanging="14"/>
              <w:jc w:val="both"/>
              <w:rPr>
                <w:b/>
              </w:rPr>
            </w:pPr>
            <w:r w:rsidRPr="009445D3">
              <w:t xml:space="preserve">Norādām, ka likumprojekta 4. panta ievaddaļā atsauce uz VI nodaļu nav nepieciešama un ir svītrojama. Vienlaikus lūdzam sniegt skaidrojumu par to, kā izpaužas likumprojekta 4. pantā norādītie stratēģiskas nozīmes preču “mārketinga pasākumi”. Virspusēji vērtējot, uzskatām, ka stratēģiskas nozīmes precēm, piemēram, šaujamieročiem, mārketinga pasākumi nav iespējami. Ievērojot minēto, lūdzam sniegt </w:t>
            </w:r>
            <w:r w:rsidRPr="009445D3">
              <w:lastRenderedPageBreak/>
              <w:t>skaidrojumu, nepieciešamības gadījumā precizējot likumprojektu.</w:t>
            </w:r>
          </w:p>
        </w:tc>
        <w:tc>
          <w:tcPr>
            <w:tcW w:w="2250" w:type="dxa"/>
            <w:tcBorders>
              <w:top w:val="single" w:sz="4" w:space="0" w:color="auto"/>
              <w:left w:val="single" w:sz="6" w:space="0" w:color="000000"/>
              <w:bottom w:val="single" w:sz="4" w:space="0" w:color="auto"/>
              <w:right w:val="single" w:sz="6" w:space="0" w:color="000000"/>
            </w:tcBorders>
          </w:tcPr>
          <w:p w14:paraId="688C9C04" w14:textId="30238D0D" w:rsidR="00D9130D" w:rsidRPr="009445D3" w:rsidRDefault="00D9130D" w:rsidP="00315075">
            <w:pPr>
              <w:pBdr>
                <w:top w:val="nil"/>
                <w:left w:val="nil"/>
                <w:bottom w:val="nil"/>
                <w:right w:val="nil"/>
                <w:between w:val="nil"/>
              </w:pBdr>
              <w:jc w:val="center"/>
              <w:rPr>
                <w:b/>
              </w:rPr>
            </w:pPr>
            <w:r>
              <w:rPr>
                <w:b/>
              </w:rPr>
              <w:lastRenderedPageBreak/>
              <w:t>Saskaņots elektroniskajā saskaņošanā (20.01.2020.)</w:t>
            </w:r>
          </w:p>
          <w:p w14:paraId="754A46C7" w14:textId="77777777" w:rsidR="00D9130D" w:rsidRPr="009445D3" w:rsidRDefault="00D9130D" w:rsidP="00315075">
            <w:pPr>
              <w:pStyle w:val="naisc"/>
              <w:spacing w:before="0" w:after="0"/>
              <w:jc w:val="both"/>
            </w:pPr>
            <w:r w:rsidRPr="009445D3">
              <w:t>Svītrota atsauce uz VI nodaļu.</w:t>
            </w:r>
          </w:p>
          <w:p w14:paraId="3D8A2DC4" w14:textId="77777777" w:rsidR="00D9130D" w:rsidRPr="009445D3" w:rsidRDefault="00D9130D" w:rsidP="00315075">
            <w:pPr>
              <w:pStyle w:val="naisc"/>
              <w:spacing w:before="0" w:after="0"/>
              <w:jc w:val="both"/>
            </w:pPr>
            <w:r w:rsidRPr="009445D3">
              <w:t xml:space="preserve">Stratēģiskas nozīmes preču mārketinga pasākums ir  pasākums kurš veicina stratēģiskas nozīmes preču pārdošanu, </w:t>
            </w:r>
            <w:r w:rsidRPr="009445D3">
              <w:lastRenderedPageBreak/>
              <w:t xml:space="preserve">piemēram, komersanta piedalīšanās izstādēs, Industrijas dienās utt. </w:t>
            </w:r>
          </w:p>
          <w:p w14:paraId="790A7A36" w14:textId="77777777" w:rsidR="00D9130D" w:rsidRPr="009445D3" w:rsidRDefault="00D9130D" w:rsidP="00315075">
            <w:pPr>
              <w:pStyle w:val="naisc"/>
              <w:spacing w:before="0" w:after="0"/>
              <w:jc w:val="both"/>
            </w:pPr>
            <w:r w:rsidRPr="009445D3">
              <w:t xml:space="preserve">Viens no piemēriem, komersanta stratēģiskas nozīmes preču prezentācija Nacionālajiem bruņotajiem spēkiem militārajā bāzē.  </w:t>
            </w:r>
          </w:p>
          <w:p w14:paraId="7B74D8B3" w14:textId="21FF6ACC" w:rsidR="00D9130D" w:rsidRDefault="00D9130D" w:rsidP="00D9130D">
            <w:pPr>
              <w:pBdr>
                <w:top w:val="nil"/>
                <w:left w:val="nil"/>
                <w:bottom w:val="nil"/>
                <w:right w:val="nil"/>
                <w:between w:val="nil"/>
              </w:pBdr>
              <w:jc w:val="both"/>
              <w:rPr>
                <w:b/>
              </w:rPr>
            </w:pPr>
            <w:r w:rsidRPr="009445D3">
              <w:t>Veikti redakcionāli labojumi (5. panta daļu numerācija).</w:t>
            </w:r>
          </w:p>
        </w:tc>
        <w:tc>
          <w:tcPr>
            <w:tcW w:w="3723" w:type="dxa"/>
            <w:tcBorders>
              <w:top w:val="single" w:sz="4" w:space="0" w:color="000000"/>
              <w:left w:val="single" w:sz="4" w:space="0" w:color="000000"/>
              <w:bottom w:val="single" w:sz="4" w:space="0" w:color="000000"/>
            </w:tcBorders>
          </w:tcPr>
          <w:p w14:paraId="5EB0CD47" w14:textId="77777777" w:rsidR="00D9130D" w:rsidRDefault="00D9130D" w:rsidP="00315075">
            <w:pPr>
              <w:rPr>
                <w:b/>
                <w:bCs/>
                <w:szCs w:val="20"/>
              </w:rPr>
            </w:pPr>
            <w:r w:rsidRPr="00815F2B">
              <w:rPr>
                <w:b/>
                <w:bCs/>
                <w:szCs w:val="20"/>
              </w:rPr>
              <w:lastRenderedPageBreak/>
              <w:t>5. pantā:</w:t>
            </w:r>
          </w:p>
          <w:p w14:paraId="3FC00D56" w14:textId="77777777" w:rsidR="00D9130D" w:rsidRPr="00854975" w:rsidRDefault="00D9130D" w:rsidP="00315075">
            <w:pPr>
              <w:jc w:val="both"/>
              <w:rPr>
                <w:bCs/>
                <w:szCs w:val="20"/>
              </w:rPr>
            </w:pPr>
            <w:r w:rsidRPr="00854975">
              <w:rPr>
                <w:bCs/>
                <w:szCs w:val="20"/>
              </w:rPr>
              <w:t>...</w:t>
            </w:r>
          </w:p>
          <w:p w14:paraId="45CC6F56" w14:textId="77777777" w:rsidR="00D9130D" w:rsidRPr="00854975" w:rsidRDefault="00D9130D" w:rsidP="00315075">
            <w:pPr>
              <w:jc w:val="both"/>
              <w:rPr>
                <w:bCs/>
                <w:szCs w:val="20"/>
              </w:rPr>
            </w:pPr>
            <w:r w:rsidRPr="00854975">
              <w:rPr>
                <w:bCs/>
                <w:szCs w:val="20"/>
              </w:rPr>
              <w:t>papildināt ar piecpadsmito, sešpadsmito, septiņpadsmito, un astoņpadsmito daļu šādā redakcijā:</w:t>
            </w:r>
          </w:p>
          <w:p w14:paraId="4ED820F1" w14:textId="77777777" w:rsidR="00D9130D" w:rsidRDefault="00D9130D" w:rsidP="00315075">
            <w:pPr>
              <w:jc w:val="both"/>
              <w:rPr>
                <w:b/>
                <w:szCs w:val="20"/>
              </w:rPr>
            </w:pPr>
            <w:r>
              <w:rPr>
                <w:b/>
                <w:szCs w:val="20"/>
              </w:rPr>
              <w:t>“...</w:t>
            </w:r>
          </w:p>
          <w:p w14:paraId="4CAA350E" w14:textId="54748A34" w:rsidR="00D9130D" w:rsidRPr="00815F2B" w:rsidRDefault="00D9130D" w:rsidP="00315075">
            <w:pPr>
              <w:rPr>
                <w:b/>
                <w:bCs/>
                <w:szCs w:val="20"/>
              </w:rPr>
            </w:pPr>
            <w:r>
              <w:t xml:space="preserve"> (18) </w:t>
            </w:r>
            <w:r w:rsidRPr="002031EA">
              <w:t xml:space="preserve">Aizsardzības ministrijas izsniegto speciālo atļauju (licenci) komercdarbībai ar Eiropas Savienības Kopējā militāro preču sarakstā minētajām precēm saņēmušie komersanti līdz katra gada 31. janvārim iesniedz </w:t>
            </w:r>
            <w:r w:rsidRPr="002031EA">
              <w:lastRenderedPageBreak/>
              <w:t>Aizsardzības ministrijā iepriekšējā gada pārskatu par komercdarbības veidiem, eksporta, importa, ražošanas apjomiem, mārketinga pasākumiem, veiktajiem un plānotajiem darījumiem. Ministru kabinets nosaka pārskata saturu un iesniegšanas kārtību</w:t>
            </w:r>
            <w:r>
              <w:t>.”</w:t>
            </w:r>
            <w:r w:rsidRPr="002031EA">
              <w:t>.</w:t>
            </w:r>
          </w:p>
        </w:tc>
      </w:tr>
      <w:tr w:rsidR="00577401" w14:paraId="1C51ABEA" w14:textId="77777777" w:rsidTr="00090F15">
        <w:tc>
          <w:tcPr>
            <w:tcW w:w="707" w:type="dxa"/>
            <w:tcBorders>
              <w:top w:val="single" w:sz="4" w:space="0" w:color="auto"/>
              <w:left w:val="single" w:sz="6" w:space="0" w:color="000000"/>
              <w:bottom w:val="single" w:sz="4" w:space="0" w:color="auto"/>
              <w:right w:val="single" w:sz="6" w:space="0" w:color="000000"/>
            </w:tcBorders>
          </w:tcPr>
          <w:p w14:paraId="360722DA" w14:textId="77777777" w:rsidR="00577401" w:rsidRPr="00C77EE9" w:rsidRDefault="00577401" w:rsidP="00315075">
            <w:pPr>
              <w:pBdr>
                <w:top w:val="nil"/>
                <w:left w:val="nil"/>
                <w:bottom w:val="nil"/>
                <w:right w:val="nil"/>
                <w:between w:val="nil"/>
              </w:pBdr>
              <w:jc w:val="center"/>
              <w:rPr>
                <w:color w:val="000000"/>
              </w:rPr>
            </w:pPr>
          </w:p>
          <w:p w14:paraId="0171496D" w14:textId="01A0319C" w:rsidR="00577401" w:rsidRPr="009445D3" w:rsidRDefault="00577401" w:rsidP="00315075">
            <w:pPr>
              <w:pBdr>
                <w:top w:val="nil"/>
                <w:left w:val="nil"/>
                <w:bottom w:val="nil"/>
                <w:right w:val="nil"/>
                <w:between w:val="nil"/>
              </w:pBdr>
              <w:rPr>
                <w:b/>
              </w:rPr>
            </w:pPr>
            <w:r>
              <w:rPr>
                <w:b/>
                <w:color w:val="000000"/>
              </w:rPr>
              <w:t>31</w:t>
            </w:r>
            <w:r w:rsidRPr="00C77EE9">
              <w:rPr>
                <w:b/>
                <w:color w:val="000000"/>
              </w:rPr>
              <w:t>.</w:t>
            </w:r>
          </w:p>
        </w:tc>
        <w:tc>
          <w:tcPr>
            <w:tcW w:w="3721" w:type="dxa"/>
            <w:tcBorders>
              <w:top w:val="single" w:sz="4" w:space="0" w:color="auto"/>
              <w:left w:val="single" w:sz="6" w:space="0" w:color="000000"/>
              <w:bottom w:val="single" w:sz="4" w:space="0" w:color="auto"/>
              <w:right w:val="single" w:sz="6" w:space="0" w:color="000000"/>
            </w:tcBorders>
          </w:tcPr>
          <w:p w14:paraId="721A9D35" w14:textId="77777777" w:rsidR="00577401" w:rsidRPr="009445D3" w:rsidRDefault="00577401" w:rsidP="00315075">
            <w:pPr>
              <w:pBdr>
                <w:top w:val="nil"/>
                <w:left w:val="nil"/>
                <w:bottom w:val="nil"/>
                <w:right w:val="nil"/>
                <w:between w:val="nil"/>
              </w:pBdr>
              <w:rPr>
                <w:b/>
              </w:rPr>
            </w:pPr>
          </w:p>
        </w:tc>
        <w:tc>
          <w:tcPr>
            <w:tcW w:w="4590" w:type="dxa"/>
            <w:tcBorders>
              <w:top w:val="single" w:sz="4" w:space="0" w:color="auto"/>
              <w:left w:val="single" w:sz="6" w:space="0" w:color="000000"/>
              <w:bottom w:val="single" w:sz="4" w:space="0" w:color="auto"/>
              <w:right w:val="single" w:sz="6" w:space="0" w:color="000000"/>
            </w:tcBorders>
          </w:tcPr>
          <w:p w14:paraId="47574CFB" w14:textId="77777777" w:rsidR="00577401" w:rsidRPr="009445D3" w:rsidRDefault="00577401" w:rsidP="00315075">
            <w:pPr>
              <w:pBdr>
                <w:top w:val="nil"/>
                <w:left w:val="nil"/>
                <w:bottom w:val="nil"/>
                <w:right w:val="nil"/>
                <w:between w:val="nil"/>
              </w:pBdr>
              <w:spacing w:before="75" w:after="75"/>
              <w:ind w:hanging="14"/>
              <w:jc w:val="center"/>
              <w:rPr>
                <w:b/>
              </w:rPr>
            </w:pPr>
            <w:r w:rsidRPr="009445D3">
              <w:rPr>
                <w:b/>
              </w:rPr>
              <w:t>Iekšlietu ministrijas iebildums (12.09.2019.)</w:t>
            </w:r>
          </w:p>
          <w:p w14:paraId="7B310A2E" w14:textId="77777777" w:rsidR="00577401" w:rsidRPr="009445D3" w:rsidRDefault="00577401" w:rsidP="00315075">
            <w:pPr>
              <w:jc w:val="both"/>
            </w:pPr>
            <w:r w:rsidRPr="009445D3">
              <w:t>2016. gada 4. oktobrī spēkā stājās grozījumi Ministru kabineta 2007. gada 25. septembra noteikumos Nr. 645 “Noteikumi par Nacionālo stratēģiskas nozīmes preču un pakalpojumu sarakstu”, ar kuriem tika svītrota pielikuma 10A904 sadaļa. Ņemot vērā minēto, pirotehnisko izstrādājumu pārvietošanai, eksportam, importam un tranzītam šobrīd nav nepieciešama Stratēģiskas nozīmes preču kontroles komitejas izsniegta licence.</w:t>
            </w:r>
          </w:p>
          <w:p w14:paraId="020DE675" w14:textId="23606E1D" w:rsidR="00577401" w:rsidRPr="009445D3" w:rsidRDefault="00577401" w:rsidP="00577401">
            <w:pPr>
              <w:pBdr>
                <w:top w:val="nil"/>
                <w:left w:val="nil"/>
                <w:bottom w:val="nil"/>
                <w:right w:val="nil"/>
                <w:between w:val="nil"/>
              </w:pBdr>
              <w:spacing w:before="75" w:after="75"/>
              <w:ind w:hanging="14"/>
              <w:jc w:val="both"/>
              <w:rPr>
                <w:b/>
              </w:rPr>
            </w:pPr>
            <w:r w:rsidRPr="009445D3">
              <w:t>Līdz ar to nepieciešams pārskatīt Likuma tiesību normas, kas reglamentē pirotehniskos izstrādājumus.</w:t>
            </w:r>
          </w:p>
        </w:tc>
        <w:tc>
          <w:tcPr>
            <w:tcW w:w="2250" w:type="dxa"/>
            <w:tcBorders>
              <w:top w:val="single" w:sz="4" w:space="0" w:color="auto"/>
              <w:left w:val="single" w:sz="6" w:space="0" w:color="000000"/>
              <w:bottom w:val="single" w:sz="4" w:space="0" w:color="auto"/>
              <w:right w:val="single" w:sz="6" w:space="0" w:color="000000"/>
            </w:tcBorders>
          </w:tcPr>
          <w:p w14:paraId="456D1B7D" w14:textId="5CD1FA1F" w:rsidR="00577401" w:rsidRPr="009445D3" w:rsidRDefault="00577401" w:rsidP="00315075">
            <w:pPr>
              <w:pBdr>
                <w:top w:val="nil"/>
                <w:left w:val="nil"/>
                <w:bottom w:val="nil"/>
                <w:right w:val="nil"/>
                <w:between w:val="nil"/>
              </w:pBdr>
              <w:jc w:val="center"/>
              <w:rPr>
                <w:b/>
              </w:rPr>
            </w:pPr>
            <w:r>
              <w:rPr>
                <w:b/>
              </w:rPr>
              <w:t>Saskaņots elektroniskajā saskaņošanā (20.01.2020.)</w:t>
            </w:r>
          </w:p>
          <w:p w14:paraId="05C452CB" w14:textId="77777777" w:rsidR="00577401" w:rsidRPr="009445D3" w:rsidRDefault="00577401" w:rsidP="00315075">
            <w:pPr>
              <w:pBdr>
                <w:top w:val="nil"/>
                <w:left w:val="nil"/>
                <w:bottom w:val="nil"/>
                <w:right w:val="nil"/>
                <w:between w:val="nil"/>
              </w:pBdr>
              <w:jc w:val="both"/>
            </w:pPr>
            <w:r w:rsidRPr="009445D3">
              <w:t xml:space="preserve">Ministru kabineta 2007. gada 25. septembra noteikumos Nr. 645 “Noteikumi par Nacionālo stratēģiskas nozīmes preču un pakalpojumu sarakstu”, pielikuma sadaļa 10A904 paredzēja kontroli tikai civilajai svētku pirotehnikai. </w:t>
            </w:r>
            <w:r w:rsidRPr="009445D3">
              <w:lastRenderedPageBreak/>
              <w:t>Militārā un divējāda lietojuma pirotehnika joprojām tiek kontrolēta saskaņā ar Eiropas Savienības Kopējo militāro preču sarakstu, kā arī Padomes Regulu 428/2009.</w:t>
            </w:r>
          </w:p>
          <w:p w14:paraId="6A4EBA3E" w14:textId="57A8FB0E" w:rsidR="00577401" w:rsidRDefault="00577401" w:rsidP="00577401">
            <w:pPr>
              <w:pBdr>
                <w:top w:val="nil"/>
                <w:left w:val="nil"/>
                <w:bottom w:val="nil"/>
                <w:right w:val="nil"/>
                <w:between w:val="nil"/>
              </w:pBdr>
              <w:jc w:val="both"/>
              <w:rPr>
                <w:b/>
              </w:rPr>
            </w:pPr>
            <w:r w:rsidRPr="009445D3">
              <w:t>Civilo svētku pirotehnisko izstrādājumu kontrole Stratēģiskas nozīmes preču aprites likuma kontekstā nav nepieciešama, ņemot vērā, ka stratēģiskas nozīmes preces ir tās, ko var izmantot militāriem mērķiem.</w:t>
            </w:r>
          </w:p>
        </w:tc>
        <w:tc>
          <w:tcPr>
            <w:tcW w:w="3723" w:type="dxa"/>
            <w:tcBorders>
              <w:top w:val="single" w:sz="4" w:space="0" w:color="000000"/>
              <w:left w:val="single" w:sz="4" w:space="0" w:color="000000"/>
              <w:bottom w:val="single" w:sz="4" w:space="0" w:color="000000"/>
            </w:tcBorders>
          </w:tcPr>
          <w:p w14:paraId="694BCF04" w14:textId="77777777" w:rsidR="00577401" w:rsidRPr="00815F2B" w:rsidRDefault="00577401" w:rsidP="00315075">
            <w:pPr>
              <w:rPr>
                <w:b/>
                <w:bCs/>
                <w:szCs w:val="20"/>
              </w:rPr>
            </w:pPr>
          </w:p>
        </w:tc>
      </w:tr>
      <w:tr w:rsidR="002905BA" w14:paraId="72CDFE99" w14:textId="77777777" w:rsidTr="00090F15">
        <w:tc>
          <w:tcPr>
            <w:tcW w:w="707" w:type="dxa"/>
            <w:tcBorders>
              <w:top w:val="single" w:sz="4" w:space="0" w:color="auto"/>
              <w:left w:val="single" w:sz="6" w:space="0" w:color="000000"/>
              <w:bottom w:val="single" w:sz="4" w:space="0" w:color="auto"/>
              <w:right w:val="single" w:sz="6" w:space="0" w:color="000000"/>
            </w:tcBorders>
          </w:tcPr>
          <w:p w14:paraId="617C79FF" w14:textId="6D5A2C76" w:rsidR="002905BA" w:rsidRPr="00C77EE9" w:rsidRDefault="002905BA" w:rsidP="00315075">
            <w:pPr>
              <w:pBdr>
                <w:top w:val="nil"/>
                <w:left w:val="nil"/>
                <w:bottom w:val="nil"/>
                <w:right w:val="nil"/>
                <w:between w:val="nil"/>
              </w:pBdr>
              <w:jc w:val="center"/>
              <w:rPr>
                <w:color w:val="000000"/>
              </w:rPr>
            </w:pPr>
            <w:r>
              <w:rPr>
                <w:b/>
                <w:color w:val="000000"/>
              </w:rPr>
              <w:t>32</w:t>
            </w:r>
            <w:r w:rsidRPr="00C77EE9">
              <w:rPr>
                <w:b/>
                <w:color w:val="000000"/>
              </w:rPr>
              <w:t>.</w:t>
            </w:r>
          </w:p>
        </w:tc>
        <w:tc>
          <w:tcPr>
            <w:tcW w:w="3721" w:type="dxa"/>
            <w:tcBorders>
              <w:top w:val="single" w:sz="4" w:space="0" w:color="auto"/>
              <w:left w:val="single" w:sz="6" w:space="0" w:color="000000"/>
              <w:bottom w:val="single" w:sz="4" w:space="0" w:color="auto"/>
              <w:right w:val="single" w:sz="6" w:space="0" w:color="000000"/>
            </w:tcBorders>
          </w:tcPr>
          <w:p w14:paraId="2403031D" w14:textId="77777777" w:rsidR="002905BA" w:rsidRPr="00993D16" w:rsidRDefault="002905BA" w:rsidP="00315075">
            <w:pPr>
              <w:pBdr>
                <w:top w:val="nil"/>
                <w:left w:val="nil"/>
                <w:bottom w:val="nil"/>
                <w:right w:val="nil"/>
                <w:between w:val="nil"/>
              </w:pBdr>
              <w:spacing w:before="75" w:after="75"/>
              <w:jc w:val="both"/>
              <w:rPr>
                <w:b/>
                <w:bCs/>
              </w:rPr>
            </w:pPr>
            <w:r w:rsidRPr="00993D16">
              <w:rPr>
                <w:b/>
                <w:bCs/>
              </w:rPr>
              <w:t>2. 5. pantā:</w:t>
            </w:r>
          </w:p>
          <w:p w14:paraId="229B36B8" w14:textId="77777777" w:rsidR="002905BA" w:rsidRPr="009445D3" w:rsidRDefault="002905BA" w:rsidP="00315075">
            <w:pPr>
              <w:pBdr>
                <w:top w:val="nil"/>
                <w:left w:val="nil"/>
                <w:bottom w:val="nil"/>
                <w:right w:val="nil"/>
                <w:between w:val="nil"/>
              </w:pBdr>
              <w:spacing w:before="75" w:after="75"/>
              <w:jc w:val="both"/>
            </w:pPr>
            <w:r w:rsidRPr="009445D3">
              <w:t>...</w:t>
            </w:r>
          </w:p>
          <w:p w14:paraId="378EF9C0" w14:textId="77777777" w:rsidR="002905BA" w:rsidRPr="009445D3" w:rsidRDefault="002905BA" w:rsidP="00315075">
            <w:pPr>
              <w:pBdr>
                <w:top w:val="nil"/>
                <w:left w:val="nil"/>
                <w:bottom w:val="nil"/>
                <w:right w:val="nil"/>
                <w:between w:val="nil"/>
              </w:pBdr>
              <w:spacing w:before="75" w:after="75"/>
              <w:jc w:val="both"/>
              <w:rPr>
                <w:bCs/>
              </w:rPr>
            </w:pPr>
            <w:r w:rsidRPr="009445D3">
              <w:rPr>
                <w:bCs/>
              </w:rPr>
              <w:t>izteikt ceturto daļu šādā redakcijā:</w:t>
            </w:r>
          </w:p>
          <w:p w14:paraId="03100A7A" w14:textId="77777777" w:rsidR="002905BA" w:rsidRPr="00993D16" w:rsidRDefault="002905BA" w:rsidP="00315075">
            <w:pPr>
              <w:pBdr>
                <w:top w:val="nil"/>
                <w:left w:val="nil"/>
                <w:bottom w:val="nil"/>
                <w:right w:val="nil"/>
                <w:between w:val="nil"/>
              </w:pBdr>
              <w:spacing w:before="75" w:after="75"/>
              <w:jc w:val="both"/>
              <w:rPr>
                <w:bCs/>
              </w:rPr>
            </w:pPr>
            <w:r w:rsidRPr="00993D16">
              <w:rPr>
                <w:bCs/>
              </w:rPr>
              <w:t>“....</w:t>
            </w:r>
          </w:p>
          <w:p w14:paraId="196EA7FD" w14:textId="77777777" w:rsidR="002905BA" w:rsidRPr="00993D16" w:rsidRDefault="002905BA" w:rsidP="00315075">
            <w:pPr>
              <w:jc w:val="both"/>
            </w:pPr>
            <w:r w:rsidRPr="00993D16">
              <w:rPr>
                <w:bCs/>
              </w:rPr>
              <w:t xml:space="preserve">7) </w:t>
            </w:r>
            <w:r w:rsidRPr="00993D16">
              <w:t>nav sodīti, tajā skaitā - ja sodāmība dzēsta vai noņemta, par Krimināllikuma IX, IX</w:t>
            </w:r>
            <w:r w:rsidRPr="00993D16">
              <w:rPr>
                <w:vertAlign w:val="superscript"/>
              </w:rPr>
              <w:t>1</w:t>
            </w:r>
            <w:r w:rsidRPr="00993D16">
              <w:t xml:space="preserve">, X nodaļā, 116., 117., 118., 175. panta 4. daļā (stipri iedarbīgo, indīgo vai radioaktīvo vielu, sprāgstvielu, </w:t>
            </w:r>
            <w:r w:rsidRPr="00993D16">
              <w:lastRenderedPageBreak/>
              <w:t>šaujamieroču vai munīcijas zādzība), 176. panta 3. daļā (stipri iedarbīgo, indīgo vai radioaktīvo vielu, sprāgstvielu, šaujamieroču vai munīcijas laupīšana), 176. panta 4. daļā (laupīšana, ja tā izdarīta, lietojot šaujamieročus vai sprāgstošas vielas), 177. panta 3. daļā (krāpšana, ja tā izdarīta, iegūstot stipri iedarbīgās, indīgās vai radioaktīvās vielas, sprāgstvielas, šaujam</w:t>
            </w:r>
            <w:r w:rsidRPr="00993D16">
              <w:softHyphen/>
              <w:t>ieročus vai munīciju), 179. panta 3. daļā (stipri iedarbīgo, indīgo vai radioaktīvo vielu, sprāgstvielu, šaujamieroču vai munīcijas piesavināšanās), 233., 234., 236., 237. pantā minētajiem noziedzīgajiem nodarījumiem;</w:t>
            </w:r>
          </w:p>
          <w:p w14:paraId="7F610B77" w14:textId="452F5B32" w:rsidR="002905BA" w:rsidRPr="009445D3" w:rsidRDefault="002905BA" w:rsidP="00315075">
            <w:pPr>
              <w:pBdr>
                <w:top w:val="nil"/>
                <w:left w:val="nil"/>
                <w:bottom w:val="nil"/>
                <w:right w:val="nil"/>
                <w:between w:val="nil"/>
              </w:pBdr>
              <w:rPr>
                <w:b/>
              </w:rPr>
            </w:pPr>
            <w:r w:rsidRPr="00993D16">
              <w:t>...”.</w:t>
            </w:r>
          </w:p>
        </w:tc>
        <w:tc>
          <w:tcPr>
            <w:tcW w:w="4590" w:type="dxa"/>
            <w:tcBorders>
              <w:top w:val="single" w:sz="4" w:space="0" w:color="auto"/>
              <w:left w:val="single" w:sz="6" w:space="0" w:color="000000"/>
              <w:bottom w:val="single" w:sz="4" w:space="0" w:color="auto"/>
              <w:right w:val="single" w:sz="6" w:space="0" w:color="000000"/>
            </w:tcBorders>
          </w:tcPr>
          <w:p w14:paraId="44CA662E" w14:textId="77777777" w:rsidR="002905BA" w:rsidRPr="00C77EE9" w:rsidRDefault="002905BA" w:rsidP="00315075">
            <w:pPr>
              <w:pBdr>
                <w:top w:val="nil"/>
                <w:left w:val="nil"/>
                <w:bottom w:val="nil"/>
                <w:right w:val="nil"/>
                <w:between w:val="nil"/>
              </w:pBdr>
              <w:spacing w:before="75" w:after="75"/>
              <w:ind w:hanging="14"/>
              <w:jc w:val="center"/>
              <w:rPr>
                <w:bCs/>
              </w:rPr>
            </w:pPr>
            <w:r w:rsidRPr="00993D16">
              <w:rPr>
                <w:b/>
              </w:rPr>
              <w:lastRenderedPageBreak/>
              <w:t>Iekšlietu ministrijas iebildums (20.01.2020.)</w:t>
            </w:r>
          </w:p>
          <w:p w14:paraId="4901E0A5" w14:textId="23BEC476" w:rsidR="002905BA" w:rsidRPr="009445D3" w:rsidRDefault="002905BA" w:rsidP="002905BA">
            <w:pPr>
              <w:pBdr>
                <w:top w:val="nil"/>
                <w:left w:val="nil"/>
                <w:bottom w:val="nil"/>
                <w:right w:val="nil"/>
                <w:between w:val="nil"/>
              </w:pBdr>
              <w:spacing w:before="75" w:after="75"/>
              <w:ind w:hanging="14"/>
              <w:jc w:val="both"/>
              <w:rPr>
                <w:b/>
              </w:rPr>
            </w:pPr>
            <w:r w:rsidRPr="00C77EE9">
              <w:rPr>
                <w:bCs/>
              </w:rPr>
              <w:t>P</w:t>
            </w:r>
            <w:r w:rsidRPr="00C77EE9">
              <w:t xml:space="preserve">recizēt likumprojekta 2. pantā ietvertā </w:t>
            </w:r>
            <w:r w:rsidRPr="00C77EE9">
              <w:rPr>
                <w:bCs/>
              </w:rPr>
              <w:t>Stratēģiskas nozīmes preču aprites likuma</w:t>
            </w:r>
            <w:r w:rsidRPr="00C77EE9">
              <w:t xml:space="preserve"> 5. panta ceturtās daļas 7.punktā esošo noziedzīgo nodarījumu uzskaitījumu, jo piedāvātajā redakcijā tas sastāv kā no Krimināllikuma nodaļām, tā arī no konkrētiem pantiem un noziedzīgu nodarījumu aprakstiem. </w:t>
            </w:r>
            <w:r w:rsidRPr="00C77EE9">
              <w:rPr>
                <w:color w:val="000000"/>
              </w:rPr>
              <w:t xml:space="preserve">Norādām, ka Sodu </w:t>
            </w:r>
            <w:r w:rsidRPr="00C77EE9">
              <w:rPr>
                <w:color w:val="000000"/>
              </w:rPr>
              <w:lastRenderedPageBreak/>
              <w:t>reģistrā nevar atsevišķi nodalīt attiecīgās Krimināllikuma normas daļā norādīto prettiesisko darbību – ir jāliek atsauce likumprojektā uz visu panta daļu, jo ziņas var tikt izsniegtas par visu attiecīgo normu nevis kādu tās daļu.</w:t>
            </w:r>
          </w:p>
        </w:tc>
        <w:tc>
          <w:tcPr>
            <w:tcW w:w="2250" w:type="dxa"/>
            <w:tcBorders>
              <w:top w:val="single" w:sz="4" w:space="0" w:color="auto"/>
              <w:left w:val="single" w:sz="6" w:space="0" w:color="000000"/>
              <w:bottom w:val="single" w:sz="4" w:space="0" w:color="auto"/>
              <w:right w:val="single" w:sz="6" w:space="0" w:color="000000"/>
            </w:tcBorders>
          </w:tcPr>
          <w:p w14:paraId="68839CDC" w14:textId="553D07EE" w:rsidR="002905BA" w:rsidRPr="009445D3" w:rsidRDefault="002905BA" w:rsidP="002905BA">
            <w:pPr>
              <w:pBdr>
                <w:top w:val="nil"/>
                <w:left w:val="nil"/>
                <w:bottom w:val="nil"/>
                <w:right w:val="nil"/>
                <w:between w:val="nil"/>
              </w:pBdr>
              <w:jc w:val="center"/>
              <w:rPr>
                <w:b/>
              </w:rPr>
            </w:pPr>
            <w:r>
              <w:rPr>
                <w:b/>
              </w:rPr>
              <w:lastRenderedPageBreak/>
              <w:t>Saskaņots elektroniskajā saskaņošanā (20.01.2020.)</w:t>
            </w:r>
          </w:p>
          <w:p w14:paraId="1C259464" w14:textId="77777777" w:rsidR="002905BA" w:rsidRPr="00993D16" w:rsidRDefault="002905BA" w:rsidP="00315075">
            <w:pPr>
              <w:jc w:val="both"/>
            </w:pPr>
            <w:r w:rsidRPr="009445D3">
              <w:t>Aizsardzības ministrija pieprasīs Iekšl</w:t>
            </w:r>
            <w:r w:rsidRPr="00993D16">
              <w:t xml:space="preserve">ietu ministrijas Informācijas centram informāciju vai persona ir sodīta,  tajā skaitā - ja </w:t>
            </w:r>
            <w:r w:rsidRPr="00993D16">
              <w:lastRenderedPageBreak/>
              <w:t>sodāmība dzēsta vai noņemta, par Krimināllikuma IX, IX</w:t>
            </w:r>
            <w:r w:rsidRPr="00993D16">
              <w:rPr>
                <w:vertAlign w:val="superscript"/>
              </w:rPr>
              <w:t>1</w:t>
            </w:r>
            <w:r w:rsidRPr="00993D16">
              <w:t>, X nodaļā, 116., 117., 118.,       175. panta 4. daļā,   176. panta 3. daļā,  176. panta 4. daļā,  177. panta 3. daļā,  179. panta 3. daļā, 233., 234., 236., 237. pantā minētajiem noziedzīgajiem nodarījumiem.</w:t>
            </w:r>
          </w:p>
          <w:p w14:paraId="68BA8C74" w14:textId="77777777" w:rsidR="002905BA" w:rsidRPr="009445D3" w:rsidRDefault="002905BA" w:rsidP="00315075">
            <w:pPr>
              <w:jc w:val="both"/>
            </w:pPr>
            <w:r w:rsidRPr="00993D16">
              <w:t xml:space="preserve"> Ja persona ir sodīta par iepriekšminētajiem noziedzīgajiem nodarījumiem, to aprakstu   Aizsardzības ministrija pieprasīs attiecīgajā kompetent</w:t>
            </w:r>
            <w:r>
              <w:t>ajā</w:t>
            </w:r>
            <w:r w:rsidRPr="00993D16">
              <w:t xml:space="preserve"> iestādē.  Ar šo skaidrojumu papildināta anotācija. </w:t>
            </w:r>
          </w:p>
          <w:p w14:paraId="68140310" w14:textId="57AB2CF5" w:rsidR="002905BA" w:rsidRDefault="002905BA" w:rsidP="00315075">
            <w:pPr>
              <w:pBdr>
                <w:top w:val="nil"/>
                <w:left w:val="nil"/>
                <w:bottom w:val="nil"/>
                <w:right w:val="nil"/>
                <w:between w:val="nil"/>
              </w:pBdr>
              <w:jc w:val="center"/>
              <w:rPr>
                <w:b/>
              </w:rPr>
            </w:pPr>
            <w:r w:rsidRPr="009445D3">
              <w:t xml:space="preserve">   </w:t>
            </w:r>
          </w:p>
        </w:tc>
        <w:tc>
          <w:tcPr>
            <w:tcW w:w="3723" w:type="dxa"/>
            <w:tcBorders>
              <w:top w:val="single" w:sz="4" w:space="0" w:color="000000"/>
              <w:left w:val="single" w:sz="4" w:space="0" w:color="000000"/>
              <w:bottom w:val="single" w:sz="4" w:space="0" w:color="000000"/>
            </w:tcBorders>
          </w:tcPr>
          <w:p w14:paraId="5CE8A5A5" w14:textId="77777777" w:rsidR="002905BA" w:rsidRPr="00993D16" w:rsidRDefault="002905BA" w:rsidP="00315075">
            <w:pPr>
              <w:pBdr>
                <w:top w:val="nil"/>
                <w:left w:val="nil"/>
                <w:bottom w:val="nil"/>
                <w:right w:val="nil"/>
                <w:between w:val="nil"/>
              </w:pBdr>
              <w:spacing w:before="75" w:after="75"/>
              <w:jc w:val="both"/>
              <w:rPr>
                <w:b/>
              </w:rPr>
            </w:pPr>
            <w:r w:rsidRPr="00993D16">
              <w:rPr>
                <w:b/>
              </w:rPr>
              <w:lastRenderedPageBreak/>
              <w:t>Likumprojekta anotācija ir precizēta.</w:t>
            </w:r>
          </w:p>
          <w:p w14:paraId="64278155" w14:textId="77777777" w:rsidR="002905BA" w:rsidRPr="009445D3" w:rsidRDefault="002905BA" w:rsidP="00315075">
            <w:pPr>
              <w:pBdr>
                <w:top w:val="nil"/>
                <w:left w:val="nil"/>
                <w:bottom w:val="nil"/>
                <w:right w:val="nil"/>
                <w:between w:val="nil"/>
              </w:pBdr>
              <w:spacing w:before="75" w:after="75"/>
              <w:jc w:val="both"/>
              <w:rPr>
                <w:b/>
              </w:rPr>
            </w:pPr>
          </w:p>
          <w:p w14:paraId="5A998447" w14:textId="77777777" w:rsidR="002905BA" w:rsidRPr="009445D3" w:rsidRDefault="002905BA" w:rsidP="00315075">
            <w:pPr>
              <w:pBdr>
                <w:top w:val="nil"/>
                <w:left w:val="nil"/>
                <w:bottom w:val="nil"/>
                <w:right w:val="nil"/>
                <w:between w:val="nil"/>
              </w:pBdr>
              <w:spacing w:before="75" w:after="75"/>
              <w:jc w:val="both"/>
              <w:rPr>
                <w:b/>
                <w:bCs/>
              </w:rPr>
            </w:pPr>
            <w:r w:rsidRPr="009445D3">
              <w:rPr>
                <w:b/>
                <w:bCs/>
              </w:rPr>
              <w:t>2. 5. pantā:</w:t>
            </w:r>
          </w:p>
          <w:p w14:paraId="4E746EEF" w14:textId="77777777" w:rsidR="002905BA" w:rsidRPr="00993D16" w:rsidRDefault="002905BA" w:rsidP="00315075">
            <w:pPr>
              <w:pBdr>
                <w:top w:val="nil"/>
                <w:left w:val="nil"/>
                <w:bottom w:val="nil"/>
                <w:right w:val="nil"/>
                <w:between w:val="nil"/>
              </w:pBdr>
              <w:spacing w:before="75" w:after="75"/>
              <w:jc w:val="both"/>
            </w:pPr>
            <w:r w:rsidRPr="00993D16">
              <w:t>...</w:t>
            </w:r>
          </w:p>
          <w:p w14:paraId="63D0AA2D" w14:textId="77777777" w:rsidR="002905BA" w:rsidRPr="00993D16" w:rsidRDefault="002905BA" w:rsidP="00315075">
            <w:pPr>
              <w:pBdr>
                <w:top w:val="nil"/>
                <w:left w:val="nil"/>
                <w:bottom w:val="nil"/>
                <w:right w:val="nil"/>
                <w:between w:val="nil"/>
              </w:pBdr>
              <w:spacing w:before="75" w:after="75"/>
              <w:jc w:val="both"/>
              <w:rPr>
                <w:bCs/>
              </w:rPr>
            </w:pPr>
            <w:r w:rsidRPr="00993D16">
              <w:rPr>
                <w:bCs/>
              </w:rPr>
              <w:t>izteikt trešo, ceturto un 4.</w:t>
            </w:r>
            <w:r w:rsidRPr="00993D16">
              <w:rPr>
                <w:bCs/>
                <w:vertAlign w:val="superscript"/>
              </w:rPr>
              <w:t>1</w:t>
            </w:r>
            <w:r w:rsidRPr="00993D16">
              <w:rPr>
                <w:bCs/>
              </w:rPr>
              <w:t xml:space="preserve"> daļu šādā redakcijā:</w:t>
            </w:r>
          </w:p>
          <w:p w14:paraId="571D7B01" w14:textId="77777777" w:rsidR="002905BA" w:rsidRPr="00993D16" w:rsidRDefault="002905BA" w:rsidP="00315075">
            <w:pPr>
              <w:pBdr>
                <w:top w:val="nil"/>
                <w:left w:val="nil"/>
                <w:bottom w:val="nil"/>
                <w:right w:val="nil"/>
                <w:between w:val="nil"/>
              </w:pBdr>
              <w:spacing w:before="75" w:after="75"/>
              <w:jc w:val="both"/>
              <w:rPr>
                <w:bCs/>
              </w:rPr>
            </w:pPr>
            <w:r w:rsidRPr="00993D16">
              <w:rPr>
                <w:bCs/>
              </w:rPr>
              <w:t>:</w:t>
            </w:r>
          </w:p>
          <w:p w14:paraId="2104BC78" w14:textId="77777777" w:rsidR="002905BA" w:rsidRPr="00993D16" w:rsidRDefault="002905BA" w:rsidP="00315075">
            <w:pPr>
              <w:pBdr>
                <w:top w:val="nil"/>
                <w:left w:val="nil"/>
                <w:bottom w:val="nil"/>
                <w:right w:val="nil"/>
                <w:between w:val="nil"/>
              </w:pBdr>
              <w:spacing w:before="75" w:after="75"/>
              <w:jc w:val="both"/>
              <w:rPr>
                <w:bCs/>
              </w:rPr>
            </w:pPr>
            <w:r w:rsidRPr="00993D16">
              <w:rPr>
                <w:bCs/>
              </w:rPr>
              <w:t>“....</w:t>
            </w:r>
          </w:p>
          <w:p w14:paraId="4DBEF8AC" w14:textId="77777777" w:rsidR="002905BA" w:rsidRPr="00993D16" w:rsidRDefault="002905BA" w:rsidP="00315075">
            <w:pPr>
              <w:jc w:val="both"/>
            </w:pPr>
            <w:r w:rsidRPr="00993D16">
              <w:rPr>
                <w:bCs/>
              </w:rPr>
              <w:lastRenderedPageBreak/>
              <w:t xml:space="preserve">7) </w:t>
            </w:r>
            <w:r w:rsidRPr="00993D16">
              <w:t>nav sodīti, tajā skaitā - ja sodāmība dzēsta vai noņemta, par Krimināllikuma IX, IX</w:t>
            </w:r>
            <w:r w:rsidRPr="00993D16">
              <w:rPr>
                <w:vertAlign w:val="superscript"/>
              </w:rPr>
              <w:t>1</w:t>
            </w:r>
            <w:r w:rsidRPr="00993D16">
              <w:t>, X nodaļā, 116., 117., 118., 175. panta 4. daļā (stipri iedarbīgo, indīgo vai radioaktīvo vielu, sprāgstvielu, šaujamieroču vai munīcijas zādzība), 176. panta 3. daļā (stipri iedarbīgo, indīgo vai radioaktīvo vielu, sprāgstvielu, šaujamieroču vai munīcijas laupīšana), 176. panta 4. daļā (laupīšana, ja tā izdarīta, lietojot šaujamieročus vai sprāgstošas vielas), 177. panta 3. daļā (krāpšana, ja tā izdarīta, iegūstot stipri iedarbīgās, indīgās vai radioaktīvās vielas, sprāgstvielas, šaujam</w:t>
            </w:r>
            <w:r w:rsidRPr="00993D16">
              <w:softHyphen/>
              <w:t>ieročus vai munīciju), 179. panta 3. daļā (stipri iedarbīgo, indīgo vai radioaktīvo vielu, sprāgstvielu, šaujamieroču vai munīcijas piesavināšanās), 233., 234., 236., 237. pantā minētajiem noziedzīgajiem nodarījumiem;</w:t>
            </w:r>
          </w:p>
          <w:p w14:paraId="62C676F2" w14:textId="3256B75A" w:rsidR="002905BA" w:rsidRPr="00815F2B" w:rsidRDefault="002905BA" w:rsidP="00315075">
            <w:pPr>
              <w:rPr>
                <w:b/>
                <w:bCs/>
                <w:szCs w:val="20"/>
              </w:rPr>
            </w:pPr>
            <w:r w:rsidRPr="00993D16">
              <w:t>...”.</w:t>
            </w:r>
          </w:p>
        </w:tc>
      </w:tr>
    </w:tbl>
    <w:p w14:paraId="6E924620" w14:textId="7EEAF4AD" w:rsidR="000635C0" w:rsidRDefault="000635C0" w:rsidP="004F5302">
      <w:pPr>
        <w:pBdr>
          <w:top w:val="nil"/>
          <w:left w:val="nil"/>
          <w:bottom w:val="nil"/>
          <w:right w:val="nil"/>
          <w:between w:val="nil"/>
        </w:pBdr>
        <w:jc w:val="both"/>
        <w:rPr>
          <w:color w:val="000000"/>
        </w:rPr>
      </w:pPr>
    </w:p>
    <w:tbl>
      <w:tblPr>
        <w:tblW w:w="14482" w:type="dxa"/>
        <w:tblLayout w:type="fixed"/>
        <w:tblLook w:val="00A0" w:firstRow="1" w:lastRow="0" w:firstColumn="1" w:lastColumn="0" w:noHBand="0" w:noVBand="0"/>
      </w:tblPr>
      <w:tblGrid>
        <w:gridCol w:w="4847"/>
        <w:gridCol w:w="9635"/>
      </w:tblGrid>
      <w:tr w:rsidR="00543B6E" w:rsidRPr="00712B66" w14:paraId="6D7B2F72" w14:textId="77777777" w:rsidTr="00FD0C32">
        <w:tc>
          <w:tcPr>
            <w:tcW w:w="3108" w:type="dxa"/>
          </w:tcPr>
          <w:p w14:paraId="0CDE872A" w14:textId="02F2E162" w:rsidR="00543B6E" w:rsidRDefault="00543B6E" w:rsidP="00FD0C32">
            <w:pPr>
              <w:pStyle w:val="naiskr"/>
              <w:spacing w:before="0" w:after="0"/>
            </w:pPr>
          </w:p>
          <w:p w14:paraId="3ABD0EEB" w14:textId="77777777" w:rsidR="00543B6E" w:rsidRPr="00712B66" w:rsidRDefault="00543B6E" w:rsidP="00FD0C32">
            <w:pPr>
              <w:pStyle w:val="naiskr"/>
              <w:spacing w:before="0" w:after="0"/>
            </w:pPr>
          </w:p>
          <w:p w14:paraId="4FF41FB0" w14:textId="77777777" w:rsidR="00543B6E" w:rsidRPr="00712B66" w:rsidRDefault="00543B6E" w:rsidP="00FD0C32">
            <w:pPr>
              <w:pStyle w:val="naiskr"/>
              <w:spacing w:before="0" w:after="0"/>
            </w:pPr>
            <w:r w:rsidRPr="00712B66">
              <w:t>Atbildīgā amatpersona</w:t>
            </w:r>
          </w:p>
        </w:tc>
        <w:tc>
          <w:tcPr>
            <w:tcW w:w="6179" w:type="dxa"/>
          </w:tcPr>
          <w:p w14:paraId="63707D13" w14:textId="77777777" w:rsidR="00543B6E" w:rsidRPr="00712B66" w:rsidRDefault="00543B6E" w:rsidP="00FD0C32">
            <w:pPr>
              <w:pStyle w:val="naiskr"/>
              <w:spacing w:before="0" w:after="0"/>
              <w:ind w:firstLine="720"/>
            </w:pPr>
            <w:r w:rsidRPr="00712B66">
              <w:t>  </w:t>
            </w:r>
          </w:p>
        </w:tc>
      </w:tr>
      <w:tr w:rsidR="00543B6E" w:rsidRPr="00712B66" w14:paraId="50447B82" w14:textId="77777777" w:rsidTr="00FD0C32">
        <w:tc>
          <w:tcPr>
            <w:tcW w:w="3108" w:type="dxa"/>
          </w:tcPr>
          <w:p w14:paraId="29D817AF" w14:textId="77777777" w:rsidR="00543B6E" w:rsidRPr="00712B66" w:rsidRDefault="00543B6E" w:rsidP="00FD0C32">
            <w:pPr>
              <w:pStyle w:val="naiskr"/>
              <w:spacing w:before="0" w:after="0"/>
              <w:ind w:firstLine="720"/>
            </w:pPr>
          </w:p>
        </w:tc>
        <w:tc>
          <w:tcPr>
            <w:tcW w:w="6179" w:type="dxa"/>
            <w:tcBorders>
              <w:top w:val="single" w:sz="6" w:space="0" w:color="000000"/>
            </w:tcBorders>
          </w:tcPr>
          <w:p w14:paraId="6211645F" w14:textId="77777777" w:rsidR="00543B6E" w:rsidRPr="00712B66" w:rsidRDefault="00543B6E" w:rsidP="00FD0C32">
            <w:pPr>
              <w:pStyle w:val="naisc"/>
              <w:spacing w:before="0" w:after="0"/>
              <w:ind w:firstLine="720"/>
            </w:pPr>
            <w:r w:rsidRPr="00712B66">
              <w:t>(paraksts*)</w:t>
            </w:r>
          </w:p>
        </w:tc>
      </w:tr>
    </w:tbl>
    <w:p w14:paraId="74F86146" w14:textId="77777777" w:rsidR="00543B6E" w:rsidRDefault="00543B6E" w:rsidP="004F5302">
      <w:pPr>
        <w:pBdr>
          <w:top w:val="nil"/>
          <w:left w:val="nil"/>
          <w:bottom w:val="nil"/>
          <w:right w:val="nil"/>
          <w:between w:val="nil"/>
        </w:pBdr>
        <w:jc w:val="both"/>
        <w:rPr>
          <w:color w:val="000000"/>
        </w:rPr>
      </w:pPr>
    </w:p>
    <w:p w14:paraId="7C9919FB" w14:textId="77777777" w:rsidR="000635C0" w:rsidRDefault="000635C0">
      <w:pPr>
        <w:pBdr>
          <w:top w:val="nil"/>
          <w:left w:val="nil"/>
          <w:bottom w:val="nil"/>
          <w:right w:val="nil"/>
          <w:between w:val="nil"/>
        </w:pBdr>
        <w:ind w:firstLine="720"/>
        <w:jc w:val="both"/>
        <w:rPr>
          <w:color w:val="000000"/>
        </w:rPr>
      </w:pPr>
    </w:p>
    <w:p w14:paraId="1886A2CE" w14:textId="77777777" w:rsidR="000635C0" w:rsidRDefault="00BA0BA3" w:rsidP="00587906">
      <w:pPr>
        <w:pBdr>
          <w:top w:val="nil"/>
          <w:left w:val="nil"/>
          <w:bottom w:val="nil"/>
          <w:right w:val="nil"/>
          <w:between w:val="nil"/>
        </w:pBdr>
        <w:ind w:firstLine="720"/>
        <w:jc w:val="both"/>
        <w:rPr>
          <w:color w:val="000000"/>
        </w:rPr>
      </w:pPr>
      <w:r>
        <w:rPr>
          <w:color w:val="000000"/>
        </w:rPr>
        <w:t>Piezīme. * Dokumenta rekvizītu "paraksts" neaizpilda, ja elektroniskais dokuments ir sagatavots atbilstoši normatīvajiem aktiem par elektronisko dokumentu noformēšanu.</w:t>
      </w:r>
    </w:p>
    <w:p w14:paraId="00206C9E" w14:textId="77777777" w:rsidR="00587906" w:rsidRDefault="00587906" w:rsidP="00587906">
      <w:pPr>
        <w:pBdr>
          <w:top w:val="nil"/>
          <w:left w:val="nil"/>
          <w:bottom w:val="nil"/>
          <w:right w:val="nil"/>
          <w:between w:val="nil"/>
        </w:pBdr>
        <w:ind w:firstLine="720"/>
        <w:jc w:val="both"/>
        <w:rPr>
          <w:color w:val="000000"/>
        </w:rPr>
      </w:pPr>
    </w:p>
    <w:p w14:paraId="76F38A37" w14:textId="77777777" w:rsidR="00587906" w:rsidRDefault="009A72DC" w:rsidP="00587906">
      <w:pPr>
        <w:pBdr>
          <w:top w:val="nil"/>
          <w:left w:val="nil"/>
          <w:bottom w:val="nil"/>
          <w:right w:val="nil"/>
          <w:between w:val="nil"/>
        </w:pBdr>
        <w:ind w:firstLine="720"/>
        <w:jc w:val="both"/>
        <w:rPr>
          <w:color w:val="000000"/>
        </w:rPr>
      </w:pPr>
      <w:r>
        <w:rPr>
          <w:color w:val="000000"/>
        </w:rPr>
        <w:t>Nauris Rumpe</w:t>
      </w:r>
    </w:p>
    <w:tbl>
      <w:tblPr>
        <w:tblStyle w:val="a3"/>
        <w:tblW w:w="8268" w:type="dxa"/>
        <w:tblLayout w:type="fixed"/>
        <w:tblLook w:val="0000" w:firstRow="0" w:lastRow="0" w:firstColumn="0" w:lastColumn="0" w:noHBand="0" w:noVBand="0"/>
      </w:tblPr>
      <w:tblGrid>
        <w:gridCol w:w="8268"/>
      </w:tblGrid>
      <w:tr w:rsidR="000635C0" w14:paraId="3E8F286F" w14:textId="77777777">
        <w:tc>
          <w:tcPr>
            <w:tcW w:w="8268" w:type="dxa"/>
            <w:tcBorders>
              <w:top w:val="single" w:sz="4" w:space="0" w:color="000000"/>
            </w:tcBorders>
          </w:tcPr>
          <w:p w14:paraId="780A4F3F" w14:textId="77777777" w:rsidR="000635C0" w:rsidRDefault="00BA0BA3">
            <w:pPr>
              <w:jc w:val="center"/>
            </w:pPr>
            <w:r>
              <w:t>(par projektu atbildīgās amatpersonas vārds un uzvārds)</w:t>
            </w:r>
          </w:p>
        </w:tc>
      </w:tr>
      <w:tr w:rsidR="000635C0" w14:paraId="7DFCBB75" w14:textId="77777777">
        <w:tc>
          <w:tcPr>
            <w:tcW w:w="8268" w:type="dxa"/>
            <w:tcBorders>
              <w:bottom w:val="single" w:sz="4" w:space="0" w:color="000000"/>
            </w:tcBorders>
          </w:tcPr>
          <w:p w14:paraId="150F109B" w14:textId="77777777" w:rsidR="000635C0" w:rsidRDefault="009A72DC">
            <w:r>
              <w:t>Stratēģiskas nozīmes preču eksporta kontroles nodaļas vadītāja vietnieks</w:t>
            </w:r>
          </w:p>
        </w:tc>
      </w:tr>
      <w:tr w:rsidR="000635C0" w14:paraId="04D32229" w14:textId="77777777">
        <w:tc>
          <w:tcPr>
            <w:tcW w:w="8268" w:type="dxa"/>
            <w:tcBorders>
              <w:top w:val="single" w:sz="4" w:space="0" w:color="000000"/>
            </w:tcBorders>
          </w:tcPr>
          <w:p w14:paraId="63B07DB3" w14:textId="77777777" w:rsidR="000635C0" w:rsidRDefault="00BA0BA3">
            <w:pPr>
              <w:jc w:val="center"/>
            </w:pPr>
            <w:r>
              <w:t>(amats)</w:t>
            </w:r>
          </w:p>
        </w:tc>
      </w:tr>
      <w:tr w:rsidR="000635C0" w14:paraId="4273743F" w14:textId="77777777">
        <w:tc>
          <w:tcPr>
            <w:tcW w:w="8268" w:type="dxa"/>
            <w:tcBorders>
              <w:bottom w:val="single" w:sz="4" w:space="0" w:color="000000"/>
            </w:tcBorders>
          </w:tcPr>
          <w:p w14:paraId="32D2221D" w14:textId="77777777" w:rsidR="000635C0" w:rsidRDefault="00EE5E60" w:rsidP="009A72DC">
            <w:r>
              <w:t>67</w:t>
            </w:r>
            <w:r w:rsidR="009A72DC">
              <w:t>016430</w:t>
            </w:r>
          </w:p>
        </w:tc>
      </w:tr>
      <w:tr w:rsidR="000635C0" w14:paraId="383F7375" w14:textId="77777777">
        <w:tc>
          <w:tcPr>
            <w:tcW w:w="8268" w:type="dxa"/>
            <w:tcBorders>
              <w:top w:val="single" w:sz="4" w:space="0" w:color="000000"/>
            </w:tcBorders>
          </w:tcPr>
          <w:p w14:paraId="623F7A30" w14:textId="77777777" w:rsidR="000635C0" w:rsidRDefault="00BA0BA3">
            <w:pPr>
              <w:jc w:val="center"/>
            </w:pPr>
            <w:r>
              <w:t>(tālruņa un faksa numurs)</w:t>
            </w:r>
          </w:p>
        </w:tc>
      </w:tr>
      <w:tr w:rsidR="000635C0" w14:paraId="43D5A442" w14:textId="77777777">
        <w:tc>
          <w:tcPr>
            <w:tcW w:w="8268" w:type="dxa"/>
            <w:tcBorders>
              <w:bottom w:val="single" w:sz="4" w:space="0" w:color="000000"/>
            </w:tcBorders>
          </w:tcPr>
          <w:p w14:paraId="753D182E" w14:textId="77777777" w:rsidR="000635C0" w:rsidRDefault="009A72DC">
            <w:r>
              <w:t>nauris.rumpe@mfa.gov.lv</w:t>
            </w:r>
          </w:p>
        </w:tc>
      </w:tr>
      <w:tr w:rsidR="000635C0" w14:paraId="28F2EBC2" w14:textId="77777777">
        <w:tc>
          <w:tcPr>
            <w:tcW w:w="8268" w:type="dxa"/>
            <w:tcBorders>
              <w:top w:val="single" w:sz="4" w:space="0" w:color="000000"/>
            </w:tcBorders>
          </w:tcPr>
          <w:p w14:paraId="760B4214" w14:textId="77777777" w:rsidR="000635C0" w:rsidRDefault="00BA0BA3">
            <w:pPr>
              <w:jc w:val="center"/>
            </w:pPr>
            <w:r>
              <w:t>(e-pasta adrese)</w:t>
            </w:r>
          </w:p>
        </w:tc>
      </w:tr>
    </w:tbl>
    <w:p w14:paraId="0A4B39F0" w14:textId="77777777" w:rsidR="00114DF3" w:rsidRDefault="00114DF3" w:rsidP="00114DF3">
      <w:pPr>
        <w:pBdr>
          <w:top w:val="nil"/>
          <w:left w:val="nil"/>
          <w:bottom w:val="nil"/>
          <w:right w:val="nil"/>
          <w:between w:val="nil"/>
        </w:pBdr>
        <w:rPr>
          <w:color w:val="000000"/>
          <w:sz w:val="28"/>
          <w:szCs w:val="28"/>
        </w:rPr>
      </w:pPr>
    </w:p>
    <w:sectPr w:rsidR="00114DF3" w:rsidSect="00191B89">
      <w:headerReference w:type="even" r:id="rId8"/>
      <w:headerReference w:type="default" r:id="rId9"/>
      <w:footerReference w:type="default" r:id="rId10"/>
      <w:footerReference w:type="first" r:id="rId11"/>
      <w:pgSz w:w="16838" w:h="11906" w:orient="landscape"/>
      <w:pgMar w:top="1701" w:right="1531" w:bottom="737" w:left="147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268E0" w14:textId="77777777" w:rsidR="00D00F05" w:rsidRDefault="00D00F05">
      <w:r>
        <w:separator/>
      </w:r>
    </w:p>
  </w:endnote>
  <w:endnote w:type="continuationSeparator" w:id="0">
    <w:p w14:paraId="09B225A8" w14:textId="77777777" w:rsidR="00D00F05" w:rsidRDefault="00D0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8C94" w14:textId="43258633" w:rsidR="00315075" w:rsidRPr="001A4C1F" w:rsidRDefault="00315075" w:rsidP="001A4C1F">
    <w:pPr>
      <w:pStyle w:val="Footer"/>
    </w:pPr>
    <w:r w:rsidRPr="001A4C1F">
      <w:rPr>
        <w:color w:val="000000"/>
        <w:sz w:val="20"/>
        <w:szCs w:val="20"/>
      </w:rPr>
      <w:t>A</w:t>
    </w:r>
    <w:r w:rsidR="002F127A">
      <w:rPr>
        <w:color w:val="000000"/>
        <w:sz w:val="20"/>
        <w:szCs w:val="20"/>
      </w:rPr>
      <w:t>i</w:t>
    </w:r>
    <w:r w:rsidRPr="001A4C1F">
      <w:rPr>
        <w:color w:val="000000"/>
        <w:sz w:val="20"/>
        <w:szCs w:val="20"/>
      </w:rPr>
      <w:t>MIzz_</w:t>
    </w:r>
    <w:r w:rsidR="00B3475C">
      <w:rPr>
        <w:color w:val="000000"/>
        <w:sz w:val="20"/>
        <w:szCs w:val="20"/>
      </w:rPr>
      <w:t>26</w:t>
    </w:r>
    <w:r w:rsidRPr="001A4C1F">
      <w:rPr>
        <w:color w:val="000000"/>
        <w:sz w:val="20"/>
        <w:szCs w:val="20"/>
      </w:rPr>
      <w:t>0</w:t>
    </w:r>
    <w:r>
      <w:rPr>
        <w:color w:val="000000"/>
        <w:sz w:val="20"/>
        <w:szCs w:val="20"/>
      </w:rPr>
      <w:t>2</w:t>
    </w:r>
    <w:r w:rsidRPr="001A4C1F">
      <w:rPr>
        <w:color w:val="000000"/>
        <w:sz w:val="20"/>
        <w:szCs w:val="20"/>
      </w:rPr>
      <w:t>20_Strat_preces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D2D0" w14:textId="4E3CB4B0" w:rsidR="00315075" w:rsidRPr="001A4C1F" w:rsidRDefault="00315075" w:rsidP="001A4C1F">
    <w:pPr>
      <w:pStyle w:val="Footer"/>
    </w:pPr>
    <w:r w:rsidRPr="001A4C1F">
      <w:rPr>
        <w:color w:val="000000"/>
        <w:sz w:val="20"/>
        <w:szCs w:val="20"/>
      </w:rPr>
      <w:t>A</w:t>
    </w:r>
    <w:r w:rsidR="002F127A">
      <w:rPr>
        <w:color w:val="000000"/>
        <w:sz w:val="20"/>
        <w:szCs w:val="20"/>
      </w:rPr>
      <w:t>i</w:t>
    </w:r>
    <w:r w:rsidRPr="001A4C1F">
      <w:rPr>
        <w:color w:val="000000"/>
        <w:sz w:val="20"/>
        <w:szCs w:val="20"/>
      </w:rPr>
      <w:t>MIzz_</w:t>
    </w:r>
    <w:r w:rsidR="00B3475C">
      <w:rPr>
        <w:color w:val="000000"/>
        <w:sz w:val="20"/>
        <w:szCs w:val="20"/>
      </w:rPr>
      <w:t>26</w:t>
    </w:r>
    <w:r w:rsidRPr="001A4C1F">
      <w:rPr>
        <w:color w:val="000000"/>
        <w:sz w:val="20"/>
        <w:szCs w:val="20"/>
      </w:rPr>
      <w:t>0</w:t>
    </w:r>
    <w:r>
      <w:rPr>
        <w:color w:val="000000"/>
        <w:sz w:val="20"/>
        <w:szCs w:val="20"/>
      </w:rPr>
      <w:t>2</w:t>
    </w:r>
    <w:r w:rsidRPr="001A4C1F">
      <w:rPr>
        <w:color w:val="000000"/>
        <w:sz w:val="20"/>
        <w:szCs w:val="20"/>
      </w:rPr>
      <w:t>20_Strat_preces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2EBC" w14:textId="77777777" w:rsidR="00D00F05" w:rsidRDefault="00D00F05">
      <w:r>
        <w:separator/>
      </w:r>
    </w:p>
  </w:footnote>
  <w:footnote w:type="continuationSeparator" w:id="0">
    <w:p w14:paraId="08606E17" w14:textId="77777777" w:rsidR="00D00F05" w:rsidRDefault="00D00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2B44" w14:textId="77777777" w:rsidR="00315075" w:rsidRDefault="00315075">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587FBC0C" w14:textId="77777777" w:rsidR="00315075" w:rsidRDefault="00315075">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17501" w14:textId="016B103C" w:rsidR="00315075" w:rsidRDefault="00315075">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2F127A">
      <w:rPr>
        <w:noProof/>
        <w:color w:val="000000"/>
      </w:rPr>
      <w:t>2</w:t>
    </w:r>
    <w:r>
      <w:rPr>
        <w:color w:val="000000"/>
      </w:rPr>
      <w:fldChar w:fldCharType="end"/>
    </w:r>
  </w:p>
  <w:p w14:paraId="3D528566" w14:textId="77777777" w:rsidR="00315075" w:rsidRDefault="0031507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82B"/>
    <w:multiLevelType w:val="multilevel"/>
    <w:tmpl w:val="C0EEDC88"/>
    <w:lvl w:ilvl="0">
      <w:start w:val="1"/>
      <w:numFmt w:val="decimal"/>
      <w:lvlText w:val="(%1)"/>
      <w:lvlJc w:val="left"/>
      <w:pPr>
        <w:ind w:left="1159" w:hanging="45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751693A"/>
    <w:multiLevelType w:val="multilevel"/>
    <w:tmpl w:val="2B965EC8"/>
    <w:lvl w:ilvl="0">
      <w:start w:val="3"/>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 w15:restartNumberingAfterBreak="0">
    <w:nsid w:val="087F1C11"/>
    <w:multiLevelType w:val="multilevel"/>
    <w:tmpl w:val="C938038E"/>
    <w:lvl w:ilvl="0">
      <w:start w:val="7"/>
      <w:numFmt w:val="decimal"/>
      <w:lvlText w:val="%1."/>
      <w:lvlJc w:val="left"/>
      <w:pPr>
        <w:ind w:left="360" w:hanging="360"/>
      </w:pPr>
      <w:rPr>
        <w:b/>
        <w:vertAlign w:val="baseline"/>
      </w:rPr>
    </w:lvl>
    <w:lvl w:ilvl="1">
      <w:start w:val="1"/>
      <w:numFmt w:val="decimal"/>
      <w:lvlText w:val="%2)"/>
      <w:lvlJc w:val="left"/>
      <w:pPr>
        <w:ind w:left="360" w:hanging="360"/>
      </w:pPr>
      <w:rPr>
        <w:rFonts w:ascii="Times New Roman" w:eastAsia="Times New Roman" w:hAnsi="Times New Roman" w:cs="Times New Roman"/>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F7064BD"/>
    <w:multiLevelType w:val="hybridMultilevel"/>
    <w:tmpl w:val="73DA0F90"/>
    <w:lvl w:ilvl="0" w:tplc="085AB782">
      <w:start w:val="2"/>
      <w:numFmt w:val="decimal"/>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0A3460"/>
    <w:multiLevelType w:val="hybridMultilevel"/>
    <w:tmpl w:val="4FE451F0"/>
    <w:lvl w:ilvl="0" w:tplc="D8D054E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E330F6"/>
    <w:multiLevelType w:val="multilevel"/>
    <w:tmpl w:val="1F06739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38111C0D"/>
    <w:multiLevelType w:val="hybridMultilevel"/>
    <w:tmpl w:val="556C6526"/>
    <w:lvl w:ilvl="0" w:tplc="3BDE26C2">
      <w:start w:val="2"/>
      <w:numFmt w:val="decimal"/>
      <w:lvlText w:val="(%1)"/>
      <w:lvlJc w:val="left"/>
      <w:pPr>
        <w:ind w:left="825" w:hanging="465"/>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FC3040"/>
    <w:multiLevelType w:val="hybridMultilevel"/>
    <w:tmpl w:val="7FE86908"/>
    <w:lvl w:ilvl="0" w:tplc="DBEA6202">
      <w:start w:val="2"/>
      <w:numFmt w:val="decimal"/>
      <w:lvlText w:val="(%1)"/>
      <w:lvlJc w:val="left"/>
      <w:pPr>
        <w:ind w:left="1020" w:hanging="6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EF27BF"/>
    <w:multiLevelType w:val="hybridMultilevel"/>
    <w:tmpl w:val="4A5077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7E6C13"/>
    <w:multiLevelType w:val="hybridMultilevel"/>
    <w:tmpl w:val="DCB6B758"/>
    <w:lvl w:ilvl="0" w:tplc="0F88568E">
      <w:start w:val="2"/>
      <w:numFmt w:val="decimal"/>
      <w:lvlText w:val="%1)"/>
      <w:lvlJc w:val="left"/>
      <w:pPr>
        <w:ind w:left="930" w:hanging="57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7A5114"/>
    <w:multiLevelType w:val="hybridMultilevel"/>
    <w:tmpl w:val="5F0A8202"/>
    <w:lvl w:ilvl="0" w:tplc="D1DEB0BA">
      <w:start w:val="1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883A7F"/>
    <w:multiLevelType w:val="multilevel"/>
    <w:tmpl w:val="B70617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3365882"/>
    <w:multiLevelType w:val="hybridMultilevel"/>
    <w:tmpl w:val="3440D7CC"/>
    <w:lvl w:ilvl="0" w:tplc="7042F8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48464F"/>
    <w:multiLevelType w:val="multilevel"/>
    <w:tmpl w:val="049C56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A1D29CA"/>
    <w:multiLevelType w:val="hybridMultilevel"/>
    <w:tmpl w:val="1F323CD8"/>
    <w:lvl w:ilvl="0" w:tplc="0E86A26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9242CD5"/>
    <w:multiLevelType w:val="multilevel"/>
    <w:tmpl w:val="2B4C5020"/>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B275F07"/>
    <w:multiLevelType w:val="hybridMultilevel"/>
    <w:tmpl w:val="2BBC473C"/>
    <w:lvl w:ilvl="0" w:tplc="CB1EC7CA">
      <w:start w:val="2"/>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3"/>
  </w:num>
  <w:num w:numId="4">
    <w:abstractNumId w:val="15"/>
  </w:num>
  <w:num w:numId="5">
    <w:abstractNumId w:val="5"/>
  </w:num>
  <w:num w:numId="6">
    <w:abstractNumId w:val="11"/>
  </w:num>
  <w:num w:numId="7">
    <w:abstractNumId w:val="1"/>
  </w:num>
  <w:num w:numId="8">
    <w:abstractNumId w:val="9"/>
  </w:num>
  <w:num w:numId="9">
    <w:abstractNumId w:val="3"/>
  </w:num>
  <w:num w:numId="10">
    <w:abstractNumId w:val="7"/>
  </w:num>
  <w:num w:numId="11">
    <w:abstractNumId w:val="16"/>
  </w:num>
  <w:num w:numId="12">
    <w:abstractNumId w:val="6"/>
  </w:num>
  <w:num w:numId="13">
    <w:abstractNumId w:val="12"/>
  </w:num>
  <w:num w:numId="14">
    <w:abstractNumId w:val="14"/>
  </w:num>
  <w:num w:numId="15">
    <w:abstractNumId w:val="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C0"/>
    <w:rsid w:val="00001972"/>
    <w:rsid w:val="0001207B"/>
    <w:rsid w:val="00015A38"/>
    <w:rsid w:val="00017878"/>
    <w:rsid w:val="000232EE"/>
    <w:rsid w:val="000271A1"/>
    <w:rsid w:val="00031E98"/>
    <w:rsid w:val="00042358"/>
    <w:rsid w:val="00042539"/>
    <w:rsid w:val="00042E6C"/>
    <w:rsid w:val="000459F9"/>
    <w:rsid w:val="00056864"/>
    <w:rsid w:val="00060FEA"/>
    <w:rsid w:val="000635C0"/>
    <w:rsid w:val="00071A69"/>
    <w:rsid w:val="0007493A"/>
    <w:rsid w:val="00074E76"/>
    <w:rsid w:val="00081482"/>
    <w:rsid w:val="00082EE6"/>
    <w:rsid w:val="00085173"/>
    <w:rsid w:val="00086BC8"/>
    <w:rsid w:val="00090F15"/>
    <w:rsid w:val="000925F6"/>
    <w:rsid w:val="000953A6"/>
    <w:rsid w:val="00096F30"/>
    <w:rsid w:val="000A2EDA"/>
    <w:rsid w:val="000A6574"/>
    <w:rsid w:val="000A7F6A"/>
    <w:rsid w:val="000B1A7F"/>
    <w:rsid w:val="000B3092"/>
    <w:rsid w:val="000B4216"/>
    <w:rsid w:val="000C451F"/>
    <w:rsid w:val="000C49C6"/>
    <w:rsid w:val="000C787B"/>
    <w:rsid w:val="000D0EBB"/>
    <w:rsid w:val="000D2C8A"/>
    <w:rsid w:val="000D5D20"/>
    <w:rsid w:val="000E2D0A"/>
    <w:rsid w:val="000F3D97"/>
    <w:rsid w:val="000F747E"/>
    <w:rsid w:val="001105EF"/>
    <w:rsid w:val="00114A0B"/>
    <w:rsid w:val="00114DF3"/>
    <w:rsid w:val="0011578C"/>
    <w:rsid w:val="00122B69"/>
    <w:rsid w:val="00126CDE"/>
    <w:rsid w:val="001307E9"/>
    <w:rsid w:val="00131A70"/>
    <w:rsid w:val="00133BC6"/>
    <w:rsid w:val="001342DD"/>
    <w:rsid w:val="00134388"/>
    <w:rsid w:val="001348AF"/>
    <w:rsid w:val="001355D6"/>
    <w:rsid w:val="0013594D"/>
    <w:rsid w:val="0013640E"/>
    <w:rsid w:val="00137810"/>
    <w:rsid w:val="00143A98"/>
    <w:rsid w:val="001442AD"/>
    <w:rsid w:val="001458F4"/>
    <w:rsid w:val="00146202"/>
    <w:rsid w:val="0015089D"/>
    <w:rsid w:val="00151C34"/>
    <w:rsid w:val="00151E72"/>
    <w:rsid w:val="0015302B"/>
    <w:rsid w:val="00156F61"/>
    <w:rsid w:val="00157BB4"/>
    <w:rsid w:val="00167607"/>
    <w:rsid w:val="00171B24"/>
    <w:rsid w:val="001731B7"/>
    <w:rsid w:val="00176A6C"/>
    <w:rsid w:val="00191B89"/>
    <w:rsid w:val="00192BC0"/>
    <w:rsid w:val="0019366B"/>
    <w:rsid w:val="00193F01"/>
    <w:rsid w:val="001970C7"/>
    <w:rsid w:val="001A0860"/>
    <w:rsid w:val="001A38C9"/>
    <w:rsid w:val="001A3CFD"/>
    <w:rsid w:val="001A431F"/>
    <w:rsid w:val="001A4C1F"/>
    <w:rsid w:val="001A5760"/>
    <w:rsid w:val="001A7CA3"/>
    <w:rsid w:val="001B19FB"/>
    <w:rsid w:val="001B250F"/>
    <w:rsid w:val="001C0353"/>
    <w:rsid w:val="001C413F"/>
    <w:rsid w:val="001D504D"/>
    <w:rsid w:val="001E4888"/>
    <w:rsid w:val="001E6DC7"/>
    <w:rsid w:val="00204930"/>
    <w:rsid w:val="00204A9B"/>
    <w:rsid w:val="00211337"/>
    <w:rsid w:val="00211550"/>
    <w:rsid w:val="00217A15"/>
    <w:rsid w:val="00217FA0"/>
    <w:rsid w:val="00224859"/>
    <w:rsid w:val="00226F82"/>
    <w:rsid w:val="00245D8E"/>
    <w:rsid w:val="00254883"/>
    <w:rsid w:val="00255FF3"/>
    <w:rsid w:val="00257663"/>
    <w:rsid w:val="00260793"/>
    <w:rsid w:val="00270095"/>
    <w:rsid w:val="00271F72"/>
    <w:rsid w:val="0027205A"/>
    <w:rsid w:val="002725EB"/>
    <w:rsid w:val="002805E9"/>
    <w:rsid w:val="00281359"/>
    <w:rsid w:val="002831A5"/>
    <w:rsid w:val="002905BA"/>
    <w:rsid w:val="00297595"/>
    <w:rsid w:val="002A0E0D"/>
    <w:rsid w:val="002B00E3"/>
    <w:rsid w:val="002B25AB"/>
    <w:rsid w:val="002B3DDB"/>
    <w:rsid w:val="002B3E87"/>
    <w:rsid w:val="002B7CCF"/>
    <w:rsid w:val="002C1556"/>
    <w:rsid w:val="002C26F3"/>
    <w:rsid w:val="002C27F1"/>
    <w:rsid w:val="002C5994"/>
    <w:rsid w:val="002D0208"/>
    <w:rsid w:val="002E1F1C"/>
    <w:rsid w:val="002E2E48"/>
    <w:rsid w:val="002E2E93"/>
    <w:rsid w:val="002E5086"/>
    <w:rsid w:val="002F0538"/>
    <w:rsid w:val="002F127A"/>
    <w:rsid w:val="002F18E4"/>
    <w:rsid w:val="002F639B"/>
    <w:rsid w:val="002F7611"/>
    <w:rsid w:val="00301362"/>
    <w:rsid w:val="00304B8D"/>
    <w:rsid w:val="00306C90"/>
    <w:rsid w:val="003111EB"/>
    <w:rsid w:val="00313085"/>
    <w:rsid w:val="003142F9"/>
    <w:rsid w:val="00315075"/>
    <w:rsid w:val="00317B06"/>
    <w:rsid w:val="0032058C"/>
    <w:rsid w:val="00321B04"/>
    <w:rsid w:val="00321F26"/>
    <w:rsid w:val="00326BE3"/>
    <w:rsid w:val="00332AD4"/>
    <w:rsid w:val="003331A9"/>
    <w:rsid w:val="00335A14"/>
    <w:rsid w:val="00343D42"/>
    <w:rsid w:val="0035441C"/>
    <w:rsid w:val="00360682"/>
    <w:rsid w:val="0038097E"/>
    <w:rsid w:val="003821DA"/>
    <w:rsid w:val="00382B5B"/>
    <w:rsid w:val="00384FD2"/>
    <w:rsid w:val="00392B06"/>
    <w:rsid w:val="003A178E"/>
    <w:rsid w:val="003A49E2"/>
    <w:rsid w:val="003A4ED6"/>
    <w:rsid w:val="003B3040"/>
    <w:rsid w:val="003B4574"/>
    <w:rsid w:val="003B5A2E"/>
    <w:rsid w:val="003B5FD9"/>
    <w:rsid w:val="003C22E2"/>
    <w:rsid w:val="003C6CB2"/>
    <w:rsid w:val="003C7435"/>
    <w:rsid w:val="003D136C"/>
    <w:rsid w:val="003D74A5"/>
    <w:rsid w:val="003E08C0"/>
    <w:rsid w:val="003E0996"/>
    <w:rsid w:val="003E1CBE"/>
    <w:rsid w:val="003E31C9"/>
    <w:rsid w:val="003F6436"/>
    <w:rsid w:val="00400011"/>
    <w:rsid w:val="00402661"/>
    <w:rsid w:val="00402BAE"/>
    <w:rsid w:val="00405261"/>
    <w:rsid w:val="00405FAD"/>
    <w:rsid w:val="0041442E"/>
    <w:rsid w:val="00431291"/>
    <w:rsid w:val="00435506"/>
    <w:rsid w:val="004358F9"/>
    <w:rsid w:val="00437BF7"/>
    <w:rsid w:val="0044480A"/>
    <w:rsid w:val="00444863"/>
    <w:rsid w:val="00445E53"/>
    <w:rsid w:val="004511C9"/>
    <w:rsid w:val="00451428"/>
    <w:rsid w:val="004527DE"/>
    <w:rsid w:val="0045657E"/>
    <w:rsid w:val="004577E4"/>
    <w:rsid w:val="00457E0C"/>
    <w:rsid w:val="004649DD"/>
    <w:rsid w:val="00467269"/>
    <w:rsid w:val="0047065C"/>
    <w:rsid w:val="0047113D"/>
    <w:rsid w:val="00471E1F"/>
    <w:rsid w:val="00475466"/>
    <w:rsid w:val="00481A2A"/>
    <w:rsid w:val="00484F14"/>
    <w:rsid w:val="00490839"/>
    <w:rsid w:val="00490D24"/>
    <w:rsid w:val="00492346"/>
    <w:rsid w:val="0049309B"/>
    <w:rsid w:val="0049314E"/>
    <w:rsid w:val="004954A1"/>
    <w:rsid w:val="00497201"/>
    <w:rsid w:val="00497A6C"/>
    <w:rsid w:val="00497B82"/>
    <w:rsid w:val="004A383A"/>
    <w:rsid w:val="004B2ED7"/>
    <w:rsid w:val="004C2FFA"/>
    <w:rsid w:val="004C7A04"/>
    <w:rsid w:val="004D1EB5"/>
    <w:rsid w:val="004D5577"/>
    <w:rsid w:val="004F05DA"/>
    <w:rsid w:val="004F31CA"/>
    <w:rsid w:val="004F43EC"/>
    <w:rsid w:val="004F5302"/>
    <w:rsid w:val="004F77D9"/>
    <w:rsid w:val="00500A9A"/>
    <w:rsid w:val="005042E3"/>
    <w:rsid w:val="00511E22"/>
    <w:rsid w:val="005123E0"/>
    <w:rsid w:val="00513859"/>
    <w:rsid w:val="005164D2"/>
    <w:rsid w:val="00520878"/>
    <w:rsid w:val="005246CE"/>
    <w:rsid w:val="0052733E"/>
    <w:rsid w:val="00530E2E"/>
    <w:rsid w:val="00533B13"/>
    <w:rsid w:val="00537E80"/>
    <w:rsid w:val="00540C99"/>
    <w:rsid w:val="00541276"/>
    <w:rsid w:val="00543B6E"/>
    <w:rsid w:val="00543F6C"/>
    <w:rsid w:val="005479A2"/>
    <w:rsid w:val="00551184"/>
    <w:rsid w:val="00551220"/>
    <w:rsid w:val="00553B32"/>
    <w:rsid w:val="005552C2"/>
    <w:rsid w:val="00567E68"/>
    <w:rsid w:val="00571800"/>
    <w:rsid w:val="00571E83"/>
    <w:rsid w:val="00572B4C"/>
    <w:rsid w:val="00573EF8"/>
    <w:rsid w:val="00577401"/>
    <w:rsid w:val="00577758"/>
    <w:rsid w:val="00580195"/>
    <w:rsid w:val="00582DFD"/>
    <w:rsid w:val="00586719"/>
    <w:rsid w:val="00587906"/>
    <w:rsid w:val="0059038F"/>
    <w:rsid w:val="00593FE7"/>
    <w:rsid w:val="005A07ED"/>
    <w:rsid w:val="005A129E"/>
    <w:rsid w:val="005A6430"/>
    <w:rsid w:val="005A743E"/>
    <w:rsid w:val="005A7782"/>
    <w:rsid w:val="005B0E41"/>
    <w:rsid w:val="005B164F"/>
    <w:rsid w:val="005B5102"/>
    <w:rsid w:val="005C2C62"/>
    <w:rsid w:val="005C49E5"/>
    <w:rsid w:val="005C51B7"/>
    <w:rsid w:val="005C7595"/>
    <w:rsid w:val="005D0737"/>
    <w:rsid w:val="005D1BE0"/>
    <w:rsid w:val="005D231C"/>
    <w:rsid w:val="005D2662"/>
    <w:rsid w:val="005D3978"/>
    <w:rsid w:val="005D52EC"/>
    <w:rsid w:val="005D52F6"/>
    <w:rsid w:val="005E55D4"/>
    <w:rsid w:val="005F2A7D"/>
    <w:rsid w:val="005F5D59"/>
    <w:rsid w:val="00603657"/>
    <w:rsid w:val="00605345"/>
    <w:rsid w:val="006057B7"/>
    <w:rsid w:val="00616C19"/>
    <w:rsid w:val="00616CF1"/>
    <w:rsid w:val="00623563"/>
    <w:rsid w:val="00630E6E"/>
    <w:rsid w:val="006364CC"/>
    <w:rsid w:val="006370FC"/>
    <w:rsid w:val="00641282"/>
    <w:rsid w:val="0065195D"/>
    <w:rsid w:val="00652CB1"/>
    <w:rsid w:val="00653DCE"/>
    <w:rsid w:val="00655300"/>
    <w:rsid w:val="00655864"/>
    <w:rsid w:val="0065600F"/>
    <w:rsid w:val="00663B0B"/>
    <w:rsid w:val="00664AED"/>
    <w:rsid w:val="006711C0"/>
    <w:rsid w:val="00672B80"/>
    <w:rsid w:val="00675D17"/>
    <w:rsid w:val="00680337"/>
    <w:rsid w:val="00681904"/>
    <w:rsid w:val="00681CF5"/>
    <w:rsid w:val="006822FF"/>
    <w:rsid w:val="00694DBE"/>
    <w:rsid w:val="006A2DBE"/>
    <w:rsid w:val="006A6E1F"/>
    <w:rsid w:val="006B0BDF"/>
    <w:rsid w:val="006C55AB"/>
    <w:rsid w:val="006D2FB3"/>
    <w:rsid w:val="006D51B6"/>
    <w:rsid w:val="006D72F4"/>
    <w:rsid w:val="006E3053"/>
    <w:rsid w:val="006E6D0F"/>
    <w:rsid w:val="006F0185"/>
    <w:rsid w:val="006F3312"/>
    <w:rsid w:val="006F70D9"/>
    <w:rsid w:val="007004C3"/>
    <w:rsid w:val="0070259C"/>
    <w:rsid w:val="007069B0"/>
    <w:rsid w:val="00707843"/>
    <w:rsid w:val="00714A9F"/>
    <w:rsid w:val="00715273"/>
    <w:rsid w:val="007344C4"/>
    <w:rsid w:val="007374E8"/>
    <w:rsid w:val="007402CB"/>
    <w:rsid w:val="007409D5"/>
    <w:rsid w:val="0074430D"/>
    <w:rsid w:val="00753AB5"/>
    <w:rsid w:val="00766B0F"/>
    <w:rsid w:val="007706C0"/>
    <w:rsid w:val="00776A57"/>
    <w:rsid w:val="00782EB7"/>
    <w:rsid w:val="00786F8B"/>
    <w:rsid w:val="007945C8"/>
    <w:rsid w:val="0079533C"/>
    <w:rsid w:val="007959FD"/>
    <w:rsid w:val="007A1647"/>
    <w:rsid w:val="007A3012"/>
    <w:rsid w:val="007A5002"/>
    <w:rsid w:val="007A6802"/>
    <w:rsid w:val="007A6B37"/>
    <w:rsid w:val="007B6833"/>
    <w:rsid w:val="007B6AAF"/>
    <w:rsid w:val="007C5234"/>
    <w:rsid w:val="007D333F"/>
    <w:rsid w:val="007E0D31"/>
    <w:rsid w:val="007E13FF"/>
    <w:rsid w:val="007E20A0"/>
    <w:rsid w:val="007E3E94"/>
    <w:rsid w:val="007E513A"/>
    <w:rsid w:val="007E6DC2"/>
    <w:rsid w:val="007F2556"/>
    <w:rsid w:val="00807354"/>
    <w:rsid w:val="00810901"/>
    <w:rsid w:val="00814747"/>
    <w:rsid w:val="00815F2B"/>
    <w:rsid w:val="00820619"/>
    <w:rsid w:val="00821EAB"/>
    <w:rsid w:val="00823957"/>
    <w:rsid w:val="00833FFC"/>
    <w:rsid w:val="00837BC2"/>
    <w:rsid w:val="00840AF4"/>
    <w:rsid w:val="00840C55"/>
    <w:rsid w:val="00843270"/>
    <w:rsid w:val="00843C3A"/>
    <w:rsid w:val="00845DCE"/>
    <w:rsid w:val="008503A8"/>
    <w:rsid w:val="0085169A"/>
    <w:rsid w:val="008561D6"/>
    <w:rsid w:val="00857051"/>
    <w:rsid w:val="00861B20"/>
    <w:rsid w:val="0086248B"/>
    <w:rsid w:val="00862E7F"/>
    <w:rsid w:val="00870C06"/>
    <w:rsid w:val="00877064"/>
    <w:rsid w:val="008824B3"/>
    <w:rsid w:val="00884839"/>
    <w:rsid w:val="00892B53"/>
    <w:rsid w:val="00895DFB"/>
    <w:rsid w:val="00896AB6"/>
    <w:rsid w:val="00896F7C"/>
    <w:rsid w:val="008A1011"/>
    <w:rsid w:val="008A2835"/>
    <w:rsid w:val="008A4BA6"/>
    <w:rsid w:val="008A7862"/>
    <w:rsid w:val="008B37E5"/>
    <w:rsid w:val="008B621E"/>
    <w:rsid w:val="008B760F"/>
    <w:rsid w:val="008C7581"/>
    <w:rsid w:val="008C79CD"/>
    <w:rsid w:val="008C7B8E"/>
    <w:rsid w:val="008D2F28"/>
    <w:rsid w:val="008D3890"/>
    <w:rsid w:val="008D614B"/>
    <w:rsid w:val="008E1214"/>
    <w:rsid w:val="008E2AF6"/>
    <w:rsid w:val="008E3A65"/>
    <w:rsid w:val="008F1E89"/>
    <w:rsid w:val="008F5C4F"/>
    <w:rsid w:val="008F6D10"/>
    <w:rsid w:val="0090556E"/>
    <w:rsid w:val="00906421"/>
    <w:rsid w:val="00910767"/>
    <w:rsid w:val="009125F7"/>
    <w:rsid w:val="009127F2"/>
    <w:rsid w:val="0091519B"/>
    <w:rsid w:val="0091706D"/>
    <w:rsid w:val="00922630"/>
    <w:rsid w:val="009248D1"/>
    <w:rsid w:val="00924C12"/>
    <w:rsid w:val="00930DFE"/>
    <w:rsid w:val="00931859"/>
    <w:rsid w:val="009375EF"/>
    <w:rsid w:val="009435ED"/>
    <w:rsid w:val="009445D3"/>
    <w:rsid w:val="009447E9"/>
    <w:rsid w:val="00946BD1"/>
    <w:rsid w:val="00947AD3"/>
    <w:rsid w:val="00951887"/>
    <w:rsid w:val="00960DB1"/>
    <w:rsid w:val="0096161F"/>
    <w:rsid w:val="00963EA6"/>
    <w:rsid w:val="00964DCF"/>
    <w:rsid w:val="00965F56"/>
    <w:rsid w:val="00966373"/>
    <w:rsid w:val="00971748"/>
    <w:rsid w:val="009761EA"/>
    <w:rsid w:val="00980546"/>
    <w:rsid w:val="00987CA0"/>
    <w:rsid w:val="00993D16"/>
    <w:rsid w:val="009A04C7"/>
    <w:rsid w:val="009A4138"/>
    <w:rsid w:val="009A72DC"/>
    <w:rsid w:val="009B669E"/>
    <w:rsid w:val="009C0815"/>
    <w:rsid w:val="009C431F"/>
    <w:rsid w:val="009C485F"/>
    <w:rsid w:val="009C4F83"/>
    <w:rsid w:val="009C6D27"/>
    <w:rsid w:val="009C72C7"/>
    <w:rsid w:val="009D1C07"/>
    <w:rsid w:val="009D3057"/>
    <w:rsid w:val="009E0B1E"/>
    <w:rsid w:val="009E3E4D"/>
    <w:rsid w:val="009E5EC9"/>
    <w:rsid w:val="009E7028"/>
    <w:rsid w:val="009F112B"/>
    <w:rsid w:val="009F1578"/>
    <w:rsid w:val="009F174E"/>
    <w:rsid w:val="00A01CF1"/>
    <w:rsid w:val="00A0616D"/>
    <w:rsid w:val="00A12DFB"/>
    <w:rsid w:val="00A13431"/>
    <w:rsid w:val="00A17FA7"/>
    <w:rsid w:val="00A20A87"/>
    <w:rsid w:val="00A23117"/>
    <w:rsid w:val="00A25107"/>
    <w:rsid w:val="00A25EC2"/>
    <w:rsid w:val="00A32CE3"/>
    <w:rsid w:val="00A32FD3"/>
    <w:rsid w:val="00A50108"/>
    <w:rsid w:val="00A5031B"/>
    <w:rsid w:val="00A60AEA"/>
    <w:rsid w:val="00A616BD"/>
    <w:rsid w:val="00A676B8"/>
    <w:rsid w:val="00A7210A"/>
    <w:rsid w:val="00A741C2"/>
    <w:rsid w:val="00A74C10"/>
    <w:rsid w:val="00A75BA6"/>
    <w:rsid w:val="00A80A06"/>
    <w:rsid w:val="00A82A4E"/>
    <w:rsid w:val="00A87F22"/>
    <w:rsid w:val="00A87FE8"/>
    <w:rsid w:val="00A924A0"/>
    <w:rsid w:val="00A94615"/>
    <w:rsid w:val="00A97085"/>
    <w:rsid w:val="00AB19D7"/>
    <w:rsid w:val="00AB240E"/>
    <w:rsid w:val="00AB74D2"/>
    <w:rsid w:val="00AC33D2"/>
    <w:rsid w:val="00AC637F"/>
    <w:rsid w:val="00AD42BC"/>
    <w:rsid w:val="00AD6935"/>
    <w:rsid w:val="00AD76DF"/>
    <w:rsid w:val="00AE796B"/>
    <w:rsid w:val="00AF0198"/>
    <w:rsid w:val="00AF23B6"/>
    <w:rsid w:val="00AF3513"/>
    <w:rsid w:val="00AF52C5"/>
    <w:rsid w:val="00B136EC"/>
    <w:rsid w:val="00B136FA"/>
    <w:rsid w:val="00B24495"/>
    <w:rsid w:val="00B26F07"/>
    <w:rsid w:val="00B3475C"/>
    <w:rsid w:val="00B34CC6"/>
    <w:rsid w:val="00B41978"/>
    <w:rsid w:val="00B559B9"/>
    <w:rsid w:val="00B63412"/>
    <w:rsid w:val="00B642A0"/>
    <w:rsid w:val="00B6559B"/>
    <w:rsid w:val="00B65736"/>
    <w:rsid w:val="00B7273E"/>
    <w:rsid w:val="00B76634"/>
    <w:rsid w:val="00B77F42"/>
    <w:rsid w:val="00B8065C"/>
    <w:rsid w:val="00B85548"/>
    <w:rsid w:val="00B90C0F"/>
    <w:rsid w:val="00B92AA8"/>
    <w:rsid w:val="00B92C42"/>
    <w:rsid w:val="00BA0BA3"/>
    <w:rsid w:val="00BA18A4"/>
    <w:rsid w:val="00BB3D37"/>
    <w:rsid w:val="00BB3FF1"/>
    <w:rsid w:val="00BC24C5"/>
    <w:rsid w:val="00BC70F6"/>
    <w:rsid w:val="00BD3589"/>
    <w:rsid w:val="00BD55DC"/>
    <w:rsid w:val="00BD72BB"/>
    <w:rsid w:val="00BD7E7A"/>
    <w:rsid w:val="00BE00E4"/>
    <w:rsid w:val="00BE0FD2"/>
    <w:rsid w:val="00BE7A5D"/>
    <w:rsid w:val="00BE7B8B"/>
    <w:rsid w:val="00BF129E"/>
    <w:rsid w:val="00C003D0"/>
    <w:rsid w:val="00C01BF2"/>
    <w:rsid w:val="00C042AB"/>
    <w:rsid w:val="00C05527"/>
    <w:rsid w:val="00C0626E"/>
    <w:rsid w:val="00C114D2"/>
    <w:rsid w:val="00C156C7"/>
    <w:rsid w:val="00C20C2B"/>
    <w:rsid w:val="00C21D62"/>
    <w:rsid w:val="00C266B1"/>
    <w:rsid w:val="00C27145"/>
    <w:rsid w:val="00C302CA"/>
    <w:rsid w:val="00C315B4"/>
    <w:rsid w:val="00C33D62"/>
    <w:rsid w:val="00C356FF"/>
    <w:rsid w:val="00C3629F"/>
    <w:rsid w:val="00C414A4"/>
    <w:rsid w:val="00C42815"/>
    <w:rsid w:val="00C4339D"/>
    <w:rsid w:val="00C45047"/>
    <w:rsid w:val="00C57CC5"/>
    <w:rsid w:val="00C61C6D"/>
    <w:rsid w:val="00C61F92"/>
    <w:rsid w:val="00C653B9"/>
    <w:rsid w:val="00C72BBB"/>
    <w:rsid w:val="00C77EE9"/>
    <w:rsid w:val="00C80487"/>
    <w:rsid w:val="00CA6D01"/>
    <w:rsid w:val="00CB0B3F"/>
    <w:rsid w:val="00CB502A"/>
    <w:rsid w:val="00CB606D"/>
    <w:rsid w:val="00CC3D6C"/>
    <w:rsid w:val="00CC41AF"/>
    <w:rsid w:val="00CC7198"/>
    <w:rsid w:val="00CD3248"/>
    <w:rsid w:val="00CD5087"/>
    <w:rsid w:val="00CE1032"/>
    <w:rsid w:val="00CE1901"/>
    <w:rsid w:val="00CE7623"/>
    <w:rsid w:val="00CE7C6D"/>
    <w:rsid w:val="00CF09B5"/>
    <w:rsid w:val="00CF3EA1"/>
    <w:rsid w:val="00D00F05"/>
    <w:rsid w:val="00D02333"/>
    <w:rsid w:val="00D06638"/>
    <w:rsid w:val="00D10CD7"/>
    <w:rsid w:val="00D13239"/>
    <w:rsid w:val="00D1665D"/>
    <w:rsid w:val="00D1712F"/>
    <w:rsid w:val="00D2044F"/>
    <w:rsid w:val="00D22431"/>
    <w:rsid w:val="00D24ED1"/>
    <w:rsid w:val="00D30F2B"/>
    <w:rsid w:val="00D40198"/>
    <w:rsid w:val="00D4067E"/>
    <w:rsid w:val="00D41120"/>
    <w:rsid w:val="00D4133E"/>
    <w:rsid w:val="00D439F8"/>
    <w:rsid w:val="00D5451C"/>
    <w:rsid w:val="00D57421"/>
    <w:rsid w:val="00D638E1"/>
    <w:rsid w:val="00D7276D"/>
    <w:rsid w:val="00D81BDF"/>
    <w:rsid w:val="00D864DF"/>
    <w:rsid w:val="00D86DF5"/>
    <w:rsid w:val="00D9130D"/>
    <w:rsid w:val="00D95ED2"/>
    <w:rsid w:val="00DA0F6A"/>
    <w:rsid w:val="00DA2AFC"/>
    <w:rsid w:val="00DA7881"/>
    <w:rsid w:val="00DA7B1F"/>
    <w:rsid w:val="00DB2683"/>
    <w:rsid w:val="00DB445C"/>
    <w:rsid w:val="00DB4D4E"/>
    <w:rsid w:val="00DC2682"/>
    <w:rsid w:val="00DC56B9"/>
    <w:rsid w:val="00DD18C1"/>
    <w:rsid w:val="00DE1B5F"/>
    <w:rsid w:val="00DE2A76"/>
    <w:rsid w:val="00DE4F91"/>
    <w:rsid w:val="00DE6F80"/>
    <w:rsid w:val="00DE7C13"/>
    <w:rsid w:val="00DF1BCB"/>
    <w:rsid w:val="00DF43D2"/>
    <w:rsid w:val="00DF4613"/>
    <w:rsid w:val="00DF6A98"/>
    <w:rsid w:val="00E04C3B"/>
    <w:rsid w:val="00E07176"/>
    <w:rsid w:val="00E10B4C"/>
    <w:rsid w:val="00E1781B"/>
    <w:rsid w:val="00E21665"/>
    <w:rsid w:val="00E21A70"/>
    <w:rsid w:val="00E22DEC"/>
    <w:rsid w:val="00E25BC0"/>
    <w:rsid w:val="00E41AAC"/>
    <w:rsid w:val="00E462A6"/>
    <w:rsid w:val="00E465BA"/>
    <w:rsid w:val="00E47C19"/>
    <w:rsid w:val="00E51548"/>
    <w:rsid w:val="00E55A13"/>
    <w:rsid w:val="00E61010"/>
    <w:rsid w:val="00E6250F"/>
    <w:rsid w:val="00E67E2C"/>
    <w:rsid w:val="00E7547A"/>
    <w:rsid w:val="00E75CFA"/>
    <w:rsid w:val="00E76180"/>
    <w:rsid w:val="00E8019D"/>
    <w:rsid w:val="00E8314D"/>
    <w:rsid w:val="00E941F4"/>
    <w:rsid w:val="00E9699C"/>
    <w:rsid w:val="00E978B3"/>
    <w:rsid w:val="00EA11DE"/>
    <w:rsid w:val="00EA5351"/>
    <w:rsid w:val="00EB00D9"/>
    <w:rsid w:val="00EB5EA0"/>
    <w:rsid w:val="00EC18A8"/>
    <w:rsid w:val="00EC19B1"/>
    <w:rsid w:val="00EC6C93"/>
    <w:rsid w:val="00EC7648"/>
    <w:rsid w:val="00ED1981"/>
    <w:rsid w:val="00ED2814"/>
    <w:rsid w:val="00ED454D"/>
    <w:rsid w:val="00ED50B8"/>
    <w:rsid w:val="00ED5A52"/>
    <w:rsid w:val="00EE20D5"/>
    <w:rsid w:val="00EE320A"/>
    <w:rsid w:val="00EE5E60"/>
    <w:rsid w:val="00EE6052"/>
    <w:rsid w:val="00EF2ECE"/>
    <w:rsid w:val="00F002BF"/>
    <w:rsid w:val="00F02E98"/>
    <w:rsid w:val="00F04E7B"/>
    <w:rsid w:val="00F04F90"/>
    <w:rsid w:val="00F21348"/>
    <w:rsid w:val="00F225A8"/>
    <w:rsid w:val="00F268F1"/>
    <w:rsid w:val="00F30115"/>
    <w:rsid w:val="00F32905"/>
    <w:rsid w:val="00F357D3"/>
    <w:rsid w:val="00F378AE"/>
    <w:rsid w:val="00F41EDE"/>
    <w:rsid w:val="00F44AFD"/>
    <w:rsid w:val="00F46E74"/>
    <w:rsid w:val="00F47CCD"/>
    <w:rsid w:val="00F52D85"/>
    <w:rsid w:val="00F530AB"/>
    <w:rsid w:val="00F564F9"/>
    <w:rsid w:val="00F60364"/>
    <w:rsid w:val="00F6399E"/>
    <w:rsid w:val="00F63BEA"/>
    <w:rsid w:val="00F75490"/>
    <w:rsid w:val="00F75CC5"/>
    <w:rsid w:val="00F85793"/>
    <w:rsid w:val="00F85796"/>
    <w:rsid w:val="00F87908"/>
    <w:rsid w:val="00F8791E"/>
    <w:rsid w:val="00F90922"/>
    <w:rsid w:val="00F9259E"/>
    <w:rsid w:val="00F958BE"/>
    <w:rsid w:val="00FA21C9"/>
    <w:rsid w:val="00FA338F"/>
    <w:rsid w:val="00FB0303"/>
    <w:rsid w:val="00FB0453"/>
    <w:rsid w:val="00FB13CE"/>
    <w:rsid w:val="00FB6989"/>
    <w:rsid w:val="00FB6DF1"/>
    <w:rsid w:val="00FC176C"/>
    <w:rsid w:val="00FC5B82"/>
    <w:rsid w:val="00FD0A0C"/>
    <w:rsid w:val="00FD0C32"/>
    <w:rsid w:val="00FD7077"/>
    <w:rsid w:val="00FD7E5E"/>
    <w:rsid w:val="00FE097C"/>
    <w:rsid w:val="00FE0C1E"/>
    <w:rsid w:val="00FE273C"/>
    <w:rsid w:val="00FE482C"/>
    <w:rsid w:val="00FE4951"/>
    <w:rsid w:val="00FE498B"/>
    <w:rsid w:val="00FE5BA4"/>
    <w:rsid w:val="00FE5CA3"/>
    <w:rsid w:val="00FE68A8"/>
    <w:rsid w:val="00FF016C"/>
    <w:rsid w:val="00FF0B3F"/>
    <w:rsid w:val="00FF5C98"/>
    <w:rsid w:val="00FF7D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FE97"/>
  <w15:docId w15:val="{FB5364C9-DB63-4E4F-978E-97F387C1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1E98"/>
  </w:style>
  <w:style w:type="paragraph" w:styleId="Heading1">
    <w:name w:val="heading 1"/>
    <w:basedOn w:val="Normal"/>
    <w:next w:val="Normal"/>
    <w:link w:val="Heading1Char"/>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675D17"/>
    <w:pPr>
      <w:ind w:left="720"/>
      <w:contextualSpacing/>
    </w:pPr>
  </w:style>
  <w:style w:type="character" w:styleId="Hyperlink">
    <w:name w:val="Hyperlink"/>
    <w:basedOn w:val="DefaultParagraphFont"/>
    <w:uiPriority w:val="99"/>
    <w:unhideWhenUsed/>
    <w:rsid w:val="00F60364"/>
    <w:rPr>
      <w:color w:val="0000FF" w:themeColor="hyperlink"/>
      <w:u w:val="single"/>
    </w:rPr>
  </w:style>
  <w:style w:type="character" w:customStyle="1" w:styleId="UnresolvedMention1">
    <w:name w:val="Unresolved Mention1"/>
    <w:basedOn w:val="DefaultParagraphFont"/>
    <w:uiPriority w:val="99"/>
    <w:semiHidden/>
    <w:unhideWhenUsed/>
    <w:rsid w:val="00F60364"/>
    <w:rPr>
      <w:color w:val="808080"/>
      <w:shd w:val="clear" w:color="auto" w:fill="E6E6E6"/>
    </w:rPr>
  </w:style>
  <w:style w:type="character" w:styleId="Strong">
    <w:name w:val="Strong"/>
    <w:basedOn w:val="DefaultParagraphFont"/>
    <w:uiPriority w:val="22"/>
    <w:qFormat/>
    <w:rsid w:val="000D2C8A"/>
    <w:rPr>
      <w:b/>
      <w:bCs/>
    </w:rPr>
  </w:style>
  <w:style w:type="paragraph" w:styleId="Footer">
    <w:name w:val="footer"/>
    <w:basedOn w:val="Normal"/>
    <w:link w:val="FooterChar"/>
    <w:uiPriority w:val="99"/>
    <w:unhideWhenUsed/>
    <w:rsid w:val="00B77F42"/>
    <w:pPr>
      <w:tabs>
        <w:tab w:val="center" w:pos="4153"/>
        <w:tab w:val="right" w:pos="8306"/>
      </w:tabs>
    </w:pPr>
  </w:style>
  <w:style w:type="character" w:customStyle="1" w:styleId="FooterChar">
    <w:name w:val="Footer Char"/>
    <w:basedOn w:val="DefaultParagraphFont"/>
    <w:link w:val="Footer"/>
    <w:uiPriority w:val="99"/>
    <w:rsid w:val="00B77F42"/>
  </w:style>
  <w:style w:type="paragraph" w:styleId="Header">
    <w:name w:val="header"/>
    <w:basedOn w:val="Normal"/>
    <w:link w:val="HeaderChar"/>
    <w:uiPriority w:val="99"/>
    <w:unhideWhenUsed/>
    <w:rsid w:val="00B77F42"/>
    <w:pPr>
      <w:tabs>
        <w:tab w:val="center" w:pos="4153"/>
        <w:tab w:val="right" w:pos="8306"/>
      </w:tabs>
    </w:pPr>
  </w:style>
  <w:style w:type="character" w:customStyle="1" w:styleId="HeaderChar">
    <w:name w:val="Header Char"/>
    <w:basedOn w:val="DefaultParagraphFont"/>
    <w:link w:val="Header"/>
    <w:uiPriority w:val="99"/>
    <w:rsid w:val="00B77F42"/>
  </w:style>
  <w:style w:type="character" w:customStyle="1" w:styleId="UnresolvedMention">
    <w:name w:val="Unresolved Mention"/>
    <w:basedOn w:val="DefaultParagraphFont"/>
    <w:uiPriority w:val="99"/>
    <w:semiHidden/>
    <w:unhideWhenUsed/>
    <w:rsid w:val="002C26F3"/>
    <w:rPr>
      <w:color w:val="605E5C"/>
      <w:shd w:val="clear" w:color="auto" w:fill="E1DFDD"/>
    </w:rPr>
  </w:style>
  <w:style w:type="paragraph" w:styleId="BalloonText">
    <w:name w:val="Balloon Text"/>
    <w:basedOn w:val="Normal"/>
    <w:link w:val="BalloonTextChar"/>
    <w:uiPriority w:val="99"/>
    <w:semiHidden/>
    <w:unhideWhenUsed/>
    <w:rsid w:val="00B34CC6"/>
    <w:rPr>
      <w:rFonts w:ascii="Tahoma" w:hAnsi="Tahoma" w:cs="Tahoma"/>
      <w:sz w:val="16"/>
      <w:szCs w:val="16"/>
    </w:rPr>
  </w:style>
  <w:style w:type="character" w:customStyle="1" w:styleId="BalloonTextChar">
    <w:name w:val="Balloon Text Char"/>
    <w:basedOn w:val="DefaultParagraphFont"/>
    <w:link w:val="BalloonText"/>
    <w:uiPriority w:val="99"/>
    <w:semiHidden/>
    <w:rsid w:val="00B34CC6"/>
    <w:rPr>
      <w:rFonts w:ascii="Tahoma" w:hAnsi="Tahoma" w:cs="Tahoma"/>
      <w:sz w:val="16"/>
      <w:szCs w:val="16"/>
    </w:rPr>
  </w:style>
  <w:style w:type="character" w:styleId="CommentReference">
    <w:name w:val="annotation reference"/>
    <w:basedOn w:val="DefaultParagraphFont"/>
    <w:unhideWhenUsed/>
    <w:rsid w:val="00D864DF"/>
    <w:rPr>
      <w:sz w:val="16"/>
      <w:szCs w:val="16"/>
    </w:rPr>
  </w:style>
  <w:style w:type="paragraph" w:styleId="CommentText">
    <w:name w:val="annotation text"/>
    <w:basedOn w:val="Normal"/>
    <w:link w:val="CommentTextChar"/>
    <w:unhideWhenUsed/>
    <w:rsid w:val="00D864DF"/>
    <w:rPr>
      <w:sz w:val="20"/>
      <w:szCs w:val="20"/>
    </w:rPr>
  </w:style>
  <w:style w:type="character" w:customStyle="1" w:styleId="CommentTextChar">
    <w:name w:val="Comment Text Char"/>
    <w:basedOn w:val="DefaultParagraphFont"/>
    <w:link w:val="CommentText"/>
    <w:uiPriority w:val="99"/>
    <w:semiHidden/>
    <w:rsid w:val="00D864DF"/>
    <w:rPr>
      <w:sz w:val="20"/>
      <w:szCs w:val="20"/>
    </w:rPr>
  </w:style>
  <w:style w:type="paragraph" w:styleId="CommentSubject">
    <w:name w:val="annotation subject"/>
    <w:basedOn w:val="CommentText"/>
    <w:next w:val="CommentText"/>
    <w:link w:val="CommentSubjectChar"/>
    <w:uiPriority w:val="99"/>
    <w:semiHidden/>
    <w:unhideWhenUsed/>
    <w:rsid w:val="00D864DF"/>
    <w:rPr>
      <w:b/>
      <w:bCs/>
    </w:rPr>
  </w:style>
  <w:style w:type="character" w:customStyle="1" w:styleId="CommentSubjectChar">
    <w:name w:val="Comment Subject Char"/>
    <w:basedOn w:val="CommentTextChar"/>
    <w:link w:val="CommentSubject"/>
    <w:uiPriority w:val="99"/>
    <w:semiHidden/>
    <w:rsid w:val="00D864DF"/>
    <w:rPr>
      <w:b/>
      <w:bCs/>
      <w:sz w:val="20"/>
      <w:szCs w:val="20"/>
    </w:rPr>
  </w:style>
  <w:style w:type="table" w:styleId="TableGrid">
    <w:name w:val="Table Grid"/>
    <w:basedOn w:val="TableNormal"/>
    <w:uiPriority w:val="39"/>
    <w:rsid w:val="00D8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543B6E"/>
    <w:pPr>
      <w:spacing w:before="75" w:after="75"/>
    </w:pPr>
  </w:style>
  <w:style w:type="paragraph" w:customStyle="1" w:styleId="naisc">
    <w:name w:val="naisc"/>
    <w:basedOn w:val="Normal"/>
    <w:rsid w:val="00543B6E"/>
    <w:pPr>
      <w:spacing w:before="75" w:after="75"/>
      <w:jc w:val="center"/>
    </w:pPr>
  </w:style>
  <w:style w:type="character" w:customStyle="1" w:styleId="Heading1Char">
    <w:name w:val="Heading 1 Char"/>
    <w:basedOn w:val="DefaultParagraphFont"/>
    <w:link w:val="Heading1"/>
    <w:rsid w:val="00FD0C32"/>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711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99CD-04FB-42AF-AC8C-FB443487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31</Pages>
  <Words>40442</Words>
  <Characters>23053</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Grozījumi Stratēģiskās nozīmes preču aprites likumā</vt:lpstr>
    </vt:vector>
  </TitlesOfParts>
  <Company>Ārlietu ministrija</Company>
  <LinksUpToDate>false</LinksUpToDate>
  <CharactersWithSpaces>63369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Stratēģiskās nozīmes preču aprites likumā</dc:title>
  <dc:subject>Izziņa</dc:subject>
  <dc:creator>Nauris Rumpe</dc:creator>
  <dc:description>67016430_x000d_
nauris.rumpe@mfa.gov.lv</dc:description>
  <cp:lastModifiedBy>Helēna Brinkmane</cp:lastModifiedBy>
  <cp:revision>315</cp:revision>
  <cp:lastPrinted>2020-02-11T11:18:00Z</cp:lastPrinted>
  <dcterms:created xsi:type="dcterms:W3CDTF">2018-07-03T06:26:00Z</dcterms:created>
  <dcterms:modified xsi:type="dcterms:W3CDTF">2020-05-11T13:18:00Z</dcterms:modified>
</cp:coreProperties>
</file>