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5D7F8" w14:textId="2590A571" w:rsidR="003105DB" w:rsidRDefault="003105DB" w:rsidP="00886C89">
      <w:pPr>
        <w:pStyle w:val="BodyText"/>
        <w:spacing w:after="0"/>
        <w:ind w:left="-142"/>
        <w:jc w:val="center"/>
        <w:rPr>
          <w:b/>
        </w:rPr>
      </w:pPr>
      <w:r w:rsidRPr="00BB6985">
        <w:rPr>
          <w:b/>
        </w:rPr>
        <w:t>Ministru kabineta noteikumu “</w:t>
      </w:r>
      <w:r w:rsidR="007841BE" w:rsidRPr="007841BE">
        <w:rPr>
          <w:b/>
        </w:rPr>
        <w:t>Ogļūdeņražu meklēšanas, izpētes un ieguves noteikumi</w:t>
      </w:r>
      <w:r w:rsidRPr="00BB6985">
        <w:rPr>
          <w:b/>
        </w:rPr>
        <w:t>” sākotnējās ietekmes novērtējuma ziņojums</w:t>
      </w:r>
      <w:r w:rsidR="00097204">
        <w:rPr>
          <w:b/>
        </w:rPr>
        <w:t xml:space="preserve"> </w:t>
      </w:r>
      <w:r w:rsidRPr="00BB6985">
        <w:rPr>
          <w:b/>
        </w:rPr>
        <w:t>(anotācija)</w:t>
      </w:r>
    </w:p>
    <w:p w14:paraId="57CB62F2" w14:textId="77777777" w:rsidR="0091262C" w:rsidRPr="00BB6985" w:rsidRDefault="0091262C" w:rsidP="00886C89">
      <w:pPr>
        <w:pStyle w:val="BodyText"/>
        <w:spacing w:after="0"/>
        <w:ind w:left="-142"/>
        <w:jc w:val="center"/>
        <w:rPr>
          <w:b/>
        </w:rPr>
      </w:pPr>
    </w:p>
    <w:tbl>
      <w:tblPr>
        <w:tblW w:w="4853"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949"/>
        <w:gridCol w:w="6544"/>
      </w:tblGrid>
      <w:tr w:rsidR="003105DB" w:rsidRPr="000D28F3" w14:paraId="0C5E6778" w14:textId="77777777" w:rsidTr="00886C89">
        <w:trPr>
          <w:tblCellSpacing w:w="15" w:type="dxa"/>
        </w:trPr>
        <w:tc>
          <w:tcPr>
            <w:tcW w:w="4968" w:type="pct"/>
            <w:gridSpan w:val="2"/>
            <w:vAlign w:val="center"/>
            <w:hideMark/>
          </w:tcPr>
          <w:p w14:paraId="761B321D" w14:textId="77777777" w:rsidR="003105DB" w:rsidRPr="000D28F3" w:rsidRDefault="003105DB" w:rsidP="00642F02">
            <w:pPr>
              <w:jc w:val="center"/>
              <w:rPr>
                <w:b/>
                <w:bCs/>
                <w:iCs/>
              </w:rPr>
            </w:pPr>
            <w:r w:rsidRPr="000D28F3">
              <w:rPr>
                <w:b/>
                <w:bCs/>
                <w:iCs/>
              </w:rPr>
              <w:t>Tiesību akta projekta anotācijas kopsavilkums</w:t>
            </w:r>
          </w:p>
        </w:tc>
      </w:tr>
      <w:tr w:rsidR="003105DB" w:rsidRPr="000D28F3" w14:paraId="278D7F67" w14:textId="77777777" w:rsidTr="00150F9F">
        <w:trPr>
          <w:tblCellSpacing w:w="15" w:type="dxa"/>
        </w:trPr>
        <w:tc>
          <w:tcPr>
            <w:tcW w:w="1534" w:type="pct"/>
            <w:hideMark/>
          </w:tcPr>
          <w:p w14:paraId="1CB40D7C" w14:textId="77777777" w:rsidR="003105DB" w:rsidRPr="000D28F3" w:rsidRDefault="003105DB" w:rsidP="00642F02">
            <w:pPr>
              <w:rPr>
                <w:iCs/>
              </w:rPr>
            </w:pPr>
            <w:r w:rsidRPr="000D28F3">
              <w:rPr>
                <w:iCs/>
              </w:rPr>
              <w:t xml:space="preserve">Mērķis, risinājums un projekta spēkā stāšanās laiks </w:t>
            </w:r>
          </w:p>
        </w:tc>
        <w:tc>
          <w:tcPr>
            <w:tcW w:w="3418" w:type="pct"/>
            <w:hideMark/>
          </w:tcPr>
          <w:p w14:paraId="55786E70" w14:textId="0550A8DB" w:rsidR="000C7421" w:rsidRDefault="000C7C34" w:rsidP="00086F82">
            <w:pPr>
              <w:pStyle w:val="naislab"/>
              <w:spacing w:before="0" w:after="0"/>
              <w:ind w:right="44" w:hanging="53"/>
              <w:jc w:val="both"/>
            </w:pPr>
            <w:r>
              <w:t xml:space="preserve">    </w:t>
            </w:r>
            <w:r w:rsidR="00363B4D" w:rsidRPr="000C7C34">
              <w:rPr>
                <w:color w:val="000000"/>
              </w:rPr>
              <w:t xml:space="preserve">Likuma „Par zemes dzīlēm” 4.panta ceturtā daļa </w:t>
            </w:r>
            <w:r w:rsidR="00363B4D">
              <w:rPr>
                <w:color w:val="000000"/>
              </w:rPr>
              <w:t>paredz</w:t>
            </w:r>
            <w:r w:rsidR="00363B4D" w:rsidRPr="000C7C34">
              <w:rPr>
                <w:color w:val="000000"/>
              </w:rPr>
              <w:t xml:space="preserve"> Ministru kabinetam deleģējumu </w:t>
            </w:r>
            <w:r w:rsidR="00363B4D" w:rsidRPr="00806EE9">
              <w:rPr>
                <w:color w:val="000000"/>
              </w:rPr>
              <w:t xml:space="preserve">noteikt </w:t>
            </w:r>
            <w:r w:rsidR="00E71278" w:rsidRPr="00806EE9">
              <w:rPr>
                <w:color w:val="000000"/>
              </w:rPr>
              <w:t xml:space="preserve"> </w:t>
            </w:r>
            <w:r w:rsidR="00AF2672">
              <w:t>ogļūdeņražu licenču laukumus un kārtību kādā Būvniecības valsts kontroles birojs izsniedz ogļūdeņražu meklēšanas</w:t>
            </w:r>
            <w:r w:rsidR="00736408">
              <w:t xml:space="preserve"> vai</w:t>
            </w:r>
            <w:r w:rsidR="00AF2672">
              <w:t xml:space="preserve"> izpētes un ieguves licences,</w:t>
            </w:r>
            <w:r w:rsidR="004C4736">
              <w:t xml:space="preserve"> </w:t>
            </w:r>
            <w:r w:rsidR="00343E37">
              <w:t xml:space="preserve">nosaka </w:t>
            </w:r>
            <w:r w:rsidR="004C4736">
              <w:t>licences anulēšanas nosacījumus,</w:t>
            </w:r>
            <w:r w:rsidR="00AF2672">
              <w:t xml:space="preserve"> kā arī veic ogļūdeņražu meklēšanas, izpētes un ieguves kontroli</w:t>
            </w:r>
            <w:r w:rsidR="000C7421">
              <w:t>.</w:t>
            </w:r>
          </w:p>
          <w:p w14:paraId="50E0085F" w14:textId="14F9340F" w:rsidR="00A747ED" w:rsidRPr="007841BE" w:rsidRDefault="003C6A83" w:rsidP="007841BE">
            <w:pPr>
              <w:ind w:firstLine="231"/>
              <w:jc w:val="both"/>
              <w:rPr>
                <w:b/>
                <w:bCs/>
              </w:rPr>
            </w:pPr>
            <w:r w:rsidRPr="00363B4D">
              <w:t>Ministru kabineta noteikumu projekt</w:t>
            </w:r>
            <w:r>
              <w:t>a</w:t>
            </w:r>
            <w:r w:rsidRPr="00363B4D">
              <w:t xml:space="preserve"> </w:t>
            </w:r>
            <w:r w:rsidRPr="007841BE">
              <w:t>“</w:t>
            </w:r>
            <w:bookmarkStart w:id="0" w:name="_Hlk42504202"/>
            <w:r w:rsidR="007841BE" w:rsidRPr="007841BE">
              <w:t>Ogļūdeņražu meklēšanas, izpētes un ieguves noteikumi</w:t>
            </w:r>
            <w:bookmarkEnd w:id="0"/>
            <w:r w:rsidRPr="007841BE">
              <w:t>”</w:t>
            </w:r>
            <w:r w:rsidRPr="00363B4D">
              <w:t xml:space="preserve"> (turpmāk </w:t>
            </w:r>
            <w:r w:rsidRPr="00F1126D">
              <w:t>– Noteikumu projekts)</w:t>
            </w:r>
            <w:r w:rsidR="00825571">
              <w:t xml:space="preserve"> izdošana</w:t>
            </w:r>
            <w:r w:rsidR="000B237C">
              <w:t>s mērķis</w:t>
            </w:r>
            <w:r w:rsidR="00B53631">
              <w:t xml:space="preserve"> </w:t>
            </w:r>
            <w:r w:rsidR="00BD2711">
              <w:rPr>
                <w:iCs/>
              </w:rPr>
              <w:t>ir</w:t>
            </w:r>
            <w:r w:rsidR="000C7421">
              <w:rPr>
                <w:iCs/>
              </w:rPr>
              <w:t xml:space="preserve"> izpildīt</w:t>
            </w:r>
            <w:r w:rsidR="00BD2711">
              <w:rPr>
                <w:iCs/>
              </w:rPr>
              <w:t xml:space="preserve"> </w:t>
            </w:r>
            <w:r w:rsidR="000C7421">
              <w:rPr>
                <w:iCs/>
              </w:rPr>
              <w:t>l</w:t>
            </w:r>
            <w:r w:rsidR="000C7421" w:rsidRPr="000C7C34">
              <w:rPr>
                <w:color w:val="000000"/>
              </w:rPr>
              <w:t>ikuma „Par zemes dzīlēm” 4.</w:t>
            </w:r>
            <w:r w:rsidR="00736408">
              <w:rPr>
                <w:color w:val="000000"/>
              </w:rPr>
              <w:t xml:space="preserve"> </w:t>
            </w:r>
            <w:r w:rsidR="000C7421" w:rsidRPr="000C7C34">
              <w:rPr>
                <w:color w:val="000000"/>
              </w:rPr>
              <w:t>panta ceturtā daļa</w:t>
            </w:r>
            <w:r w:rsidR="000C7421">
              <w:rPr>
                <w:color w:val="000000"/>
              </w:rPr>
              <w:t>s noteikto deleģējumu.</w:t>
            </w:r>
            <w:r w:rsidR="00086F82">
              <w:rPr>
                <w:color w:val="000000"/>
              </w:rPr>
              <w:t xml:space="preserve"> Noteikumu projekts faktiski ir </w:t>
            </w:r>
            <w:r w:rsidR="00086F82" w:rsidRPr="00000A13">
              <w:rPr>
                <w:shd w:val="clear" w:color="auto" w:fill="FFFFFF"/>
              </w:rPr>
              <w:t>2015. gada 22. decembra noteikumi Nr. 805 "</w:t>
            </w:r>
            <w:hyperlink r:id="rId8" w:tgtFrame="_blank" w:history="1">
              <w:r w:rsidR="00086F82" w:rsidRPr="00000A13">
                <w:rPr>
                  <w:rStyle w:val="Hyperlink"/>
                  <w:color w:val="auto"/>
                  <w:u w:val="none"/>
                  <w:shd w:val="clear" w:color="auto" w:fill="FFFFFF"/>
                </w:rPr>
                <w:t>Noteikumi par ogļūdeņražu meklēšanu, izpēti un ieguvi</w:t>
              </w:r>
            </w:hyperlink>
            <w:r w:rsidR="00086F82" w:rsidRPr="00000A13">
              <w:rPr>
                <w:shd w:val="clear" w:color="auto" w:fill="FFFFFF"/>
              </w:rPr>
              <w:t>" (</w:t>
            </w:r>
            <w:r w:rsidR="00086F82" w:rsidRPr="00000A13">
              <w:t>turpmāk - Noteikumi Nr.</w:t>
            </w:r>
            <w:r w:rsidR="00736408">
              <w:t xml:space="preserve"> </w:t>
            </w:r>
            <w:r w:rsidR="00086F82" w:rsidRPr="00000A13">
              <w:t>805</w:t>
            </w:r>
            <w:r w:rsidR="00086F82" w:rsidRPr="00000A13">
              <w:rPr>
                <w:shd w:val="clear" w:color="auto" w:fill="FFFFFF"/>
              </w:rPr>
              <w:t>)</w:t>
            </w:r>
            <w:r w:rsidR="00086F82">
              <w:rPr>
                <w:shd w:val="clear" w:color="auto" w:fill="FFFFFF"/>
              </w:rPr>
              <w:t>, kas kopumā ir uzlaboti</w:t>
            </w:r>
            <w:r w:rsidR="00676E04">
              <w:rPr>
                <w:shd w:val="clear" w:color="auto" w:fill="FFFFFF"/>
              </w:rPr>
              <w:t>, tādējādi</w:t>
            </w:r>
            <w:r w:rsidR="0070213E">
              <w:rPr>
                <w:shd w:val="clear" w:color="auto" w:fill="FFFFFF"/>
              </w:rPr>
              <w:t xml:space="preserve"> </w:t>
            </w:r>
            <w:r w:rsidR="00086F82">
              <w:rPr>
                <w:shd w:val="clear" w:color="auto" w:fill="FFFFFF"/>
              </w:rPr>
              <w:t xml:space="preserve">samazinot </w:t>
            </w:r>
            <w:r w:rsidR="00086F82">
              <w:rPr>
                <w:iCs/>
              </w:rPr>
              <w:t>administratīvo slogu ogļūdeņražu meklēšanas, izpētes un ieguves regulējumā</w:t>
            </w:r>
            <w:r w:rsidR="001912A8">
              <w:rPr>
                <w:iCs/>
              </w:rPr>
              <w:t xml:space="preserve"> un</w:t>
            </w:r>
            <w:r w:rsidR="00086F82">
              <w:rPr>
                <w:iCs/>
              </w:rPr>
              <w:t xml:space="preserve"> stiprin</w:t>
            </w:r>
            <w:r w:rsidR="001912A8">
              <w:rPr>
                <w:iCs/>
              </w:rPr>
              <w:t>ot</w:t>
            </w:r>
            <w:r w:rsidR="00086F82">
              <w:rPr>
                <w:iCs/>
              </w:rPr>
              <w:t xml:space="preserve"> kontrol</w:t>
            </w:r>
            <w:r w:rsidR="00676E04">
              <w:rPr>
                <w:iCs/>
              </w:rPr>
              <w:t>i</w:t>
            </w:r>
            <w:r w:rsidR="00086F82">
              <w:rPr>
                <w:iCs/>
              </w:rPr>
              <w:t xml:space="preserve"> </w:t>
            </w:r>
            <w:r w:rsidR="00676E04">
              <w:t>ar</w:t>
            </w:r>
            <w:r w:rsidR="00086F82" w:rsidRPr="0021043F">
              <w:t xml:space="preserve"> papildu kontroles sistēmas mehānism</w:t>
            </w:r>
            <w:r w:rsidR="00676E04">
              <w:t>iem</w:t>
            </w:r>
            <w:r w:rsidR="001912A8">
              <w:t>. Tāpat</w:t>
            </w:r>
            <w:r w:rsidR="00086F82">
              <w:t xml:space="preserve"> arī </w:t>
            </w:r>
            <w:r w:rsidR="00086F82">
              <w:rPr>
                <w:iCs/>
              </w:rPr>
              <w:t>rediģētas dublējošās normas un veikti atsevišķ</w:t>
            </w:r>
            <w:r w:rsidR="00676E04">
              <w:rPr>
                <w:iCs/>
              </w:rPr>
              <w:t>i</w:t>
            </w:r>
            <w:r w:rsidR="00086F82">
              <w:rPr>
                <w:iCs/>
              </w:rPr>
              <w:t xml:space="preserve"> redakcionāli un tehniski labojumi.</w:t>
            </w:r>
          </w:p>
          <w:p w14:paraId="45B4D160" w14:textId="04DDED2A" w:rsidR="003105DB" w:rsidRPr="00F166A9" w:rsidRDefault="003105DB" w:rsidP="00A747ED">
            <w:pPr>
              <w:ind w:firstLine="231"/>
              <w:jc w:val="both"/>
              <w:rPr>
                <w:iCs/>
              </w:rPr>
            </w:pPr>
            <w:r w:rsidRPr="00F166A9">
              <w:rPr>
                <w:iCs/>
              </w:rPr>
              <w:t>Noteikumu projekts stājas spēkā nākamajā dienā pēc t</w:t>
            </w:r>
            <w:r w:rsidR="009F0286">
              <w:rPr>
                <w:iCs/>
              </w:rPr>
              <w:t>ā</w:t>
            </w:r>
            <w:r w:rsidRPr="00F166A9">
              <w:rPr>
                <w:iCs/>
              </w:rPr>
              <w:t xml:space="preserve"> izsludināšanas</w:t>
            </w:r>
            <w:r w:rsidR="00F166A9" w:rsidRPr="00F166A9">
              <w:rPr>
                <w:iCs/>
              </w:rPr>
              <w:t xml:space="preserve"> </w:t>
            </w:r>
            <w:r w:rsidRPr="00F166A9">
              <w:rPr>
                <w:iCs/>
              </w:rPr>
              <w:t>oficiālajā izdevumā “Latvijas Vēstnesis”.</w:t>
            </w:r>
          </w:p>
          <w:p w14:paraId="44D12BE3" w14:textId="77777777" w:rsidR="003105DB" w:rsidRPr="00933B3A" w:rsidRDefault="003105DB" w:rsidP="00642F02">
            <w:pPr>
              <w:jc w:val="both"/>
              <w:rPr>
                <w:iCs/>
              </w:rPr>
            </w:pPr>
          </w:p>
        </w:tc>
      </w:tr>
    </w:tbl>
    <w:p w14:paraId="7A5D6762" w14:textId="77777777" w:rsidR="003105DB" w:rsidRPr="000D28F3" w:rsidRDefault="003105DB" w:rsidP="003105D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436"/>
        <w:gridCol w:w="6521"/>
      </w:tblGrid>
      <w:tr w:rsidR="003105DB" w:rsidRPr="000D28F3" w14:paraId="717863E0" w14:textId="77777777" w:rsidTr="00C63F74">
        <w:tc>
          <w:tcPr>
            <w:tcW w:w="9478" w:type="dxa"/>
            <w:gridSpan w:val="3"/>
            <w:vAlign w:val="center"/>
          </w:tcPr>
          <w:p w14:paraId="6C541A0D" w14:textId="77777777" w:rsidR="003105DB" w:rsidRPr="000D28F3" w:rsidRDefault="003105DB" w:rsidP="00642F02">
            <w:pPr>
              <w:jc w:val="center"/>
            </w:pPr>
            <w:r w:rsidRPr="000D28F3">
              <w:rPr>
                <w:b/>
              </w:rPr>
              <w:t>I. Tiesību akta projekta izstrādes nepieciešamība</w:t>
            </w:r>
          </w:p>
        </w:tc>
      </w:tr>
      <w:tr w:rsidR="003105DB" w:rsidRPr="000D28F3" w14:paraId="1521021E" w14:textId="77777777" w:rsidTr="00C63F74">
        <w:trPr>
          <w:trHeight w:val="439"/>
        </w:trPr>
        <w:tc>
          <w:tcPr>
            <w:tcW w:w="521" w:type="dxa"/>
          </w:tcPr>
          <w:p w14:paraId="329C6BA8" w14:textId="77777777" w:rsidR="003105DB" w:rsidRPr="000D28F3" w:rsidRDefault="003105DB" w:rsidP="00642F02">
            <w:pPr>
              <w:jc w:val="center"/>
            </w:pPr>
            <w:r w:rsidRPr="000D28F3">
              <w:t>1.</w:t>
            </w:r>
          </w:p>
        </w:tc>
        <w:tc>
          <w:tcPr>
            <w:tcW w:w="2436" w:type="dxa"/>
          </w:tcPr>
          <w:p w14:paraId="35DAD96F" w14:textId="77777777" w:rsidR="003105DB" w:rsidRPr="000D28F3" w:rsidRDefault="003105DB" w:rsidP="00642F02">
            <w:r w:rsidRPr="000D28F3">
              <w:t>Pamatojums</w:t>
            </w:r>
          </w:p>
        </w:tc>
        <w:tc>
          <w:tcPr>
            <w:tcW w:w="6521" w:type="dxa"/>
          </w:tcPr>
          <w:p w14:paraId="6B31A294" w14:textId="5B7D9793" w:rsidR="00363B4D" w:rsidRPr="00363B4D" w:rsidRDefault="005A7EB1" w:rsidP="005A7EB1">
            <w:pPr>
              <w:pStyle w:val="naislab"/>
              <w:spacing w:before="0" w:after="0"/>
              <w:ind w:right="44" w:firstLine="281"/>
              <w:jc w:val="both"/>
            </w:pPr>
            <w:r>
              <w:t>N</w:t>
            </w:r>
            <w:r w:rsidR="00363B4D" w:rsidRPr="00363B4D">
              <w:t>oteikumu projekts izst</w:t>
            </w:r>
            <w:r w:rsidR="00363B4D">
              <w:t>r</w:t>
            </w:r>
            <w:r w:rsidR="00363B4D" w:rsidRPr="00363B4D">
              <w:t>ādāts saskaņā ar likuma „Par zemes dzīlēm” 4.</w:t>
            </w:r>
            <w:r w:rsidR="00B67363">
              <w:t xml:space="preserve"> </w:t>
            </w:r>
            <w:r w:rsidR="00363B4D" w:rsidRPr="00363B4D">
              <w:t>panta ceturt</w:t>
            </w:r>
            <w:r w:rsidR="007D6586">
              <w:t>o</w:t>
            </w:r>
            <w:r w:rsidR="00363B4D" w:rsidRPr="00363B4D">
              <w:t xml:space="preserve"> daļu</w:t>
            </w:r>
            <w:r w:rsidR="001912A8">
              <w:t>, 10. panta ceturto, septīto, desmito un trīspadsmito daļu.</w:t>
            </w:r>
            <w:r w:rsidR="00363B4D" w:rsidRPr="00363B4D">
              <w:t xml:space="preserve"> </w:t>
            </w:r>
          </w:p>
          <w:p w14:paraId="27D44327" w14:textId="026D9BB4" w:rsidR="00363B4D" w:rsidRPr="000D28F3" w:rsidRDefault="00363B4D" w:rsidP="00120BF0">
            <w:pPr>
              <w:jc w:val="both"/>
            </w:pPr>
            <w:r>
              <w:t xml:space="preserve">     </w:t>
            </w:r>
            <w:r w:rsidR="00505ACE" w:rsidRPr="00585F7D">
              <w:t xml:space="preserve">Saistībā ar administrēšanas un kontroles funkcijas nodošanu Būvniecības valsts kontroles birojam </w:t>
            </w:r>
            <w:r w:rsidRPr="00585F7D">
              <w:t>2019</w:t>
            </w:r>
            <w:r w:rsidRPr="00000A13">
              <w:t>.</w:t>
            </w:r>
            <w:r w:rsidR="00B67363">
              <w:t xml:space="preserve"> </w:t>
            </w:r>
            <w:r w:rsidRPr="00000A13">
              <w:t>gada 14.</w:t>
            </w:r>
            <w:r w:rsidR="00B67363">
              <w:t xml:space="preserve"> </w:t>
            </w:r>
            <w:r w:rsidRPr="00000A13">
              <w:t>novembrī tika pieņemts likums “Grozījumi likumā “Par zemes dzīlēm””, kas stājās spēkā ar 2020.gada 1.</w:t>
            </w:r>
            <w:r w:rsidR="00B67363">
              <w:t xml:space="preserve"> </w:t>
            </w:r>
            <w:r w:rsidRPr="00000A13">
              <w:t>janvāri.</w:t>
            </w:r>
            <w:r w:rsidR="00A66B02">
              <w:t xml:space="preserve"> Grozījumu ietvaros tika grozīta arī likuma “Par zemes dzīlēm” 4. panta ceturtā daļa – deleģējošā norma</w:t>
            </w:r>
            <w:r w:rsidR="00901036">
              <w:t xml:space="preserve"> Noteikumiem Nr. 805.</w:t>
            </w:r>
            <w:r w:rsidRPr="00000A13">
              <w:t xml:space="preserve"> </w:t>
            </w:r>
            <w:r w:rsidR="00901036">
              <w:rPr>
                <w:shd w:val="clear" w:color="auto" w:fill="FFFFFF"/>
              </w:rPr>
              <w:t>Likuma “Par zemes dzīlēm” pārejas noteikumu</w:t>
            </w:r>
            <w:r w:rsidR="00A66B02" w:rsidRPr="00000A13">
              <w:t xml:space="preserve"> </w:t>
            </w:r>
            <w:r w:rsidR="00901036">
              <w:t>25</w:t>
            </w:r>
            <w:r w:rsidR="00A66B02" w:rsidRPr="00000A13">
              <w:t>.</w:t>
            </w:r>
            <w:r w:rsidR="00B67363">
              <w:t xml:space="preserve"> </w:t>
            </w:r>
            <w:r w:rsidR="00A66B02" w:rsidRPr="00000A13">
              <w:t>punkt</w:t>
            </w:r>
            <w:r w:rsidR="00A66B02">
              <w:t>ā</w:t>
            </w:r>
            <w:r w:rsidR="00A66B02" w:rsidRPr="00000A13">
              <w:t xml:space="preserve"> no</w:t>
            </w:r>
            <w:r w:rsidR="00A66B02">
              <w:t>teikts</w:t>
            </w:r>
            <w:r w:rsidR="00A66B02" w:rsidRPr="00000A13">
              <w:t xml:space="preserve">, ka </w:t>
            </w:r>
            <w:r w:rsidR="00A66B02" w:rsidRPr="00000A13">
              <w:rPr>
                <w:shd w:val="clear" w:color="auto" w:fill="FFFFFF"/>
              </w:rPr>
              <w:t>līdz 2020. gada 31. decembrim ir jāizdod likuma</w:t>
            </w:r>
            <w:r w:rsidR="00A66B02" w:rsidRPr="00B96889">
              <w:rPr>
                <w:shd w:val="clear" w:color="auto" w:fill="FFFFFF"/>
              </w:rPr>
              <w:t> </w:t>
            </w:r>
            <w:hyperlink r:id="rId9" w:anchor="p4" w:history="1">
              <w:r w:rsidR="00A66B02" w:rsidRPr="00B96889">
                <w:rPr>
                  <w:rStyle w:val="Hyperlink"/>
                  <w:color w:val="auto"/>
                  <w:u w:val="none"/>
                  <w:shd w:val="clear" w:color="auto" w:fill="FFFFFF"/>
                </w:rPr>
                <w:t>4.</w:t>
              </w:r>
            </w:hyperlink>
            <w:r w:rsidR="00A66B02" w:rsidRPr="00000A13">
              <w:rPr>
                <w:shd w:val="clear" w:color="auto" w:fill="FFFFFF"/>
              </w:rPr>
              <w:t xml:space="preserve"> panta ceturtajā daļā minētos noteikumus, bet līdz attiecīgo Ministru kabineta noteikumu spēkā stāšanās dienai ir piemērojami Noteikumi Nr. 805, ciktāl tie nav pretrunā </w:t>
            </w:r>
            <w:r w:rsidR="00A66B02" w:rsidRPr="00585F7D">
              <w:rPr>
                <w:shd w:val="clear" w:color="auto" w:fill="FFFFFF"/>
              </w:rPr>
              <w:t xml:space="preserve">ar likumu </w:t>
            </w:r>
            <w:r w:rsidR="00A66B02" w:rsidRPr="00585F7D">
              <w:t>"Par zemes dzīlēm”</w:t>
            </w:r>
            <w:r w:rsidR="00A6475F" w:rsidRPr="00585F7D">
              <w:t>.</w:t>
            </w:r>
            <w:r w:rsidRPr="00585F7D">
              <w:rPr>
                <w:shd w:val="clear" w:color="auto" w:fill="FFFFFF"/>
              </w:rPr>
              <w:t xml:space="preserve"> Ņemot vērā minēto, līdz 2020.gada 3</w:t>
            </w:r>
            <w:r w:rsidR="0024458C" w:rsidRPr="00585F7D">
              <w:rPr>
                <w:shd w:val="clear" w:color="auto" w:fill="FFFFFF"/>
              </w:rPr>
              <w:t>1</w:t>
            </w:r>
            <w:r w:rsidRPr="00585F7D">
              <w:rPr>
                <w:shd w:val="clear" w:color="auto" w:fill="FFFFFF"/>
              </w:rPr>
              <w:t>. j</w:t>
            </w:r>
            <w:r w:rsidR="0024458C" w:rsidRPr="00585F7D">
              <w:rPr>
                <w:shd w:val="clear" w:color="auto" w:fill="FFFFFF"/>
              </w:rPr>
              <w:t>anvārim</w:t>
            </w:r>
            <w:r w:rsidRPr="00585F7D">
              <w:rPr>
                <w:shd w:val="clear" w:color="auto" w:fill="FFFFFF"/>
              </w:rPr>
              <w:t xml:space="preserve"> nepieciešams izdot attiecīgos Ministru kabineta</w:t>
            </w:r>
            <w:r w:rsidRPr="00000A13">
              <w:rPr>
                <w:shd w:val="clear" w:color="auto" w:fill="FFFFFF"/>
              </w:rPr>
              <w:t xml:space="preserve"> noteikumus, kas aizstās Noteikumus Nr.</w:t>
            </w:r>
            <w:r w:rsidR="00B67363">
              <w:rPr>
                <w:shd w:val="clear" w:color="auto" w:fill="FFFFFF"/>
              </w:rPr>
              <w:t xml:space="preserve"> </w:t>
            </w:r>
            <w:r w:rsidRPr="00000A13">
              <w:rPr>
                <w:shd w:val="clear" w:color="auto" w:fill="FFFFFF"/>
              </w:rPr>
              <w:t>805.</w:t>
            </w:r>
          </w:p>
        </w:tc>
      </w:tr>
      <w:tr w:rsidR="003105DB" w:rsidRPr="000D28F3" w14:paraId="586907C5" w14:textId="77777777" w:rsidTr="007A65B5">
        <w:trPr>
          <w:trHeight w:val="3676"/>
        </w:trPr>
        <w:tc>
          <w:tcPr>
            <w:tcW w:w="521" w:type="dxa"/>
          </w:tcPr>
          <w:p w14:paraId="2E5AEF4C" w14:textId="77777777" w:rsidR="003105DB" w:rsidRPr="000D28F3" w:rsidRDefault="003105DB" w:rsidP="00642F02">
            <w:pPr>
              <w:jc w:val="center"/>
            </w:pPr>
            <w:r w:rsidRPr="000D28F3">
              <w:lastRenderedPageBreak/>
              <w:t>2.</w:t>
            </w:r>
          </w:p>
        </w:tc>
        <w:tc>
          <w:tcPr>
            <w:tcW w:w="2436" w:type="dxa"/>
          </w:tcPr>
          <w:p w14:paraId="719B0B80" w14:textId="77777777" w:rsidR="003105DB" w:rsidRPr="00B633EE" w:rsidRDefault="003105DB" w:rsidP="00642F02">
            <w:r w:rsidRPr="00B633EE">
              <w:t>Pašreizējā situācija un problēmas, kuru risināšanai tiesību akta projekts izstrādāts, tiesiskā regulējuma mērķis un būtība</w:t>
            </w:r>
          </w:p>
          <w:p w14:paraId="641525FC" w14:textId="77777777" w:rsidR="003105DB" w:rsidRPr="00B633EE" w:rsidRDefault="003105DB" w:rsidP="00642F02"/>
          <w:p w14:paraId="1A5F1163" w14:textId="77777777" w:rsidR="003105DB" w:rsidRPr="00B633EE" w:rsidRDefault="003105DB" w:rsidP="00642F02"/>
          <w:p w14:paraId="4C2AB877" w14:textId="77777777" w:rsidR="003105DB" w:rsidRPr="00B633EE" w:rsidRDefault="003105DB" w:rsidP="00642F02"/>
          <w:p w14:paraId="1DF37B3C" w14:textId="77777777" w:rsidR="003105DB" w:rsidRPr="00B633EE" w:rsidRDefault="003105DB" w:rsidP="00642F02"/>
          <w:p w14:paraId="20CB63A6" w14:textId="77777777" w:rsidR="003105DB" w:rsidRPr="00B633EE" w:rsidRDefault="003105DB" w:rsidP="00642F02"/>
          <w:p w14:paraId="35BA8948" w14:textId="77777777" w:rsidR="003105DB" w:rsidRPr="00B633EE" w:rsidRDefault="003105DB" w:rsidP="00642F02"/>
          <w:p w14:paraId="50316EEA" w14:textId="77777777" w:rsidR="003105DB" w:rsidRPr="00B633EE" w:rsidRDefault="003105DB" w:rsidP="00642F02"/>
          <w:p w14:paraId="1378E618" w14:textId="77777777" w:rsidR="003105DB" w:rsidRPr="00B633EE" w:rsidRDefault="003105DB" w:rsidP="00642F02"/>
          <w:p w14:paraId="201FED74" w14:textId="77777777" w:rsidR="003105DB" w:rsidRPr="00B633EE" w:rsidRDefault="003105DB" w:rsidP="00642F02"/>
          <w:p w14:paraId="03E5409A" w14:textId="77777777" w:rsidR="003105DB" w:rsidRPr="00B633EE" w:rsidRDefault="003105DB" w:rsidP="00642F02"/>
          <w:p w14:paraId="0CEC1609" w14:textId="77777777" w:rsidR="003105DB" w:rsidRPr="00B633EE" w:rsidRDefault="003105DB" w:rsidP="00642F02"/>
          <w:p w14:paraId="581612B0" w14:textId="77777777" w:rsidR="003105DB" w:rsidRPr="00B633EE" w:rsidRDefault="003105DB" w:rsidP="00642F02"/>
          <w:p w14:paraId="61D7C559" w14:textId="77777777" w:rsidR="003105DB" w:rsidRPr="00B633EE" w:rsidRDefault="003105DB" w:rsidP="00642F02"/>
          <w:p w14:paraId="2DBAD840" w14:textId="77777777" w:rsidR="003105DB" w:rsidRPr="00B633EE" w:rsidRDefault="003105DB" w:rsidP="00642F02"/>
          <w:p w14:paraId="7406DED2" w14:textId="77777777" w:rsidR="003105DB" w:rsidRPr="00B633EE" w:rsidRDefault="003105DB" w:rsidP="00642F02"/>
          <w:p w14:paraId="469F1ABF" w14:textId="77777777" w:rsidR="003105DB" w:rsidRPr="00B633EE" w:rsidRDefault="003105DB" w:rsidP="00642F02"/>
          <w:p w14:paraId="60D1DFFC" w14:textId="77777777" w:rsidR="003105DB" w:rsidRPr="00B633EE" w:rsidRDefault="003105DB" w:rsidP="00642F02"/>
          <w:p w14:paraId="6E8AB523" w14:textId="77777777" w:rsidR="003105DB" w:rsidRPr="00B633EE" w:rsidRDefault="003105DB" w:rsidP="00642F02"/>
          <w:p w14:paraId="5A5403D0" w14:textId="77777777" w:rsidR="003105DB" w:rsidRPr="00B633EE" w:rsidRDefault="003105DB" w:rsidP="00642F02"/>
          <w:p w14:paraId="64232564" w14:textId="77777777" w:rsidR="003105DB" w:rsidRPr="00B633EE" w:rsidRDefault="003105DB" w:rsidP="00642F02"/>
          <w:p w14:paraId="335E5D92" w14:textId="77777777" w:rsidR="003105DB" w:rsidRPr="00B633EE" w:rsidRDefault="003105DB" w:rsidP="00642F02"/>
          <w:p w14:paraId="463887A0" w14:textId="77777777" w:rsidR="003105DB" w:rsidRPr="00B633EE" w:rsidRDefault="003105DB" w:rsidP="00642F02"/>
          <w:p w14:paraId="01B7D9F3" w14:textId="77777777" w:rsidR="003105DB" w:rsidRPr="00B633EE" w:rsidRDefault="003105DB" w:rsidP="00642F02"/>
          <w:p w14:paraId="0530E412" w14:textId="77777777" w:rsidR="003105DB" w:rsidRPr="00B633EE" w:rsidRDefault="003105DB" w:rsidP="00642F02"/>
          <w:p w14:paraId="3FAA4123" w14:textId="77777777" w:rsidR="003105DB" w:rsidRPr="00B633EE" w:rsidRDefault="003105DB" w:rsidP="00642F02">
            <w:pPr>
              <w:jc w:val="right"/>
            </w:pPr>
          </w:p>
          <w:p w14:paraId="0191A7D6" w14:textId="77777777" w:rsidR="003105DB" w:rsidRPr="00B633EE" w:rsidRDefault="003105DB" w:rsidP="00642F02"/>
          <w:p w14:paraId="4BE075E9" w14:textId="77777777" w:rsidR="003105DB" w:rsidRPr="00B633EE" w:rsidRDefault="003105DB" w:rsidP="00642F02"/>
          <w:p w14:paraId="7D185C2F" w14:textId="77777777" w:rsidR="003105DB" w:rsidRPr="00B633EE" w:rsidRDefault="003105DB" w:rsidP="00642F02"/>
          <w:p w14:paraId="2A957C00" w14:textId="77777777" w:rsidR="003105DB" w:rsidRPr="00B633EE" w:rsidRDefault="003105DB" w:rsidP="00642F02"/>
          <w:p w14:paraId="43C2C878" w14:textId="77777777" w:rsidR="003105DB" w:rsidRPr="00B633EE" w:rsidRDefault="003105DB" w:rsidP="00642F02"/>
          <w:p w14:paraId="22916D7A" w14:textId="77777777" w:rsidR="003105DB" w:rsidRPr="00B633EE" w:rsidRDefault="003105DB" w:rsidP="00642F02"/>
          <w:p w14:paraId="4021988B" w14:textId="77777777" w:rsidR="003105DB" w:rsidRPr="00B633EE" w:rsidRDefault="003105DB" w:rsidP="00642F02"/>
          <w:p w14:paraId="63E5E150" w14:textId="77777777" w:rsidR="003105DB" w:rsidRDefault="003105DB" w:rsidP="00642F02"/>
          <w:p w14:paraId="0501AB95" w14:textId="77777777" w:rsidR="003105DB" w:rsidRPr="008F42C0" w:rsidRDefault="003105DB" w:rsidP="00642F02"/>
          <w:p w14:paraId="2C202DB9" w14:textId="77777777" w:rsidR="003105DB" w:rsidRPr="008F42C0" w:rsidRDefault="003105DB" w:rsidP="00642F02"/>
          <w:p w14:paraId="6986EDB1" w14:textId="77777777" w:rsidR="003105DB" w:rsidRPr="008F42C0" w:rsidRDefault="003105DB" w:rsidP="00642F02"/>
          <w:p w14:paraId="7859972F" w14:textId="77777777" w:rsidR="003105DB" w:rsidRPr="008F42C0" w:rsidRDefault="003105DB" w:rsidP="00642F02"/>
          <w:p w14:paraId="2009D7E4" w14:textId="77777777" w:rsidR="003105DB" w:rsidRPr="008F42C0" w:rsidRDefault="003105DB" w:rsidP="00642F02"/>
          <w:p w14:paraId="34AC1C5F" w14:textId="77777777" w:rsidR="003105DB" w:rsidRPr="008F42C0" w:rsidRDefault="003105DB" w:rsidP="00642F02"/>
          <w:p w14:paraId="49C93A7C" w14:textId="77777777" w:rsidR="003105DB" w:rsidRPr="008F42C0" w:rsidRDefault="003105DB" w:rsidP="00642F02"/>
          <w:p w14:paraId="47D575F2" w14:textId="77777777" w:rsidR="003105DB" w:rsidRPr="008F42C0" w:rsidRDefault="003105DB" w:rsidP="00642F02"/>
          <w:p w14:paraId="631AA904" w14:textId="77777777" w:rsidR="003105DB" w:rsidRPr="008F42C0" w:rsidRDefault="003105DB" w:rsidP="00642F02"/>
          <w:p w14:paraId="10D2F212" w14:textId="77777777" w:rsidR="003105DB" w:rsidRPr="008F42C0" w:rsidRDefault="003105DB" w:rsidP="00642F02"/>
          <w:p w14:paraId="079D5A6F" w14:textId="77777777" w:rsidR="003105DB" w:rsidRPr="008F42C0" w:rsidRDefault="003105DB" w:rsidP="00642F02"/>
          <w:p w14:paraId="64F57089" w14:textId="77777777" w:rsidR="003105DB" w:rsidRPr="008F42C0" w:rsidRDefault="003105DB" w:rsidP="00642F02"/>
        </w:tc>
        <w:tc>
          <w:tcPr>
            <w:tcW w:w="6521" w:type="dxa"/>
            <w:shd w:val="clear" w:color="auto" w:fill="auto"/>
          </w:tcPr>
          <w:p w14:paraId="6AA43163" w14:textId="1CD8D103" w:rsidR="00901036" w:rsidRPr="00A16A3F" w:rsidRDefault="008B0F00" w:rsidP="00C675E9">
            <w:pPr>
              <w:jc w:val="both"/>
              <w:rPr>
                <w:shd w:val="clear" w:color="auto" w:fill="FFFFFF"/>
              </w:rPr>
            </w:pPr>
            <w:r w:rsidRPr="00990160">
              <w:rPr>
                <w:iCs/>
              </w:rPr>
              <w:t xml:space="preserve">     Noteikumu projekta </w:t>
            </w:r>
            <w:r w:rsidRPr="009725F7">
              <w:t xml:space="preserve">mērķis </w:t>
            </w:r>
            <w:r w:rsidR="00F548E8" w:rsidRPr="00F548E8">
              <w:rPr>
                <w:iCs/>
              </w:rPr>
              <w:t>ir</w:t>
            </w:r>
            <w:r w:rsidR="00F548E8" w:rsidRPr="0008466A">
              <w:rPr>
                <w:iCs/>
              </w:rPr>
              <w:t xml:space="preserve"> i</w:t>
            </w:r>
            <w:r w:rsidR="00F548E8" w:rsidRPr="003E3F38">
              <w:rPr>
                <w:iCs/>
              </w:rPr>
              <w:t>zpildīt</w:t>
            </w:r>
            <w:r w:rsidR="00F548E8" w:rsidRPr="00847916">
              <w:rPr>
                <w:iCs/>
              </w:rPr>
              <w:t xml:space="preserve"> l</w:t>
            </w:r>
            <w:r w:rsidR="00F548E8" w:rsidRPr="00847916">
              <w:rPr>
                <w:color w:val="000000"/>
              </w:rPr>
              <w:t>ikuma „Par zemes dzīlēm” 4.</w:t>
            </w:r>
            <w:r w:rsidR="00B67363">
              <w:rPr>
                <w:color w:val="000000"/>
              </w:rPr>
              <w:t xml:space="preserve"> </w:t>
            </w:r>
            <w:r w:rsidR="00F548E8" w:rsidRPr="00847916">
              <w:rPr>
                <w:color w:val="000000"/>
              </w:rPr>
              <w:t>panta ceturt</w:t>
            </w:r>
            <w:r w:rsidR="00D944CB">
              <w:rPr>
                <w:color w:val="000000"/>
              </w:rPr>
              <w:t>ajā</w:t>
            </w:r>
            <w:r w:rsidR="00F548E8" w:rsidRPr="00847916">
              <w:rPr>
                <w:color w:val="000000"/>
              </w:rPr>
              <w:t xml:space="preserve"> daļ</w:t>
            </w:r>
            <w:r w:rsidR="00D944CB">
              <w:rPr>
                <w:color w:val="000000"/>
              </w:rPr>
              <w:t>ā</w:t>
            </w:r>
            <w:r w:rsidR="00F548E8" w:rsidRPr="00F548E8">
              <w:rPr>
                <w:color w:val="000000"/>
              </w:rPr>
              <w:t xml:space="preserve"> noteikto deleģējumu - </w:t>
            </w:r>
            <w:r w:rsidR="00F548E8" w:rsidRPr="00A16A3F">
              <w:rPr>
                <w:shd w:val="clear" w:color="auto" w:fill="FFFFFF"/>
              </w:rPr>
              <w:t>noteikt ogļūdeņražu licenču laukumus, nosacījumus ogļūdeņražu meklēšanas, izpētes un ieguves licences saņemšanai, tās izsniegšanas un izmantošanas uzraudzības kārtību, kā arī licences anulēšanas nosacījumus. Attiecīgi salīdz</w:t>
            </w:r>
            <w:r w:rsidR="003362C4" w:rsidRPr="00A16A3F">
              <w:rPr>
                <w:shd w:val="clear" w:color="auto" w:fill="FFFFFF"/>
              </w:rPr>
              <w:t>i</w:t>
            </w:r>
            <w:r w:rsidR="00F548E8" w:rsidRPr="00A16A3F">
              <w:rPr>
                <w:shd w:val="clear" w:color="auto" w:fill="FFFFFF"/>
              </w:rPr>
              <w:t>nājum</w:t>
            </w:r>
            <w:r w:rsidR="003362C4" w:rsidRPr="00A16A3F">
              <w:rPr>
                <w:shd w:val="clear" w:color="auto" w:fill="FFFFFF"/>
              </w:rPr>
              <w:t>ā</w:t>
            </w:r>
            <w:r w:rsidR="00F548E8" w:rsidRPr="00A16A3F">
              <w:rPr>
                <w:shd w:val="clear" w:color="auto" w:fill="FFFFFF"/>
              </w:rPr>
              <w:t xml:space="preserve"> ar iepriekš spēkā esošo regulējumu</w:t>
            </w:r>
            <w:r w:rsidR="00B67363">
              <w:rPr>
                <w:shd w:val="clear" w:color="auto" w:fill="FFFFFF"/>
              </w:rPr>
              <w:t>,</w:t>
            </w:r>
            <w:r w:rsidR="00F548E8" w:rsidRPr="00A16A3F">
              <w:rPr>
                <w:shd w:val="clear" w:color="auto" w:fill="FFFFFF"/>
              </w:rPr>
              <w:t xml:space="preserve"> Noteikumiem Nr.</w:t>
            </w:r>
            <w:r w:rsidR="00B67363">
              <w:rPr>
                <w:shd w:val="clear" w:color="auto" w:fill="FFFFFF"/>
              </w:rPr>
              <w:t xml:space="preserve"> </w:t>
            </w:r>
            <w:r w:rsidR="00F548E8" w:rsidRPr="00A16A3F">
              <w:rPr>
                <w:shd w:val="clear" w:color="auto" w:fill="FFFFFF"/>
              </w:rPr>
              <w:t>805, Noteikumu projekt</w:t>
            </w:r>
            <w:r w:rsidR="0008466A" w:rsidRPr="00A16A3F">
              <w:rPr>
                <w:shd w:val="clear" w:color="auto" w:fill="FFFFFF"/>
              </w:rPr>
              <w:t>ā ir iekļautas vairākas izmaiņas</w:t>
            </w:r>
            <w:r w:rsidR="003E3F38" w:rsidRPr="00A16A3F">
              <w:rPr>
                <w:shd w:val="clear" w:color="auto" w:fill="FFFFFF"/>
              </w:rPr>
              <w:t xml:space="preserve"> ar mērķi</w:t>
            </w:r>
            <w:r w:rsidR="00901036" w:rsidRPr="00A16A3F">
              <w:rPr>
                <w:shd w:val="clear" w:color="auto" w:fill="FFFFFF"/>
              </w:rPr>
              <w:t>:</w:t>
            </w:r>
          </w:p>
          <w:p w14:paraId="7BFAF15D" w14:textId="37DB5905" w:rsidR="00901036" w:rsidRDefault="00901036" w:rsidP="00C675E9">
            <w:pPr>
              <w:jc w:val="both"/>
            </w:pPr>
            <w:r w:rsidRPr="00A16A3F">
              <w:rPr>
                <w:shd w:val="clear" w:color="auto" w:fill="FFFFFF"/>
              </w:rPr>
              <w:t>1)</w:t>
            </w:r>
            <w:r w:rsidR="003E3F38" w:rsidRPr="00A16A3F">
              <w:rPr>
                <w:shd w:val="clear" w:color="auto" w:fill="FFFFFF"/>
              </w:rPr>
              <w:t xml:space="preserve"> </w:t>
            </w:r>
            <w:r w:rsidRPr="00A16A3F">
              <w:rPr>
                <w:shd w:val="clear" w:color="auto" w:fill="FFFFFF"/>
              </w:rPr>
              <w:t xml:space="preserve">samazināt </w:t>
            </w:r>
            <w:r w:rsidR="00914D0E" w:rsidRPr="009725F7">
              <w:t>administratīv</w:t>
            </w:r>
            <w:r>
              <w:t>o</w:t>
            </w:r>
            <w:r w:rsidR="00914D0E" w:rsidRPr="009725F7">
              <w:t xml:space="preserve"> slog</w:t>
            </w:r>
            <w:r>
              <w:t>u</w:t>
            </w:r>
            <w:r w:rsidR="00914D0E" w:rsidRPr="009725F7">
              <w:t xml:space="preserve"> </w:t>
            </w:r>
            <w:r w:rsidR="00BD2711" w:rsidRPr="009725F7">
              <w:t>komersantiem</w:t>
            </w:r>
            <w:r w:rsidR="005A04AF" w:rsidRPr="009725F7">
              <w:t xml:space="preserve"> un valsts pārvaldei</w:t>
            </w:r>
            <w:r>
              <w:t>;</w:t>
            </w:r>
          </w:p>
          <w:p w14:paraId="386358BA" w14:textId="6A8D5118" w:rsidR="00901036" w:rsidRDefault="00901036" w:rsidP="00C675E9">
            <w:pPr>
              <w:jc w:val="both"/>
            </w:pPr>
            <w:r>
              <w:t>2)</w:t>
            </w:r>
            <w:r w:rsidR="00F027AD">
              <w:t xml:space="preserve"> </w:t>
            </w:r>
            <w:r>
              <w:t>stiprināt</w:t>
            </w:r>
            <w:r w:rsidR="00150F9F">
              <w:t xml:space="preserve"> </w:t>
            </w:r>
            <w:r w:rsidR="00914D0E" w:rsidRPr="009725F7">
              <w:t>kontrol</w:t>
            </w:r>
            <w:r>
              <w:t xml:space="preserve">i, </w:t>
            </w:r>
            <w:r w:rsidR="00BD2711" w:rsidRPr="009725F7">
              <w:rPr>
                <w:iCs/>
              </w:rPr>
              <w:t>piešķirot papildus tiesības kontrolējošajām iestādēm un nosakot licences darbības, kontroles, apturēšanas un a</w:t>
            </w:r>
            <w:r>
              <w:rPr>
                <w:iCs/>
              </w:rPr>
              <w:t>tcelšanas</w:t>
            </w:r>
            <w:r w:rsidR="00BD2711" w:rsidRPr="009725F7">
              <w:rPr>
                <w:iCs/>
              </w:rPr>
              <w:t xml:space="preserve"> kārtību, lai operatīvi reaģētu uz pārkāpumiem ogļūdeņražu izpētē un ieguvē</w:t>
            </w:r>
            <w:r>
              <w:t>;</w:t>
            </w:r>
          </w:p>
          <w:p w14:paraId="77A182D2" w14:textId="44F5166D" w:rsidR="00901036" w:rsidRDefault="00901036" w:rsidP="00C675E9">
            <w:pPr>
              <w:jc w:val="both"/>
            </w:pPr>
            <w:r>
              <w:t xml:space="preserve">3) veikt </w:t>
            </w:r>
            <w:r w:rsidR="00F16BFA" w:rsidRPr="009725F7">
              <w:rPr>
                <w:rStyle w:val="Emphasis"/>
                <w:i w:val="0"/>
                <w:iCs w:val="0"/>
                <w:shd w:val="clear" w:color="auto" w:fill="FFFFFF"/>
              </w:rPr>
              <w:t>izmaiņ</w:t>
            </w:r>
            <w:r>
              <w:rPr>
                <w:rStyle w:val="Emphasis"/>
                <w:i w:val="0"/>
                <w:iCs w:val="0"/>
                <w:shd w:val="clear" w:color="auto" w:fill="FFFFFF"/>
              </w:rPr>
              <w:t>as</w:t>
            </w:r>
            <w:r w:rsidR="00F16BFA" w:rsidRPr="009725F7">
              <w:rPr>
                <w:rStyle w:val="Emphasis"/>
                <w:i w:val="0"/>
                <w:iCs w:val="0"/>
                <w:shd w:val="clear" w:color="auto" w:fill="FFFFFF"/>
              </w:rPr>
              <w:t xml:space="preserve"> </w:t>
            </w:r>
            <w:r w:rsidR="003F033C" w:rsidRPr="009725F7">
              <w:rPr>
                <w:rStyle w:val="Emphasis"/>
                <w:i w:val="0"/>
                <w:iCs w:val="0"/>
                <w:shd w:val="clear" w:color="auto" w:fill="FFFFFF"/>
              </w:rPr>
              <w:t xml:space="preserve"> dublējošo</w:t>
            </w:r>
            <w:r w:rsidR="003F033C" w:rsidRPr="009725F7">
              <w:rPr>
                <w:shd w:val="clear" w:color="auto" w:fill="FFFFFF"/>
              </w:rPr>
              <w:t> augstāka vai tāda paša spēka normatīvā </w:t>
            </w:r>
            <w:r w:rsidR="003F033C" w:rsidRPr="009725F7">
              <w:rPr>
                <w:rStyle w:val="Emphasis"/>
                <w:i w:val="0"/>
                <w:iCs w:val="0"/>
                <w:shd w:val="clear" w:color="auto" w:fill="FFFFFF"/>
              </w:rPr>
              <w:t>akta</w:t>
            </w:r>
            <w:r w:rsidR="003F033C" w:rsidRPr="009725F7">
              <w:rPr>
                <w:shd w:val="clear" w:color="auto" w:fill="FFFFFF"/>
              </w:rPr>
              <w:t> tiesību normās ietvertajā</w:t>
            </w:r>
            <w:r>
              <w:rPr>
                <w:shd w:val="clear" w:color="auto" w:fill="FFFFFF"/>
              </w:rPr>
              <w:t xml:space="preserve"> regulējumā;</w:t>
            </w:r>
          </w:p>
          <w:p w14:paraId="788924BE" w14:textId="096A213A" w:rsidR="00BD7E44" w:rsidRPr="003E3F38" w:rsidRDefault="00901036" w:rsidP="00C675E9">
            <w:pPr>
              <w:jc w:val="both"/>
              <w:rPr>
                <w:color w:val="414142"/>
                <w:shd w:val="clear" w:color="auto" w:fill="FFFFFF"/>
              </w:rPr>
            </w:pPr>
            <w:r>
              <w:t xml:space="preserve">4) </w:t>
            </w:r>
            <w:r w:rsidR="00914D0E" w:rsidRPr="009725F7">
              <w:t xml:space="preserve"> kā arī </w:t>
            </w:r>
            <w:r>
              <w:t xml:space="preserve">veikt </w:t>
            </w:r>
            <w:r w:rsidR="00914D0E" w:rsidRPr="009725F7">
              <w:t>redakcionāl</w:t>
            </w:r>
            <w:r w:rsidR="0008466A">
              <w:t>us</w:t>
            </w:r>
            <w:r w:rsidR="00914D0E" w:rsidRPr="009725F7">
              <w:t xml:space="preserve"> un tehnisk</w:t>
            </w:r>
            <w:r w:rsidR="0008466A">
              <w:t>us</w:t>
            </w:r>
            <w:r w:rsidR="00914D0E" w:rsidRPr="009725F7">
              <w:t xml:space="preserve"> labojum</w:t>
            </w:r>
            <w:r w:rsidR="0008466A">
              <w:t>us</w:t>
            </w:r>
            <w:r w:rsidR="00914D0E" w:rsidRPr="009725F7">
              <w:t xml:space="preserve">, kas </w:t>
            </w:r>
            <w:r w:rsidR="0021043F" w:rsidRPr="009725F7">
              <w:rPr>
                <w:iCs/>
              </w:rPr>
              <w:t>uzlabo ogļūdeņražu</w:t>
            </w:r>
            <w:r w:rsidR="0021043F" w:rsidRPr="00990160">
              <w:rPr>
                <w:iCs/>
              </w:rPr>
              <w:t xml:space="preserve"> meklēšanas, izpētes un ieguves regulējumu</w:t>
            </w:r>
            <w:r w:rsidR="00914D0E" w:rsidRPr="00990160">
              <w:t>.</w:t>
            </w:r>
          </w:p>
          <w:p w14:paraId="686CBC21" w14:textId="57EE19C9" w:rsidR="00AE6DEC" w:rsidRPr="00990160" w:rsidRDefault="00BF2697" w:rsidP="00396D37">
            <w:pPr>
              <w:pStyle w:val="naislab"/>
              <w:spacing w:before="0" w:after="0"/>
              <w:ind w:right="44" w:firstLine="281"/>
              <w:jc w:val="both"/>
            </w:pPr>
            <w:r w:rsidRPr="00990160">
              <w:t>Ekonomikas ministrija, iepazīstoties ar ogļūdeņražu nozares</w:t>
            </w:r>
            <w:r w:rsidR="00CF3B60">
              <w:t xml:space="preserve">  praktisko</w:t>
            </w:r>
            <w:r w:rsidRPr="00990160">
              <w:t xml:space="preserve"> pieredzi, ir secinājusi</w:t>
            </w:r>
            <w:r w:rsidRPr="00B739B4">
              <w:rPr>
                <w:b/>
                <w:bCs/>
              </w:rPr>
              <w:t xml:space="preserve">, ka </w:t>
            </w:r>
            <w:r w:rsidR="00417FC2" w:rsidRPr="00B739B4">
              <w:rPr>
                <w:b/>
                <w:bCs/>
              </w:rPr>
              <w:t xml:space="preserve">atsevišķos jautājumos </w:t>
            </w:r>
            <w:r w:rsidRPr="00B739B4">
              <w:rPr>
                <w:b/>
                <w:bCs/>
              </w:rPr>
              <w:t xml:space="preserve">esošais regulējums rada </w:t>
            </w:r>
            <w:r w:rsidR="00BD7E44" w:rsidRPr="00B739B4">
              <w:rPr>
                <w:b/>
                <w:bCs/>
              </w:rPr>
              <w:t>pārmērīgu</w:t>
            </w:r>
            <w:r w:rsidRPr="00B739B4">
              <w:rPr>
                <w:b/>
                <w:bCs/>
              </w:rPr>
              <w:t xml:space="preserve"> administratīvo slogu</w:t>
            </w:r>
            <w:r w:rsidRPr="00990160">
              <w:t>.</w:t>
            </w:r>
            <w:r w:rsidR="00AE6DEC">
              <w:t xml:space="preserve"> Ekonomikas ministrija, iepazīstoties ar esošo licenciātu (komersantu) praktisko darbību, ir secinājusi, ka atsevišķos jautājumos ir iespējams mazināt regulējuma radīto slogu. </w:t>
            </w:r>
            <w:r w:rsidRPr="00990160">
              <w:t xml:space="preserve"> 2019.</w:t>
            </w:r>
            <w:r w:rsidR="00B67363">
              <w:t xml:space="preserve"> </w:t>
            </w:r>
            <w:r w:rsidRPr="00990160">
              <w:t>gada 28.</w:t>
            </w:r>
            <w:r w:rsidR="00B67363">
              <w:t xml:space="preserve"> </w:t>
            </w:r>
            <w:r w:rsidRPr="00990160">
              <w:t xml:space="preserve">martā komersants, kas ir uzsācis ogļūdeņražu komerciālo ieguvi </w:t>
            </w:r>
            <w:r w:rsidR="00B94072" w:rsidRPr="00990160">
              <w:t xml:space="preserve">uz sauszemes </w:t>
            </w:r>
            <w:r w:rsidRPr="00990160">
              <w:t xml:space="preserve">ir saskāries ar atsevišķiem problēmjautājumiem, kas neveicina komercdarbību. </w:t>
            </w:r>
            <w:r w:rsidR="00893318" w:rsidRPr="00585F7D">
              <w:t>Ievērojot pēdējo gadu</w:t>
            </w:r>
            <w:r w:rsidR="00893318">
              <w:t xml:space="preserve"> </w:t>
            </w:r>
            <w:r w:rsidRPr="00990160">
              <w:t>pieaugošo interesi par ogļūdeņražu meklēšanu</w:t>
            </w:r>
            <w:r w:rsidR="00B67363">
              <w:t xml:space="preserve"> vai </w:t>
            </w:r>
            <w:r w:rsidRPr="00990160">
              <w:t xml:space="preserve"> izpēti un ieguvi</w:t>
            </w:r>
            <w:r w:rsidR="00B94072" w:rsidRPr="00990160">
              <w:t xml:space="preserve"> gan Latvijas Republikas teritorijā uz sauszemes, gan Latvijas Republikas iekšējos jūras ūdeņos, teritoriālajā jūrā un ekskluzīvajā ekonomiskajā zonā (turpmāk – jūra)</w:t>
            </w:r>
            <w:r w:rsidRPr="00990160">
              <w:t xml:space="preserve">, secināms, ka ir nepieciešams sakārtot </w:t>
            </w:r>
            <w:r w:rsidR="00B559CF">
              <w:t xml:space="preserve">atsevišķas </w:t>
            </w:r>
            <w:r w:rsidRPr="00990160">
              <w:t xml:space="preserve">nozares problēmas </w:t>
            </w:r>
            <w:r w:rsidR="00AF2672" w:rsidRPr="00435DFB">
              <w:t xml:space="preserve">atspoguļojot </w:t>
            </w:r>
            <w:r w:rsidR="00417FC2" w:rsidRPr="00435DFB">
              <w:t>Noteikumu projekt</w:t>
            </w:r>
            <w:r w:rsidR="00AF2672" w:rsidRPr="00435DFB">
              <w:t>ā atbilstošas izmaiņas esošajā regulējumā</w:t>
            </w:r>
            <w:r w:rsidR="00C9263C" w:rsidRPr="00435DFB">
              <w:t>. Attiecīgi Noteikumu projektā problēmjautājumu sakārtošanai tika izvirzīti četri galvenie</w:t>
            </w:r>
            <w:r w:rsidR="00B94072" w:rsidRPr="00435DFB">
              <w:t xml:space="preserve"> </w:t>
            </w:r>
            <w:r w:rsidR="00C9263C" w:rsidRPr="00435DFB">
              <w:t>mērķiem (sk</w:t>
            </w:r>
            <w:r w:rsidR="00435DFB">
              <w:t>a</w:t>
            </w:r>
            <w:r w:rsidR="00C9263C" w:rsidRPr="00435DFB">
              <w:t>t. iepriekšējā rindkopā).</w:t>
            </w:r>
          </w:p>
          <w:p w14:paraId="77B749E2" w14:textId="2B642119" w:rsidR="0004370C" w:rsidRPr="00B559CF" w:rsidRDefault="0095470D" w:rsidP="00B559CF">
            <w:pPr>
              <w:pStyle w:val="naislab"/>
              <w:spacing w:before="0" w:after="0"/>
              <w:ind w:right="44" w:firstLine="281"/>
              <w:jc w:val="both"/>
            </w:pPr>
            <w:r w:rsidRPr="00990160">
              <w:t xml:space="preserve">Būtisks solis, kas atvieglo dokumentācijas kārtošanas procesu ir tas, ka ietekmes </w:t>
            </w:r>
            <w:r w:rsidRPr="00990160">
              <w:rPr>
                <w:shd w:val="clear" w:color="auto" w:fill="FFFFFF"/>
              </w:rPr>
              <w:t>uz vidi novērtējumu</w:t>
            </w:r>
            <w:r w:rsidR="002D4A6C" w:rsidRPr="00990160">
              <w:rPr>
                <w:shd w:val="clear" w:color="auto" w:fill="FFFFFF"/>
              </w:rPr>
              <w:t xml:space="preserve">, kas saistīts ar ogļūdeņražu urbumu ierīkošanu, </w:t>
            </w:r>
            <w:r w:rsidRPr="00990160">
              <w:rPr>
                <w:shd w:val="clear" w:color="auto" w:fill="FFFFFF"/>
              </w:rPr>
              <w:t>komersants var</w:t>
            </w:r>
            <w:r w:rsidR="002D4A6C" w:rsidRPr="00990160">
              <w:rPr>
                <w:shd w:val="clear" w:color="auto" w:fill="FFFFFF"/>
              </w:rPr>
              <w:t xml:space="preserve">ēs </w:t>
            </w:r>
            <w:r w:rsidRPr="00990160">
              <w:rPr>
                <w:shd w:val="clear" w:color="auto" w:fill="FFFFFF"/>
              </w:rPr>
              <w:t>uzsākt pirms licences laukuma noteikšanas</w:t>
            </w:r>
            <w:r w:rsidR="001F065F" w:rsidRPr="00990160">
              <w:rPr>
                <w:shd w:val="clear" w:color="auto" w:fill="FFFFFF"/>
              </w:rPr>
              <w:t>.</w:t>
            </w:r>
            <w:r w:rsidRPr="00990160">
              <w:rPr>
                <w:shd w:val="clear" w:color="auto" w:fill="FFFFFF"/>
              </w:rPr>
              <w:t xml:space="preserve"> </w:t>
            </w:r>
            <w:r w:rsidR="001F065F" w:rsidRPr="00990160">
              <w:t>T</w:t>
            </w:r>
            <w:r w:rsidRPr="00990160">
              <w:t>ād</w:t>
            </w:r>
            <w:r w:rsidR="00D944CB">
              <w:t>ē</w:t>
            </w:r>
            <w:r w:rsidRPr="00990160">
              <w:t xml:space="preserve">jādi jau sākotnēji </w:t>
            </w:r>
            <w:r w:rsidR="00841D38">
              <w:t>tiks</w:t>
            </w:r>
            <w:r w:rsidR="00841D38" w:rsidRPr="00990160">
              <w:t xml:space="preserve"> </w:t>
            </w:r>
            <w:r w:rsidRPr="00990160">
              <w:t xml:space="preserve">panākts, ka licences laukumā </w:t>
            </w:r>
            <w:r w:rsidR="001F065F" w:rsidRPr="00990160">
              <w:t xml:space="preserve">ir </w:t>
            </w:r>
            <w:r w:rsidR="00323E42">
              <w:t xml:space="preserve">jau noteiktas </w:t>
            </w:r>
            <w:r w:rsidR="001F065F" w:rsidRPr="00990160">
              <w:t xml:space="preserve">un </w:t>
            </w:r>
            <w:r w:rsidRPr="00990160">
              <w:t xml:space="preserve">nav iekļautas teritorijas, kurās nebūs iespējams veikt ogļūdeņražu izpēti vai ieguvi kā arī </w:t>
            </w:r>
            <w:r w:rsidR="00012621" w:rsidRPr="00990160">
              <w:t>varēs no</w:t>
            </w:r>
            <w:r w:rsidRPr="00990160">
              <w:t>tik</w:t>
            </w:r>
            <w:r w:rsidR="00012621" w:rsidRPr="00990160">
              <w:t>t</w:t>
            </w:r>
            <w:r w:rsidRPr="00990160">
              <w:t xml:space="preserve"> </w:t>
            </w:r>
            <w:r w:rsidR="001F065F" w:rsidRPr="00990160">
              <w:t xml:space="preserve">veiksmīgāka </w:t>
            </w:r>
            <w:r w:rsidR="00012621" w:rsidRPr="00990160">
              <w:t>pāreja no eksperimentālās ieguves uz komerciālo</w:t>
            </w:r>
            <w:r w:rsidR="002D4A6C" w:rsidRPr="00990160">
              <w:t xml:space="preserve"> ieguvi</w:t>
            </w:r>
            <w:r w:rsidR="00012621" w:rsidRPr="00990160">
              <w:t xml:space="preserve">, attiecīgi </w:t>
            </w:r>
            <w:r w:rsidR="00B559CF">
              <w:t>ekonomējot komersanta</w:t>
            </w:r>
            <w:r w:rsidR="00012621" w:rsidRPr="00990160">
              <w:t xml:space="preserve"> laiku</w:t>
            </w:r>
            <w:r w:rsidR="002D4A6C" w:rsidRPr="00990160">
              <w:t>.</w:t>
            </w:r>
            <w:r w:rsidR="001F065F" w:rsidRPr="00990160">
              <w:t xml:space="preserve"> </w:t>
            </w:r>
            <w:r w:rsidR="002D4A6C" w:rsidRPr="00595CAB">
              <w:t>P</w:t>
            </w:r>
            <w:r w:rsidR="001F065F" w:rsidRPr="00323E42">
              <w:t>ēc iepriekš spēkā esošā regulējuma iet</w:t>
            </w:r>
            <w:r w:rsidR="001F065F" w:rsidRPr="00990160">
              <w:t xml:space="preserve">ekmes uz vidi procedūru </w:t>
            </w:r>
            <w:r w:rsidR="002D4A6C" w:rsidRPr="00990160">
              <w:t xml:space="preserve">bija iespējams uzsākt </w:t>
            </w:r>
            <w:r w:rsidR="001F065F" w:rsidRPr="00990160">
              <w:t xml:space="preserve">tikai tad, kad saņemta ogļūdeņražu </w:t>
            </w:r>
            <w:r w:rsidR="001F065F" w:rsidRPr="00990160">
              <w:rPr>
                <w:iCs/>
              </w:rPr>
              <w:t>izpētes un ieguves licence</w:t>
            </w:r>
            <w:r w:rsidR="002D4A6C" w:rsidRPr="00990160">
              <w:rPr>
                <w:iCs/>
              </w:rPr>
              <w:t>.</w:t>
            </w:r>
          </w:p>
          <w:p w14:paraId="53A46555" w14:textId="1B2A0459" w:rsidR="00120BF0" w:rsidRDefault="001B5B0E" w:rsidP="00935C72">
            <w:pPr>
              <w:pStyle w:val="naislab"/>
              <w:spacing w:before="0" w:after="0"/>
              <w:ind w:right="44" w:firstLine="281"/>
              <w:jc w:val="both"/>
            </w:pPr>
            <w:r w:rsidRPr="00990160">
              <w:t>Lai taupītu valsts budžeta līdzekļus un darba stundas komisijas izveidei</w:t>
            </w:r>
            <w:r w:rsidR="00AA0C45" w:rsidRPr="00990160">
              <w:t xml:space="preserve"> un reālajai darbībai</w:t>
            </w:r>
            <w:r w:rsidRPr="00990160">
              <w:t xml:space="preserve">, tiek noteikta vienkāršota kārtība, lai iegūtu licenci ogļūdeņražu meklēšanai. Attiecīgi, lai iegūtu licenci ogļūdeņražu meklēšanai jūrā vai </w:t>
            </w:r>
            <w:r w:rsidR="00794095">
              <w:t>publisk</w:t>
            </w:r>
            <w:r w:rsidR="007D258F">
              <w:t>as</w:t>
            </w:r>
            <w:r w:rsidR="00794095">
              <w:t xml:space="preserve"> person</w:t>
            </w:r>
            <w:r w:rsidR="007D258F">
              <w:t>as</w:t>
            </w:r>
            <w:r w:rsidR="00794095">
              <w:t xml:space="preserve"> zemē</w:t>
            </w:r>
            <w:r w:rsidR="00841D38">
              <w:t>s</w:t>
            </w:r>
            <w:r w:rsidRPr="00990160">
              <w:t>, tiek atcelts konkurss</w:t>
            </w:r>
            <w:r w:rsidR="004130CA" w:rsidRPr="00990160">
              <w:t>, nosakot paziņošanas kārtību, kad komersanti var pieteikties uz konkrēto licences laukuma ogļūdeņražu meklēšanai.</w:t>
            </w:r>
          </w:p>
          <w:p w14:paraId="70E50EEC" w14:textId="31386245" w:rsidR="00AF2672" w:rsidRPr="00B739B4" w:rsidRDefault="00AF2672" w:rsidP="000B29F1">
            <w:pPr>
              <w:pStyle w:val="naislab"/>
              <w:spacing w:before="0" w:after="0"/>
              <w:ind w:right="44" w:firstLine="281"/>
              <w:jc w:val="both"/>
              <w:rPr>
                <w:b/>
                <w:bCs/>
                <w:shd w:val="clear" w:color="auto" w:fill="FFFFFF"/>
              </w:rPr>
            </w:pPr>
            <w:r w:rsidRPr="00B739B4">
              <w:rPr>
                <w:rStyle w:val="Emphasis"/>
                <w:b/>
                <w:bCs/>
                <w:i w:val="0"/>
                <w:iCs w:val="0"/>
                <w:shd w:val="clear" w:color="auto" w:fill="FFFFFF"/>
              </w:rPr>
              <w:lastRenderedPageBreak/>
              <w:t>Noteikumu projektā nav iekļautas tās normas</w:t>
            </w:r>
            <w:r w:rsidR="004402B6" w:rsidRPr="00B739B4">
              <w:rPr>
                <w:rStyle w:val="Emphasis"/>
                <w:b/>
                <w:bCs/>
                <w:i w:val="0"/>
                <w:iCs w:val="0"/>
                <w:shd w:val="clear" w:color="auto" w:fill="FFFFFF"/>
              </w:rPr>
              <w:t>, kas</w:t>
            </w:r>
            <w:r w:rsidR="00936DA1" w:rsidRPr="00B739B4">
              <w:rPr>
                <w:rStyle w:val="Emphasis"/>
                <w:b/>
                <w:bCs/>
                <w:i w:val="0"/>
                <w:iCs w:val="0"/>
                <w:shd w:val="clear" w:color="auto" w:fill="FFFFFF"/>
              </w:rPr>
              <w:t xml:space="preserve"> dublēj</w:t>
            </w:r>
            <w:r w:rsidR="004402B6" w:rsidRPr="00B739B4">
              <w:rPr>
                <w:rStyle w:val="Emphasis"/>
                <w:b/>
                <w:bCs/>
                <w:i w:val="0"/>
                <w:iCs w:val="0"/>
                <w:shd w:val="clear" w:color="auto" w:fill="FFFFFF"/>
              </w:rPr>
              <w:t>a citas spēkā</w:t>
            </w:r>
            <w:r w:rsidR="008B024A" w:rsidRPr="00B739B4">
              <w:rPr>
                <w:rStyle w:val="Emphasis"/>
                <w:b/>
                <w:bCs/>
                <w:i w:val="0"/>
                <w:iCs w:val="0"/>
                <w:shd w:val="clear" w:color="auto" w:fill="FFFFFF"/>
              </w:rPr>
              <w:t xml:space="preserve"> </w:t>
            </w:r>
            <w:r w:rsidR="004402B6" w:rsidRPr="00B739B4">
              <w:rPr>
                <w:b/>
                <w:bCs/>
                <w:shd w:val="clear" w:color="auto" w:fill="FFFFFF"/>
              </w:rPr>
              <w:t xml:space="preserve">esošas </w:t>
            </w:r>
            <w:r w:rsidR="00936DA1" w:rsidRPr="00B739B4">
              <w:rPr>
                <w:b/>
                <w:bCs/>
                <w:shd w:val="clear" w:color="auto" w:fill="FFFFFF"/>
              </w:rPr>
              <w:t>normatīv</w:t>
            </w:r>
            <w:r w:rsidR="004402B6" w:rsidRPr="00B739B4">
              <w:rPr>
                <w:b/>
                <w:bCs/>
                <w:shd w:val="clear" w:color="auto" w:fill="FFFFFF"/>
              </w:rPr>
              <w:t>o</w:t>
            </w:r>
            <w:r w:rsidR="00936DA1" w:rsidRPr="00B739B4">
              <w:rPr>
                <w:b/>
                <w:bCs/>
                <w:shd w:val="clear" w:color="auto" w:fill="FFFFFF"/>
              </w:rPr>
              <w:t> </w:t>
            </w:r>
            <w:r w:rsidR="00936DA1" w:rsidRPr="00B739B4">
              <w:rPr>
                <w:rStyle w:val="Emphasis"/>
                <w:b/>
                <w:bCs/>
                <w:i w:val="0"/>
                <w:iCs w:val="0"/>
                <w:shd w:val="clear" w:color="auto" w:fill="FFFFFF"/>
              </w:rPr>
              <w:t>akt</w:t>
            </w:r>
            <w:r w:rsidR="004402B6" w:rsidRPr="00B739B4">
              <w:rPr>
                <w:rStyle w:val="Emphasis"/>
                <w:b/>
                <w:bCs/>
                <w:i w:val="0"/>
                <w:iCs w:val="0"/>
                <w:shd w:val="clear" w:color="auto" w:fill="FFFFFF"/>
              </w:rPr>
              <w:t>u</w:t>
            </w:r>
            <w:r w:rsidR="00936DA1" w:rsidRPr="00B739B4">
              <w:rPr>
                <w:b/>
                <w:bCs/>
                <w:shd w:val="clear" w:color="auto" w:fill="FFFFFF"/>
              </w:rPr>
              <w:t> tiesību norm</w:t>
            </w:r>
            <w:r w:rsidR="00D01754" w:rsidRPr="00B739B4">
              <w:rPr>
                <w:b/>
                <w:bCs/>
                <w:shd w:val="clear" w:color="auto" w:fill="FFFFFF"/>
              </w:rPr>
              <w:t>as</w:t>
            </w:r>
            <w:r w:rsidR="005D6222" w:rsidRPr="00B739B4">
              <w:rPr>
                <w:b/>
                <w:bCs/>
                <w:shd w:val="clear" w:color="auto" w:fill="FFFFFF"/>
              </w:rPr>
              <w:t>.</w:t>
            </w:r>
          </w:p>
          <w:p w14:paraId="3BD58329" w14:textId="20F6C32A" w:rsidR="008B0F00" w:rsidRPr="00990160" w:rsidRDefault="005D6222" w:rsidP="000B29F1">
            <w:pPr>
              <w:pStyle w:val="naislab"/>
              <w:spacing w:before="0" w:after="0"/>
              <w:ind w:right="44" w:firstLine="281"/>
              <w:jc w:val="both"/>
            </w:pPr>
            <w:r w:rsidRPr="00990160">
              <w:rPr>
                <w:shd w:val="clear" w:color="auto" w:fill="FFFFFF"/>
              </w:rPr>
              <w:t xml:space="preserve"> </w:t>
            </w:r>
            <w:r w:rsidR="00AF2672">
              <w:rPr>
                <w:shd w:val="clear" w:color="auto" w:fill="FFFFFF"/>
              </w:rPr>
              <w:t xml:space="preserve">Piemērām, </w:t>
            </w:r>
            <w:r w:rsidR="00D664FE">
              <w:rPr>
                <w:shd w:val="clear" w:color="auto" w:fill="FFFFFF"/>
              </w:rPr>
              <w:t>l</w:t>
            </w:r>
            <w:r w:rsidR="004402B6" w:rsidRPr="00990160">
              <w:rPr>
                <w:shd w:val="clear" w:color="auto" w:fill="FFFFFF"/>
              </w:rPr>
              <w:t>ikuma "</w:t>
            </w:r>
            <w:hyperlink r:id="rId10" w:tgtFrame="_blank" w:history="1">
              <w:r w:rsidR="004402B6" w:rsidRPr="00990160">
                <w:rPr>
                  <w:rStyle w:val="Hyperlink"/>
                  <w:color w:val="auto"/>
                  <w:u w:val="none"/>
                  <w:shd w:val="clear" w:color="auto" w:fill="FFFFFF"/>
                </w:rPr>
                <w:t>Par zemes dzīlēm</w:t>
              </w:r>
            </w:hyperlink>
            <w:r w:rsidR="004402B6" w:rsidRPr="00990160">
              <w:rPr>
                <w:shd w:val="clear" w:color="auto" w:fill="FFFFFF"/>
              </w:rPr>
              <w:t>" 9.</w:t>
            </w:r>
            <w:r w:rsidR="00B67363">
              <w:rPr>
                <w:shd w:val="clear" w:color="auto" w:fill="FFFFFF"/>
              </w:rPr>
              <w:t xml:space="preserve"> </w:t>
            </w:r>
            <w:r w:rsidR="004402B6" w:rsidRPr="00990160">
              <w:rPr>
                <w:shd w:val="clear" w:color="auto" w:fill="FFFFFF"/>
              </w:rPr>
              <w:t xml:space="preserve">panta </w:t>
            </w:r>
            <w:r w:rsidR="00223987">
              <w:rPr>
                <w:shd w:val="clear" w:color="auto" w:fill="FFFFFF"/>
              </w:rPr>
              <w:t>pirmās</w:t>
            </w:r>
            <w:r w:rsidR="004402B6" w:rsidRPr="00990160">
              <w:rPr>
                <w:shd w:val="clear" w:color="auto" w:fill="FFFFFF"/>
              </w:rPr>
              <w:t xml:space="preserve"> daļas 2</w:t>
            </w:r>
            <w:r w:rsidR="00D944CB">
              <w:rPr>
                <w:shd w:val="clear" w:color="auto" w:fill="FFFFFF"/>
              </w:rPr>
              <w:t>.</w:t>
            </w:r>
            <w:r w:rsidR="004402B6" w:rsidRPr="00990160">
              <w:rPr>
                <w:shd w:val="clear" w:color="auto" w:fill="FFFFFF"/>
              </w:rPr>
              <w:t>, 3</w:t>
            </w:r>
            <w:r w:rsidR="00D944CB">
              <w:rPr>
                <w:shd w:val="clear" w:color="auto" w:fill="FFFFFF"/>
              </w:rPr>
              <w:t>.</w:t>
            </w:r>
            <w:r w:rsidR="004402B6" w:rsidRPr="00990160">
              <w:rPr>
                <w:shd w:val="clear" w:color="auto" w:fill="FFFFFF"/>
              </w:rPr>
              <w:t xml:space="preserve"> un 6</w:t>
            </w:r>
            <w:r w:rsidR="00D944CB">
              <w:rPr>
                <w:shd w:val="clear" w:color="auto" w:fill="FFFFFF"/>
              </w:rPr>
              <w:t>.</w:t>
            </w:r>
            <w:r w:rsidR="004402B6" w:rsidRPr="00990160">
              <w:rPr>
                <w:shd w:val="clear" w:color="auto" w:fill="FFFFFF"/>
              </w:rPr>
              <w:t xml:space="preserve"> punktā jau ir noteikts </w:t>
            </w:r>
            <w:r w:rsidR="004402B6" w:rsidRPr="004804B2">
              <w:rPr>
                <w:shd w:val="clear" w:color="auto" w:fill="FFFFFF"/>
              </w:rPr>
              <w:t>licenču izsniegšanas termiņš, tādēļ Noteikumu projekt</w:t>
            </w:r>
            <w:r w:rsidR="00AF2672">
              <w:rPr>
                <w:shd w:val="clear" w:color="auto" w:fill="FFFFFF"/>
              </w:rPr>
              <w:t>ā netiek iekļauti Noteikumu Nr</w:t>
            </w:r>
            <w:r w:rsidR="00D664FE">
              <w:rPr>
                <w:shd w:val="clear" w:color="auto" w:fill="FFFFFF"/>
              </w:rPr>
              <w:t>.</w:t>
            </w:r>
            <w:r w:rsidR="00AF2672">
              <w:rPr>
                <w:shd w:val="clear" w:color="auto" w:fill="FFFFFF"/>
              </w:rPr>
              <w:t>805</w:t>
            </w:r>
            <w:r w:rsidR="004402B6" w:rsidRPr="004804B2">
              <w:rPr>
                <w:shd w:val="clear" w:color="auto" w:fill="FFFFFF"/>
              </w:rPr>
              <w:t xml:space="preserve"> 29. un 30. punkt</w:t>
            </w:r>
            <w:r w:rsidR="004F45A5">
              <w:rPr>
                <w:shd w:val="clear" w:color="auto" w:fill="FFFFFF"/>
              </w:rPr>
              <w:t>i</w:t>
            </w:r>
            <w:r w:rsidR="00AF2672">
              <w:rPr>
                <w:shd w:val="clear" w:color="auto" w:fill="FFFFFF"/>
              </w:rPr>
              <w:t>, kas tie</w:t>
            </w:r>
            <w:r w:rsidR="00D664FE">
              <w:rPr>
                <w:shd w:val="clear" w:color="auto" w:fill="FFFFFF"/>
              </w:rPr>
              <w:t>k</w:t>
            </w:r>
            <w:r w:rsidR="004402B6" w:rsidRPr="004804B2">
              <w:rPr>
                <w:shd w:val="clear" w:color="auto" w:fill="FFFFFF"/>
              </w:rPr>
              <w:t xml:space="preserve"> aizstāt</w:t>
            </w:r>
            <w:r w:rsidR="00AF2672">
              <w:rPr>
                <w:shd w:val="clear" w:color="auto" w:fill="FFFFFF"/>
              </w:rPr>
              <w:t>i</w:t>
            </w:r>
            <w:r w:rsidR="004402B6" w:rsidRPr="004804B2">
              <w:rPr>
                <w:shd w:val="clear" w:color="auto" w:fill="FFFFFF"/>
              </w:rPr>
              <w:t xml:space="preserve"> ar jaunu punktu ar vispārīgu atsauci uz likum</w:t>
            </w:r>
            <w:r w:rsidR="004804B2">
              <w:rPr>
                <w:shd w:val="clear" w:color="auto" w:fill="FFFFFF"/>
              </w:rPr>
              <w:t>u</w:t>
            </w:r>
            <w:r w:rsidR="004402B6" w:rsidRPr="004804B2">
              <w:rPr>
                <w:shd w:val="clear" w:color="auto" w:fill="FFFFFF"/>
              </w:rPr>
              <w:t xml:space="preserve"> "</w:t>
            </w:r>
            <w:hyperlink r:id="rId11" w:tgtFrame="_blank" w:history="1">
              <w:r w:rsidR="004402B6" w:rsidRPr="004804B2">
                <w:rPr>
                  <w:rStyle w:val="Hyperlink"/>
                  <w:color w:val="auto"/>
                  <w:u w:val="none"/>
                  <w:shd w:val="clear" w:color="auto" w:fill="FFFFFF"/>
                </w:rPr>
                <w:t>Par zemes dzīlēm</w:t>
              </w:r>
            </w:hyperlink>
            <w:r w:rsidR="000E6BB2" w:rsidRPr="004804B2">
              <w:t>”</w:t>
            </w:r>
            <w:r w:rsidR="004402B6" w:rsidRPr="004804B2">
              <w:t>.</w:t>
            </w:r>
          </w:p>
          <w:p w14:paraId="3D24E706" w14:textId="3CEA0CA3" w:rsidR="001168C8" w:rsidRDefault="00E640E0" w:rsidP="001168C8">
            <w:pPr>
              <w:pStyle w:val="naislab"/>
              <w:spacing w:before="0" w:after="0"/>
              <w:ind w:right="44" w:hanging="3"/>
              <w:jc w:val="both"/>
            </w:pPr>
            <w:r>
              <w:rPr>
                <w:shd w:val="clear" w:color="auto" w:fill="FFFFFF"/>
              </w:rPr>
              <w:t xml:space="preserve">     Salīdzinājumā ar esošo regulējumu </w:t>
            </w:r>
            <w:r w:rsidR="00715F5E" w:rsidRPr="00046809">
              <w:rPr>
                <w:shd w:val="clear" w:color="auto" w:fill="FFFFFF"/>
              </w:rPr>
              <w:t xml:space="preserve">Noteikumu projektā </w:t>
            </w:r>
            <w:r w:rsidR="009D622B">
              <w:rPr>
                <w:shd w:val="clear" w:color="auto" w:fill="FFFFFF"/>
              </w:rPr>
              <w:t>netiek iekļaut</w:t>
            </w:r>
            <w:r w:rsidR="00DB67F2">
              <w:rPr>
                <w:shd w:val="clear" w:color="auto" w:fill="FFFFFF"/>
              </w:rPr>
              <w:t>s</w:t>
            </w:r>
            <w:r w:rsidR="009D622B">
              <w:rPr>
                <w:shd w:val="clear" w:color="auto" w:fill="FFFFFF"/>
              </w:rPr>
              <w:t xml:space="preserve"> Noteikumu Nr.805</w:t>
            </w:r>
            <w:r w:rsidR="00715F5E" w:rsidRPr="00046809">
              <w:rPr>
                <w:shd w:val="clear" w:color="auto" w:fill="FFFFFF"/>
              </w:rPr>
              <w:t xml:space="preserve"> 11. un 12. </w:t>
            </w:r>
            <w:r w:rsidR="00715F5E" w:rsidRPr="001168C8">
              <w:rPr>
                <w:shd w:val="clear" w:color="auto" w:fill="FFFFFF"/>
              </w:rPr>
              <w:t>punkt</w:t>
            </w:r>
            <w:r w:rsidR="00922E72" w:rsidRPr="001168C8">
              <w:rPr>
                <w:shd w:val="clear" w:color="auto" w:fill="FFFFFF"/>
              </w:rPr>
              <w:t xml:space="preserve">s, jo </w:t>
            </w:r>
            <w:r w:rsidR="004804B2" w:rsidRPr="001168C8">
              <w:rPr>
                <w:shd w:val="clear" w:color="auto" w:fill="FFFFFF"/>
              </w:rPr>
              <w:t>l</w:t>
            </w:r>
            <w:r w:rsidR="00922E72" w:rsidRPr="001168C8">
              <w:rPr>
                <w:shd w:val="clear" w:color="auto" w:fill="FFFFFF"/>
              </w:rPr>
              <w:t>ikumā</w:t>
            </w:r>
            <w:r w:rsidR="00922E72" w:rsidRPr="00990160">
              <w:rPr>
                <w:shd w:val="clear" w:color="auto" w:fill="FFFFFF"/>
              </w:rPr>
              <w:t xml:space="preserve"> "</w:t>
            </w:r>
            <w:hyperlink r:id="rId12" w:tgtFrame="_blank" w:history="1">
              <w:r w:rsidR="00922E72" w:rsidRPr="00990160">
                <w:rPr>
                  <w:rStyle w:val="Hyperlink"/>
                  <w:color w:val="auto"/>
                  <w:u w:val="none"/>
                  <w:shd w:val="clear" w:color="auto" w:fill="FFFFFF"/>
                </w:rPr>
                <w:t>Par zemes dzīlēm</w:t>
              </w:r>
            </w:hyperlink>
            <w:r w:rsidR="00922E72" w:rsidRPr="00990160">
              <w:rPr>
                <w:shd w:val="clear" w:color="auto" w:fill="FFFFFF"/>
              </w:rPr>
              <w:t xml:space="preserve">" jau ir izskaidrots termins “licences laukums”, attiecīgi </w:t>
            </w:r>
            <w:r w:rsidR="00413770">
              <w:rPr>
                <w:shd w:val="clear" w:color="auto" w:fill="FFFFFF"/>
              </w:rPr>
              <w:t xml:space="preserve">šobrīd </w:t>
            </w:r>
            <w:r w:rsidR="00F30D69" w:rsidRPr="00990160">
              <w:rPr>
                <w:shd w:val="clear" w:color="auto" w:fill="FFFFFF"/>
              </w:rPr>
              <w:t xml:space="preserve">arī </w:t>
            </w:r>
            <w:r w:rsidR="00922E72" w:rsidRPr="00990160">
              <w:rPr>
                <w:shd w:val="clear" w:color="auto" w:fill="FFFFFF"/>
              </w:rPr>
              <w:t xml:space="preserve">ogļūdeņražiem netiek paredzēti </w:t>
            </w:r>
            <w:r w:rsidR="00F30D69" w:rsidRPr="00990160">
              <w:rPr>
                <w:shd w:val="clear" w:color="auto" w:fill="FFFFFF"/>
              </w:rPr>
              <w:t>specifiski</w:t>
            </w:r>
            <w:r w:rsidR="00922E72" w:rsidRPr="00990160">
              <w:rPr>
                <w:shd w:val="clear" w:color="auto" w:fill="FFFFFF"/>
              </w:rPr>
              <w:t xml:space="preserve"> licences laukuma noteikšanas kritēriji</w:t>
            </w:r>
            <w:r w:rsidR="001168C8">
              <w:rPr>
                <w:shd w:val="clear" w:color="auto" w:fill="FFFFFF"/>
              </w:rPr>
              <w:t xml:space="preserve"> nekā tas bija iepriekš spēkā esošajā noteikumu redakcijā</w:t>
            </w:r>
            <w:r w:rsidR="00922E72" w:rsidRPr="00990160">
              <w:rPr>
                <w:shd w:val="clear" w:color="auto" w:fill="FFFFFF"/>
              </w:rPr>
              <w:t xml:space="preserve">. </w:t>
            </w:r>
            <w:r>
              <w:rPr>
                <w:shd w:val="clear" w:color="auto" w:fill="FFFFFF"/>
              </w:rPr>
              <w:t xml:space="preserve">Neiekļaujot </w:t>
            </w:r>
            <w:r w:rsidR="00922E72" w:rsidRPr="00990160">
              <w:rPr>
                <w:shd w:val="clear" w:color="auto" w:fill="FFFFFF"/>
              </w:rPr>
              <w:t xml:space="preserve">Noteikumu </w:t>
            </w:r>
            <w:r>
              <w:rPr>
                <w:shd w:val="clear" w:color="auto" w:fill="FFFFFF"/>
              </w:rPr>
              <w:t xml:space="preserve">Nr.805 </w:t>
            </w:r>
            <w:r w:rsidR="00922E72" w:rsidRPr="00990160">
              <w:rPr>
                <w:shd w:val="clear" w:color="auto" w:fill="FFFFFF"/>
              </w:rPr>
              <w:t xml:space="preserve"> 11.punktu, tiek piedāvāta iespēja </w:t>
            </w:r>
            <w:r w:rsidR="00F30D69" w:rsidRPr="00990160">
              <w:rPr>
                <w:shd w:val="clear" w:color="auto" w:fill="FFFFFF"/>
              </w:rPr>
              <w:t xml:space="preserve">apvienot vienā licences laukumā </w:t>
            </w:r>
            <w:r w:rsidR="00922E72" w:rsidRPr="00990160">
              <w:rPr>
                <w:shd w:val="clear" w:color="auto" w:fill="FFFFFF"/>
              </w:rPr>
              <w:t>vairākus zemes dzīļu  iecirkņus, kam nav kopēja robeža</w:t>
            </w:r>
            <w:r w:rsidR="00F30D69" w:rsidRPr="00990160">
              <w:rPr>
                <w:shd w:val="clear" w:color="auto" w:fill="FFFFFF"/>
              </w:rPr>
              <w:t>.</w:t>
            </w:r>
            <w:r w:rsidR="00922E72" w:rsidRPr="00990160">
              <w:rPr>
                <w:shd w:val="clear" w:color="auto" w:fill="FFFFFF"/>
              </w:rPr>
              <w:t xml:space="preserve"> </w:t>
            </w:r>
            <w:r w:rsidR="00F30D69" w:rsidRPr="00990160">
              <w:t>P</w:t>
            </w:r>
            <w:r w:rsidR="00922E72" w:rsidRPr="00990160">
              <w:t>iemēram, nosakot licences laukumu, kuru šķērso, ceļi, dzelzceļi, upes, ezeri, aizsargājam</w:t>
            </w:r>
            <w:r w:rsidR="00605FC6">
              <w:t>a</w:t>
            </w:r>
            <w:r w:rsidR="00922E72" w:rsidRPr="00990160">
              <w:t xml:space="preserve"> dabas teritorija utt. vai citi īpašumi, kuru īpašnieki atsakās tikt iekļ</w:t>
            </w:r>
            <w:r w:rsidR="00F30D69" w:rsidRPr="00990160">
              <w:t>auti</w:t>
            </w:r>
            <w:r w:rsidR="00922E72" w:rsidRPr="00990160">
              <w:t xml:space="preserve"> licences laukumā, veidojas situācija, ka ir jāveido nevis viens, bet divi vai vairāki licences laukumi.</w:t>
            </w:r>
            <w:r w:rsidR="00F30D69" w:rsidRPr="00990160">
              <w:rPr>
                <w:shd w:val="clear" w:color="auto" w:fill="FFFFFF"/>
              </w:rPr>
              <w:t xml:space="preserve"> A</w:t>
            </w:r>
            <w:r w:rsidR="00922E72" w:rsidRPr="00990160">
              <w:rPr>
                <w:shd w:val="clear" w:color="auto" w:fill="FFFFFF"/>
              </w:rPr>
              <w:t>ttiecīgi iz</w:t>
            </w:r>
            <w:r w:rsidR="00F30D69" w:rsidRPr="00990160">
              <w:rPr>
                <w:shd w:val="clear" w:color="auto" w:fill="FFFFFF"/>
              </w:rPr>
              <w:t>veidojo</w:t>
            </w:r>
            <w:r w:rsidR="00922E72" w:rsidRPr="00990160">
              <w:rPr>
                <w:shd w:val="clear" w:color="auto" w:fill="FFFFFF"/>
              </w:rPr>
              <w:t>t vienu licences laukumu, ne vairākus, nozīmētu licenciātam papildu</w:t>
            </w:r>
            <w:r w:rsidR="00F30D69" w:rsidRPr="00990160">
              <w:rPr>
                <w:shd w:val="clear" w:color="auto" w:fill="FFFFFF"/>
              </w:rPr>
              <w:t xml:space="preserve"> </w:t>
            </w:r>
            <w:r w:rsidR="00922E72" w:rsidRPr="00990160">
              <w:rPr>
                <w:shd w:val="clear" w:color="auto" w:fill="FFFFFF"/>
              </w:rPr>
              <w:t>izmaks</w:t>
            </w:r>
            <w:r w:rsidR="00F30D69" w:rsidRPr="00990160">
              <w:rPr>
                <w:shd w:val="clear" w:color="auto" w:fill="FFFFFF"/>
              </w:rPr>
              <w:t>u samazināšanu</w:t>
            </w:r>
            <w:r w:rsidR="00922E72" w:rsidRPr="00990160">
              <w:rPr>
                <w:shd w:val="clear" w:color="auto" w:fill="FFFFFF"/>
              </w:rPr>
              <w:t xml:space="preserve"> un </w:t>
            </w:r>
            <w:r w:rsidR="00F30D69" w:rsidRPr="00990160">
              <w:rPr>
                <w:shd w:val="clear" w:color="auto" w:fill="FFFFFF"/>
              </w:rPr>
              <w:t xml:space="preserve">izvairīšanos no </w:t>
            </w:r>
            <w:r w:rsidR="00922E72" w:rsidRPr="00990160">
              <w:rPr>
                <w:shd w:val="clear" w:color="auto" w:fill="FFFFFF"/>
              </w:rPr>
              <w:t>liek</w:t>
            </w:r>
            <w:r w:rsidR="00F30D69" w:rsidRPr="00990160">
              <w:rPr>
                <w:shd w:val="clear" w:color="auto" w:fill="FFFFFF"/>
              </w:rPr>
              <w:t>iem</w:t>
            </w:r>
            <w:r w:rsidR="00922E72" w:rsidRPr="00990160">
              <w:rPr>
                <w:shd w:val="clear" w:color="auto" w:fill="FFFFFF"/>
              </w:rPr>
              <w:t xml:space="preserve"> birokrātisk</w:t>
            </w:r>
            <w:r w:rsidR="00F30D69" w:rsidRPr="00990160">
              <w:rPr>
                <w:shd w:val="clear" w:color="auto" w:fill="FFFFFF"/>
              </w:rPr>
              <w:t>iem</w:t>
            </w:r>
            <w:r w:rsidR="00922E72" w:rsidRPr="00990160">
              <w:rPr>
                <w:shd w:val="clear" w:color="auto" w:fill="FFFFFF"/>
              </w:rPr>
              <w:t xml:space="preserve"> soļ</w:t>
            </w:r>
            <w:r w:rsidR="00F30D69" w:rsidRPr="00990160">
              <w:rPr>
                <w:shd w:val="clear" w:color="auto" w:fill="FFFFFF"/>
              </w:rPr>
              <w:t xml:space="preserve">iem. Piemēram, </w:t>
            </w:r>
            <w:r w:rsidR="001168C8" w:rsidRPr="00990160">
              <w:rPr>
                <w:shd w:val="clear" w:color="auto" w:fill="FFFFFF"/>
              </w:rPr>
              <w:t xml:space="preserve">Ministru kabinets apstiprina ierosināto </w:t>
            </w:r>
            <w:r w:rsidR="001168C8">
              <w:rPr>
                <w:shd w:val="clear" w:color="auto" w:fill="FFFFFF"/>
              </w:rPr>
              <w:t xml:space="preserve">licences </w:t>
            </w:r>
            <w:r w:rsidR="001168C8" w:rsidRPr="00990160">
              <w:rPr>
                <w:shd w:val="clear" w:color="auto" w:fill="FFFFFF"/>
              </w:rPr>
              <w:t>laukumu noteiktā kārtībā</w:t>
            </w:r>
            <w:r w:rsidR="001168C8">
              <w:rPr>
                <w:shd w:val="clear" w:color="auto" w:fill="FFFFFF"/>
              </w:rPr>
              <w:t xml:space="preserve"> un </w:t>
            </w:r>
            <w:r w:rsidR="00F30D69" w:rsidRPr="00990160">
              <w:rPr>
                <w:shd w:val="clear" w:color="auto" w:fill="FFFFFF"/>
              </w:rPr>
              <w:t>p</w:t>
            </w:r>
            <w:r w:rsidR="00922E72" w:rsidRPr="00990160">
              <w:rPr>
                <w:shd w:val="clear" w:color="auto" w:fill="FFFFFF"/>
              </w:rPr>
              <w:t>ar katru licenci ir</w:t>
            </w:r>
            <w:r w:rsidR="001168C8">
              <w:rPr>
                <w:shd w:val="clear" w:color="auto" w:fill="FFFFFF"/>
              </w:rPr>
              <w:t xml:space="preserve"> jāiesniedz noteikts dokumentu kopums, </w:t>
            </w:r>
            <w:r w:rsidR="00922E72" w:rsidRPr="00990160">
              <w:rPr>
                <w:shd w:val="clear" w:color="auto" w:fill="FFFFFF"/>
              </w:rPr>
              <w:t xml:space="preserve"> </w:t>
            </w:r>
            <w:r w:rsidR="001168C8">
              <w:rPr>
                <w:shd w:val="clear" w:color="auto" w:fill="FFFFFF"/>
              </w:rPr>
              <w:t xml:space="preserve">kā arī </w:t>
            </w:r>
            <w:r w:rsidR="00922E72" w:rsidRPr="00990160">
              <w:rPr>
                <w:shd w:val="clear" w:color="auto" w:fill="FFFFFF"/>
              </w:rPr>
              <w:t>jāveic valsts nodevas maksa</w:t>
            </w:r>
            <w:r w:rsidR="00F30D69" w:rsidRPr="00990160">
              <w:rPr>
                <w:shd w:val="clear" w:color="auto" w:fill="FFFFFF"/>
              </w:rPr>
              <w:t>.</w:t>
            </w:r>
            <w:r w:rsidR="00922E72" w:rsidRPr="00990160">
              <w:rPr>
                <w:shd w:val="clear" w:color="auto" w:fill="FFFFFF"/>
              </w:rPr>
              <w:t xml:space="preserve"> Katr</w:t>
            </w:r>
            <w:r w:rsidR="00F30D69" w:rsidRPr="00990160">
              <w:rPr>
                <w:shd w:val="clear" w:color="auto" w:fill="FFFFFF"/>
              </w:rPr>
              <w:t>a</w:t>
            </w:r>
            <w:r w:rsidR="00922E72" w:rsidRPr="00990160">
              <w:rPr>
                <w:shd w:val="clear" w:color="auto" w:fill="FFFFFF"/>
              </w:rPr>
              <w:t xml:space="preserve"> </w:t>
            </w:r>
            <w:r w:rsidR="00F30D69" w:rsidRPr="00990160">
              <w:rPr>
                <w:shd w:val="clear" w:color="auto" w:fill="FFFFFF"/>
              </w:rPr>
              <w:t xml:space="preserve">atsevišķa </w:t>
            </w:r>
            <w:r w:rsidR="00922E72" w:rsidRPr="00990160">
              <w:rPr>
                <w:shd w:val="clear" w:color="auto" w:fill="FFFFFF"/>
              </w:rPr>
              <w:t>licences laukuma noteikšana un licences saņemšana ir laikietilpīgs process.</w:t>
            </w:r>
            <w:r w:rsidR="00681FCC" w:rsidRPr="00990160">
              <w:rPr>
                <w:shd w:val="clear" w:color="auto" w:fill="FFFFFF"/>
              </w:rPr>
              <w:t xml:space="preserve"> </w:t>
            </w:r>
            <w:r w:rsidR="00AF07DB">
              <w:rPr>
                <w:shd w:val="clear" w:color="auto" w:fill="FFFFFF"/>
              </w:rPr>
              <w:t xml:space="preserve">Neiekļaujot </w:t>
            </w:r>
            <w:r w:rsidR="00AF07DB" w:rsidRPr="00990160">
              <w:rPr>
                <w:shd w:val="clear" w:color="auto" w:fill="FFFFFF"/>
              </w:rPr>
              <w:t xml:space="preserve">Noteikumu </w:t>
            </w:r>
            <w:r w:rsidR="00AF07DB">
              <w:rPr>
                <w:shd w:val="clear" w:color="auto" w:fill="FFFFFF"/>
              </w:rPr>
              <w:t xml:space="preserve">Nr.805 </w:t>
            </w:r>
            <w:r w:rsidR="00681FCC" w:rsidRPr="00990160">
              <w:rPr>
                <w:shd w:val="clear" w:color="auto" w:fill="FFFFFF"/>
              </w:rPr>
              <w:t>12.</w:t>
            </w:r>
            <w:r w:rsidR="00221BB9">
              <w:rPr>
                <w:shd w:val="clear" w:color="auto" w:fill="FFFFFF"/>
              </w:rPr>
              <w:t xml:space="preserve"> </w:t>
            </w:r>
            <w:r w:rsidR="00681FCC" w:rsidRPr="00990160">
              <w:rPr>
                <w:shd w:val="clear" w:color="auto" w:fill="FFFFFF"/>
              </w:rPr>
              <w:t>punktu, tiek veicināta uzņēmējdarbība, attiecīgi, j</w:t>
            </w:r>
            <w:r w:rsidR="00922E72" w:rsidRPr="00990160">
              <w:t xml:space="preserve">a uzņēmējs redz ekonomisko pamatojumu </w:t>
            </w:r>
            <w:r w:rsidR="00145400" w:rsidRPr="00990160">
              <w:t xml:space="preserve">un saskata iespējas </w:t>
            </w:r>
            <w:r w:rsidR="00922E72" w:rsidRPr="00990160">
              <w:t>iegūt ogļūdeņražus mazāk</w:t>
            </w:r>
            <w:r w:rsidR="00681FCC" w:rsidRPr="00990160">
              <w:t>ā</w:t>
            </w:r>
            <w:r w:rsidR="00922E72" w:rsidRPr="00990160">
              <w:t xml:space="preserve"> teritorij</w:t>
            </w:r>
            <w:r w:rsidR="00681FCC" w:rsidRPr="00990160">
              <w:t>ā</w:t>
            </w:r>
            <w:r w:rsidR="00922E72" w:rsidRPr="00990160">
              <w:t xml:space="preserve"> kā šobrīd esošie noteiktie 15 h</w:t>
            </w:r>
            <w:r w:rsidR="001168C8">
              <w:t>ektāri</w:t>
            </w:r>
            <w:r w:rsidR="00922E72" w:rsidRPr="00990160">
              <w:t>, tad šis punkts ir lieks</w:t>
            </w:r>
            <w:r w:rsidR="00681FCC" w:rsidRPr="00990160">
              <w:t>.</w:t>
            </w:r>
            <w:r w:rsidR="00F519A0" w:rsidRPr="00990160">
              <w:t xml:space="preserve"> </w:t>
            </w:r>
            <w:r w:rsidR="001168C8">
              <w:t xml:space="preserve">      </w:t>
            </w:r>
          </w:p>
          <w:p w14:paraId="1FDE7B25" w14:textId="06229893" w:rsidR="00922E72" w:rsidRPr="001168C8" w:rsidRDefault="001168C8" w:rsidP="001168C8">
            <w:pPr>
              <w:pStyle w:val="naislab"/>
              <w:spacing w:before="0" w:after="0"/>
              <w:ind w:right="44" w:hanging="3"/>
              <w:jc w:val="both"/>
            </w:pPr>
            <w:r>
              <w:t xml:space="preserve">    </w:t>
            </w:r>
            <w:r w:rsidR="00F519A0" w:rsidRPr="00990160">
              <w:t xml:space="preserve">Noteikumu projektā </w:t>
            </w:r>
            <w:r w:rsidR="00841D38">
              <w:t>ir iekļauta jauna norma (1</w:t>
            </w:r>
            <w:r w:rsidR="004F45A5">
              <w:t>0</w:t>
            </w:r>
            <w:r w:rsidR="00841D38">
              <w:t>.</w:t>
            </w:r>
            <w:r w:rsidR="001464CF">
              <w:t xml:space="preserve"> </w:t>
            </w:r>
            <w:r w:rsidR="00841D38">
              <w:t>punkts), kas noteic, ka</w:t>
            </w:r>
            <w:r w:rsidR="00841D38" w:rsidRPr="00990160">
              <w:t xml:space="preserve"> licences laukums var tikt noteikts arī pa nekustamā īpašuma robežu, bet ievērojot 20 m joslu, ja zeme ir ierādīta, nevis instrumentāli uzmērīta.</w:t>
            </w:r>
            <w:r w:rsidR="001B0AAB">
              <w:t xml:space="preserve"> </w:t>
            </w:r>
            <w:r w:rsidR="00841D38">
              <w:t>I</w:t>
            </w:r>
            <w:r w:rsidR="00F723F6" w:rsidRPr="00990160">
              <w:t>epriekš spēkā eso</w:t>
            </w:r>
            <w:r w:rsidR="00841D38">
              <w:t>š</w:t>
            </w:r>
            <w:r w:rsidR="005C4DF9">
              <w:t>aj</w:t>
            </w:r>
            <w:r w:rsidR="00F723F6" w:rsidRPr="00990160">
              <w:t>ā redakcijā</w:t>
            </w:r>
            <w:r w:rsidR="001B0AAB">
              <w:t>, nosakot jaunus licences laukumus,</w:t>
            </w:r>
            <w:r w:rsidR="00F723F6" w:rsidRPr="00990160">
              <w:t xml:space="preserve"> </w:t>
            </w:r>
            <w:r w:rsidR="001B0AAB">
              <w:t xml:space="preserve">nebija atrunāti gadījumi, </w:t>
            </w:r>
            <w:r w:rsidR="005C4DF9">
              <w:t>kad</w:t>
            </w:r>
            <w:r w:rsidR="001B0AAB">
              <w:t xml:space="preserve"> zeme n</w:t>
            </w:r>
            <w:r w:rsidR="005C4DF9">
              <w:t>av</w:t>
            </w:r>
            <w:r w:rsidR="001B0AAB">
              <w:t xml:space="preserve"> </w:t>
            </w:r>
            <w:r w:rsidR="005C4DF9">
              <w:t>instrumentāli</w:t>
            </w:r>
            <w:r w:rsidR="001B0AAB">
              <w:t xml:space="preserve"> uzmērīta.</w:t>
            </w:r>
            <w:r w:rsidR="00F723F6" w:rsidRPr="00990160">
              <w:t xml:space="preserve"> Ekonomikas ministrija </w:t>
            </w:r>
            <w:r w:rsidRPr="00990160">
              <w:t xml:space="preserve">vairākkārt </w:t>
            </w:r>
            <w:r w:rsidR="00F723F6" w:rsidRPr="00990160">
              <w:t>sask</w:t>
            </w:r>
            <w:r w:rsidR="00977771">
              <w:t>ā</w:t>
            </w:r>
            <w:r w:rsidR="00F723F6" w:rsidRPr="00990160">
              <w:t>r</w:t>
            </w:r>
            <w:r>
              <w:t>usies</w:t>
            </w:r>
            <w:r w:rsidR="00F723F6" w:rsidRPr="00990160">
              <w:t xml:space="preserve"> ar problēmu, ka nekustamā īpašuma robeža bija tikai ierādīta</w:t>
            </w:r>
            <w:r w:rsidR="00481F0D" w:rsidRPr="00990160">
              <w:t xml:space="preserve"> (dabā nenostiprināti un kadastrāli neuzmērīti robežu punkti)</w:t>
            </w:r>
            <w:r w:rsidR="00F723F6" w:rsidRPr="00990160">
              <w:t>, nevis instrumentāli uzmērīta</w:t>
            </w:r>
            <w:r w:rsidR="005C4DF9">
              <w:t>.</w:t>
            </w:r>
            <w:r w:rsidR="00F723F6" w:rsidRPr="00990160">
              <w:t xml:space="preserve"> </w:t>
            </w:r>
            <w:r w:rsidR="00841D38">
              <w:t>Jaun</w:t>
            </w:r>
            <w:r w:rsidR="00B47227">
              <w:t>ajā</w:t>
            </w:r>
            <w:r w:rsidR="00841D38">
              <w:t xml:space="preserve"> regulējum</w:t>
            </w:r>
            <w:r w:rsidR="00B47227">
              <w:t>ā</w:t>
            </w:r>
            <w:r w:rsidR="00841D38" w:rsidRPr="00990160">
              <w:t xml:space="preserve"> </w:t>
            </w:r>
            <w:r w:rsidR="00F723F6" w:rsidRPr="00990160">
              <w:t>ir noteikts</w:t>
            </w:r>
            <w:r w:rsidR="001B0AAB">
              <w:t xml:space="preserve"> precizējums</w:t>
            </w:r>
            <w:r w:rsidR="00F723F6" w:rsidRPr="00990160">
              <w:t>, balstoties uz to, ka ierādītas zemes vienības robežas</w:t>
            </w:r>
            <w:r w:rsidR="00C03A2C" w:rsidRPr="00990160">
              <w:t xml:space="preserve"> punktu</w:t>
            </w:r>
            <w:r w:rsidR="00F723F6" w:rsidRPr="00990160">
              <w:t xml:space="preserve"> precizitāte ir +/-20 m</w:t>
            </w:r>
            <w:r>
              <w:t>etri</w:t>
            </w:r>
            <w:r w:rsidR="00F723F6" w:rsidRPr="00990160">
              <w:t>, bet uzmērītas zemes vienības</w:t>
            </w:r>
            <w:r w:rsidR="00C03A2C" w:rsidRPr="00990160">
              <w:t xml:space="preserve"> robežu punktu</w:t>
            </w:r>
            <w:r w:rsidR="00F723F6" w:rsidRPr="00990160">
              <w:t xml:space="preserve"> precizitāte lauku apvidos ir +/-5 c</w:t>
            </w:r>
            <w:r>
              <w:t>enti</w:t>
            </w:r>
            <w:r w:rsidR="00F723F6" w:rsidRPr="00990160">
              <w:t>m</w:t>
            </w:r>
            <w:r>
              <w:t>etri</w:t>
            </w:r>
            <w:r w:rsidR="00F723F6" w:rsidRPr="00990160">
              <w:t>. Ieviešot šo precizējumu</w:t>
            </w:r>
            <w:r w:rsidR="00957701" w:rsidRPr="00990160">
              <w:t xml:space="preserve"> </w:t>
            </w:r>
            <w:r w:rsidR="00957701" w:rsidRPr="00002817">
              <w:t>saskaņā ar Civillikuma 1043. </w:t>
            </w:r>
            <w:r w:rsidR="00957701" w:rsidRPr="001168C8">
              <w:t>pantu</w:t>
            </w:r>
            <w:r w:rsidR="00F723F6" w:rsidRPr="001168C8">
              <w:t>,</w:t>
            </w:r>
            <w:r w:rsidR="00002817" w:rsidRPr="001168C8">
              <w:t xml:space="preserve"> kas nosaka, ka </w:t>
            </w:r>
            <w:r w:rsidR="00002817" w:rsidRPr="001168C8">
              <w:rPr>
                <w:shd w:val="clear" w:color="auto" w:fill="FFFFFF"/>
              </w:rPr>
              <w:t xml:space="preserve">zemes īpašnieks var, pēc sava ieskata, rīkoties ar savas zemes virsu, gaisa telpu virs tās, kā arī ar zemes slāņiem zem tās, ja vien viņš ar to neskar svešas robežas, </w:t>
            </w:r>
            <w:r w:rsidR="00F723F6" w:rsidRPr="001168C8">
              <w:t xml:space="preserve"> ti</w:t>
            </w:r>
            <w:r w:rsidR="00514269" w:rsidRPr="001168C8">
              <w:t>e</w:t>
            </w:r>
            <w:r w:rsidR="00F723F6" w:rsidRPr="001168C8">
              <w:t>k</w:t>
            </w:r>
            <w:r w:rsidR="00514269" w:rsidRPr="001168C8">
              <w:t xml:space="preserve"> </w:t>
            </w:r>
            <w:r w:rsidR="00F723F6" w:rsidRPr="001168C8">
              <w:t>ai</w:t>
            </w:r>
            <w:r w:rsidR="00514269" w:rsidRPr="001168C8">
              <w:t>z</w:t>
            </w:r>
            <w:r w:rsidR="00F723F6" w:rsidRPr="001168C8">
              <w:t>sargātas blakus esošā  nekustamā īp</w:t>
            </w:r>
            <w:r w:rsidR="00514269" w:rsidRPr="001168C8">
              <w:t>a</w:t>
            </w:r>
            <w:r w:rsidR="00F723F6" w:rsidRPr="001168C8">
              <w:t>šum</w:t>
            </w:r>
            <w:r w:rsidR="00514269" w:rsidRPr="001168C8">
              <w:t xml:space="preserve">a īpašnieka </w:t>
            </w:r>
            <w:r w:rsidR="00F723F6" w:rsidRPr="001168C8">
              <w:t>tiesības</w:t>
            </w:r>
            <w:r w:rsidR="00957701" w:rsidRPr="001168C8">
              <w:t>.</w:t>
            </w:r>
          </w:p>
          <w:p w14:paraId="452524CE" w14:textId="065BB750" w:rsidR="0096588D" w:rsidRDefault="00E87C1A" w:rsidP="00841D38">
            <w:pPr>
              <w:pStyle w:val="naislab"/>
              <w:spacing w:before="0" w:after="0"/>
              <w:ind w:right="44" w:firstLine="281"/>
              <w:jc w:val="both"/>
            </w:pPr>
            <w:r w:rsidRPr="000B41EF">
              <w:t>Lai samazinātu administratīvo slogu komersantiem, kas vēlas saņemt licenci ogļūdeņražu izpētei un ieguvei</w:t>
            </w:r>
            <w:r w:rsidR="002A27AB" w:rsidRPr="000B41EF">
              <w:t xml:space="preserve"> nekustamajos īpašumos, kas nav publisk</w:t>
            </w:r>
            <w:r w:rsidR="00841D38">
              <w:t>ās</w:t>
            </w:r>
            <w:r w:rsidR="002A27AB" w:rsidRPr="000B41EF">
              <w:t xml:space="preserve"> personas zeme</w:t>
            </w:r>
            <w:r w:rsidR="00841D38">
              <w:t>s</w:t>
            </w:r>
            <w:r w:rsidRPr="000B41EF">
              <w:t xml:space="preserve">, </w:t>
            </w:r>
            <w:r w:rsidR="00717F65">
              <w:t>Noteikumu projektā salīdzinājumā ar esošo regulējumu ne</w:t>
            </w:r>
            <w:r w:rsidRPr="000B41EF">
              <w:t>ti</w:t>
            </w:r>
            <w:r w:rsidR="00717F65">
              <w:t>ek</w:t>
            </w:r>
            <w:r w:rsidRPr="000B41EF">
              <w:t xml:space="preserve"> </w:t>
            </w:r>
            <w:r w:rsidR="00717F65">
              <w:t xml:space="preserve">iekļauta </w:t>
            </w:r>
            <w:r w:rsidRPr="000B41EF">
              <w:t>norma par minimālās darbu programmas nepieciešamību</w:t>
            </w:r>
            <w:r w:rsidR="001226F0" w:rsidRPr="000B41EF">
              <w:t xml:space="preserve"> </w:t>
            </w:r>
            <w:r w:rsidR="00A82BCD" w:rsidRPr="000B41EF">
              <w:t xml:space="preserve">uz visu </w:t>
            </w:r>
            <w:r w:rsidR="001226F0" w:rsidRPr="000B41EF">
              <w:t>izpētes darb</w:t>
            </w:r>
            <w:r w:rsidR="00A82BCD" w:rsidRPr="000B41EF">
              <w:t xml:space="preserve">u </w:t>
            </w:r>
            <w:r w:rsidR="00A82BCD" w:rsidRPr="000B41EF">
              <w:lastRenderedPageBreak/>
              <w:t xml:space="preserve">periodu, kas var būt līdz </w:t>
            </w:r>
            <w:r w:rsidR="000C2191" w:rsidRPr="000B41EF">
              <w:t xml:space="preserve">pat </w:t>
            </w:r>
            <w:r w:rsidR="00A82BCD" w:rsidRPr="000B41EF">
              <w:t>10 gadiem</w:t>
            </w:r>
            <w:r w:rsidRPr="000B41EF">
              <w:t xml:space="preserve">, aizstājot to ar darbu programmu par pirmajā gadā plānotajiem </w:t>
            </w:r>
            <w:r w:rsidR="0096588D" w:rsidRPr="000B41EF">
              <w:t xml:space="preserve">izpētes </w:t>
            </w:r>
            <w:r w:rsidRPr="000B41EF">
              <w:t>darbiem (</w:t>
            </w:r>
            <w:r w:rsidR="003F1ADC" w:rsidRPr="000B41EF">
              <w:t xml:space="preserve">precizēts ar </w:t>
            </w:r>
            <w:r w:rsidR="000C2191" w:rsidRPr="000B41EF">
              <w:t>jaunu</w:t>
            </w:r>
            <w:r w:rsidR="003F1ADC" w:rsidRPr="000B41EF">
              <w:t xml:space="preserve"> 4</w:t>
            </w:r>
            <w:r w:rsidR="000675CA">
              <w:t>9</w:t>
            </w:r>
            <w:r w:rsidR="00D00AA0">
              <w:t>.7.</w:t>
            </w:r>
            <w:r w:rsidR="003F1ADC" w:rsidRPr="000B41EF">
              <w:t xml:space="preserve"> punktu</w:t>
            </w:r>
            <w:r w:rsidR="00A82BCD" w:rsidRPr="000B41EF">
              <w:t xml:space="preserve"> un </w:t>
            </w:r>
            <w:r w:rsidRPr="000B41EF">
              <w:t>5.pielikum</w:t>
            </w:r>
            <w:r w:rsidR="005075C1" w:rsidRPr="000B41EF">
              <w:t>ā</w:t>
            </w:r>
            <w:r w:rsidR="003F1ADC" w:rsidRPr="000B41EF">
              <w:t xml:space="preserve"> noteikts</w:t>
            </w:r>
            <w:r w:rsidR="005075C1" w:rsidRPr="000B41EF">
              <w:t xml:space="preserve"> atvieglots</w:t>
            </w:r>
            <w:r w:rsidR="003F1ADC" w:rsidRPr="000B41EF">
              <w:t xml:space="preserve"> darbu programmas saturs par pirmo gadu</w:t>
            </w:r>
            <w:r w:rsidRPr="000B41EF">
              <w:t xml:space="preserve">). </w:t>
            </w:r>
            <w:r w:rsidR="002A27AB" w:rsidRPr="000B41EF">
              <w:t>D</w:t>
            </w:r>
            <w:r w:rsidR="0096588D" w:rsidRPr="000B41EF">
              <w:t>arbu programmā iekļautos darbus, to veikšanas termiņus vai apmēru</w:t>
            </w:r>
            <w:r w:rsidR="001226F0" w:rsidRPr="000B41EF">
              <w:t xml:space="preserve"> ir vieglāk plānot</w:t>
            </w:r>
            <w:r w:rsidR="00977771" w:rsidRPr="000B41EF">
              <w:t xml:space="preserve"> gada griezumā</w:t>
            </w:r>
            <w:r w:rsidR="001226F0" w:rsidRPr="000B41EF">
              <w:t xml:space="preserve">, nevis uz visu minimālās darbu programmas laiku. Tādējādi, iespējamo </w:t>
            </w:r>
            <w:r w:rsidR="002A27AB" w:rsidRPr="000B41EF">
              <w:t xml:space="preserve">minimālās </w:t>
            </w:r>
            <w:r w:rsidR="001226F0" w:rsidRPr="000B41EF">
              <w:t>izp</w:t>
            </w:r>
            <w:r w:rsidR="002A27AB" w:rsidRPr="000B41EF">
              <w:t>ē</w:t>
            </w:r>
            <w:r w:rsidR="001226F0" w:rsidRPr="000B41EF">
              <w:t>tes dar</w:t>
            </w:r>
            <w:r w:rsidR="002A27AB" w:rsidRPr="000B41EF">
              <w:t>b</w:t>
            </w:r>
            <w:r w:rsidR="001226F0" w:rsidRPr="000B41EF">
              <w:t>u programmas  i</w:t>
            </w:r>
            <w:r w:rsidR="002A27AB" w:rsidRPr="000B41EF">
              <w:t>z</w:t>
            </w:r>
            <w:r w:rsidR="001226F0" w:rsidRPr="000B41EF">
              <w:t>m</w:t>
            </w:r>
            <w:r w:rsidR="002A27AB" w:rsidRPr="000B41EF">
              <w:t>a</w:t>
            </w:r>
            <w:r w:rsidR="001226F0" w:rsidRPr="000B41EF">
              <w:t>iņu dēļ, licenciāts izvairīsies no liekas darbu programmas saskaņošanas procedūras</w:t>
            </w:r>
            <w:r w:rsidR="002A27AB" w:rsidRPr="000B41EF">
              <w:t xml:space="preserve"> un finansiāliem izdevumiem</w:t>
            </w:r>
            <w:r w:rsidR="003F1ADC" w:rsidRPr="000B41EF">
              <w:t xml:space="preserve"> (ja</w:t>
            </w:r>
            <w:r w:rsidR="005075C1" w:rsidRPr="000B41EF">
              <w:t xml:space="preserve"> </w:t>
            </w:r>
            <w:r w:rsidR="001226F0" w:rsidRPr="000B41EF">
              <w:t xml:space="preserve">pēc licenciāta ierosinājuma jāveic izmaiņas licencē, </w:t>
            </w:r>
            <w:r w:rsidR="000C2191" w:rsidRPr="000B41EF">
              <w:t xml:space="preserve">ir jāveic </w:t>
            </w:r>
            <w:r w:rsidR="001226F0" w:rsidRPr="000B41EF">
              <w:t>valsts nodev</w:t>
            </w:r>
            <w:r w:rsidR="000C2191" w:rsidRPr="000B41EF">
              <w:t>as maksa</w:t>
            </w:r>
            <w:r w:rsidR="003F1ADC" w:rsidRPr="000B41EF">
              <w:t>)</w:t>
            </w:r>
            <w:r w:rsidR="001226F0" w:rsidRPr="000B41EF">
              <w:t xml:space="preserve">. </w:t>
            </w:r>
            <w:r w:rsidR="002A27AB" w:rsidRPr="000B41EF">
              <w:t xml:space="preserve">Precizējot </w:t>
            </w:r>
            <w:r w:rsidR="004E4B23">
              <w:t>esošo regulējumu</w:t>
            </w:r>
            <w:r w:rsidR="002A27AB" w:rsidRPr="000B41EF">
              <w:t>, i</w:t>
            </w:r>
            <w:r w:rsidR="001226F0" w:rsidRPr="000B41EF">
              <w:t xml:space="preserve">nformāciju bez maksas par </w:t>
            </w:r>
            <w:r w:rsidR="002A27AB" w:rsidRPr="000B41EF">
              <w:t xml:space="preserve">izpētes </w:t>
            </w:r>
            <w:r w:rsidR="001226F0" w:rsidRPr="000B41EF">
              <w:t>darbu plān</w:t>
            </w:r>
            <w:r w:rsidR="002A27AB" w:rsidRPr="000B41EF">
              <w:t>u</w:t>
            </w:r>
            <w:r w:rsidR="001226F0" w:rsidRPr="000B41EF">
              <w:t xml:space="preserve"> varēs </w:t>
            </w:r>
            <w:r w:rsidR="002A27AB" w:rsidRPr="000B41EF">
              <w:t>s</w:t>
            </w:r>
            <w:r w:rsidR="001226F0" w:rsidRPr="000B41EF">
              <w:t xml:space="preserve">niegt kopā ar ikgadējo </w:t>
            </w:r>
            <w:r w:rsidR="002A27AB" w:rsidRPr="000B41EF">
              <w:t xml:space="preserve">plānoto ogļūdeņražu izpētes </w:t>
            </w:r>
            <w:r w:rsidR="00C66DE9">
              <w:t xml:space="preserve">un/vai ieguves </w:t>
            </w:r>
            <w:r w:rsidR="002A27AB" w:rsidRPr="000B41EF">
              <w:t>darbu programmu.</w:t>
            </w:r>
            <w:r w:rsidR="000C2191" w:rsidRPr="000B41EF">
              <w:t xml:space="preserve"> Nekustamajos īpašumos, kas nav publiskas personas zeme</w:t>
            </w:r>
            <w:r w:rsidR="00AB123E">
              <w:t>s</w:t>
            </w:r>
            <w:r w:rsidR="000C2191" w:rsidRPr="000B41EF">
              <w:t xml:space="preserve"> </w:t>
            </w:r>
            <w:r w:rsidR="003F1ADC" w:rsidRPr="000B41EF">
              <w:t>5.</w:t>
            </w:r>
            <w:r w:rsidR="0055046B" w:rsidRPr="000B41EF">
              <w:t xml:space="preserve"> </w:t>
            </w:r>
            <w:r w:rsidR="003F1ADC" w:rsidRPr="000B41EF">
              <w:t>pielikum</w:t>
            </w:r>
            <w:r w:rsidR="000C2191" w:rsidRPr="000B41EF">
              <w:t>a</w:t>
            </w:r>
            <w:r w:rsidR="006B58BB" w:rsidRPr="000B41EF">
              <w:t xml:space="preserve"> </w:t>
            </w:r>
            <w:r w:rsidR="0055046B" w:rsidRPr="000B41EF">
              <w:t xml:space="preserve">3.2. </w:t>
            </w:r>
            <w:r w:rsidR="006B58BB" w:rsidRPr="000B41EF">
              <w:t>punktā</w:t>
            </w:r>
            <w:r w:rsidR="003F1ADC" w:rsidRPr="000B41EF">
              <w:t xml:space="preserve"> noteikts darbu programma</w:t>
            </w:r>
            <w:r w:rsidR="006B58BB" w:rsidRPr="000B41EF">
              <w:t>s</w:t>
            </w:r>
            <w:r w:rsidR="003F1ADC" w:rsidRPr="000B41EF">
              <w:t xml:space="preserve"> saturs par </w:t>
            </w:r>
            <w:r w:rsidR="006B58BB" w:rsidRPr="000B41EF">
              <w:t xml:space="preserve">pirmajā gadā plānotajiem izpētes darbiem </w:t>
            </w:r>
            <w:r w:rsidR="008C4AA2">
              <w:t>atsakoties no</w:t>
            </w:r>
            <w:r w:rsidR="008C4AA2" w:rsidRPr="000B41EF">
              <w:t xml:space="preserve"> </w:t>
            </w:r>
            <w:r w:rsidR="006B58BB" w:rsidRPr="000B41EF">
              <w:t>vairāk</w:t>
            </w:r>
            <w:r w:rsidR="008C4AA2">
              <w:t>ām</w:t>
            </w:r>
            <w:r w:rsidR="006B58BB" w:rsidRPr="000B41EF">
              <w:t xml:space="preserve"> prasīb</w:t>
            </w:r>
            <w:r w:rsidR="008C4AA2">
              <w:t>ām</w:t>
            </w:r>
            <w:r w:rsidR="006B58BB" w:rsidRPr="000B41EF">
              <w:t xml:space="preserve"> </w:t>
            </w:r>
            <w:r w:rsidR="008C4AA2">
              <w:t>salīdzinoši ar</w:t>
            </w:r>
            <w:r w:rsidR="008C4AA2" w:rsidRPr="000B41EF">
              <w:t xml:space="preserve"> </w:t>
            </w:r>
            <w:r w:rsidR="005075C1" w:rsidRPr="000B41EF">
              <w:t>līdzšinēj</w:t>
            </w:r>
            <w:r w:rsidR="008C4AA2">
              <w:t>i  piedāvātās</w:t>
            </w:r>
            <w:r w:rsidR="005075C1" w:rsidRPr="000B41EF">
              <w:t xml:space="preserve"> </w:t>
            </w:r>
            <w:r w:rsidR="006B58BB" w:rsidRPr="000B41EF">
              <w:t>darbu programmas satur</w:t>
            </w:r>
            <w:r w:rsidR="008C4AA2">
              <w:t>u</w:t>
            </w:r>
            <w:r w:rsidR="006B58BB" w:rsidRPr="000B41EF">
              <w:t xml:space="preserve">. </w:t>
            </w:r>
            <w:bookmarkStart w:id="1" w:name="_Hlk37758067"/>
            <w:r w:rsidR="002068DA" w:rsidRPr="000B41EF">
              <w:t>Komersantam</w:t>
            </w:r>
            <w:r w:rsidR="00CC1763" w:rsidRPr="000B41EF">
              <w:t xml:space="preserve"> vairs nebūs jāiesniedz  informācija</w:t>
            </w:r>
            <w:r w:rsidR="000C2191" w:rsidRPr="000B41EF">
              <w:t xml:space="preserve"> par</w:t>
            </w:r>
            <w:r w:rsidR="006B58BB" w:rsidRPr="000B41EF">
              <w:t xml:space="preserve"> </w:t>
            </w:r>
            <w:r w:rsidR="00CC1763" w:rsidRPr="000B41EF">
              <w:t xml:space="preserve">izpētes darbu izmaksām pa atsevišķiem darbu veidiem kā arī </w:t>
            </w:r>
            <w:r w:rsidR="00C66DE9">
              <w:t xml:space="preserve">5.pielikumā </w:t>
            </w:r>
            <w:r w:rsidR="005C037B" w:rsidRPr="000B41EF">
              <w:t xml:space="preserve">tiek svītrota prasība par </w:t>
            </w:r>
            <w:r w:rsidR="00421852" w:rsidRPr="000B41EF">
              <w:t xml:space="preserve">vēsturiski </w:t>
            </w:r>
            <w:r w:rsidR="005C037B" w:rsidRPr="000B41EF">
              <w:t>ierīkotā urbuma tehniskā stāvokļa novērtēšanas programmas nepieciešamību.</w:t>
            </w:r>
          </w:p>
          <w:p w14:paraId="29AF03BE" w14:textId="37F9D35A" w:rsidR="000E6C67" w:rsidRPr="00FD0BE7" w:rsidRDefault="000E6C67" w:rsidP="00FD0BE7">
            <w:pPr>
              <w:pStyle w:val="naislab"/>
              <w:spacing w:before="0" w:after="0"/>
              <w:ind w:right="44" w:firstLine="281"/>
              <w:jc w:val="both"/>
            </w:pPr>
            <w:r w:rsidRPr="00FD0BE7">
              <w:t xml:space="preserve">Ņemot vērā to, ka Valsts vides dienests </w:t>
            </w:r>
            <w:r w:rsidR="00977771">
              <w:t>saskaņā ar</w:t>
            </w:r>
            <w:r w:rsidR="00F63EF5" w:rsidRPr="00FD0BE7">
              <w:t xml:space="preserve"> 27</w:t>
            </w:r>
            <w:r w:rsidR="00D01436">
              <w:t>5</w:t>
            </w:r>
            <w:r w:rsidR="00F63EF5" w:rsidRPr="00FD0BE7">
              <w:t>.</w:t>
            </w:r>
            <w:r w:rsidR="00E04062">
              <w:t xml:space="preserve"> </w:t>
            </w:r>
            <w:r w:rsidR="00F63EF5" w:rsidRPr="00FD0BE7">
              <w:t xml:space="preserve">punktā </w:t>
            </w:r>
            <w:r w:rsidR="00977771">
              <w:t xml:space="preserve">noteikto </w:t>
            </w:r>
            <w:r w:rsidR="00F63EF5" w:rsidRPr="00A16A3F">
              <w:t>kontrolē vides normatīvo aktu, piesārņojošās darbības veikšanai izsniegtajā atļaujā minēto nosacījumu, kā arī piesārņojuma likvidācijas gatavības prasību ievērošanu ogļūdeņražu izpētes un ieguves darbos</w:t>
            </w:r>
            <w:r w:rsidR="00F63EF5" w:rsidRPr="002849D0">
              <w:t xml:space="preserve">, </w:t>
            </w:r>
            <w:r w:rsidR="00BA027F" w:rsidRPr="002849D0">
              <w:t>27</w:t>
            </w:r>
            <w:r w:rsidR="00E04062" w:rsidRPr="002849D0">
              <w:t>0</w:t>
            </w:r>
            <w:r w:rsidR="00BA027F" w:rsidRPr="002849D0">
              <w:t>.</w:t>
            </w:r>
            <w:r w:rsidRPr="002849D0">
              <w:t>3</w:t>
            </w:r>
            <w:r w:rsidR="00BA027F" w:rsidRPr="002849D0">
              <w:t xml:space="preserve">. </w:t>
            </w:r>
            <w:r w:rsidRPr="002849D0">
              <w:t xml:space="preserve">apakšpunktā </w:t>
            </w:r>
            <w:r w:rsidR="00793E4C" w:rsidRPr="002849D0">
              <w:t xml:space="preserve">tiek </w:t>
            </w:r>
            <w:r w:rsidRPr="002849D0">
              <w:t>svītro</w:t>
            </w:r>
            <w:r w:rsidR="00793E4C" w:rsidRPr="002849D0">
              <w:t>ta</w:t>
            </w:r>
            <w:r w:rsidRPr="002849D0">
              <w:t xml:space="preserve"> prasīb</w:t>
            </w:r>
            <w:r w:rsidR="00F63EF5" w:rsidRPr="002849D0">
              <w:t>a</w:t>
            </w:r>
            <w:r w:rsidRPr="002849D0">
              <w:t>, ka l</w:t>
            </w:r>
            <w:r w:rsidRPr="00A16A3F">
              <w:t xml:space="preserve">icenciāts reizi pusgadā, ja licences laukums ir noteikts jūrā, vai reizi gadā, ja licences laukums ir noteikts uz sauszemes, informē Valsts vides dienestu par minēto prasību un plāna izpildes rezultātiem. </w:t>
            </w:r>
          </w:p>
          <w:bookmarkEnd w:id="1"/>
          <w:p w14:paraId="0278FE4E" w14:textId="79872F4C" w:rsidR="002C673C" w:rsidRDefault="00B35436" w:rsidP="00756AD9">
            <w:pPr>
              <w:pStyle w:val="naislab"/>
              <w:spacing w:before="0" w:after="0"/>
              <w:ind w:right="44" w:firstLine="281"/>
              <w:jc w:val="both"/>
              <w:rPr>
                <w:shd w:val="clear" w:color="auto" w:fill="FFFFFF"/>
              </w:rPr>
            </w:pPr>
            <w:r>
              <w:rPr>
                <w:shd w:val="clear" w:color="auto" w:fill="FFFFFF"/>
              </w:rPr>
              <w:t>Saskaņā ar Valsts pārvaldes iekārtas likum</w:t>
            </w:r>
            <w:r w:rsidR="00977771">
              <w:rPr>
                <w:shd w:val="clear" w:color="auto" w:fill="FFFFFF"/>
              </w:rPr>
              <w:t>a</w:t>
            </w:r>
            <w:r>
              <w:rPr>
                <w:shd w:val="clear" w:color="auto" w:fill="FFFFFF"/>
              </w:rPr>
              <w:t xml:space="preserve"> 1.pielikumā lietoto terminoloģiju, n</w:t>
            </w:r>
            <w:r w:rsidR="000B41EF" w:rsidRPr="000B41EF">
              <w:rPr>
                <w:shd w:val="clear" w:color="auto" w:fill="FFFFFF"/>
              </w:rPr>
              <w:t>oteikumu projektā t</w:t>
            </w:r>
            <w:r w:rsidR="002C673C" w:rsidRPr="000B41EF">
              <w:rPr>
                <w:shd w:val="clear" w:color="auto" w:fill="FFFFFF"/>
              </w:rPr>
              <w:t>ika precizēts termin</w:t>
            </w:r>
            <w:r w:rsidR="005A6EF4" w:rsidRPr="000B41EF">
              <w:rPr>
                <w:shd w:val="clear" w:color="auto" w:fill="FFFFFF"/>
              </w:rPr>
              <w:t>s</w:t>
            </w:r>
            <w:r w:rsidR="002C673C" w:rsidRPr="000B41EF">
              <w:rPr>
                <w:shd w:val="clear" w:color="auto" w:fill="FFFFFF"/>
              </w:rPr>
              <w:t xml:space="preserve"> “valsts īpašumā esošie nekustamie īpašumi”</w:t>
            </w:r>
            <w:r w:rsidR="00EC3F66" w:rsidRPr="000B41EF">
              <w:rPr>
                <w:shd w:val="clear" w:color="auto" w:fill="FFFFFF"/>
              </w:rPr>
              <w:t xml:space="preserve">, kas aizstāts ar </w:t>
            </w:r>
            <w:r w:rsidR="005A6EF4" w:rsidRPr="000B41EF">
              <w:rPr>
                <w:shd w:val="clear" w:color="auto" w:fill="FFFFFF"/>
              </w:rPr>
              <w:t xml:space="preserve">terminu </w:t>
            </w:r>
            <w:r w:rsidR="002C673C" w:rsidRPr="000B41EF">
              <w:rPr>
                <w:shd w:val="clear" w:color="auto" w:fill="FFFFFF"/>
              </w:rPr>
              <w:t>“</w:t>
            </w:r>
            <w:r w:rsidR="002C673C" w:rsidRPr="000B41EF">
              <w:t>publisk</w:t>
            </w:r>
            <w:r w:rsidR="00C71519">
              <w:t>as</w:t>
            </w:r>
            <w:r w:rsidR="002C673C" w:rsidRPr="000B41EF">
              <w:t xml:space="preserve"> personas zeme</w:t>
            </w:r>
            <w:r w:rsidR="00841D38">
              <w:t>s</w:t>
            </w:r>
            <w:r w:rsidR="002C673C" w:rsidRPr="000B41EF">
              <w:rPr>
                <w:shd w:val="clear" w:color="auto" w:fill="FFFFFF"/>
              </w:rPr>
              <w:t>”, kas ietver valsts īpašumā esošos nekustamos īpašumus</w:t>
            </w:r>
            <w:r w:rsidR="00756AD9">
              <w:rPr>
                <w:shd w:val="clear" w:color="auto" w:fill="FFFFFF"/>
              </w:rPr>
              <w:t xml:space="preserve"> un atv</w:t>
            </w:r>
            <w:r w:rsidR="00770821">
              <w:rPr>
                <w:shd w:val="clear" w:color="auto" w:fill="FFFFFF"/>
              </w:rPr>
              <w:t>as</w:t>
            </w:r>
            <w:r w:rsidR="00756AD9">
              <w:rPr>
                <w:shd w:val="clear" w:color="auto" w:fill="FFFFFF"/>
              </w:rPr>
              <w:t>inātas publiskas personas</w:t>
            </w:r>
            <w:r w:rsidR="00756AD9" w:rsidRPr="000B41EF">
              <w:rPr>
                <w:shd w:val="clear" w:color="auto" w:fill="FFFFFF"/>
              </w:rPr>
              <w:t xml:space="preserve"> īpašumus, </w:t>
            </w:r>
            <w:r w:rsidR="00756AD9">
              <w:rPr>
                <w:shd w:val="clear" w:color="auto" w:fill="FFFFFF"/>
              </w:rPr>
              <w:t>tajā skaitā pašvaldības</w:t>
            </w:r>
            <w:r w:rsidR="002C673C" w:rsidRPr="000B41EF">
              <w:rPr>
                <w:shd w:val="clear" w:color="auto" w:fill="FFFFFF"/>
              </w:rPr>
              <w:t>.</w:t>
            </w:r>
          </w:p>
          <w:p w14:paraId="1AE5B616" w14:textId="492D166B" w:rsidR="008F63DE" w:rsidRPr="000B41EF" w:rsidRDefault="008F63DE" w:rsidP="00C25AA2">
            <w:pPr>
              <w:pStyle w:val="naislab"/>
              <w:spacing w:before="0" w:after="0"/>
              <w:ind w:right="44" w:firstLine="281"/>
              <w:jc w:val="both"/>
              <w:rPr>
                <w:shd w:val="clear" w:color="auto" w:fill="FFFFFF"/>
              </w:rPr>
            </w:pPr>
            <w:r w:rsidRPr="00DA1009">
              <w:rPr>
                <w:shd w:val="clear" w:color="auto" w:fill="FFFFFF"/>
              </w:rPr>
              <w:t xml:space="preserve">Noteikumu projektā salīdzinājumā ar esošo regulējumu ir izdalītas nodaļas un apakšnodaļas, kas padara apjomīgos noteikumus vieglāk uztveramus. </w:t>
            </w:r>
            <w:r w:rsidR="00504338" w:rsidRPr="00DA1009">
              <w:rPr>
                <w:shd w:val="clear" w:color="auto" w:fill="FFFFFF"/>
              </w:rPr>
              <w:t>A</w:t>
            </w:r>
            <w:r w:rsidRPr="00DA1009">
              <w:rPr>
                <w:shd w:val="clear" w:color="auto" w:fill="FFFFFF"/>
              </w:rPr>
              <w:t>pakšnodaļa</w:t>
            </w:r>
            <w:r w:rsidR="00504338" w:rsidRPr="00DA1009">
              <w:rPr>
                <w:shd w:val="clear" w:color="auto" w:fill="FFFFFF"/>
              </w:rPr>
              <w:t>s</w:t>
            </w:r>
            <w:r w:rsidRPr="00DA1009">
              <w:rPr>
                <w:shd w:val="clear" w:color="auto" w:fill="FFFFFF"/>
              </w:rPr>
              <w:t xml:space="preserve"> ir</w:t>
            </w:r>
            <w:r w:rsidR="00504338" w:rsidRPr="00DA1009">
              <w:rPr>
                <w:shd w:val="clear" w:color="auto" w:fill="FFFFFF"/>
              </w:rPr>
              <w:t xml:space="preserve"> izdalītas pēc principa atdalot nosacījumus pēc īpašumu piederības -</w:t>
            </w:r>
            <w:r w:rsidR="00504338" w:rsidRPr="00DA1009">
              <w:t>nekustamajos īpašumos, kas nav publiskas personas zemes un jūrā vai publiskās personas zemēs. Tāpat arī veidotas vispārējas apakšnodaļas, kur secīgi aprakstīti procesi, kas attiecas uz visiem īpašumiem neatkarīgi no to piederības.</w:t>
            </w:r>
          </w:p>
          <w:p w14:paraId="74853664" w14:textId="1CB620B7" w:rsidR="00922E72" w:rsidRPr="00F41FC1" w:rsidRDefault="00D4281E" w:rsidP="00FE17CD">
            <w:pPr>
              <w:pStyle w:val="naislab"/>
              <w:spacing w:before="0" w:after="0"/>
              <w:ind w:right="44" w:firstLine="394"/>
              <w:jc w:val="both"/>
              <w:rPr>
                <w:shd w:val="clear" w:color="auto" w:fill="FFFFFF"/>
              </w:rPr>
            </w:pPr>
            <w:r w:rsidRPr="00F41FC1">
              <w:t>Sa</w:t>
            </w:r>
            <w:r w:rsidR="00927359" w:rsidRPr="00F41FC1">
              <w:t>i</w:t>
            </w:r>
            <w:r w:rsidRPr="00F41FC1">
              <w:t>stībā ar Valsts kontroles revīzijas ieteikumu ieviešanu revīzijas lietā Nr.2.4.1-38-1/2016”, ir nepieciešam</w:t>
            </w:r>
            <w:r w:rsidR="00F6737E" w:rsidRPr="00F41FC1">
              <w:t>s</w:t>
            </w:r>
            <w:r w:rsidR="00AB0021" w:rsidRPr="00F41FC1">
              <w:rPr>
                <w:iCs/>
              </w:rPr>
              <w:t xml:space="preserve"> </w:t>
            </w:r>
            <w:r w:rsidRPr="00F41FC1">
              <w:rPr>
                <w:iCs/>
              </w:rPr>
              <w:t xml:space="preserve">stiprināt </w:t>
            </w:r>
            <w:r w:rsidRPr="00F41FC1">
              <w:t xml:space="preserve">kontroli </w:t>
            </w:r>
            <w:r w:rsidRPr="00F41FC1">
              <w:rPr>
                <w:iCs/>
              </w:rPr>
              <w:t>piešķirot papildu tiesības kontrolējošajām iestādēm un nosakot licences darbības, kontroles, apturēšanas un anulēšanas kārtību, lai operatīvi reaģētu uz pārkāpumiem ogļūdeņražu izpētē un ieguvē.</w:t>
            </w:r>
            <w:r w:rsidR="00F6737E" w:rsidRPr="00F41FC1">
              <w:rPr>
                <w:iCs/>
              </w:rPr>
              <w:t xml:space="preserve"> Lai īstenotu  </w:t>
            </w:r>
            <w:r w:rsidR="00F6737E" w:rsidRPr="00F41FC1">
              <w:t xml:space="preserve">Valsts kontroles </w:t>
            </w:r>
            <w:r w:rsidR="00F6737E" w:rsidRPr="00F41FC1">
              <w:rPr>
                <w:iCs/>
              </w:rPr>
              <w:t xml:space="preserve">ieteikumu, </w:t>
            </w:r>
            <w:r w:rsidR="00F6737E" w:rsidRPr="00926EE7">
              <w:rPr>
                <w:iCs/>
              </w:rPr>
              <w:t xml:space="preserve">Noteikumu projektā </w:t>
            </w:r>
            <w:r w:rsidR="00944D32" w:rsidRPr="00926EE7">
              <w:rPr>
                <w:iCs/>
              </w:rPr>
              <w:t xml:space="preserve">salīdzinājumā ar esošo regulējumu </w:t>
            </w:r>
            <w:r w:rsidR="00F6737E" w:rsidRPr="00926EE7">
              <w:rPr>
                <w:iCs/>
              </w:rPr>
              <w:t xml:space="preserve">tika </w:t>
            </w:r>
            <w:r w:rsidR="00944D32" w:rsidRPr="00926EE7">
              <w:rPr>
                <w:iCs/>
              </w:rPr>
              <w:t xml:space="preserve">iekļautas </w:t>
            </w:r>
            <w:r w:rsidR="00F6737E" w:rsidRPr="00926EE7">
              <w:rPr>
                <w:iCs/>
              </w:rPr>
              <w:t>vairāk</w:t>
            </w:r>
            <w:r w:rsidR="00944D32" w:rsidRPr="00926EE7">
              <w:rPr>
                <w:iCs/>
              </w:rPr>
              <w:t xml:space="preserve">as </w:t>
            </w:r>
            <w:r w:rsidR="00944D32" w:rsidRPr="00926EE7">
              <w:rPr>
                <w:iCs/>
              </w:rPr>
              <w:lastRenderedPageBreak/>
              <w:t xml:space="preserve">normas </w:t>
            </w:r>
            <w:r w:rsidR="00F6737E" w:rsidRPr="00926EE7">
              <w:rPr>
                <w:b/>
                <w:bCs/>
                <w:iCs/>
              </w:rPr>
              <w:t>saistībā ar kontroles</w:t>
            </w:r>
            <w:r w:rsidR="00F6737E" w:rsidRPr="00036D16">
              <w:rPr>
                <w:b/>
                <w:bCs/>
                <w:iCs/>
              </w:rPr>
              <w:t xml:space="preserve"> jautājumu </w:t>
            </w:r>
            <w:r w:rsidR="00AB0021" w:rsidRPr="00036D16">
              <w:rPr>
                <w:b/>
                <w:bCs/>
                <w:iCs/>
              </w:rPr>
              <w:t>sakārtošan</w:t>
            </w:r>
            <w:r w:rsidR="00D749E8" w:rsidRPr="00036D16">
              <w:rPr>
                <w:b/>
                <w:bCs/>
                <w:iCs/>
              </w:rPr>
              <w:t>as nepieciešamību</w:t>
            </w:r>
            <w:r w:rsidR="00AB0021" w:rsidRPr="00036D16">
              <w:rPr>
                <w:b/>
                <w:bCs/>
                <w:iCs/>
              </w:rPr>
              <w:t xml:space="preserve"> ogļūdeņražu nozarē</w:t>
            </w:r>
            <w:r w:rsidR="00F6737E" w:rsidRPr="00F41FC1">
              <w:rPr>
                <w:iCs/>
              </w:rPr>
              <w:t>.</w:t>
            </w:r>
            <w:r w:rsidR="00D749E8" w:rsidRPr="00F41FC1">
              <w:rPr>
                <w:iCs/>
              </w:rPr>
              <w:t xml:space="preserve"> </w:t>
            </w:r>
          </w:p>
          <w:p w14:paraId="627DE7E1" w14:textId="311D2880" w:rsidR="00F10299" w:rsidRPr="00F41FC1" w:rsidRDefault="00DC13F5" w:rsidP="00DC13F5">
            <w:pPr>
              <w:ind w:firstLine="281"/>
              <w:jc w:val="both"/>
            </w:pPr>
            <w:r w:rsidRPr="00F41FC1">
              <w:t>A</w:t>
            </w:r>
            <w:r w:rsidR="00F10299" w:rsidRPr="00F41FC1">
              <w:t>ttiecībā uz enerģētikas politikas īstenošanas jautājumiem saistībā ar funkciju nodošanu Būvniecības valsts kontroles birojam</w:t>
            </w:r>
            <w:r w:rsidRPr="00F41FC1">
              <w:t>, Ekonomikas m</w:t>
            </w:r>
            <w:r w:rsidR="00F10299" w:rsidRPr="00F41FC1">
              <w:t>inistrijai tika uzdots veikt grozījumus vairākos normatīvajos aktos, tostarp arī Noteikumos Nr.805, attiecīgi administrēšanas un kontroles funkcijas nodot Būvniecības valsts kontroles birojam. 2019.gada 17.decembra Ministru Kabineta sēdē tika apstiprināti grozījumi Noteikumos Nr.805, kuri stājās spēkā 2020.gada 1.janvārī.  Līdz ar šo funkciju nodošanu tiek arī pilnveidots kontroles mehānisms Būvniecības valsts kontroles birojam piešķirot papildus kontroles tiesības, kas turpmāk nodrošinās savlaicīgu un operatīvu reaģēšanu uz pārkāpumiem saistībā ar ogļūdeņražu izpēti un ieguvi.</w:t>
            </w:r>
          </w:p>
          <w:p w14:paraId="6D4AFE09" w14:textId="6EF961EB" w:rsidR="008914A0" w:rsidRPr="00F41FC1" w:rsidRDefault="00C604B8" w:rsidP="00031D24">
            <w:pPr>
              <w:ind w:firstLine="281"/>
              <w:jc w:val="both"/>
            </w:pPr>
            <w:r w:rsidRPr="00F41FC1">
              <w:t>Noteikumu projektā ir i</w:t>
            </w:r>
            <w:r w:rsidR="00977771">
              <w:t>etverta</w:t>
            </w:r>
            <w:r w:rsidRPr="00F41FC1">
              <w:t xml:space="preserve"> jaun</w:t>
            </w:r>
            <w:r w:rsidR="007D5E3B">
              <w:t>a norma (</w:t>
            </w:r>
            <w:r w:rsidR="00940B88">
              <w:t xml:space="preserve">12. </w:t>
            </w:r>
            <w:r w:rsidRPr="00F41FC1">
              <w:t>punkts</w:t>
            </w:r>
            <w:r w:rsidR="007D5E3B" w:rsidRPr="007D5E3B">
              <w:t>)</w:t>
            </w:r>
            <w:r w:rsidRPr="00F41FC1">
              <w:t>, kas paredz, ka</w:t>
            </w:r>
            <w:r w:rsidR="00031D24">
              <w:t xml:space="preserve"> </w:t>
            </w:r>
            <w:r w:rsidRPr="00F41FC1">
              <w:t>Būvniecības valsts kontroles birojs, izskatot iesniegumu ar ierosinājumu par licences laukuma noteikšanu vai palielināšanu, vai samazināšanu uz sauszemes, ņem vērā pašvaldību teritorijas plānojumu, kā arī informē pašvaldību, kuras teritorijā ir paredzēts noteikt licences laukumu.</w:t>
            </w:r>
            <w:r w:rsidR="00195093" w:rsidRPr="00F41FC1">
              <w:t xml:space="preserve"> Šis precizējums ir ieviests, lai nerastos situācijas, kad teritorijas plānojumā </w:t>
            </w:r>
            <w:r w:rsidR="00FB510A" w:rsidRPr="00F41FC1">
              <w:t xml:space="preserve">vai citā teritorijas attīstības plānošanas dokumentā </w:t>
            </w:r>
            <w:r w:rsidR="00195093" w:rsidRPr="00F41FC1">
              <w:t>ir noteikts cits lietošanas veids un neveidotos situācijas, ka ir izsniegtas atļaujas vienām darbībām, kas neļauj veikt citu darbību. Pašvaldība tiek informēta, lai t</w:t>
            </w:r>
            <w:r w:rsidR="003D58C3">
              <w:t>ai būtu zināms</w:t>
            </w:r>
            <w:r w:rsidR="00195093" w:rsidRPr="00F41FC1">
              <w:t>, kāda veida darbība tiek p</w:t>
            </w:r>
            <w:r w:rsidR="007527FB" w:rsidRPr="00F41FC1">
              <w:t xml:space="preserve">lānota </w:t>
            </w:r>
            <w:r w:rsidR="00195093" w:rsidRPr="00F41FC1">
              <w:t xml:space="preserve">tās teritorijā. </w:t>
            </w:r>
          </w:p>
          <w:p w14:paraId="5C1E6664" w14:textId="713713AF" w:rsidR="00FE17CD" w:rsidRDefault="00FE17CD" w:rsidP="00FE17CD">
            <w:pPr>
              <w:pStyle w:val="naislab"/>
              <w:spacing w:before="0" w:after="0"/>
              <w:ind w:right="44" w:firstLine="281"/>
              <w:jc w:val="both"/>
            </w:pPr>
            <w:r w:rsidRPr="00F41FC1">
              <w:t>Note</w:t>
            </w:r>
            <w:r w:rsidR="005527F1" w:rsidRPr="00F41FC1">
              <w:t>i</w:t>
            </w:r>
            <w:r w:rsidRPr="00F41FC1">
              <w:t>kum</w:t>
            </w:r>
            <w:r w:rsidR="0069146D">
              <w:t>i</w:t>
            </w:r>
            <w:r w:rsidRPr="00F41FC1">
              <w:t xml:space="preserve"> </w:t>
            </w:r>
            <w:r w:rsidR="0069146D">
              <w:t xml:space="preserve">Nr.805 </w:t>
            </w:r>
            <w:r w:rsidRPr="00F41FC1">
              <w:t>paredzēja</w:t>
            </w:r>
            <w:r w:rsidR="00D36E02" w:rsidRPr="00F41FC1">
              <w:t>,</w:t>
            </w:r>
            <w:r w:rsidRPr="00F41FC1">
              <w:t xml:space="preserve"> ka licences laukuma noteikšanai ir nepieciešama zemes īpašnieku </w:t>
            </w:r>
            <w:r w:rsidR="000D479E" w:rsidRPr="00F41FC1">
              <w:t xml:space="preserve">vai tā pārstāvja </w:t>
            </w:r>
            <w:r w:rsidRPr="00F41FC1">
              <w:t xml:space="preserve">rakstiska piekrišana, bet </w:t>
            </w:r>
            <w:r w:rsidR="00DD17D8" w:rsidRPr="00F41FC1">
              <w:t xml:space="preserve">par </w:t>
            </w:r>
            <w:r w:rsidR="00806EE9">
              <w:t xml:space="preserve">licences </w:t>
            </w:r>
            <w:r w:rsidR="00DD17D8" w:rsidRPr="00F41FC1">
              <w:t xml:space="preserve">laukuma </w:t>
            </w:r>
            <w:r w:rsidRPr="00F41FC1">
              <w:t>palielināšan</w:t>
            </w:r>
            <w:r w:rsidR="00DD17D8" w:rsidRPr="00F41FC1">
              <w:t>u tas nebija atrunāts</w:t>
            </w:r>
            <w:r w:rsidRPr="00F41FC1">
              <w:t>. Tād</w:t>
            </w:r>
            <w:r w:rsidR="00784CD6">
              <w:t>ē</w:t>
            </w:r>
            <w:r w:rsidRPr="00F41FC1">
              <w:t>jādi var rasties situācijas, ka tiek palielināts licences laukums bez zemes īpašnieka piekrišanas, kas liedz zemes īpašniekam pilnas tiesības rīkoties ar savu īpašumu. Lai šāda situācija neveidotos, ir nepi</w:t>
            </w:r>
            <w:r w:rsidR="002C1AFE" w:rsidRPr="00F41FC1">
              <w:t>e</w:t>
            </w:r>
            <w:r w:rsidRPr="00F41FC1">
              <w:t>ciešama rakstveida piekrišana no zemes īpašniek</w:t>
            </w:r>
            <w:r w:rsidR="000D479E" w:rsidRPr="00F41FC1">
              <w:t>a</w:t>
            </w:r>
            <w:r w:rsidRPr="00F41FC1">
              <w:t xml:space="preserve">, </w:t>
            </w:r>
            <w:r w:rsidR="00D36E02" w:rsidRPr="00F41FC1">
              <w:t xml:space="preserve">attiecīgi Noteikumu projektu </w:t>
            </w:r>
            <w:r w:rsidR="0069146D">
              <w:t xml:space="preserve">papildinot </w:t>
            </w:r>
            <w:r w:rsidR="00D36E02" w:rsidRPr="00F41FC1">
              <w:t xml:space="preserve">ar </w:t>
            </w:r>
            <w:r w:rsidR="00B62A4F" w:rsidRPr="00F41FC1">
              <w:t>jaunu</w:t>
            </w:r>
            <w:r w:rsidR="00D36E02" w:rsidRPr="00F41FC1">
              <w:t xml:space="preserve"> </w:t>
            </w:r>
            <w:r w:rsidR="0069146D">
              <w:t>normu (</w:t>
            </w:r>
            <w:r w:rsidR="00284740">
              <w:t>16</w:t>
            </w:r>
            <w:r w:rsidR="00D002A4">
              <w:t>.</w:t>
            </w:r>
            <w:r w:rsidR="00284740">
              <w:t xml:space="preserve"> </w:t>
            </w:r>
            <w:r w:rsidR="00D002A4">
              <w:t>punkts</w:t>
            </w:r>
            <w:r w:rsidR="0069146D">
              <w:t>)</w:t>
            </w:r>
            <w:r w:rsidR="00D36E02" w:rsidRPr="00F41FC1">
              <w:t>.</w:t>
            </w:r>
            <w:r w:rsidR="00EE6096" w:rsidRPr="00F41FC1">
              <w:t xml:space="preserve"> Tāpat Noteikumu projekts ir papildināts ar jauniem apakšpunktiem </w:t>
            </w:r>
            <w:r w:rsidR="00284740">
              <w:t>17</w:t>
            </w:r>
            <w:r w:rsidR="00EE6096" w:rsidRPr="00F41FC1">
              <w:t xml:space="preserve">.4. un </w:t>
            </w:r>
            <w:r w:rsidR="00284740">
              <w:t>17</w:t>
            </w:r>
            <w:r w:rsidR="00EE6096" w:rsidRPr="00F41FC1">
              <w:t>.5., k</w:t>
            </w:r>
            <w:r w:rsidR="00EB1724" w:rsidRPr="00F41FC1">
              <w:t>ur</w:t>
            </w:r>
            <w:r w:rsidR="00EE6096" w:rsidRPr="00F41FC1">
              <w:t xml:space="preserve"> </w:t>
            </w:r>
            <w:r w:rsidR="00EB1724" w:rsidRPr="00F41FC1">
              <w:t>atrunāti papildu gadījumi, kad Būvniecības valsts kontroles birojam ir tiesības atteikt palielināt licences laukumu.</w:t>
            </w:r>
          </w:p>
          <w:p w14:paraId="33BA698E" w14:textId="78EC759E" w:rsidR="00887C15" w:rsidRDefault="00EC0D29" w:rsidP="00887C15">
            <w:pPr>
              <w:shd w:val="clear" w:color="auto" w:fill="FFFFFF"/>
              <w:spacing w:before="45" w:line="248" w:lineRule="atLeast"/>
              <w:ind w:firstLine="281"/>
              <w:jc w:val="both"/>
            </w:pPr>
            <w:r w:rsidRPr="00EC0D29">
              <w:t xml:space="preserve">Neskatoties uz to, ka likuma „Par zemes dzīlēm” 16.pantā jau ir noteikti gadījumi par </w:t>
            </w:r>
            <w:r w:rsidRPr="00EC0D29">
              <w:rPr>
                <w:shd w:val="clear" w:color="auto" w:fill="FFFFFF"/>
              </w:rPr>
              <w:t>zemes dzīļu izmantošanas ierobežošanu, apturēšanu, licences vai atļaujas anulēšanu, izvērtējot līdzšinējo licenciātu darbību, Ekonomikas ministrija ir nonākusi pie secinājuma, ka arī Noteikumu projekt</w:t>
            </w:r>
            <w:r w:rsidR="00B576A2">
              <w:rPr>
                <w:shd w:val="clear" w:color="auto" w:fill="FFFFFF"/>
              </w:rPr>
              <w:t>ā</w:t>
            </w:r>
            <w:r w:rsidRPr="00EC0D29">
              <w:rPr>
                <w:shd w:val="clear" w:color="auto" w:fill="FFFFFF"/>
              </w:rPr>
              <w:t xml:space="preserve"> ir nepieciešams </w:t>
            </w:r>
            <w:r w:rsidR="00B576A2">
              <w:rPr>
                <w:shd w:val="clear" w:color="auto" w:fill="FFFFFF"/>
              </w:rPr>
              <w:t xml:space="preserve">noteikt </w:t>
            </w:r>
            <w:r w:rsidRPr="00EC0D29">
              <w:rPr>
                <w:shd w:val="clear" w:color="auto" w:fill="FFFFFF"/>
              </w:rPr>
              <w:t>atsevišķ</w:t>
            </w:r>
            <w:r w:rsidR="008D591A">
              <w:rPr>
                <w:shd w:val="clear" w:color="auto" w:fill="FFFFFF"/>
              </w:rPr>
              <w:t>a</w:t>
            </w:r>
            <w:r w:rsidR="00B576A2">
              <w:rPr>
                <w:shd w:val="clear" w:color="auto" w:fill="FFFFFF"/>
              </w:rPr>
              <w:t>s</w:t>
            </w:r>
            <w:r w:rsidRPr="00EC0D29">
              <w:rPr>
                <w:shd w:val="clear" w:color="auto" w:fill="FFFFFF"/>
              </w:rPr>
              <w:t xml:space="preserve"> norm</w:t>
            </w:r>
            <w:r w:rsidR="008D591A">
              <w:rPr>
                <w:shd w:val="clear" w:color="auto" w:fill="FFFFFF"/>
              </w:rPr>
              <w:t>as</w:t>
            </w:r>
            <w:r w:rsidRPr="00EC0D29">
              <w:rPr>
                <w:shd w:val="clear" w:color="auto" w:fill="FFFFFF"/>
              </w:rPr>
              <w:t xml:space="preserve">, kas papildus nosaka licences apturēšanas </w:t>
            </w:r>
            <w:r w:rsidR="00BC7218">
              <w:rPr>
                <w:shd w:val="clear" w:color="auto" w:fill="FFFFFF"/>
              </w:rPr>
              <w:t>v</w:t>
            </w:r>
            <w:r w:rsidRPr="00EC0D29">
              <w:rPr>
                <w:shd w:val="clear" w:color="auto" w:fill="FFFFFF"/>
              </w:rPr>
              <w:t xml:space="preserve">ai atcelšanas kārtību, tādējādi ieviešot Valsts kontroles ieteikumu par licences </w:t>
            </w:r>
            <w:r w:rsidRPr="00EC0D29">
              <w:rPr>
                <w:iCs/>
              </w:rPr>
              <w:t xml:space="preserve">apturēšanas un </w:t>
            </w:r>
            <w:r w:rsidR="000267B3">
              <w:rPr>
                <w:iCs/>
              </w:rPr>
              <w:t>atcelšanas</w:t>
            </w:r>
            <w:r w:rsidR="00251723">
              <w:rPr>
                <w:iCs/>
              </w:rPr>
              <w:t xml:space="preserve"> </w:t>
            </w:r>
            <w:r w:rsidRPr="00EC0D29">
              <w:rPr>
                <w:iCs/>
              </w:rPr>
              <w:t xml:space="preserve">kārtību. </w:t>
            </w:r>
            <w:r w:rsidRPr="00EC0D29">
              <w:rPr>
                <w:shd w:val="clear" w:color="auto" w:fill="FFFFFF"/>
              </w:rPr>
              <w:t xml:space="preserve"> </w:t>
            </w:r>
            <w:r w:rsidRPr="00EC0D29">
              <w:t>Attiecīgi</w:t>
            </w:r>
            <w:r>
              <w:t xml:space="preserve"> </w:t>
            </w:r>
            <w:r w:rsidR="0028130B" w:rsidRPr="009F5250">
              <w:t xml:space="preserve">Noteikumu projekts </w:t>
            </w:r>
            <w:r w:rsidR="00CE107F" w:rsidRPr="009F5250">
              <w:t xml:space="preserve">tiek </w:t>
            </w:r>
            <w:r w:rsidR="005F7C1B" w:rsidRPr="009F5250">
              <w:t xml:space="preserve">papildināts </w:t>
            </w:r>
            <w:r w:rsidR="005F7C1B">
              <w:t xml:space="preserve">ar jaunu </w:t>
            </w:r>
            <w:r w:rsidR="00284740">
              <w:t>apakš</w:t>
            </w:r>
            <w:r w:rsidR="005F7C1B" w:rsidRPr="005F7C1B">
              <w:t>nodaļu “</w:t>
            </w:r>
            <w:r w:rsidR="00284740">
              <w:rPr>
                <w:color w:val="414142"/>
                <w:szCs w:val="28"/>
              </w:rPr>
              <w:t>3</w:t>
            </w:r>
            <w:r w:rsidR="00292F81" w:rsidRPr="00AD0855">
              <w:rPr>
                <w:color w:val="414142"/>
                <w:szCs w:val="28"/>
              </w:rPr>
              <w:t>.</w:t>
            </w:r>
            <w:r w:rsidR="00284740">
              <w:rPr>
                <w:color w:val="414142"/>
                <w:szCs w:val="28"/>
              </w:rPr>
              <w:t>2.</w:t>
            </w:r>
            <w:r w:rsidR="00292F81" w:rsidRPr="00AD0855">
              <w:rPr>
                <w:color w:val="414142"/>
                <w:szCs w:val="28"/>
              </w:rPr>
              <w:t xml:space="preserve"> </w:t>
            </w:r>
            <w:r w:rsidR="005F7C1B" w:rsidRPr="005F7C1B">
              <w:rPr>
                <w:color w:val="414142"/>
                <w:szCs w:val="28"/>
              </w:rPr>
              <w:t>Licences apturēšanas un atcelšanas kārtība</w:t>
            </w:r>
            <w:r w:rsidR="005F7C1B" w:rsidRPr="005F7C1B">
              <w:t>”</w:t>
            </w:r>
            <w:r w:rsidR="005F7C1B">
              <w:t xml:space="preserve"> </w:t>
            </w:r>
            <w:r w:rsidR="0028130B" w:rsidRPr="009F5250">
              <w:t xml:space="preserve">ar </w:t>
            </w:r>
            <w:r>
              <w:t>vairāk</w:t>
            </w:r>
            <w:r w:rsidR="005F7C1B">
              <w:t>iem</w:t>
            </w:r>
            <w:r>
              <w:t xml:space="preserve"> </w:t>
            </w:r>
            <w:r w:rsidR="005F7C1B">
              <w:t xml:space="preserve"> punktiem</w:t>
            </w:r>
            <w:r w:rsidR="0028130B" w:rsidRPr="009F5250">
              <w:t>, kas papildus likuma "</w:t>
            </w:r>
            <w:hyperlink r:id="rId13" w:tgtFrame="_blank" w:history="1">
              <w:r w:rsidR="0028130B" w:rsidRPr="009F5250">
                <w:t>Par zemes dzīlēm</w:t>
              </w:r>
            </w:hyperlink>
            <w:r w:rsidR="0028130B" w:rsidRPr="009F5250">
              <w:t xml:space="preserve">" 16. panta noteiktajam Būvniecības valsts kontroles birojam piešķir </w:t>
            </w:r>
            <w:r w:rsidR="0028130B" w:rsidRPr="00AD0855">
              <w:t>tiesības licenc</w:t>
            </w:r>
            <w:r w:rsidR="0059756B" w:rsidRPr="00AD0855">
              <w:t>i</w:t>
            </w:r>
            <w:r w:rsidR="0028130B" w:rsidRPr="00AD0855">
              <w:t xml:space="preserve"> apturē</w:t>
            </w:r>
            <w:r w:rsidR="0059756B" w:rsidRPr="00AD0855">
              <w:t xml:space="preserve">t </w:t>
            </w:r>
            <w:r w:rsidR="0028130B" w:rsidRPr="00AD0855">
              <w:t>vai atcel</w:t>
            </w:r>
            <w:r w:rsidR="0059756B" w:rsidRPr="00AD0855">
              <w:t>t</w:t>
            </w:r>
            <w:r w:rsidR="0028130B" w:rsidRPr="00AD0855">
              <w:t xml:space="preserve">. </w:t>
            </w:r>
            <w:r w:rsidR="00292F81">
              <w:t xml:space="preserve">Jaunajā </w:t>
            </w:r>
            <w:r w:rsidR="00971503">
              <w:t>apakš</w:t>
            </w:r>
            <w:r w:rsidR="00292F81">
              <w:t>nodaļā</w:t>
            </w:r>
            <w:r w:rsidR="00AD0855" w:rsidRPr="00AD0855">
              <w:t xml:space="preserve"> </w:t>
            </w:r>
            <w:r w:rsidR="00292F81">
              <w:t xml:space="preserve">ir </w:t>
            </w:r>
            <w:r w:rsidR="00C006BA" w:rsidRPr="009F5250">
              <w:t xml:space="preserve">vairāki </w:t>
            </w:r>
            <w:r w:rsidR="00AD0855">
              <w:t>punkti</w:t>
            </w:r>
            <w:r w:rsidR="00C006BA" w:rsidRPr="009F5250">
              <w:t>, kas nosaka normas par licences apturēšanu vai atcelšanu publiskas personas zemē</w:t>
            </w:r>
            <w:r w:rsidR="00AB123E">
              <w:t>s</w:t>
            </w:r>
            <w:r w:rsidR="00C006BA" w:rsidRPr="009F5250">
              <w:t xml:space="preserve"> un uz nekustamajiem īpašumiem, kas nav publiskas personas zeme</w:t>
            </w:r>
            <w:r w:rsidR="00AB123E">
              <w:t>s</w:t>
            </w:r>
            <w:r w:rsidR="00C006BA" w:rsidRPr="009F5250">
              <w:t xml:space="preserve">, bet par jūru ir norādīta atsauce uz 2014.gada 14.oktobra Ministru </w:t>
            </w:r>
            <w:r w:rsidR="00C006BA" w:rsidRPr="009F5250">
              <w:lastRenderedPageBreak/>
              <w:t>kabineta noteikumu Nr. 631 “Latvijas Republikas iekšējo jūras ūdeņu, teritoriālās jūras un ekskluzīvās ekonomiskās zonas būvju būvnoteikumi” 10.</w:t>
            </w:r>
            <w:r w:rsidR="000D5904">
              <w:t xml:space="preserve"> </w:t>
            </w:r>
            <w:r w:rsidR="00C006BA" w:rsidRPr="009F5250">
              <w:t>nodaļā noteikto</w:t>
            </w:r>
            <w:r w:rsidR="00C73D2E" w:rsidRPr="009F5250">
              <w:t>.</w:t>
            </w:r>
            <w:r>
              <w:t xml:space="preserve"> </w:t>
            </w:r>
            <w:r w:rsidR="00704AFB">
              <w:rPr>
                <w:shd w:val="clear" w:color="auto" w:fill="FFFFFF"/>
              </w:rPr>
              <w:t>Tāpat l</w:t>
            </w:r>
            <w:r w:rsidR="00704AFB" w:rsidRPr="00506BD9">
              <w:rPr>
                <w:shd w:val="clear" w:color="auto" w:fill="FFFFFF"/>
              </w:rPr>
              <w:t>īdz šim brīdim</w:t>
            </w:r>
            <w:r w:rsidR="00704AFB" w:rsidRPr="00506BD9">
              <w:t xml:space="preserve"> spēkā esošais regulējums pieļāva izsniegt ogļūdeņražu licenci ogļūdeņražu meklēšanai vai izpētei un ieguvei, bet to</w:t>
            </w:r>
            <w:r w:rsidR="00251723">
              <w:t xml:space="preserve"> </w:t>
            </w:r>
            <w:r w:rsidR="002F3703">
              <w:t>neatcelt</w:t>
            </w:r>
            <w:r w:rsidR="00704AFB" w:rsidRPr="00506BD9">
              <w:t>, ja netiek veikta  valsts nodevas samaksa, tād</w:t>
            </w:r>
            <w:r w:rsidR="00E31B47">
              <w:t>ē</w:t>
            </w:r>
            <w:r w:rsidR="00704AFB" w:rsidRPr="00506BD9">
              <w:t>jādi var rasties situācijas, kad tiek vairākus gadus apgrūtināta teritorija ar apstiprinātu licences laukumu, bet faktiski nav iespējams veikt ogļūdeņražu izpēti vai ieguvi, ko būtu gatavi darīt citi pretendenti.</w:t>
            </w:r>
            <w:r w:rsidR="00704AFB">
              <w:t xml:space="preserve"> Lai izvairītos no šādas situācijas, Noteikumu projekts ir papildināts ar </w:t>
            </w:r>
            <w:r w:rsidR="00704AFB" w:rsidRPr="008C47A3">
              <w:t xml:space="preserve">jaunu </w:t>
            </w:r>
            <w:r w:rsidR="00B74CA1">
              <w:t>100</w:t>
            </w:r>
            <w:r w:rsidR="000007B0" w:rsidRPr="000007B0">
              <w:t>.</w:t>
            </w:r>
            <w:r w:rsidR="00704AFB" w:rsidRPr="008C47A3">
              <w:rPr>
                <w:i/>
                <w:iCs/>
                <w:vertAlign w:val="superscript"/>
              </w:rPr>
              <w:t xml:space="preserve"> </w:t>
            </w:r>
            <w:r w:rsidR="00704AFB" w:rsidRPr="008C47A3">
              <w:t>punktu.</w:t>
            </w:r>
            <w:r>
              <w:t xml:space="preserve"> </w:t>
            </w:r>
            <w:r w:rsidR="00887C15">
              <w:t xml:space="preserve">     </w:t>
            </w:r>
          </w:p>
          <w:p w14:paraId="1B14BF57" w14:textId="6D91E4CA" w:rsidR="00693DFE" w:rsidRPr="00927CF3" w:rsidRDefault="00EC0D29" w:rsidP="00887C15">
            <w:pPr>
              <w:shd w:val="clear" w:color="auto" w:fill="FFFFFF"/>
              <w:spacing w:before="45" w:line="248" w:lineRule="atLeast"/>
              <w:ind w:left="-3" w:firstLine="284"/>
              <w:jc w:val="both"/>
              <w:rPr>
                <w:color w:val="414142"/>
                <w:szCs w:val="28"/>
              </w:rPr>
            </w:pPr>
            <w:r w:rsidRPr="00EC0D29">
              <w:rPr>
                <w:shd w:val="clear" w:color="auto" w:fill="FFFFFF"/>
              </w:rPr>
              <w:t xml:space="preserve">Kontroles stiprināšanas nolūkā </w:t>
            </w:r>
            <w:r w:rsidR="00693DFE" w:rsidRPr="00EC0D29">
              <w:rPr>
                <w:shd w:val="clear" w:color="auto" w:fill="FFFFFF"/>
              </w:rPr>
              <w:t xml:space="preserve">Noteikumu projekts tika papildināts </w:t>
            </w:r>
            <w:r w:rsidRPr="00EC0D29">
              <w:rPr>
                <w:shd w:val="clear" w:color="auto" w:fill="FFFFFF"/>
              </w:rPr>
              <w:t xml:space="preserve">ar vēl vienu </w:t>
            </w:r>
            <w:r w:rsidR="00693DFE" w:rsidRPr="00EC0D29">
              <w:rPr>
                <w:shd w:val="clear" w:color="auto" w:fill="FFFFFF"/>
              </w:rPr>
              <w:t xml:space="preserve">jaunu punktu - </w:t>
            </w:r>
            <w:r w:rsidR="00693DFE" w:rsidRPr="00EC0D29">
              <w:t>3</w:t>
            </w:r>
            <w:r w:rsidR="005D4A6D">
              <w:t>4</w:t>
            </w:r>
            <w:r w:rsidR="00693DFE" w:rsidRPr="00EC0D29">
              <w:t>., kas nosaka papildus licences atcelšanas iespējas saistībā ar minimālo ogļūdeņražu izpētes darbu programmas pildīšanu jūrā un publiskas personas zemē</w:t>
            </w:r>
            <w:r w:rsidR="00AB123E">
              <w:t>s</w:t>
            </w:r>
            <w:r w:rsidR="00693DFE" w:rsidRPr="00EC0D29">
              <w:t>. Ja kādu iemeslu dēļ šī darbu programma netiek pildīta (neskatoties uz to, ka licenciātam ir tiesības darbu programmu arī mainīt), Būvniecības valsts kontroles birojs</w:t>
            </w:r>
            <w:r w:rsidR="00887C15">
              <w:t>, izvērtējot licenciāta sniegto paskaidrojumu, nepieciešamības gadījumā varēs</w:t>
            </w:r>
            <w:r w:rsidR="00693DFE" w:rsidRPr="00EC0D29">
              <w:t xml:space="preserve"> pieņem lēmumu par licences atcelšanu.</w:t>
            </w:r>
            <w:r w:rsidR="00693DFE" w:rsidRPr="00285CAA">
              <w:t xml:space="preserve"> </w:t>
            </w:r>
          </w:p>
          <w:p w14:paraId="55BFEAB8" w14:textId="47D5FBB2" w:rsidR="00180419" w:rsidRPr="00F41FC1" w:rsidRDefault="00A227BA" w:rsidP="00EF534D">
            <w:pPr>
              <w:pStyle w:val="naislab"/>
              <w:spacing w:before="0" w:after="0"/>
              <w:ind w:right="44" w:firstLine="281"/>
              <w:jc w:val="both"/>
            </w:pPr>
            <w:r>
              <w:t>Noteikumu iepriekš spēkā esošajā</w:t>
            </w:r>
            <w:r w:rsidRPr="009F5250">
              <w:t xml:space="preserve"> </w:t>
            </w:r>
            <w:r w:rsidR="00EF1D64" w:rsidRPr="009F5250">
              <w:t>re</w:t>
            </w:r>
            <w:r w:rsidR="00180419" w:rsidRPr="009F5250">
              <w:t>dakcijā viens no nosacījumiem, lai saņemtu ogļūdeņražu izpētes un ieguves licenci, bija nepieciešams nekustamā īpašuma īpašnieka vai viņa pilnvarot</w:t>
            </w:r>
            <w:r w:rsidR="00784CD6">
              <w:t>ās</w:t>
            </w:r>
            <w:r w:rsidR="00180419" w:rsidRPr="009F5250">
              <w:t xml:space="preserve"> persona</w:t>
            </w:r>
            <w:r w:rsidR="00784CD6">
              <w:t>s</w:t>
            </w:r>
            <w:r w:rsidR="00180419" w:rsidRPr="009F5250">
              <w:t xml:space="preserve"> rakstisks apliecinājums par </w:t>
            </w:r>
            <w:r w:rsidR="00EF1D64" w:rsidRPr="009F5250">
              <w:t xml:space="preserve"> pretendent</w:t>
            </w:r>
            <w:r w:rsidR="00180419" w:rsidRPr="009F5250">
              <w:t xml:space="preserve">a izvēli </w:t>
            </w:r>
            <w:r w:rsidR="00EF1D64" w:rsidRPr="009F5250">
              <w:t>ogļūdeņražu izpētes un ieguves licences saņemšanai.</w:t>
            </w:r>
            <w:r w:rsidR="008F4706" w:rsidRPr="009F5250">
              <w:t xml:space="preserve"> </w:t>
            </w:r>
            <w:r w:rsidR="009E4F09" w:rsidRPr="009F5250">
              <w:t xml:space="preserve">Lai stiprinātu kontroli un pārliecinātos, ka zemes dzīles tiks izmantotas ar tādu mērķi un termiņu kā noteikts </w:t>
            </w:r>
            <w:r w:rsidR="009E4F09" w:rsidRPr="009F5250">
              <w:rPr>
                <w:shd w:val="clear" w:color="auto" w:fill="FFFFFF"/>
              </w:rPr>
              <w:t xml:space="preserve">uz </w:t>
            </w:r>
            <w:r w:rsidR="009E4F09" w:rsidRPr="009F5250">
              <w:t>likuma “Par zemes dzīlēm” 9.</w:t>
            </w:r>
            <w:r w:rsidR="00221BB9">
              <w:t xml:space="preserve"> </w:t>
            </w:r>
            <w:r w:rsidR="009E4F09" w:rsidRPr="009F5250">
              <w:t>pantā, Noteikumu projekt</w:t>
            </w:r>
            <w:r>
              <w:t xml:space="preserve">ā tika papildināts </w:t>
            </w:r>
            <w:r w:rsidR="009E4F09" w:rsidRPr="009F5250">
              <w:t xml:space="preserve"> </w:t>
            </w:r>
            <w:r w:rsidR="00C21930">
              <w:t>9</w:t>
            </w:r>
            <w:r w:rsidR="00B74CA1">
              <w:t>4</w:t>
            </w:r>
            <w:r w:rsidR="009E4F09" w:rsidRPr="009F5250">
              <w:t>.</w:t>
            </w:r>
            <w:r w:rsidR="00221BB9">
              <w:t xml:space="preserve"> </w:t>
            </w:r>
            <w:r w:rsidR="009E4F09" w:rsidRPr="009F5250">
              <w:t>punkts un 5.</w:t>
            </w:r>
            <w:r w:rsidR="00221BB9">
              <w:t xml:space="preserve"> </w:t>
            </w:r>
            <w:r w:rsidR="009E4F09" w:rsidRPr="009F5250">
              <w:t>pi</w:t>
            </w:r>
            <w:r w:rsidR="008F4706" w:rsidRPr="009F5250">
              <w:t>e</w:t>
            </w:r>
            <w:r w:rsidR="009E4F09" w:rsidRPr="009F5250">
              <w:t>liku</w:t>
            </w:r>
            <w:r w:rsidR="001C5D3C" w:rsidRPr="009F5250">
              <w:t>m</w:t>
            </w:r>
            <w:r w:rsidR="00C21930">
              <w:t>a 3.4. apakšpunkts</w:t>
            </w:r>
            <w:r w:rsidR="001C5D3C" w:rsidRPr="009F5250">
              <w:t xml:space="preserve"> ar teikumu daļu “noslēdzot līgumu </w:t>
            </w:r>
            <w:r w:rsidR="001C5D3C" w:rsidRPr="009F5250">
              <w:rPr>
                <w:shd w:val="clear" w:color="auto" w:fill="FFFFFF"/>
              </w:rPr>
              <w:t xml:space="preserve">par zemes dzīļu izmantošanu vismaz </w:t>
            </w:r>
            <w:r w:rsidR="00E31B47">
              <w:rPr>
                <w:shd w:val="clear" w:color="auto" w:fill="FFFFFF"/>
              </w:rPr>
              <w:t>līdz</w:t>
            </w:r>
            <w:r w:rsidR="001C5D3C" w:rsidRPr="009F5250">
              <w:rPr>
                <w:shd w:val="clear" w:color="auto" w:fill="FFFFFF"/>
              </w:rPr>
              <w:t xml:space="preserve"> </w:t>
            </w:r>
            <w:r w:rsidR="001C5D3C" w:rsidRPr="009F5250">
              <w:t>likuma “Par zemes dzīlēm” 9.panta pirmās daļā noteiktā termiņa</w:t>
            </w:r>
            <w:r w:rsidR="001C5D3C" w:rsidRPr="009F5250">
              <w:rPr>
                <w:shd w:val="clear" w:color="auto" w:fill="FFFFFF"/>
              </w:rPr>
              <w:t xml:space="preserve"> beigām</w:t>
            </w:r>
            <w:r w:rsidR="001C5D3C" w:rsidRPr="009F5250">
              <w:t>, atbilstoši paredzētajam zemes dzīļu izmantošanas veidam”</w:t>
            </w:r>
            <w:r w:rsidR="001C5D3C" w:rsidRPr="009F5250">
              <w:rPr>
                <w:shd w:val="clear" w:color="auto" w:fill="FFFFFF"/>
              </w:rPr>
              <w:t>.</w:t>
            </w:r>
          </w:p>
          <w:p w14:paraId="03DA0D83" w14:textId="6444C150" w:rsidR="00506BD9" w:rsidRPr="008C47A3" w:rsidRDefault="0024208A" w:rsidP="002C6160">
            <w:pPr>
              <w:pStyle w:val="naislab"/>
              <w:spacing w:before="0" w:after="0"/>
              <w:ind w:right="44" w:firstLine="281"/>
              <w:jc w:val="both"/>
            </w:pPr>
            <w:r w:rsidRPr="008C47A3">
              <w:t>Noteikumu projekt</w:t>
            </w:r>
            <w:r w:rsidR="004828B0" w:rsidRPr="008C47A3">
              <w:t xml:space="preserve">a </w:t>
            </w:r>
            <w:r w:rsidR="00B74CA1">
              <w:t>102</w:t>
            </w:r>
            <w:r w:rsidR="004828B0" w:rsidRPr="008C47A3">
              <w:t>.6. apakšpunkts</w:t>
            </w:r>
            <w:r w:rsidR="00DC6050">
              <w:t>,</w:t>
            </w:r>
            <w:r w:rsidRPr="008C47A3">
              <w:t xml:space="preserve"> </w:t>
            </w:r>
            <w:r w:rsidR="00DC6050">
              <w:t xml:space="preserve">salīdzinājumā ar esošo regulējumu, </w:t>
            </w:r>
            <w:r w:rsidRPr="008C47A3">
              <w:t>tiek papildināts</w:t>
            </w:r>
            <w:r w:rsidR="00233664">
              <w:t xml:space="preserve">, </w:t>
            </w:r>
            <w:r w:rsidR="008C47A3" w:rsidRPr="008C47A3">
              <w:t>lai atrunātu situāciju</w:t>
            </w:r>
            <w:r w:rsidR="00F45716" w:rsidRPr="008C47A3">
              <w:t>, ja licenciāts jūrā vai publisk</w:t>
            </w:r>
            <w:r w:rsidR="007D258F">
              <w:t>as</w:t>
            </w:r>
            <w:r w:rsidR="00F45716" w:rsidRPr="008C47A3">
              <w:t xml:space="preserve"> person</w:t>
            </w:r>
            <w:r w:rsidR="007D258F">
              <w:t>as</w:t>
            </w:r>
            <w:r w:rsidR="00F45716" w:rsidRPr="008C47A3">
              <w:t xml:space="preserve"> zemē</w:t>
            </w:r>
            <w:r w:rsidR="00AB123E">
              <w:t>s</w:t>
            </w:r>
            <w:r w:rsidR="00F45716" w:rsidRPr="008C47A3">
              <w:t xml:space="preserve"> vēlas mainīt minimālajā ogļūdeņražu izpētes darbu programmā iekļauto darbu </w:t>
            </w:r>
            <w:r w:rsidR="002C6160" w:rsidRPr="008C47A3">
              <w:t xml:space="preserve">apjomu, to </w:t>
            </w:r>
            <w:r w:rsidR="00F45716" w:rsidRPr="008C47A3">
              <w:t xml:space="preserve">izmaksas, tad </w:t>
            </w:r>
            <w:r w:rsidR="004828B0" w:rsidRPr="008C47A3">
              <w:t xml:space="preserve">nepieciešams norādīt finanšu garantijas, ja tās pārsniedz sākotnēji norādīto. </w:t>
            </w:r>
            <w:r w:rsidR="002C6160" w:rsidRPr="008C47A3">
              <w:t>Līdz ar to tiks novērsta situācija</w:t>
            </w:r>
            <w:r w:rsidR="004828B0" w:rsidRPr="008C47A3">
              <w:t xml:space="preserve">, ka izmaiņas projektā būtiski sadārdzina projektu un rodoties apdraudējuma situācijai, kad </w:t>
            </w:r>
            <w:r w:rsidR="002C6160" w:rsidRPr="008C47A3">
              <w:t xml:space="preserve">valsts kapitālsabiedrībai kā licences laukumā noteiktās valsts līdzdalības daļas turētājai, </w:t>
            </w:r>
            <w:r w:rsidR="004828B0" w:rsidRPr="008C47A3">
              <w:t>ir jāpārņem objekts, būtu</w:t>
            </w:r>
            <w:r w:rsidR="002C6160" w:rsidRPr="008C47A3">
              <w:t xml:space="preserve"> jānodrošina</w:t>
            </w:r>
            <w:r w:rsidR="004828B0" w:rsidRPr="008C47A3">
              <w:t xml:space="preserve"> līdzekļu segums ar ko veikt attiecīgās darbības.</w:t>
            </w:r>
          </w:p>
          <w:p w14:paraId="1B17C496" w14:textId="6E62D03E" w:rsidR="005E5DC2" w:rsidRPr="00AC642E" w:rsidRDefault="005E5DC2" w:rsidP="0087531C">
            <w:pPr>
              <w:pStyle w:val="naislab"/>
              <w:spacing w:before="0" w:after="0"/>
              <w:ind w:right="44" w:firstLine="281"/>
              <w:jc w:val="both"/>
            </w:pPr>
            <w:r w:rsidRPr="00AC642E">
              <w:t xml:space="preserve">Lai nodotu licenci vai tās daļu </w:t>
            </w:r>
            <w:r w:rsidR="00934C4F" w:rsidRPr="00AC642E">
              <w:t xml:space="preserve">trešajām personām </w:t>
            </w:r>
            <w:r w:rsidRPr="00AC642E">
              <w:t>ogļūdeņražu izpētei un ieguvei nekustamajā īpašumā, kas nav publisk</w:t>
            </w:r>
            <w:r w:rsidR="0084459E">
              <w:t>as</w:t>
            </w:r>
            <w:r w:rsidRPr="00AC642E">
              <w:t xml:space="preserve"> person</w:t>
            </w:r>
            <w:r w:rsidR="0084459E">
              <w:t>as</w:t>
            </w:r>
            <w:r w:rsidRPr="00AC642E">
              <w:t xml:space="preserve"> zeme</w:t>
            </w:r>
            <w:r w:rsidR="00AB123E">
              <w:t>s</w:t>
            </w:r>
            <w:r w:rsidRPr="00AC642E">
              <w:t>, bija nepieciešams noteikt stingrākas prasības</w:t>
            </w:r>
            <w:r w:rsidR="004F122A" w:rsidRPr="00AC642E">
              <w:t xml:space="preserve"> nosakot papildus</w:t>
            </w:r>
            <w:r w:rsidR="00123CF3" w:rsidRPr="00AC642E">
              <w:t xml:space="preserve"> </w:t>
            </w:r>
            <w:r w:rsidR="004F122A" w:rsidRPr="00AC642E">
              <w:t>ies</w:t>
            </w:r>
            <w:r w:rsidR="00123CF3" w:rsidRPr="00AC642E">
              <w:t>n</w:t>
            </w:r>
            <w:r w:rsidR="004F122A" w:rsidRPr="00AC642E">
              <w:t>iedzamos dokumentus</w:t>
            </w:r>
            <w:r w:rsidR="00934C4F" w:rsidRPr="00AC642E">
              <w:t xml:space="preserve">, jo </w:t>
            </w:r>
            <w:r w:rsidR="004F122A" w:rsidRPr="00AC642E">
              <w:t xml:space="preserve"> </w:t>
            </w:r>
            <w:r w:rsidR="00DC6050">
              <w:t xml:space="preserve">salīdzinājumā ar esošo regulējumu </w:t>
            </w:r>
            <w:r w:rsidR="00934C4F" w:rsidRPr="00AC642E">
              <w:t xml:space="preserve">nebija noteiktas prasības, kādiem standartiem būtu jāatbilst </w:t>
            </w:r>
            <w:r w:rsidR="0087531C" w:rsidRPr="00AC642E">
              <w:t>pretendentam</w:t>
            </w:r>
            <w:r w:rsidR="00934C4F" w:rsidRPr="00AC642E">
              <w:t xml:space="preserve">. </w:t>
            </w:r>
            <w:r w:rsidR="004F122A" w:rsidRPr="00AC642E">
              <w:t>Attiecīgi tika papildināts Noteikumu pr</w:t>
            </w:r>
            <w:r w:rsidR="00123CF3" w:rsidRPr="00AC642E">
              <w:t>o</w:t>
            </w:r>
            <w:r w:rsidR="004F122A" w:rsidRPr="00AC642E">
              <w:t>jekts ar jaunu 1</w:t>
            </w:r>
            <w:r w:rsidR="00AC6369">
              <w:t>1</w:t>
            </w:r>
            <w:r w:rsidR="0041471B">
              <w:t>6</w:t>
            </w:r>
            <w:r w:rsidR="004F122A" w:rsidRPr="00AC642E">
              <w:t>.3</w:t>
            </w:r>
            <w:r w:rsidR="00784CD6">
              <w:t>.</w:t>
            </w:r>
            <w:r w:rsidR="00784CD6" w:rsidRPr="00AC642E">
              <w:t xml:space="preserve"> apakšpunktu</w:t>
            </w:r>
          </w:p>
          <w:p w14:paraId="6E656904" w14:textId="4CBAD5BA" w:rsidR="00FD2224" w:rsidRPr="00F25625" w:rsidRDefault="00804F6B" w:rsidP="00F25625">
            <w:pPr>
              <w:pStyle w:val="naislab"/>
              <w:spacing w:before="0" w:after="0"/>
              <w:ind w:right="44" w:firstLine="281"/>
              <w:jc w:val="both"/>
              <w:rPr>
                <w:rFonts w:ascii="Arial" w:hAnsi="Arial" w:cs="Arial"/>
                <w:color w:val="414142"/>
                <w:shd w:val="clear" w:color="auto" w:fill="FFFFFF"/>
              </w:rPr>
            </w:pPr>
            <w:r w:rsidRPr="00285CAA">
              <w:t xml:space="preserve">Licenciāts eksperimentālo ogļūdeņražu ieguvi licences laukumā uz sauszemes, neatkarīgi no eksperimentālajā ogļūdeņražu ieguvē izmantoto urbumu skaita, </w:t>
            </w:r>
            <w:r w:rsidR="00B8412F" w:rsidRPr="00285CAA">
              <w:t>līd</w:t>
            </w:r>
            <w:r w:rsidR="00FD2224" w:rsidRPr="00285CAA">
              <w:t>z</w:t>
            </w:r>
            <w:r w:rsidR="00B8412F" w:rsidRPr="00285CAA">
              <w:t xml:space="preserve"> šim</w:t>
            </w:r>
            <w:r w:rsidR="00515F5A">
              <w:t xml:space="preserve"> spēkā esošajā regulējumā</w:t>
            </w:r>
            <w:r w:rsidR="00B8412F" w:rsidRPr="00285CAA">
              <w:t xml:space="preserve"> varēja veikt 1800 dienas licencē noteiktās ogļūdeņražu izpētes laikā</w:t>
            </w:r>
            <w:r w:rsidR="00F72E6E" w:rsidRPr="00285CAA">
              <w:t xml:space="preserve">, </w:t>
            </w:r>
            <w:r w:rsidR="00F72E6E" w:rsidRPr="00285CAA">
              <w:lastRenderedPageBreak/>
              <w:t>savukārt jūrā 180 dienas</w:t>
            </w:r>
            <w:r w:rsidR="00FD2224" w:rsidRPr="00285CAA">
              <w:t>.</w:t>
            </w:r>
            <w:r w:rsidR="00295E81" w:rsidRPr="00285CAA">
              <w:t xml:space="preserve"> </w:t>
            </w:r>
            <w:r w:rsidR="00F25625">
              <w:rPr>
                <w:color w:val="000000"/>
              </w:rPr>
              <w:t>Likuma „Par zemes dzīlēm” 1.panta 15</w:t>
            </w:r>
            <w:r w:rsidR="00F25625">
              <w:rPr>
                <w:color w:val="000000"/>
                <w:vertAlign w:val="superscript"/>
              </w:rPr>
              <w:t>5</w:t>
            </w:r>
            <w:r w:rsidR="00F25625">
              <w:rPr>
                <w:color w:val="000000"/>
              </w:rPr>
              <w:t xml:space="preserve">.punkts nosaka, ka eksperimentālā ogļūdeņražu ieguve ir ogļūdeņražu izpētes laikā veikta to sūknēšana no ogļūdeņražu izpētes urbuma, ogļūdeņražu sastāva un kvalitātes testēšana, lai noteiktu ogļūdeņražu iegulas lielumu, to sastāvu, kā arī efektīvāko piemērojamo tehnoloģiju ogļūdeņražu ieguvei. Ekonomikas ministrija uzskata, ka Noteikumu projektā noteiktais termiņš eksperimentālās ogļūdeņražu ieguves veikšanai ogļūdeņražu izpētes laikā ir pietiekams, lai noskaidrotu iepriekš uzskaitītos parametrus. </w:t>
            </w:r>
            <w:r w:rsidR="00FD2224" w:rsidRPr="00285CAA">
              <w:rPr>
                <w:shd w:val="clear" w:color="auto" w:fill="FFFFFF"/>
              </w:rPr>
              <w:t xml:space="preserve">Ekonomikas ministrijas ieskatā </w:t>
            </w:r>
            <w:r w:rsidR="00FD2224" w:rsidRPr="00285CAA">
              <w:t xml:space="preserve">1800 ir nesamērīgi garš laiks, kas sniedz iespēju ļaunprātīgi izmantot eksperimentālo ieguvi komerciālos nolūkos. Attiecīgi </w:t>
            </w:r>
            <w:r w:rsidR="00C953A8" w:rsidRPr="00285CAA">
              <w:t xml:space="preserve">pilnveidojot kontroles stiprināšanas mehānismu, </w:t>
            </w:r>
            <w:r w:rsidR="00FD2224" w:rsidRPr="00285CAA">
              <w:t>Noteikumu projekta 17</w:t>
            </w:r>
            <w:r w:rsidR="00A77532">
              <w:t>7</w:t>
            </w:r>
            <w:r w:rsidR="00FD2224" w:rsidRPr="00285CAA">
              <w:t>.punktā tika samazināts eksperimentālo ogļūdeņražu ieguves dienu skaits</w:t>
            </w:r>
            <w:r w:rsidR="00295E81" w:rsidRPr="00285CAA">
              <w:t xml:space="preserve"> uz sauszemes</w:t>
            </w:r>
            <w:r w:rsidR="00FD2224" w:rsidRPr="00285CAA">
              <w:t xml:space="preserve"> no 1800 uz 180.</w:t>
            </w:r>
          </w:p>
          <w:p w14:paraId="02381659" w14:textId="2143FD26" w:rsidR="0054213D" w:rsidRPr="00A16A3F" w:rsidRDefault="00C208E6" w:rsidP="007D7A2A">
            <w:pPr>
              <w:ind w:firstLine="422"/>
              <w:jc w:val="both"/>
            </w:pPr>
            <w:r w:rsidRPr="00A16A3F">
              <w:t xml:space="preserve">Būtisks solis kontroles mehānisma stiprināšanā ir </w:t>
            </w:r>
            <w:r w:rsidR="00A53DFB" w:rsidRPr="00A16A3F">
              <w:t xml:space="preserve">Noteikumu projekta papildināšana ar </w:t>
            </w:r>
            <w:r w:rsidR="002172B7" w:rsidRPr="00A16A3F">
              <w:t xml:space="preserve">atbilstošām normām, kas nosaka, ka ogļūdeņražu ieguves iekārtas </w:t>
            </w:r>
            <w:r w:rsidR="003A65E8" w:rsidRPr="00A16A3F">
              <w:t>(gan eksperimentāl</w:t>
            </w:r>
            <w:r w:rsidR="00D41E45" w:rsidRPr="00A16A3F">
              <w:t>ās</w:t>
            </w:r>
            <w:r w:rsidR="003A65E8" w:rsidRPr="00A16A3F">
              <w:t xml:space="preserve">, gan komerciālās ieguves laikā) </w:t>
            </w:r>
            <w:r w:rsidR="002172B7" w:rsidRPr="00A16A3F">
              <w:t>tiek aprīkotas ar verificētiem elektroniskiem skaitītājiem, pirms kuru uzstādīšanas, par tā novietojumu vienojas ar Būvniecības valsts kontroles biroju.</w:t>
            </w:r>
            <w:r w:rsidR="00E0615D" w:rsidRPr="00A16A3F">
              <w:t xml:space="preserve"> Attiecīgi </w:t>
            </w:r>
            <w:r w:rsidR="00155B4F" w:rsidRPr="00547C30">
              <w:t>uzraugošā iestāde būtu informēta par skaitītāja atrašanās vietu</w:t>
            </w:r>
            <w:r w:rsidR="00D41E45">
              <w:t xml:space="preserve"> </w:t>
            </w:r>
            <w:r w:rsidR="00155B4F" w:rsidRPr="00D41E45">
              <w:t>un pārbaudes laikā varētu kvalitatīvāk veikt darbu.</w:t>
            </w:r>
            <w:r w:rsidR="008E68BF" w:rsidRPr="00D41E45">
              <w:t xml:space="preserve"> </w:t>
            </w:r>
            <w:r w:rsidR="00936B9F">
              <w:t xml:space="preserve">Proti, </w:t>
            </w:r>
            <w:r w:rsidR="008E68BF" w:rsidRPr="00D41E45">
              <w:t>Noteikumu projekt</w:t>
            </w:r>
            <w:r w:rsidR="008E68BF" w:rsidRPr="00133CBD">
              <w:t xml:space="preserve">s tika papildināts arī ar </w:t>
            </w:r>
            <w:r w:rsidR="00DC3A63" w:rsidRPr="00133CBD">
              <w:t xml:space="preserve">jaunām normām </w:t>
            </w:r>
            <w:r w:rsidR="00DC3A63" w:rsidRPr="004225C2">
              <w:t>(</w:t>
            </w:r>
            <w:r w:rsidR="00DC3A63" w:rsidRPr="00A16A3F">
              <w:t>1</w:t>
            </w:r>
            <w:r w:rsidR="00257969" w:rsidRPr="00A16A3F">
              <w:t>6</w:t>
            </w:r>
            <w:r w:rsidR="00133F0F" w:rsidRPr="00A16A3F">
              <w:t>5</w:t>
            </w:r>
            <w:r w:rsidR="00257969" w:rsidRPr="00A16A3F">
              <w:t>.</w:t>
            </w:r>
            <w:r w:rsidR="00DC3A63" w:rsidRPr="00A16A3F">
              <w:rPr>
                <w:vertAlign w:val="superscript"/>
              </w:rPr>
              <w:t xml:space="preserve"> </w:t>
            </w:r>
            <w:r w:rsidR="00DC3A63" w:rsidRPr="00A16A3F">
              <w:t>punkts</w:t>
            </w:r>
            <w:r w:rsidR="00DC3A63" w:rsidRPr="004225C2">
              <w:t xml:space="preserve">), kas paredz, ka </w:t>
            </w:r>
            <w:r w:rsidR="00DC3A63" w:rsidRPr="00A16A3F">
              <w:t>licenciātam ir pienākums sniegt Būvniecības valsts kontroles birojam</w:t>
            </w:r>
            <w:r w:rsidR="00936B9F" w:rsidRPr="00A16A3F">
              <w:t xml:space="preserve"> (</w:t>
            </w:r>
            <w:r w:rsidR="00DC3A63" w:rsidRPr="00A16A3F">
              <w:t>gan eksperimentālās, gan komerciālās  ieguves darbu laikā</w:t>
            </w:r>
            <w:r w:rsidR="00936B9F" w:rsidRPr="00A16A3F">
              <w:t>)</w:t>
            </w:r>
            <w:r w:rsidR="00DC3A63" w:rsidRPr="00A16A3F">
              <w:t xml:space="preserve"> </w:t>
            </w:r>
            <w:r w:rsidR="00547C30" w:rsidRPr="00A16A3F">
              <w:t>ziņojum</w:t>
            </w:r>
            <w:r w:rsidR="00D41E45" w:rsidRPr="00A16A3F">
              <w:t>u</w:t>
            </w:r>
            <w:r w:rsidR="00547C30" w:rsidRPr="00A16A3F">
              <w:t>, kurā norādīts iegūtās naftas apjoms un verificēta elektroniskā skaitītāja nolasījums. Līdz ar to Būvniecības valsts kontroles birojs pārbaudes laikā varēs salīdzināt iesniegtos skaitītāja nolasījum</w:t>
            </w:r>
            <w:r w:rsidR="00D41E45" w:rsidRPr="00A16A3F">
              <w:t xml:space="preserve">us </w:t>
            </w:r>
            <w:r w:rsidR="00547C30" w:rsidRPr="00A16A3F">
              <w:t>ar faktiskajiem skaitītāja rādījumiem uz vietas licences laukumā.</w:t>
            </w:r>
          </w:p>
          <w:p w14:paraId="374E7847" w14:textId="687DDF66" w:rsidR="00061010" w:rsidRPr="00484E39" w:rsidRDefault="00A563D2" w:rsidP="00484E39">
            <w:pPr>
              <w:ind w:firstLine="422"/>
              <w:jc w:val="both"/>
            </w:pPr>
            <w:r w:rsidRPr="00A563D2">
              <w:t>Būvniecības valsts kontroles birojs</w:t>
            </w:r>
            <w:r w:rsidR="002F2768">
              <w:t xml:space="preserve"> šo n</w:t>
            </w:r>
            <w:r w:rsidR="002F2768" w:rsidRPr="002F2768">
              <w:t xml:space="preserve">oteikumu </w:t>
            </w:r>
            <w:r w:rsidR="002F2768">
              <w:t>ietvaros</w:t>
            </w:r>
            <w:r w:rsidR="005A1A9C">
              <w:t xml:space="preserve">  veic šādas funkcijas - </w:t>
            </w:r>
            <w:r w:rsidR="005A1A9C" w:rsidRPr="00A563D2">
              <w:t>izsniedz licences ogļūdeņražu meklēšanai, ogļūdeņražu ieguvei un izpētei</w:t>
            </w:r>
            <w:r w:rsidR="005A1A9C">
              <w:t xml:space="preserve">, </w:t>
            </w:r>
            <w:r w:rsidR="005A1A9C" w:rsidRPr="00A563D2">
              <w:t>uzrauga to nosacījumu izpildi</w:t>
            </w:r>
            <w:r w:rsidR="005A1A9C">
              <w:t xml:space="preserve"> un </w:t>
            </w:r>
            <w:r w:rsidR="005A1A9C" w:rsidRPr="00A563D2">
              <w:t>veic ogļūdeņražu meklēšanas un ogļūdeņražu izpētes un ieguves darbu pārraudzību</w:t>
            </w:r>
            <w:r w:rsidR="002E10E5">
              <w:t xml:space="preserve"> un kontroli</w:t>
            </w:r>
            <w:r w:rsidR="005A1A9C" w:rsidRPr="004225C2">
              <w:t>.</w:t>
            </w:r>
            <w:r w:rsidR="0038273D" w:rsidRPr="004225C2">
              <w:t xml:space="preserve"> </w:t>
            </w:r>
            <w:r w:rsidR="00484E39" w:rsidRPr="00A16A3F">
              <w:rPr>
                <w:rFonts w:ascii="Arial" w:hAnsi="Arial" w:cs="Arial"/>
                <w:sz w:val="20"/>
                <w:szCs w:val="20"/>
              </w:rPr>
              <w:t xml:space="preserve"> </w:t>
            </w:r>
            <w:r w:rsidR="00484E39" w:rsidRPr="00A16A3F">
              <w:t xml:space="preserve">Būvniecības valsts kontroles birojs šo noteikumu izpratnē pilda arī kompetentās iestādes funkcijas, </w:t>
            </w:r>
            <w:r w:rsidR="00061010" w:rsidRPr="00A16A3F">
              <w:t>kas nodrošina darbības saistībā ar vides drošību un aizsardzību jūrā</w:t>
            </w:r>
            <w:r w:rsidR="00484E39" w:rsidRPr="00A16A3F">
              <w:t>.</w:t>
            </w:r>
          </w:p>
        </w:tc>
      </w:tr>
      <w:tr w:rsidR="003105DB" w:rsidRPr="000D28F3" w14:paraId="00D782C5" w14:textId="77777777" w:rsidTr="00C63F74">
        <w:trPr>
          <w:trHeight w:val="706"/>
        </w:trPr>
        <w:tc>
          <w:tcPr>
            <w:tcW w:w="521" w:type="dxa"/>
          </w:tcPr>
          <w:p w14:paraId="505BF173" w14:textId="77777777" w:rsidR="003105DB" w:rsidRPr="000D28F3" w:rsidRDefault="003105DB" w:rsidP="00642F02">
            <w:pPr>
              <w:jc w:val="center"/>
            </w:pPr>
            <w:r w:rsidRPr="000D28F3">
              <w:lastRenderedPageBreak/>
              <w:t>3.</w:t>
            </w:r>
          </w:p>
        </w:tc>
        <w:tc>
          <w:tcPr>
            <w:tcW w:w="2436" w:type="dxa"/>
          </w:tcPr>
          <w:p w14:paraId="724A9D4B" w14:textId="77777777" w:rsidR="003105DB" w:rsidRPr="000D28F3" w:rsidRDefault="003105DB" w:rsidP="00642F02">
            <w:r w:rsidRPr="000D28F3">
              <w:t>Projekta izstrādē iesaistītās institūcijas</w:t>
            </w:r>
          </w:p>
        </w:tc>
        <w:tc>
          <w:tcPr>
            <w:tcW w:w="6521" w:type="dxa"/>
          </w:tcPr>
          <w:p w14:paraId="33814241" w14:textId="3F2A97BF" w:rsidR="003105DB" w:rsidRPr="003105DB" w:rsidRDefault="007334B4" w:rsidP="00642F02">
            <w:pPr>
              <w:jc w:val="both"/>
              <w:rPr>
                <w:color w:val="FF0000"/>
              </w:rPr>
            </w:pPr>
            <w:r w:rsidRPr="00FD7280">
              <w:t>Ekonomikas ministrija</w:t>
            </w:r>
            <w:r>
              <w:t>, Būvniecības valsts kontroles birojs</w:t>
            </w:r>
          </w:p>
        </w:tc>
      </w:tr>
      <w:tr w:rsidR="003105DB" w:rsidRPr="000D28F3" w14:paraId="42EAA24B" w14:textId="77777777" w:rsidTr="00C63F74">
        <w:trPr>
          <w:trHeight w:val="384"/>
        </w:trPr>
        <w:tc>
          <w:tcPr>
            <w:tcW w:w="521" w:type="dxa"/>
          </w:tcPr>
          <w:p w14:paraId="66C07A29" w14:textId="77777777" w:rsidR="003105DB" w:rsidRPr="000D28F3" w:rsidRDefault="003105DB" w:rsidP="00642F02">
            <w:pPr>
              <w:jc w:val="center"/>
            </w:pPr>
            <w:r w:rsidRPr="000D28F3">
              <w:t>4.</w:t>
            </w:r>
          </w:p>
        </w:tc>
        <w:tc>
          <w:tcPr>
            <w:tcW w:w="2436" w:type="dxa"/>
          </w:tcPr>
          <w:p w14:paraId="011B5263" w14:textId="77777777" w:rsidR="003105DB" w:rsidRPr="00A65D52" w:rsidRDefault="003105DB" w:rsidP="00642F02">
            <w:r w:rsidRPr="00A65D52">
              <w:t>Cita informācija</w:t>
            </w:r>
          </w:p>
        </w:tc>
        <w:tc>
          <w:tcPr>
            <w:tcW w:w="6521" w:type="dxa"/>
          </w:tcPr>
          <w:p w14:paraId="10345697" w14:textId="77777777" w:rsidR="003105DB" w:rsidRPr="00A65D52" w:rsidRDefault="003105DB" w:rsidP="00642F02">
            <w:pPr>
              <w:pStyle w:val="naiskr"/>
              <w:jc w:val="both"/>
            </w:pPr>
            <w:r w:rsidRPr="00A65D52">
              <w:t>Nav</w:t>
            </w:r>
          </w:p>
        </w:tc>
      </w:tr>
    </w:tbl>
    <w:p w14:paraId="3E60E882" w14:textId="77777777" w:rsidR="003105DB" w:rsidRPr="000D28F3" w:rsidRDefault="003105DB" w:rsidP="003105DB">
      <w:pPr>
        <w:rPr>
          <w:color w:val="FF0000"/>
        </w:rPr>
      </w:pPr>
    </w:p>
    <w:tbl>
      <w:tblPr>
        <w:tblW w:w="9498" w:type="dxa"/>
        <w:tblInd w:w="-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30"/>
        <w:gridCol w:w="13"/>
        <w:gridCol w:w="2434"/>
        <w:gridCol w:w="6521"/>
      </w:tblGrid>
      <w:tr w:rsidR="003105DB" w:rsidRPr="000D28F3" w14:paraId="5CDC289A" w14:textId="77777777" w:rsidTr="00A65D52">
        <w:trPr>
          <w:trHeight w:val="722"/>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14:paraId="26C48983" w14:textId="77777777" w:rsidR="003105DB" w:rsidRPr="000D28F3" w:rsidRDefault="003105DB" w:rsidP="00642F02">
            <w:pPr>
              <w:jc w:val="center"/>
              <w:rPr>
                <w:b/>
              </w:rPr>
            </w:pPr>
            <w:r w:rsidRPr="000D28F3">
              <w:rPr>
                <w:b/>
              </w:rPr>
              <w:t>II. Tiesību akta projekta ietekme uz sabiedrību tautsaimniecības attīstību un administratīvo slogu</w:t>
            </w:r>
          </w:p>
        </w:tc>
      </w:tr>
      <w:tr w:rsidR="003105DB" w:rsidRPr="000D28F3" w14:paraId="5E514697" w14:textId="77777777" w:rsidTr="00A65D52">
        <w:trPr>
          <w:trHeight w:val="467"/>
        </w:trPr>
        <w:tc>
          <w:tcPr>
            <w:tcW w:w="543" w:type="dxa"/>
            <w:gridSpan w:val="2"/>
            <w:tcBorders>
              <w:top w:val="single" w:sz="4" w:space="0" w:color="auto"/>
              <w:left w:val="single" w:sz="4" w:space="0" w:color="auto"/>
              <w:bottom w:val="single" w:sz="4" w:space="0" w:color="auto"/>
              <w:right w:val="single" w:sz="4" w:space="0" w:color="auto"/>
            </w:tcBorders>
            <w:hideMark/>
          </w:tcPr>
          <w:p w14:paraId="050E76C3" w14:textId="77777777" w:rsidR="003105DB" w:rsidRPr="000D28F3" w:rsidRDefault="003105DB" w:rsidP="00642F02">
            <w:r w:rsidRPr="000D28F3">
              <w:t> 1.</w:t>
            </w:r>
          </w:p>
        </w:tc>
        <w:tc>
          <w:tcPr>
            <w:tcW w:w="2434" w:type="dxa"/>
            <w:tcBorders>
              <w:top w:val="single" w:sz="4" w:space="0" w:color="auto"/>
              <w:left w:val="single" w:sz="4" w:space="0" w:color="auto"/>
              <w:bottom w:val="single" w:sz="4" w:space="0" w:color="auto"/>
              <w:right w:val="single" w:sz="4" w:space="0" w:color="auto"/>
            </w:tcBorders>
            <w:hideMark/>
          </w:tcPr>
          <w:p w14:paraId="16EED003" w14:textId="77777777" w:rsidR="003105DB" w:rsidRPr="000D28F3" w:rsidRDefault="003105DB" w:rsidP="00642F02">
            <w:r w:rsidRPr="000D28F3">
              <w:t>Sabiedrības mērķgrupas, kuras tiesiskais regulējums  ietekmē vai varētu ietekmēt</w:t>
            </w:r>
          </w:p>
        </w:tc>
        <w:tc>
          <w:tcPr>
            <w:tcW w:w="6521" w:type="dxa"/>
            <w:tcBorders>
              <w:top w:val="single" w:sz="4" w:space="0" w:color="auto"/>
              <w:left w:val="single" w:sz="4" w:space="0" w:color="auto"/>
              <w:bottom w:val="single" w:sz="4" w:space="0" w:color="auto"/>
              <w:right w:val="single" w:sz="4" w:space="0" w:color="auto"/>
            </w:tcBorders>
            <w:hideMark/>
          </w:tcPr>
          <w:p w14:paraId="302CF327" w14:textId="715C3208" w:rsidR="00BD7E44" w:rsidRDefault="00BD7E44" w:rsidP="00BD7E44">
            <w:pPr>
              <w:ind w:firstLine="281"/>
              <w:jc w:val="both"/>
              <w:rPr>
                <w:iCs/>
              </w:rPr>
            </w:pPr>
            <w:r w:rsidRPr="00161E2D">
              <w:t>Regulējums tiešā veidā attiecas</w:t>
            </w:r>
            <w:r w:rsidRPr="00A65D52">
              <w:rPr>
                <w:iCs/>
              </w:rPr>
              <w:t xml:space="preserve"> </w:t>
            </w:r>
            <w:r w:rsidR="00936B9F">
              <w:rPr>
                <w:iCs/>
              </w:rPr>
              <w:t xml:space="preserve">uz </w:t>
            </w:r>
            <w:r>
              <w:rPr>
                <w:iCs/>
              </w:rPr>
              <w:t>k</w:t>
            </w:r>
            <w:r w:rsidR="00A65D52" w:rsidRPr="00A65D52">
              <w:rPr>
                <w:iCs/>
              </w:rPr>
              <w:t>omersanti</w:t>
            </w:r>
            <w:r>
              <w:rPr>
                <w:iCs/>
              </w:rPr>
              <w:t>em</w:t>
            </w:r>
            <w:r w:rsidR="00A65D52" w:rsidRPr="00A65D52">
              <w:rPr>
                <w:iCs/>
              </w:rPr>
              <w:t xml:space="preserve">, kas vēlas saņemt licenci ogļūdeņražu meklēšanai vai izpētei un ieguvei, </w:t>
            </w:r>
            <w:r>
              <w:rPr>
                <w:iCs/>
              </w:rPr>
              <w:t xml:space="preserve">uz jau </w:t>
            </w:r>
            <w:r w:rsidR="00A65D52">
              <w:rPr>
                <w:iCs/>
              </w:rPr>
              <w:t>esoš</w:t>
            </w:r>
            <w:r>
              <w:rPr>
                <w:iCs/>
              </w:rPr>
              <w:t>ajiem</w:t>
            </w:r>
            <w:r w:rsidR="00A65D52">
              <w:rPr>
                <w:iCs/>
              </w:rPr>
              <w:t xml:space="preserve"> </w:t>
            </w:r>
            <w:r w:rsidR="00A65D52" w:rsidRPr="00A65D52">
              <w:rPr>
                <w:iCs/>
              </w:rPr>
              <w:t>ogļūdeņražu meklēšanas vai izpētes un ieguves licenciāti</w:t>
            </w:r>
            <w:r>
              <w:rPr>
                <w:iCs/>
              </w:rPr>
              <w:t>em</w:t>
            </w:r>
            <w:r w:rsidR="00A65D52" w:rsidRPr="00A65D52">
              <w:rPr>
                <w:iCs/>
              </w:rPr>
              <w:t>, kā arī nekustamā īpašuma īpašnieki</w:t>
            </w:r>
            <w:r>
              <w:rPr>
                <w:iCs/>
              </w:rPr>
              <w:t>em</w:t>
            </w:r>
            <w:r w:rsidR="00A65D52" w:rsidRPr="00A65D52">
              <w:rPr>
                <w:iCs/>
              </w:rPr>
              <w:t>, kuri vēlas iniciēt ogļūdeņražu meklēšanu vai izpēti un ieguvi savā nekustamajā īpašumā.</w:t>
            </w:r>
          </w:p>
          <w:p w14:paraId="6705A329" w14:textId="23D7FDB6" w:rsidR="00BD7E44" w:rsidRPr="000D28F3" w:rsidRDefault="00BD7E44" w:rsidP="00BD7E44">
            <w:pPr>
              <w:ind w:firstLine="361"/>
              <w:contextualSpacing/>
              <w:jc w:val="both"/>
              <w:rPr>
                <w:iCs/>
              </w:rPr>
            </w:pPr>
          </w:p>
        </w:tc>
      </w:tr>
      <w:tr w:rsidR="003105DB" w:rsidRPr="000D28F3" w14:paraId="123665C9" w14:textId="77777777" w:rsidTr="00A65D52">
        <w:trPr>
          <w:trHeight w:val="523"/>
        </w:trPr>
        <w:tc>
          <w:tcPr>
            <w:tcW w:w="543" w:type="dxa"/>
            <w:gridSpan w:val="2"/>
            <w:tcBorders>
              <w:top w:val="single" w:sz="4" w:space="0" w:color="auto"/>
              <w:left w:val="single" w:sz="4" w:space="0" w:color="auto"/>
              <w:bottom w:val="single" w:sz="4" w:space="0" w:color="auto"/>
              <w:right w:val="single" w:sz="4" w:space="0" w:color="auto"/>
            </w:tcBorders>
            <w:hideMark/>
          </w:tcPr>
          <w:p w14:paraId="6F0E01DE" w14:textId="77777777" w:rsidR="003105DB" w:rsidRPr="000D28F3" w:rsidRDefault="003105DB" w:rsidP="00642F02">
            <w:r w:rsidRPr="000D28F3">
              <w:lastRenderedPageBreak/>
              <w:t> 2.</w:t>
            </w:r>
          </w:p>
        </w:tc>
        <w:tc>
          <w:tcPr>
            <w:tcW w:w="2434" w:type="dxa"/>
            <w:tcBorders>
              <w:top w:val="single" w:sz="4" w:space="0" w:color="auto"/>
              <w:left w:val="single" w:sz="4" w:space="0" w:color="auto"/>
              <w:bottom w:val="single" w:sz="4" w:space="0" w:color="auto"/>
              <w:right w:val="single" w:sz="4" w:space="0" w:color="auto"/>
            </w:tcBorders>
            <w:hideMark/>
          </w:tcPr>
          <w:p w14:paraId="076A9AE3" w14:textId="77777777" w:rsidR="003105DB" w:rsidRPr="000D28F3" w:rsidRDefault="003105DB" w:rsidP="00642F02">
            <w:r w:rsidRPr="000D28F3">
              <w:t>Tiesiskā regulējuma ietekme uz tautsaimniecību un administratīvo slogu</w:t>
            </w:r>
          </w:p>
        </w:tc>
        <w:tc>
          <w:tcPr>
            <w:tcW w:w="6521" w:type="dxa"/>
            <w:tcBorders>
              <w:top w:val="single" w:sz="4" w:space="0" w:color="auto"/>
              <w:left w:val="single" w:sz="4" w:space="0" w:color="auto"/>
              <w:bottom w:val="single" w:sz="4" w:space="0" w:color="auto"/>
              <w:right w:val="single" w:sz="4" w:space="0" w:color="auto"/>
            </w:tcBorders>
          </w:tcPr>
          <w:p w14:paraId="5622DAF2" w14:textId="52F9DDAF" w:rsidR="00BB137C" w:rsidRPr="00A03974" w:rsidRDefault="00DA7D80" w:rsidP="00251723">
            <w:pPr>
              <w:pStyle w:val="CommentText"/>
              <w:ind w:firstLine="281"/>
              <w:jc w:val="both"/>
              <w:rPr>
                <w:sz w:val="24"/>
                <w:szCs w:val="24"/>
              </w:rPr>
            </w:pPr>
            <w:r>
              <w:rPr>
                <w:sz w:val="24"/>
                <w:szCs w:val="24"/>
              </w:rPr>
              <w:t>Paredzama</w:t>
            </w:r>
            <w:r w:rsidRPr="00A03974">
              <w:rPr>
                <w:sz w:val="24"/>
                <w:szCs w:val="24"/>
              </w:rPr>
              <w:t xml:space="preserve"> </w:t>
            </w:r>
            <w:r>
              <w:rPr>
                <w:sz w:val="24"/>
                <w:szCs w:val="24"/>
              </w:rPr>
              <w:t>t</w:t>
            </w:r>
            <w:r w:rsidR="00E34B6E" w:rsidRPr="00A03974">
              <w:rPr>
                <w:sz w:val="24"/>
                <w:szCs w:val="24"/>
              </w:rPr>
              <w:t>iesisk</w:t>
            </w:r>
            <w:r w:rsidR="00AC11E4">
              <w:rPr>
                <w:sz w:val="24"/>
                <w:szCs w:val="24"/>
              </w:rPr>
              <w:t>ā</w:t>
            </w:r>
            <w:r w:rsidR="00E34B6E" w:rsidRPr="00A03974">
              <w:rPr>
                <w:sz w:val="24"/>
                <w:szCs w:val="24"/>
              </w:rPr>
              <w:t xml:space="preserve"> regulējum</w:t>
            </w:r>
            <w:r w:rsidR="00AC11E4">
              <w:rPr>
                <w:sz w:val="24"/>
                <w:szCs w:val="24"/>
              </w:rPr>
              <w:t>a</w:t>
            </w:r>
            <w:r w:rsidR="00E34B6E" w:rsidRPr="00A03974">
              <w:rPr>
                <w:sz w:val="24"/>
                <w:szCs w:val="24"/>
              </w:rPr>
              <w:t xml:space="preserve"> </w:t>
            </w:r>
            <w:r>
              <w:rPr>
                <w:sz w:val="24"/>
                <w:szCs w:val="24"/>
              </w:rPr>
              <w:t xml:space="preserve">pozitīva </w:t>
            </w:r>
            <w:r w:rsidR="00E34B6E" w:rsidRPr="00A03974">
              <w:rPr>
                <w:sz w:val="24"/>
                <w:szCs w:val="24"/>
              </w:rPr>
              <w:t>ietekm</w:t>
            </w:r>
            <w:r w:rsidR="00AC11E4">
              <w:rPr>
                <w:sz w:val="24"/>
                <w:szCs w:val="24"/>
              </w:rPr>
              <w:t>e uz</w:t>
            </w:r>
            <w:r w:rsidR="00345E26" w:rsidRPr="00A03974">
              <w:rPr>
                <w:sz w:val="24"/>
                <w:szCs w:val="24"/>
              </w:rPr>
              <w:t xml:space="preserve"> komersant</w:t>
            </w:r>
            <w:r w:rsidR="00AC11E4">
              <w:rPr>
                <w:sz w:val="24"/>
                <w:szCs w:val="24"/>
              </w:rPr>
              <w:t>iem</w:t>
            </w:r>
            <w:r w:rsidR="00345E26" w:rsidRPr="00A03974">
              <w:rPr>
                <w:sz w:val="24"/>
                <w:szCs w:val="24"/>
              </w:rPr>
              <w:t>, kas veic (vai plāno veikt) ogļūdeņražu meklēšanu vai izpēti un ieguvi,</w:t>
            </w:r>
            <w:r w:rsidR="00E34B6E" w:rsidRPr="00A03974">
              <w:rPr>
                <w:sz w:val="24"/>
                <w:szCs w:val="24"/>
              </w:rPr>
              <w:t xml:space="preserve"> </w:t>
            </w:r>
            <w:r w:rsidR="00AC11E4">
              <w:rPr>
                <w:sz w:val="24"/>
                <w:szCs w:val="24"/>
              </w:rPr>
              <w:t xml:space="preserve">attiecīgi </w:t>
            </w:r>
            <w:r w:rsidR="00E34B6E" w:rsidRPr="00A03974">
              <w:rPr>
                <w:sz w:val="24"/>
                <w:szCs w:val="24"/>
              </w:rPr>
              <w:t>samazin</w:t>
            </w:r>
            <w:r w:rsidR="00AC11E4">
              <w:rPr>
                <w:sz w:val="24"/>
                <w:szCs w:val="24"/>
              </w:rPr>
              <w:t>ot</w:t>
            </w:r>
            <w:r w:rsidR="00E34B6E" w:rsidRPr="00A03974">
              <w:rPr>
                <w:sz w:val="24"/>
                <w:szCs w:val="24"/>
              </w:rPr>
              <w:t xml:space="preserve"> administratīvo slog</w:t>
            </w:r>
            <w:r w:rsidR="00345E26" w:rsidRPr="00A03974">
              <w:rPr>
                <w:sz w:val="24"/>
                <w:szCs w:val="24"/>
              </w:rPr>
              <w:t>u</w:t>
            </w:r>
            <w:r w:rsidR="00EE585C">
              <w:rPr>
                <w:sz w:val="24"/>
                <w:szCs w:val="24"/>
              </w:rPr>
              <w:t xml:space="preserve"> atsevišķos procesos, kas saistīti ar ogļūdeņražu licencēšanu</w:t>
            </w:r>
            <w:r w:rsidR="00BE4B63" w:rsidRPr="00A03974">
              <w:rPr>
                <w:sz w:val="24"/>
                <w:szCs w:val="24"/>
              </w:rPr>
              <w:t xml:space="preserve">, piemēram, ietekmes </w:t>
            </w:r>
            <w:r w:rsidR="00BE4B63" w:rsidRPr="00A03974">
              <w:rPr>
                <w:sz w:val="24"/>
                <w:szCs w:val="24"/>
                <w:shd w:val="clear" w:color="auto" w:fill="FFFFFF"/>
              </w:rPr>
              <w:t>uz vidi novērtējumu komersants varēs uzsākt pirms licences laukuma noteikšanas, attiecīgi precizējot licences laukumu jau sākumā, tiks ieekonomēts komersanta laiks</w:t>
            </w:r>
            <w:r w:rsidR="00BE4B63" w:rsidRPr="00A03974">
              <w:rPr>
                <w:sz w:val="24"/>
                <w:szCs w:val="24"/>
              </w:rPr>
              <w:t xml:space="preserve">. Ar šo regulējumu arī tiek noteikta vienkāršota kārtība, lai iegūtu licenci ogļūdeņražu meklēšanai, proti, tiek atcelts licencēšanas konkurss, kas ietaupīs valsts budžeta līdzekļus un darba stundas komisijas izveidei un tās darbībai. </w:t>
            </w:r>
            <w:r w:rsidR="008B57A3" w:rsidRPr="00A03974">
              <w:rPr>
                <w:sz w:val="24"/>
                <w:szCs w:val="24"/>
              </w:rPr>
              <w:t>Arī komersantam ogļūdeņražu meklēšanas licences iegūšanas process būs salīdzinoši vienkāršāks. Lai samazinātu administratīvo slogu komersantiem, regulējumā netiek iekļauta norma par minimālās darbu programmas nepieciešamību uz visu izpētes darbu periodu (var būt līdz pat 10 gadiem), aizstājot to ar darbu programmu par pirmajā gadā plānotajiem izpētes darbiem. Tāpat arī komersantam vairs nebūs jāiesniedz  informācija par izpētes darbu izmaksām pa atsevišķiem darbu veidiem.</w:t>
            </w:r>
            <w:r w:rsidR="00FE38AC" w:rsidRPr="00A03974">
              <w:rPr>
                <w:sz w:val="24"/>
                <w:szCs w:val="24"/>
              </w:rPr>
              <w:t xml:space="preserve"> Komersantam nebūs turpmāk </w:t>
            </w:r>
            <w:bookmarkStart w:id="2" w:name="_Hlk42204899"/>
            <w:r w:rsidR="00FE38AC" w:rsidRPr="00A03974">
              <w:rPr>
                <w:sz w:val="24"/>
                <w:szCs w:val="24"/>
              </w:rPr>
              <w:t>jāinformē Valsts vides dienests (reizi pusgadā par jūru vai reizi gadā par saus</w:t>
            </w:r>
            <w:r w:rsidR="00A03974" w:rsidRPr="00A03974">
              <w:rPr>
                <w:sz w:val="24"/>
                <w:szCs w:val="24"/>
              </w:rPr>
              <w:t>z</w:t>
            </w:r>
            <w:r w:rsidR="00FE38AC" w:rsidRPr="00A03974">
              <w:rPr>
                <w:sz w:val="24"/>
                <w:szCs w:val="24"/>
              </w:rPr>
              <w:t>emi)</w:t>
            </w:r>
            <w:r w:rsidR="00A03974" w:rsidRPr="00A03974">
              <w:rPr>
                <w:sz w:val="24"/>
                <w:szCs w:val="24"/>
              </w:rPr>
              <w:t xml:space="preserve"> </w:t>
            </w:r>
            <w:r w:rsidR="00A03974" w:rsidRPr="004225C2">
              <w:rPr>
                <w:sz w:val="24"/>
                <w:szCs w:val="24"/>
              </w:rPr>
              <w:t xml:space="preserve">par </w:t>
            </w:r>
            <w:r w:rsidR="00A03974" w:rsidRPr="00A16A3F">
              <w:rPr>
                <w:sz w:val="24"/>
                <w:szCs w:val="24"/>
              </w:rPr>
              <w:t>vides aizsardzības prasību un iekšējā plāna reaģēšanai uz ārkārtas situāciju izpildi</w:t>
            </w:r>
            <w:bookmarkEnd w:id="2"/>
            <w:r w:rsidR="00A03974" w:rsidRPr="00A16A3F">
              <w:rPr>
                <w:sz w:val="24"/>
                <w:szCs w:val="24"/>
              </w:rPr>
              <w:t xml:space="preserve">. </w:t>
            </w:r>
            <w:bookmarkStart w:id="3" w:name="_Hlk42204728"/>
            <w:r w:rsidR="005A5EA5" w:rsidRPr="00A16A3F">
              <w:rPr>
                <w:sz w:val="24"/>
                <w:szCs w:val="24"/>
              </w:rPr>
              <w:t xml:space="preserve">Noteikumu projekta 5.pielikumā tiek svītrot līdzšinējā prasība </w:t>
            </w:r>
            <w:r w:rsidR="005A5EA5" w:rsidRPr="005A5EA5">
              <w:rPr>
                <w:sz w:val="24"/>
                <w:szCs w:val="24"/>
              </w:rPr>
              <w:t>iesniegt vēsturiski ierīkotā urbuma tehniskā stāvokļa novērtēšanas programmu.</w:t>
            </w:r>
            <w:bookmarkEnd w:id="3"/>
          </w:p>
        </w:tc>
      </w:tr>
      <w:tr w:rsidR="003105DB" w:rsidRPr="000D28F3" w14:paraId="661968BF" w14:textId="77777777" w:rsidTr="00A65D52">
        <w:trPr>
          <w:trHeight w:val="517"/>
        </w:trPr>
        <w:tc>
          <w:tcPr>
            <w:tcW w:w="543" w:type="dxa"/>
            <w:gridSpan w:val="2"/>
            <w:tcBorders>
              <w:top w:val="single" w:sz="4" w:space="0" w:color="auto"/>
              <w:left w:val="single" w:sz="4" w:space="0" w:color="auto"/>
              <w:bottom w:val="single" w:sz="4" w:space="0" w:color="auto"/>
              <w:right w:val="single" w:sz="4" w:space="0" w:color="auto"/>
            </w:tcBorders>
            <w:hideMark/>
          </w:tcPr>
          <w:p w14:paraId="4BEB8AC3" w14:textId="77777777" w:rsidR="003105DB" w:rsidRPr="000D28F3" w:rsidRDefault="003105DB" w:rsidP="00642F02">
            <w:r w:rsidRPr="000D28F3">
              <w:t> 3.</w:t>
            </w:r>
          </w:p>
        </w:tc>
        <w:tc>
          <w:tcPr>
            <w:tcW w:w="2434" w:type="dxa"/>
            <w:tcBorders>
              <w:top w:val="single" w:sz="4" w:space="0" w:color="auto"/>
              <w:left w:val="single" w:sz="4" w:space="0" w:color="auto"/>
              <w:bottom w:val="single" w:sz="4" w:space="0" w:color="auto"/>
              <w:right w:val="single" w:sz="4" w:space="0" w:color="auto"/>
            </w:tcBorders>
            <w:hideMark/>
          </w:tcPr>
          <w:p w14:paraId="26374444" w14:textId="77777777" w:rsidR="003105DB" w:rsidRPr="001A5420" w:rsidRDefault="003105DB" w:rsidP="00642F02">
            <w:r w:rsidRPr="001A5420">
              <w:t>Administratīvo izmaksu monetārs novērtējums</w:t>
            </w:r>
          </w:p>
        </w:tc>
        <w:tc>
          <w:tcPr>
            <w:tcW w:w="6521" w:type="dxa"/>
            <w:tcBorders>
              <w:top w:val="single" w:sz="4" w:space="0" w:color="auto"/>
              <w:left w:val="single" w:sz="4" w:space="0" w:color="auto"/>
              <w:bottom w:val="single" w:sz="4" w:space="0" w:color="auto"/>
              <w:right w:val="single" w:sz="4" w:space="0" w:color="auto"/>
            </w:tcBorders>
            <w:hideMark/>
          </w:tcPr>
          <w:p w14:paraId="3142ADFC" w14:textId="77777777" w:rsidR="003105DB" w:rsidRPr="001A5420" w:rsidRDefault="003105DB" w:rsidP="00642F02">
            <w:pPr>
              <w:jc w:val="both"/>
            </w:pPr>
            <w:r w:rsidRPr="001A5420">
              <w:rPr>
                <w:iCs/>
              </w:rPr>
              <w:t>Projekts šo jomu neskar</w:t>
            </w:r>
          </w:p>
        </w:tc>
      </w:tr>
      <w:tr w:rsidR="003105DB" w:rsidRPr="000D28F3" w14:paraId="25BC1B94" w14:textId="77777777" w:rsidTr="00A65D52">
        <w:tc>
          <w:tcPr>
            <w:tcW w:w="543" w:type="dxa"/>
            <w:gridSpan w:val="2"/>
            <w:tcBorders>
              <w:top w:val="single" w:sz="4" w:space="0" w:color="auto"/>
              <w:left w:val="single" w:sz="4" w:space="0" w:color="auto"/>
              <w:bottom w:val="single" w:sz="4" w:space="0" w:color="auto"/>
              <w:right w:val="single" w:sz="4" w:space="0" w:color="auto"/>
            </w:tcBorders>
            <w:hideMark/>
          </w:tcPr>
          <w:p w14:paraId="77D45D2C" w14:textId="77777777" w:rsidR="003105DB" w:rsidRPr="000D28F3" w:rsidRDefault="003105DB" w:rsidP="00642F02">
            <w:r w:rsidRPr="000D28F3">
              <w:t> 4.</w:t>
            </w:r>
          </w:p>
        </w:tc>
        <w:tc>
          <w:tcPr>
            <w:tcW w:w="2434" w:type="dxa"/>
            <w:tcBorders>
              <w:top w:val="single" w:sz="4" w:space="0" w:color="auto"/>
              <w:left w:val="single" w:sz="4" w:space="0" w:color="auto"/>
              <w:bottom w:val="single" w:sz="4" w:space="0" w:color="auto"/>
              <w:right w:val="single" w:sz="4" w:space="0" w:color="auto"/>
            </w:tcBorders>
            <w:hideMark/>
          </w:tcPr>
          <w:p w14:paraId="29074F81" w14:textId="77777777" w:rsidR="003105DB" w:rsidRPr="001A5420" w:rsidRDefault="003105DB" w:rsidP="00642F02">
            <w:r w:rsidRPr="001A5420">
              <w:t> Cita informācija</w:t>
            </w:r>
          </w:p>
        </w:tc>
        <w:tc>
          <w:tcPr>
            <w:tcW w:w="6521" w:type="dxa"/>
            <w:tcBorders>
              <w:top w:val="single" w:sz="4" w:space="0" w:color="auto"/>
              <w:left w:val="single" w:sz="4" w:space="0" w:color="auto"/>
              <w:bottom w:val="single" w:sz="4" w:space="0" w:color="auto"/>
              <w:right w:val="single" w:sz="4" w:space="0" w:color="auto"/>
            </w:tcBorders>
            <w:hideMark/>
          </w:tcPr>
          <w:p w14:paraId="1881DEB5" w14:textId="77777777" w:rsidR="003105DB" w:rsidRPr="001A5420" w:rsidRDefault="003105DB" w:rsidP="00642F02">
            <w:pPr>
              <w:jc w:val="both"/>
            </w:pPr>
            <w:r w:rsidRPr="001A5420">
              <w:t xml:space="preserve"> Nav</w:t>
            </w:r>
          </w:p>
          <w:p w14:paraId="49498D3C" w14:textId="77777777" w:rsidR="003105DB" w:rsidRPr="001A5420" w:rsidRDefault="003105DB" w:rsidP="00642F02">
            <w:pPr>
              <w:jc w:val="both"/>
            </w:pPr>
          </w:p>
        </w:tc>
      </w:tr>
      <w:tr w:rsidR="003105DB" w:rsidRPr="000D28F3" w14:paraId="2F88D6B3" w14:textId="77777777" w:rsidTr="00A65D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88"/>
          <w:jc w:val="center"/>
        </w:trPr>
        <w:tc>
          <w:tcPr>
            <w:tcW w:w="9498" w:type="dxa"/>
            <w:gridSpan w:val="4"/>
            <w:tcBorders>
              <w:left w:val="nil"/>
              <w:right w:val="nil"/>
            </w:tcBorders>
            <w:vAlign w:val="center"/>
          </w:tcPr>
          <w:p w14:paraId="3C7ABC01" w14:textId="77777777" w:rsidR="003105DB" w:rsidRPr="000D28F3" w:rsidRDefault="003105DB" w:rsidP="00642F02">
            <w:pPr>
              <w:rPr>
                <w:b/>
                <w:bCs/>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443"/>
            </w:tblGrid>
            <w:tr w:rsidR="003105DB" w:rsidRPr="000D28F3" w14:paraId="3BB7A463" w14:textId="77777777" w:rsidTr="00FF1054">
              <w:trPr>
                <w:trHeight w:val="288"/>
                <w:jc w:val="center"/>
              </w:trPr>
              <w:tc>
                <w:tcPr>
                  <w:tcW w:w="9443" w:type="dxa"/>
                  <w:vAlign w:val="center"/>
                  <w:hideMark/>
                </w:tcPr>
                <w:p w14:paraId="4B8B57E4" w14:textId="77777777" w:rsidR="003105DB" w:rsidRPr="000D28F3" w:rsidRDefault="003105DB" w:rsidP="00642F02">
                  <w:pPr>
                    <w:jc w:val="center"/>
                    <w:rPr>
                      <w:b/>
                      <w:bCs/>
                    </w:rPr>
                  </w:pPr>
                  <w:r w:rsidRPr="000D28F3">
                    <w:rPr>
                      <w:b/>
                      <w:bCs/>
                    </w:rPr>
                    <w:t>III. Tiesību akta projekta ietekme uz valsts budžetu un pašvaldību budžetiem</w:t>
                  </w:r>
                </w:p>
              </w:tc>
            </w:tr>
            <w:tr w:rsidR="003105DB" w:rsidRPr="000D28F3" w14:paraId="64CB383F" w14:textId="77777777" w:rsidTr="00FF1054">
              <w:trPr>
                <w:trHeight w:val="288"/>
                <w:jc w:val="center"/>
              </w:trPr>
              <w:tc>
                <w:tcPr>
                  <w:tcW w:w="9443" w:type="dxa"/>
                  <w:vAlign w:val="center"/>
                </w:tcPr>
                <w:p w14:paraId="0F2A4CA6" w14:textId="146BE2AE" w:rsidR="003105DB" w:rsidRPr="000D28F3" w:rsidRDefault="00E23DE5" w:rsidP="00E23DE5">
                  <w:pPr>
                    <w:ind w:firstLine="210"/>
                    <w:jc w:val="both"/>
                    <w:rPr>
                      <w:bCs/>
                    </w:rPr>
                  </w:pPr>
                  <w:r>
                    <w:rPr>
                      <w:rFonts w:ascii="Arial" w:hAnsi="Arial" w:cs="Arial"/>
                      <w:color w:val="414142"/>
                      <w:sz w:val="20"/>
                      <w:szCs w:val="20"/>
                    </w:rPr>
                    <w:t>[tiks papildināts]</w:t>
                  </w:r>
                </w:p>
              </w:tc>
            </w:tr>
          </w:tbl>
          <w:p w14:paraId="6339AEB6" w14:textId="77777777" w:rsidR="003105DB" w:rsidRPr="000D28F3" w:rsidRDefault="003105DB" w:rsidP="00642F02">
            <w:pPr>
              <w:rPr>
                <w:b/>
                <w:bCs/>
              </w:rPr>
            </w:pPr>
          </w:p>
          <w:tbl>
            <w:tblPr>
              <w:tblW w:w="947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6"/>
              <w:gridCol w:w="2423"/>
              <w:gridCol w:w="6521"/>
            </w:tblGrid>
            <w:tr w:rsidR="003105DB" w:rsidRPr="000D28F3" w14:paraId="4200D16B" w14:textId="77777777" w:rsidTr="00FF1054">
              <w:trPr>
                <w:trHeight w:val="65"/>
              </w:trPr>
              <w:tc>
                <w:tcPr>
                  <w:tcW w:w="9470" w:type="dxa"/>
                  <w:gridSpan w:val="3"/>
                </w:tcPr>
                <w:p w14:paraId="36F0768D" w14:textId="77777777" w:rsidR="003105DB" w:rsidRPr="000D28F3" w:rsidRDefault="003105DB" w:rsidP="00642F02">
                  <w:pPr>
                    <w:jc w:val="center"/>
                    <w:rPr>
                      <w:sz w:val="26"/>
                      <w:szCs w:val="26"/>
                    </w:rPr>
                  </w:pPr>
                  <w:r w:rsidRPr="000D28F3">
                    <w:rPr>
                      <w:b/>
                      <w:sz w:val="26"/>
                      <w:szCs w:val="26"/>
                    </w:rPr>
                    <w:t>IV. Tiesību akta projekta ietekme uz spēkā esošo tiesību normu sistēmu</w:t>
                  </w:r>
                </w:p>
              </w:tc>
            </w:tr>
            <w:tr w:rsidR="003105DB" w:rsidRPr="000D28F3" w14:paraId="6045251F" w14:textId="77777777" w:rsidTr="00FF1054">
              <w:trPr>
                <w:trHeight w:val="429"/>
              </w:trPr>
              <w:tc>
                <w:tcPr>
                  <w:tcW w:w="526" w:type="dxa"/>
                </w:tcPr>
                <w:p w14:paraId="346ED9AD" w14:textId="77777777" w:rsidR="003105DB" w:rsidRPr="000D28F3" w:rsidRDefault="003105DB" w:rsidP="00642F02">
                  <w:pPr>
                    <w:rPr>
                      <w:sz w:val="26"/>
                      <w:szCs w:val="26"/>
                    </w:rPr>
                  </w:pPr>
                  <w:r w:rsidRPr="000D28F3">
                    <w:rPr>
                      <w:sz w:val="26"/>
                      <w:szCs w:val="26"/>
                    </w:rPr>
                    <w:t> 1.</w:t>
                  </w:r>
                </w:p>
              </w:tc>
              <w:tc>
                <w:tcPr>
                  <w:tcW w:w="2423" w:type="dxa"/>
                </w:tcPr>
                <w:p w14:paraId="1BA19997" w14:textId="77777777" w:rsidR="003105DB" w:rsidRPr="000D28F3" w:rsidRDefault="003105DB" w:rsidP="00642F02">
                  <w:r w:rsidRPr="000D28F3">
                    <w:t>Saistītie tiesību aktu projekti</w:t>
                  </w:r>
                </w:p>
              </w:tc>
              <w:tc>
                <w:tcPr>
                  <w:tcW w:w="6521" w:type="dxa"/>
                </w:tcPr>
                <w:p w14:paraId="218E043C" w14:textId="279F8665" w:rsidR="003105DB" w:rsidRPr="008C6CAF" w:rsidRDefault="008C6CAF" w:rsidP="00642F02">
                  <w:pPr>
                    <w:pStyle w:val="naisnod"/>
                    <w:spacing w:before="0" w:after="0"/>
                    <w:jc w:val="both"/>
                    <w:rPr>
                      <w:b w:val="0"/>
                      <w:bCs w:val="0"/>
                      <w:color w:val="FF0000"/>
                    </w:rPr>
                  </w:pPr>
                  <w:r w:rsidRPr="008C6CAF">
                    <w:rPr>
                      <w:b w:val="0"/>
                      <w:bCs w:val="0"/>
                    </w:rPr>
                    <w:t>Projekts šo jomu neskar.</w:t>
                  </w:r>
                </w:p>
              </w:tc>
            </w:tr>
            <w:tr w:rsidR="003105DB" w:rsidRPr="000D28F3" w14:paraId="5945381B" w14:textId="77777777" w:rsidTr="00FF1054">
              <w:trPr>
                <w:trHeight w:val="465"/>
              </w:trPr>
              <w:tc>
                <w:tcPr>
                  <w:tcW w:w="526" w:type="dxa"/>
                </w:tcPr>
                <w:p w14:paraId="57AE005C" w14:textId="77777777" w:rsidR="003105DB" w:rsidRPr="000D28F3" w:rsidRDefault="003105DB" w:rsidP="00642F02">
                  <w:pPr>
                    <w:rPr>
                      <w:sz w:val="26"/>
                      <w:szCs w:val="26"/>
                    </w:rPr>
                  </w:pPr>
                  <w:r w:rsidRPr="000D28F3">
                    <w:rPr>
                      <w:sz w:val="26"/>
                      <w:szCs w:val="26"/>
                    </w:rPr>
                    <w:t> 2.</w:t>
                  </w:r>
                </w:p>
              </w:tc>
              <w:tc>
                <w:tcPr>
                  <w:tcW w:w="2423" w:type="dxa"/>
                </w:tcPr>
                <w:p w14:paraId="4950AB0E" w14:textId="77777777" w:rsidR="003105DB" w:rsidRPr="000D28F3" w:rsidRDefault="003105DB" w:rsidP="00642F02">
                  <w:r w:rsidRPr="000D28F3">
                    <w:t>Atbildīgā institūcija</w:t>
                  </w:r>
                </w:p>
              </w:tc>
              <w:tc>
                <w:tcPr>
                  <w:tcW w:w="6521" w:type="dxa"/>
                </w:tcPr>
                <w:p w14:paraId="36BF0590" w14:textId="5B214DF4" w:rsidR="003105DB" w:rsidRPr="003105DB" w:rsidRDefault="008C6CAF" w:rsidP="00642F02">
                  <w:pPr>
                    <w:pStyle w:val="naisnod"/>
                    <w:spacing w:before="0" w:after="0"/>
                    <w:jc w:val="both"/>
                    <w:rPr>
                      <w:b w:val="0"/>
                      <w:bCs w:val="0"/>
                      <w:color w:val="FF0000"/>
                    </w:rPr>
                  </w:pPr>
                  <w:r w:rsidRPr="008C6CAF">
                    <w:rPr>
                      <w:b w:val="0"/>
                      <w:bCs w:val="0"/>
                    </w:rPr>
                    <w:t>Projekts šo jomu neskar.</w:t>
                  </w:r>
                </w:p>
              </w:tc>
            </w:tr>
            <w:tr w:rsidR="003105DB" w:rsidRPr="000D28F3" w14:paraId="0F967A01" w14:textId="77777777" w:rsidTr="00FF1054">
              <w:trPr>
                <w:trHeight w:val="478"/>
              </w:trPr>
              <w:tc>
                <w:tcPr>
                  <w:tcW w:w="526" w:type="dxa"/>
                </w:tcPr>
                <w:p w14:paraId="4F8658FF" w14:textId="77777777" w:rsidR="003105DB" w:rsidRPr="000D28F3" w:rsidRDefault="003105DB" w:rsidP="00642F02">
                  <w:pPr>
                    <w:rPr>
                      <w:sz w:val="26"/>
                      <w:szCs w:val="26"/>
                    </w:rPr>
                  </w:pPr>
                  <w:r w:rsidRPr="000D28F3">
                    <w:rPr>
                      <w:sz w:val="26"/>
                      <w:szCs w:val="26"/>
                    </w:rPr>
                    <w:t> 3.</w:t>
                  </w:r>
                </w:p>
              </w:tc>
              <w:tc>
                <w:tcPr>
                  <w:tcW w:w="2423" w:type="dxa"/>
                </w:tcPr>
                <w:p w14:paraId="70110BC5" w14:textId="77777777" w:rsidR="003105DB" w:rsidRPr="000D28F3" w:rsidRDefault="003105DB" w:rsidP="00642F02">
                  <w:r w:rsidRPr="000D28F3">
                    <w:t>Cita informācija</w:t>
                  </w:r>
                </w:p>
              </w:tc>
              <w:tc>
                <w:tcPr>
                  <w:tcW w:w="6521" w:type="dxa"/>
                </w:tcPr>
                <w:p w14:paraId="58FD7C4D" w14:textId="780CE09C" w:rsidR="003105DB" w:rsidRPr="00587AF1" w:rsidRDefault="000E68E5" w:rsidP="00642F02">
                  <w:pPr>
                    <w:jc w:val="both"/>
                    <w:rPr>
                      <w:color w:val="4472C4" w:themeColor="accent1"/>
                    </w:rPr>
                  </w:pPr>
                  <w:r w:rsidRPr="00F003AD">
                    <w:rPr>
                      <w:bCs/>
                    </w:rPr>
                    <w:t xml:space="preserve">Noteikumu projektā ietvertās materiāltiesiskās tiesību normas attieksies tikai uz nākamiem apstākļiem, un tās nevar attiecināt uz tiesību subjektiem, kas </w:t>
                  </w:r>
                  <w:r w:rsidRPr="00F003AD">
                    <w:t>tiesiskās attiecības nodibināja, grozīja vai izbeidza pirms šo noteikumu spēkā stāšanās.</w:t>
                  </w:r>
                </w:p>
              </w:tc>
            </w:tr>
          </w:tbl>
          <w:p w14:paraId="1AD33EA6" w14:textId="77777777" w:rsidR="003105DB" w:rsidRPr="000D28F3" w:rsidRDefault="003105DB" w:rsidP="00642F02">
            <w:pPr>
              <w:rPr>
                <w:b/>
                <w:bCs/>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433"/>
            </w:tblGrid>
            <w:tr w:rsidR="003105DB" w:rsidRPr="000D28F3" w14:paraId="5472863D" w14:textId="77777777" w:rsidTr="00FF1054">
              <w:trPr>
                <w:trHeight w:val="288"/>
                <w:jc w:val="center"/>
              </w:trPr>
              <w:tc>
                <w:tcPr>
                  <w:tcW w:w="9433" w:type="dxa"/>
                  <w:vAlign w:val="center"/>
                  <w:hideMark/>
                </w:tcPr>
                <w:p w14:paraId="35172851" w14:textId="77777777" w:rsidR="003105DB" w:rsidRPr="000D28F3" w:rsidRDefault="003105DB" w:rsidP="00642F02">
                  <w:pPr>
                    <w:jc w:val="center"/>
                    <w:rPr>
                      <w:b/>
                      <w:bCs/>
                    </w:rPr>
                  </w:pPr>
                  <w:r w:rsidRPr="000D28F3">
                    <w:rPr>
                      <w:b/>
                      <w:bCs/>
                    </w:rPr>
                    <w:t>V. Tiesību akta projekta atbilstība Latvijas Republikas starptautiskajām saistībām</w:t>
                  </w:r>
                </w:p>
              </w:tc>
            </w:tr>
            <w:tr w:rsidR="003105DB" w:rsidRPr="000D28F3" w14:paraId="0B71C3D9" w14:textId="77777777" w:rsidTr="00FF1054">
              <w:trPr>
                <w:trHeight w:val="288"/>
                <w:jc w:val="center"/>
              </w:trPr>
              <w:tc>
                <w:tcPr>
                  <w:tcW w:w="9433" w:type="dxa"/>
                  <w:vAlign w:val="center"/>
                </w:tcPr>
                <w:p w14:paraId="4894B1B2" w14:textId="77777777" w:rsidR="003105DB" w:rsidRPr="000D28F3" w:rsidRDefault="003105DB" w:rsidP="00642F02">
                  <w:pPr>
                    <w:jc w:val="center"/>
                    <w:rPr>
                      <w:bCs/>
                    </w:rPr>
                  </w:pPr>
                  <w:r w:rsidRPr="00251A2A">
                    <w:rPr>
                      <w:bCs/>
                    </w:rPr>
                    <w:t>Projekts šo jomu neskar</w:t>
                  </w:r>
                </w:p>
              </w:tc>
            </w:tr>
          </w:tbl>
          <w:p w14:paraId="26730891" w14:textId="77777777" w:rsidR="003105DB" w:rsidRPr="000D28F3" w:rsidRDefault="003105DB" w:rsidP="00642F02">
            <w:pPr>
              <w:rPr>
                <w:b/>
                <w:bCs/>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450"/>
              <w:gridCol w:w="2502"/>
              <w:gridCol w:w="6521"/>
            </w:tblGrid>
            <w:tr w:rsidR="003105DB" w:rsidRPr="000D28F3" w14:paraId="2AA8AABE" w14:textId="77777777" w:rsidTr="00C63F74">
              <w:trPr>
                <w:trHeight w:val="336"/>
                <w:jc w:val="center"/>
              </w:trPr>
              <w:tc>
                <w:tcPr>
                  <w:tcW w:w="9473" w:type="dxa"/>
                  <w:gridSpan w:val="3"/>
                  <w:vAlign w:val="center"/>
                  <w:hideMark/>
                </w:tcPr>
                <w:p w14:paraId="261C6703" w14:textId="77777777" w:rsidR="003105DB" w:rsidRPr="000D28F3" w:rsidRDefault="003105DB" w:rsidP="00642F02">
                  <w:pPr>
                    <w:spacing w:before="100" w:beforeAutospacing="1" w:after="100" w:afterAutospacing="1" w:line="293" w:lineRule="atLeast"/>
                    <w:jc w:val="center"/>
                    <w:rPr>
                      <w:b/>
                      <w:bCs/>
                      <w:color w:val="000000" w:themeColor="text1"/>
                    </w:rPr>
                  </w:pPr>
                  <w:r w:rsidRPr="000D28F3">
                    <w:rPr>
                      <w:b/>
                      <w:bCs/>
                      <w:color w:val="000000" w:themeColor="text1"/>
                    </w:rPr>
                    <w:t>VI. </w:t>
                  </w:r>
                  <w:r w:rsidRPr="004D791D">
                    <w:rPr>
                      <w:b/>
                      <w:bCs/>
                      <w:color w:val="000000" w:themeColor="text1"/>
                    </w:rPr>
                    <w:t>Sabiedrības līdzdalība un komunikācijas aktivitātes</w:t>
                  </w:r>
                </w:p>
              </w:tc>
            </w:tr>
            <w:tr w:rsidR="003105DB" w:rsidRPr="000D28F3" w14:paraId="0C3F2910" w14:textId="77777777" w:rsidTr="00C63F74">
              <w:trPr>
                <w:trHeight w:val="432"/>
                <w:jc w:val="center"/>
              </w:trPr>
              <w:tc>
                <w:tcPr>
                  <w:tcW w:w="450" w:type="dxa"/>
                  <w:hideMark/>
                </w:tcPr>
                <w:p w14:paraId="23AB0DE5" w14:textId="77777777" w:rsidR="003105DB" w:rsidRPr="000D28F3" w:rsidRDefault="003105DB" w:rsidP="00642F02">
                  <w:pPr>
                    <w:rPr>
                      <w:color w:val="000000" w:themeColor="text1"/>
                    </w:rPr>
                  </w:pPr>
                  <w:r w:rsidRPr="000D28F3">
                    <w:rPr>
                      <w:color w:val="000000" w:themeColor="text1"/>
                    </w:rPr>
                    <w:t>1.</w:t>
                  </w:r>
                </w:p>
              </w:tc>
              <w:tc>
                <w:tcPr>
                  <w:tcW w:w="2502" w:type="dxa"/>
                  <w:hideMark/>
                </w:tcPr>
                <w:p w14:paraId="7440DFFB" w14:textId="77777777" w:rsidR="003105DB" w:rsidRPr="00FC3890" w:rsidRDefault="003105DB" w:rsidP="00642F02">
                  <w:r w:rsidRPr="00FC3890">
                    <w:t>Plānotās sabiedrības līdzdalības un komunikācijas aktivitātes saistībā ar projektu</w:t>
                  </w:r>
                </w:p>
              </w:tc>
              <w:tc>
                <w:tcPr>
                  <w:tcW w:w="6521" w:type="dxa"/>
                  <w:hideMark/>
                </w:tcPr>
                <w:p w14:paraId="77DD9F8F" w14:textId="6C313D03" w:rsidR="003105DB" w:rsidRPr="00FC3890" w:rsidRDefault="00FC3890" w:rsidP="00FC3890">
                  <w:pPr>
                    <w:contextualSpacing/>
                    <w:jc w:val="both"/>
                  </w:pPr>
                  <w:r w:rsidRPr="00161E2D">
                    <w:t xml:space="preserve">Sabiedrības līdzdalība Noteikumu projekta izstrādē nodrošināta saskaņā ar Ministru kabineta 2009. gada 25. augusta noteikumu Nr. 970 “Sabiedrības līdzdalības kārtība attīstības plānošanas procesā”. </w:t>
                  </w:r>
                  <w:bookmarkStart w:id="4" w:name="_GoBack"/>
                  <w:bookmarkEnd w:id="4"/>
                  <w:r w:rsidR="00880BD3" w:rsidRPr="00880BD3">
                    <w:rPr>
                      <w:rFonts w:eastAsia="Calibri"/>
                      <w:lang w:eastAsia="en-US"/>
                    </w:rPr>
                    <w:t xml:space="preserve">Paziņojums par līdzdalības iespējām </w:t>
                  </w:r>
                  <w:r w:rsidR="00880BD3">
                    <w:rPr>
                      <w:rFonts w:eastAsia="Calibri"/>
                      <w:lang w:eastAsia="en-US"/>
                    </w:rPr>
                    <w:t>N</w:t>
                  </w:r>
                  <w:r w:rsidR="00880BD3" w:rsidRPr="00880BD3">
                    <w:rPr>
                      <w:rFonts w:eastAsia="Calibri"/>
                      <w:lang w:eastAsia="en-US"/>
                    </w:rPr>
                    <w:t xml:space="preserve">oteikumu projekta izstrādes </w:t>
                  </w:r>
                  <w:r w:rsidR="00880BD3" w:rsidRPr="00880BD3">
                    <w:rPr>
                      <w:rFonts w:eastAsia="Calibri"/>
                      <w:lang w:eastAsia="en-US"/>
                    </w:rPr>
                    <w:lastRenderedPageBreak/>
                    <w:t xml:space="preserve">procesā </w:t>
                  </w:r>
                  <w:r w:rsidR="00880BD3" w:rsidRPr="00FF29EF">
                    <w:rPr>
                      <w:rFonts w:eastAsia="Calibri"/>
                      <w:lang w:eastAsia="en-US"/>
                    </w:rPr>
                    <w:t xml:space="preserve">2020. gada </w:t>
                  </w:r>
                  <w:r w:rsidR="003C0F49">
                    <w:rPr>
                      <w:rFonts w:eastAsia="Calibri"/>
                      <w:lang w:eastAsia="en-US"/>
                    </w:rPr>
                    <w:t>16. jūnijā</w:t>
                  </w:r>
                  <w:r w:rsidR="00880BD3" w:rsidRPr="00880BD3">
                    <w:rPr>
                      <w:rFonts w:eastAsia="Calibri"/>
                      <w:lang w:eastAsia="en-US"/>
                    </w:rPr>
                    <w:t xml:space="preserve"> tika ievietots Ekonomikas ministrijas tīmekļvietnē</w:t>
                  </w:r>
                  <w:r w:rsidR="0076404F" w:rsidRPr="0054213D">
                    <w:rPr>
                      <w:rFonts w:eastAsia="Calibri"/>
                      <w:lang w:eastAsia="en-US"/>
                    </w:rPr>
                    <w:t>.</w:t>
                  </w:r>
                  <w:r w:rsidR="0076404F" w:rsidRPr="0054213D">
                    <w:rPr>
                      <w:color w:val="414142"/>
                    </w:rPr>
                    <w:t xml:space="preserve"> </w:t>
                  </w:r>
                </w:p>
              </w:tc>
            </w:tr>
            <w:tr w:rsidR="003105DB" w:rsidRPr="000D28F3" w14:paraId="356F57B0" w14:textId="77777777" w:rsidTr="00C63F74">
              <w:trPr>
                <w:trHeight w:val="264"/>
                <w:jc w:val="center"/>
              </w:trPr>
              <w:tc>
                <w:tcPr>
                  <w:tcW w:w="450" w:type="dxa"/>
                  <w:hideMark/>
                </w:tcPr>
                <w:p w14:paraId="6E1704E1" w14:textId="77777777" w:rsidR="003105DB" w:rsidRPr="000D28F3" w:rsidRDefault="003105DB" w:rsidP="00642F02">
                  <w:pPr>
                    <w:rPr>
                      <w:color w:val="000000" w:themeColor="text1"/>
                    </w:rPr>
                  </w:pPr>
                  <w:r w:rsidRPr="000D28F3">
                    <w:rPr>
                      <w:color w:val="000000" w:themeColor="text1"/>
                    </w:rPr>
                    <w:lastRenderedPageBreak/>
                    <w:t>2.</w:t>
                  </w:r>
                </w:p>
              </w:tc>
              <w:tc>
                <w:tcPr>
                  <w:tcW w:w="2502" w:type="dxa"/>
                  <w:hideMark/>
                </w:tcPr>
                <w:p w14:paraId="0423232E" w14:textId="77777777" w:rsidR="003105DB" w:rsidRPr="000D28F3" w:rsidRDefault="003105DB" w:rsidP="00642F02">
                  <w:pPr>
                    <w:rPr>
                      <w:color w:val="000000" w:themeColor="text1"/>
                    </w:rPr>
                  </w:pPr>
                  <w:r w:rsidRPr="000D28F3">
                    <w:rPr>
                      <w:color w:val="000000" w:themeColor="text1"/>
                    </w:rPr>
                    <w:t>Sabiedrības līdzdalība projekta izstrādē</w:t>
                  </w:r>
                </w:p>
                <w:p w14:paraId="53093D81" w14:textId="77777777" w:rsidR="003105DB" w:rsidRPr="000D28F3" w:rsidRDefault="003105DB" w:rsidP="00642F02">
                  <w:pPr>
                    <w:rPr>
                      <w:color w:val="000000" w:themeColor="text1"/>
                    </w:rPr>
                  </w:pPr>
                </w:p>
              </w:tc>
              <w:tc>
                <w:tcPr>
                  <w:tcW w:w="6521" w:type="dxa"/>
                  <w:hideMark/>
                </w:tcPr>
                <w:p w14:paraId="2A8C4292" w14:textId="4721120D" w:rsidR="00FF29EF" w:rsidRPr="0054213D" w:rsidRDefault="00FF29EF" w:rsidP="00FF29EF">
                  <w:pPr>
                    <w:ind w:firstLine="201"/>
                    <w:contextualSpacing/>
                    <w:jc w:val="both"/>
                  </w:pPr>
                  <w:r w:rsidRPr="0054213D">
                    <w:t>Sabiedrībai tika nodrošināta iespēja iepazīties ar Noteikumu projektu Ekonomikas ministrijas tīmekļvietnē sadaļā “Sabiedrības līdzdalība” un izteikt par to viedokli:</w:t>
                  </w:r>
                </w:p>
                <w:p w14:paraId="61E29EB3" w14:textId="77777777" w:rsidR="00FF29EF" w:rsidRPr="0054213D" w:rsidRDefault="0028138D" w:rsidP="00FF29EF">
                  <w:pPr>
                    <w:jc w:val="both"/>
                    <w:rPr>
                      <w:rStyle w:val="Hyperlink"/>
                    </w:rPr>
                  </w:pPr>
                  <w:hyperlink r:id="rId14" w:history="1">
                    <w:r w:rsidR="00FF29EF" w:rsidRPr="0054213D">
                      <w:rPr>
                        <w:rStyle w:val="Hyperlink"/>
                      </w:rPr>
                      <w:t>https://em.gov.lv/lv/Ministrija/sabiedribas_lidzdaliba/diskusiju_dokumenti/</w:t>
                    </w:r>
                  </w:hyperlink>
                </w:p>
                <w:p w14:paraId="43808B5D" w14:textId="7EEF16E4" w:rsidR="00FF29EF" w:rsidRPr="0054213D" w:rsidRDefault="00FF29EF" w:rsidP="00595D07">
                  <w:pPr>
                    <w:ind w:firstLine="205"/>
                    <w:jc w:val="both"/>
                  </w:pPr>
                  <w:r w:rsidRPr="0054213D">
                    <w:t xml:space="preserve">Arī Ministru kabineta mājaslapā sadaļā “Ministru kabineta diskusiju dokumenti” tika nodrošināta iespēja iepazīties ar Noteikumu projektu:    </w:t>
                  </w:r>
                  <w:hyperlink r:id="rId15" w:history="1">
                    <w:r w:rsidRPr="0054213D">
                      <w:rPr>
                        <w:rStyle w:val="Hyperlink"/>
                      </w:rPr>
                      <w:t>https://www.mk.gov.lv/content/ministru-kabineta-diskusiju-dokumenti</w:t>
                    </w:r>
                  </w:hyperlink>
                  <w:r w:rsidRPr="0054213D">
                    <w:t xml:space="preserve"> </w:t>
                  </w:r>
                </w:p>
              </w:tc>
            </w:tr>
            <w:tr w:rsidR="00FC3890" w:rsidRPr="000D28F3" w14:paraId="1EB0127E" w14:textId="77777777" w:rsidTr="00C63F74">
              <w:trPr>
                <w:trHeight w:val="372"/>
                <w:jc w:val="center"/>
              </w:trPr>
              <w:tc>
                <w:tcPr>
                  <w:tcW w:w="450" w:type="dxa"/>
                  <w:hideMark/>
                </w:tcPr>
                <w:p w14:paraId="0B83B9CE" w14:textId="77777777" w:rsidR="00FC3890" w:rsidRPr="000D28F3" w:rsidRDefault="00FC3890" w:rsidP="00FC3890">
                  <w:pPr>
                    <w:rPr>
                      <w:color w:val="000000" w:themeColor="text1"/>
                    </w:rPr>
                  </w:pPr>
                  <w:r w:rsidRPr="000D28F3">
                    <w:rPr>
                      <w:color w:val="000000" w:themeColor="text1"/>
                    </w:rPr>
                    <w:t>3.</w:t>
                  </w:r>
                </w:p>
              </w:tc>
              <w:tc>
                <w:tcPr>
                  <w:tcW w:w="2502" w:type="dxa"/>
                  <w:hideMark/>
                </w:tcPr>
                <w:p w14:paraId="577BD685" w14:textId="77777777" w:rsidR="00FC3890" w:rsidRPr="000D28F3" w:rsidRDefault="00FC3890" w:rsidP="00FC3890">
                  <w:pPr>
                    <w:rPr>
                      <w:color w:val="000000" w:themeColor="text1"/>
                    </w:rPr>
                  </w:pPr>
                  <w:r w:rsidRPr="000D28F3">
                    <w:rPr>
                      <w:color w:val="000000" w:themeColor="text1"/>
                    </w:rPr>
                    <w:t>Sabiedrības līdzdalības rezultāti</w:t>
                  </w:r>
                </w:p>
              </w:tc>
              <w:tc>
                <w:tcPr>
                  <w:tcW w:w="6521" w:type="dxa"/>
                </w:tcPr>
                <w:p w14:paraId="44E19F7B" w14:textId="22308B88" w:rsidR="0076404F" w:rsidRPr="0054213D" w:rsidRDefault="00FF29EF" w:rsidP="00595D07">
                  <w:pPr>
                    <w:ind w:firstLine="129"/>
                    <w:contextualSpacing/>
                    <w:jc w:val="both"/>
                  </w:pPr>
                  <w:r w:rsidRPr="0054213D">
                    <w:rPr>
                      <w:color w:val="414142"/>
                    </w:rPr>
                    <w:t xml:space="preserve"> </w:t>
                  </w:r>
                  <w:r w:rsidR="00595D07">
                    <w:t>Sabiedriskās apspriešanas ietvaros</w:t>
                  </w:r>
                  <w:r w:rsidR="00595D07" w:rsidRPr="00DF6732">
                    <w:t xml:space="preserve"> </w:t>
                  </w:r>
                  <w:r w:rsidR="00595D07">
                    <w:t xml:space="preserve">tika saņemti atzinumi no </w:t>
                  </w:r>
                  <w:r w:rsidR="00595D07" w:rsidRPr="007734D6">
                    <w:t>Baltijas ogļūdeņražu izpētes un ieguves asociācija</w:t>
                  </w:r>
                  <w:r w:rsidR="00595D07">
                    <w:t>s</w:t>
                  </w:r>
                  <w:r w:rsidR="00595D07" w:rsidRPr="007734D6">
                    <w:t>, SIA</w:t>
                  </w:r>
                  <w:r w:rsidR="00595D07" w:rsidRPr="003C0F49">
                    <w:t xml:space="preserve"> </w:t>
                  </w:r>
                  <w:r w:rsidR="00595D07" w:rsidRPr="00595D07">
                    <w:t>“</w:t>
                  </w:r>
                  <w:r w:rsidR="00595D07" w:rsidRPr="003856AD">
                    <w:t>BALTIC OIL MANAGEMENT”, SIA “</w:t>
                  </w:r>
                  <w:r w:rsidR="00595D07" w:rsidRPr="007A6D00">
                    <w:rPr>
                      <w:color w:val="172B4D"/>
                    </w:rPr>
                    <w:t>Odin Energi Latvija”, UAB “Geobaltic”, SIA “Kuršu klēts”, PS “BALTIC OIL CORPURATION”.</w:t>
                  </w:r>
                  <w:r w:rsidR="00E66BB4">
                    <w:rPr>
                      <w:color w:val="172B4D"/>
                    </w:rPr>
                    <w:t xml:space="preserve"> 2020. gada 8. jūlijā Ekonomikas ministrija organizēja sanāksmi ar ogļūdeņražu nozares pārstāvjiem un </w:t>
                  </w:r>
                  <w:r w:rsidR="00E66BB4" w:rsidRPr="00DB38B0">
                    <w:t>Būvniecības valsts kontroles biroj</w:t>
                  </w:r>
                  <w:r w:rsidR="00E66BB4">
                    <w:t>u, kurā tika izrunāti</w:t>
                  </w:r>
                  <w:r w:rsidR="00080A23">
                    <w:t xml:space="preserve"> jautājumi par</w:t>
                  </w:r>
                  <w:r w:rsidR="00E66BB4">
                    <w:t xml:space="preserve"> galven</w:t>
                  </w:r>
                  <w:r w:rsidR="00080A23">
                    <w:t>ajām</w:t>
                  </w:r>
                  <w:r w:rsidR="00E66BB4">
                    <w:t xml:space="preserve"> Noteikumu projekta </w:t>
                  </w:r>
                  <w:r w:rsidR="00080A23">
                    <w:t>izmaiņām.</w:t>
                  </w:r>
                </w:p>
              </w:tc>
            </w:tr>
            <w:tr w:rsidR="00FC3890" w:rsidRPr="000D28F3" w14:paraId="2EDEDE6A" w14:textId="77777777" w:rsidTr="00C63F74">
              <w:trPr>
                <w:trHeight w:val="372"/>
                <w:jc w:val="center"/>
              </w:trPr>
              <w:tc>
                <w:tcPr>
                  <w:tcW w:w="450" w:type="dxa"/>
                  <w:hideMark/>
                </w:tcPr>
                <w:p w14:paraId="63C23953" w14:textId="77777777" w:rsidR="00FC3890" w:rsidRPr="000D28F3" w:rsidRDefault="00FC3890" w:rsidP="00FC3890">
                  <w:pPr>
                    <w:rPr>
                      <w:color w:val="000000" w:themeColor="text1"/>
                    </w:rPr>
                  </w:pPr>
                  <w:r w:rsidRPr="000D28F3">
                    <w:rPr>
                      <w:color w:val="000000" w:themeColor="text1"/>
                    </w:rPr>
                    <w:t>4.</w:t>
                  </w:r>
                </w:p>
              </w:tc>
              <w:tc>
                <w:tcPr>
                  <w:tcW w:w="2502" w:type="dxa"/>
                  <w:hideMark/>
                </w:tcPr>
                <w:p w14:paraId="2D1DFEEB" w14:textId="77777777" w:rsidR="00FC3890" w:rsidRPr="000D28F3" w:rsidRDefault="00FC3890" w:rsidP="00FC3890">
                  <w:pPr>
                    <w:rPr>
                      <w:color w:val="000000" w:themeColor="text1"/>
                    </w:rPr>
                  </w:pPr>
                  <w:r w:rsidRPr="000D28F3">
                    <w:rPr>
                      <w:color w:val="000000" w:themeColor="text1"/>
                    </w:rPr>
                    <w:t>Cita informācija</w:t>
                  </w:r>
                </w:p>
              </w:tc>
              <w:tc>
                <w:tcPr>
                  <w:tcW w:w="6521" w:type="dxa"/>
                  <w:hideMark/>
                </w:tcPr>
                <w:p w14:paraId="72C94812" w14:textId="77777777" w:rsidR="00FC3890" w:rsidRPr="003105DB" w:rsidRDefault="00FC3890" w:rsidP="00FC3890">
                  <w:pPr>
                    <w:rPr>
                      <w:color w:val="FF0000"/>
                    </w:rPr>
                  </w:pPr>
                  <w:r w:rsidRPr="00FC3890">
                    <w:t>Nav</w:t>
                  </w:r>
                </w:p>
              </w:tc>
            </w:tr>
          </w:tbl>
          <w:p w14:paraId="3707565C" w14:textId="77777777" w:rsidR="003105DB" w:rsidRPr="000D28F3" w:rsidRDefault="003105DB" w:rsidP="00642F02">
            <w:pPr>
              <w:rPr>
                <w:b/>
                <w:bCs/>
              </w:rPr>
            </w:pPr>
          </w:p>
        </w:tc>
      </w:tr>
      <w:tr w:rsidR="003105DB" w:rsidRPr="000D28F3" w14:paraId="59D08EE5" w14:textId="77777777" w:rsidTr="00A65D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5"/>
        </w:trPr>
        <w:tc>
          <w:tcPr>
            <w:tcW w:w="9498" w:type="dxa"/>
            <w:gridSpan w:val="4"/>
          </w:tcPr>
          <w:p w14:paraId="2FA14B3F" w14:textId="77777777" w:rsidR="003105DB" w:rsidRPr="000D28F3" w:rsidRDefault="003105DB" w:rsidP="00642F02">
            <w:pPr>
              <w:jc w:val="center"/>
            </w:pPr>
            <w:r w:rsidRPr="000D28F3">
              <w:rPr>
                <w:b/>
              </w:rPr>
              <w:lastRenderedPageBreak/>
              <w:t>VII. Tiesību akta projekta izpildes nodrošināšana un tās ietekme uz institūcijām</w:t>
            </w:r>
          </w:p>
        </w:tc>
      </w:tr>
      <w:tr w:rsidR="003105DB" w:rsidRPr="000D28F3" w14:paraId="2898A216" w14:textId="77777777" w:rsidTr="00A65D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27"/>
        </w:trPr>
        <w:tc>
          <w:tcPr>
            <w:tcW w:w="530" w:type="dxa"/>
          </w:tcPr>
          <w:p w14:paraId="3106CD52" w14:textId="77777777" w:rsidR="003105DB" w:rsidRPr="000D28F3" w:rsidRDefault="003105DB" w:rsidP="00642F02">
            <w:r w:rsidRPr="000D28F3">
              <w:t> 1.</w:t>
            </w:r>
          </w:p>
        </w:tc>
        <w:tc>
          <w:tcPr>
            <w:tcW w:w="2447" w:type="dxa"/>
            <w:gridSpan w:val="2"/>
          </w:tcPr>
          <w:p w14:paraId="6CFF8C5E" w14:textId="77777777" w:rsidR="003105DB" w:rsidRPr="000D28F3" w:rsidRDefault="003105DB" w:rsidP="00642F02">
            <w:r w:rsidRPr="000D28F3">
              <w:t>Projekta izpildē iesaistītās institūcijas</w:t>
            </w:r>
          </w:p>
        </w:tc>
        <w:tc>
          <w:tcPr>
            <w:tcW w:w="6521" w:type="dxa"/>
          </w:tcPr>
          <w:p w14:paraId="22B8DA3A" w14:textId="1E93927E" w:rsidR="003105DB" w:rsidRPr="00DB38B0" w:rsidRDefault="002E1F77" w:rsidP="00642F02">
            <w:pPr>
              <w:pStyle w:val="naisnod"/>
              <w:spacing w:before="0" w:after="0"/>
              <w:jc w:val="both"/>
              <w:rPr>
                <w:b w:val="0"/>
              </w:rPr>
            </w:pPr>
            <w:r w:rsidRPr="00DB38B0">
              <w:rPr>
                <w:b w:val="0"/>
              </w:rPr>
              <w:t xml:space="preserve">Ekonomikas ministrija, </w:t>
            </w:r>
            <w:r w:rsidR="00DB38B0" w:rsidRPr="00DB38B0">
              <w:rPr>
                <w:b w:val="0"/>
              </w:rPr>
              <w:t>Būvniecības valsts kontroles birojs</w:t>
            </w:r>
          </w:p>
        </w:tc>
      </w:tr>
      <w:tr w:rsidR="003105DB" w:rsidRPr="000D28F3" w14:paraId="5DBB30D2" w14:textId="77777777" w:rsidTr="00A65D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63"/>
        </w:trPr>
        <w:tc>
          <w:tcPr>
            <w:tcW w:w="530" w:type="dxa"/>
          </w:tcPr>
          <w:p w14:paraId="028EF69E" w14:textId="77777777" w:rsidR="003105DB" w:rsidRPr="000D28F3" w:rsidRDefault="003105DB" w:rsidP="00642F02">
            <w:r w:rsidRPr="000D28F3">
              <w:t> 2.</w:t>
            </w:r>
          </w:p>
        </w:tc>
        <w:tc>
          <w:tcPr>
            <w:tcW w:w="2447" w:type="dxa"/>
            <w:gridSpan w:val="2"/>
          </w:tcPr>
          <w:p w14:paraId="4197CFF5" w14:textId="77777777" w:rsidR="003105DB" w:rsidRPr="000D28F3" w:rsidRDefault="003105DB" w:rsidP="00642F02">
            <w:r w:rsidRPr="000D28F3">
              <w:t>Projekta izpildes ietekme uz pārvaldes funkcijām un institucionālo struktūru. Jaunu institūciju izveide, esošu institūciju likvidācija vai reorganizācija, to ietekme uz institūcijas cilvēkresursiem</w:t>
            </w:r>
          </w:p>
        </w:tc>
        <w:tc>
          <w:tcPr>
            <w:tcW w:w="6521" w:type="dxa"/>
          </w:tcPr>
          <w:p w14:paraId="7811CB8F" w14:textId="043C890A" w:rsidR="003105DB" w:rsidRPr="00633CFD" w:rsidRDefault="00633CFD" w:rsidP="00642F02">
            <w:pPr>
              <w:pStyle w:val="naisnod"/>
              <w:spacing w:before="0" w:after="0"/>
              <w:jc w:val="both"/>
              <w:rPr>
                <w:b w:val="0"/>
                <w:bCs w:val="0"/>
                <w:color w:val="FF0000"/>
              </w:rPr>
            </w:pPr>
            <w:r w:rsidRPr="00633CFD">
              <w:rPr>
                <w:b w:val="0"/>
                <w:bCs w:val="0"/>
              </w:rPr>
              <w:t>Projekts šo jomu neskar</w:t>
            </w:r>
            <w:r w:rsidR="002B0BEA">
              <w:rPr>
                <w:b w:val="0"/>
                <w:bCs w:val="0"/>
              </w:rPr>
              <w:t>.</w:t>
            </w:r>
          </w:p>
        </w:tc>
      </w:tr>
      <w:tr w:rsidR="003105DB" w:rsidRPr="000D28F3" w14:paraId="1A7DD55D" w14:textId="77777777" w:rsidTr="00A65D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76"/>
        </w:trPr>
        <w:tc>
          <w:tcPr>
            <w:tcW w:w="530" w:type="dxa"/>
          </w:tcPr>
          <w:p w14:paraId="714CDC80" w14:textId="77777777" w:rsidR="003105DB" w:rsidRPr="000D28F3" w:rsidRDefault="003105DB" w:rsidP="00642F02">
            <w:r w:rsidRPr="000D28F3">
              <w:t> 3.</w:t>
            </w:r>
          </w:p>
        </w:tc>
        <w:tc>
          <w:tcPr>
            <w:tcW w:w="2447" w:type="dxa"/>
            <w:gridSpan w:val="2"/>
          </w:tcPr>
          <w:p w14:paraId="2CB41024" w14:textId="77777777" w:rsidR="003105DB" w:rsidRPr="00FC3890" w:rsidRDefault="003105DB" w:rsidP="00642F02">
            <w:r w:rsidRPr="00FC3890">
              <w:t> Cita informācija</w:t>
            </w:r>
          </w:p>
        </w:tc>
        <w:tc>
          <w:tcPr>
            <w:tcW w:w="6521" w:type="dxa"/>
          </w:tcPr>
          <w:p w14:paraId="12DBEF73" w14:textId="77777777" w:rsidR="003105DB" w:rsidRPr="00FC3890" w:rsidRDefault="003105DB" w:rsidP="00642F02">
            <w:pPr>
              <w:jc w:val="both"/>
            </w:pPr>
            <w:r w:rsidRPr="00FC3890">
              <w:t>Nav</w:t>
            </w:r>
          </w:p>
        </w:tc>
      </w:tr>
    </w:tbl>
    <w:p w14:paraId="686F084E" w14:textId="77777777" w:rsidR="003105DB" w:rsidRPr="000D28F3" w:rsidRDefault="003105DB" w:rsidP="003105DB">
      <w:pPr>
        <w:rPr>
          <w:bCs/>
          <w:sz w:val="28"/>
          <w:szCs w:val="28"/>
        </w:rPr>
      </w:pPr>
    </w:p>
    <w:p w14:paraId="0AFBB294" w14:textId="739793D7" w:rsidR="003105DB" w:rsidRPr="000D28F3" w:rsidRDefault="003105DB" w:rsidP="003105DB">
      <w:pPr>
        <w:pStyle w:val="BodyText"/>
        <w:spacing w:after="0"/>
      </w:pPr>
      <w:bookmarkStart w:id="5" w:name="_Hlk36474551"/>
      <w:r w:rsidRPr="000D28F3">
        <w:t>Ekonomikas ministr</w:t>
      </w:r>
      <w:r w:rsidR="001267A3">
        <w:t>s</w:t>
      </w:r>
      <w:r>
        <w:t xml:space="preserve"> </w:t>
      </w:r>
      <w:r w:rsidR="001267A3">
        <w:tab/>
      </w:r>
      <w:r w:rsidR="001267A3">
        <w:tab/>
      </w:r>
      <w:r w:rsidR="001267A3">
        <w:tab/>
      </w:r>
      <w:r w:rsidR="001267A3">
        <w:tab/>
      </w:r>
      <w:r>
        <w:tab/>
      </w:r>
      <w:r>
        <w:tab/>
      </w:r>
      <w:r>
        <w:tab/>
      </w:r>
      <w:r>
        <w:tab/>
      </w:r>
      <w:r w:rsidR="00B00A66">
        <w:t xml:space="preserve">  </w:t>
      </w:r>
      <w:r w:rsidR="00264634">
        <w:t>J.Vitenbergs</w:t>
      </w:r>
    </w:p>
    <w:p w14:paraId="74FE93DB" w14:textId="77777777" w:rsidR="003105DB" w:rsidRDefault="003105DB" w:rsidP="003105DB">
      <w:pPr>
        <w:pStyle w:val="BodyText2"/>
        <w:tabs>
          <w:tab w:val="left" w:pos="6521"/>
        </w:tabs>
        <w:spacing w:after="0" w:line="240" w:lineRule="auto"/>
      </w:pPr>
    </w:p>
    <w:p w14:paraId="657B2C52" w14:textId="77777777" w:rsidR="003105DB" w:rsidRDefault="003105DB" w:rsidP="003105DB">
      <w:pPr>
        <w:pStyle w:val="BodyText2"/>
        <w:tabs>
          <w:tab w:val="left" w:pos="6521"/>
        </w:tabs>
        <w:spacing w:after="0" w:line="240" w:lineRule="auto"/>
      </w:pPr>
    </w:p>
    <w:p w14:paraId="4160380E" w14:textId="77777777" w:rsidR="003105DB" w:rsidRPr="000D28F3" w:rsidRDefault="003105DB" w:rsidP="003105DB">
      <w:pPr>
        <w:pStyle w:val="BodyText2"/>
        <w:tabs>
          <w:tab w:val="left" w:pos="6521"/>
        </w:tabs>
        <w:spacing w:after="0" w:line="240" w:lineRule="auto"/>
      </w:pPr>
      <w:r w:rsidRPr="000D28F3">
        <w:t>Vīza:</w:t>
      </w:r>
    </w:p>
    <w:p w14:paraId="23534B01" w14:textId="50398139" w:rsidR="003105DB" w:rsidRDefault="003105DB" w:rsidP="003105DB">
      <w:pPr>
        <w:pStyle w:val="BodyText"/>
        <w:spacing w:after="0"/>
      </w:pPr>
      <w:r w:rsidRPr="000D28F3">
        <w:t>Valsts sekretār</w:t>
      </w:r>
      <w:r w:rsidR="00E20B82">
        <w:t>s</w:t>
      </w:r>
      <w:r w:rsidR="00E20B82">
        <w:tab/>
      </w:r>
      <w:r w:rsidR="00E20B82">
        <w:tab/>
      </w:r>
      <w:r w:rsidR="00E20B82">
        <w:tab/>
      </w:r>
      <w:r>
        <w:tab/>
      </w:r>
      <w:r>
        <w:tab/>
      </w:r>
      <w:r>
        <w:tab/>
      </w:r>
      <w:r>
        <w:tab/>
      </w:r>
      <w:r>
        <w:tab/>
      </w:r>
      <w:r w:rsidRPr="00DF7CBA">
        <w:t xml:space="preserve"> </w:t>
      </w:r>
      <w:r>
        <w:t>E.Valantis</w:t>
      </w:r>
    </w:p>
    <w:bookmarkEnd w:id="5"/>
    <w:p w14:paraId="4D7117A4" w14:textId="1B269CF2" w:rsidR="003105DB" w:rsidRDefault="003105DB" w:rsidP="003105DB">
      <w:pPr>
        <w:pStyle w:val="BodyText"/>
        <w:spacing w:after="0"/>
        <w:rPr>
          <w:bCs/>
          <w:sz w:val="16"/>
          <w:szCs w:val="16"/>
        </w:rPr>
      </w:pPr>
      <w:r>
        <w:tab/>
      </w:r>
      <w:r>
        <w:tab/>
      </w:r>
      <w:r>
        <w:tab/>
      </w:r>
      <w:r>
        <w:tab/>
      </w:r>
      <w:r>
        <w:tab/>
      </w:r>
      <w:r>
        <w:tab/>
      </w:r>
      <w:r>
        <w:tab/>
      </w:r>
    </w:p>
    <w:p w14:paraId="06A4C3DA" w14:textId="77777777" w:rsidR="003105DB" w:rsidRDefault="003105DB" w:rsidP="003105DB">
      <w:pPr>
        <w:jc w:val="both"/>
        <w:rPr>
          <w:bCs/>
          <w:sz w:val="16"/>
          <w:szCs w:val="16"/>
        </w:rPr>
      </w:pPr>
    </w:p>
    <w:p w14:paraId="79FA2A6E" w14:textId="1CF3C236" w:rsidR="003105DB" w:rsidRDefault="003105DB" w:rsidP="003105DB">
      <w:pPr>
        <w:jc w:val="both"/>
        <w:rPr>
          <w:bCs/>
          <w:sz w:val="16"/>
          <w:szCs w:val="16"/>
        </w:rPr>
      </w:pPr>
    </w:p>
    <w:p w14:paraId="4E6E6563" w14:textId="77777777" w:rsidR="002D7379" w:rsidRDefault="002D7379" w:rsidP="003105DB">
      <w:pPr>
        <w:jc w:val="both"/>
        <w:rPr>
          <w:bCs/>
          <w:sz w:val="16"/>
          <w:szCs w:val="16"/>
        </w:rPr>
      </w:pPr>
    </w:p>
    <w:p w14:paraId="346E61D4" w14:textId="77777777" w:rsidR="002D7379" w:rsidRPr="006A23D5" w:rsidRDefault="002D7379" w:rsidP="002D7379">
      <w:pPr>
        <w:jc w:val="both"/>
        <w:rPr>
          <w:sz w:val="20"/>
          <w:szCs w:val="20"/>
        </w:rPr>
      </w:pPr>
      <w:r w:rsidRPr="006A23D5">
        <w:rPr>
          <w:sz w:val="20"/>
          <w:szCs w:val="20"/>
        </w:rPr>
        <w:t>Liepiņa, 67013095</w:t>
      </w:r>
    </w:p>
    <w:p w14:paraId="0D3AAC8F" w14:textId="32305E85" w:rsidR="003105DB" w:rsidRPr="00237E80" w:rsidRDefault="002D7379" w:rsidP="003105DB">
      <w:pPr>
        <w:jc w:val="both"/>
        <w:rPr>
          <w:sz w:val="20"/>
          <w:szCs w:val="20"/>
        </w:rPr>
      </w:pPr>
      <w:r w:rsidRPr="006A23D5">
        <w:rPr>
          <w:sz w:val="20"/>
          <w:szCs w:val="20"/>
        </w:rPr>
        <w:t>Kristine.Liepina@em.gov.lv</w:t>
      </w:r>
    </w:p>
    <w:p w14:paraId="1EFAA153" w14:textId="77777777" w:rsidR="003105DB" w:rsidRDefault="003105DB" w:rsidP="003105DB">
      <w:pPr>
        <w:jc w:val="both"/>
        <w:rPr>
          <w:bCs/>
          <w:sz w:val="16"/>
          <w:szCs w:val="16"/>
        </w:rPr>
      </w:pPr>
    </w:p>
    <w:p w14:paraId="78D7560C" w14:textId="77777777" w:rsidR="003105DB" w:rsidRDefault="003105DB" w:rsidP="003105DB"/>
    <w:p w14:paraId="5D443AA2" w14:textId="77777777" w:rsidR="00335B12" w:rsidRDefault="00335B12" w:rsidP="003105DB"/>
    <w:sectPr w:rsidR="00335B12" w:rsidSect="006F3C11">
      <w:headerReference w:type="even" r:id="rId16"/>
      <w:headerReference w:type="default" r:id="rId17"/>
      <w:footerReference w:type="default" r:id="rId18"/>
      <w:footerReference w:type="first" r:id="rId19"/>
      <w:pgSz w:w="11906" w:h="16838" w:code="9"/>
      <w:pgMar w:top="1134" w:right="707" w:bottom="1134" w:left="1418" w:header="709"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5CDF7" w14:textId="77777777" w:rsidR="0028138D" w:rsidRDefault="0028138D">
      <w:r>
        <w:separator/>
      </w:r>
    </w:p>
  </w:endnote>
  <w:endnote w:type="continuationSeparator" w:id="0">
    <w:p w14:paraId="590478A8" w14:textId="77777777" w:rsidR="0028138D" w:rsidRDefault="0028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FD17" w14:textId="0AFC84E8" w:rsidR="009753AA" w:rsidRPr="000B7C58" w:rsidRDefault="00751EED" w:rsidP="000B7C58">
    <w:pPr>
      <w:pStyle w:val="Footer"/>
    </w:pPr>
    <w:r w:rsidRPr="00751EED">
      <w:rPr>
        <w:sz w:val="20"/>
        <w:szCs w:val="20"/>
      </w:rPr>
      <w:t>EMAno</w:t>
    </w:r>
    <w:r w:rsidR="000E75A6">
      <w:rPr>
        <w:sz w:val="20"/>
        <w:szCs w:val="20"/>
      </w:rPr>
      <w:t>t</w:t>
    </w:r>
    <w:r w:rsidRPr="00751EED">
      <w:rPr>
        <w:sz w:val="20"/>
        <w:szCs w:val="20"/>
      </w:rPr>
      <w:t>_</w:t>
    </w:r>
    <w:r w:rsidR="00DC0A33">
      <w:rPr>
        <w:sz w:val="20"/>
        <w:szCs w:val="20"/>
      </w:rPr>
      <w:t>0</w:t>
    </w:r>
    <w:r w:rsidR="000E75A6">
      <w:rPr>
        <w:sz w:val="20"/>
        <w:szCs w:val="20"/>
      </w:rPr>
      <w:t>7</w:t>
    </w:r>
    <w:r w:rsidR="00DC0A33">
      <w:rPr>
        <w:sz w:val="20"/>
        <w:szCs w:val="20"/>
      </w:rPr>
      <w:t>0</w:t>
    </w:r>
    <w:r w:rsidR="00940442">
      <w:rPr>
        <w:sz w:val="20"/>
        <w:szCs w:val="20"/>
      </w:rPr>
      <w:t>8</w:t>
    </w:r>
    <w:r w:rsidRPr="00751EED">
      <w:rPr>
        <w:sz w:val="20"/>
        <w:szCs w:val="20"/>
      </w:rPr>
      <w:t>20</w:t>
    </w:r>
    <w:r w:rsidR="000849A6">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FB93" w14:textId="0ECFD9EA" w:rsidR="009753AA" w:rsidRPr="00751EED" w:rsidRDefault="00751EED" w:rsidP="00751EED">
    <w:pPr>
      <w:pStyle w:val="Footer"/>
    </w:pPr>
    <w:r w:rsidRPr="00751EED">
      <w:rPr>
        <w:sz w:val="20"/>
        <w:szCs w:val="20"/>
      </w:rPr>
      <w:t>EMAnot_</w:t>
    </w:r>
    <w:r w:rsidR="00DC0A33">
      <w:rPr>
        <w:sz w:val="20"/>
        <w:szCs w:val="20"/>
      </w:rPr>
      <w:t>0</w:t>
    </w:r>
    <w:r w:rsidR="00251723">
      <w:rPr>
        <w:sz w:val="20"/>
        <w:szCs w:val="20"/>
      </w:rPr>
      <w:t>7</w:t>
    </w:r>
    <w:r w:rsidR="00DC0A33">
      <w:rPr>
        <w:sz w:val="20"/>
        <w:szCs w:val="20"/>
      </w:rPr>
      <w:t>08</w:t>
    </w:r>
    <w:r w:rsidRPr="00751EED">
      <w:rPr>
        <w:sz w:val="20"/>
        <w:szCs w:val="20"/>
      </w:rPr>
      <w:t>20</w:t>
    </w:r>
    <w:r w:rsidR="000849A6">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362AD" w14:textId="77777777" w:rsidR="0028138D" w:rsidRDefault="0028138D">
      <w:r>
        <w:separator/>
      </w:r>
    </w:p>
  </w:footnote>
  <w:footnote w:type="continuationSeparator" w:id="0">
    <w:p w14:paraId="0DDB70E9" w14:textId="77777777" w:rsidR="0028138D" w:rsidRDefault="0028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FFEB" w14:textId="77777777" w:rsidR="009753AA" w:rsidRDefault="007D658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C2DA6D" w14:textId="77777777" w:rsidR="009753AA" w:rsidRDefault="00281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BD61" w14:textId="77777777" w:rsidR="009753AA" w:rsidRDefault="007D658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409521F5" w14:textId="77777777" w:rsidR="009753AA" w:rsidRDefault="0028138D"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829A4"/>
    <w:multiLevelType w:val="hybridMultilevel"/>
    <w:tmpl w:val="94342E8A"/>
    <w:lvl w:ilvl="0" w:tplc="87228AE2">
      <w:start w:val="9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E318D2"/>
    <w:multiLevelType w:val="multilevel"/>
    <w:tmpl w:val="AD0C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C67EE"/>
    <w:multiLevelType w:val="hybridMultilevel"/>
    <w:tmpl w:val="E77C1EE4"/>
    <w:lvl w:ilvl="0" w:tplc="978A2D72">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007B0"/>
    <w:rsid w:val="00000A13"/>
    <w:rsid w:val="00002817"/>
    <w:rsid w:val="0000396D"/>
    <w:rsid w:val="00012621"/>
    <w:rsid w:val="00023B63"/>
    <w:rsid w:val="00024911"/>
    <w:rsid w:val="0002593F"/>
    <w:rsid w:val="000267B3"/>
    <w:rsid w:val="000279B0"/>
    <w:rsid w:val="00031432"/>
    <w:rsid w:val="00031D24"/>
    <w:rsid w:val="000355D7"/>
    <w:rsid w:val="00036D16"/>
    <w:rsid w:val="0004265A"/>
    <w:rsid w:val="0004370C"/>
    <w:rsid w:val="00046809"/>
    <w:rsid w:val="00046EF2"/>
    <w:rsid w:val="00053054"/>
    <w:rsid w:val="00061010"/>
    <w:rsid w:val="00064B21"/>
    <w:rsid w:val="000675CA"/>
    <w:rsid w:val="00080002"/>
    <w:rsid w:val="00080A23"/>
    <w:rsid w:val="00083AA1"/>
    <w:rsid w:val="0008466A"/>
    <w:rsid w:val="000849A6"/>
    <w:rsid w:val="00085CD3"/>
    <w:rsid w:val="00086F82"/>
    <w:rsid w:val="000932CB"/>
    <w:rsid w:val="00094191"/>
    <w:rsid w:val="00097204"/>
    <w:rsid w:val="00097DA2"/>
    <w:rsid w:val="000A6FA5"/>
    <w:rsid w:val="000A769D"/>
    <w:rsid w:val="000B237C"/>
    <w:rsid w:val="000B29F1"/>
    <w:rsid w:val="000B3CDA"/>
    <w:rsid w:val="000B41EF"/>
    <w:rsid w:val="000C2191"/>
    <w:rsid w:val="000C5BB6"/>
    <w:rsid w:val="000C7421"/>
    <w:rsid w:val="000C7C34"/>
    <w:rsid w:val="000D2EDE"/>
    <w:rsid w:val="000D2FE6"/>
    <w:rsid w:val="000D479E"/>
    <w:rsid w:val="000D5904"/>
    <w:rsid w:val="000E68E5"/>
    <w:rsid w:val="000E6BB2"/>
    <w:rsid w:val="000E6C67"/>
    <w:rsid w:val="000E75A6"/>
    <w:rsid w:val="0010334B"/>
    <w:rsid w:val="0010580D"/>
    <w:rsid w:val="00105C46"/>
    <w:rsid w:val="00105EBA"/>
    <w:rsid w:val="00111758"/>
    <w:rsid w:val="00112EB0"/>
    <w:rsid w:val="001168C8"/>
    <w:rsid w:val="00120BF0"/>
    <w:rsid w:val="001226F0"/>
    <w:rsid w:val="00123CF3"/>
    <w:rsid w:val="001267A3"/>
    <w:rsid w:val="00131742"/>
    <w:rsid w:val="00133CBD"/>
    <w:rsid w:val="00133F0F"/>
    <w:rsid w:val="00141FC1"/>
    <w:rsid w:val="0014347C"/>
    <w:rsid w:val="00143D8D"/>
    <w:rsid w:val="00144BB2"/>
    <w:rsid w:val="00145400"/>
    <w:rsid w:val="001464CF"/>
    <w:rsid w:val="00146CED"/>
    <w:rsid w:val="00150F9F"/>
    <w:rsid w:val="00152669"/>
    <w:rsid w:val="00155B4F"/>
    <w:rsid w:val="00160C83"/>
    <w:rsid w:val="001716D4"/>
    <w:rsid w:val="00175FDF"/>
    <w:rsid w:val="00176829"/>
    <w:rsid w:val="00180419"/>
    <w:rsid w:val="00186697"/>
    <w:rsid w:val="0018731E"/>
    <w:rsid w:val="001912A8"/>
    <w:rsid w:val="00195093"/>
    <w:rsid w:val="001A1E47"/>
    <w:rsid w:val="001A5420"/>
    <w:rsid w:val="001B0AAB"/>
    <w:rsid w:val="001B5B0E"/>
    <w:rsid w:val="001B7426"/>
    <w:rsid w:val="001C5214"/>
    <w:rsid w:val="001C5C59"/>
    <w:rsid w:val="001C5D3C"/>
    <w:rsid w:val="001C684D"/>
    <w:rsid w:val="001F065F"/>
    <w:rsid w:val="001F232F"/>
    <w:rsid w:val="001F7708"/>
    <w:rsid w:val="0020510F"/>
    <w:rsid w:val="002068DA"/>
    <w:rsid w:val="0021043F"/>
    <w:rsid w:val="002172B7"/>
    <w:rsid w:val="00221BB9"/>
    <w:rsid w:val="00222F47"/>
    <w:rsid w:val="00223987"/>
    <w:rsid w:val="0023080E"/>
    <w:rsid w:val="00233664"/>
    <w:rsid w:val="00237E80"/>
    <w:rsid w:val="0024208A"/>
    <w:rsid w:val="0024458C"/>
    <w:rsid w:val="0024688A"/>
    <w:rsid w:val="00251723"/>
    <w:rsid w:val="00251A2A"/>
    <w:rsid w:val="00257969"/>
    <w:rsid w:val="00260B03"/>
    <w:rsid w:val="00261828"/>
    <w:rsid w:val="00264634"/>
    <w:rsid w:val="00264988"/>
    <w:rsid w:val="002767F1"/>
    <w:rsid w:val="00277985"/>
    <w:rsid w:val="0028130B"/>
    <w:rsid w:val="0028138D"/>
    <w:rsid w:val="00284740"/>
    <w:rsid w:val="002849D0"/>
    <w:rsid w:val="00285CAA"/>
    <w:rsid w:val="00287218"/>
    <w:rsid w:val="002875B5"/>
    <w:rsid w:val="00291DC3"/>
    <w:rsid w:val="00292F81"/>
    <w:rsid w:val="00295AE5"/>
    <w:rsid w:val="00295E81"/>
    <w:rsid w:val="002A27AB"/>
    <w:rsid w:val="002B037C"/>
    <w:rsid w:val="002B0BEA"/>
    <w:rsid w:val="002B5D2E"/>
    <w:rsid w:val="002C1AFE"/>
    <w:rsid w:val="002C6160"/>
    <w:rsid w:val="002C673C"/>
    <w:rsid w:val="002D4508"/>
    <w:rsid w:val="002D4A6C"/>
    <w:rsid w:val="002D7379"/>
    <w:rsid w:val="002E10E5"/>
    <w:rsid w:val="002E1F77"/>
    <w:rsid w:val="002F06DB"/>
    <w:rsid w:val="002F2768"/>
    <w:rsid w:val="002F3703"/>
    <w:rsid w:val="0030561B"/>
    <w:rsid w:val="003105DB"/>
    <w:rsid w:val="00315FE3"/>
    <w:rsid w:val="003161DC"/>
    <w:rsid w:val="00323E42"/>
    <w:rsid w:val="003349CD"/>
    <w:rsid w:val="00335B12"/>
    <w:rsid w:val="003362C4"/>
    <w:rsid w:val="00342125"/>
    <w:rsid w:val="00343E37"/>
    <w:rsid w:val="00345E26"/>
    <w:rsid w:val="00352508"/>
    <w:rsid w:val="003614DA"/>
    <w:rsid w:val="00363B4D"/>
    <w:rsid w:val="0038273D"/>
    <w:rsid w:val="00396D37"/>
    <w:rsid w:val="003A2045"/>
    <w:rsid w:val="003A65E8"/>
    <w:rsid w:val="003B551B"/>
    <w:rsid w:val="003C0F49"/>
    <w:rsid w:val="003C2885"/>
    <w:rsid w:val="003C4F2E"/>
    <w:rsid w:val="003C6A83"/>
    <w:rsid w:val="003D21A7"/>
    <w:rsid w:val="003D58C3"/>
    <w:rsid w:val="003D6BF9"/>
    <w:rsid w:val="003E3F38"/>
    <w:rsid w:val="003E4F76"/>
    <w:rsid w:val="003E52DB"/>
    <w:rsid w:val="003F033C"/>
    <w:rsid w:val="003F1ADC"/>
    <w:rsid w:val="003F25CA"/>
    <w:rsid w:val="00401148"/>
    <w:rsid w:val="004130CA"/>
    <w:rsid w:val="00413770"/>
    <w:rsid w:val="0041471B"/>
    <w:rsid w:val="00417FC2"/>
    <w:rsid w:val="00421852"/>
    <w:rsid w:val="004225C2"/>
    <w:rsid w:val="00423736"/>
    <w:rsid w:val="00435DFB"/>
    <w:rsid w:val="00437688"/>
    <w:rsid w:val="004402B6"/>
    <w:rsid w:val="00444F86"/>
    <w:rsid w:val="004735B8"/>
    <w:rsid w:val="004739E8"/>
    <w:rsid w:val="004804B2"/>
    <w:rsid w:val="00481F0D"/>
    <w:rsid w:val="004828B0"/>
    <w:rsid w:val="00484E39"/>
    <w:rsid w:val="004946FD"/>
    <w:rsid w:val="00497AA4"/>
    <w:rsid w:val="004A0BB2"/>
    <w:rsid w:val="004A2CB6"/>
    <w:rsid w:val="004B35E5"/>
    <w:rsid w:val="004B68F4"/>
    <w:rsid w:val="004B793E"/>
    <w:rsid w:val="004C4736"/>
    <w:rsid w:val="004C5CBF"/>
    <w:rsid w:val="004C7275"/>
    <w:rsid w:val="004D7AB3"/>
    <w:rsid w:val="004E4B23"/>
    <w:rsid w:val="004E6A58"/>
    <w:rsid w:val="004F122A"/>
    <w:rsid w:val="004F1974"/>
    <w:rsid w:val="004F45A5"/>
    <w:rsid w:val="00502B52"/>
    <w:rsid w:val="00504338"/>
    <w:rsid w:val="00505ACE"/>
    <w:rsid w:val="005063A6"/>
    <w:rsid w:val="00506BD9"/>
    <w:rsid w:val="005075C1"/>
    <w:rsid w:val="00513531"/>
    <w:rsid w:val="00514269"/>
    <w:rsid w:val="00515F5A"/>
    <w:rsid w:val="00521F4D"/>
    <w:rsid w:val="00527792"/>
    <w:rsid w:val="00540D1E"/>
    <w:rsid w:val="0054213D"/>
    <w:rsid w:val="005430CF"/>
    <w:rsid w:val="00547C30"/>
    <w:rsid w:val="0055046B"/>
    <w:rsid w:val="00550552"/>
    <w:rsid w:val="005527F1"/>
    <w:rsid w:val="005559A2"/>
    <w:rsid w:val="00556BD8"/>
    <w:rsid w:val="00561E77"/>
    <w:rsid w:val="0056270A"/>
    <w:rsid w:val="005666E5"/>
    <w:rsid w:val="00573728"/>
    <w:rsid w:val="00575A98"/>
    <w:rsid w:val="005837C9"/>
    <w:rsid w:val="00585F7D"/>
    <w:rsid w:val="00587AF1"/>
    <w:rsid w:val="00593FDF"/>
    <w:rsid w:val="00595CAB"/>
    <w:rsid w:val="00595D07"/>
    <w:rsid w:val="00596969"/>
    <w:rsid w:val="0059756B"/>
    <w:rsid w:val="005A04AF"/>
    <w:rsid w:val="005A1A9C"/>
    <w:rsid w:val="005A3C08"/>
    <w:rsid w:val="005A5A47"/>
    <w:rsid w:val="005A5EA5"/>
    <w:rsid w:val="005A6EF4"/>
    <w:rsid w:val="005A7BA2"/>
    <w:rsid w:val="005A7EB1"/>
    <w:rsid w:val="005B03F2"/>
    <w:rsid w:val="005B7103"/>
    <w:rsid w:val="005C037B"/>
    <w:rsid w:val="005C4C85"/>
    <w:rsid w:val="005C4DF9"/>
    <w:rsid w:val="005C754A"/>
    <w:rsid w:val="005D1965"/>
    <w:rsid w:val="005D227A"/>
    <w:rsid w:val="005D4A6D"/>
    <w:rsid w:val="005D6222"/>
    <w:rsid w:val="005E5DC2"/>
    <w:rsid w:val="005F1F24"/>
    <w:rsid w:val="005F5749"/>
    <w:rsid w:val="005F64BF"/>
    <w:rsid w:val="005F7C1B"/>
    <w:rsid w:val="00605FC6"/>
    <w:rsid w:val="00615F6C"/>
    <w:rsid w:val="00617A34"/>
    <w:rsid w:val="00633CFD"/>
    <w:rsid w:val="00645415"/>
    <w:rsid w:val="00660FF3"/>
    <w:rsid w:val="006634E4"/>
    <w:rsid w:val="006654BC"/>
    <w:rsid w:val="006705CD"/>
    <w:rsid w:val="00676E04"/>
    <w:rsid w:val="00681FCC"/>
    <w:rsid w:val="00687862"/>
    <w:rsid w:val="0069146D"/>
    <w:rsid w:val="00693DFE"/>
    <w:rsid w:val="006963D2"/>
    <w:rsid w:val="00696667"/>
    <w:rsid w:val="006A45F5"/>
    <w:rsid w:val="006A614A"/>
    <w:rsid w:val="006A65C7"/>
    <w:rsid w:val="006A7C19"/>
    <w:rsid w:val="006B4BAA"/>
    <w:rsid w:val="006B58BB"/>
    <w:rsid w:val="006C0319"/>
    <w:rsid w:val="006C3F2F"/>
    <w:rsid w:val="006C680D"/>
    <w:rsid w:val="006D594C"/>
    <w:rsid w:val="006E37C9"/>
    <w:rsid w:val="006F09E3"/>
    <w:rsid w:val="006F3C11"/>
    <w:rsid w:val="0070213E"/>
    <w:rsid w:val="00704240"/>
    <w:rsid w:val="00704AFB"/>
    <w:rsid w:val="00715F5E"/>
    <w:rsid w:val="00717F65"/>
    <w:rsid w:val="00724F15"/>
    <w:rsid w:val="00725C4C"/>
    <w:rsid w:val="00730020"/>
    <w:rsid w:val="007334B4"/>
    <w:rsid w:val="00736408"/>
    <w:rsid w:val="00740E93"/>
    <w:rsid w:val="007446A8"/>
    <w:rsid w:val="007500D9"/>
    <w:rsid w:val="00751EED"/>
    <w:rsid w:val="007527FB"/>
    <w:rsid w:val="00756AD9"/>
    <w:rsid w:val="00761F9F"/>
    <w:rsid w:val="0076404F"/>
    <w:rsid w:val="0076791D"/>
    <w:rsid w:val="00770821"/>
    <w:rsid w:val="0077226B"/>
    <w:rsid w:val="007734D6"/>
    <w:rsid w:val="0077566B"/>
    <w:rsid w:val="00777163"/>
    <w:rsid w:val="007841BE"/>
    <w:rsid w:val="00784CD6"/>
    <w:rsid w:val="00785FD1"/>
    <w:rsid w:val="007865E6"/>
    <w:rsid w:val="00793E4C"/>
    <w:rsid w:val="00793FE6"/>
    <w:rsid w:val="00794095"/>
    <w:rsid w:val="007A65B5"/>
    <w:rsid w:val="007A6D00"/>
    <w:rsid w:val="007C4068"/>
    <w:rsid w:val="007D258F"/>
    <w:rsid w:val="007D5E3B"/>
    <w:rsid w:val="007D5F87"/>
    <w:rsid w:val="007D6586"/>
    <w:rsid w:val="007D7A2A"/>
    <w:rsid w:val="007E0E89"/>
    <w:rsid w:val="007F7022"/>
    <w:rsid w:val="00801039"/>
    <w:rsid w:val="00802822"/>
    <w:rsid w:val="00804F6B"/>
    <w:rsid w:val="00805B7F"/>
    <w:rsid w:val="00806EE9"/>
    <w:rsid w:val="00816A52"/>
    <w:rsid w:val="00825571"/>
    <w:rsid w:val="00830AFF"/>
    <w:rsid w:val="00841829"/>
    <w:rsid w:val="00841D38"/>
    <w:rsid w:val="00841DF4"/>
    <w:rsid w:val="00842BAA"/>
    <w:rsid w:val="0084459E"/>
    <w:rsid w:val="00847916"/>
    <w:rsid w:val="00853498"/>
    <w:rsid w:val="008558FF"/>
    <w:rsid w:val="00866DB0"/>
    <w:rsid w:val="0087531C"/>
    <w:rsid w:val="00880BD3"/>
    <w:rsid w:val="00883623"/>
    <w:rsid w:val="0088414D"/>
    <w:rsid w:val="00886C89"/>
    <w:rsid w:val="00887C15"/>
    <w:rsid w:val="00891431"/>
    <w:rsid w:val="008914A0"/>
    <w:rsid w:val="00893318"/>
    <w:rsid w:val="0089506E"/>
    <w:rsid w:val="008959D5"/>
    <w:rsid w:val="008A1D5B"/>
    <w:rsid w:val="008A5FF5"/>
    <w:rsid w:val="008B024A"/>
    <w:rsid w:val="008B0F00"/>
    <w:rsid w:val="008B4CFE"/>
    <w:rsid w:val="008B57A3"/>
    <w:rsid w:val="008C47A3"/>
    <w:rsid w:val="008C4AA2"/>
    <w:rsid w:val="008C6CAF"/>
    <w:rsid w:val="008D091F"/>
    <w:rsid w:val="008D591A"/>
    <w:rsid w:val="008D6412"/>
    <w:rsid w:val="008E1A1E"/>
    <w:rsid w:val="008E1C1F"/>
    <w:rsid w:val="008E202B"/>
    <w:rsid w:val="008E4442"/>
    <w:rsid w:val="008E68BF"/>
    <w:rsid w:val="008F0AD8"/>
    <w:rsid w:val="008F11DE"/>
    <w:rsid w:val="008F4706"/>
    <w:rsid w:val="008F63DE"/>
    <w:rsid w:val="00901036"/>
    <w:rsid w:val="009015C3"/>
    <w:rsid w:val="0091262C"/>
    <w:rsid w:val="00914D0E"/>
    <w:rsid w:val="00922E72"/>
    <w:rsid w:val="00923021"/>
    <w:rsid w:val="00926EE7"/>
    <w:rsid w:val="00927359"/>
    <w:rsid w:val="00927CF3"/>
    <w:rsid w:val="0093458A"/>
    <w:rsid w:val="00934C4F"/>
    <w:rsid w:val="00935075"/>
    <w:rsid w:val="00935C72"/>
    <w:rsid w:val="00936B9F"/>
    <w:rsid w:val="00936DA1"/>
    <w:rsid w:val="00940442"/>
    <w:rsid w:val="00940B88"/>
    <w:rsid w:val="00944D32"/>
    <w:rsid w:val="00950D3D"/>
    <w:rsid w:val="0095470D"/>
    <w:rsid w:val="009572B2"/>
    <w:rsid w:val="00957701"/>
    <w:rsid w:val="00963927"/>
    <w:rsid w:val="0096588D"/>
    <w:rsid w:val="00971503"/>
    <w:rsid w:val="009725F7"/>
    <w:rsid w:val="00977771"/>
    <w:rsid w:val="00990160"/>
    <w:rsid w:val="00990397"/>
    <w:rsid w:val="00990B85"/>
    <w:rsid w:val="00991B29"/>
    <w:rsid w:val="009B4116"/>
    <w:rsid w:val="009D622B"/>
    <w:rsid w:val="009E4F09"/>
    <w:rsid w:val="009F0286"/>
    <w:rsid w:val="009F28AC"/>
    <w:rsid w:val="009F5250"/>
    <w:rsid w:val="009F59E4"/>
    <w:rsid w:val="00A03974"/>
    <w:rsid w:val="00A16A3F"/>
    <w:rsid w:val="00A175E4"/>
    <w:rsid w:val="00A227BA"/>
    <w:rsid w:val="00A24A93"/>
    <w:rsid w:val="00A3731C"/>
    <w:rsid w:val="00A44575"/>
    <w:rsid w:val="00A53DFB"/>
    <w:rsid w:val="00A563D2"/>
    <w:rsid w:val="00A6099E"/>
    <w:rsid w:val="00A63896"/>
    <w:rsid w:val="00A64512"/>
    <w:rsid w:val="00A6475F"/>
    <w:rsid w:val="00A64D9D"/>
    <w:rsid w:val="00A65D52"/>
    <w:rsid w:val="00A66B02"/>
    <w:rsid w:val="00A6708E"/>
    <w:rsid w:val="00A67E91"/>
    <w:rsid w:val="00A71F82"/>
    <w:rsid w:val="00A72363"/>
    <w:rsid w:val="00A747ED"/>
    <w:rsid w:val="00A77532"/>
    <w:rsid w:val="00A82BCD"/>
    <w:rsid w:val="00A841F0"/>
    <w:rsid w:val="00A94F70"/>
    <w:rsid w:val="00AA0C45"/>
    <w:rsid w:val="00AB0021"/>
    <w:rsid w:val="00AB123E"/>
    <w:rsid w:val="00AC11E4"/>
    <w:rsid w:val="00AC6369"/>
    <w:rsid w:val="00AC642E"/>
    <w:rsid w:val="00AD0855"/>
    <w:rsid w:val="00AD147E"/>
    <w:rsid w:val="00AD4EC4"/>
    <w:rsid w:val="00AD5F43"/>
    <w:rsid w:val="00AD7E6D"/>
    <w:rsid w:val="00AE2204"/>
    <w:rsid w:val="00AE3A1A"/>
    <w:rsid w:val="00AE6DEC"/>
    <w:rsid w:val="00AF07DB"/>
    <w:rsid w:val="00AF2672"/>
    <w:rsid w:val="00B007D8"/>
    <w:rsid w:val="00B00A66"/>
    <w:rsid w:val="00B01B53"/>
    <w:rsid w:val="00B27A26"/>
    <w:rsid w:val="00B3062A"/>
    <w:rsid w:val="00B34157"/>
    <w:rsid w:val="00B35436"/>
    <w:rsid w:val="00B41F62"/>
    <w:rsid w:val="00B44B1F"/>
    <w:rsid w:val="00B47227"/>
    <w:rsid w:val="00B53631"/>
    <w:rsid w:val="00B559CF"/>
    <w:rsid w:val="00B576A2"/>
    <w:rsid w:val="00B60CF8"/>
    <w:rsid w:val="00B62A4F"/>
    <w:rsid w:val="00B67363"/>
    <w:rsid w:val="00B739B4"/>
    <w:rsid w:val="00B74CA1"/>
    <w:rsid w:val="00B8412F"/>
    <w:rsid w:val="00B87E90"/>
    <w:rsid w:val="00B94072"/>
    <w:rsid w:val="00B96889"/>
    <w:rsid w:val="00BA027F"/>
    <w:rsid w:val="00BB137C"/>
    <w:rsid w:val="00BB24FC"/>
    <w:rsid w:val="00BB4FE9"/>
    <w:rsid w:val="00BC690E"/>
    <w:rsid w:val="00BC7218"/>
    <w:rsid w:val="00BD06EB"/>
    <w:rsid w:val="00BD0893"/>
    <w:rsid w:val="00BD2107"/>
    <w:rsid w:val="00BD2711"/>
    <w:rsid w:val="00BD72B7"/>
    <w:rsid w:val="00BD7E44"/>
    <w:rsid w:val="00BE4B63"/>
    <w:rsid w:val="00BF2697"/>
    <w:rsid w:val="00C006BA"/>
    <w:rsid w:val="00C03A2C"/>
    <w:rsid w:val="00C120FE"/>
    <w:rsid w:val="00C15A57"/>
    <w:rsid w:val="00C208E6"/>
    <w:rsid w:val="00C21930"/>
    <w:rsid w:val="00C25AA2"/>
    <w:rsid w:val="00C25AC0"/>
    <w:rsid w:val="00C3452B"/>
    <w:rsid w:val="00C346BD"/>
    <w:rsid w:val="00C5236A"/>
    <w:rsid w:val="00C604B8"/>
    <w:rsid w:val="00C63F74"/>
    <w:rsid w:val="00C66DE9"/>
    <w:rsid w:val="00C675E9"/>
    <w:rsid w:val="00C71519"/>
    <w:rsid w:val="00C73D2E"/>
    <w:rsid w:val="00C7479A"/>
    <w:rsid w:val="00C82D5C"/>
    <w:rsid w:val="00C9165F"/>
    <w:rsid w:val="00C91A75"/>
    <w:rsid w:val="00C9263C"/>
    <w:rsid w:val="00C953A8"/>
    <w:rsid w:val="00CA2C3D"/>
    <w:rsid w:val="00CA4079"/>
    <w:rsid w:val="00CA565F"/>
    <w:rsid w:val="00CA77CF"/>
    <w:rsid w:val="00CB1ACE"/>
    <w:rsid w:val="00CC1763"/>
    <w:rsid w:val="00CD4AA7"/>
    <w:rsid w:val="00CE107F"/>
    <w:rsid w:val="00CE34DD"/>
    <w:rsid w:val="00CF3978"/>
    <w:rsid w:val="00CF3B60"/>
    <w:rsid w:val="00CF7F35"/>
    <w:rsid w:val="00D002A4"/>
    <w:rsid w:val="00D00AA0"/>
    <w:rsid w:val="00D01012"/>
    <w:rsid w:val="00D01436"/>
    <w:rsid w:val="00D01754"/>
    <w:rsid w:val="00D04C9C"/>
    <w:rsid w:val="00D060BC"/>
    <w:rsid w:val="00D06BDB"/>
    <w:rsid w:val="00D13607"/>
    <w:rsid w:val="00D1701C"/>
    <w:rsid w:val="00D20DD5"/>
    <w:rsid w:val="00D21863"/>
    <w:rsid w:val="00D275A0"/>
    <w:rsid w:val="00D36E02"/>
    <w:rsid w:val="00D41E45"/>
    <w:rsid w:val="00D4281E"/>
    <w:rsid w:val="00D43D69"/>
    <w:rsid w:val="00D44653"/>
    <w:rsid w:val="00D6117A"/>
    <w:rsid w:val="00D6124C"/>
    <w:rsid w:val="00D664FE"/>
    <w:rsid w:val="00D67B09"/>
    <w:rsid w:val="00D749E8"/>
    <w:rsid w:val="00D85B3B"/>
    <w:rsid w:val="00D9183C"/>
    <w:rsid w:val="00D944CB"/>
    <w:rsid w:val="00D97253"/>
    <w:rsid w:val="00DA1009"/>
    <w:rsid w:val="00DA1B25"/>
    <w:rsid w:val="00DA7D80"/>
    <w:rsid w:val="00DB38B0"/>
    <w:rsid w:val="00DB67F2"/>
    <w:rsid w:val="00DC0A33"/>
    <w:rsid w:val="00DC100D"/>
    <w:rsid w:val="00DC13F5"/>
    <w:rsid w:val="00DC3A63"/>
    <w:rsid w:val="00DC4A09"/>
    <w:rsid w:val="00DC6050"/>
    <w:rsid w:val="00DC6919"/>
    <w:rsid w:val="00DC6967"/>
    <w:rsid w:val="00DD17D8"/>
    <w:rsid w:val="00DD5446"/>
    <w:rsid w:val="00DE4145"/>
    <w:rsid w:val="00DF161A"/>
    <w:rsid w:val="00DF389D"/>
    <w:rsid w:val="00DF4A61"/>
    <w:rsid w:val="00DF6EA6"/>
    <w:rsid w:val="00E04062"/>
    <w:rsid w:val="00E0615D"/>
    <w:rsid w:val="00E11A8E"/>
    <w:rsid w:val="00E20B82"/>
    <w:rsid w:val="00E22D2F"/>
    <w:rsid w:val="00E23DE5"/>
    <w:rsid w:val="00E26E2C"/>
    <w:rsid w:val="00E30393"/>
    <w:rsid w:val="00E304EF"/>
    <w:rsid w:val="00E31B47"/>
    <w:rsid w:val="00E34B6E"/>
    <w:rsid w:val="00E36CA7"/>
    <w:rsid w:val="00E37C6B"/>
    <w:rsid w:val="00E6395A"/>
    <w:rsid w:val="00E640E0"/>
    <w:rsid w:val="00E64835"/>
    <w:rsid w:val="00E649F4"/>
    <w:rsid w:val="00E66BB4"/>
    <w:rsid w:val="00E71278"/>
    <w:rsid w:val="00E86018"/>
    <w:rsid w:val="00E87C1A"/>
    <w:rsid w:val="00E964DA"/>
    <w:rsid w:val="00E9662A"/>
    <w:rsid w:val="00EB1724"/>
    <w:rsid w:val="00EB34F4"/>
    <w:rsid w:val="00EB7095"/>
    <w:rsid w:val="00EC0D29"/>
    <w:rsid w:val="00EC3A26"/>
    <w:rsid w:val="00EC3F66"/>
    <w:rsid w:val="00ED47B7"/>
    <w:rsid w:val="00ED5159"/>
    <w:rsid w:val="00EE1DCF"/>
    <w:rsid w:val="00EE2A5A"/>
    <w:rsid w:val="00EE4AC9"/>
    <w:rsid w:val="00EE4CC4"/>
    <w:rsid w:val="00EE585C"/>
    <w:rsid w:val="00EE6096"/>
    <w:rsid w:val="00EF1D64"/>
    <w:rsid w:val="00EF534D"/>
    <w:rsid w:val="00EF5E74"/>
    <w:rsid w:val="00F003AD"/>
    <w:rsid w:val="00F027AD"/>
    <w:rsid w:val="00F0696F"/>
    <w:rsid w:val="00F10299"/>
    <w:rsid w:val="00F10FF8"/>
    <w:rsid w:val="00F1126D"/>
    <w:rsid w:val="00F14BEE"/>
    <w:rsid w:val="00F166A9"/>
    <w:rsid w:val="00F16BFA"/>
    <w:rsid w:val="00F25625"/>
    <w:rsid w:val="00F30D69"/>
    <w:rsid w:val="00F36552"/>
    <w:rsid w:val="00F36737"/>
    <w:rsid w:val="00F41FC1"/>
    <w:rsid w:val="00F45716"/>
    <w:rsid w:val="00F519A0"/>
    <w:rsid w:val="00F52F20"/>
    <w:rsid w:val="00F548E8"/>
    <w:rsid w:val="00F63EF5"/>
    <w:rsid w:val="00F64A7A"/>
    <w:rsid w:val="00F6737E"/>
    <w:rsid w:val="00F723F6"/>
    <w:rsid w:val="00F72E6E"/>
    <w:rsid w:val="00F75658"/>
    <w:rsid w:val="00F83E60"/>
    <w:rsid w:val="00F90BCD"/>
    <w:rsid w:val="00F97040"/>
    <w:rsid w:val="00FB510A"/>
    <w:rsid w:val="00FB7733"/>
    <w:rsid w:val="00FC3890"/>
    <w:rsid w:val="00FD0BE7"/>
    <w:rsid w:val="00FD2224"/>
    <w:rsid w:val="00FD28D0"/>
    <w:rsid w:val="00FD5445"/>
    <w:rsid w:val="00FE0980"/>
    <w:rsid w:val="00FE09EE"/>
    <w:rsid w:val="00FE17CD"/>
    <w:rsid w:val="00FE19D9"/>
    <w:rsid w:val="00FE38AC"/>
    <w:rsid w:val="00FE6ABB"/>
    <w:rsid w:val="00FF1054"/>
    <w:rsid w:val="00FF29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41658"/>
  <w15:chartTrackingRefBased/>
  <w15:docId w15:val="{FAE4992D-40D4-4CD3-B6D4-1C96DA9C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D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5DB"/>
    <w:pPr>
      <w:tabs>
        <w:tab w:val="center" w:pos="4153"/>
        <w:tab w:val="right" w:pos="8306"/>
      </w:tabs>
    </w:pPr>
  </w:style>
  <w:style w:type="character" w:customStyle="1" w:styleId="HeaderChar">
    <w:name w:val="Header Char"/>
    <w:basedOn w:val="DefaultParagraphFont"/>
    <w:link w:val="Header"/>
    <w:rsid w:val="003105DB"/>
    <w:rPr>
      <w:rFonts w:ascii="Times New Roman" w:eastAsia="Times New Roman" w:hAnsi="Times New Roman" w:cs="Times New Roman"/>
      <w:sz w:val="24"/>
      <w:szCs w:val="24"/>
      <w:lang w:eastAsia="lv-LV"/>
    </w:rPr>
  </w:style>
  <w:style w:type="character" w:styleId="PageNumber">
    <w:name w:val="page number"/>
    <w:basedOn w:val="DefaultParagraphFont"/>
    <w:rsid w:val="003105DB"/>
  </w:style>
  <w:style w:type="paragraph" w:customStyle="1" w:styleId="naisnod">
    <w:name w:val="naisnod"/>
    <w:basedOn w:val="Normal"/>
    <w:rsid w:val="003105DB"/>
    <w:pPr>
      <w:spacing w:before="150" w:after="150"/>
      <w:jc w:val="center"/>
    </w:pPr>
    <w:rPr>
      <w:b/>
      <w:bCs/>
    </w:rPr>
  </w:style>
  <w:style w:type="paragraph" w:customStyle="1" w:styleId="naislab">
    <w:name w:val="naislab"/>
    <w:basedOn w:val="Normal"/>
    <w:rsid w:val="003105DB"/>
    <w:pPr>
      <w:spacing w:before="75" w:after="75"/>
      <w:jc w:val="right"/>
    </w:pPr>
  </w:style>
  <w:style w:type="paragraph" w:customStyle="1" w:styleId="naiskr">
    <w:name w:val="naiskr"/>
    <w:basedOn w:val="Normal"/>
    <w:rsid w:val="003105DB"/>
    <w:pPr>
      <w:spacing w:before="75" w:after="75"/>
    </w:pPr>
  </w:style>
  <w:style w:type="paragraph" w:styleId="Footer">
    <w:name w:val="footer"/>
    <w:basedOn w:val="Normal"/>
    <w:link w:val="FooterChar"/>
    <w:uiPriority w:val="99"/>
    <w:rsid w:val="003105DB"/>
    <w:pPr>
      <w:tabs>
        <w:tab w:val="center" w:pos="4153"/>
        <w:tab w:val="right" w:pos="8306"/>
      </w:tabs>
    </w:pPr>
  </w:style>
  <w:style w:type="character" w:customStyle="1" w:styleId="FooterChar">
    <w:name w:val="Footer Char"/>
    <w:basedOn w:val="DefaultParagraphFont"/>
    <w:link w:val="Footer"/>
    <w:uiPriority w:val="99"/>
    <w:rsid w:val="003105DB"/>
    <w:rPr>
      <w:rFonts w:ascii="Times New Roman" w:eastAsia="Times New Roman" w:hAnsi="Times New Roman" w:cs="Times New Roman"/>
      <w:sz w:val="24"/>
      <w:szCs w:val="24"/>
      <w:lang w:eastAsia="lv-LV"/>
    </w:rPr>
  </w:style>
  <w:style w:type="character" w:styleId="Hyperlink">
    <w:name w:val="Hyperlink"/>
    <w:uiPriority w:val="99"/>
    <w:rsid w:val="003105DB"/>
    <w:rPr>
      <w:color w:val="0000FF"/>
      <w:u w:val="single"/>
    </w:rPr>
  </w:style>
  <w:style w:type="paragraph" w:styleId="BodyText">
    <w:name w:val="Body Text"/>
    <w:basedOn w:val="Normal"/>
    <w:link w:val="BodyTextChar"/>
    <w:uiPriority w:val="99"/>
    <w:rsid w:val="003105DB"/>
    <w:pPr>
      <w:spacing w:after="120"/>
    </w:pPr>
  </w:style>
  <w:style w:type="character" w:customStyle="1" w:styleId="BodyTextChar">
    <w:name w:val="Body Text Char"/>
    <w:basedOn w:val="DefaultParagraphFont"/>
    <w:link w:val="BodyText"/>
    <w:uiPriority w:val="99"/>
    <w:rsid w:val="003105DB"/>
    <w:rPr>
      <w:rFonts w:ascii="Times New Roman" w:eastAsia="Times New Roman" w:hAnsi="Times New Roman" w:cs="Times New Roman"/>
      <w:sz w:val="24"/>
      <w:szCs w:val="24"/>
      <w:lang w:eastAsia="lv-LV"/>
    </w:rPr>
  </w:style>
  <w:style w:type="paragraph" w:styleId="BodyText2">
    <w:name w:val="Body Text 2"/>
    <w:basedOn w:val="Normal"/>
    <w:link w:val="BodyText2Char"/>
    <w:rsid w:val="003105DB"/>
    <w:pPr>
      <w:spacing w:after="120" w:line="480" w:lineRule="auto"/>
    </w:pPr>
  </w:style>
  <w:style w:type="character" w:customStyle="1" w:styleId="BodyText2Char">
    <w:name w:val="Body Text 2 Char"/>
    <w:basedOn w:val="DefaultParagraphFont"/>
    <w:link w:val="BodyText2"/>
    <w:rsid w:val="003105DB"/>
    <w:rPr>
      <w:rFonts w:ascii="Times New Roman" w:eastAsia="Times New Roman" w:hAnsi="Times New Roman" w:cs="Times New Roman"/>
      <w:sz w:val="24"/>
      <w:szCs w:val="24"/>
      <w:lang w:eastAsia="lv-LV"/>
    </w:rPr>
  </w:style>
  <w:style w:type="paragraph" w:styleId="List">
    <w:name w:val="List"/>
    <w:basedOn w:val="Normal"/>
    <w:uiPriority w:val="99"/>
    <w:unhideWhenUsed/>
    <w:rsid w:val="003105DB"/>
    <w:pPr>
      <w:ind w:left="283" w:hanging="283"/>
      <w:contextualSpacing/>
    </w:pPr>
  </w:style>
  <w:style w:type="paragraph" w:styleId="BalloonText">
    <w:name w:val="Balloon Text"/>
    <w:basedOn w:val="Normal"/>
    <w:link w:val="BalloonTextChar"/>
    <w:uiPriority w:val="99"/>
    <w:semiHidden/>
    <w:unhideWhenUsed/>
    <w:rsid w:val="002D7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79"/>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B0F00"/>
    <w:rPr>
      <w:sz w:val="16"/>
      <w:szCs w:val="16"/>
    </w:rPr>
  </w:style>
  <w:style w:type="paragraph" w:styleId="CommentText">
    <w:name w:val="annotation text"/>
    <w:basedOn w:val="Normal"/>
    <w:link w:val="CommentTextChar"/>
    <w:uiPriority w:val="99"/>
    <w:unhideWhenUsed/>
    <w:rsid w:val="008B0F00"/>
    <w:rPr>
      <w:sz w:val="20"/>
      <w:szCs w:val="20"/>
    </w:rPr>
  </w:style>
  <w:style w:type="character" w:customStyle="1" w:styleId="CommentTextChar">
    <w:name w:val="Comment Text Char"/>
    <w:basedOn w:val="DefaultParagraphFont"/>
    <w:link w:val="CommentText"/>
    <w:uiPriority w:val="99"/>
    <w:rsid w:val="008B0F00"/>
    <w:rPr>
      <w:rFonts w:ascii="Times New Roman" w:eastAsia="Times New Roman" w:hAnsi="Times New Roman" w:cs="Times New Roman"/>
      <w:sz w:val="20"/>
      <w:szCs w:val="20"/>
      <w:lang w:eastAsia="lv-LV"/>
    </w:rPr>
  </w:style>
  <w:style w:type="character" w:styleId="Emphasis">
    <w:name w:val="Emphasis"/>
    <w:basedOn w:val="DefaultParagraphFont"/>
    <w:uiPriority w:val="20"/>
    <w:qFormat/>
    <w:rsid w:val="003F033C"/>
    <w:rPr>
      <w:i/>
      <w:iCs/>
    </w:rPr>
  </w:style>
  <w:style w:type="paragraph" w:styleId="CommentSubject">
    <w:name w:val="annotation subject"/>
    <w:basedOn w:val="CommentText"/>
    <w:next w:val="CommentText"/>
    <w:link w:val="CommentSubjectChar"/>
    <w:uiPriority w:val="99"/>
    <w:semiHidden/>
    <w:unhideWhenUsed/>
    <w:rsid w:val="00BD2711"/>
    <w:rPr>
      <w:b/>
      <w:bCs/>
    </w:rPr>
  </w:style>
  <w:style w:type="character" w:customStyle="1" w:styleId="CommentSubjectChar">
    <w:name w:val="Comment Subject Char"/>
    <w:basedOn w:val="CommentTextChar"/>
    <w:link w:val="CommentSubject"/>
    <w:uiPriority w:val="99"/>
    <w:semiHidden/>
    <w:rsid w:val="00BD271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77655">
      <w:bodyDiv w:val="1"/>
      <w:marLeft w:val="0"/>
      <w:marRight w:val="0"/>
      <w:marTop w:val="0"/>
      <w:marBottom w:val="0"/>
      <w:divBdr>
        <w:top w:val="none" w:sz="0" w:space="0" w:color="auto"/>
        <w:left w:val="none" w:sz="0" w:space="0" w:color="auto"/>
        <w:bottom w:val="none" w:sz="0" w:space="0" w:color="auto"/>
        <w:right w:val="none" w:sz="0" w:space="0" w:color="auto"/>
      </w:divBdr>
    </w:div>
    <w:div w:id="1491872570">
      <w:bodyDiv w:val="1"/>
      <w:marLeft w:val="0"/>
      <w:marRight w:val="0"/>
      <w:marTop w:val="0"/>
      <w:marBottom w:val="0"/>
      <w:divBdr>
        <w:top w:val="none" w:sz="0" w:space="0" w:color="auto"/>
        <w:left w:val="none" w:sz="0" w:space="0" w:color="auto"/>
        <w:bottom w:val="none" w:sz="0" w:space="0" w:color="auto"/>
        <w:right w:val="none" w:sz="0" w:space="0" w:color="auto"/>
      </w:divBdr>
    </w:div>
    <w:div w:id="18231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9081-noteikumi-par-ogludenrazu-meklesanu-izpeti-un-ieguvi" TargetMode="External"/><Relationship Id="rId13" Type="http://schemas.openxmlformats.org/officeDocument/2006/relationships/hyperlink" Target="https://likumi.lv/ta/id/40249-par-zemes-dzile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40249-par-zemes-dzile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0249-par-zemes-dzilem" TargetMode="External"/><Relationship Id="rId5" Type="http://schemas.openxmlformats.org/officeDocument/2006/relationships/webSettings" Target="webSettings.xml"/><Relationship Id="rId15" Type="http://schemas.openxmlformats.org/officeDocument/2006/relationships/hyperlink" Target="https://www.mk.gov.lv/content/ministru-kabineta-diskusiju-dokumenti" TargetMode="External"/><Relationship Id="rId10" Type="http://schemas.openxmlformats.org/officeDocument/2006/relationships/hyperlink" Target="https://likumi.lv/ta/id/40249-par-zemes-dzile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40249" TargetMode="External"/><Relationship Id="rId14" Type="http://schemas.openxmlformats.org/officeDocument/2006/relationships/hyperlink" Target="https://em.gov.lv/lv/Ministrija/sabiedribas_lidzdaliba/diskusiju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0FA4-4E5E-42FF-ABCA-E1D686E8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9</Pages>
  <Words>16847</Words>
  <Characters>9604</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Liepiņa</dc:creator>
  <cp:keywords/>
  <dc:description/>
  <cp:lastModifiedBy>Kristīne Liepiņa</cp:lastModifiedBy>
  <cp:revision>43</cp:revision>
  <dcterms:created xsi:type="dcterms:W3CDTF">2020-06-11T05:55:00Z</dcterms:created>
  <dcterms:modified xsi:type="dcterms:W3CDTF">2020-08-07T11:33:00Z</dcterms:modified>
</cp:coreProperties>
</file>