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6063" w14:textId="597EF775" w:rsidR="00D72013" w:rsidRDefault="00D72013"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Pr>
          <w:rFonts w:ascii="Times New Roman" w:eastAsia="Times New Roman" w:hAnsi="Times New Roman"/>
          <w:b/>
          <w:sz w:val="24"/>
          <w:szCs w:val="24"/>
          <w:lang w:eastAsia="lv-LV"/>
        </w:rPr>
        <w:t>"</w:t>
      </w:r>
      <w:r w:rsidRPr="00894D2B">
        <w:rPr>
          <w:rFonts w:ascii="Times New Roman" w:eastAsia="Times New Roman" w:hAnsi="Times New Roman"/>
          <w:b/>
          <w:sz w:val="24"/>
          <w:szCs w:val="24"/>
          <w:lang w:eastAsia="lv-LV"/>
        </w:rPr>
        <w:t>Grozījum</w:t>
      </w:r>
      <w:r w:rsidR="00AA235F">
        <w:rPr>
          <w:rFonts w:ascii="Times New Roman" w:eastAsia="Times New Roman" w:hAnsi="Times New Roman"/>
          <w:b/>
          <w:sz w:val="24"/>
          <w:szCs w:val="24"/>
          <w:lang w:eastAsia="lv-LV"/>
        </w:rPr>
        <w:t>i</w:t>
      </w:r>
      <w:r w:rsidRPr="00894D2B">
        <w:rPr>
          <w:rFonts w:ascii="Times New Roman" w:eastAsia="Times New Roman" w:hAnsi="Times New Roman"/>
          <w:b/>
          <w:sz w:val="24"/>
          <w:szCs w:val="24"/>
          <w:lang w:eastAsia="lv-LV"/>
        </w:rPr>
        <w:t xml:space="preserve"> Ministru kabineta 201</w:t>
      </w:r>
      <w:r>
        <w:rPr>
          <w:rFonts w:ascii="Times New Roman" w:eastAsia="Times New Roman" w:hAnsi="Times New Roman"/>
          <w:b/>
          <w:sz w:val="24"/>
          <w:szCs w:val="24"/>
          <w:lang w:eastAsia="lv-LV"/>
        </w:rPr>
        <w:t>8</w:t>
      </w:r>
      <w:r w:rsidRPr="00894D2B">
        <w:rPr>
          <w:rFonts w:ascii="Times New Roman" w:eastAsia="Times New Roman" w:hAnsi="Times New Roman"/>
          <w:b/>
          <w:sz w:val="24"/>
          <w:szCs w:val="24"/>
          <w:lang w:eastAsia="lv-LV"/>
        </w:rPr>
        <w:t>. gad</w:t>
      </w:r>
      <w:r>
        <w:rPr>
          <w:rFonts w:ascii="Times New Roman" w:eastAsia="Times New Roman" w:hAnsi="Times New Roman"/>
          <w:b/>
          <w:sz w:val="24"/>
          <w:szCs w:val="24"/>
          <w:lang w:eastAsia="lv-LV"/>
        </w:rPr>
        <w:t>a 4. janvāra noteikumos Nr. 13 "</w:t>
      </w:r>
      <w:r w:rsidRPr="00894D2B">
        <w:rPr>
          <w:rFonts w:ascii="Times New Roman" w:eastAsia="Times New Roman" w:hAnsi="Times New Roman"/>
          <w:b/>
          <w:sz w:val="24"/>
          <w:szCs w:val="24"/>
          <w:lang w:eastAsia="lv-LV"/>
        </w:rPr>
        <w:t xml:space="preserve">Darbības programmas </w:t>
      </w:r>
      <w:r>
        <w:rPr>
          <w:rFonts w:ascii="Times New Roman" w:eastAsia="Times New Roman" w:hAnsi="Times New Roman"/>
          <w:b/>
          <w:sz w:val="24"/>
          <w:szCs w:val="24"/>
          <w:lang w:eastAsia="lv-LV"/>
        </w:rPr>
        <w:t>"</w:t>
      </w:r>
      <w:r w:rsidRPr="00894D2B">
        <w:rPr>
          <w:rFonts w:ascii="Times New Roman" w:eastAsia="Times New Roman" w:hAnsi="Times New Roman"/>
          <w:b/>
          <w:sz w:val="24"/>
          <w:szCs w:val="24"/>
          <w:lang w:eastAsia="lv-LV"/>
        </w:rPr>
        <w:t>Izaugsme un nodarbinātība</w:t>
      </w:r>
      <w:r>
        <w:rPr>
          <w:rFonts w:ascii="Times New Roman" w:eastAsia="Times New Roman" w:hAnsi="Times New Roman"/>
          <w:b/>
          <w:sz w:val="24"/>
          <w:szCs w:val="24"/>
          <w:lang w:eastAsia="lv-LV"/>
        </w:rPr>
        <w:t>"</w:t>
      </w:r>
      <w:r w:rsidRPr="00894D2B">
        <w:rPr>
          <w:rFonts w:ascii="Times New Roman" w:eastAsia="Times New Roman" w:hAnsi="Times New Roman"/>
          <w:b/>
          <w:sz w:val="24"/>
          <w:szCs w:val="24"/>
          <w:lang w:eastAsia="lv-LV"/>
        </w:rPr>
        <w:t xml:space="preserve"> 4.</w:t>
      </w:r>
      <w:r>
        <w:rPr>
          <w:rFonts w:ascii="Times New Roman" w:eastAsia="Times New Roman" w:hAnsi="Times New Roman"/>
          <w:b/>
          <w:sz w:val="24"/>
          <w:szCs w:val="24"/>
          <w:lang w:eastAsia="lv-LV"/>
        </w:rPr>
        <w:t>2.1. specifiskā atbalsta mērķa "</w:t>
      </w:r>
      <w:r w:rsidRPr="00894D2B">
        <w:rPr>
          <w:rFonts w:ascii="Times New Roman" w:eastAsia="Times New Roman" w:hAnsi="Times New Roman"/>
          <w:b/>
          <w:sz w:val="24"/>
          <w:szCs w:val="24"/>
          <w:lang w:eastAsia="lv-LV"/>
        </w:rPr>
        <w:t>Veicināt energoefektivitātes paaugstin</w:t>
      </w:r>
      <w:r>
        <w:rPr>
          <w:rFonts w:ascii="Times New Roman" w:eastAsia="Times New Roman" w:hAnsi="Times New Roman"/>
          <w:b/>
          <w:sz w:val="24"/>
          <w:szCs w:val="24"/>
          <w:lang w:eastAsia="lv-LV"/>
        </w:rPr>
        <w:t>āšanu valsts un dzīvojamās ēkās" 4.2.1.2. pasākuma "</w:t>
      </w:r>
      <w:r w:rsidRPr="00894D2B">
        <w:rPr>
          <w:rFonts w:ascii="Times New Roman" w:eastAsia="Times New Roman" w:hAnsi="Times New Roman"/>
          <w:b/>
          <w:sz w:val="24"/>
          <w:szCs w:val="24"/>
          <w:lang w:eastAsia="lv-LV"/>
        </w:rPr>
        <w:t xml:space="preserve">Veicināt energoefektivitātes paaugstināšanu valsts ēkās” otrās projektu iesniegumu atlases kārtas īstenošanas </w:t>
      </w:r>
      <w:r>
        <w:rPr>
          <w:rFonts w:ascii="Times New Roman" w:eastAsia="Times New Roman" w:hAnsi="Times New Roman"/>
          <w:b/>
          <w:sz w:val="24"/>
          <w:szCs w:val="24"/>
          <w:lang w:eastAsia="lv-LV"/>
        </w:rPr>
        <w:t>noteikumi""</w:t>
      </w:r>
      <w:r w:rsidR="003C40F8">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5AB69B0D" w14:textId="4F05332B" w:rsidR="00D93934" w:rsidRDefault="00D93934" w:rsidP="00DF6922">
      <w:pPr>
        <w:spacing w:after="0" w:line="240" w:lineRule="auto"/>
        <w:contextualSpacing/>
        <w:rPr>
          <w:rFonts w:ascii="Times New Roman" w:eastAsia="Times New Roman" w:hAnsi="Times New Roman"/>
          <w:b/>
          <w:sz w:val="24"/>
          <w:szCs w:val="24"/>
          <w:lang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85" w:type="dxa"/>
          <w:right w:w="85" w:type="dxa"/>
        </w:tblCellMar>
        <w:tblLook w:val="04A0" w:firstRow="1" w:lastRow="0" w:firstColumn="1" w:lastColumn="0" w:noHBand="0" w:noVBand="1"/>
      </w:tblPr>
      <w:tblGrid>
        <w:gridCol w:w="2977"/>
        <w:gridCol w:w="6095"/>
      </w:tblGrid>
      <w:tr w:rsidR="007741A5" w:rsidRPr="00BD0514" w14:paraId="5EAA3A1E" w14:textId="77777777" w:rsidTr="0098221F">
        <w:tc>
          <w:tcPr>
            <w:tcW w:w="9072"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BD0514" w:rsidRDefault="007741A5" w:rsidP="0098221F">
            <w:pPr>
              <w:spacing w:after="0" w:line="240" w:lineRule="auto"/>
              <w:contextualSpacing/>
              <w:jc w:val="center"/>
              <w:rPr>
                <w:rFonts w:ascii="Times New Roman" w:eastAsia="Times New Roman" w:hAnsi="Times New Roman"/>
                <w:b/>
                <w:bCs/>
                <w:sz w:val="24"/>
                <w:szCs w:val="24"/>
                <w:lang w:eastAsia="lv-LV"/>
              </w:rPr>
            </w:pPr>
            <w:r w:rsidRPr="007741A5">
              <w:rPr>
                <w:rFonts w:ascii="Times New Roman" w:eastAsia="Times New Roman" w:hAnsi="Times New Roman"/>
                <w:b/>
                <w:bCs/>
                <w:sz w:val="24"/>
                <w:szCs w:val="24"/>
                <w:lang w:eastAsia="lv-LV"/>
              </w:rPr>
              <w:t>Tiesību akta projekta anotācijas kopsavilkums</w:t>
            </w:r>
          </w:p>
        </w:tc>
      </w:tr>
      <w:tr w:rsidR="007741A5" w:rsidRPr="00BD0514" w14:paraId="3BD284B9" w14:textId="77777777" w:rsidTr="0098221F">
        <w:trPr>
          <w:trHeight w:val="467"/>
        </w:trPr>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BD0514" w:rsidRDefault="007741A5" w:rsidP="0098221F">
            <w:pPr>
              <w:spacing w:after="0" w:line="240" w:lineRule="auto"/>
              <w:contextualSpacing/>
              <w:rPr>
                <w:rFonts w:ascii="Times New Roman" w:eastAsia="Times New Roman" w:hAnsi="Times New Roman"/>
                <w:sz w:val="24"/>
                <w:szCs w:val="24"/>
                <w:lang w:eastAsia="lv-LV"/>
              </w:rPr>
            </w:pPr>
            <w:r w:rsidRPr="007741A5">
              <w:rPr>
                <w:rFonts w:ascii="Times New Roman" w:eastAsia="Times New Roman" w:hAnsi="Times New Roman"/>
                <w:sz w:val="24"/>
                <w:szCs w:val="24"/>
                <w:lang w:eastAsia="lv-LV"/>
              </w:rPr>
              <w:t>Mērķis, risinājums un projekta spēkā stāšanās laiks (500 zīmes bez atstarpēm)</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14:paraId="6586A305" w14:textId="4199197F" w:rsidR="00D72013" w:rsidRDefault="001E0126" w:rsidP="00A46F09">
            <w:pPr>
              <w:spacing w:after="0" w:line="240" w:lineRule="auto"/>
              <w:ind w:firstLine="201"/>
              <w:contextualSpacing/>
              <w:jc w:val="both"/>
              <w:rPr>
                <w:rFonts w:ascii="Times New Roman" w:hAnsi="Times New Roman"/>
                <w:sz w:val="24"/>
                <w:szCs w:val="24"/>
              </w:rPr>
            </w:pPr>
            <w:bookmarkStart w:id="0" w:name="_Hlk22224806"/>
            <w:r>
              <w:rPr>
                <w:rFonts w:ascii="Times New Roman" w:eastAsia="Times New Roman" w:hAnsi="Times New Roman"/>
                <w:bCs/>
                <w:sz w:val="24"/>
                <w:szCs w:val="24"/>
                <w:lang w:eastAsia="lv-LV"/>
              </w:rPr>
              <w:t xml:space="preserve">Noteikumu </w:t>
            </w:r>
            <w:r w:rsidR="00CD5602">
              <w:rPr>
                <w:rFonts w:ascii="Times New Roman" w:eastAsia="Times New Roman" w:hAnsi="Times New Roman"/>
                <w:bCs/>
                <w:sz w:val="24"/>
                <w:szCs w:val="24"/>
                <w:lang w:eastAsia="lv-LV"/>
              </w:rPr>
              <w:t>p</w:t>
            </w:r>
            <w:r w:rsidR="000853FD">
              <w:rPr>
                <w:rFonts w:ascii="Times New Roman" w:eastAsia="Times New Roman" w:hAnsi="Times New Roman"/>
                <w:bCs/>
                <w:sz w:val="24"/>
                <w:szCs w:val="24"/>
                <w:lang w:eastAsia="lv-LV"/>
              </w:rPr>
              <w:t xml:space="preserve">rojekta </w:t>
            </w:r>
            <w:r w:rsidR="00936A14">
              <w:rPr>
                <w:rFonts w:ascii="Times New Roman" w:eastAsia="Times New Roman" w:hAnsi="Times New Roman"/>
                <w:bCs/>
                <w:sz w:val="24"/>
                <w:szCs w:val="24"/>
                <w:lang w:eastAsia="lv-LV"/>
              </w:rPr>
              <w:t xml:space="preserve">mērķis ir </w:t>
            </w:r>
            <w:r w:rsidR="0001457E">
              <w:rPr>
                <w:rFonts w:ascii="Times New Roman" w:eastAsia="Times New Roman" w:hAnsi="Times New Roman"/>
                <w:bCs/>
                <w:sz w:val="24"/>
                <w:szCs w:val="24"/>
                <w:lang w:eastAsia="lv-LV"/>
              </w:rPr>
              <w:t>pārdal</w:t>
            </w:r>
            <w:r w:rsidR="000853FD">
              <w:rPr>
                <w:rFonts w:ascii="Times New Roman" w:eastAsia="Times New Roman" w:hAnsi="Times New Roman"/>
                <w:bCs/>
                <w:sz w:val="24"/>
                <w:szCs w:val="24"/>
                <w:lang w:eastAsia="lv-LV"/>
              </w:rPr>
              <w:t>ī</w:t>
            </w:r>
            <w:r w:rsidR="0001457E">
              <w:rPr>
                <w:rFonts w:ascii="Times New Roman" w:eastAsia="Times New Roman" w:hAnsi="Times New Roman"/>
                <w:bCs/>
                <w:sz w:val="24"/>
                <w:szCs w:val="24"/>
                <w:lang w:eastAsia="lv-LV"/>
              </w:rPr>
              <w:t>t</w:t>
            </w:r>
            <w:r w:rsidR="00D72013" w:rsidRPr="00D72013">
              <w:rPr>
                <w:rFonts w:ascii="Times New Roman" w:hAnsi="Times New Roman"/>
                <w:sz w:val="24"/>
                <w:szCs w:val="24"/>
              </w:rPr>
              <w:t xml:space="preserve"> </w:t>
            </w:r>
            <w:r w:rsidR="00916646">
              <w:rPr>
                <w:rFonts w:ascii="Times New Roman" w:hAnsi="Times New Roman"/>
                <w:sz w:val="24"/>
                <w:szCs w:val="24"/>
              </w:rPr>
              <w:t xml:space="preserve">pieejamo </w:t>
            </w:r>
            <w:r w:rsidR="00837E18" w:rsidRPr="00837E18">
              <w:rPr>
                <w:rFonts w:ascii="Times New Roman" w:hAnsi="Times New Roman"/>
                <w:sz w:val="24"/>
                <w:szCs w:val="24"/>
              </w:rPr>
              <w:t xml:space="preserve">publisko finansējumu starp finansējuma saņēmējiem </w:t>
            </w:r>
            <w:r w:rsidR="00D72013" w:rsidRPr="00D72013">
              <w:rPr>
                <w:rFonts w:ascii="Times New Roman" w:hAnsi="Times New Roman"/>
                <w:sz w:val="24"/>
                <w:szCs w:val="24"/>
              </w:rPr>
              <w:t>4.2.1.2.pasākuma “Veicināt energoefektivitātes paaugstināšanu valsts ēkās” (turpmāk – 4.2.1.2.pasākums)</w:t>
            </w:r>
            <w:r w:rsidR="00C95AD4">
              <w:rPr>
                <w:rFonts w:ascii="Times New Roman" w:hAnsi="Times New Roman"/>
                <w:sz w:val="24"/>
                <w:szCs w:val="24"/>
              </w:rPr>
              <w:t xml:space="preserve"> otrās atlases kārtas </w:t>
            </w:r>
            <w:r w:rsidR="00D72013" w:rsidRPr="00D72013">
              <w:rPr>
                <w:rFonts w:ascii="Times New Roman" w:hAnsi="Times New Roman"/>
                <w:sz w:val="24"/>
                <w:szCs w:val="24"/>
              </w:rPr>
              <w:t>ietvaros atjaunojam</w:t>
            </w:r>
            <w:r w:rsidR="00837E18">
              <w:rPr>
                <w:rFonts w:ascii="Times New Roman" w:hAnsi="Times New Roman"/>
                <w:sz w:val="24"/>
                <w:szCs w:val="24"/>
              </w:rPr>
              <w:t>ām</w:t>
            </w:r>
            <w:r w:rsidR="00D72013" w:rsidRPr="00D72013">
              <w:rPr>
                <w:rFonts w:ascii="Times New Roman" w:hAnsi="Times New Roman"/>
                <w:sz w:val="24"/>
                <w:szCs w:val="24"/>
              </w:rPr>
              <w:t xml:space="preserve"> ēk</w:t>
            </w:r>
            <w:r w:rsidR="00837E18">
              <w:rPr>
                <w:rFonts w:ascii="Times New Roman" w:hAnsi="Times New Roman"/>
                <w:sz w:val="24"/>
                <w:szCs w:val="24"/>
              </w:rPr>
              <w:t>ām.</w:t>
            </w:r>
          </w:p>
          <w:p w14:paraId="2DEEC399" w14:textId="0BA7B082" w:rsidR="009A74A1" w:rsidRPr="009B37EC" w:rsidRDefault="009A74A1" w:rsidP="009B37EC">
            <w:pPr>
              <w:spacing w:after="0" w:line="240" w:lineRule="auto"/>
              <w:ind w:firstLine="201"/>
              <w:contextualSpacing/>
              <w:jc w:val="both"/>
              <w:rPr>
                <w:rFonts w:ascii="Times New Roman" w:hAnsi="Times New Roman"/>
                <w:sz w:val="24"/>
                <w:szCs w:val="24"/>
              </w:rPr>
            </w:pPr>
            <w:r w:rsidRPr="008B7F6D">
              <w:rPr>
                <w:rFonts w:ascii="Times New Roman" w:eastAsia="Times New Roman" w:hAnsi="Times New Roman"/>
                <w:iCs/>
                <w:sz w:val="24"/>
                <w:szCs w:val="24"/>
                <w:lang w:eastAsia="lv-LV"/>
              </w:rPr>
              <w:t xml:space="preserve">Noteikumu projekts stāsies spēkā </w:t>
            </w:r>
            <w:r w:rsidR="00C95AD4">
              <w:rPr>
                <w:rFonts w:ascii="Times New Roman" w:eastAsia="Times New Roman" w:hAnsi="Times New Roman"/>
                <w:iCs/>
                <w:sz w:val="24"/>
                <w:szCs w:val="24"/>
                <w:lang w:eastAsia="lv-LV"/>
              </w:rPr>
              <w:t xml:space="preserve">nākošajā dienā </w:t>
            </w:r>
            <w:r>
              <w:rPr>
                <w:rFonts w:ascii="Times New Roman" w:eastAsia="Times New Roman" w:hAnsi="Times New Roman"/>
                <w:iCs/>
                <w:sz w:val="24"/>
                <w:szCs w:val="24"/>
                <w:lang w:eastAsia="lv-LV"/>
              </w:rPr>
              <w:t>pēc tā publicēšanas Latvijas Vēstnesī.</w:t>
            </w:r>
            <w:bookmarkEnd w:id="0"/>
          </w:p>
        </w:tc>
      </w:tr>
    </w:tbl>
    <w:p w14:paraId="2ABA0A34" w14:textId="77777777" w:rsidR="0098221F" w:rsidRPr="000028E2" w:rsidRDefault="0098221F" w:rsidP="00DF6922">
      <w:pPr>
        <w:spacing w:after="0" w:line="240" w:lineRule="auto"/>
        <w:contextualSpacing/>
        <w:rPr>
          <w:rFonts w:ascii="Times New Roman" w:eastAsia="Times New Roman" w:hAnsi="Times New Roman"/>
          <w:b/>
          <w:sz w:val="18"/>
          <w:szCs w:val="18"/>
          <w:lang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85" w:type="dxa"/>
          <w:right w:w="85" w:type="dxa"/>
        </w:tblCellMar>
        <w:tblLook w:val="04A0" w:firstRow="1" w:lastRow="0" w:firstColumn="1" w:lastColumn="0" w:noHBand="0" w:noVBand="1"/>
      </w:tblPr>
      <w:tblGrid>
        <w:gridCol w:w="365"/>
        <w:gridCol w:w="2612"/>
        <w:gridCol w:w="6095"/>
      </w:tblGrid>
      <w:tr w:rsidR="0098221F" w:rsidRPr="008B78B2" w14:paraId="1D03D1D7" w14:textId="77777777" w:rsidTr="0098221F">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45F32CA0" w14:textId="4F6D92BF" w:rsidR="0098221F" w:rsidRPr="008B78B2" w:rsidRDefault="0098221F"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8221F" w:rsidRPr="008B78B2" w14:paraId="30C2187F" w14:textId="77777777" w:rsidTr="0098221F">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354FA9A9" w14:textId="014AA3EB" w:rsidR="0098221F" w:rsidRPr="008B78B2"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41BB4591" w:rsidR="0098221F" w:rsidRPr="008B78B2" w:rsidRDefault="0098221F"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307190D5" w:rsidR="0098221F" w:rsidRPr="008B78B2" w:rsidRDefault="0098221F" w:rsidP="0098221F">
            <w:pPr>
              <w:spacing w:after="0" w:line="240" w:lineRule="auto"/>
              <w:contextualSpacing/>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punkts</w:t>
            </w:r>
            <w:r w:rsidRPr="008B78B2">
              <w:rPr>
                <w:rFonts w:ascii="Times New Roman" w:hAnsi="Times New Roman"/>
                <w:sz w:val="24"/>
                <w:szCs w:val="24"/>
              </w:rPr>
              <w:t>.</w:t>
            </w:r>
          </w:p>
        </w:tc>
      </w:tr>
      <w:tr w:rsidR="0098221F" w:rsidRPr="008B78B2" w14:paraId="4870D352" w14:textId="77777777" w:rsidTr="0098221F">
        <w:trPr>
          <w:trHeight w:val="360"/>
        </w:trPr>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6451E0B6" w14:textId="53FA4B3A" w:rsidR="0098221F" w:rsidRPr="008B78B2"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201D45" w14:textId="77777777" w:rsidR="0098221F" w:rsidRDefault="0098221F"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74AD20E1" w14:textId="77777777" w:rsidR="00AC4233" w:rsidRPr="00AC4233" w:rsidRDefault="00AC4233" w:rsidP="00AC4233">
            <w:pPr>
              <w:rPr>
                <w:rFonts w:ascii="Times New Roman" w:eastAsia="Times New Roman" w:hAnsi="Times New Roman"/>
                <w:sz w:val="24"/>
                <w:szCs w:val="24"/>
                <w:lang w:eastAsia="lv-LV"/>
              </w:rPr>
            </w:pPr>
          </w:p>
          <w:p w14:paraId="35A27894" w14:textId="77777777" w:rsidR="00AC4233" w:rsidRPr="00AC4233" w:rsidRDefault="00AC4233" w:rsidP="00AC4233">
            <w:pPr>
              <w:rPr>
                <w:rFonts w:ascii="Times New Roman" w:eastAsia="Times New Roman" w:hAnsi="Times New Roman"/>
                <w:sz w:val="24"/>
                <w:szCs w:val="24"/>
                <w:lang w:eastAsia="lv-LV"/>
              </w:rPr>
            </w:pPr>
          </w:p>
          <w:p w14:paraId="408E74CD" w14:textId="77777777" w:rsidR="00AC4233" w:rsidRPr="00AC4233" w:rsidRDefault="00AC4233" w:rsidP="00AC4233">
            <w:pPr>
              <w:rPr>
                <w:rFonts w:ascii="Times New Roman" w:eastAsia="Times New Roman" w:hAnsi="Times New Roman"/>
                <w:sz w:val="24"/>
                <w:szCs w:val="24"/>
                <w:lang w:eastAsia="lv-LV"/>
              </w:rPr>
            </w:pPr>
          </w:p>
          <w:p w14:paraId="58105880" w14:textId="77777777" w:rsidR="00AC4233" w:rsidRPr="00AC4233" w:rsidRDefault="00AC4233" w:rsidP="00AC4233">
            <w:pPr>
              <w:rPr>
                <w:rFonts w:ascii="Times New Roman" w:eastAsia="Times New Roman" w:hAnsi="Times New Roman"/>
                <w:sz w:val="24"/>
                <w:szCs w:val="24"/>
                <w:lang w:eastAsia="lv-LV"/>
              </w:rPr>
            </w:pPr>
          </w:p>
          <w:p w14:paraId="191DC8B7" w14:textId="77777777" w:rsidR="00AC4233" w:rsidRPr="00AC4233" w:rsidRDefault="00AC4233" w:rsidP="00AC4233">
            <w:pPr>
              <w:rPr>
                <w:rFonts w:ascii="Times New Roman" w:eastAsia="Times New Roman" w:hAnsi="Times New Roman"/>
                <w:sz w:val="24"/>
                <w:szCs w:val="24"/>
                <w:lang w:eastAsia="lv-LV"/>
              </w:rPr>
            </w:pPr>
          </w:p>
          <w:p w14:paraId="5A54B494" w14:textId="77777777" w:rsidR="00AC4233" w:rsidRPr="00AC4233" w:rsidRDefault="00AC4233" w:rsidP="00AC4233">
            <w:pPr>
              <w:rPr>
                <w:rFonts w:ascii="Times New Roman" w:eastAsia="Times New Roman" w:hAnsi="Times New Roman"/>
                <w:sz w:val="24"/>
                <w:szCs w:val="24"/>
                <w:lang w:eastAsia="lv-LV"/>
              </w:rPr>
            </w:pPr>
          </w:p>
          <w:p w14:paraId="6F8E59F7" w14:textId="77777777" w:rsidR="00AC4233" w:rsidRPr="00AC4233" w:rsidRDefault="00AC4233" w:rsidP="00AC4233">
            <w:pPr>
              <w:rPr>
                <w:rFonts w:ascii="Times New Roman" w:eastAsia="Times New Roman" w:hAnsi="Times New Roman"/>
                <w:sz w:val="24"/>
                <w:szCs w:val="24"/>
                <w:lang w:eastAsia="lv-LV"/>
              </w:rPr>
            </w:pPr>
          </w:p>
          <w:p w14:paraId="7A1F0A6B" w14:textId="77777777" w:rsidR="00AC4233" w:rsidRPr="00AC4233" w:rsidRDefault="00AC4233" w:rsidP="00AC4233">
            <w:pPr>
              <w:rPr>
                <w:rFonts w:ascii="Times New Roman" w:eastAsia="Times New Roman" w:hAnsi="Times New Roman"/>
                <w:sz w:val="24"/>
                <w:szCs w:val="24"/>
                <w:lang w:eastAsia="lv-LV"/>
              </w:rPr>
            </w:pPr>
          </w:p>
          <w:p w14:paraId="06372F24" w14:textId="77777777" w:rsidR="00AC4233" w:rsidRPr="00AC4233" w:rsidRDefault="00AC4233" w:rsidP="00AC4233">
            <w:pPr>
              <w:rPr>
                <w:rFonts w:ascii="Times New Roman" w:eastAsia="Times New Roman" w:hAnsi="Times New Roman"/>
                <w:sz w:val="24"/>
                <w:szCs w:val="24"/>
                <w:lang w:eastAsia="lv-LV"/>
              </w:rPr>
            </w:pPr>
          </w:p>
          <w:p w14:paraId="4E09F240" w14:textId="77777777" w:rsidR="00AC4233" w:rsidRPr="00AC4233" w:rsidRDefault="00AC4233" w:rsidP="00AC4233">
            <w:pPr>
              <w:rPr>
                <w:rFonts w:ascii="Times New Roman" w:eastAsia="Times New Roman" w:hAnsi="Times New Roman"/>
                <w:sz w:val="24"/>
                <w:szCs w:val="24"/>
                <w:lang w:eastAsia="lv-LV"/>
              </w:rPr>
            </w:pPr>
          </w:p>
          <w:p w14:paraId="75CC0C9D" w14:textId="77777777" w:rsidR="00AC4233" w:rsidRPr="00AC4233" w:rsidRDefault="00AC4233" w:rsidP="00AC4233">
            <w:pPr>
              <w:rPr>
                <w:rFonts w:ascii="Times New Roman" w:eastAsia="Times New Roman" w:hAnsi="Times New Roman"/>
                <w:sz w:val="24"/>
                <w:szCs w:val="24"/>
                <w:lang w:eastAsia="lv-LV"/>
              </w:rPr>
            </w:pPr>
          </w:p>
          <w:p w14:paraId="79F4E737" w14:textId="77777777" w:rsidR="00AC4233" w:rsidRPr="00AC4233" w:rsidRDefault="00AC4233" w:rsidP="00AC4233">
            <w:pPr>
              <w:rPr>
                <w:rFonts w:ascii="Times New Roman" w:eastAsia="Times New Roman" w:hAnsi="Times New Roman"/>
                <w:sz w:val="24"/>
                <w:szCs w:val="24"/>
                <w:lang w:eastAsia="lv-LV"/>
              </w:rPr>
            </w:pPr>
          </w:p>
          <w:p w14:paraId="7EA086C0" w14:textId="61410C41" w:rsidR="00AC4233" w:rsidRDefault="00742C05" w:rsidP="00896D8F">
            <w:pPr>
              <w:tabs>
                <w:tab w:val="left" w:pos="689"/>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14:paraId="6B2C4B0D" w14:textId="233C7429" w:rsidR="00AC4233" w:rsidRPr="00AC4233" w:rsidRDefault="00742C05" w:rsidP="00896D8F">
            <w:pPr>
              <w:tabs>
                <w:tab w:val="left" w:pos="689"/>
              </w:tabs>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b/>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B212C2" w14:textId="036440B3" w:rsidR="0098221F" w:rsidRDefault="0098221F" w:rsidP="006D5A09">
            <w:pPr>
              <w:spacing w:after="0" w:line="240" w:lineRule="auto"/>
              <w:ind w:firstLine="201"/>
              <w:contextualSpacing/>
              <w:jc w:val="both"/>
              <w:rPr>
                <w:rFonts w:ascii="Times New Roman" w:hAnsi="Times New Roman"/>
                <w:sz w:val="24"/>
                <w:szCs w:val="24"/>
              </w:rPr>
            </w:pPr>
            <w:r w:rsidRPr="00D72013">
              <w:rPr>
                <w:rFonts w:ascii="Times New Roman" w:hAnsi="Times New Roman"/>
                <w:sz w:val="24"/>
                <w:szCs w:val="24"/>
              </w:rPr>
              <w:lastRenderedPageBreak/>
              <w:t>4.2.1.2.pasākum</w:t>
            </w:r>
            <w:r>
              <w:rPr>
                <w:rFonts w:ascii="Times New Roman" w:hAnsi="Times New Roman"/>
                <w:sz w:val="24"/>
                <w:szCs w:val="24"/>
              </w:rPr>
              <w:t xml:space="preserve">a otrās atlases kārtas ietvaros Centrālā finanšu un līguma aģentūrā (turpmāk – CFLA) ir iesniegti </w:t>
            </w:r>
            <w:r w:rsidR="009219D6">
              <w:rPr>
                <w:rFonts w:ascii="Times New Roman" w:hAnsi="Times New Roman"/>
                <w:sz w:val="24"/>
                <w:szCs w:val="24"/>
              </w:rPr>
              <w:t>2</w:t>
            </w:r>
            <w:r w:rsidR="00F17C1B">
              <w:rPr>
                <w:rFonts w:ascii="Times New Roman" w:hAnsi="Times New Roman"/>
                <w:sz w:val="24"/>
                <w:szCs w:val="24"/>
              </w:rPr>
              <w:t>7</w:t>
            </w:r>
            <w:r w:rsidR="009219D6">
              <w:rPr>
                <w:rFonts w:ascii="Times New Roman" w:hAnsi="Times New Roman"/>
                <w:sz w:val="24"/>
                <w:szCs w:val="24"/>
              </w:rPr>
              <w:t xml:space="preserve"> </w:t>
            </w:r>
            <w:r>
              <w:rPr>
                <w:rFonts w:ascii="Times New Roman" w:hAnsi="Times New Roman"/>
                <w:sz w:val="24"/>
                <w:szCs w:val="24"/>
              </w:rPr>
              <w:t xml:space="preserve"> projektu iesniegumi. Finansējuma saņēmējam </w:t>
            </w:r>
            <w:r w:rsidRPr="002443BD">
              <w:rPr>
                <w:rFonts w:ascii="Times New Roman" w:hAnsi="Times New Roman"/>
                <w:sz w:val="24"/>
                <w:szCs w:val="24"/>
              </w:rPr>
              <w:t>I.</w:t>
            </w:r>
            <w:r w:rsidR="00F74192">
              <w:rPr>
                <w:rFonts w:ascii="Times New Roman" w:hAnsi="Times New Roman"/>
                <w:sz w:val="24"/>
                <w:szCs w:val="24"/>
              </w:rPr>
              <w:t> </w:t>
            </w:r>
            <w:proofErr w:type="spellStart"/>
            <w:r w:rsidRPr="002443BD">
              <w:rPr>
                <w:rFonts w:ascii="Times New Roman" w:hAnsi="Times New Roman"/>
                <w:sz w:val="24"/>
                <w:szCs w:val="24"/>
              </w:rPr>
              <w:t>Kozakēvičas</w:t>
            </w:r>
            <w:proofErr w:type="spellEnd"/>
            <w:r w:rsidRPr="002443BD">
              <w:rPr>
                <w:rFonts w:ascii="Times New Roman" w:hAnsi="Times New Roman"/>
                <w:sz w:val="24"/>
                <w:szCs w:val="24"/>
              </w:rPr>
              <w:t xml:space="preserve"> Latvijas Nacionālo Kultūras biedrību asociācija</w:t>
            </w:r>
            <w:r>
              <w:rPr>
                <w:rFonts w:ascii="Times New Roman" w:hAnsi="Times New Roman"/>
                <w:sz w:val="24"/>
                <w:szCs w:val="24"/>
              </w:rPr>
              <w:t xml:space="preserve"> 4.2.1.2 pasākuma ietvaros pieejamais Eiropas </w:t>
            </w:r>
            <w:r w:rsidR="005658C5">
              <w:rPr>
                <w:rFonts w:ascii="Times New Roman" w:hAnsi="Times New Roman"/>
                <w:sz w:val="24"/>
                <w:szCs w:val="24"/>
              </w:rPr>
              <w:t>R</w:t>
            </w:r>
            <w:r>
              <w:rPr>
                <w:rFonts w:ascii="Times New Roman" w:hAnsi="Times New Roman"/>
                <w:sz w:val="24"/>
                <w:szCs w:val="24"/>
              </w:rPr>
              <w:t xml:space="preserve">eģionālās attīstības fonda finansējums (turpmāk – ERAF) līdz 850 000 </w:t>
            </w:r>
            <w:proofErr w:type="spellStart"/>
            <w:r w:rsidRPr="002443BD">
              <w:rPr>
                <w:rFonts w:ascii="Times New Roman" w:hAnsi="Times New Roman"/>
                <w:i/>
                <w:iCs/>
                <w:sz w:val="24"/>
                <w:szCs w:val="24"/>
              </w:rPr>
              <w:t>euro</w:t>
            </w:r>
            <w:proofErr w:type="spellEnd"/>
            <w:r>
              <w:rPr>
                <w:rFonts w:ascii="Times New Roman" w:hAnsi="Times New Roman"/>
                <w:sz w:val="24"/>
                <w:szCs w:val="24"/>
              </w:rPr>
              <w:t xml:space="preserve"> un valsts budžeta finansējums līdz 150 000 </w:t>
            </w:r>
            <w:proofErr w:type="spellStart"/>
            <w:r w:rsidRPr="002443BD">
              <w:rPr>
                <w:rFonts w:ascii="Times New Roman" w:hAnsi="Times New Roman"/>
                <w:i/>
                <w:iCs/>
                <w:sz w:val="24"/>
                <w:szCs w:val="24"/>
              </w:rPr>
              <w:t>euro</w:t>
            </w:r>
            <w:proofErr w:type="spellEnd"/>
            <w:r>
              <w:rPr>
                <w:rFonts w:ascii="Times New Roman" w:hAnsi="Times New Roman"/>
                <w:sz w:val="24"/>
                <w:szCs w:val="24"/>
              </w:rPr>
              <w:t xml:space="preserve">. Projekta iesniedzējs </w:t>
            </w:r>
            <w:r w:rsidRPr="002443BD">
              <w:rPr>
                <w:rFonts w:ascii="Times New Roman" w:hAnsi="Times New Roman"/>
                <w:sz w:val="24"/>
                <w:szCs w:val="24"/>
              </w:rPr>
              <w:t>I.</w:t>
            </w:r>
            <w:r w:rsidR="00F74192">
              <w:rPr>
                <w:rFonts w:ascii="Times New Roman" w:hAnsi="Times New Roman"/>
                <w:sz w:val="24"/>
                <w:szCs w:val="24"/>
              </w:rPr>
              <w:t> </w:t>
            </w:r>
            <w:proofErr w:type="spellStart"/>
            <w:r w:rsidRPr="002443BD">
              <w:rPr>
                <w:rFonts w:ascii="Times New Roman" w:hAnsi="Times New Roman"/>
                <w:sz w:val="24"/>
                <w:szCs w:val="24"/>
              </w:rPr>
              <w:t>Kozakēvičas</w:t>
            </w:r>
            <w:proofErr w:type="spellEnd"/>
            <w:r w:rsidRPr="002443BD">
              <w:rPr>
                <w:rFonts w:ascii="Times New Roman" w:hAnsi="Times New Roman"/>
                <w:sz w:val="24"/>
                <w:szCs w:val="24"/>
              </w:rPr>
              <w:t xml:space="preserve"> Latvijas Nacionālo Kultūras biedrību asociācija </w:t>
            </w:r>
            <w:r>
              <w:rPr>
                <w:rFonts w:ascii="Times New Roman" w:hAnsi="Times New Roman"/>
                <w:sz w:val="24"/>
                <w:szCs w:val="24"/>
              </w:rPr>
              <w:t xml:space="preserve">2019.gada 29. martā </w:t>
            </w:r>
            <w:r w:rsidRPr="002443BD">
              <w:rPr>
                <w:rFonts w:ascii="Times New Roman" w:hAnsi="Times New Roman"/>
                <w:sz w:val="24"/>
                <w:szCs w:val="24"/>
              </w:rPr>
              <w:t>ir noslē</w:t>
            </w:r>
            <w:r>
              <w:rPr>
                <w:rFonts w:ascii="Times New Roman" w:hAnsi="Times New Roman"/>
                <w:sz w:val="24"/>
                <w:szCs w:val="24"/>
              </w:rPr>
              <w:t>dzis</w:t>
            </w:r>
            <w:r w:rsidRPr="002443BD">
              <w:rPr>
                <w:rFonts w:ascii="Times New Roman" w:hAnsi="Times New Roman"/>
                <w:sz w:val="24"/>
                <w:szCs w:val="24"/>
              </w:rPr>
              <w:t xml:space="preserve"> līgumu ar CFLA</w:t>
            </w:r>
            <w:r>
              <w:rPr>
                <w:rFonts w:ascii="Times New Roman" w:hAnsi="Times New Roman"/>
                <w:sz w:val="24"/>
                <w:szCs w:val="24"/>
              </w:rPr>
              <w:t xml:space="preserve"> un kopējās attiecināmās izmaksas sastāda 509</w:t>
            </w:r>
            <w:r w:rsidR="0064241A">
              <w:rPr>
                <w:rFonts w:ascii="Times New Roman" w:hAnsi="Times New Roman"/>
                <w:sz w:val="24"/>
                <w:szCs w:val="24"/>
              </w:rPr>
              <w:t> </w:t>
            </w:r>
            <w:r>
              <w:rPr>
                <w:rFonts w:ascii="Times New Roman" w:hAnsi="Times New Roman"/>
                <w:sz w:val="24"/>
                <w:szCs w:val="24"/>
              </w:rPr>
              <w:t>528</w:t>
            </w:r>
            <w:r w:rsidR="0064241A">
              <w:rPr>
                <w:rFonts w:ascii="Times New Roman" w:hAnsi="Times New Roman"/>
                <w:sz w:val="24"/>
                <w:szCs w:val="24"/>
              </w:rPr>
              <w:t> </w:t>
            </w:r>
            <w:r>
              <w:rPr>
                <w:rFonts w:ascii="Times New Roman" w:hAnsi="Times New Roman"/>
                <w:sz w:val="24"/>
                <w:szCs w:val="24"/>
              </w:rPr>
              <w:t xml:space="preserve"> </w:t>
            </w:r>
            <w:proofErr w:type="spellStart"/>
            <w:r w:rsidRPr="00F20FF3">
              <w:rPr>
                <w:rFonts w:ascii="Times New Roman" w:hAnsi="Times New Roman"/>
                <w:i/>
                <w:iCs/>
                <w:sz w:val="24"/>
                <w:szCs w:val="24"/>
              </w:rPr>
              <w:t>euro</w:t>
            </w:r>
            <w:proofErr w:type="spellEnd"/>
            <w:r>
              <w:rPr>
                <w:rFonts w:ascii="Times New Roman" w:hAnsi="Times New Roman"/>
                <w:sz w:val="24"/>
                <w:szCs w:val="24"/>
              </w:rPr>
              <w:t xml:space="preserve">. 2019.gada 6.augustā tika saņemta informācija, ka </w:t>
            </w:r>
            <w:r w:rsidRPr="002443BD">
              <w:rPr>
                <w:rFonts w:ascii="Times New Roman" w:hAnsi="Times New Roman"/>
                <w:sz w:val="24"/>
                <w:szCs w:val="24"/>
              </w:rPr>
              <w:t>I.</w:t>
            </w:r>
            <w:r w:rsidR="000853FD">
              <w:rPr>
                <w:rFonts w:ascii="Times New Roman" w:hAnsi="Times New Roman"/>
                <w:sz w:val="24"/>
                <w:szCs w:val="24"/>
              </w:rPr>
              <w:t> </w:t>
            </w:r>
            <w:proofErr w:type="spellStart"/>
            <w:r w:rsidRPr="002443BD">
              <w:rPr>
                <w:rFonts w:ascii="Times New Roman" w:hAnsi="Times New Roman"/>
                <w:sz w:val="24"/>
                <w:szCs w:val="24"/>
              </w:rPr>
              <w:t>Kozakēvičas</w:t>
            </w:r>
            <w:proofErr w:type="spellEnd"/>
            <w:r w:rsidRPr="002443BD">
              <w:rPr>
                <w:rFonts w:ascii="Times New Roman" w:hAnsi="Times New Roman"/>
                <w:sz w:val="24"/>
                <w:szCs w:val="24"/>
              </w:rPr>
              <w:t xml:space="preserve"> Latvijas Nacionālo Kultūras biedrību asociācija</w:t>
            </w:r>
            <w:r>
              <w:rPr>
                <w:rFonts w:ascii="Times New Roman" w:hAnsi="Times New Roman"/>
                <w:sz w:val="24"/>
                <w:szCs w:val="24"/>
              </w:rPr>
              <w:t xml:space="preserve"> </w:t>
            </w:r>
            <w:r w:rsidRPr="00F20FF3">
              <w:rPr>
                <w:rFonts w:ascii="Times New Roman" w:hAnsi="Times New Roman"/>
                <w:sz w:val="24"/>
                <w:szCs w:val="24"/>
              </w:rPr>
              <w:t>vairs neiesniegs jaunus projekta iesniegumus 4.2.1.2</w:t>
            </w:r>
            <w:r w:rsidR="00073A90">
              <w:rPr>
                <w:rFonts w:ascii="Times New Roman" w:hAnsi="Times New Roman"/>
                <w:sz w:val="24"/>
                <w:szCs w:val="24"/>
              </w:rPr>
              <w:t>. </w:t>
            </w:r>
            <w:r w:rsidRPr="00F20FF3">
              <w:rPr>
                <w:rFonts w:ascii="Times New Roman" w:hAnsi="Times New Roman"/>
                <w:sz w:val="24"/>
                <w:szCs w:val="24"/>
              </w:rPr>
              <w:t>pasākuma 2.kārtas ietvaros, kā arī nepalielinās projekta attiecināmo izmaksu apjomu jau noslēgtā līguma par projekta īstenošan</w:t>
            </w:r>
            <w:r>
              <w:rPr>
                <w:rFonts w:ascii="Times New Roman" w:hAnsi="Times New Roman"/>
                <w:sz w:val="24"/>
                <w:szCs w:val="24"/>
              </w:rPr>
              <w:t>as</w:t>
            </w:r>
            <w:r w:rsidRPr="00F20FF3">
              <w:rPr>
                <w:rFonts w:ascii="Times New Roman" w:hAnsi="Times New Roman"/>
                <w:sz w:val="24"/>
                <w:szCs w:val="24"/>
              </w:rPr>
              <w:t xml:space="preserve"> ietvaros</w:t>
            </w:r>
            <w:r>
              <w:rPr>
                <w:rFonts w:ascii="Times New Roman" w:hAnsi="Times New Roman"/>
                <w:sz w:val="24"/>
                <w:szCs w:val="24"/>
              </w:rPr>
              <w:t xml:space="preserve">, kā rezultātā veidojas atlikums </w:t>
            </w:r>
            <w:r w:rsidR="00CD317D">
              <w:rPr>
                <w:rFonts w:ascii="Times New Roman" w:hAnsi="Times New Roman"/>
                <w:sz w:val="24"/>
                <w:szCs w:val="24"/>
              </w:rPr>
              <w:t>490 </w:t>
            </w:r>
            <w:r>
              <w:rPr>
                <w:rFonts w:ascii="Times New Roman" w:hAnsi="Times New Roman"/>
                <w:sz w:val="24"/>
                <w:szCs w:val="24"/>
              </w:rPr>
              <w:t xml:space="preserve">472 </w:t>
            </w:r>
            <w:proofErr w:type="spellStart"/>
            <w:r w:rsidRPr="0001457E">
              <w:rPr>
                <w:rFonts w:ascii="Times New Roman" w:hAnsi="Times New Roman"/>
                <w:i/>
                <w:iCs/>
                <w:sz w:val="24"/>
                <w:szCs w:val="24"/>
              </w:rPr>
              <w:t>euro</w:t>
            </w:r>
            <w:proofErr w:type="spellEnd"/>
            <w:r>
              <w:rPr>
                <w:rFonts w:ascii="Times New Roman" w:hAnsi="Times New Roman"/>
                <w:sz w:val="24"/>
                <w:szCs w:val="24"/>
              </w:rPr>
              <w:t xml:space="preserve"> apmērā</w:t>
            </w:r>
            <w:r w:rsidRPr="00F20FF3">
              <w:rPr>
                <w:rFonts w:ascii="Times New Roman" w:hAnsi="Times New Roman"/>
                <w:sz w:val="24"/>
                <w:szCs w:val="24"/>
              </w:rPr>
              <w:t xml:space="preserve">. </w:t>
            </w:r>
            <w:r>
              <w:rPr>
                <w:rFonts w:ascii="Times New Roman" w:hAnsi="Times New Roman"/>
                <w:sz w:val="24"/>
                <w:szCs w:val="24"/>
              </w:rPr>
              <w:t xml:space="preserve">Pamatojoties uz sniegto informāciju Kultūras ministrijas 2019.gada 11.aprīļa vēstulē Nr.2.6-1/749, kurā lūdz izvērtēt iespēju finansējuma atlikumu novirzīt finansējuma saņēmējiem </w:t>
            </w:r>
            <w:r w:rsidR="00BC7EE5">
              <w:rPr>
                <w:rFonts w:ascii="Times New Roman" w:hAnsi="Times New Roman"/>
                <w:sz w:val="24"/>
                <w:szCs w:val="24"/>
              </w:rPr>
              <w:t>valsts sabiedrība</w:t>
            </w:r>
            <w:r w:rsidR="008910D8">
              <w:rPr>
                <w:rFonts w:ascii="Times New Roman" w:hAnsi="Times New Roman"/>
                <w:sz w:val="24"/>
                <w:szCs w:val="24"/>
              </w:rPr>
              <w:t>s</w:t>
            </w:r>
            <w:r w:rsidR="00BC7EE5">
              <w:rPr>
                <w:rFonts w:ascii="Times New Roman" w:hAnsi="Times New Roman"/>
                <w:sz w:val="24"/>
                <w:szCs w:val="24"/>
              </w:rPr>
              <w:t xml:space="preserve"> </w:t>
            </w:r>
            <w:r w:rsidR="008910D8" w:rsidRPr="0062491B">
              <w:rPr>
                <w:rFonts w:ascii="Times New Roman" w:hAnsi="Times New Roman"/>
                <w:sz w:val="24"/>
                <w:szCs w:val="24"/>
              </w:rPr>
              <w:t xml:space="preserve">ar ierobežotu atbildību </w:t>
            </w:r>
            <w:r w:rsidR="00BC7EE5">
              <w:rPr>
                <w:rFonts w:ascii="Times New Roman" w:hAnsi="Times New Roman"/>
                <w:sz w:val="24"/>
                <w:szCs w:val="24"/>
              </w:rPr>
              <w:t xml:space="preserve">(turpmāk – </w:t>
            </w:r>
            <w:r>
              <w:rPr>
                <w:rFonts w:ascii="Times New Roman" w:hAnsi="Times New Roman"/>
                <w:sz w:val="24"/>
                <w:szCs w:val="24"/>
              </w:rPr>
              <w:t>VSIA</w:t>
            </w:r>
            <w:r w:rsidR="00BC7EE5">
              <w:rPr>
                <w:rFonts w:ascii="Times New Roman" w:hAnsi="Times New Roman"/>
                <w:sz w:val="24"/>
                <w:szCs w:val="24"/>
              </w:rPr>
              <w:t>)</w:t>
            </w:r>
            <w:r>
              <w:rPr>
                <w:rFonts w:ascii="Times New Roman" w:hAnsi="Times New Roman"/>
                <w:sz w:val="24"/>
                <w:szCs w:val="24"/>
              </w:rPr>
              <w:t xml:space="preserve"> “Dailes teātris” un VSIA “Latvijas Leļļu teātris” energoefektivitātes paaugstināšanai. Projekta iesniegumam “Energoefektivitātes paaugstināšana ēkā </w:t>
            </w:r>
            <w:proofErr w:type="spellStart"/>
            <w:r>
              <w:rPr>
                <w:rFonts w:ascii="Times New Roman" w:hAnsi="Times New Roman"/>
                <w:sz w:val="24"/>
                <w:szCs w:val="24"/>
              </w:rPr>
              <w:t>Kr.Barona</w:t>
            </w:r>
            <w:proofErr w:type="spellEnd"/>
            <w:r>
              <w:rPr>
                <w:rFonts w:ascii="Times New Roman" w:hAnsi="Times New Roman"/>
                <w:sz w:val="24"/>
                <w:szCs w:val="24"/>
              </w:rPr>
              <w:t xml:space="preserve"> ielā 16/18” tiek lūgts pārdalīt papildus finansējumu 33 325 </w:t>
            </w:r>
            <w:proofErr w:type="spellStart"/>
            <w:r w:rsidRPr="00FC4CA8">
              <w:rPr>
                <w:rFonts w:ascii="Times New Roman" w:hAnsi="Times New Roman"/>
                <w:i/>
                <w:iCs/>
                <w:sz w:val="24"/>
                <w:szCs w:val="24"/>
              </w:rPr>
              <w:t>euro</w:t>
            </w:r>
            <w:proofErr w:type="spellEnd"/>
            <w:r>
              <w:rPr>
                <w:rFonts w:ascii="Times New Roman" w:hAnsi="Times New Roman"/>
                <w:sz w:val="24"/>
                <w:szCs w:val="24"/>
              </w:rPr>
              <w:t xml:space="preserve"> apmērā un projekta iesniegumam “Energoefektivitātes paaugstināšana VSIA ēkā Brīvības ielā 75, Rīgā” papildu finansējumu 457 148 </w:t>
            </w:r>
            <w:proofErr w:type="spellStart"/>
            <w:r w:rsidRPr="00FC4CA8">
              <w:rPr>
                <w:rFonts w:ascii="Times New Roman" w:hAnsi="Times New Roman"/>
                <w:i/>
                <w:iCs/>
                <w:sz w:val="24"/>
                <w:szCs w:val="24"/>
              </w:rPr>
              <w:t>euro</w:t>
            </w:r>
            <w:proofErr w:type="spellEnd"/>
            <w:r>
              <w:rPr>
                <w:rFonts w:ascii="Times New Roman" w:hAnsi="Times New Roman"/>
                <w:sz w:val="24"/>
                <w:szCs w:val="24"/>
              </w:rPr>
              <w:t xml:space="preserve"> apmērā.</w:t>
            </w:r>
            <w:r w:rsidR="00AD47F8">
              <w:rPr>
                <w:rFonts w:ascii="Times New Roman" w:hAnsi="Times New Roman"/>
                <w:sz w:val="24"/>
                <w:szCs w:val="24"/>
              </w:rPr>
              <w:t xml:space="preserve"> </w:t>
            </w:r>
            <w:r>
              <w:rPr>
                <w:rFonts w:ascii="Times New Roman" w:hAnsi="Times New Roman"/>
                <w:sz w:val="24"/>
                <w:szCs w:val="24"/>
              </w:rPr>
              <w:t xml:space="preserve">Finansējuma saņēmēja </w:t>
            </w:r>
            <w:r w:rsidRPr="002443BD">
              <w:rPr>
                <w:rFonts w:ascii="Times New Roman" w:hAnsi="Times New Roman"/>
                <w:sz w:val="24"/>
                <w:szCs w:val="24"/>
              </w:rPr>
              <w:t>I.</w:t>
            </w:r>
            <w:r w:rsidR="00335DAE">
              <w:rPr>
                <w:rFonts w:ascii="Times New Roman" w:hAnsi="Times New Roman"/>
                <w:sz w:val="24"/>
                <w:szCs w:val="24"/>
              </w:rPr>
              <w:t> </w:t>
            </w:r>
            <w:proofErr w:type="spellStart"/>
            <w:r w:rsidRPr="002443BD">
              <w:rPr>
                <w:rFonts w:ascii="Times New Roman" w:hAnsi="Times New Roman"/>
                <w:sz w:val="24"/>
                <w:szCs w:val="24"/>
              </w:rPr>
              <w:t>Kozakēvičas</w:t>
            </w:r>
            <w:proofErr w:type="spellEnd"/>
            <w:r w:rsidRPr="002443BD">
              <w:rPr>
                <w:rFonts w:ascii="Times New Roman" w:hAnsi="Times New Roman"/>
                <w:sz w:val="24"/>
                <w:szCs w:val="24"/>
              </w:rPr>
              <w:t xml:space="preserve"> Latvijas Nacionālo Kultūras biedrību asociācija</w:t>
            </w:r>
            <w:r>
              <w:rPr>
                <w:rFonts w:ascii="Times New Roman" w:hAnsi="Times New Roman"/>
                <w:sz w:val="24"/>
                <w:szCs w:val="24"/>
              </w:rPr>
              <w:t>s atlikums 4</w:t>
            </w:r>
            <w:r w:rsidR="009351A7">
              <w:rPr>
                <w:rFonts w:ascii="Times New Roman" w:hAnsi="Times New Roman"/>
                <w:sz w:val="24"/>
                <w:szCs w:val="24"/>
              </w:rPr>
              <w:t>90</w:t>
            </w:r>
            <w:r>
              <w:rPr>
                <w:rFonts w:ascii="Times New Roman" w:hAnsi="Times New Roman"/>
                <w:sz w:val="24"/>
                <w:szCs w:val="24"/>
              </w:rPr>
              <w:t xml:space="preserve"> 472 </w:t>
            </w:r>
            <w:proofErr w:type="spellStart"/>
            <w:r w:rsidRPr="005B573D">
              <w:rPr>
                <w:rFonts w:ascii="Times New Roman" w:hAnsi="Times New Roman"/>
                <w:i/>
                <w:iCs/>
                <w:sz w:val="24"/>
                <w:szCs w:val="24"/>
              </w:rPr>
              <w:t>euro</w:t>
            </w:r>
            <w:proofErr w:type="spellEnd"/>
            <w:r>
              <w:rPr>
                <w:rFonts w:ascii="Times New Roman" w:hAnsi="Times New Roman"/>
                <w:sz w:val="24"/>
                <w:szCs w:val="24"/>
              </w:rPr>
              <w:t xml:space="preserve"> tiek pārdalīts VSIA “Dailes teātris” un VSIA “Latvijas Leļļu </w:t>
            </w:r>
            <w:r>
              <w:rPr>
                <w:rFonts w:ascii="Times New Roman" w:hAnsi="Times New Roman"/>
                <w:sz w:val="24"/>
                <w:szCs w:val="24"/>
              </w:rPr>
              <w:lastRenderedPageBreak/>
              <w:t>teātris” projektiem, lai nodrošinātu norādīto energoresursu ietaupījumu un ēkas nodošanu ekspluatācijā.</w:t>
            </w:r>
          </w:p>
          <w:p w14:paraId="0AEB3757" w14:textId="2E267D42" w:rsidR="005760E5" w:rsidRDefault="0098221F" w:rsidP="00C95AD4">
            <w:pPr>
              <w:spacing w:after="0" w:line="240" w:lineRule="auto"/>
              <w:ind w:firstLine="201"/>
              <w:contextualSpacing/>
              <w:jc w:val="both"/>
              <w:rPr>
                <w:rFonts w:ascii="Times New Roman" w:hAnsi="Times New Roman"/>
                <w:sz w:val="24"/>
                <w:szCs w:val="24"/>
              </w:rPr>
            </w:pPr>
            <w:r>
              <w:rPr>
                <w:rFonts w:ascii="Times New Roman" w:hAnsi="Times New Roman"/>
                <w:sz w:val="24"/>
                <w:szCs w:val="24"/>
              </w:rPr>
              <w:t>Veselības ministrija ir sniegusi informāciju par finansējuma saņēmējiem, kuri ir atsaukuši iesniegtos projekta iesniegumus CFLA un atsaukto projektu publiskā finansējuma pārdali citiem finansējuma saņēmējiem, jo</w:t>
            </w:r>
            <w:r w:rsidR="0046396C">
              <w:rPr>
                <w:rFonts w:ascii="Times New Roman" w:hAnsi="Times New Roman"/>
                <w:sz w:val="24"/>
                <w:szCs w:val="24"/>
              </w:rPr>
              <w:t>,</w:t>
            </w:r>
            <w:r>
              <w:rPr>
                <w:rFonts w:ascii="Times New Roman" w:hAnsi="Times New Roman"/>
                <w:sz w:val="24"/>
                <w:szCs w:val="24"/>
              </w:rPr>
              <w:t xml:space="preserve"> izvērtējot atsaukto projektu rādītājus</w:t>
            </w:r>
            <w:r w:rsidR="0046396C">
              <w:rPr>
                <w:rFonts w:ascii="Times New Roman" w:hAnsi="Times New Roman"/>
                <w:sz w:val="24"/>
                <w:szCs w:val="24"/>
              </w:rPr>
              <w:t>,</w:t>
            </w:r>
            <w:r>
              <w:rPr>
                <w:rFonts w:ascii="Times New Roman" w:hAnsi="Times New Roman"/>
                <w:sz w:val="24"/>
                <w:szCs w:val="24"/>
              </w:rPr>
              <w:t xml:space="preserve"> pastāv risks nesasniegt noteiktos minimālos enerģijas ietaupījuma rādītājus.</w:t>
            </w:r>
            <w:r w:rsidR="00C95AD4">
              <w:rPr>
                <w:rFonts w:ascii="Times New Roman" w:hAnsi="Times New Roman"/>
                <w:sz w:val="24"/>
                <w:szCs w:val="24"/>
              </w:rPr>
              <w:t xml:space="preserve"> Ierosinājumus finansējuma pārdalēm lūgušas arī citas ministrijas. </w:t>
            </w:r>
            <w:r w:rsidR="00CE6183" w:rsidRPr="00CE6183">
              <w:rPr>
                <w:rFonts w:ascii="Times New Roman" w:hAnsi="Times New Roman"/>
                <w:sz w:val="24"/>
                <w:szCs w:val="24"/>
              </w:rPr>
              <w:t xml:space="preserve">Ministru kabineta 2018. gada 4. janvāra noteikumi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w:t>
            </w:r>
            <w:r w:rsidR="00CE6183">
              <w:rPr>
                <w:rFonts w:ascii="Times New Roman" w:hAnsi="Times New Roman"/>
                <w:sz w:val="24"/>
                <w:szCs w:val="24"/>
              </w:rPr>
              <w:t>(turpmāk – MK noteikumu</w:t>
            </w:r>
            <w:r w:rsidR="005760E5" w:rsidRPr="0059104A">
              <w:rPr>
                <w:rFonts w:ascii="Times New Roman" w:hAnsi="Times New Roman"/>
                <w:sz w:val="24"/>
                <w:szCs w:val="24"/>
              </w:rPr>
              <w:t xml:space="preserve"> Nr. </w:t>
            </w:r>
            <w:r w:rsidR="005760E5">
              <w:rPr>
                <w:rFonts w:ascii="Times New Roman" w:hAnsi="Times New Roman"/>
                <w:sz w:val="24"/>
                <w:szCs w:val="24"/>
              </w:rPr>
              <w:t>13</w:t>
            </w:r>
            <w:r w:rsidR="00CE6183">
              <w:rPr>
                <w:rFonts w:ascii="Times New Roman" w:hAnsi="Times New Roman"/>
                <w:sz w:val="24"/>
                <w:szCs w:val="24"/>
              </w:rPr>
              <w:t>)</w:t>
            </w:r>
            <w:r w:rsidR="005760E5">
              <w:rPr>
                <w:rFonts w:ascii="Times New Roman" w:hAnsi="Times New Roman"/>
                <w:sz w:val="24"/>
                <w:szCs w:val="24"/>
              </w:rPr>
              <w:t xml:space="preserve"> 1. pielikumā katram finansējuma saņēmējām</w:t>
            </w:r>
            <w:r w:rsidR="005760E5" w:rsidRPr="0059104A">
              <w:rPr>
                <w:rFonts w:ascii="Times New Roman" w:hAnsi="Times New Roman"/>
                <w:sz w:val="24"/>
                <w:szCs w:val="24"/>
              </w:rPr>
              <w:t xml:space="preserve"> ir </w:t>
            </w:r>
            <w:r w:rsidR="005760E5">
              <w:rPr>
                <w:rFonts w:ascii="Times New Roman" w:hAnsi="Times New Roman"/>
                <w:sz w:val="24"/>
                <w:szCs w:val="24"/>
              </w:rPr>
              <w:t>norādīts piešķirtais publiskais finansējums, kas sastāv no ERAF un valsts budžeta finansējuma.</w:t>
            </w:r>
          </w:p>
          <w:p w14:paraId="0BBD3FC6" w14:textId="77777777" w:rsidR="005760E5" w:rsidRDefault="005760E5" w:rsidP="00C95AD4">
            <w:pPr>
              <w:spacing w:after="0" w:line="240" w:lineRule="auto"/>
              <w:ind w:firstLine="201"/>
              <w:contextualSpacing/>
              <w:jc w:val="both"/>
              <w:rPr>
                <w:rFonts w:ascii="Times New Roman" w:hAnsi="Times New Roman"/>
                <w:sz w:val="24"/>
                <w:szCs w:val="24"/>
              </w:rPr>
            </w:pPr>
          </w:p>
          <w:p w14:paraId="0026127D" w14:textId="7E3075A0" w:rsidR="00C95AD4" w:rsidRDefault="00C95AD4" w:rsidP="00C41782">
            <w:pPr>
              <w:spacing w:after="0" w:line="240" w:lineRule="auto"/>
              <w:ind w:right="35" w:firstLine="201"/>
              <w:jc w:val="both"/>
              <w:rPr>
                <w:rFonts w:ascii="Times New Roman" w:hAnsi="Times New Roman"/>
                <w:sz w:val="24"/>
                <w:szCs w:val="24"/>
              </w:rPr>
            </w:pPr>
            <w:r w:rsidRPr="00CE6183">
              <w:rPr>
                <w:rFonts w:ascii="Times New Roman" w:hAnsi="Times New Roman"/>
                <w:b/>
                <w:bCs/>
                <w:i/>
                <w:iCs/>
                <w:sz w:val="24"/>
                <w:szCs w:val="24"/>
                <w:u w:val="single"/>
              </w:rPr>
              <w:t xml:space="preserve">Attiecīgi </w:t>
            </w:r>
            <w:r w:rsidR="005760E5" w:rsidRPr="00CE6183">
              <w:rPr>
                <w:rFonts w:ascii="Times New Roman" w:hAnsi="Times New Roman"/>
                <w:b/>
                <w:bCs/>
                <w:i/>
                <w:iCs/>
                <w:sz w:val="24"/>
                <w:szCs w:val="24"/>
                <w:u w:val="single"/>
              </w:rPr>
              <w:t>t</w:t>
            </w:r>
            <w:r w:rsidR="005760E5">
              <w:rPr>
                <w:rFonts w:ascii="Times New Roman" w:hAnsi="Times New Roman"/>
                <w:b/>
                <w:i/>
                <w:sz w:val="24"/>
                <w:szCs w:val="24"/>
                <w:u w:val="single"/>
              </w:rPr>
              <w:t>iek p</w:t>
            </w:r>
            <w:r w:rsidR="005760E5" w:rsidRPr="0098221F">
              <w:rPr>
                <w:rFonts w:ascii="Times New Roman" w:hAnsi="Times New Roman"/>
                <w:b/>
                <w:i/>
                <w:sz w:val="24"/>
                <w:szCs w:val="24"/>
                <w:u w:val="single"/>
              </w:rPr>
              <w:t>recizēt</w:t>
            </w:r>
            <w:r w:rsidR="005760E5">
              <w:rPr>
                <w:rFonts w:ascii="Times New Roman" w:hAnsi="Times New Roman"/>
                <w:b/>
                <w:i/>
                <w:sz w:val="24"/>
                <w:szCs w:val="24"/>
                <w:u w:val="single"/>
              </w:rPr>
              <w:t>s</w:t>
            </w:r>
            <w:r w:rsidR="005760E5" w:rsidRPr="0098221F">
              <w:rPr>
                <w:rFonts w:ascii="Times New Roman" w:hAnsi="Times New Roman"/>
                <w:b/>
                <w:i/>
                <w:sz w:val="24"/>
                <w:szCs w:val="24"/>
                <w:u w:val="single"/>
              </w:rPr>
              <w:t xml:space="preserve"> </w:t>
            </w:r>
            <w:r w:rsidR="005760E5">
              <w:rPr>
                <w:rFonts w:ascii="Times New Roman" w:hAnsi="Times New Roman"/>
                <w:b/>
                <w:i/>
                <w:sz w:val="24"/>
                <w:szCs w:val="24"/>
                <w:u w:val="single"/>
              </w:rPr>
              <w:t>N</w:t>
            </w:r>
            <w:r w:rsidR="005760E5" w:rsidRPr="0098221F">
              <w:rPr>
                <w:rFonts w:ascii="Times New Roman" w:hAnsi="Times New Roman"/>
                <w:b/>
                <w:i/>
                <w:sz w:val="24"/>
                <w:szCs w:val="24"/>
                <w:u w:val="single"/>
              </w:rPr>
              <w:t xml:space="preserve">oteikumu </w:t>
            </w:r>
            <w:r w:rsidR="005760E5">
              <w:rPr>
                <w:rFonts w:ascii="Times New Roman" w:hAnsi="Times New Roman"/>
                <w:b/>
                <w:i/>
                <w:sz w:val="24"/>
                <w:szCs w:val="24"/>
                <w:u w:val="single"/>
              </w:rPr>
              <w:t xml:space="preserve">Nr.13 </w:t>
            </w:r>
            <w:r w:rsidR="005760E5" w:rsidRPr="0098221F">
              <w:rPr>
                <w:rFonts w:ascii="Times New Roman" w:hAnsi="Times New Roman"/>
                <w:b/>
                <w:i/>
                <w:sz w:val="24"/>
                <w:szCs w:val="24"/>
                <w:u w:val="single"/>
              </w:rPr>
              <w:t>1.</w:t>
            </w:r>
            <w:r w:rsidR="005760E5">
              <w:rPr>
                <w:rFonts w:ascii="Times New Roman" w:hAnsi="Times New Roman"/>
                <w:b/>
                <w:i/>
                <w:sz w:val="24"/>
                <w:szCs w:val="24"/>
                <w:u w:val="single"/>
              </w:rPr>
              <w:t> </w:t>
            </w:r>
            <w:r w:rsidR="005760E5" w:rsidRPr="0098221F">
              <w:rPr>
                <w:rFonts w:ascii="Times New Roman" w:hAnsi="Times New Roman"/>
                <w:b/>
                <w:i/>
                <w:sz w:val="24"/>
                <w:szCs w:val="24"/>
                <w:u w:val="single"/>
              </w:rPr>
              <w:t>pielikum</w:t>
            </w:r>
            <w:r w:rsidR="005760E5">
              <w:rPr>
                <w:rFonts w:ascii="Times New Roman" w:hAnsi="Times New Roman"/>
                <w:b/>
                <w:i/>
                <w:sz w:val="24"/>
                <w:szCs w:val="24"/>
                <w:u w:val="single"/>
              </w:rPr>
              <w:t>s,</w:t>
            </w:r>
            <w:r w:rsidR="005760E5" w:rsidRPr="0098221F">
              <w:rPr>
                <w:rFonts w:ascii="Times New Roman" w:hAnsi="Times New Roman"/>
                <w:b/>
                <w:i/>
                <w:sz w:val="24"/>
                <w:szCs w:val="24"/>
                <w:u w:val="single"/>
              </w:rPr>
              <w:t xml:space="preserve"> pārdalot publisko finansējumu starp finansējuma saņēmējiem</w:t>
            </w:r>
            <w:r w:rsidR="005760E5">
              <w:rPr>
                <w:rFonts w:ascii="Times New Roman" w:hAnsi="Times New Roman"/>
                <w:b/>
                <w:i/>
                <w:sz w:val="24"/>
                <w:szCs w:val="24"/>
                <w:u w:val="single"/>
              </w:rPr>
              <w:t>:</w:t>
            </w:r>
          </w:p>
          <w:p w14:paraId="7A842F14" w14:textId="77777777" w:rsidR="005760E5" w:rsidRPr="00C41782" w:rsidRDefault="005760E5" w:rsidP="005760E5">
            <w:pPr>
              <w:spacing w:after="0" w:line="240" w:lineRule="auto"/>
              <w:ind w:firstLine="201"/>
              <w:contextualSpacing/>
              <w:jc w:val="both"/>
              <w:rPr>
                <w:rFonts w:ascii="Times New Roman" w:hAnsi="Times New Roman"/>
                <w:b/>
                <w:bCs/>
                <w:sz w:val="24"/>
                <w:szCs w:val="24"/>
              </w:rPr>
            </w:pPr>
          </w:p>
          <w:p w14:paraId="3CA7AA8D" w14:textId="1691D810" w:rsidR="00C95AD4" w:rsidRPr="001C6364" w:rsidRDefault="00C95AD4" w:rsidP="00B85D0F">
            <w:pPr>
              <w:spacing w:after="0" w:line="240" w:lineRule="auto"/>
              <w:contextualSpacing/>
              <w:jc w:val="both"/>
              <w:rPr>
                <w:rFonts w:ascii="Times New Roman" w:hAnsi="Times New Roman"/>
                <w:sz w:val="24"/>
                <w:szCs w:val="24"/>
              </w:rPr>
            </w:pPr>
            <w:r w:rsidRPr="001C6364">
              <w:rPr>
                <w:rFonts w:ascii="Times New Roman" w:hAnsi="Times New Roman"/>
                <w:sz w:val="24"/>
                <w:szCs w:val="24"/>
              </w:rPr>
              <w:t xml:space="preserve">1) </w:t>
            </w:r>
            <w:r w:rsidR="00B85D0F" w:rsidRPr="00C41782">
              <w:rPr>
                <w:rFonts w:ascii="Times New Roman" w:hAnsi="Times New Roman"/>
                <w:sz w:val="24"/>
                <w:szCs w:val="24"/>
              </w:rPr>
              <w:t xml:space="preserve">Itas </w:t>
            </w:r>
            <w:proofErr w:type="spellStart"/>
            <w:r w:rsidR="00B85D0F" w:rsidRPr="00C41782">
              <w:rPr>
                <w:rFonts w:ascii="Times New Roman" w:hAnsi="Times New Roman"/>
                <w:sz w:val="24"/>
                <w:szCs w:val="24"/>
              </w:rPr>
              <w:t>Kozakēvičas</w:t>
            </w:r>
            <w:proofErr w:type="spellEnd"/>
            <w:r w:rsidR="00B85D0F" w:rsidRPr="00C41782">
              <w:rPr>
                <w:rFonts w:ascii="Times New Roman" w:hAnsi="Times New Roman"/>
                <w:sz w:val="24"/>
                <w:szCs w:val="24"/>
              </w:rPr>
              <w:t xml:space="preserve"> Latvijas Nacionālo Kultūras Biedrību Asociācijas </w:t>
            </w:r>
            <w:r w:rsidR="001C6364" w:rsidRPr="00C41782">
              <w:rPr>
                <w:rFonts w:ascii="Times New Roman" w:hAnsi="Times New Roman"/>
                <w:sz w:val="24"/>
                <w:szCs w:val="24"/>
              </w:rPr>
              <w:t xml:space="preserve">publiskā finansējuma </w:t>
            </w:r>
            <w:r w:rsidR="00B85D0F" w:rsidRPr="00C41782">
              <w:rPr>
                <w:rFonts w:ascii="Times New Roman" w:hAnsi="Times New Roman"/>
                <w:sz w:val="24"/>
                <w:szCs w:val="24"/>
              </w:rPr>
              <w:t>atlikuma (</w:t>
            </w:r>
            <w:r w:rsidR="001C6364" w:rsidRPr="001C6364">
              <w:rPr>
                <w:rFonts w:ascii="Times New Roman" w:hAnsi="Times New Roman"/>
                <w:sz w:val="24"/>
                <w:szCs w:val="24"/>
              </w:rPr>
              <w:t>4</w:t>
            </w:r>
            <w:r w:rsidR="00CD317D">
              <w:rPr>
                <w:rFonts w:ascii="Times New Roman" w:hAnsi="Times New Roman"/>
                <w:sz w:val="24"/>
                <w:szCs w:val="24"/>
              </w:rPr>
              <w:t>90</w:t>
            </w:r>
            <w:r w:rsidR="001C6364" w:rsidRPr="001C6364">
              <w:rPr>
                <w:rFonts w:ascii="Times New Roman" w:hAnsi="Times New Roman"/>
                <w:sz w:val="24"/>
                <w:szCs w:val="24"/>
              </w:rPr>
              <w:t xml:space="preserve"> 472 </w:t>
            </w:r>
            <w:proofErr w:type="spellStart"/>
            <w:r w:rsidR="001C6364" w:rsidRPr="001C6364">
              <w:rPr>
                <w:rFonts w:ascii="Times New Roman" w:hAnsi="Times New Roman"/>
                <w:i/>
                <w:iCs/>
                <w:sz w:val="24"/>
                <w:szCs w:val="24"/>
              </w:rPr>
              <w:t>euro</w:t>
            </w:r>
            <w:proofErr w:type="spellEnd"/>
            <w:r w:rsidR="001C6364" w:rsidRPr="001C6364">
              <w:rPr>
                <w:rFonts w:ascii="Times New Roman" w:hAnsi="Times New Roman"/>
                <w:i/>
                <w:iCs/>
                <w:sz w:val="24"/>
                <w:szCs w:val="24"/>
              </w:rPr>
              <w:t>)</w:t>
            </w:r>
            <w:r w:rsidR="00B85D0F" w:rsidRPr="00C41782">
              <w:rPr>
                <w:rFonts w:ascii="Times New Roman" w:hAnsi="Times New Roman"/>
                <w:sz w:val="24"/>
                <w:szCs w:val="24"/>
              </w:rPr>
              <w:t xml:space="preserve"> novirzīšana VSIA “Dailes teātris” un VSIA “Latvijas Leļļu teātris” projektu īste</w:t>
            </w:r>
            <w:r w:rsidR="001C6364">
              <w:rPr>
                <w:rFonts w:ascii="Times New Roman" w:hAnsi="Times New Roman"/>
                <w:sz w:val="24"/>
                <w:szCs w:val="24"/>
              </w:rPr>
              <w:t>n</w:t>
            </w:r>
            <w:r w:rsidR="00B85D0F" w:rsidRPr="00C41782">
              <w:rPr>
                <w:rFonts w:ascii="Times New Roman" w:hAnsi="Times New Roman"/>
                <w:sz w:val="24"/>
                <w:szCs w:val="24"/>
              </w:rPr>
              <w:t>ošanai</w:t>
            </w:r>
            <w:r w:rsidR="001C6364">
              <w:rPr>
                <w:rFonts w:ascii="Times New Roman" w:hAnsi="Times New Roman"/>
                <w:sz w:val="24"/>
                <w:szCs w:val="24"/>
              </w:rPr>
              <w:t xml:space="preserve">. Minēto pārdaļu rezultātā nemainās atjaunojamo ēku skaits, bet tiek nodrošināta efektīvāka publiskā finansējuma izmantošana. </w:t>
            </w:r>
          </w:p>
          <w:p w14:paraId="43E54AFC" w14:textId="4E7A80E2" w:rsidR="00B85D0F" w:rsidRDefault="00B85D0F" w:rsidP="00B85D0F">
            <w:pPr>
              <w:spacing w:after="0" w:line="240" w:lineRule="auto"/>
              <w:contextual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322"/>
              <w:gridCol w:w="1701"/>
              <w:gridCol w:w="1892"/>
            </w:tblGrid>
            <w:tr w:rsidR="00B85D0F" w14:paraId="138ADA2E" w14:textId="77777777" w:rsidTr="00B85D0F">
              <w:tc>
                <w:tcPr>
                  <w:tcW w:w="2322" w:type="dxa"/>
                </w:tcPr>
                <w:p w14:paraId="132EB9A4" w14:textId="77777777" w:rsidR="00B85D0F" w:rsidRPr="00B85D0F" w:rsidRDefault="00B85D0F" w:rsidP="00B85D0F">
                  <w:pPr>
                    <w:spacing w:after="0" w:line="240" w:lineRule="auto"/>
                    <w:contextualSpacing/>
                    <w:jc w:val="both"/>
                    <w:rPr>
                      <w:rFonts w:ascii="Times New Roman" w:hAnsi="Times New Roman"/>
                      <w:sz w:val="20"/>
                      <w:szCs w:val="20"/>
                    </w:rPr>
                  </w:pPr>
                </w:p>
              </w:tc>
              <w:tc>
                <w:tcPr>
                  <w:tcW w:w="1701" w:type="dxa"/>
                </w:tcPr>
                <w:p w14:paraId="0294765D" w14:textId="6BDF4E68" w:rsidR="00B85D0F" w:rsidRPr="00B85D0F" w:rsidRDefault="00B85D0F" w:rsidP="00B85D0F">
                  <w:pPr>
                    <w:spacing w:after="0" w:line="240" w:lineRule="auto"/>
                    <w:contextualSpacing/>
                    <w:jc w:val="center"/>
                    <w:rPr>
                      <w:rFonts w:ascii="Times New Roman" w:hAnsi="Times New Roman"/>
                      <w:b/>
                      <w:bCs/>
                      <w:sz w:val="20"/>
                      <w:szCs w:val="20"/>
                    </w:rPr>
                  </w:pPr>
                  <w:r w:rsidRPr="00B85D0F">
                    <w:rPr>
                      <w:rFonts w:ascii="Times New Roman" w:hAnsi="Times New Roman"/>
                      <w:b/>
                      <w:bCs/>
                      <w:sz w:val="20"/>
                      <w:szCs w:val="20"/>
                    </w:rPr>
                    <w:t xml:space="preserve">Publiskais finansējums sākotnēji, </w:t>
                  </w:r>
                  <w:proofErr w:type="spellStart"/>
                  <w:r w:rsidRPr="00B85D0F">
                    <w:rPr>
                      <w:rFonts w:ascii="Times New Roman" w:hAnsi="Times New Roman"/>
                      <w:b/>
                      <w:bCs/>
                      <w:sz w:val="20"/>
                      <w:szCs w:val="20"/>
                    </w:rPr>
                    <w:t>euro</w:t>
                  </w:r>
                  <w:proofErr w:type="spellEnd"/>
                </w:p>
              </w:tc>
              <w:tc>
                <w:tcPr>
                  <w:tcW w:w="1892" w:type="dxa"/>
                </w:tcPr>
                <w:p w14:paraId="148D8097" w14:textId="7227AF77" w:rsidR="00B85D0F" w:rsidRPr="00B85D0F" w:rsidRDefault="00B85D0F" w:rsidP="00B85D0F">
                  <w:pPr>
                    <w:spacing w:after="0" w:line="240" w:lineRule="auto"/>
                    <w:contextualSpacing/>
                    <w:jc w:val="center"/>
                    <w:rPr>
                      <w:rFonts w:ascii="Times New Roman" w:hAnsi="Times New Roman"/>
                      <w:b/>
                      <w:bCs/>
                      <w:sz w:val="20"/>
                      <w:szCs w:val="20"/>
                    </w:rPr>
                  </w:pPr>
                  <w:r w:rsidRPr="00B85D0F">
                    <w:rPr>
                      <w:rFonts w:ascii="Times New Roman" w:hAnsi="Times New Roman"/>
                      <w:b/>
                      <w:bCs/>
                      <w:sz w:val="20"/>
                      <w:szCs w:val="20"/>
                    </w:rPr>
                    <w:t xml:space="preserve">Precizētais publiskais finansējums, </w:t>
                  </w:r>
                  <w:proofErr w:type="spellStart"/>
                  <w:r w:rsidRPr="00B85D0F">
                    <w:rPr>
                      <w:rFonts w:ascii="Times New Roman" w:hAnsi="Times New Roman"/>
                      <w:b/>
                      <w:bCs/>
                      <w:sz w:val="20"/>
                      <w:szCs w:val="20"/>
                    </w:rPr>
                    <w:t>euro</w:t>
                  </w:r>
                  <w:proofErr w:type="spellEnd"/>
                </w:p>
              </w:tc>
            </w:tr>
            <w:tr w:rsidR="00B85D0F" w14:paraId="16BFA820" w14:textId="77777777" w:rsidTr="00B85D0F">
              <w:tc>
                <w:tcPr>
                  <w:tcW w:w="2322" w:type="dxa"/>
                </w:tcPr>
                <w:p w14:paraId="50E0DF77" w14:textId="64B690FB" w:rsidR="00B85D0F" w:rsidRPr="00C41782" w:rsidRDefault="00B85D0F" w:rsidP="00B85D0F">
                  <w:pPr>
                    <w:spacing w:after="0" w:line="240" w:lineRule="auto"/>
                    <w:contextualSpacing/>
                    <w:jc w:val="both"/>
                    <w:rPr>
                      <w:rFonts w:ascii="Times New Roman" w:hAnsi="Times New Roman"/>
                      <w:sz w:val="20"/>
                      <w:szCs w:val="20"/>
                    </w:rPr>
                  </w:pPr>
                  <w:r w:rsidRPr="00C41782">
                    <w:rPr>
                      <w:rFonts w:ascii="Times New Roman" w:hAnsi="Times New Roman"/>
                      <w:sz w:val="20"/>
                      <w:szCs w:val="20"/>
                    </w:rPr>
                    <w:t xml:space="preserve">Itas </w:t>
                  </w:r>
                  <w:proofErr w:type="spellStart"/>
                  <w:r w:rsidRPr="00C41782">
                    <w:rPr>
                      <w:rFonts w:ascii="Times New Roman" w:hAnsi="Times New Roman"/>
                      <w:sz w:val="20"/>
                      <w:szCs w:val="20"/>
                    </w:rPr>
                    <w:t>Kozakēvičas</w:t>
                  </w:r>
                  <w:proofErr w:type="spellEnd"/>
                  <w:r w:rsidRPr="00C41782">
                    <w:rPr>
                      <w:rFonts w:ascii="Times New Roman" w:hAnsi="Times New Roman"/>
                      <w:sz w:val="20"/>
                      <w:szCs w:val="20"/>
                    </w:rPr>
                    <w:t xml:space="preserve"> Latvijas Nacionālo Kultūras Biedrību Asociācija</w:t>
                  </w:r>
                </w:p>
              </w:tc>
              <w:tc>
                <w:tcPr>
                  <w:tcW w:w="1701" w:type="dxa"/>
                </w:tcPr>
                <w:p w14:paraId="5DE9C061" w14:textId="39869DE4" w:rsidR="00B85D0F" w:rsidRPr="00B85D0F" w:rsidRDefault="00B85D0F" w:rsidP="00B85D0F">
                  <w:pPr>
                    <w:spacing w:after="0" w:line="240" w:lineRule="auto"/>
                    <w:contextualSpacing/>
                    <w:jc w:val="both"/>
                    <w:rPr>
                      <w:rFonts w:ascii="Times New Roman" w:hAnsi="Times New Roman"/>
                      <w:sz w:val="20"/>
                      <w:szCs w:val="20"/>
                    </w:rPr>
                  </w:pPr>
                  <w:r w:rsidRPr="00B85D0F">
                    <w:rPr>
                      <w:rFonts w:ascii="Times New Roman" w:hAnsi="Times New Roman"/>
                      <w:sz w:val="20"/>
                      <w:szCs w:val="20"/>
                    </w:rPr>
                    <w:t>1 000 000</w:t>
                  </w:r>
                </w:p>
              </w:tc>
              <w:tc>
                <w:tcPr>
                  <w:tcW w:w="1892" w:type="dxa"/>
                </w:tcPr>
                <w:p w14:paraId="6B863582" w14:textId="6006CDB9" w:rsidR="00B85D0F" w:rsidRPr="00B85D0F" w:rsidRDefault="00B85D0F" w:rsidP="00B85D0F">
                  <w:pPr>
                    <w:spacing w:after="0" w:line="240" w:lineRule="auto"/>
                    <w:contextualSpacing/>
                    <w:jc w:val="both"/>
                    <w:rPr>
                      <w:rFonts w:ascii="Times New Roman" w:hAnsi="Times New Roman"/>
                      <w:sz w:val="20"/>
                      <w:szCs w:val="20"/>
                    </w:rPr>
                  </w:pPr>
                  <w:r w:rsidRPr="00B85D0F">
                    <w:rPr>
                      <w:rFonts w:ascii="Times New Roman" w:hAnsi="Times New Roman"/>
                      <w:sz w:val="20"/>
                      <w:szCs w:val="20"/>
                    </w:rPr>
                    <w:t>509 528</w:t>
                  </w:r>
                </w:p>
              </w:tc>
            </w:tr>
            <w:tr w:rsidR="00B85D0F" w14:paraId="79EA6E5F" w14:textId="77777777" w:rsidTr="00B85D0F">
              <w:tc>
                <w:tcPr>
                  <w:tcW w:w="2322" w:type="dxa"/>
                </w:tcPr>
                <w:p w14:paraId="450F8AB2" w14:textId="11E06D18" w:rsidR="00B85D0F" w:rsidRPr="00C41782" w:rsidRDefault="00B85D0F" w:rsidP="00B85D0F">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“Dailes teātris”</w:t>
                  </w:r>
                </w:p>
              </w:tc>
              <w:tc>
                <w:tcPr>
                  <w:tcW w:w="1701" w:type="dxa"/>
                </w:tcPr>
                <w:p w14:paraId="0048BADD" w14:textId="3C220802" w:rsidR="00B85D0F" w:rsidRPr="00B85D0F" w:rsidRDefault="00B85D0F" w:rsidP="00B85D0F">
                  <w:pPr>
                    <w:spacing w:after="0" w:line="240" w:lineRule="auto"/>
                    <w:contextualSpacing/>
                    <w:jc w:val="both"/>
                    <w:rPr>
                      <w:rFonts w:ascii="Times New Roman" w:hAnsi="Times New Roman"/>
                      <w:sz w:val="20"/>
                      <w:szCs w:val="20"/>
                    </w:rPr>
                  </w:pPr>
                  <w:r w:rsidRPr="00B85D0F">
                    <w:rPr>
                      <w:rFonts w:ascii="Times New Roman" w:hAnsi="Times New Roman"/>
                      <w:sz w:val="20"/>
                      <w:szCs w:val="20"/>
                    </w:rPr>
                    <w:t>1 714 000</w:t>
                  </w:r>
                </w:p>
              </w:tc>
              <w:tc>
                <w:tcPr>
                  <w:tcW w:w="1892" w:type="dxa"/>
                </w:tcPr>
                <w:p w14:paraId="01356EDB" w14:textId="40F05E41" w:rsidR="00B85D0F" w:rsidRPr="00B85D0F" w:rsidRDefault="00B85D0F" w:rsidP="00B85D0F">
                  <w:pPr>
                    <w:spacing w:after="0" w:line="240" w:lineRule="auto"/>
                    <w:contextualSpacing/>
                    <w:jc w:val="both"/>
                    <w:rPr>
                      <w:rFonts w:ascii="Times New Roman" w:hAnsi="Times New Roman"/>
                      <w:sz w:val="20"/>
                      <w:szCs w:val="20"/>
                    </w:rPr>
                  </w:pPr>
                  <w:r w:rsidRPr="00B85D0F">
                    <w:rPr>
                      <w:rFonts w:ascii="Times New Roman" w:hAnsi="Times New Roman"/>
                      <w:sz w:val="20"/>
                      <w:szCs w:val="20"/>
                    </w:rPr>
                    <w:t xml:space="preserve">2 171 </w:t>
                  </w:r>
                  <w:r w:rsidR="00E87950">
                    <w:rPr>
                      <w:rFonts w:ascii="Times New Roman" w:hAnsi="Times New Roman"/>
                      <w:sz w:val="20"/>
                      <w:szCs w:val="20"/>
                    </w:rPr>
                    <w:t>1</w:t>
                  </w:r>
                  <w:r w:rsidRPr="00B85D0F">
                    <w:rPr>
                      <w:rFonts w:ascii="Times New Roman" w:hAnsi="Times New Roman"/>
                      <w:sz w:val="20"/>
                      <w:szCs w:val="20"/>
                    </w:rPr>
                    <w:t>47</w:t>
                  </w:r>
                </w:p>
              </w:tc>
            </w:tr>
            <w:tr w:rsidR="00B85D0F" w14:paraId="53F81AA1" w14:textId="77777777" w:rsidTr="00B85D0F">
              <w:tc>
                <w:tcPr>
                  <w:tcW w:w="2322" w:type="dxa"/>
                </w:tcPr>
                <w:p w14:paraId="24ED8C12" w14:textId="414E6E97" w:rsidR="00B85D0F" w:rsidRPr="00C41782" w:rsidRDefault="00B85D0F" w:rsidP="00B85D0F">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“Latvijas Leļļu teātris”</w:t>
                  </w:r>
                </w:p>
              </w:tc>
              <w:tc>
                <w:tcPr>
                  <w:tcW w:w="1701" w:type="dxa"/>
                </w:tcPr>
                <w:p w14:paraId="48234DEE" w14:textId="1C3C0F2E" w:rsidR="00B85D0F" w:rsidRPr="00B85D0F" w:rsidRDefault="00B85D0F" w:rsidP="00B85D0F">
                  <w:pPr>
                    <w:spacing w:after="0" w:line="240" w:lineRule="auto"/>
                    <w:contextualSpacing/>
                    <w:jc w:val="both"/>
                    <w:rPr>
                      <w:rFonts w:ascii="Times New Roman" w:hAnsi="Times New Roman"/>
                      <w:sz w:val="20"/>
                      <w:szCs w:val="20"/>
                    </w:rPr>
                  </w:pPr>
                  <w:r w:rsidRPr="00B85D0F">
                    <w:rPr>
                      <w:rFonts w:ascii="Times New Roman" w:hAnsi="Times New Roman"/>
                      <w:sz w:val="20"/>
                      <w:szCs w:val="20"/>
                    </w:rPr>
                    <w:t>840 596</w:t>
                  </w:r>
                </w:p>
              </w:tc>
              <w:tc>
                <w:tcPr>
                  <w:tcW w:w="1892" w:type="dxa"/>
                </w:tcPr>
                <w:p w14:paraId="0D717091" w14:textId="21E91E15" w:rsidR="00B85D0F" w:rsidRPr="00B85D0F" w:rsidRDefault="00B85D0F" w:rsidP="00B85D0F">
                  <w:pPr>
                    <w:spacing w:after="0" w:line="240" w:lineRule="auto"/>
                    <w:contextualSpacing/>
                    <w:jc w:val="both"/>
                    <w:rPr>
                      <w:rFonts w:ascii="Times New Roman" w:hAnsi="Times New Roman"/>
                      <w:sz w:val="20"/>
                      <w:szCs w:val="20"/>
                    </w:rPr>
                  </w:pPr>
                  <w:r w:rsidRPr="00B85D0F">
                    <w:rPr>
                      <w:rFonts w:ascii="Times New Roman" w:hAnsi="Times New Roman"/>
                      <w:sz w:val="20"/>
                      <w:szCs w:val="20"/>
                    </w:rPr>
                    <w:t>873 921</w:t>
                  </w:r>
                </w:p>
              </w:tc>
            </w:tr>
            <w:tr w:rsidR="005760E5" w14:paraId="57080F85" w14:textId="77777777" w:rsidTr="00B85D0F">
              <w:tc>
                <w:tcPr>
                  <w:tcW w:w="2322" w:type="dxa"/>
                </w:tcPr>
                <w:p w14:paraId="7DC89388" w14:textId="2196DB8E" w:rsidR="005760E5" w:rsidRPr="00C41782" w:rsidRDefault="005760E5" w:rsidP="00C41782">
                  <w:pPr>
                    <w:spacing w:after="0" w:line="240" w:lineRule="auto"/>
                    <w:contextualSpacing/>
                    <w:jc w:val="right"/>
                    <w:rPr>
                      <w:rFonts w:ascii="Times New Roman" w:hAnsi="Times New Roman"/>
                      <w:b/>
                      <w:bCs/>
                      <w:sz w:val="20"/>
                      <w:szCs w:val="20"/>
                    </w:rPr>
                  </w:pPr>
                  <w:r w:rsidRPr="00C41782">
                    <w:rPr>
                      <w:rFonts w:ascii="Times New Roman" w:hAnsi="Times New Roman"/>
                      <w:b/>
                      <w:bCs/>
                      <w:sz w:val="20"/>
                      <w:szCs w:val="20"/>
                    </w:rPr>
                    <w:t>Kopā:</w:t>
                  </w:r>
                </w:p>
              </w:tc>
              <w:tc>
                <w:tcPr>
                  <w:tcW w:w="1701" w:type="dxa"/>
                </w:tcPr>
                <w:p w14:paraId="12D0B548" w14:textId="48114A16" w:rsidR="005760E5" w:rsidRPr="00B85D0F" w:rsidRDefault="000A43B7" w:rsidP="00B85D0F">
                  <w:pPr>
                    <w:spacing w:after="0" w:line="240" w:lineRule="auto"/>
                    <w:contextualSpacing/>
                    <w:jc w:val="both"/>
                    <w:rPr>
                      <w:rFonts w:ascii="Times New Roman" w:hAnsi="Times New Roman"/>
                      <w:sz w:val="20"/>
                      <w:szCs w:val="20"/>
                    </w:rPr>
                  </w:pPr>
                  <w:r>
                    <w:rPr>
                      <w:rFonts w:ascii="Times New Roman" w:hAnsi="Times New Roman"/>
                      <w:sz w:val="20"/>
                      <w:szCs w:val="20"/>
                    </w:rPr>
                    <w:t>3 554 596</w:t>
                  </w:r>
                </w:p>
              </w:tc>
              <w:tc>
                <w:tcPr>
                  <w:tcW w:w="1892" w:type="dxa"/>
                </w:tcPr>
                <w:p w14:paraId="6BC74752" w14:textId="2CEEB698" w:rsidR="005760E5" w:rsidRPr="00B85D0F" w:rsidRDefault="00E87950" w:rsidP="00B85D0F">
                  <w:pPr>
                    <w:spacing w:after="0" w:line="240" w:lineRule="auto"/>
                    <w:contextualSpacing/>
                    <w:jc w:val="both"/>
                    <w:rPr>
                      <w:rFonts w:ascii="Times New Roman" w:hAnsi="Times New Roman"/>
                      <w:sz w:val="20"/>
                      <w:szCs w:val="20"/>
                    </w:rPr>
                  </w:pPr>
                  <w:r>
                    <w:rPr>
                      <w:rFonts w:ascii="Times New Roman" w:hAnsi="Times New Roman"/>
                      <w:sz w:val="20"/>
                      <w:szCs w:val="20"/>
                    </w:rPr>
                    <w:t>3 554 596</w:t>
                  </w:r>
                </w:p>
              </w:tc>
            </w:tr>
          </w:tbl>
          <w:p w14:paraId="4CAF480D" w14:textId="0F903D5D" w:rsidR="00B85D0F" w:rsidRDefault="00B85D0F" w:rsidP="00B85D0F">
            <w:pPr>
              <w:spacing w:after="0" w:line="240" w:lineRule="auto"/>
              <w:contextualSpacing/>
              <w:jc w:val="both"/>
              <w:rPr>
                <w:rFonts w:ascii="Times New Roman" w:hAnsi="Times New Roman"/>
                <w:sz w:val="24"/>
                <w:szCs w:val="24"/>
              </w:rPr>
            </w:pPr>
          </w:p>
          <w:p w14:paraId="5913D478" w14:textId="13324EB9" w:rsidR="00CF2486" w:rsidRDefault="00B85D0F" w:rsidP="00B85D0F">
            <w:pPr>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00EC170E" w:rsidRPr="00EC170E">
              <w:rPr>
                <w:rFonts w:ascii="Times New Roman" w:hAnsi="Times New Roman"/>
                <w:sz w:val="24"/>
                <w:szCs w:val="24"/>
              </w:rPr>
              <w:t xml:space="preserve">Finansējuma pārdale starp projektiem veselības jomā – atsaukto VSIA  "Paula Stradiņa klīniskā universitātes slimnīca", VSIA "Traumatoloģijas un ortopēdijas slimnīca", VSIA "Aknīstes psihoneiroloģiskā slimnīca" un VSIA “Nacionālais rehabilitācijas centrs “Vaivari”” projektu publiskā finansējuma pārdale VSIA "Strenču psihoneiroloģiskā slimnīca", VSIA "Daugavpils psihoneiroloģiskā slimnīca" un VSIA "Rīgas psihiatrijas un narkoloģijas centrs" projektu īstenošanai. Minēto projektu atsaukšana un finansējuma pārdale nodrošina efektīvu publiskā finansējuma izmantošanu, jo Veselības ministrijas </w:t>
            </w:r>
            <w:r w:rsidR="00EC170E" w:rsidRPr="00EC170E">
              <w:rPr>
                <w:rFonts w:ascii="Times New Roman" w:hAnsi="Times New Roman"/>
                <w:sz w:val="24"/>
                <w:szCs w:val="24"/>
              </w:rPr>
              <w:lastRenderedPageBreak/>
              <w:t>atjaunojamo ēku skaits nemainās, ar ēku sarakstiem iespējams iepazīties sākotnējo MK noteikumu anotācijas pielikumā un šī noteikumu projekta anotācijas pielikumā.</w:t>
            </w:r>
          </w:p>
          <w:p w14:paraId="4B6E4D31" w14:textId="40F882E4" w:rsidR="00CF2486" w:rsidRDefault="00CF2486" w:rsidP="00B85D0F">
            <w:pPr>
              <w:spacing w:after="0" w:line="240" w:lineRule="auto"/>
              <w:contextual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322"/>
              <w:gridCol w:w="1701"/>
              <w:gridCol w:w="1892"/>
            </w:tblGrid>
            <w:tr w:rsidR="00CF2486" w14:paraId="77C15E36" w14:textId="77777777" w:rsidTr="00B2543B">
              <w:tc>
                <w:tcPr>
                  <w:tcW w:w="2322" w:type="dxa"/>
                </w:tcPr>
                <w:p w14:paraId="6BDA48BC" w14:textId="77777777" w:rsidR="00CF2486" w:rsidRPr="00B85D0F" w:rsidRDefault="00CF2486" w:rsidP="00CF2486">
                  <w:pPr>
                    <w:spacing w:after="0" w:line="240" w:lineRule="auto"/>
                    <w:contextualSpacing/>
                    <w:jc w:val="both"/>
                    <w:rPr>
                      <w:rFonts w:ascii="Times New Roman" w:hAnsi="Times New Roman"/>
                      <w:sz w:val="20"/>
                      <w:szCs w:val="20"/>
                    </w:rPr>
                  </w:pPr>
                </w:p>
              </w:tc>
              <w:tc>
                <w:tcPr>
                  <w:tcW w:w="1701" w:type="dxa"/>
                </w:tcPr>
                <w:p w14:paraId="30253C73" w14:textId="77777777" w:rsidR="00CF2486" w:rsidRPr="00B85D0F" w:rsidRDefault="00CF2486" w:rsidP="00CF2486">
                  <w:pPr>
                    <w:spacing w:after="0" w:line="240" w:lineRule="auto"/>
                    <w:contextualSpacing/>
                    <w:jc w:val="center"/>
                    <w:rPr>
                      <w:rFonts w:ascii="Times New Roman" w:hAnsi="Times New Roman"/>
                      <w:b/>
                      <w:bCs/>
                      <w:sz w:val="20"/>
                      <w:szCs w:val="20"/>
                    </w:rPr>
                  </w:pPr>
                  <w:r w:rsidRPr="00B85D0F">
                    <w:rPr>
                      <w:rFonts w:ascii="Times New Roman" w:hAnsi="Times New Roman"/>
                      <w:b/>
                      <w:bCs/>
                      <w:sz w:val="20"/>
                      <w:szCs w:val="20"/>
                    </w:rPr>
                    <w:t xml:space="preserve">Publiskais finansējums sākotnēji, </w:t>
                  </w:r>
                  <w:proofErr w:type="spellStart"/>
                  <w:r w:rsidRPr="00B85D0F">
                    <w:rPr>
                      <w:rFonts w:ascii="Times New Roman" w:hAnsi="Times New Roman"/>
                      <w:b/>
                      <w:bCs/>
                      <w:sz w:val="20"/>
                      <w:szCs w:val="20"/>
                    </w:rPr>
                    <w:t>euro</w:t>
                  </w:r>
                  <w:proofErr w:type="spellEnd"/>
                </w:p>
              </w:tc>
              <w:tc>
                <w:tcPr>
                  <w:tcW w:w="1892" w:type="dxa"/>
                </w:tcPr>
                <w:p w14:paraId="1F8CCDD6" w14:textId="77777777" w:rsidR="00CF2486" w:rsidRPr="00B85D0F" w:rsidRDefault="00CF2486" w:rsidP="00CF2486">
                  <w:pPr>
                    <w:spacing w:after="0" w:line="240" w:lineRule="auto"/>
                    <w:contextualSpacing/>
                    <w:jc w:val="center"/>
                    <w:rPr>
                      <w:rFonts w:ascii="Times New Roman" w:hAnsi="Times New Roman"/>
                      <w:b/>
                      <w:bCs/>
                      <w:sz w:val="20"/>
                      <w:szCs w:val="20"/>
                    </w:rPr>
                  </w:pPr>
                  <w:r w:rsidRPr="00B85D0F">
                    <w:rPr>
                      <w:rFonts w:ascii="Times New Roman" w:hAnsi="Times New Roman"/>
                      <w:b/>
                      <w:bCs/>
                      <w:sz w:val="20"/>
                      <w:szCs w:val="20"/>
                    </w:rPr>
                    <w:t xml:space="preserve">Precizētais publiskais finansējums, </w:t>
                  </w:r>
                  <w:proofErr w:type="spellStart"/>
                  <w:r w:rsidRPr="00B85D0F">
                    <w:rPr>
                      <w:rFonts w:ascii="Times New Roman" w:hAnsi="Times New Roman"/>
                      <w:b/>
                      <w:bCs/>
                      <w:sz w:val="20"/>
                      <w:szCs w:val="20"/>
                    </w:rPr>
                    <w:t>euro</w:t>
                  </w:r>
                  <w:proofErr w:type="spellEnd"/>
                </w:p>
              </w:tc>
            </w:tr>
            <w:tr w:rsidR="00CF2486" w14:paraId="44AE46DE" w14:textId="77777777" w:rsidTr="00B2543B">
              <w:tc>
                <w:tcPr>
                  <w:tcW w:w="2322" w:type="dxa"/>
                </w:tcPr>
                <w:p w14:paraId="504824CB" w14:textId="0BE19E5F"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"Paula Stradiņa klīniskā universitātes slimnīca"</w:t>
                  </w:r>
                </w:p>
              </w:tc>
              <w:tc>
                <w:tcPr>
                  <w:tcW w:w="1701" w:type="dxa"/>
                </w:tcPr>
                <w:p w14:paraId="7AB85E3A" w14:textId="1C1C0F65" w:rsidR="00CF2486" w:rsidRPr="00B85D0F"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1 435 871</w:t>
                  </w:r>
                </w:p>
              </w:tc>
              <w:tc>
                <w:tcPr>
                  <w:tcW w:w="1892" w:type="dxa"/>
                </w:tcPr>
                <w:p w14:paraId="0E03D926" w14:textId="6B99A63B" w:rsidR="00CF2486" w:rsidRPr="00B85D0F"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Atsaukts</w:t>
                  </w:r>
                </w:p>
              </w:tc>
            </w:tr>
            <w:tr w:rsidR="00CF2486" w14:paraId="52951157" w14:textId="77777777" w:rsidTr="00B2543B">
              <w:tc>
                <w:tcPr>
                  <w:tcW w:w="2322" w:type="dxa"/>
                </w:tcPr>
                <w:p w14:paraId="6CE19819" w14:textId="07E153C0"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"Traumatoloģijas un ortopēdijas slimnīca"</w:t>
                  </w:r>
                </w:p>
              </w:tc>
              <w:tc>
                <w:tcPr>
                  <w:tcW w:w="1701" w:type="dxa"/>
                </w:tcPr>
                <w:p w14:paraId="2594F50A" w14:textId="66999122" w:rsidR="00CF2486" w:rsidRPr="00B85D0F"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300 000</w:t>
                  </w:r>
                </w:p>
              </w:tc>
              <w:tc>
                <w:tcPr>
                  <w:tcW w:w="1892" w:type="dxa"/>
                </w:tcPr>
                <w:p w14:paraId="5E894125" w14:textId="7E50E207" w:rsidR="00CF2486" w:rsidRPr="00B85D0F"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Atsaukts</w:t>
                  </w:r>
                </w:p>
              </w:tc>
            </w:tr>
            <w:tr w:rsidR="00CF2486" w14:paraId="612F3CA5" w14:textId="77777777" w:rsidTr="00B2543B">
              <w:tc>
                <w:tcPr>
                  <w:tcW w:w="2322" w:type="dxa"/>
                </w:tcPr>
                <w:p w14:paraId="3BC71BD6" w14:textId="56020289"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"Aknīstes psihoneiroloģiskā slimnīca"</w:t>
                  </w:r>
                </w:p>
              </w:tc>
              <w:tc>
                <w:tcPr>
                  <w:tcW w:w="1701" w:type="dxa"/>
                </w:tcPr>
                <w:p w14:paraId="6083A36D" w14:textId="4B717382" w:rsidR="00CF2486" w:rsidRPr="00B85D0F"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200 000</w:t>
                  </w:r>
                </w:p>
              </w:tc>
              <w:tc>
                <w:tcPr>
                  <w:tcW w:w="1892" w:type="dxa"/>
                </w:tcPr>
                <w:p w14:paraId="35217FC3" w14:textId="1CF1BCF7" w:rsidR="00CF2486" w:rsidRPr="00B85D0F"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Atsaukts</w:t>
                  </w:r>
                </w:p>
              </w:tc>
            </w:tr>
            <w:tr w:rsidR="00CF2486" w14:paraId="2EA584C2" w14:textId="77777777" w:rsidTr="00B2543B">
              <w:tc>
                <w:tcPr>
                  <w:tcW w:w="2322" w:type="dxa"/>
                </w:tcPr>
                <w:p w14:paraId="34C7F939" w14:textId="350B2217"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"Nacionālais rehabilitācijas centrs "Vaivari""</w:t>
                  </w:r>
                </w:p>
              </w:tc>
              <w:tc>
                <w:tcPr>
                  <w:tcW w:w="1701" w:type="dxa"/>
                </w:tcPr>
                <w:p w14:paraId="76B0D63F" w14:textId="3DFE7D8E" w:rsidR="00CF2486"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250 000</w:t>
                  </w:r>
                </w:p>
              </w:tc>
              <w:tc>
                <w:tcPr>
                  <w:tcW w:w="1892" w:type="dxa"/>
                </w:tcPr>
                <w:p w14:paraId="79182738" w14:textId="64A25AD3" w:rsidR="00CF2486" w:rsidRDefault="00EC170E" w:rsidP="00CF2486">
                  <w:pPr>
                    <w:spacing w:after="0" w:line="240" w:lineRule="auto"/>
                    <w:contextualSpacing/>
                    <w:jc w:val="both"/>
                    <w:rPr>
                      <w:rFonts w:ascii="Times New Roman" w:hAnsi="Times New Roman"/>
                      <w:sz w:val="20"/>
                      <w:szCs w:val="20"/>
                    </w:rPr>
                  </w:pPr>
                  <w:r>
                    <w:rPr>
                      <w:rFonts w:ascii="Times New Roman" w:hAnsi="Times New Roman"/>
                      <w:sz w:val="20"/>
                      <w:szCs w:val="20"/>
                    </w:rPr>
                    <w:t> Atsaukts</w:t>
                  </w:r>
                </w:p>
              </w:tc>
            </w:tr>
            <w:tr w:rsidR="00CF2486" w14:paraId="3C60F352" w14:textId="77777777" w:rsidTr="00B2543B">
              <w:tc>
                <w:tcPr>
                  <w:tcW w:w="2322" w:type="dxa"/>
                </w:tcPr>
                <w:p w14:paraId="7292FF22" w14:textId="415F368B"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"Strenču psihoneiroloģiskā slimnīca"</w:t>
                  </w:r>
                </w:p>
              </w:tc>
              <w:tc>
                <w:tcPr>
                  <w:tcW w:w="1701" w:type="dxa"/>
                </w:tcPr>
                <w:p w14:paraId="0C52BE54" w14:textId="13016BA3" w:rsidR="00CF2486"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250 000</w:t>
                  </w:r>
                </w:p>
              </w:tc>
              <w:tc>
                <w:tcPr>
                  <w:tcW w:w="1892" w:type="dxa"/>
                </w:tcPr>
                <w:p w14:paraId="5D5C6379" w14:textId="279CB79C" w:rsidR="00CF2486"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788 000</w:t>
                  </w:r>
                </w:p>
              </w:tc>
            </w:tr>
            <w:tr w:rsidR="00CF2486" w14:paraId="5B90D68B" w14:textId="77777777" w:rsidTr="00B2543B">
              <w:tc>
                <w:tcPr>
                  <w:tcW w:w="2322" w:type="dxa"/>
                </w:tcPr>
                <w:p w14:paraId="7B107EE6" w14:textId="1614819A"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"Daugavpils psihoneiroloģiskā slimnīca"</w:t>
                  </w:r>
                </w:p>
              </w:tc>
              <w:tc>
                <w:tcPr>
                  <w:tcW w:w="1701" w:type="dxa"/>
                </w:tcPr>
                <w:p w14:paraId="42E14014" w14:textId="17FA7120" w:rsidR="00CF2486"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200 000</w:t>
                  </w:r>
                </w:p>
              </w:tc>
              <w:tc>
                <w:tcPr>
                  <w:tcW w:w="1892" w:type="dxa"/>
                </w:tcPr>
                <w:p w14:paraId="5664294A" w14:textId="4383476A" w:rsidR="00CF2486" w:rsidRDefault="00EC170E" w:rsidP="00CF2486">
                  <w:pPr>
                    <w:spacing w:after="0" w:line="240" w:lineRule="auto"/>
                    <w:contextualSpacing/>
                    <w:jc w:val="both"/>
                    <w:rPr>
                      <w:rFonts w:ascii="Times New Roman" w:hAnsi="Times New Roman"/>
                      <w:sz w:val="20"/>
                      <w:szCs w:val="20"/>
                    </w:rPr>
                  </w:pPr>
                  <w:r>
                    <w:rPr>
                      <w:rFonts w:ascii="Times New Roman" w:hAnsi="Times New Roman"/>
                      <w:sz w:val="20"/>
                      <w:szCs w:val="20"/>
                    </w:rPr>
                    <w:t>1 447 871</w:t>
                  </w:r>
                </w:p>
              </w:tc>
            </w:tr>
            <w:tr w:rsidR="00CF2486" w14:paraId="493E8AF0" w14:textId="77777777" w:rsidTr="00B2543B">
              <w:tc>
                <w:tcPr>
                  <w:tcW w:w="2322" w:type="dxa"/>
                </w:tcPr>
                <w:p w14:paraId="5C197ADE" w14:textId="0D582F9A" w:rsidR="00CF2486" w:rsidRPr="00C41782" w:rsidRDefault="00CF2486" w:rsidP="00CF2486">
                  <w:pPr>
                    <w:spacing w:after="0" w:line="240" w:lineRule="auto"/>
                    <w:contextualSpacing/>
                    <w:jc w:val="both"/>
                    <w:rPr>
                      <w:rFonts w:ascii="Times New Roman" w:hAnsi="Times New Roman"/>
                      <w:sz w:val="20"/>
                      <w:szCs w:val="20"/>
                    </w:rPr>
                  </w:pPr>
                  <w:r w:rsidRPr="00C41782">
                    <w:rPr>
                      <w:rFonts w:ascii="Times New Roman" w:hAnsi="Times New Roman"/>
                      <w:sz w:val="20"/>
                      <w:szCs w:val="20"/>
                    </w:rPr>
                    <w:t>VSIA "Rīgas psihiatrijas un narkoloģijas centrs"</w:t>
                  </w:r>
                </w:p>
              </w:tc>
              <w:tc>
                <w:tcPr>
                  <w:tcW w:w="1701" w:type="dxa"/>
                </w:tcPr>
                <w:p w14:paraId="588B6D1D" w14:textId="71DD0D52" w:rsidR="00CF2486"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1 200 000</w:t>
                  </w:r>
                </w:p>
              </w:tc>
              <w:tc>
                <w:tcPr>
                  <w:tcW w:w="1892" w:type="dxa"/>
                </w:tcPr>
                <w:p w14:paraId="77E5E2E6" w14:textId="7D7F41F9" w:rsidR="00CF2486" w:rsidRDefault="00CF2486" w:rsidP="00CF2486">
                  <w:pPr>
                    <w:spacing w:after="0" w:line="240" w:lineRule="auto"/>
                    <w:contextualSpacing/>
                    <w:jc w:val="both"/>
                    <w:rPr>
                      <w:rFonts w:ascii="Times New Roman" w:hAnsi="Times New Roman"/>
                      <w:sz w:val="20"/>
                      <w:szCs w:val="20"/>
                    </w:rPr>
                  </w:pPr>
                  <w:r>
                    <w:rPr>
                      <w:rFonts w:ascii="Times New Roman" w:hAnsi="Times New Roman"/>
                      <w:sz w:val="20"/>
                      <w:szCs w:val="20"/>
                    </w:rPr>
                    <w:t>1 600 000</w:t>
                  </w:r>
                </w:p>
              </w:tc>
            </w:tr>
            <w:tr w:rsidR="005760E5" w14:paraId="01E74777" w14:textId="77777777" w:rsidTr="00B2543B">
              <w:tc>
                <w:tcPr>
                  <w:tcW w:w="2322" w:type="dxa"/>
                </w:tcPr>
                <w:p w14:paraId="3B02A6BA" w14:textId="1277BD76" w:rsidR="005760E5" w:rsidRPr="00C41782" w:rsidRDefault="005760E5" w:rsidP="00C41782">
                  <w:pPr>
                    <w:spacing w:after="0" w:line="240" w:lineRule="auto"/>
                    <w:contextualSpacing/>
                    <w:jc w:val="right"/>
                    <w:rPr>
                      <w:rFonts w:ascii="Times New Roman" w:hAnsi="Times New Roman"/>
                      <w:b/>
                      <w:bCs/>
                      <w:sz w:val="20"/>
                      <w:szCs w:val="20"/>
                    </w:rPr>
                  </w:pPr>
                  <w:r w:rsidRPr="00C41782">
                    <w:rPr>
                      <w:rFonts w:ascii="Times New Roman" w:hAnsi="Times New Roman"/>
                      <w:b/>
                      <w:bCs/>
                      <w:sz w:val="20"/>
                      <w:szCs w:val="20"/>
                    </w:rPr>
                    <w:t>Kopā:</w:t>
                  </w:r>
                </w:p>
              </w:tc>
              <w:tc>
                <w:tcPr>
                  <w:tcW w:w="1701" w:type="dxa"/>
                </w:tcPr>
                <w:p w14:paraId="6FC2F161" w14:textId="269FD4BA" w:rsidR="005760E5" w:rsidRDefault="00E87950" w:rsidP="00CF2486">
                  <w:pPr>
                    <w:spacing w:after="0" w:line="240" w:lineRule="auto"/>
                    <w:contextualSpacing/>
                    <w:jc w:val="both"/>
                    <w:rPr>
                      <w:rFonts w:ascii="Times New Roman" w:hAnsi="Times New Roman"/>
                      <w:sz w:val="20"/>
                      <w:szCs w:val="20"/>
                    </w:rPr>
                  </w:pPr>
                  <w:r>
                    <w:rPr>
                      <w:rFonts w:ascii="Times New Roman" w:hAnsi="Times New Roman"/>
                      <w:sz w:val="20"/>
                      <w:szCs w:val="20"/>
                    </w:rPr>
                    <w:t>3 835 871</w:t>
                  </w:r>
                </w:p>
              </w:tc>
              <w:tc>
                <w:tcPr>
                  <w:tcW w:w="1892" w:type="dxa"/>
                </w:tcPr>
                <w:p w14:paraId="24B2FED7" w14:textId="71B5B5A8" w:rsidR="005760E5" w:rsidRDefault="00E87950" w:rsidP="00CF2486">
                  <w:pPr>
                    <w:spacing w:after="0" w:line="240" w:lineRule="auto"/>
                    <w:contextualSpacing/>
                    <w:jc w:val="both"/>
                    <w:rPr>
                      <w:rFonts w:ascii="Times New Roman" w:hAnsi="Times New Roman"/>
                      <w:sz w:val="20"/>
                      <w:szCs w:val="20"/>
                    </w:rPr>
                  </w:pPr>
                  <w:r>
                    <w:rPr>
                      <w:rFonts w:ascii="Times New Roman" w:hAnsi="Times New Roman"/>
                      <w:sz w:val="20"/>
                      <w:szCs w:val="20"/>
                    </w:rPr>
                    <w:t>3 835 871</w:t>
                  </w:r>
                </w:p>
              </w:tc>
            </w:tr>
          </w:tbl>
          <w:p w14:paraId="29E5D709" w14:textId="7CEF9519" w:rsidR="005760E5" w:rsidRDefault="005760E5" w:rsidP="00B85D0F">
            <w:pPr>
              <w:spacing w:after="0" w:line="240" w:lineRule="auto"/>
              <w:contextualSpacing/>
              <w:jc w:val="both"/>
              <w:rPr>
                <w:rFonts w:ascii="Times New Roman" w:hAnsi="Times New Roman"/>
                <w:sz w:val="24"/>
                <w:szCs w:val="24"/>
              </w:rPr>
            </w:pPr>
          </w:p>
          <w:p w14:paraId="734996E0" w14:textId="29ECBCCF" w:rsidR="000A43B7" w:rsidRDefault="00423EDD" w:rsidP="00B85D0F">
            <w:pPr>
              <w:spacing w:after="0" w:line="240" w:lineRule="auto"/>
              <w:contextualSpacing/>
              <w:jc w:val="both"/>
              <w:rPr>
                <w:rFonts w:ascii="Times New Roman" w:hAnsi="Times New Roman"/>
                <w:sz w:val="24"/>
                <w:szCs w:val="24"/>
              </w:rPr>
            </w:pPr>
            <w:r>
              <w:rPr>
                <w:rFonts w:ascii="Times New Roman" w:hAnsi="Times New Roman"/>
                <w:sz w:val="24"/>
                <w:szCs w:val="24"/>
              </w:rPr>
              <w:t>3</w:t>
            </w:r>
            <w:r w:rsidR="005760E5">
              <w:rPr>
                <w:rFonts w:ascii="Times New Roman" w:hAnsi="Times New Roman"/>
                <w:sz w:val="24"/>
                <w:szCs w:val="24"/>
              </w:rPr>
              <w:t>)</w:t>
            </w:r>
            <w:r w:rsidR="000A43B7">
              <w:rPr>
                <w:rFonts w:ascii="Times New Roman" w:hAnsi="Times New Roman"/>
                <w:sz w:val="24"/>
                <w:szCs w:val="24"/>
              </w:rPr>
              <w:t xml:space="preserve"> </w:t>
            </w:r>
            <w:r w:rsidR="000A43B7" w:rsidRPr="000A43B7">
              <w:rPr>
                <w:rFonts w:ascii="Times New Roman" w:hAnsi="Times New Roman"/>
                <w:sz w:val="24"/>
                <w:szCs w:val="24"/>
              </w:rPr>
              <w:t>VSIA, kas pilda nacionālās sporta bāzes funkcijas publiskā finansējuma pārdale Kuldīgas Tehnoloģiju un tūrisma tehnikuma (turpmāk – Tehnikums) projekta īstenošanai. Pēc Izglītības un zinātnes ministrijas sniegtās informācijas S</w:t>
            </w:r>
            <w:r w:rsidR="000A43B7" w:rsidRPr="00C41782">
              <w:rPr>
                <w:rFonts w:ascii="Times New Roman" w:hAnsi="Times New Roman"/>
                <w:sz w:val="24"/>
                <w:szCs w:val="24"/>
              </w:rPr>
              <w:t xml:space="preserve">IA “Bobsleja un kamaniņu trase “Sigulda”” projekts netiks īstenots, jo secināts, ka projekta izmaksas ievērojami pārsniedz projektam pieejamās attiecināmās izmaksas, kā arī pastāv risks nesasniegt otrās kārtas noteiktās minimālās prasības. </w:t>
            </w:r>
            <w:r w:rsidR="000A43B7" w:rsidRPr="000A43B7">
              <w:rPr>
                <w:rFonts w:ascii="Times New Roman" w:hAnsi="Times New Roman"/>
                <w:sz w:val="24"/>
                <w:szCs w:val="24"/>
              </w:rPr>
              <w:t xml:space="preserve">Līdzīgi secinājumi arī par </w:t>
            </w:r>
            <w:r w:rsidR="000A43B7" w:rsidRPr="00C41782">
              <w:rPr>
                <w:rFonts w:ascii="Times New Roman" w:hAnsi="Times New Roman"/>
                <w:sz w:val="24"/>
                <w:szCs w:val="24"/>
              </w:rPr>
              <w:t xml:space="preserve">Tehnikuma lietojumā esošo valsts ēku Liepājas ielā 31, Kuldīgā. Ņemot vērā, ka </w:t>
            </w:r>
            <w:r w:rsidR="000A43B7" w:rsidRPr="000A43B7">
              <w:rPr>
                <w:rFonts w:ascii="Times New Roman" w:hAnsi="Times New Roman"/>
                <w:sz w:val="24"/>
                <w:szCs w:val="24"/>
              </w:rPr>
              <w:t xml:space="preserve">SIA “Bobsleja un kamaniņu trase “Sigulda””  projekts un </w:t>
            </w:r>
            <w:r w:rsidR="000A43B7" w:rsidRPr="00C41782">
              <w:rPr>
                <w:rFonts w:ascii="Times New Roman" w:hAnsi="Times New Roman"/>
                <w:sz w:val="24"/>
                <w:szCs w:val="24"/>
              </w:rPr>
              <w:t xml:space="preserve"> Tehnikuma projekts  Liepājas ielā 31, Kuldīgā netiks īstenoti,</w:t>
            </w:r>
            <w:r w:rsidR="00896D8F">
              <w:rPr>
                <w:rFonts w:ascii="Times New Roman" w:hAnsi="Times New Roman"/>
                <w:sz w:val="24"/>
                <w:szCs w:val="24"/>
              </w:rPr>
              <w:t xml:space="preserve"> kā arī to, ka </w:t>
            </w:r>
            <w:r w:rsidR="00896D8F" w:rsidRPr="000F544B">
              <w:rPr>
                <w:rFonts w:ascii="Times New Roman" w:hAnsi="Times New Roman"/>
                <w:sz w:val="24"/>
                <w:szCs w:val="24"/>
              </w:rPr>
              <w:t>Sabiedrība</w:t>
            </w:r>
            <w:r w:rsidR="00896D8F">
              <w:rPr>
                <w:rFonts w:ascii="Times New Roman" w:hAnsi="Times New Roman"/>
                <w:sz w:val="24"/>
                <w:szCs w:val="24"/>
              </w:rPr>
              <w:t>s</w:t>
            </w:r>
            <w:r w:rsidR="00896D8F" w:rsidRPr="000F544B">
              <w:rPr>
                <w:rFonts w:ascii="Times New Roman" w:hAnsi="Times New Roman"/>
                <w:sz w:val="24"/>
                <w:szCs w:val="24"/>
              </w:rPr>
              <w:t xml:space="preserve"> ar ierobežotu atbildību "Tenisa centrs "Lielupe""</w:t>
            </w:r>
            <w:r w:rsidR="00896D8F">
              <w:rPr>
                <w:rFonts w:ascii="Times New Roman" w:hAnsi="Times New Roman"/>
                <w:sz w:val="24"/>
                <w:szCs w:val="24"/>
              </w:rPr>
              <w:t xml:space="preserve"> projektā ir izveidojies publiskā finansējuma atlikums 1 721 </w:t>
            </w:r>
            <w:proofErr w:type="spellStart"/>
            <w:r w:rsidR="00896D8F" w:rsidRPr="006D55AB">
              <w:rPr>
                <w:rFonts w:ascii="Times New Roman" w:hAnsi="Times New Roman"/>
                <w:i/>
                <w:iCs/>
                <w:sz w:val="24"/>
                <w:szCs w:val="24"/>
              </w:rPr>
              <w:t>euro</w:t>
            </w:r>
            <w:proofErr w:type="spellEnd"/>
            <w:r w:rsidR="00896D8F">
              <w:rPr>
                <w:rFonts w:ascii="Times New Roman" w:hAnsi="Times New Roman"/>
                <w:sz w:val="24"/>
                <w:szCs w:val="24"/>
              </w:rPr>
              <w:t xml:space="preserve"> apmērā,</w:t>
            </w:r>
            <w:r w:rsidR="000A43B7" w:rsidRPr="00C41782">
              <w:rPr>
                <w:rFonts w:ascii="Times New Roman" w:hAnsi="Times New Roman"/>
                <w:sz w:val="24"/>
                <w:szCs w:val="24"/>
              </w:rPr>
              <w:t xml:space="preserve"> Izglītības un zinātnes ministrija lūdz finansējumu</w:t>
            </w:r>
            <w:r w:rsidR="006D55AB">
              <w:rPr>
                <w:rFonts w:ascii="Times New Roman" w:hAnsi="Times New Roman"/>
                <w:sz w:val="24"/>
                <w:szCs w:val="24"/>
              </w:rPr>
              <w:t xml:space="preserve"> 1 700 </w:t>
            </w:r>
            <w:proofErr w:type="spellStart"/>
            <w:r w:rsidR="006D55AB" w:rsidRPr="006D55AB">
              <w:rPr>
                <w:rFonts w:ascii="Times New Roman" w:hAnsi="Times New Roman"/>
                <w:i/>
                <w:iCs/>
                <w:sz w:val="24"/>
                <w:szCs w:val="24"/>
              </w:rPr>
              <w:t>euro</w:t>
            </w:r>
            <w:proofErr w:type="spellEnd"/>
            <w:r w:rsidR="006D55AB">
              <w:rPr>
                <w:rFonts w:ascii="Times New Roman" w:hAnsi="Times New Roman"/>
                <w:sz w:val="24"/>
                <w:szCs w:val="24"/>
              </w:rPr>
              <w:t xml:space="preserve"> apmērā</w:t>
            </w:r>
            <w:r w:rsidR="000A43B7" w:rsidRPr="00C41782">
              <w:rPr>
                <w:rFonts w:ascii="Times New Roman" w:hAnsi="Times New Roman"/>
                <w:sz w:val="24"/>
                <w:szCs w:val="24"/>
              </w:rPr>
              <w:t xml:space="preserve"> piešķirt Tehnikuma ēkai Kalpaka ielā 1, Kuldīgā. Finansējuma pārdale nodrošinās kvalitatīvu Tehnikuma ēkas projekta ieviešanu, nodrošinot arī nepieciešamos kvalitātes rādītājus atbilstoši MK noteikumiem un atlases kritērijiem. </w:t>
            </w:r>
          </w:p>
          <w:p w14:paraId="7A142C16" w14:textId="77777777" w:rsidR="005261F4" w:rsidRDefault="005261F4" w:rsidP="00B85D0F">
            <w:pPr>
              <w:spacing w:after="0" w:line="240" w:lineRule="auto"/>
              <w:contextualSpacing/>
              <w:jc w:val="both"/>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2322"/>
              <w:gridCol w:w="1701"/>
              <w:gridCol w:w="1892"/>
            </w:tblGrid>
            <w:tr w:rsidR="000A43B7" w14:paraId="4D197CDD" w14:textId="77777777" w:rsidTr="00B2543B">
              <w:tc>
                <w:tcPr>
                  <w:tcW w:w="2322" w:type="dxa"/>
                </w:tcPr>
                <w:p w14:paraId="692DF92C" w14:textId="77777777" w:rsidR="000A43B7" w:rsidRPr="00B85D0F" w:rsidRDefault="000A43B7" w:rsidP="000A43B7">
                  <w:pPr>
                    <w:spacing w:after="0" w:line="240" w:lineRule="auto"/>
                    <w:contextualSpacing/>
                    <w:jc w:val="both"/>
                    <w:rPr>
                      <w:rFonts w:ascii="Times New Roman" w:hAnsi="Times New Roman"/>
                      <w:sz w:val="20"/>
                      <w:szCs w:val="20"/>
                    </w:rPr>
                  </w:pPr>
                </w:p>
              </w:tc>
              <w:tc>
                <w:tcPr>
                  <w:tcW w:w="1701" w:type="dxa"/>
                </w:tcPr>
                <w:p w14:paraId="23BCF91C" w14:textId="77777777" w:rsidR="000A43B7" w:rsidRPr="00B85D0F" w:rsidRDefault="000A43B7" w:rsidP="000A43B7">
                  <w:pPr>
                    <w:spacing w:after="0" w:line="240" w:lineRule="auto"/>
                    <w:contextualSpacing/>
                    <w:jc w:val="center"/>
                    <w:rPr>
                      <w:rFonts w:ascii="Times New Roman" w:hAnsi="Times New Roman"/>
                      <w:b/>
                      <w:bCs/>
                      <w:sz w:val="20"/>
                      <w:szCs w:val="20"/>
                    </w:rPr>
                  </w:pPr>
                  <w:r w:rsidRPr="00B85D0F">
                    <w:rPr>
                      <w:rFonts w:ascii="Times New Roman" w:hAnsi="Times New Roman"/>
                      <w:b/>
                      <w:bCs/>
                      <w:sz w:val="20"/>
                      <w:szCs w:val="20"/>
                    </w:rPr>
                    <w:t xml:space="preserve">Publiskais finansējums sākotnēji, </w:t>
                  </w:r>
                  <w:proofErr w:type="spellStart"/>
                  <w:r w:rsidRPr="00B85D0F">
                    <w:rPr>
                      <w:rFonts w:ascii="Times New Roman" w:hAnsi="Times New Roman"/>
                      <w:b/>
                      <w:bCs/>
                      <w:sz w:val="20"/>
                      <w:szCs w:val="20"/>
                    </w:rPr>
                    <w:t>euro</w:t>
                  </w:r>
                  <w:proofErr w:type="spellEnd"/>
                </w:p>
              </w:tc>
              <w:tc>
                <w:tcPr>
                  <w:tcW w:w="1892" w:type="dxa"/>
                </w:tcPr>
                <w:p w14:paraId="23AD5EC5" w14:textId="77777777" w:rsidR="000A43B7" w:rsidRPr="00B85D0F" w:rsidRDefault="000A43B7" w:rsidP="000A43B7">
                  <w:pPr>
                    <w:spacing w:after="0" w:line="240" w:lineRule="auto"/>
                    <w:contextualSpacing/>
                    <w:jc w:val="center"/>
                    <w:rPr>
                      <w:rFonts w:ascii="Times New Roman" w:hAnsi="Times New Roman"/>
                      <w:b/>
                      <w:bCs/>
                      <w:sz w:val="20"/>
                      <w:szCs w:val="20"/>
                    </w:rPr>
                  </w:pPr>
                  <w:r w:rsidRPr="00B85D0F">
                    <w:rPr>
                      <w:rFonts w:ascii="Times New Roman" w:hAnsi="Times New Roman"/>
                      <w:b/>
                      <w:bCs/>
                      <w:sz w:val="20"/>
                      <w:szCs w:val="20"/>
                    </w:rPr>
                    <w:t xml:space="preserve">Precizētais publiskais finansējums, </w:t>
                  </w:r>
                  <w:proofErr w:type="spellStart"/>
                  <w:r w:rsidRPr="00B85D0F">
                    <w:rPr>
                      <w:rFonts w:ascii="Times New Roman" w:hAnsi="Times New Roman"/>
                      <w:b/>
                      <w:bCs/>
                      <w:sz w:val="20"/>
                      <w:szCs w:val="20"/>
                    </w:rPr>
                    <w:t>euro</w:t>
                  </w:r>
                  <w:proofErr w:type="spellEnd"/>
                </w:p>
              </w:tc>
            </w:tr>
            <w:tr w:rsidR="000A43B7" w14:paraId="0437288B" w14:textId="77777777" w:rsidTr="00B2543B">
              <w:tc>
                <w:tcPr>
                  <w:tcW w:w="2322" w:type="dxa"/>
                </w:tcPr>
                <w:p w14:paraId="65D80732" w14:textId="30D26DD8" w:rsidR="000A43B7" w:rsidRPr="000A43B7" w:rsidRDefault="000A43B7" w:rsidP="000A43B7">
                  <w:pPr>
                    <w:spacing w:after="0" w:line="240" w:lineRule="auto"/>
                    <w:contextualSpacing/>
                    <w:jc w:val="both"/>
                    <w:rPr>
                      <w:rFonts w:ascii="Times New Roman" w:hAnsi="Times New Roman"/>
                      <w:sz w:val="20"/>
                      <w:szCs w:val="20"/>
                    </w:rPr>
                  </w:pPr>
                  <w:r w:rsidRPr="000A43B7">
                    <w:rPr>
                      <w:rFonts w:ascii="Times New Roman" w:hAnsi="Times New Roman"/>
                      <w:sz w:val="20"/>
                      <w:szCs w:val="20"/>
                    </w:rPr>
                    <w:t>VSIA, kas pilda nacionālās sporta bāzes funkcijas</w:t>
                  </w:r>
                </w:p>
              </w:tc>
              <w:tc>
                <w:tcPr>
                  <w:tcW w:w="1701" w:type="dxa"/>
                </w:tcPr>
                <w:p w14:paraId="2B98EBFF" w14:textId="2CFD8E8B" w:rsidR="000A43B7" w:rsidRPr="00B85D0F" w:rsidRDefault="000A43B7" w:rsidP="000A43B7">
                  <w:pPr>
                    <w:spacing w:after="0" w:line="240" w:lineRule="auto"/>
                    <w:contextualSpacing/>
                    <w:jc w:val="both"/>
                    <w:rPr>
                      <w:rFonts w:ascii="Times New Roman" w:hAnsi="Times New Roman"/>
                      <w:sz w:val="20"/>
                      <w:szCs w:val="20"/>
                    </w:rPr>
                  </w:pPr>
                  <w:r>
                    <w:rPr>
                      <w:rFonts w:ascii="Times New Roman" w:hAnsi="Times New Roman"/>
                      <w:sz w:val="20"/>
                      <w:szCs w:val="20"/>
                    </w:rPr>
                    <w:t>2 852 800</w:t>
                  </w:r>
                </w:p>
              </w:tc>
              <w:tc>
                <w:tcPr>
                  <w:tcW w:w="1892" w:type="dxa"/>
                </w:tcPr>
                <w:p w14:paraId="24A25F85" w14:textId="29A947B1" w:rsidR="000A43B7" w:rsidRPr="00B85D0F" w:rsidRDefault="000A43B7" w:rsidP="000A43B7">
                  <w:pPr>
                    <w:spacing w:after="0" w:line="240" w:lineRule="auto"/>
                    <w:contextualSpacing/>
                    <w:jc w:val="both"/>
                    <w:rPr>
                      <w:rFonts w:ascii="Times New Roman" w:hAnsi="Times New Roman"/>
                      <w:sz w:val="20"/>
                      <w:szCs w:val="20"/>
                    </w:rPr>
                  </w:pPr>
                  <w:r>
                    <w:rPr>
                      <w:rFonts w:ascii="Times New Roman" w:hAnsi="Times New Roman"/>
                      <w:sz w:val="20"/>
                      <w:szCs w:val="20"/>
                    </w:rPr>
                    <w:t>2 </w:t>
                  </w:r>
                  <w:r w:rsidR="00896D8F">
                    <w:rPr>
                      <w:rFonts w:ascii="Times New Roman" w:hAnsi="Times New Roman"/>
                      <w:sz w:val="20"/>
                      <w:szCs w:val="20"/>
                    </w:rPr>
                    <w:t> </w:t>
                  </w:r>
                  <w:r>
                    <w:rPr>
                      <w:rFonts w:ascii="Times New Roman" w:hAnsi="Times New Roman"/>
                      <w:sz w:val="20"/>
                      <w:szCs w:val="20"/>
                    </w:rPr>
                    <w:t>02</w:t>
                  </w:r>
                  <w:r w:rsidR="006D55AB">
                    <w:rPr>
                      <w:rFonts w:ascii="Times New Roman" w:hAnsi="Times New Roman"/>
                      <w:sz w:val="20"/>
                      <w:szCs w:val="20"/>
                    </w:rPr>
                    <w:t>5 300</w:t>
                  </w:r>
                </w:p>
              </w:tc>
            </w:tr>
            <w:tr w:rsidR="000A43B7" w14:paraId="137115E2" w14:textId="77777777" w:rsidTr="00B2543B">
              <w:tc>
                <w:tcPr>
                  <w:tcW w:w="2322" w:type="dxa"/>
                </w:tcPr>
                <w:p w14:paraId="531B0AF3" w14:textId="5E300D64" w:rsidR="000A43B7" w:rsidRPr="000A43B7" w:rsidRDefault="00285FDB" w:rsidP="000A43B7">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“Tehnikums (ēka Liepājas ielā 31, Kuldīga) </w:t>
                  </w:r>
                  <w:r w:rsidR="000A43B7" w:rsidRPr="000A43B7">
                    <w:rPr>
                      <w:rFonts w:ascii="Times New Roman" w:hAnsi="Times New Roman"/>
                      <w:sz w:val="20"/>
                      <w:szCs w:val="20"/>
                    </w:rPr>
                    <w:t>”</w:t>
                  </w:r>
                </w:p>
              </w:tc>
              <w:tc>
                <w:tcPr>
                  <w:tcW w:w="1701" w:type="dxa"/>
                </w:tcPr>
                <w:p w14:paraId="4F7FFDCB" w14:textId="6871AA59" w:rsidR="000A43B7" w:rsidRPr="00B85D0F" w:rsidRDefault="000A43B7" w:rsidP="000A43B7">
                  <w:pPr>
                    <w:spacing w:after="0" w:line="240" w:lineRule="auto"/>
                    <w:contextualSpacing/>
                    <w:jc w:val="both"/>
                    <w:rPr>
                      <w:rFonts w:ascii="Times New Roman" w:hAnsi="Times New Roman"/>
                      <w:sz w:val="20"/>
                      <w:szCs w:val="20"/>
                    </w:rPr>
                  </w:pPr>
                  <w:r>
                    <w:rPr>
                      <w:rFonts w:ascii="Times New Roman" w:hAnsi="Times New Roman"/>
                      <w:sz w:val="20"/>
                      <w:szCs w:val="20"/>
                    </w:rPr>
                    <w:t>500 000</w:t>
                  </w:r>
                </w:p>
              </w:tc>
              <w:tc>
                <w:tcPr>
                  <w:tcW w:w="1892" w:type="dxa"/>
                </w:tcPr>
                <w:p w14:paraId="7C3835B3" w14:textId="747EA917" w:rsidR="000A43B7" w:rsidRPr="00B85D0F" w:rsidRDefault="000A43B7" w:rsidP="000A43B7">
                  <w:pPr>
                    <w:spacing w:after="0" w:line="240" w:lineRule="auto"/>
                    <w:contextualSpacing/>
                    <w:jc w:val="both"/>
                    <w:rPr>
                      <w:rFonts w:ascii="Times New Roman" w:hAnsi="Times New Roman"/>
                      <w:sz w:val="20"/>
                      <w:szCs w:val="20"/>
                    </w:rPr>
                  </w:pPr>
                  <w:r>
                    <w:rPr>
                      <w:rFonts w:ascii="Times New Roman" w:hAnsi="Times New Roman"/>
                      <w:sz w:val="20"/>
                      <w:szCs w:val="20"/>
                    </w:rPr>
                    <w:t>1 32</w:t>
                  </w:r>
                  <w:r w:rsidR="00896D8F">
                    <w:rPr>
                      <w:rFonts w:ascii="Times New Roman" w:hAnsi="Times New Roman"/>
                      <w:sz w:val="20"/>
                      <w:szCs w:val="20"/>
                    </w:rPr>
                    <w:t>7 5</w:t>
                  </w:r>
                  <w:r w:rsidR="006D55AB">
                    <w:rPr>
                      <w:rFonts w:ascii="Times New Roman" w:hAnsi="Times New Roman"/>
                      <w:sz w:val="20"/>
                      <w:szCs w:val="20"/>
                    </w:rPr>
                    <w:t>00</w:t>
                  </w:r>
                </w:p>
              </w:tc>
            </w:tr>
            <w:tr w:rsidR="000A43B7" w14:paraId="40C86230" w14:textId="77777777" w:rsidTr="00B2543B">
              <w:tc>
                <w:tcPr>
                  <w:tcW w:w="2322" w:type="dxa"/>
                </w:tcPr>
                <w:p w14:paraId="74612A55" w14:textId="77777777" w:rsidR="000A43B7" w:rsidRPr="00B2543B" w:rsidRDefault="000A43B7" w:rsidP="000A43B7">
                  <w:pPr>
                    <w:spacing w:after="0" w:line="240" w:lineRule="auto"/>
                    <w:contextualSpacing/>
                    <w:jc w:val="right"/>
                    <w:rPr>
                      <w:rFonts w:ascii="Times New Roman" w:hAnsi="Times New Roman"/>
                      <w:b/>
                      <w:bCs/>
                      <w:sz w:val="20"/>
                      <w:szCs w:val="20"/>
                    </w:rPr>
                  </w:pPr>
                  <w:r w:rsidRPr="00B2543B">
                    <w:rPr>
                      <w:rFonts w:ascii="Times New Roman" w:hAnsi="Times New Roman"/>
                      <w:b/>
                      <w:bCs/>
                      <w:sz w:val="20"/>
                      <w:szCs w:val="20"/>
                    </w:rPr>
                    <w:t>Kopā:</w:t>
                  </w:r>
                </w:p>
              </w:tc>
              <w:tc>
                <w:tcPr>
                  <w:tcW w:w="1701" w:type="dxa"/>
                </w:tcPr>
                <w:p w14:paraId="4EA1F7AA" w14:textId="38DDA306" w:rsidR="000A43B7" w:rsidRPr="00B85D0F" w:rsidRDefault="00E87950" w:rsidP="000A43B7">
                  <w:pPr>
                    <w:spacing w:after="0" w:line="240" w:lineRule="auto"/>
                    <w:contextualSpacing/>
                    <w:jc w:val="both"/>
                    <w:rPr>
                      <w:rFonts w:ascii="Times New Roman" w:hAnsi="Times New Roman"/>
                      <w:sz w:val="20"/>
                      <w:szCs w:val="20"/>
                    </w:rPr>
                  </w:pPr>
                  <w:r>
                    <w:rPr>
                      <w:rFonts w:ascii="Times New Roman" w:hAnsi="Times New Roman"/>
                      <w:sz w:val="20"/>
                      <w:szCs w:val="20"/>
                    </w:rPr>
                    <w:t>3 352 800</w:t>
                  </w:r>
                </w:p>
              </w:tc>
              <w:tc>
                <w:tcPr>
                  <w:tcW w:w="1892" w:type="dxa"/>
                </w:tcPr>
                <w:p w14:paraId="36A7071B" w14:textId="234CBE33" w:rsidR="000A43B7" w:rsidRPr="00B85D0F" w:rsidRDefault="00E87950" w:rsidP="000A43B7">
                  <w:pPr>
                    <w:spacing w:after="0" w:line="240" w:lineRule="auto"/>
                    <w:contextualSpacing/>
                    <w:jc w:val="both"/>
                    <w:rPr>
                      <w:rFonts w:ascii="Times New Roman" w:hAnsi="Times New Roman"/>
                      <w:sz w:val="20"/>
                      <w:szCs w:val="20"/>
                    </w:rPr>
                  </w:pPr>
                  <w:r>
                    <w:rPr>
                      <w:rFonts w:ascii="Times New Roman" w:hAnsi="Times New Roman"/>
                      <w:sz w:val="20"/>
                      <w:szCs w:val="20"/>
                    </w:rPr>
                    <w:t>3 352 800</w:t>
                  </w:r>
                </w:p>
              </w:tc>
            </w:tr>
          </w:tbl>
          <w:p w14:paraId="69E48A52" w14:textId="77777777" w:rsidR="00E87950" w:rsidRDefault="00E87950" w:rsidP="00B85D0F">
            <w:pPr>
              <w:spacing w:after="0" w:line="240" w:lineRule="auto"/>
              <w:contextualSpacing/>
              <w:jc w:val="both"/>
              <w:rPr>
                <w:rFonts w:ascii="Times New Roman" w:hAnsi="Times New Roman"/>
                <w:sz w:val="24"/>
                <w:szCs w:val="24"/>
              </w:rPr>
            </w:pPr>
          </w:p>
          <w:p w14:paraId="077A8B24" w14:textId="387AB696" w:rsidR="0046396C" w:rsidRDefault="0098221F" w:rsidP="0046396C">
            <w:pPr>
              <w:spacing w:after="0" w:line="240" w:lineRule="auto"/>
              <w:ind w:firstLine="201"/>
              <w:contextualSpacing/>
              <w:jc w:val="both"/>
              <w:rPr>
                <w:rFonts w:ascii="Times New Roman" w:hAnsi="Times New Roman"/>
                <w:sz w:val="24"/>
                <w:szCs w:val="24"/>
              </w:rPr>
            </w:pPr>
            <w:r>
              <w:rPr>
                <w:rFonts w:ascii="Times New Roman" w:hAnsi="Times New Roman"/>
                <w:sz w:val="24"/>
                <w:szCs w:val="24"/>
              </w:rPr>
              <w:t xml:space="preserve">Ņemot vērā sniegto informāciju, </w:t>
            </w:r>
            <w:r w:rsidR="00CD317D">
              <w:rPr>
                <w:rFonts w:ascii="Times New Roman" w:hAnsi="Times New Roman"/>
                <w:sz w:val="24"/>
                <w:szCs w:val="24"/>
              </w:rPr>
              <w:t xml:space="preserve">publiskā </w:t>
            </w:r>
            <w:r w:rsidR="00E87950">
              <w:rPr>
                <w:rFonts w:ascii="Times New Roman" w:hAnsi="Times New Roman"/>
                <w:sz w:val="24"/>
                <w:szCs w:val="24"/>
              </w:rPr>
              <w:t xml:space="preserve">finansējuma pārdale tiek veikta starp ēkām, kas tiek atsauktas vai kurās pēc iepirkuma ir radies finanšu ietaupījums un ēkām, kuru plānotās īstenošanas izmaksas ir augstākas par sākotnēji prognozēto. Informējam, ka sākotnēji gatavojot </w:t>
            </w:r>
            <w:r w:rsidR="00C239D4">
              <w:rPr>
                <w:rFonts w:ascii="Times New Roman" w:hAnsi="Times New Roman"/>
                <w:sz w:val="24"/>
                <w:szCs w:val="24"/>
              </w:rPr>
              <w:t>MK noteikumu 1.pielikumu</w:t>
            </w:r>
            <w:r w:rsidR="00E87950">
              <w:rPr>
                <w:rFonts w:ascii="Times New Roman" w:hAnsi="Times New Roman"/>
                <w:sz w:val="24"/>
                <w:szCs w:val="24"/>
              </w:rPr>
              <w:t xml:space="preserve"> tika sagatavota aptuvena prognoze</w:t>
            </w:r>
            <w:r w:rsidR="00C239D4">
              <w:rPr>
                <w:rFonts w:ascii="Times New Roman" w:hAnsi="Times New Roman"/>
                <w:sz w:val="24"/>
                <w:szCs w:val="24"/>
              </w:rPr>
              <w:t xml:space="preserve"> (projektu tehniskā dokumentācija vēl nebija sagatavota)</w:t>
            </w:r>
            <w:r w:rsidR="00E87950">
              <w:rPr>
                <w:rFonts w:ascii="Times New Roman" w:hAnsi="Times New Roman"/>
                <w:sz w:val="24"/>
                <w:szCs w:val="24"/>
              </w:rPr>
              <w:t>, bet, gatavojot projektu dokumentāciju nereti tiek konstatēts, ka projektos būtu nepieciešams iek</w:t>
            </w:r>
            <w:r w:rsidR="00C239D4">
              <w:rPr>
                <w:rFonts w:ascii="Times New Roman" w:hAnsi="Times New Roman"/>
                <w:sz w:val="24"/>
                <w:szCs w:val="24"/>
              </w:rPr>
              <w:t xml:space="preserve">ļaut </w:t>
            </w:r>
            <w:r w:rsidR="00E87950">
              <w:rPr>
                <w:rFonts w:ascii="Times New Roman" w:hAnsi="Times New Roman"/>
                <w:sz w:val="24"/>
                <w:szCs w:val="24"/>
              </w:rPr>
              <w:t>vairāk darbības nekā sākotnēji tika apzināts.</w:t>
            </w:r>
            <w:r w:rsidR="00C239D4">
              <w:rPr>
                <w:rFonts w:ascii="Times New Roman" w:hAnsi="Times New Roman"/>
                <w:sz w:val="24"/>
                <w:szCs w:val="24"/>
              </w:rPr>
              <w:t xml:space="preserve"> Tā pat ministrijas ir izvērtējušas iespēju izmantot finansējuma atlikumu, lai iekļautu papildus ēkas anotācijas pielikumā, kā rezultātā tiek veikta finansējuma pārdale starp atbalsta saņēmējiem. </w:t>
            </w:r>
          </w:p>
          <w:p w14:paraId="1781427B" w14:textId="77777777" w:rsidR="00C239D4" w:rsidRDefault="00C239D4" w:rsidP="00C239D4">
            <w:pPr>
              <w:spacing w:after="0" w:line="240" w:lineRule="auto"/>
              <w:ind w:firstLine="201"/>
              <w:contextualSpacing/>
              <w:jc w:val="both"/>
              <w:rPr>
                <w:rFonts w:ascii="Times New Roman" w:hAnsi="Times New Roman"/>
                <w:sz w:val="24"/>
                <w:szCs w:val="24"/>
              </w:rPr>
            </w:pPr>
          </w:p>
          <w:p w14:paraId="7DDB0490" w14:textId="6E5AACDA" w:rsidR="00C239D4" w:rsidRDefault="00C239D4" w:rsidP="00FF3601">
            <w:pPr>
              <w:spacing w:after="0" w:line="240" w:lineRule="auto"/>
              <w:ind w:firstLine="201"/>
              <w:contextualSpacing/>
              <w:jc w:val="both"/>
              <w:rPr>
                <w:rFonts w:ascii="Times New Roman" w:hAnsi="Times New Roman"/>
                <w:sz w:val="24"/>
                <w:szCs w:val="24"/>
              </w:rPr>
            </w:pPr>
            <w:r>
              <w:rPr>
                <w:rFonts w:ascii="Times New Roman" w:hAnsi="Times New Roman"/>
                <w:sz w:val="24"/>
                <w:szCs w:val="24"/>
              </w:rPr>
              <w:t>Norādāms, ka noteikumu projektā un anotācijas pielikumā norādītās publiskā finansējuma pārdales neatstāj negatīvu ietekmi uz atlasi, t.sk. plānotajiem un iesniegtajiem projektiem, finansējuma apguvi un sasniedzamajiem rādītājiem, jo kopumā atjaunojamo ēku saraksts (anotācijas pielikums) ir par 1 ēku garāks (iepriekš plānotas 36 ēkas, bet pēc noteikumu projekta grozījumiem būs iespēja paaugstināt energoefektivitāti 37 ēkās)</w:t>
            </w:r>
            <w:r w:rsidR="00163106">
              <w:rPr>
                <w:rFonts w:ascii="Times New Roman" w:hAnsi="Times New Roman"/>
                <w:sz w:val="24"/>
                <w:szCs w:val="24"/>
              </w:rPr>
              <w:t xml:space="preserve"> finansējuma saņēmējiem kuriem ir noslēgti līgumi ar CFLA un tiek īstenoti projekti ir izveidojušies atlikumi</w:t>
            </w:r>
            <w:r w:rsidR="0004650E">
              <w:rPr>
                <w:rFonts w:ascii="Times New Roman" w:hAnsi="Times New Roman"/>
                <w:sz w:val="24"/>
                <w:szCs w:val="24"/>
              </w:rPr>
              <w:t>,</w:t>
            </w:r>
            <w:r w:rsidR="00163106">
              <w:rPr>
                <w:rFonts w:ascii="Times New Roman" w:hAnsi="Times New Roman"/>
                <w:sz w:val="24"/>
                <w:szCs w:val="24"/>
              </w:rPr>
              <w:t xml:space="preserve"> kuri netiks izmantoti projektu ietvaros. Lai nodrošinātu efektīvāku publiskā finansējuma izmantošanu, izveidojušies atlikumi tiek pārdalīts ēkām jaunu korpusu siltināšanai iesniedzot jaunus projekta iesniegumus vai palielinot projektiem finansējumu, lai nodrošinātu norādīto energoresursu ietaupījumu un ēkas nodošanu ekspluatācijā veicot līguma grozījumus</w:t>
            </w:r>
            <w:r w:rsidR="00A97D01">
              <w:rPr>
                <w:rFonts w:ascii="Times New Roman" w:hAnsi="Times New Roman"/>
                <w:sz w:val="24"/>
                <w:szCs w:val="24"/>
              </w:rPr>
              <w:t>.</w:t>
            </w:r>
            <w:r>
              <w:rPr>
                <w:rFonts w:ascii="Times New Roman" w:hAnsi="Times New Roman"/>
                <w:sz w:val="24"/>
                <w:szCs w:val="24"/>
              </w:rPr>
              <w:t xml:space="preserve"> </w:t>
            </w:r>
          </w:p>
          <w:p w14:paraId="27DEBE8D" w14:textId="2740F4B3" w:rsidR="0083064E" w:rsidRDefault="0083064E" w:rsidP="00C239D4">
            <w:pPr>
              <w:spacing w:after="0" w:line="240" w:lineRule="auto"/>
              <w:ind w:firstLine="201"/>
              <w:contextualSpacing/>
              <w:jc w:val="both"/>
              <w:rPr>
                <w:rFonts w:ascii="Times New Roman" w:hAnsi="Times New Roman"/>
                <w:sz w:val="24"/>
                <w:szCs w:val="24"/>
              </w:rPr>
            </w:pPr>
          </w:p>
          <w:p w14:paraId="3AB399E2" w14:textId="79DBC262" w:rsidR="00446AB0" w:rsidRDefault="0083064E" w:rsidP="0004650E">
            <w:pPr>
              <w:spacing w:after="0" w:line="240" w:lineRule="auto"/>
              <w:ind w:firstLine="201"/>
              <w:contextualSpacing/>
              <w:jc w:val="both"/>
              <w:rPr>
                <w:rFonts w:ascii="Times New Roman" w:hAnsi="Times New Roman"/>
                <w:sz w:val="24"/>
                <w:szCs w:val="24"/>
              </w:rPr>
            </w:pPr>
            <w:r>
              <w:rPr>
                <w:rFonts w:ascii="Times New Roman" w:hAnsi="Times New Roman"/>
                <w:sz w:val="24"/>
                <w:szCs w:val="24"/>
              </w:rPr>
              <w:t>N</w:t>
            </w:r>
            <w:r w:rsidRPr="0059104A">
              <w:rPr>
                <w:rFonts w:ascii="Times New Roman" w:hAnsi="Times New Roman"/>
                <w:sz w:val="24"/>
                <w:szCs w:val="24"/>
              </w:rPr>
              <w:t>oteikum</w:t>
            </w:r>
            <w:r>
              <w:rPr>
                <w:rFonts w:ascii="Times New Roman" w:hAnsi="Times New Roman"/>
                <w:sz w:val="24"/>
                <w:szCs w:val="24"/>
              </w:rPr>
              <w:t>u</w:t>
            </w:r>
            <w:r w:rsidRPr="0059104A">
              <w:rPr>
                <w:rFonts w:ascii="Times New Roman" w:hAnsi="Times New Roman"/>
                <w:sz w:val="24"/>
                <w:szCs w:val="24"/>
              </w:rPr>
              <w:t xml:space="preserve"> Nr. </w:t>
            </w:r>
            <w:r>
              <w:rPr>
                <w:rFonts w:ascii="Times New Roman" w:hAnsi="Times New Roman"/>
                <w:sz w:val="24"/>
                <w:szCs w:val="24"/>
              </w:rPr>
              <w:t>13 pielikumā (jaunajā redakcijā) aktualizēts ēku sarakts pēc publiskā finansējuma pārdalēm.</w:t>
            </w:r>
          </w:p>
          <w:p w14:paraId="045988A5" w14:textId="77777777" w:rsidR="0068468E" w:rsidRDefault="0068468E" w:rsidP="00C239D4">
            <w:pPr>
              <w:spacing w:after="0" w:line="240" w:lineRule="auto"/>
              <w:ind w:firstLine="201"/>
              <w:contextualSpacing/>
              <w:jc w:val="both"/>
              <w:rPr>
                <w:rFonts w:ascii="Times New Roman" w:hAnsi="Times New Roman"/>
                <w:sz w:val="24"/>
                <w:szCs w:val="24"/>
              </w:rPr>
            </w:pPr>
          </w:p>
          <w:p w14:paraId="66F8C832" w14:textId="43E8ADF1" w:rsidR="0068468E" w:rsidRDefault="00446AB0" w:rsidP="0004650E">
            <w:pPr>
              <w:spacing w:after="0" w:line="240" w:lineRule="auto"/>
              <w:contextualSpacing/>
              <w:jc w:val="both"/>
              <w:rPr>
                <w:rFonts w:ascii="Times New Roman" w:hAnsi="Times New Roman"/>
                <w:sz w:val="24"/>
                <w:szCs w:val="24"/>
              </w:rPr>
            </w:pPr>
            <w:r>
              <w:rPr>
                <w:rFonts w:ascii="Times New Roman" w:hAnsi="Times New Roman"/>
                <w:sz w:val="24"/>
                <w:szCs w:val="24"/>
              </w:rPr>
              <w:t>Ņemot vērā publiskā finansējuma pārdales un papildus projekta iekļaušanu atjaunojamo ēku sarakstā, nepieciešams laiks, lai izstrādātu dokumentāciju un iesniegtu CFLA</w:t>
            </w:r>
            <w:r w:rsidR="00FF3601">
              <w:rPr>
                <w:rFonts w:ascii="Times New Roman" w:hAnsi="Times New Roman"/>
                <w:sz w:val="24"/>
                <w:szCs w:val="24"/>
              </w:rPr>
              <w:t>.</w:t>
            </w:r>
            <w:r>
              <w:rPr>
                <w:rFonts w:ascii="Times New Roman" w:hAnsi="Times New Roman"/>
                <w:sz w:val="24"/>
                <w:szCs w:val="24"/>
              </w:rPr>
              <w:t xml:space="preserve"> 4.2.1.2. otrās projektu iesniegumu atlases kārta</w:t>
            </w:r>
            <w:r w:rsidR="00CD317D">
              <w:rPr>
                <w:rFonts w:ascii="Times New Roman" w:hAnsi="Times New Roman"/>
                <w:sz w:val="24"/>
                <w:szCs w:val="24"/>
              </w:rPr>
              <w:t>s</w:t>
            </w:r>
            <w:r>
              <w:rPr>
                <w:rFonts w:ascii="Times New Roman" w:hAnsi="Times New Roman"/>
                <w:sz w:val="24"/>
                <w:szCs w:val="24"/>
              </w:rPr>
              <w:t xml:space="preserve"> projektu </w:t>
            </w:r>
            <w:r w:rsidR="00F722AC">
              <w:rPr>
                <w:rFonts w:ascii="Times New Roman" w:hAnsi="Times New Roman"/>
                <w:sz w:val="24"/>
                <w:szCs w:val="24"/>
              </w:rPr>
              <w:t>atlase uz laiku ir slēgta</w:t>
            </w:r>
            <w:r w:rsidR="00C8375A">
              <w:rPr>
                <w:rFonts w:ascii="Times New Roman" w:hAnsi="Times New Roman"/>
                <w:sz w:val="24"/>
                <w:szCs w:val="24"/>
              </w:rPr>
              <w:t>.</w:t>
            </w:r>
            <w:r w:rsidR="00F722AC">
              <w:rPr>
                <w:rFonts w:ascii="Times New Roman" w:hAnsi="Times New Roman"/>
                <w:sz w:val="24"/>
                <w:szCs w:val="24"/>
              </w:rPr>
              <w:t xml:space="preserve"> Tā tiks atsākta nedēļas laikā no brīža, kad grozījumu projekts būs stājies spēkā.</w:t>
            </w:r>
          </w:p>
          <w:p w14:paraId="23B19B42" w14:textId="785C214D" w:rsidR="0068468E" w:rsidRPr="0004650E" w:rsidRDefault="0068468E" w:rsidP="0004650E">
            <w:pPr>
              <w:spacing w:after="0" w:line="240" w:lineRule="auto"/>
              <w:jc w:val="both"/>
              <w:rPr>
                <w:rFonts w:ascii="Times New Roman" w:hAnsi="Times New Roman"/>
                <w:sz w:val="24"/>
                <w:szCs w:val="24"/>
              </w:rPr>
            </w:pPr>
            <w:r w:rsidRPr="0004650E">
              <w:rPr>
                <w:rFonts w:ascii="Times New Roman" w:hAnsi="Times New Roman"/>
                <w:sz w:val="24"/>
                <w:szCs w:val="24"/>
              </w:rPr>
              <w:t xml:space="preserve">Ekonomikas ministrija ar Finanšu ministriju un CFLA, vienojās, ka CFLA veiks valsts atbalsta projektu uzraudzību visā to dzīves ciklā (arī pēc piecu gadu </w:t>
            </w:r>
            <w:proofErr w:type="spellStart"/>
            <w:r w:rsidRPr="0004650E">
              <w:rPr>
                <w:rFonts w:ascii="Times New Roman" w:hAnsi="Times New Roman"/>
                <w:sz w:val="24"/>
                <w:szCs w:val="24"/>
              </w:rPr>
              <w:t>pēcuzraudzības</w:t>
            </w:r>
            <w:proofErr w:type="spellEnd"/>
            <w:r w:rsidRPr="0004650E">
              <w:rPr>
                <w:rFonts w:ascii="Times New Roman" w:hAnsi="Times New Roman"/>
                <w:sz w:val="24"/>
                <w:szCs w:val="24"/>
              </w:rPr>
              <w:t xml:space="preserve"> perioda beigām), ja to paredzēs MK 2018. gada 04. janvāra noteikumi Nr.13 "Darbības programmas "Izaugsme un nodarbinātība" 4.2.1. specifiskā atbalsta mērķa "Veicināt energoefektivitātes paaugstināšanu valsts un dzīvojamās ēkās" 4.2.1.2. pasākuma </w:t>
            </w:r>
            <w:r w:rsidRPr="0004650E">
              <w:rPr>
                <w:rFonts w:ascii="Times New Roman" w:hAnsi="Times New Roman"/>
                <w:sz w:val="24"/>
                <w:szCs w:val="24"/>
              </w:rPr>
              <w:lastRenderedPageBreak/>
              <w:t>"Veicināt energoefektivitātes paaugstināšanu valsts ēkās" otrās projektu iesniegumu atlases kārtas īstenošanas noteikumi”.</w:t>
            </w:r>
          </w:p>
          <w:p w14:paraId="6F9DFBF4" w14:textId="6F2E07D9" w:rsidR="0068468E" w:rsidRDefault="0068468E" w:rsidP="0004650E">
            <w:pPr>
              <w:spacing w:after="0" w:line="240" w:lineRule="auto"/>
              <w:jc w:val="both"/>
              <w:rPr>
                <w:rFonts w:ascii="Times New Roman" w:hAnsi="Times New Roman"/>
                <w:sz w:val="24"/>
                <w:szCs w:val="24"/>
              </w:rPr>
            </w:pPr>
            <w:r w:rsidRPr="0004650E">
              <w:rPr>
                <w:rFonts w:ascii="Times New Roman" w:hAnsi="Times New Roman"/>
                <w:sz w:val="24"/>
                <w:szCs w:val="24"/>
              </w:rPr>
              <w:t>Attiecīgi MK noteikumi Nr. 13 tiek papildināti ar jaun</w:t>
            </w:r>
            <w:r>
              <w:rPr>
                <w:rFonts w:ascii="Times New Roman" w:hAnsi="Times New Roman"/>
                <w:sz w:val="24"/>
                <w:szCs w:val="24"/>
              </w:rPr>
              <w:t>u</w:t>
            </w:r>
            <w:r w:rsidRPr="0004650E">
              <w:rPr>
                <w:rFonts w:ascii="Times New Roman" w:hAnsi="Times New Roman"/>
                <w:sz w:val="24"/>
                <w:szCs w:val="24"/>
              </w:rPr>
              <w:t xml:space="preserve"> </w:t>
            </w:r>
            <w:r>
              <w:rPr>
                <w:rFonts w:ascii="Times New Roman" w:hAnsi="Times New Roman"/>
                <w:sz w:val="24"/>
                <w:szCs w:val="24"/>
              </w:rPr>
              <w:t>apakš</w:t>
            </w:r>
            <w:r w:rsidRPr="0004650E">
              <w:rPr>
                <w:rFonts w:ascii="Times New Roman" w:hAnsi="Times New Roman"/>
                <w:sz w:val="24"/>
                <w:szCs w:val="24"/>
              </w:rPr>
              <w:t>punkt</w:t>
            </w:r>
            <w:r>
              <w:rPr>
                <w:rFonts w:ascii="Times New Roman" w:hAnsi="Times New Roman"/>
                <w:sz w:val="24"/>
                <w:szCs w:val="24"/>
              </w:rPr>
              <w:t>u Nr.38.4</w:t>
            </w:r>
            <w:r w:rsidRPr="0004650E">
              <w:rPr>
                <w:rFonts w:ascii="Times New Roman" w:hAnsi="Times New Roman"/>
                <w:sz w:val="24"/>
                <w:szCs w:val="24"/>
              </w:rPr>
              <w:t>,</w:t>
            </w:r>
            <w:r>
              <w:rPr>
                <w:rFonts w:ascii="Times New Roman" w:hAnsi="Times New Roman"/>
                <w:sz w:val="24"/>
                <w:szCs w:val="24"/>
              </w:rPr>
              <w:t xml:space="preserve"> kas nosaka projekta dzīves ciklu ar punktu Nr.65.</w:t>
            </w:r>
            <w:r w:rsidRPr="0004650E">
              <w:rPr>
                <w:rFonts w:ascii="Times New Roman" w:hAnsi="Times New Roman"/>
                <w:sz w:val="24"/>
                <w:szCs w:val="24"/>
                <w:vertAlign w:val="superscript"/>
              </w:rPr>
              <w:t>1</w:t>
            </w:r>
            <w:r>
              <w:rPr>
                <w:rFonts w:ascii="Times New Roman" w:hAnsi="Times New Roman"/>
                <w:sz w:val="24"/>
                <w:szCs w:val="24"/>
              </w:rPr>
              <w:t xml:space="preserve"> un punktu Nr.75,</w:t>
            </w:r>
            <w:r w:rsidRPr="0004650E">
              <w:rPr>
                <w:rFonts w:ascii="Times New Roman" w:hAnsi="Times New Roman"/>
                <w:sz w:val="24"/>
                <w:szCs w:val="24"/>
              </w:rPr>
              <w:t xml:space="preserve"> kas nosaka CFLA pienākumu uzraudzīt projektu, kurā paredzēts valsts atbalsts, visā tā dzīves cikla laikā (līdz 15 gadiem), ņemot vērā atbalstāmo projektu specifiku.</w:t>
            </w:r>
          </w:p>
          <w:p w14:paraId="53F010EF" w14:textId="29B4324A" w:rsidR="0068468E" w:rsidRDefault="0068468E" w:rsidP="0004650E">
            <w:pPr>
              <w:spacing w:after="0" w:line="240" w:lineRule="auto"/>
              <w:jc w:val="both"/>
              <w:rPr>
                <w:rFonts w:ascii="Times New Roman" w:hAnsi="Times New Roman"/>
                <w:sz w:val="24"/>
                <w:szCs w:val="24"/>
              </w:rPr>
            </w:pPr>
            <w:r>
              <w:rPr>
                <w:rFonts w:ascii="Times New Roman" w:hAnsi="Times New Roman"/>
                <w:sz w:val="24"/>
                <w:szCs w:val="24"/>
              </w:rPr>
              <w:t>Papildus MK noteikumi Nr.13 papildināti ar punktu Nr.35.</w:t>
            </w:r>
            <w:r w:rsidRPr="0004650E">
              <w:rPr>
                <w:rFonts w:ascii="Times New Roman" w:hAnsi="Times New Roman"/>
                <w:sz w:val="24"/>
                <w:szCs w:val="24"/>
                <w:vertAlign w:val="superscript"/>
              </w:rPr>
              <w:t>1</w:t>
            </w:r>
            <w:r>
              <w:rPr>
                <w:rFonts w:ascii="Times New Roman" w:hAnsi="Times New Roman"/>
                <w:sz w:val="24"/>
                <w:szCs w:val="24"/>
              </w:rPr>
              <w:t>, kas nosaka atbalsta saņēmēja atmaksas kārtību sadarbības iestādei, ja tiek konstatēts nelikumīgs komercdarbības atbalsts</w:t>
            </w:r>
            <w:r w:rsidR="003C6570">
              <w:rPr>
                <w:rFonts w:ascii="Times New Roman" w:hAnsi="Times New Roman"/>
                <w:sz w:val="24"/>
                <w:szCs w:val="24"/>
              </w:rPr>
              <w:t>.</w:t>
            </w:r>
            <w:r>
              <w:rPr>
                <w:rFonts w:ascii="Times New Roman" w:hAnsi="Times New Roman"/>
                <w:sz w:val="24"/>
                <w:szCs w:val="24"/>
              </w:rPr>
              <w:t xml:space="preserve"> </w:t>
            </w:r>
            <w:r w:rsidR="003C6570">
              <w:rPr>
                <w:rFonts w:ascii="Times New Roman" w:hAnsi="Times New Roman"/>
                <w:sz w:val="24"/>
                <w:szCs w:val="24"/>
              </w:rPr>
              <w:t xml:space="preserve">Tas paredz, ka </w:t>
            </w:r>
            <w:r w:rsidR="003C6570" w:rsidRPr="003C6570">
              <w:rPr>
                <w:rFonts w:ascii="Times New Roman" w:hAnsi="Times New Roman"/>
                <w:sz w:val="24"/>
                <w:szCs w:val="24"/>
              </w:rPr>
              <w:t>atbalsta saņēmējam jāatmaksā sadarbības iestādei saņemto nelikumīgo komercdarbības atbalstu kopā ar procentiem, tiem pieskaitot 100 bāzes punktus, no dienas, kad valsts atbalsts tika izmaksāts finansējuma saņēmējam līdz tā atgūšanas dienai</w:t>
            </w:r>
            <w:r w:rsidR="003C6570">
              <w:rPr>
                <w:rFonts w:ascii="Times New Roman" w:hAnsi="Times New Roman"/>
                <w:sz w:val="24"/>
                <w:szCs w:val="24"/>
              </w:rPr>
              <w:t>.</w:t>
            </w:r>
          </w:p>
          <w:p w14:paraId="637DC253" w14:textId="224B88ED" w:rsidR="00DC337D" w:rsidRPr="00DC337D" w:rsidRDefault="00DC337D" w:rsidP="0004650E">
            <w:pPr>
              <w:spacing w:after="0" w:line="240" w:lineRule="auto"/>
              <w:jc w:val="both"/>
              <w:rPr>
                <w:rFonts w:ascii="Times New Roman" w:hAnsi="Times New Roman"/>
                <w:sz w:val="24"/>
                <w:szCs w:val="24"/>
              </w:rPr>
            </w:pPr>
            <w:r>
              <w:rPr>
                <w:rFonts w:ascii="Times New Roman" w:hAnsi="Times New Roman"/>
                <w:sz w:val="24"/>
                <w:szCs w:val="24"/>
              </w:rPr>
              <w:t>Papildus MK noteikumi Nr.13. papildināti ar punktu Nr.58.</w:t>
            </w:r>
            <w:r w:rsidRPr="00760352">
              <w:rPr>
                <w:rFonts w:ascii="Times New Roman" w:hAnsi="Times New Roman"/>
                <w:sz w:val="24"/>
                <w:szCs w:val="24"/>
                <w:vertAlign w:val="superscript"/>
              </w:rPr>
              <w:t>1</w:t>
            </w:r>
            <w:r>
              <w:rPr>
                <w:rFonts w:ascii="Times New Roman" w:hAnsi="Times New Roman"/>
                <w:sz w:val="24"/>
                <w:szCs w:val="24"/>
              </w:rPr>
              <w:t>, kas nosaka</w:t>
            </w:r>
            <w:r w:rsidRPr="00DC337D">
              <w:rPr>
                <w:rFonts w:ascii="Times New Roman" w:hAnsi="Times New Roman"/>
                <w:sz w:val="24"/>
                <w:szCs w:val="24"/>
              </w:rPr>
              <w:t>, ka finansējuma saņēmējs iesniedz sadarbības iestādei vispārējas tautsaimnieciskas nozīmes pakalpojuma pilnvarojuma uzlicēja/u apliecinājumus, ka vispārējas tautsaimnieciskas nozīmes pakalpojuma pilnvarojuma uzlicējs/i nodrošina Eiropas Komisijas (2011.gada 20.decembris) lēmuma par Līguma par Eiropas Savienības darbību 106.panta 2.punkta piemērošanu valsts atbalstam attiecībā uz kompensāciju par sabiedriskajiem pakalpojumiem dažiem uzņēmumiem, kuriem uzticēts sniegt pakalpojumus ar vispārēju tautsaimniecisku nozīmi 6.pantā noteikto pārmērīgas kompensācijas kontroli</w:t>
            </w:r>
            <w:r>
              <w:rPr>
                <w:rFonts w:ascii="Times New Roman" w:hAnsi="Times New Roman"/>
                <w:sz w:val="24"/>
                <w:szCs w:val="24"/>
              </w:rPr>
              <w:t>.</w:t>
            </w:r>
            <w:r>
              <w:t xml:space="preserve"> </w:t>
            </w:r>
            <w:r>
              <w:rPr>
                <w:rFonts w:ascii="Times New Roman" w:hAnsi="Times New Roman"/>
                <w:sz w:val="24"/>
                <w:szCs w:val="24"/>
              </w:rPr>
              <w:t>F</w:t>
            </w:r>
            <w:r w:rsidRPr="00DC337D">
              <w:rPr>
                <w:rFonts w:ascii="Times New Roman" w:hAnsi="Times New Roman"/>
                <w:sz w:val="24"/>
                <w:szCs w:val="24"/>
              </w:rPr>
              <w:t>inansējuma saņēmēj</w:t>
            </w:r>
            <w:r>
              <w:rPr>
                <w:rFonts w:ascii="Times New Roman" w:hAnsi="Times New Roman"/>
                <w:sz w:val="24"/>
                <w:szCs w:val="24"/>
              </w:rPr>
              <w:t>am</w:t>
            </w:r>
            <w:r w:rsidRPr="00DC337D">
              <w:rPr>
                <w:rFonts w:ascii="Times New Roman" w:hAnsi="Times New Roman"/>
                <w:sz w:val="24"/>
                <w:szCs w:val="24"/>
              </w:rPr>
              <w:t xml:space="preserve"> sadarbībā ar vispārējas tautsaimnieciskas nozīmes pakalpojuma pilnvarojuma uzlicēju </w:t>
            </w:r>
            <w:r>
              <w:rPr>
                <w:rFonts w:ascii="Times New Roman" w:hAnsi="Times New Roman"/>
                <w:sz w:val="24"/>
                <w:szCs w:val="24"/>
              </w:rPr>
              <w:t>jā</w:t>
            </w:r>
            <w:r w:rsidRPr="00DC337D">
              <w:rPr>
                <w:rFonts w:ascii="Times New Roman" w:hAnsi="Times New Roman"/>
                <w:sz w:val="24"/>
                <w:szCs w:val="24"/>
              </w:rPr>
              <w:t>nodrošina EK lēmuma Nr.2012/21/ES 6.pantā noteiktās uzraudzības veikšanas faktu apliecinošas dokumentācijas saglabāšanu un pieejamību saskaņā ar EK lēmuma Nr.2012/21/ES 8.pantā noteikto, tostarp pieejamību Eiropas Savienības struktūrfondu un Kohēzijas fonda (turpmāk – ES fondi) vadības un kontroles sistēmā iesaistītajām iestādēm.</w:t>
            </w:r>
          </w:p>
          <w:p w14:paraId="0E920B24" w14:textId="77777777" w:rsidR="00024E19" w:rsidRDefault="00024E19" w:rsidP="0004650E">
            <w:pPr>
              <w:spacing w:after="0" w:line="240" w:lineRule="auto"/>
              <w:contextualSpacing/>
              <w:jc w:val="both"/>
              <w:rPr>
                <w:rFonts w:ascii="Times New Roman" w:hAnsi="Times New Roman"/>
                <w:sz w:val="24"/>
                <w:szCs w:val="24"/>
              </w:rPr>
            </w:pPr>
          </w:p>
          <w:p w14:paraId="6698DF79" w14:textId="250AC23C" w:rsidR="0083064E" w:rsidRPr="009351A7" w:rsidRDefault="0083064E" w:rsidP="006D5A09">
            <w:pPr>
              <w:spacing w:after="0" w:line="240" w:lineRule="auto"/>
              <w:ind w:right="35" w:firstLine="201"/>
              <w:contextualSpacing/>
              <w:jc w:val="both"/>
              <w:rPr>
                <w:rFonts w:ascii="Times New Roman" w:hAnsi="Times New Roman"/>
                <w:b/>
                <w:bCs/>
                <w:i/>
                <w:iCs/>
                <w:sz w:val="24"/>
                <w:szCs w:val="24"/>
                <w:u w:val="single"/>
              </w:rPr>
            </w:pPr>
            <w:r w:rsidRPr="009351A7">
              <w:rPr>
                <w:rFonts w:ascii="Times New Roman" w:hAnsi="Times New Roman"/>
                <w:b/>
                <w:bCs/>
                <w:i/>
                <w:iCs/>
                <w:sz w:val="24"/>
                <w:szCs w:val="24"/>
                <w:u w:val="single"/>
              </w:rPr>
              <w:t xml:space="preserve">Papildus MK noteikumu projekts paredz palielināt pieejamo ERAF līdzfinansējumu par 1 </w:t>
            </w:r>
            <w:proofErr w:type="spellStart"/>
            <w:r w:rsidRPr="009351A7">
              <w:rPr>
                <w:rFonts w:ascii="Times New Roman" w:hAnsi="Times New Roman"/>
                <w:b/>
                <w:bCs/>
                <w:i/>
                <w:iCs/>
                <w:sz w:val="24"/>
                <w:szCs w:val="24"/>
                <w:u w:val="single"/>
              </w:rPr>
              <w:t>euro</w:t>
            </w:r>
            <w:proofErr w:type="spellEnd"/>
            <w:r w:rsidRPr="009351A7">
              <w:rPr>
                <w:rFonts w:ascii="Times New Roman" w:hAnsi="Times New Roman"/>
                <w:b/>
                <w:bCs/>
                <w:i/>
                <w:iCs/>
                <w:sz w:val="24"/>
                <w:szCs w:val="24"/>
                <w:u w:val="single"/>
              </w:rPr>
              <w:t xml:space="preserve">. </w:t>
            </w:r>
          </w:p>
          <w:p w14:paraId="6A9F303E" w14:textId="2991CAA9" w:rsidR="0083064E" w:rsidRPr="0083064E" w:rsidRDefault="0083064E" w:rsidP="0083064E">
            <w:pPr>
              <w:spacing w:after="0" w:line="240" w:lineRule="auto"/>
              <w:ind w:right="35" w:firstLine="201"/>
              <w:contextualSpacing/>
              <w:jc w:val="both"/>
              <w:rPr>
                <w:rFonts w:ascii="Times New Roman" w:hAnsi="Times New Roman"/>
                <w:sz w:val="24"/>
                <w:szCs w:val="24"/>
              </w:rPr>
            </w:pPr>
            <w:r w:rsidRPr="0083064E">
              <w:rPr>
                <w:rFonts w:ascii="Times New Roman" w:hAnsi="Times New Roman"/>
                <w:sz w:val="24"/>
                <w:szCs w:val="24"/>
              </w:rPr>
              <w:t xml:space="preserve">Konstatēts, ka jau šobrīd  otrās atlases kārtas MK noteikumu redakcija </w:t>
            </w:r>
            <w:r>
              <w:rPr>
                <w:rFonts w:ascii="Times New Roman" w:hAnsi="Times New Roman"/>
                <w:sz w:val="24"/>
                <w:szCs w:val="24"/>
              </w:rPr>
              <w:t xml:space="preserve">(kopā ar pirmās atlases kārtā norādīto finansējumu) </w:t>
            </w:r>
            <w:r w:rsidRPr="0083064E">
              <w:rPr>
                <w:rFonts w:ascii="Times New Roman" w:hAnsi="Times New Roman"/>
                <w:sz w:val="24"/>
                <w:szCs w:val="24"/>
              </w:rPr>
              <w:t xml:space="preserve">par 1 </w:t>
            </w:r>
            <w:proofErr w:type="spellStart"/>
            <w:r w:rsidRPr="00C41782">
              <w:rPr>
                <w:rFonts w:ascii="Times New Roman" w:hAnsi="Times New Roman"/>
                <w:i/>
                <w:iCs/>
                <w:sz w:val="24"/>
                <w:szCs w:val="24"/>
              </w:rPr>
              <w:t>euro</w:t>
            </w:r>
            <w:proofErr w:type="spellEnd"/>
            <w:r w:rsidRPr="0083064E">
              <w:rPr>
                <w:rFonts w:ascii="Times New Roman" w:hAnsi="Times New Roman"/>
                <w:sz w:val="24"/>
                <w:szCs w:val="24"/>
              </w:rPr>
              <w:t xml:space="preserve"> pārsniedz 4.2.1.2. pasākumam kopējo pieejamo ERAF finansējumu, savukārt 1.pielikumā norādītā ERAF finansējuma sadalījuma kopsumma to pārsniedz par vēl 1 </w:t>
            </w:r>
            <w:proofErr w:type="spellStart"/>
            <w:r w:rsidRPr="00C41782">
              <w:rPr>
                <w:rFonts w:ascii="Times New Roman" w:hAnsi="Times New Roman"/>
                <w:i/>
                <w:iCs/>
                <w:sz w:val="24"/>
                <w:szCs w:val="24"/>
              </w:rPr>
              <w:t>euro</w:t>
            </w:r>
            <w:proofErr w:type="spellEnd"/>
            <w:r w:rsidRPr="0083064E">
              <w:rPr>
                <w:rFonts w:ascii="Times New Roman" w:hAnsi="Times New Roman"/>
                <w:sz w:val="24"/>
                <w:szCs w:val="24"/>
              </w:rPr>
              <w:t xml:space="preserve"> (29 476 3</w:t>
            </w:r>
            <w:r>
              <w:rPr>
                <w:rFonts w:ascii="Times New Roman" w:hAnsi="Times New Roman"/>
                <w:sz w:val="24"/>
                <w:szCs w:val="24"/>
              </w:rPr>
              <w:t>25</w:t>
            </w:r>
            <w:r w:rsidRPr="0083064E">
              <w:rPr>
                <w:rFonts w:ascii="Times New Roman" w:hAnsi="Times New Roman"/>
                <w:sz w:val="24"/>
                <w:szCs w:val="24"/>
              </w:rPr>
              <w:t xml:space="preserve"> </w:t>
            </w:r>
            <w:proofErr w:type="spellStart"/>
            <w:r w:rsidRPr="00C41782">
              <w:rPr>
                <w:rFonts w:ascii="Times New Roman" w:hAnsi="Times New Roman"/>
                <w:i/>
                <w:iCs/>
                <w:sz w:val="24"/>
                <w:szCs w:val="24"/>
              </w:rPr>
              <w:t>euro</w:t>
            </w:r>
            <w:proofErr w:type="spellEnd"/>
            <w:r w:rsidRPr="0083064E">
              <w:rPr>
                <w:rFonts w:ascii="Times New Roman" w:hAnsi="Times New Roman"/>
                <w:sz w:val="24"/>
                <w:szCs w:val="24"/>
              </w:rPr>
              <w:t xml:space="preserve">). Ņemot vērā minēto un to, ka finansējums ir precīzi sadalīts konkrētiem projektiem, nepieciešams veikt finansējuma pārdali starp kārtām, t.i., pirmās atlases kārtas pieejamo ERAF finansējumu (daļu no </w:t>
            </w:r>
            <w:r w:rsidR="00F722AC">
              <w:rPr>
                <w:rFonts w:ascii="Times New Roman" w:hAnsi="Times New Roman"/>
                <w:sz w:val="24"/>
                <w:szCs w:val="24"/>
              </w:rPr>
              <w:t>Izglītības un zinātnes ministrijas neizmantotā kvotas atlikuma</w:t>
            </w:r>
            <w:r w:rsidRPr="0083064E">
              <w:rPr>
                <w:rFonts w:ascii="Times New Roman" w:hAnsi="Times New Roman"/>
                <w:sz w:val="24"/>
                <w:szCs w:val="24"/>
              </w:rPr>
              <w:t xml:space="preserve">) samazināt par 2 </w:t>
            </w:r>
            <w:proofErr w:type="spellStart"/>
            <w:r w:rsidRPr="00C41782">
              <w:rPr>
                <w:rFonts w:ascii="Times New Roman" w:hAnsi="Times New Roman"/>
                <w:i/>
                <w:iCs/>
                <w:sz w:val="24"/>
                <w:szCs w:val="24"/>
              </w:rPr>
              <w:t>euro</w:t>
            </w:r>
            <w:proofErr w:type="spellEnd"/>
            <w:r w:rsidRPr="0083064E">
              <w:rPr>
                <w:rFonts w:ascii="Times New Roman" w:hAnsi="Times New Roman"/>
                <w:sz w:val="24"/>
                <w:szCs w:val="24"/>
              </w:rPr>
              <w:t xml:space="preserve">, bet otrās atlases kārtas ERAF </w:t>
            </w:r>
            <w:r w:rsidRPr="0083064E">
              <w:rPr>
                <w:rFonts w:ascii="Times New Roman" w:hAnsi="Times New Roman"/>
                <w:sz w:val="24"/>
                <w:szCs w:val="24"/>
              </w:rPr>
              <w:lastRenderedPageBreak/>
              <w:t xml:space="preserve">finansējumu palielināt par 1 </w:t>
            </w:r>
            <w:proofErr w:type="spellStart"/>
            <w:r w:rsidRPr="00C41782">
              <w:rPr>
                <w:rFonts w:ascii="Times New Roman" w:hAnsi="Times New Roman"/>
                <w:i/>
                <w:iCs/>
                <w:sz w:val="24"/>
                <w:szCs w:val="24"/>
              </w:rPr>
              <w:t>euro</w:t>
            </w:r>
            <w:proofErr w:type="spellEnd"/>
            <w:r>
              <w:rPr>
                <w:rFonts w:ascii="Times New Roman" w:hAnsi="Times New Roman"/>
                <w:i/>
                <w:iCs/>
                <w:sz w:val="24"/>
                <w:szCs w:val="24"/>
              </w:rPr>
              <w:t xml:space="preserve">, </w:t>
            </w:r>
            <w:r w:rsidRPr="00C41782">
              <w:rPr>
                <w:rFonts w:ascii="Times New Roman" w:hAnsi="Times New Roman"/>
                <w:sz w:val="24"/>
                <w:szCs w:val="24"/>
              </w:rPr>
              <w:t>nodrošinot korektu finansējuma sadalījumu starp atlases kārtām</w:t>
            </w:r>
            <w:r w:rsidRPr="0083064E">
              <w:rPr>
                <w:rFonts w:ascii="Times New Roman" w:hAnsi="Times New Roman"/>
                <w:sz w:val="24"/>
                <w:szCs w:val="24"/>
              </w:rPr>
              <w:t xml:space="preserve">.  </w:t>
            </w:r>
          </w:p>
          <w:p w14:paraId="780AB720" w14:textId="77777777" w:rsidR="0083064E" w:rsidRPr="0083064E" w:rsidRDefault="0083064E" w:rsidP="0083064E">
            <w:pPr>
              <w:spacing w:after="0" w:line="240" w:lineRule="auto"/>
              <w:ind w:right="35" w:firstLine="201"/>
              <w:contextualSpacing/>
              <w:jc w:val="both"/>
              <w:rPr>
                <w:rFonts w:ascii="Times New Roman" w:hAnsi="Times New Roman"/>
                <w:sz w:val="24"/>
                <w:szCs w:val="24"/>
              </w:rPr>
            </w:pPr>
            <w:r w:rsidRPr="0083064E">
              <w:rPr>
                <w:rFonts w:ascii="Times New Roman" w:hAnsi="Times New Roman"/>
                <w:sz w:val="24"/>
                <w:szCs w:val="24"/>
              </w:rPr>
              <w:t>Attiecīgi noteikumu projekts papildināts ar punktu, kas precizē pieejamo ERAF un Valsts budžeta finansējumu.</w:t>
            </w:r>
          </w:p>
          <w:p w14:paraId="4E204973" w14:textId="77777777" w:rsidR="0083064E" w:rsidRPr="0083064E" w:rsidRDefault="0083064E" w:rsidP="0083064E">
            <w:pPr>
              <w:spacing w:after="0" w:line="240" w:lineRule="auto"/>
              <w:ind w:right="35" w:firstLine="201"/>
              <w:contextualSpacing/>
              <w:jc w:val="both"/>
              <w:rPr>
                <w:rFonts w:ascii="Times New Roman" w:hAnsi="Times New Roman"/>
                <w:sz w:val="24"/>
                <w:szCs w:val="24"/>
              </w:rPr>
            </w:pPr>
          </w:p>
          <w:p w14:paraId="28CA2C19" w14:textId="1AE0DF1F" w:rsidR="0083064E" w:rsidRDefault="00F722AC" w:rsidP="0083064E">
            <w:pPr>
              <w:spacing w:after="0" w:line="240" w:lineRule="auto"/>
              <w:ind w:right="35" w:firstLine="201"/>
              <w:contextualSpacing/>
              <w:jc w:val="both"/>
              <w:rPr>
                <w:rFonts w:ascii="Times New Roman" w:hAnsi="Times New Roman"/>
                <w:sz w:val="24"/>
                <w:szCs w:val="24"/>
              </w:rPr>
            </w:pPr>
            <w:r>
              <w:rPr>
                <w:rFonts w:ascii="Times New Roman" w:hAnsi="Times New Roman"/>
                <w:sz w:val="24"/>
                <w:szCs w:val="24"/>
              </w:rPr>
              <w:t>Vienlaikus izskatīšanai Ministru kabineta sēdē</w:t>
            </w:r>
            <w:r w:rsidR="0083064E" w:rsidRPr="0083064E">
              <w:rPr>
                <w:rFonts w:ascii="Times New Roman" w:hAnsi="Times New Roman"/>
                <w:sz w:val="24"/>
                <w:szCs w:val="24"/>
              </w:rPr>
              <w:t xml:space="preserve"> ir </w:t>
            </w:r>
            <w:r w:rsidR="00DB7916">
              <w:rPr>
                <w:rFonts w:ascii="Times New Roman" w:hAnsi="Times New Roman"/>
                <w:sz w:val="24"/>
                <w:szCs w:val="24"/>
              </w:rPr>
              <w:t xml:space="preserve">iesniegti </w:t>
            </w:r>
            <w:r w:rsidR="0083064E" w:rsidRPr="0083064E">
              <w:rPr>
                <w:rFonts w:ascii="Times New Roman" w:hAnsi="Times New Roman"/>
                <w:sz w:val="24"/>
                <w:szCs w:val="24"/>
              </w:rPr>
              <w:t xml:space="preserve">arī 4.2.1.2. pasākuma pirmo atlases kārtu regulējošie ministru kabineta noteikumi. Informējam, ka saskaņošanas laikā veicot labojumus, attiecīgais noteikumu projekts papildināts ar augstāk minēto finansējuma pārdali un ERAF </w:t>
            </w:r>
            <w:proofErr w:type="spellStart"/>
            <w:r w:rsidR="0083064E" w:rsidRPr="0083064E">
              <w:rPr>
                <w:rFonts w:ascii="Times New Roman" w:hAnsi="Times New Roman"/>
                <w:sz w:val="24"/>
                <w:szCs w:val="24"/>
              </w:rPr>
              <w:t>finansējumssamazināts</w:t>
            </w:r>
            <w:proofErr w:type="spellEnd"/>
            <w:r w:rsidR="0083064E" w:rsidRPr="0083064E">
              <w:rPr>
                <w:rFonts w:ascii="Times New Roman" w:hAnsi="Times New Roman"/>
                <w:sz w:val="24"/>
                <w:szCs w:val="24"/>
              </w:rPr>
              <w:t xml:space="preserve"> par 2 </w:t>
            </w:r>
            <w:proofErr w:type="spellStart"/>
            <w:r w:rsidR="0083064E" w:rsidRPr="00C41782">
              <w:rPr>
                <w:rFonts w:ascii="Times New Roman" w:hAnsi="Times New Roman"/>
                <w:i/>
                <w:iCs/>
                <w:sz w:val="24"/>
                <w:szCs w:val="24"/>
              </w:rPr>
              <w:t>euro</w:t>
            </w:r>
            <w:proofErr w:type="spellEnd"/>
            <w:r w:rsidR="0083064E" w:rsidRPr="0083064E">
              <w:rPr>
                <w:rFonts w:ascii="Times New Roman" w:hAnsi="Times New Roman"/>
                <w:sz w:val="24"/>
                <w:szCs w:val="24"/>
              </w:rPr>
              <w:t>.</w:t>
            </w:r>
          </w:p>
          <w:p w14:paraId="3A1D8942" w14:textId="485DACD8" w:rsidR="00BC7EE5" w:rsidRDefault="00BC7EE5" w:rsidP="006D5A09">
            <w:pPr>
              <w:spacing w:after="0" w:line="240" w:lineRule="auto"/>
              <w:ind w:firstLine="201"/>
              <w:contextualSpacing/>
              <w:jc w:val="both"/>
              <w:rPr>
                <w:rFonts w:ascii="Times New Roman" w:hAnsi="Times New Roman"/>
                <w:sz w:val="24"/>
                <w:szCs w:val="24"/>
              </w:rPr>
            </w:pPr>
          </w:p>
          <w:p w14:paraId="1AC2DAC6" w14:textId="77777777" w:rsidR="002E47A5" w:rsidRDefault="002E47A5" w:rsidP="002E47A5">
            <w:pPr>
              <w:spacing w:after="0" w:line="240" w:lineRule="auto"/>
              <w:ind w:right="35" w:firstLine="201"/>
              <w:contextualSpacing/>
              <w:jc w:val="both"/>
              <w:rPr>
                <w:rFonts w:ascii="Times New Roman" w:hAnsi="Times New Roman"/>
                <w:b/>
                <w:bCs/>
                <w:i/>
                <w:iCs/>
                <w:sz w:val="24"/>
                <w:szCs w:val="24"/>
                <w:u w:val="single"/>
              </w:rPr>
            </w:pPr>
            <w:r w:rsidRPr="009351A7">
              <w:rPr>
                <w:rFonts w:ascii="Times New Roman" w:hAnsi="Times New Roman"/>
                <w:b/>
                <w:bCs/>
                <w:i/>
                <w:iCs/>
                <w:sz w:val="24"/>
                <w:szCs w:val="24"/>
                <w:u w:val="single"/>
              </w:rPr>
              <w:t xml:space="preserve">Papildus MK noteikumu projekts paredz </w:t>
            </w:r>
            <w:r>
              <w:rPr>
                <w:rFonts w:ascii="Times New Roman" w:hAnsi="Times New Roman"/>
                <w:b/>
                <w:bCs/>
                <w:i/>
                <w:iCs/>
                <w:sz w:val="24"/>
                <w:szCs w:val="24"/>
                <w:u w:val="single"/>
              </w:rPr>
              <w:t>finansējuma saņēmējiem noteikt pienākumu iesniegt apliecinājumu par piešķirto/plānoto atbalstu</w:t>
            </w:r>
            <w:r w:rsidRPr="009351A7">
              <w:rPr>
                <w:rFonts w:ascii="Times New Roman" w:hAnsi="Times New Roman"/>
                <w:b/>
                <w:bCs/>
                <w:i/>
                <w:iCs/>
                <w:sz w:val="24"/>
                <w:szCs w:val="24"/>
                <w:u w:val="single"/>
              </w:rPr>
              <w:t>.</w:t>
            </w:r>
          </w:p>
          <w:p w14:paraId="48A3C7C7" w14:textId="77777777" w:rsidR="002E47A5" w:rsidRDefault="002E47A5" w:rsidP="002E47A5">
            <w:pPr>
              <w:spacing w:after="0" w:line="240" w:lineRule="auto"/>
              <w:ind w:right="35" w:firstLine="201"/>
              <w:contextualSpacing/>
              <w:jc w:val="both"/>
              <w:rPr>
                <w:rFonts w:ascii="Times New Roman" w:hAnsi="Times New Roman"/>
                <w:b/>
                <w:bCs/>
                <w:i/>
                <w:iCs/>
                <w:sz w:val="24"/>
                <w:szCs w:val="24"/>
                <w:u w:val="single"/>
              </w:rPr>
            </w:pPr>
          </w:p>
          <w:p w14:paraId="7E2D2E91" w14:textId="5D95722A" w:rsidR="002E47A5" w:rsidRDefault="002E47A5" w:rsidP="002E47A5">
            <w:pPr>
              <w:spacing w:after="0" w:line="240" w:lineRule="auto"/>
              <w:ind w:right="35" w:firstLine="201"/>
              <w:contextualSpacing/>
              <w:jc w:val="both"/>
              <w:rPr>
                <w:rFonts w:ascii="Times New Roman" w:hAnsi="Times New Roman"/>
                <w:sz w:val="24"/>
                <w:szCs w:val="24"/>
                <w:u w:val="single"/>
              </w:rPr>
            </w:pPr>
            <w:r w:rsidRPr="002E47A5">
              <w:rPr>
                <w:rFonts w:ascii="Times New Roman" w:hAnsi="Times New Roman"/>
                <w:sz w:val="24"/>
                <w:szCs w:val="24"/>
              </w:rPr>
              <w:t>Norma iekļauta</w:t>
            </w:r>
            <w:r w:rsidR="00B75111">
              <w:rPr>
                <w:rFonts w:ascii="Times New Roman" w:hAnsi="Times New Roman"/>
                <w:sz w:val="24"/>
                <w:szCs w:val="24"/>
              </w:rPr>
              <w:t xml:space="preserve"> noteikumu 18.</w:t>
            </w:r>
            <w:r w:rsidR="00B75111" w:rsidRPr="00734577">
              <w:rPr>
                <w:rFonts w:ascii="Times New Roman" w:hAnsi="Times New Roman"/>
                <w:sz w:val="24"/>
                <w:szCs w:val="24"/>
                <w:vertAlign w:val="superscript"/>
              </w:rPr>
              <w:t>1</w:t>
            </w:r>
            <w:r w:rsidR="00B75111">
              <w:rPr>
                <w:rFonts w:ascii="Times New Roman" w:hAnsi="Times New Roman"/>
                <w:sz w:val="24"/>
                <w:szCs w:val="24"/>
              </w:rPr>
              <w:t xml:space="preserve"> punktā </w:t>
            </w:r>
            <w:r w:rsidRPr="002E47A5">
              <w:rPr>
                <w:rFonts w:ascii="Times New Roman" w:hAnsi="Times New Roman"/>
                <w:sz w:val="24"/>
                <w:szCs w:val="24"/>
              </w:rPr>
              <w:t>, lai sniegtu iespēju sadarbības iestādei pārliecināties par kumulācijas normu korektu izpildi no atbalsta pretendenta puses</w:t>
            </w:r>
            <w:r w:rsidRPr="00DB7916">
              <w:rPr>
                <w:rFonts w:ascii="Times New Roman" w:hAnsi="Times New Roman"/>
                <w:sz w:val="24"/>
                <w:szCs w:val="24"/>
              </w:rPr>
              <w:t>. Saņemot apliecinājumā norādītu informāciju par finansējuma saņēmēja plānoto un piešķirto atbalstu par tām pašām attiecināmajām izmaksām - atbalsta piešķiršanas datumu, atbalsta sniedzēju, atbalsta pasākumu un plānoto/piešķirto atbalsta summu, ņemot vērā, ka atbalstu drīkst apvienot ar citu valsts atbalstu attiecībā uz vienām un tām pašām attiecināmajām izmaksām vai citu valsts atbalstu tam pašam riska finansējuma pasākumam, ja netiek pārsniegta attiecīgā maksimālā atbalsta intensitāte vai atbalsta summa, kāda noteikta valsts atbalsta programmā, atbalsta projektā vai Eiropas Komisijas lēmumā.</w:t>
            </w:r>
          </w:p>
          <w:p w14:paraId="57FA1550" w14:textId="30108BD5" w:rsidR="00B75111" w:rsidRDefault="00B75111" w:rsidP="002E47A5">
            <w:pPr>
              <w:spacing w:after="0" w:line="240" w:lineRule="auto"/>
              <w:ind w:right="35" w:firstLine="201"/>
              <w:contextualSpacing/>
              <w:jc w:val="both"/>
              <w:rPr>
                <w:rFonts w:ascii="Times New Roman" w:hAnsi="Times New Roman"/>
                <w:sz w:val="24"/>
                <w:szCs w:val="24"/>
                <w:u w:val="single"/>
              </w:rPr>
            </w:pPr>
          </w:p>
          <w:p w14:paraId="05D14831" w14:textId="446F056E" w:rsidR="00B75111" w:rsidRDefault="00B75111" w:rsidP="002E47A5">
            <w:pPr>
              <w:spacing w:after="0" w:line="240" w:lineRule="auto"/>
              <w:ind w:right="35" w:firstLine="201"/>
              <w:contextualSpacing/>
              <w:jc w:val="both"/>
              <w:rPr>
                <w:rFonts w:ascii="Times New Roman" w:hAnsi="Times New Roman"/>
                <w:b/>
                <w:bCs/>
                <w:i/>
                <w:iCs/>
                <w:sz w:val="24"/>
                <w:szCs w:val="24"/>
                <w:u w:val="single"/>
              </w:rPr>
            </w:pPr>
            <w:r w:rsidRPr="00734577">
              <w:rPr>
                <w:rFonts w:ascii="Times New Roman" w:hAnsi="Times New Roman"/>
                <w:b/>
                <w:bCs/>
                <w:i/>
                <w:iCs/>
                <w:sz w:val="24"/>
                <w:szCs w:val="24"/>
                <w:u w:val="single"/>
              </w:rPr>
              <w:t>Atbalsta piešķiršanas nosacījumi sabiedriskā labuma organizācijām un finansējuma saņēmējiem labklājības un izglītības jomā</w:t>
            </w:r>
          </w:p>
          <w:p w14:paraId="4CBCB309" w14:textId="1000FABD" w:rsidR="002E47A5" w:rsidRDefault="00FF41CC" w:rsidP="006D5A09">
            <w:pPr>
              <w:spacing w:after="0" w:line="240" w:lineRule="auto"/>
              <w:ind w:firstLine="201"/>
              <w:contextualSpacing/>
              <w:jc w:val="both"/>
              <w:rPr>
                <w:rFonts w:ascii="Times New Roman" w:hAnsi="Times New Roman"/>
                <w:sz w:val="24"/>
                <w:szCs w:val="24"/>
              </w:rPr>
            </w:pPr>
            <w:r w:rsidRPr="00FF41CC">
              <w:rPr>
                <w:rFonts w:ascii="Times New Roman" w:hAnsi="Times New Roman"/>
                <w:sz w:val="24"/>
                <w:szCs w:val="24"/>
              </w:rPr>
              <w:t>Papildinājums noteikumu 47.3.</w:t>
            </w:r>
            <w:r>
              <w:rPr>
                <w:rFonts w:ascii="Times New Roman" w:hAnsi="Times New Roman"/>
                <w:sz w:val="24"/>
                <w:szCs w:val="24"/>
              </w:rPr>
              <w:t> </w:t>
            </w:r>
            <w:r w:rsidRPr="00FF41CC">
              <w:rPr>
                <w:rFonts w:ascii="Times New Roman" w:hAnsi="Times New Roman"/>
                <w:sz w:val="24"/>
                <w:szCs w:val="24"/>
              </w:rPr>
              <w:t>punktā</w:t>
            </w:r>
            <w:r>
              <w:rPr>
                <w:rFonts w:ascii="Times New Roman" w:hAnsi="Times New Roman"/>
                <w:sz w:val="24"/>
                <w:szCs w:val="24"/>
              </w:rPr>
              <w:t xml:space="preserve"> p</w:t>
            </w:r>
            <w:r w:rsidRPr="00FF41CC">
              <w:rPr>
                <w:rFonts w:ascii="Times New Roman" w:hAnsi="Times New Roman"/>
                <w:sz w:val="24"/>
                <w:szCs w:val="24"/>
              </w:rPr>
              <w:t xml:space="preserve">aredz iespēju izdalīt projekta ietvaros arī tikai ēkas daļu uz kuru tiešā veidā attiecas plānotie energoefektivitātes paaugstināšanas atbalsta pasākumi. Gadījumos, kad energoefektivitātes pasākumi tiek īstenoti ēkas daļā, šādos gadījumos saimnieciskās un papildinošās saimnieciskās darbības apmērs tiek attiecināts tikai uz projekta ietvaros ietekmēto ēkas daļu, kurā tiek veikti energoefektivitātes pasākumi, nevis kopējo infrastruktūru. Šādos gadījumos projekta ietvaros netiek ņemts vērā saimnieciskās un papildinošās saimnieciskā darbības apmērs, kas tiek īstenota ēkas daļā kurā netiek īstenoti energoefektivitātes pasākumi. </w:t>
            </w:r>
          </w:p>
          <w:p w14:paraId="2B35C26F" w14:textId="26AFDAEB" w:rsidR="0098221F" w:rsidRPr="008D2D7A" w:rsidRDefault="0098221F" w:rsidP="005261F4">
            <w:pPr>
              <w:spacing w:after="0" w:line="240" w:lineRule="auto"/>
              <w:ind w:right="35"/>
              <w:contextualSpacing/>
              <w:jc w:val="both"/>
              <w:rPr>
                <w:rFonts w:ascii="Times New Roman" w:hAnsi="Times New Roman"/>
                <w:sz w:val="24"/>
                <w:szCs w:val="24"/>
              </w:rPr>
            </w:pPr>
          </w:p>
        </w:tc>
      </w:tr>
      <w:tr w:rsidR="0098221F" w:rsidRPr="00BD0514" w14:paraId="5FB32C22" w14:textId="77777777" w:rsidTr="0098221F">
        <w:trPr>
          <w:trHeight w:val="360"/>
        </w:trPr>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440D6B6B" w14:textId="0CCB5C3A" w:rsidR="0098221F" w:rsidRPr="00012D1F"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052AD575" w:rsidR="0098221F" w:rsidRPr="00012D1F" w:rsidRDefault="0098221F" w:rsidP="00DF6922">
            <w:pPr>
              <w:spacing w:after="0" w:line="240" w:lineRule="auto"/>
              <w:contextualSpacing/>
              <w:rPr>
                <w:rFonts w:ascii="Times New Roman" w:eastAsia="Times New Roman" w:hAnsi="Times New Roman"/>
                <w:sz w:val="24"/>
                <w:szCs w:val="24"/>
                <w:lang w:eastAsia="lv-LV"/>
              </w:rPr>
            </w:pPr>
            <w:r w:rsidRPr="00012D1F">
              <w:rPr>
                <w:rFonts w:ascii="Times New Roman" w:eastAsia="Times New Roman" w:hAnsi="Times New Roman"/>
                <w:sz w:val="24"/>
                <w:szCs w:val="24"/>
                <w:lang w:eastAsia="lv-LV"/>
              </w:rPr>
              <w:t xml:space="preserve">Projekta izstrādē iesaistītās institūcijas un </w:t>
            </w:r>
            <w:r w:rsidRPr="00012D1F">
              <w:rPr>
                <w:rFonts w:ascii="Times New Roman" w:hAnsi="Times New Roman"/>
                <w:sz w:val="24"/>
                <w:szCs w:val="24"/>
              </w:rPr>
              <w:t>publiskas personas kapitālsabiedrības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8221F" w:rsidRPr="00BD0514" w:rsidRDefault="0098221F" w:rsidP="00DF6922">
            <w:pPr>
              <w:spacing w:after="0" w:line="240" w:lineRule="auto"/>
              <w:contextualSpacing/>
              <w:jc w:val="both"/>
              <w:rPr>
                <w:rFonts w:ascii="Times New Roman" w:hAnsi="Times New Roman"/>
                <w:color w:val="000000"/>
                <w:sz w:val="24"/>
                <w:szCs w:val="24"/>
              </w:rPr>
            </w:pPr>
            <w:r w:rsidRPr="00BD0514">
              <w:rPr>
                <w:rFonts w:ascii="Times New Roman" w:hAnsi="Times New Roman"/>
                <w:color w:val="000000"/>
                <w:sz w:val="24"/>
                <w:szCs w:val="24"/>
              </w:rPr>
              <w:t>Ekonomikas ministrija</w:t>
            </w:r>
          </w:p>
        </w:tc>
      </w:tr>
      <w:tr w:rsidR="0098221F" w:rsidRPr="00BD0514" w14:paraId="51FE2A99" w14:textId="77777777" w:rsidTr="0098221F">
        <w:trPr>
          <w:trHeight w:val="20"/>
        </w:trPr>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686CC3CA" w14:textId="02F478C4" w:rsidR="0098221F" w:rsidRPr="00BD0514"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4AF03D92" w:rsidR="0098221F" w:rsidRPr="00BD0514" w:rsidRDefault="0098221F" w:rsidP="00DF6922">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8221F" w:rsidRPr="00BD0514" w:rsidRDefault="0098221F" w:rsidP="00DF6922">
            <w:pPr>
              <w:spacing w:after="0" w:line="240" w:lineRule="auto"/>
              <w:contextualSpacing/>
              <w:jc w:val="both"/>
              <w:rPr>
                <w:rFonts w:ascii="Times New Roman" w:hAnsi="Times New Roman"/>
                <w:sz w:val="24"/>
                <w:szCs w:val="24"/>
              </w:rPr>
            </w:pPr>
            <w:r w:rsidRPr="00BD0514">
              <w:rPr>
                <w:rFonts w:ascii="Times New Roman" w:hAnsi="Times New Roman"/>
                <w:sz w:val="24"/>
                <w:szCs w:val="24"/>
              </w:rPr>
              <w:t>Nav</w:t>
            </w:r>
          </w:p>
        </w:tc>
      </w:tr>
    </w:tbl>
    <w:p w14:paraId="3EE2D594" w14:textId="77777777" w:rsidR="0098221F" w:rsidRPr="00BD0514" w:rsidRDefault="0098221F"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85" w:type="dxa"/>
          <w:right w:w="85" w:type="dxa"/>
        </w:tblCellMar>
        <w:tblLook w:val="04A0" w:firstRow="1" w:lastRow="0" w:firstColumn="1" w:lastColumn="0" w:noHBand="0" w:noVBand="1"/>
      </w:tblPr>
      <w:tblGrid>
        <w:gridCol w:w="396"/>
        <w:gridCol w:w="2551"/>
        <w:gridCol w:w="6095"/>
      </w:tblGrid>
      <w:tr w:rsidR="00BD0514" w:rsidRPr="00BD0514" w14:paraId="454E9067" w14:textId="77777777" w:rsidTr="0098221F">
        <w:tc>
          <w:tcPr>
            <w:tcW w:w="9042"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BD0514" w:rsidRDefault="00BD0514" w:rsidP="0098221F">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BD0514" w14:paraId="2FE17A85" w14:textId="77777777" w:rsidTr="0098221F">
        <w:trPr>
          <w:trHeight w:val="467"/>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 xml:space="preserve">Sabiedrības </w:t>
            </w:r>
            <w:proofErr w:type="spellStart"/>
            <w:r w:rsidRPr="00BD0514">
              <w:rPr>
                <w:rFonts w:ascii="Times New Roman" w:eastAsia="Times New Roman" w:hAnsi="Times New Roman"/>
                <w:sz w:val="24"/>
                <w:szCs w:val="24"/>
                <w:lang w:eastAsia="lv-LV"/>
              </w:rPr>
              <w:t>mērķgrupas</w:t>
            </w:r>
            <w:proofErr w:type="spellEnd"/>
            <w:r w:rsidRPr="00BD0514">
              <w:rPr>
                <w:rFonts w:ascii="Times New Roman" w:eastAsia="Times New Roman" w:hAnsi="Times New Roman"/>
                <w:sz w:val="24"/>
                <w:szCs w:val="24"/>
                <w:lang w:eastAsia="lv-LV"/>
              </w:rPr>
              <w:t>, kuras tiesiskais regulējums ietekmē vai varētu ietekmēt</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0E401B" w14:textId="39DD2F06" w:rsidR="00EA4E0F"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00EA4E0F">
              <w:rPr>
                <w:rFonts w:ascii="Times New Roman" w:eastAsia="Times New Roman" w:hAnsi="Times New Roman"/>
                <w:iCs/>
                <w:sz w:val="24"/>
                <w:szCs w:val="24"/>
                <w:lang w:eastAsia="lv-LV"/>
              </w:rPr>
              <w:t>V</w:t>
            </w:r>
            <w:r w:rsidR="00EA4E0F" w:rsidRPr="006778EB">
              <w:rPr>
                <w:rFonts w:ascii="Times New Roman" w:eastAsia="Times New Roman" w:hAnsi="Times New Roman"/>
                <w:iCs/>
                <w:sz w:val="24"/>
                <w:szCs w:val="24"/>
                <w:lang w:eastAsia="lv-LV"/>
              </w:rPr>
              <w:t>alsts kapitālsabiedrības</w:t>
            </w:r>
            <w:r w:rsidR="00EA4E0F">
              <w:rPr>
                <w:rFonts w:ascii="Times New Roman" w:eastAsia="Times New Roman" w:hAnsi="Times New Roman"/>
                <w:iCs/>
                <w:sz w:val="24"/>
                <w:szCs w:val="24"/>
                <w:lang w:eastAsia="lv-LV"/>
              </w:rPr>
              <w:t xml:space="preserve"> un kapitālsabiedrības</w:t>
            </w:r>
            <w:r w:rsidR="00EA4E0F"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kurā valsts ir kapitāla daļu turētāja 100% apmērā, un ēka ir valsts vai valsts kapitālsabiedrības īpašumā.</w:t>
            </w:r>
          </w:p>
          <w:p w14:paraId="010F39E9" w14:textId="6E104105"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 </w:t>
            </w:r>
            <w:r w:rsidR="00EA4E0F">
              <w:rPr>
                <w:rFonts w:ascii="Times New Roman" w:eastAsia="Times New Roman" w:hAnsi="Times New Roman"/>
                <w:iCs/>
                <w:sz w:val="24"/>
                <w:szCs w:val="24"/>
                <w:lang w:eastAsia="lv-LV"/>
              </w:rPr>
              <w:t>Kapitālsabiedrības</w:t>
            </w:r>
            <w:r w:rsidR="00EA4E0F"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ēka ir </w:t>
            </w:r>
            <w:r w:rsidR="00EA4E0F">
              <w:rPr>
                <w:rFonts w:ascii="Times New Roman" w:eastAsia="Times New Roman" w:hAnsi="Times New Roman"/>
                <w:iCs/>
                <w:sz w:val="24"/>
                <w:szCs w:val="24"/>
                <w:lang w:eastAsia="lv-LV"/>
              </w:rPr>
              <w:t xml:space="preserve">pašvaldības </w:t>
            </w:r>
            <w:r w:rsidR="00EA4E0F" w:rsidRPr="006778EB">
              <w:rPr>
                <w:rFonts w:ascii="Times New Roman" w:eastAsia="Times New Roman" w:hAnsi="Times New Roman"/>
                <w:iCs/>
                <w:sz w:val="24"/>
                <w:szCs w:val="24"/>
                <w:lang w:eastAsia="lv-LV"/>
              </w:rPr>
              <w:t>īpašumā.</w:t>
            </w:r>
            <w:r w:rsidR="00D92F62">
              <w:rPr>
                <w:rFonts w:ascii="Times New Roman" w:eastAsia="Times New Roman" w:hAnsi="Times New Roman"/>
                <w:iCs/>
                <w:sz w:val="24"/>
                <w:szCs w:val="24"/>
                <w:lang w:eastAsia="lv-LV"/>
              </w:rPr>
              <w:t xml:space="preserve"> </w:t>
            </w:r>
            <w:r w:rsidR="00EA4E0F" w:rsidRPr="006778EB">
              <w:rPr>
                <w:rFonts w:ascii="Times New Roman" w:eastAsia="Times New Roman" w:hAnsi="Times New Roman"/>
                <w:iCs/>
                <w:sz w:val="24"/>
                <w:szCs w:val="24"/>
                <w:lang w:eastAsia="lv-LV"/>
              </w:rPr>
              <w:t>Valsts kapitālsabiedrības kultūras jomā, kas veic valsts deleģētus uzdevumus un kurā valsts ir kapitāla daļu turētāja 100% apmērā, un ēka ir valsts vai valsts kapitālsabiedrības īpašumā.</w:t>
            </w:r>
          </w:p>
          <w:p w14:paraId="402D5E6F" w14:textId="46AE2E6E"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 </w:t>
            </w:r>
            <w:r w:rsidR="00EA4E0F" w:rsidRPr="006778EB">
              <w:rPr>
                <w:rFonts w:ascii="Times New Roman" w:eastAsia="Times New Roman" w:hAnsi="Times New Roman"/>
                <w:iCs/>
                <w:sz w:val="24"/>
                <w:szCs w:val="24"/>
                <w:lang w:eastAsia="lv-LV"/>
              </w:rPr>
              <w:t>Valsts kapitālsabiedrības, kurās valsts ir kapitāla daļu turētāja 100% apmērā un to īpašumā vai lietojumā ir</w:t>
            </w:r>
            <w:r w:rsidR="00AD47F8">
              <w:rPr>
                <w:rFonts w:ascii="Times New Roman" w:eastAsia="Times New Roman" w:hAnsi="Times New Roman"/>
                <w:iCs/>
                <w:sz w:val="24"/>
                <w:szCs w:val="24"/>
                <w:lang w:eastAsia="lv-LV"/>
              </w:rPr>
              <w:t xml:space="preserve"> </w:t>
            </w:r>
            <w:r w:rsidR="00EA4E0F" w:rsidRPr="006778EB">
              <w:rPr>
                <w:rFonts w:ascii="Times New Roman" w:eastAsia="Times New Roman" w:hAnsi="Times New Roman"/>
                <w:iCs/>
                <w:sz w:val="24"/>
                <w:szCs w:val="24"/>
                <w:lang w:eastAsia="lv-LV"/>
              </w:rPr>
              <w:t>nacionālās sporta bāzes.</w:t>
            </w:r>
          </w:p>
          <w:p w14:paraId="278CAA69" w14:textId="47BB3442"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4) </w:t>
            </w:r>
            <w:r w:rsidR="00EA4E0F" w:rsidRPr="006778EB">
              <w:rPr>
                <w:rFonts w:ascii="Times New Roman" w:eastAsia="Times New Roman" w:hAnsi="Times New Roman"/>
                <w:iCs/>
                <w:sz w:val="24"/>
                <w:szCs w:val="24"/>
                <w:lang w:eastAsia="lv-LV"/>
              </w:rPr>
              <w:t>Valsts kapitālsabiedrības izglītības jomā, kuru 100% kapitāldaļas pieder atvasinātai publiskai personai.</w:t>
            </w:r>
          </w:p>
          <w:p w14:paraId="5A72342B" w14:textId="52C03631"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5) </w:t>
            </w:r>
            <w:r w:rsidR="00EA4E0F" w:rsidRPr="006778EB">
              <w:rPr>
                <w:rFonts w:ascii="Times New Roman" w:eastAsia="Times New Roman" w:hAnsi="Times New Roman"/>
                <w:iCs/>
                <w:sz w:val="24"/>
                <w:szCs w:val="24"/>
                <w:lang w:eastAsia="lv-LV"/>
              </w:rPr>
              <w:t>Biedrības un nodibinājumi, ja ēkā veic valsts pārvaldes deleģētos uzdevumus kultūras un sociālajā jomā.</w:t>
            </w:r>
          </w:p>
          <w:p w14:paraId="30F486BB" w14:textId="5B117691" w:rsidR="00BD0514" w:rsidRPr="00BD0514"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6) </w:t>
            </w:r>
            <w:r w:rsidR="00EA4E0F" w:rsidRPr="006778EB">
              <w:rPr>
                <w:rFonts w:ascii="Times New Roman" w:eastAsia="Times New Roman" w:hAnsi="Times New Roman"/>
                <w:iCs/>
                <w:sz w:val="24"/>
                <w:szCs w:val="24"/>
                <w:lang w:eastAsia="lv-LV"/>
              </w:rPr>
              <w:t>Tiešās valsts pārvaldes iestādes vai tās padotības iestādes, vai valsts deleģēto pārvaldes uzdevumu veicošas atvasinātas publiskas personas.</w:t>
            </w:r>
          </w:p>
        </w:tc>
      </w:tr>
      <w:tr w:rsidR="00BD0514" w:rsidRPr="00BD0514" w14:paraId="2A5D2287" w14:textId="77777777" w:rsidTr="0098221F">
        <w:trPr>
          <w:trHeight w:val="523"/>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Tiesiskā regulējuma ietekme uz tautsaimniecību un administratīvo slogu</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528FA2" w14:textId="18673D89" w:rsidR="00520759" w:rsidRPr="00EA4E0F" w:rsidRDefault="00EA4E0F" w:rsidP="0098221F">
            <w:pPr>
              <w:spacing w:after="0" w:line="240" w:lineRule="auto"/>
              <w:contextualSpacing/>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Noteikumu projekts neparedz ietekmi uz administratīvo slogu</w:t>
            </w:r>
            <w:r>
              <w:rPr>
                <w:rFonts w:ascii="Times New Roman" w:eastAsia="Times New Roman" w:hAnsi="Times New Roman"/>
                <w:iCs/>
                <w:sz w:val="24"/>
                <w:szCs w:val="24"/>
                <w:lang w:eastAsia="lv-LV"/>
              </w:rPr>
              <w:t xml:space="preserve"> un tautsaimniecību.</w:t>
            </w:r>
          </w:p>
        </w:tc>
      </w:tr>
      <w:tr w:rsidR="00BD0514" w:rsidRPr="008B78B2" w14:paraId="33907C77" w14:textId="77777777" w:rsidTr="0098221F">
        <w:trPr>
          <w:trHeight w:val="517"/>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8B78B2" w:rsidRDefault="00BD0514"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8B78B2" w:rsidRDefault="00BD0514"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2FFB75E8" w:rsidR="00BD0514" w:rsidRPr="008B78B2" w:rsidRDefault="004F4E38" w:rsidP="0098221F">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w:t>
            </w:r>
            <w:r w:rsidR="00BD0514" w:rsidRPr="008B78B2">
              <w:rPr>
                <w:rFonts w:ascii="Times New Roman" w:eastAsia="Times New Roman" w:hAnsi="Times New Roman"/>
                <w:color w:val="000000"/>
                <w:sz w:val="24"/>
                <w:szCs w:val="24"/>
                <w:lang w:eastAsia="lv-LV"/>
              </w:rPr>
              <w:t>rojekts š</w:t>
            </w:r>
            <w:r w:rsidR="00BD0514">
              <w:rPr>
                <w:rFonts w:ascii="Times New Roman" w:eastAsia="Times New Roman" w:hAnsi="Times New Roman"/>
                <w:color w:val="000000"/>
                <w:sz w:val="24"/>
                <w:szCs w:val="24"/>
                <w:lang w:eastAsia="lv-LV"/>
              </w:rPr>
              <w:t>o jomu neskar</w:t>
            </w:r>
          </w:p>
        </w:tc>
      </w:tr>
      <w:tr w:rsidR="00F62D5E" w:rsidRPr="008B78B2" w14:paraId="4A01497B" w14:textId="77777777" w:rsidTr="0098221F">
        <w:trPr>
          <w:trHeight w:val="517"/>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8B78B2" w:rsidRDefault="00F62D5E" w:rsidP="0098221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8B78B2" w:rsidRDefault="00107948"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tbilstības </w:t>
            </w:r>
            <w:r w:rsidRPr="008B78B2">
              <w:rPr>
                <w:rFonts w:ascii="Times New Roman" w:eastAsia="Times New Roman" w:hAnsi="Times New Roman"/>
                <w:sz w:val="24"/>
                <w:szCs w:val="24"/>
                <w:lang w:eastAsia="lv-LV"/>
              </w:rPr>
              <w:t>izmaksu monetārs novērtējums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4FDA1EC9" w:rsidR="00F62D5E" w:rsidRDefault="004F4E38" w:rsidP="0098221F">
            <w:pPr>
              <w:spacing w:after="0" w:line="240" w:lineRule="auto"/>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BD0514" w:rsidRPr="008B78B2" w14:paraId="05A3E7A3" w14:textId="77777777" w:rsidTr="0098221F">
        <w:trPr>
          <w:trHeight w:val="390"/>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8B78B2" w:rsidRDefault="00875120" w:rsidP="0098221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D0514" w:rsidRPr="008B78B2">
              <w:rPr>
                <w:rFonts w:ascii="Times New Roman" w:eastAsia="Times New Roman" w:hAnsi="Times New Roman"/>
                <w:sz w:val="24"/>
                <w:szCs w:val="24"/>
                <w:lang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8B78B2" w:rsidRDefault="00BD0514"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8B78B2" w:rsidRDefault="00BD0514" w:rsidP="0098221F">
            <w:pPr>
              <w:spacing w:after="0" w:line="240" w:lineRule="auto"/>
              <w:contextualSpacing/>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5CCA36B2" w14:textId="77777777" w:rsidR="00351C4F" w:rsidRDefault="00351C4F" w:rsidP="00DF6922">
      <w:pPr>
        <w:spacing w:after="0" w:line="240" w:lineRule="auto"/>
        <w:contextualSpacing/>
        <w:rPr>
          <w:rFonts w:ascii="Times New Roman" w:eastAsia="Arial Unicode MS" w:hAnsi="Times New Roman"/>
          <w:b/>
          <w:sz w:val="24"/>
          <w:szCs w:val="24"/>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072"/>
      </w:tblGrid>
      <w:tr w:rsidR="00BD0514" w:rsidRPr="00BD0514" w14:paraId="396280A9" w14:textId="075ED9A8" w:rsidTr="009351A7">
        <w:tc>
          <w:tcPr>
            <w:tcW w:w="9072"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D48B55E" w14:textId="722B6F6F" w:rsidR="00BD0514" w:rsidRPr="00BD0514" w:rsidRDefault="00BD0514" w:rsidP="0098221F">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III. Tiesību akta projekta ietekme uz valsts budžetu un pašvaldību budžetiem</w:t>
            </w:r>
          </w:p>
        </w:tc>
      </w:tr>
      <w:tr w:rsidR="00BD0514" w:rsidRPr="00BD0514" w14:paraId="1C9F0E94" w14:textId="00805DB4" w:rsidTr="009351A7">
        <w:tc>
          <w:tcPr>
            <w:tcW w:w="907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BEEA4" w14:textId="4F11FF6A" w:rsidR="00BD0514" w:rsidRPr="00BD0514" w:rsidRDefault="00BD0514" w:rsidP="0098221F">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675E0528" w14:textId="77777777" w:rsidR="00024E19" w:rsidRDefault="00024E19"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042"/>
      </w:tblGrid>
      <w:tr w:rsidR="00BD0514" w:rsidRPr="00BD0514" w14:paraId="5137FA0A" w14:textId="77777777" w:rsidTr="0098221F">
        <w:tc>
          <w:tcPr>
            <w:tcW w:w="9042" w:type="dxa"/>
            <w:vAlign w:val="center"/>
            <w:hideMark/>
          </w:tcPr>
          <w:p w14:paraId="67CD7CC2" w14:textId="14925963" w:rsidR="00BD0514" w:rsidRPr="00BD0514" w:rsidRDefault="00BD0514" w:rsidP="0098221F">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IV. Tiesību akta projekta ietekme uz spēkā esošo tiesību normu sistēmu</w:t>
            </w:r>
          </w:p>
        </w:tc>
      </w:tr>
      <w:tr w:rsidR="00BD0514" w:rsidRPr="00BD0514" w14:paraId="0FBD3215" w14:textId="77777777" w:rsidTr="0098221F">
        <w:tc>
          <w:tcPr>
            <w:tcW w:w="9042" w:type="dxa"/>
            <w:vAlign w:val="center"/>
          </w:tcPr>
          <w:p w14:paraId="22E3944E" w14:textId="08E7196B" w:rsidR="00BD0514" w:rsidRPr="00BD0514" w:rsidRDefault="00BD0514" w:rsidP="0098221F">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442C0520" w14:textId="77777777" w:rsidR="00BD0514" w:rsidRDefault="00BD0514"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042"/>
      </w:tblGrid>
      <w:tr w:rsidR="00647573" w:rsidRPr="008B78B2" w14:paraId="03D03EB6" w14:textId="77777777" w:rsidTr="0098221F">
        <w:tc>
          <w:tcPr>
            <w:tcW w:w="904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8B78B2" w:rsidRDefault="00647573" w:rsidP="00DF6922">
            <w:pPr>
              <w:spacing w:after="0" w:line="240" w:lineRule="auto"/>
              <w:contextualSpacing/>
              <w:jc w:val="center"/>
              <w:rPr>
                <w:rFonts w:ascii="Times New Roman" w:eastAsia="Times New Roman" w:hAnsi="Times New Roman"/>
                <w:b/>
                <w:sz w:val="24"/>
                <w:szCs w:val="24"/>
                <w:lang w:eastAsia="lv-LV"/>
              </w:rPr>
            </w:pPr>
            <w:r w:rsidRPr="00BD0514">
              <w:rPr>
                <w:rFonts w:ascii="Times New Roman" w:eastAsia="Times New Roman" w:hAnsi="Times New Roman"/>
                <w:b/>
                <w:bCs/>
                <w:sz w:val="24"/>
                <w:szCs w:val="24"/>
                <w:lang w:eastAsia="lv-LV"/>
              </w:rPr>
              <w:t>V. Tiesību akta projekta atbilstība Latvijas Republikas starptautiskajām saistībām</w:t>
            </w:r>
          </w:p>
        </w:tc>
      </w:tr>
      <w:tr w:rsidR="00EA4E0F" w:rsidRPr="00CF2903" w14:paraId="1B5A5078" w14:textId="77777777" w:rsidTr="0098221F">
        <w:tc>
          <w:tcPr>
            <w:tcW w:w="9042" w:type="dxa"/>
            <w:tcBorders>
              <w:top w:val="thickThinLargeGap" w:sz="6" w:space="0" w:color="C0C0C0"/>
              <w:left w:val="thickThinLargeGap" w:sz="6" w:space="0" w:color="C0C0C0"/>
              <w:bottom w:val="thickThinLargeGap" w:sz="6" w:space="0" w:color="C0C0C0"/>
              <w:right w:val="thickThinLargeGap" w:sz="6" w:space="0" w:color="C0C0C0"/>
            </w:tcBorders>
          </w:tcPr>
          <w:p w14:paraId="05BD94FD" w14:textId="65C1AA87" w:rsidR="00F44D9B" w:rsidRPr="002E47A5" w:rsidRDefault="009244F6" w:rsidP="00F44D9B">
            <w:pPr>
              <w:jc w:val="both"/>
              <w:rPr>
                <w:rFonts w:ascii="Times New Roman" w:hAnsi="Times New Roman"/>
                <w:sz w:val="24"/>
                <w:szCs w:val="24"/>
              </w:rPr>
            </w:pPr>
            <w:r>
              <w:rPr>
                <w:rFonts w:ascii="Times New Roman" w:hAnsi="Times New Roman"/>
                <w:sz w:val="24"/>
                <w:szCs w:val="24"/>
              </w:rPr>
              <w:t>Ar noteikumu projektu tiks ieviestas prasības</w:t>
            </w:r>
            <w:r w:rsidR="00F44D9B">
              <w:rPr>
                <w:rFonts w:ascii="Times New Roman" w:hAnsi="Times New Roman"/>
                <w:sz w:val="24"/>
                <w:szCs w:val="24"/>
              </w:rPr>
              <w:t xml:space="preserve"> no:</w:t>
            </w:r>
            <w:r>
              <w:rPr>
                <w:rFonts w:ascii="Times New Roman" w:hAnsi="Times New Roman"/>
                <w:sz w:val="24"/>
                <w:szCs w:val="24"/>
              </w:rPr>
              <w:t xml:space="preserve"> </w:t>
            </w:r>
          </w:p>
          <w:p w14:paraId="73F88657" w14:textId="65946D55" w:rsidR="009244F6" w:rsidRDefault="009244F6" w:rsidP="00F44D9B">
            <w:pPr>
              <w:pStyle w:val="ListParagraph"/>
              <w:numPr>
                <w:ilvl w:val="0"/>
                <w:numId w:val="10"/>
              </w:numPr>
              <w:jc w:val="both"/>
              <w:rPr>
                <w:rFonts w:ascii="Times New Roman" w:hAnsi="Times New Roman"/>
                <w:sz w:val="24"/>
                <w:szCs w:val="24"/>
              </w:rPr>
            </w:pPr>
            <w:r w:rsidRPr="002E47A5">
              <w:rPr>
                <w:rFonts w:ascii="Times New Roman" w:hAnsi="Times New Roman"/>
                <w:sz w:val="24"/>
                <w:szCs w:val="24"/>
              </w:rPr>
              <w:t>Eiropas Komisijas Regulas Nr.651/2014 ar ko noteiktas atbalsta kategorijas atzīst par saderīgām ar iekšējo tirgu, piemērojot Līguma 107. un 108. pantu</w:t>
            </w:r>
            <w:r w:rsidR="00F44D9B">
              <w:rPr>
                <w:rFonts w:ascii="Times New Roman" w:hAnsi="Times New Roman"/>
                <w:sz w:val="24"/>
                <w:szCs w:val="24"/>
              </w:rPr>
              <w:t>;</w:t>
            </w:r>
          </w:p>
          <w:p w14:paraId="0A334C1F" w14:textId="0ED601E0" w:rsidR="00F44D9B" w:rsidRDefault="00F44D9B" w:rsidP="00F44D9B">
            <w:pPr>
              <w:pStyle w:val="ListParagraph"/>
              <w:numPr>
                <w:ilvl w:val="0"/>
                <w:numId w:val="10"/>
              </w:numPr>
              <w:jc w:val="both"/>
              <w:rPr>
                <w:rFonts w:ascii="Times New Roman" w:hAnsi="Times New Roman"/>
                <w:sz w:val="24"/>
                <w:szCs w:val="24"/>
              </w:rPr>
            </w:pPr>
            <w:r w:rsidRPr="00F44D9B">
              <w:rPr>
                <w:rFonts w:ascii="Times New Roman" w:hAnsi="Times New Roman"/>
                <w:sz w:val="24"/>
                <w:szCs w:val="24"/>
              </w:rPr>
              <w:lastRenderedPageBreak/>
              <w:t>Eiropas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w:t>
            </w:r>
          </w:p>
          <w:p w14:paraId="736A5C63" w14:textId="4A7D0DB5" w:rsidR="00F44D9B" w:rsidRDefault="00F44D9B" w:rsidP="00F44D9B">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Eiropas Komisijas </w:t>
            </w:r>
            <w:r w:rsidRPr="00A15BA8">
              <w:rPr>
                <w:rFonts w:ascii="Times New Roman" w:hAnsi="Times New Roman"/>
                <w:sz w:val="24"/>
                <w:szCs w:val="24"/>
              </w:rPr>
              <w:t>Regulas Nr.1407/2013</w:t>
            </w:r>
            <w:r>
              <w:rPr>
                <w:rFonts w:ascii="Times New Roman" w:hAnsi="Times New Roman"/>
                <w:sz w:val="24"/>
                <w:szCs w:val="24"/>
              </w:rPr>
              <w:t xml:space="preserve"> </w:t>
            </w:r>
            <w:r w:rsidRPr="00F44D9B">
              <w:rPr>
                <w:rFonts w:ascii="Times New Roman" w:hAnsi="Times New Roman"/>
                <w:sz w:val="24"/>
                <w:szCs w:val="24"/>
              </w:rPr>
              <w:t xml:space="preserve">par Līguma par Eiropas Savienības darbību 107. un 108. panta piemērošanu </w:t>
            </w:r>
            <w:proofErr w:type="spellStart"/>
            <w:r w:rsidRPr="002E47A5">
              <w:rPr>
                <w:rFonts w:ascii="Times New Roman" w:hAnsi="Times New Roman"/>
                <w:i/>
                <w:iCs/>
                <w:sz w:val="24"/>
                <w:szCs w:val="24"/>
              </w:rPr>
              <w:t>de</w:t>
            </w:r>
            <w:proofErr w:type="spellEnd"/>
            <w:r w:rsidRPr="002E47A5">
              <w:rPr>
                <w:rFonts w:ascii="Times New Roman" w:hAnsi="Times New Roman"/>
                <w:i/>
                <w:iCs/>
                <w:sz w:val="24"/>
                <w:szCs w:val="24"/>
              </w:rPr>
              <w:t xml:space="preserve"> </w:t>
            </w:r>
            <w:proofErr w:type="spellStart"/>
            <w:r w:rsidRPr="002E47A5">
              <w:rPr>
                <w:rFonts w:ascii="Times New Roman" w:hAnsi="Times New Roman"/>
                <w:i/>
                <w:iCs/>
                <w:sz w:val="24"/>
                <w:szCs w:val="24"/>
              </w:rPr>
              <w:t>minimis</w:t>
            </w:r>
            <w:proofErr w:type="spellEnd"/>
            <w:r w:rsidRPr="00F44D9B">
              <w:rPr>
                <w:rFonts w:ascii="Times New Roman" w:hAnsi="Times New Roman"/>
                <w:sz w:val="24"/>
                <w:szCs w:val="24"/>
              </w:rPr>
              <w:t xml:space="preserve"> atbalstam</w:t>
            </w:r>
            <w:r>
              <w:rPr>
                <w:rFonts w:ascii="Times New Roman" w:hAnsi="Times New Roman"/>
                <w:sz w:val="24"/>
                <w:szCs w:val="24"/>
              </w:rPr>
              <w:t>;</w:t>
            </w:r>
          </w:p>
          <w:p w14:paraId="28BAA50B" w14:textId="67A1FE15" w:rsidR="00F44D9B" w:rsidRPr="005261F4" w:rsidRDefault="00F44D9B" w:rsidP="00F21F88">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Eiropas Komisijas Regulas Nr. 794/2004 </w:t>
            </w:r>
            <w:r w:rsidRPr="00F44D9B">
              <w:rPr>
                <w:rFonts w:ascii="Times New Roman" w:hAnsi="Times New Roman"/>
                <w:sz w:val="24"/>
                <w:szCs w:val="24"/>
              </w:rPr>
              <w:t>ar ko īsteno Padomes Regulu (ES) 2015/1589, ar ko nosaka sīki izstrādātus noteikumus Līguma par Eiropas Savienības darbību 108. panta</w:t>
            </w:r>
            <w:bookmarkStart w:id="1" w:name="_GoBack"/>
            <w:bookmarkEnd w:id="1"/>
            <w:r w:rsidRPr="00F44D9B">
              <w:rPr>
                <w:rFonts w:ascii="Times New Roman" w:hAnsi="Times New Roman"/>
                <w:sz w:val="24"/>
                <w:szCs w:val="24"/>
              </w:rPr>
              <w:t xml:space="preserve"> piemērošanai</w:t>
            </w:r>
            <w:r>
              <w:rPr>
                <w:rFonts w:ascii="Times New Roman" w:hAnsi="Times New Roman"/>
                <w:sz w:val="24"/>
                <w:szCs w:val="24"/>
              </w:rPr>
              <w:t>.</w:t>
            </w:r>
          </w:p>
        </w:tc>
      </w:tr>
    </w:tbl>
    <w:p w14:paraId="4767CC99" w14:textId="77777777" w:rsidR="004D587A" w:rsidRDefault="004D587A"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85" w:type="dxa"/>
          <w:right w:w="85" w:type="dxa"/>
        </w:tblCellMar>
        <w:tblLook w:val="04A0" w:firstRow="1" w:lastRow="0" w:firstColumn="1" w:lastColumn="0" w:noHBand="0" w:noVBand="1"/>
      </w:tblPr>
      <w:tblGrid>
        <w:gridCol w:w="396"/>
        <w:gridCol w:w="2551"/>
        <w:gridCol w:w="6095"/>
      </w:tblGrid>
      <w:tr w:rsidR="009A312E" w:rsidRPr="008B78B2" w14:paraId="051EE9BB" w14:textId="77777777" w:rsidTr="00DA0001">
        <w:tc>
          <w:tcPr>
            <w:tcW w:w="9042"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636D6856" w:rsidR="007C6AF6" w:rsidRPr="00583744" w:rsidRDefault="00DA0001" w:rsidP="00583744">
            <w:pPr>
              <w:spacing w:after="0" w:line="240" w:lineRule="auto"/>
              <w:ind w:right="142"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w:t>
            </w:r>
            <w:r>
              <w:rPr>
                <w:rFonts w:ascii="Times New Roman" w:eastAsia="Times New Roman" w:hAnsi="Times New Roman"/>
                <w:iCs/>
                <w:sz w:val="24"/>
                <w:szCs w:val="24"/>
                <w:lang w:eastAsia="lv-LV"/>
              </w:rPr>
              <w:t>ir</w:t>
            </w:r>
            <w:r w:rsidRPr="008B78B2">
              <w:rPr>
                <w:rFonts w:ascii="Times New Roman" w:eastAsia="Times New Roman" w:hAnsi="Times New Roman"/>
                <w:iCs/>
                <w:sz w:val="24"/>
                <w:szCs w:val="24"/>
                <w:lang w:eastAsia="lv-LV"/>
              </w:rPr>
              <w:t xml:space="preserve"> ievietota </w:t>
            </w:r>
            <w:r>
              <w:rPr>
                <w:rFonts w:ascii="Times New Roman" w:eastAsia="Times New Roman" w:hAnsi="Times New Roman"/>
                <w:iCs/>
                <w:sz w:val="24"/>
                <w:szCs w:val="24"/>
                <w:lang w:eastAsia="lv-LV"/>
              </w:rPr>
              <w:t>Ekonomikas ministrijas</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BD0514" w:rsidRPr="008B78B2" w14:paraId="2F9C45F7"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8B78B2" w:rsidRDefault="00BD0514"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BD0514" w:rsidRDefault="00BD0514" w:rsidP="00DF6922">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 projekta izstrādē</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629ED5C" w:rsidR="004560E9" w:rsidRPr="00BD0514" w:rsidRDefault="00FA0D2D" w:rsidP="005261F4">
            <w:pPr>
              <w:spacing w:after="0" w:line="240" w:lineRule="auto"/>
              <w:ind w:right="142"/>
              <w:contextualSpacing/>
              <w:rPr>
                <w:rFonts w:ascii="Times New Roman" w:hAnsi="Times New Roman"/>
                <w:sz w:val="24"/>
                <w:szCs w:val="24"/>
              </w:rPr>
            </w:pPr>
            <w:r w:rsidRPr="00FB786F">
              <w:rPr>
                <w:rFonts w:ascii="Times New Roman" w:hAnsi="Times New Roman"/>
                <w:sz w:val="24"/>
                <w:szCs w:val="24"/>
              </w:rPr>
              <w:t xml:space="preserve">Noteikumu projekts </w:t>
            </w:r>
            <w:r>
              <w:rPr>
                <w:rFonts w:ascii="Times New Roman" w:hAnsi="Times New Roman"/>
                <w:sz w:val="24"/>
                <w:szCs w:val="24"/>
              </w:rPr>
              <w:t>23</w:t>
            </w:r>
            <w:r w:rsidRPr="00FB786F">
              <w:rPr>
                <w:rFonts w:ascii="Times New Roman" w:hAnsi="Times New Roman"/>
                <w:sz w:val="24"/>
                <w:szCs w:val="24"/>
              </w:rPr>
              <w:t>.</w:t>
            </w:r>
            <w:r>
              <w:rPr>
                <w:rFonts w:ascii="Times New Roman" w:hAnsi="Times New Roman"/>
                <w:sz w:val="24"/>
                <w:szCs w:val="24"/>
              </w:rPr>
              <w:t>10</w:t>
            </w:r>
            <w:r w:rsidRPr="00FB786F">
              <w:rPr>
                <w:rFonts w:ascii="Times New Roman" w:hAnsi="Times New Roman"/>
                <w:sz w:val="24"/>
                <w:szCs w:val="24"/>
              </w:rPr>
              <w:t xml:space="preserve">.2019. tika publicēts Ekonomikas ministrijas mājas lapā: </w:t>
            </w:r>
            <w:hyperlink r:id="rId8" w:history="1">
              <w:r w:rsidRPr="004C010A">
                <w:rPr>
                  <w:rStyle w:val="Hyperlink"/>
                  <w:rFonts w:ascii="Times New Roman" w:hAnsi="Times New Roman"/>
                  <w:sz w:val="24"/>
                  <w:szCs w:val="24"/>
                </w:rPr>
                <w:t>https://www.em.gov.lv/lv/es_fondi/normativo_aktu_projekti/energetika_un_energoefektivitate/</w:t>
              </w:r>
            </w:hyperlink>
          </w:p>
        </w:tc>
      </w:tr>
      <w:tr w:rsidR="00DA0001" w:rsidRPr="008B78B2" w14:paraId="1D285C1F"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DA0001" w:rsidRPr="008B78B2" w:rsidRDefault="00DA0001" w:rsidP="00DA0001">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DA0001" w:rsidRPr="00BD0514" w:rsidRDefault="00DA0001" w:rsidP="00DA0001">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līdzdalības rezultāti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34B7EBF2" w:rsidR="00DA0001" w:rsidRPr="00BD0514" w:rsidRDefault="00DA0001" w:rsidP="00DA0001">
            <w:pPr>
              <w:spacing w:after="0" w:line="240" w:lineRule="auto"/>
              <w:ind w:right="142"/>
              <w:contextualSpacing/>
              <w:jc w:val="both"/>
              <w:rPr>
                <w:rFonts w:ascii="Times New Roman" w:hAnsi="Times New Roman"/>
                <w:sz w:val="24"/>
                <w:szCs w:val="24"/>
              </w:rPr>
            </w:pPr>
            <w:r w:rsidRPr="00E5753A">
              <w:rPr>
                <w:rFonts w:ascii="Times New Roman" w:eastAsia="Times New Roman" w:hAnsi="Times New Roman"/>
                <w:iCs/>
                <w:sz w:val="24"/>
                <w:szCs w:val="24"/>
                <w:lang w:eastAsia="lv-LV"/>
              </w:rPr>
              <w:t>Izstrādāts Noteikumu projekts, kas tiks nosūtīts saskaņošanai sadarbības partneriem.</w:t>
            </w:r>
          </w:p>
        </w:tc>
      </w:tr>
      <w:tr w:rsidR="00DA0001" w:rsidRPr="008B78B2" w14:paraId="3C8DBE9C"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DA0001" w:rsidRPr="008B78B2" w:rsidRDefault="00DA0001" w:rsidP="00DA0001">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DA0001" w:rsidRPr="008B78B2" w:rsidRDefault="00DA0001" w:rsidP="00DA0001">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06F91A81" w:rsidR="00DA0001" w:rsidRPr="008B78B2" w:rsidRDefault="00DA0001" w:rsidP="00DA0001">
            <w:pPr>
              <w:spacing w:after="0" w:line="240" w:lineRule="auto"/>
              <w:contextualSpacing/>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bl>
    <w:p w14:paraId="24D64682" w14:textId="77777777" w:rsidR="009A312E" w:rsidRPr="00BD0514" w:rsidRDefault="009A312E" w:rsidP="00DF6922">
      <w:pPr>
        <w:tabs>
          <w:tab w:val="left" w:pos="7655"/>
        </w:tabs>
        <w:spacing w:after="0" w:line="240" w:lineRule="auto"/>
        <w:contextualSpacing/>
        <w:jc w:val="both"/>
        <w:rPr>
          <w:rFonts w:ascii="Times New Roman" w:hAnsi="Times New Roman"/>
          <w:bCs/>
          <w:sz w:val="24"/>
          <w:szCs w:val="24"/>
        </w:rPr>
      </w:pPr>
    </w:p>
    <w:p w14:paraId="176B2A4C" w14:textId="77777777" w:rsidR="00BD0514" w:rsidRPr="00090BDF" w:rsidRDefault="00BD0514" w:rsidP="00DF6922">
      <w:pPr>
        <w:tabs>
          <w:tab w:val="left" w:pos="7655"/>
        </w:tabs>
        <w:spacing w:after="0" w:line="240" w:lineRule="auto"/>
        <w:contextualSpacing/>
        <w:jc w:val="both"/>
        <w:rPr>
          <w:rFonts w:ascii="Times New Roman" w:hAnsi="Times New Roman"/>
          <w:bCs/>
          <w:sz w:val="4"/>
          <w:szCs w:val="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85" w:type="dxa"/>
          <w:right w:w="85" w:type="dxa"/>
        </w:tblCellMar>
        <w:tblLook w:val="04A0" w:firstRow="1" w:lastRow="0" w:firstColumn="1" w:lastColumn="0" w:noHBand="0" w:noVBand="1"/>
      </w:tblPr>
      <w:tblGrid>
        <w:gridCol w:w="396"/>
        <w:gridCol w:w="3685"/>
        <w:gridCol w:w="4961"/>
      </w:tblGrid>
      <w:tr w:rsidR="009A312E" w:rsidRPr="008B78B2" w14:paraId="166C01FC" w14:textId="77777777" w:rsidTr="004D587A">
        <w:tc>
          <w:tcPr>
            <w:tcW w:w="9042"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5261F4">
        <w:trPr>
          <w:trHeight w:val="558"/>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307BFAB3" w:rsidR="00111ABB" w:rsidRPr="008B78B2" w:rsidRDefault="00131C33" w:rsidP="004D587A">
            <w:pPr>
              <w:tabs>
                <w:tab w:val="left" w:pos="3922"/>
              </w:tabs>
              <w:spacing w:after="0" w:line="240" w:lineRule="auto"/>
              <w:contextualSpacing/>
              <w:jc w:val="both"/>
              <w:rPr>
                <w:rFonts w:ascii="Times New Roman" w:hAnsi="Times New Roman"/>
                <w:sz w:val="24"/>
                <w:szCs w:val="24"/>
              </w:rPr>
            </w:pPr>
            <w:r>
              <w:rPr>
                <w:rFonts w:ascii="Times New Roman" w:eastAsia="Times New Roman" w:hAnsi="Times New Roman"/>
                <w:iCs/>
                <w:sz w:val="24"/>
                <w:szCs w:val="24"/>
                <w:lang w:eastAsia="lv-LV"/>
              </w:rPr>
              <w:t>Noteikumu p</w:t>
            </w:r>
            <w:r w:rsidR="00111ABB" w:rsidRPr="00BD0514">
              <w:rPr>
                <w:rFonts w:ascii="Times New Roman" w:eastAsia="Times New Roman" w:hAnsi="Times New Roman"/>
                <w:iCs/>
                <w:sz w:val="24"/>
                <w:szCs w:val="24"/>
                <w:lang w:eastAsia="lv-LV"/>
              </w:rPr>
              <w:t xml:space="preserve">rojekta īstenošanu nodrošinās </w:t>
            </w:r>
            <w:r w:rsidR="00735F4E">
              <w:rPr>
                <w:rFonts w:ascii="Times New Roman" w:hAnsi="Times New Roman"/>
                <w:sz w:val="24"/>
                <w:szCs w:val="24"/>
              </w:rPr>
              <w:t>Ekonomikas ministrija</w:t>
            </w:r>
            <w:r w:rsidR="00735F4E" w:rsidRPr="008C53EF">
              <w:rPr>
                <w:rFonts w:ascii="Times New Roman" w:hAnsi="Times New Roman"/>
                <w:sz w:val="24"/>
                <w:szCs w:val="24"/>
              </w:rPr>
              <w:t xml:space="preserve"> </w:t>
            </w:r>
            <w:r w:rsidR="009A312E" w:rsidRPr="008C53EF">
              <w:rPr>
                <w:rFonts w:ascii="Times New Roman" w:hAnsi="Times New Roman"/>
                <w:sz w:val="24"/>
                <w:szCs w:val="24"/>
              </w:rPr>
              <w:t>kā atbildīgā iestāde</w:t>
            </w:r>
            <w:r w:rsidR="00EA4E0F">
              <w:rPr>
                <w:rFonts w:ascii="Times New Roman" w:hAnsi="Times New Roman"/>
                <w:sz w:val="24"/>
                <w:szCs w:val="24"/>
              </w:rPr>
              <w:t xml:space="preserve"> un </w:t>
            </w:r>
            <w:r w:rsidR="00086A35">
              <w:rPr>
                <w:rFonts w:ascii="Times New Roman" w:hAnsi="Times New Roman"/>
                <w:sz w:val="24"/>
                <w:szCs w:val="24"/>
              </w:rPr>
              <w:t>CFLA</w:t>
            </w:r>
            <w:r w:rsidR="009A312E" w:rsidRPr="008C53EF">
              <w:rPr>
                <w:rFonts w:ascii="Times New Roman" w:hAnsi="Times New Roman"/>
                <w:sz w:val="24"/>
                <w:szCs w:val="24"/>
              </w:rPr>
              <w:t xml:space="preserve"> kā sadarbības iestāde</w:t>
            </w:r>
            <w:r w:rsidR="00EA4E0F">
              <w:rPr>
                <w:rFonts w:ascii="Times New Roman" w:hAnsi="Times New Roman"/>
                <w:sz w:val="24"/>
                <w:szCs w:val="24"/>
              </w:rPr>
              <w:t>.</w:t>
            </w:r>
          </w:p>
        </w:tc>
      </w:tr>
      <w:tr w:rsidR="009A312E" w:rsidRPr="008B78B2" w14:paraId="678718AA" w14:textId="77777777" w:rsidTr="005261F4">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Default="00140353" w:rsidP="00FE1378">
            <w:pPr>
              <w:spacing w:after="0" w:line="240" w:lineRule="auto"/>
              <w:ind w:firstLine="341"/>
              <w:contextualSpacing/>
              <w:jc w:val="both"/>
              <w:rPr>
                <w:rFonts w:ascii="Times New Roman" w:hAnsi="Times New Roman"/>
                <w:sz w:val="24"/>
                <w:szCs w:val="24"/>
              </w:rPr>
            </w:pPr>
            <w:r w:rsidRPr="00140353">
              <w:rPr>
                <w:rFonts w:ascii="Times New Roman" w:hAnsi="Times New Roman"/>
                <w:sz w:val="24"/>
                <w:szCs w:val="24"/>
              </w:rPr>
              <w:t>Nav plānota jaunu institūciju izveide, esošu institūciju likvidācija vai reorganizācija.</w:t>
            </w:r>
          </w:p>
          <w:p w14:paraId="0A93EA10" w14:textId="0E706E2B" w:rsidR="009A312E" w:rsidRPr="008B78B2" w:rsidRDefault="009160BD" w:rsidP="00FE1378">
            <w:pPr>
              <w:spacing w:after="0" w:line="240" w:lineRule="auto"/>
              <w:ind w:firstLine="341"/>
              <w:contextualSpacing/>
              <w:jc w:val="both"/>
              <w:rPr>
                <w:rFonts w:ascii="Times New Roman" w:hAnsi="Times New Roman"/>
                <w:sz w:val="24"/>
                <w:szCs w:val="24"/>
              </w:rPr>
            </w:pPr>
            <w:r w:rsidRPr="009160BD">
              <w:rPr>
                <w:rFonts w:ascii="Times New Roman" w:hAnsi="Times New Roman"/>
                <w:sz w:val="24"/>
                <w:szCs w:val="24"/>
              </w:rPr>
              <w:t>Noteikumu projekts tiks realizēts esošo cilvēkresursu ietvaros.</w:t>
            </w:r>
          </w:p>
        </w:tc>
      </w:tr>
      <w:tr w:rsidR="009A312E" w:rsidRPr="008B78B2" w14:paraId="17DEEA33" w14:textId="77777777" w:rsidTr="005261F4">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4961"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DF6922">
            <w:pPr>
              <w:spacing w:after="0" w:line="240" w:lineRule="auto"/>
              <w:ind w:left="95"/>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3D718903" w14:textId="77777777" w:rsidR="0080306D" w:rsidRDefault="0080306D" w:rsidP="00DF6922">
      <w:pPr>
        <w:spacing w:after="0" w:line="240" w:lineRule="auto"/>
        <w:contextualSpacing/>
        <w:rPr>
          <w:rFonts w:ascii="Times New Roman" w:eastAsia="Times New Roman" w:hAnsi="Times New Roman"/>
          <w:sz w:val="24"/>
          <w:szCs w:val="24"/>
        </w:rPr>
      </w:pPr>
    </w:p>
    <w:p w14:paraId="2C498F28" w14:textId="77777777" w:rsidR="0080306D" w:rsidRDefault="0080306D" w:rsidP="00DF6922">
      <w:pPr>
        <w:spacing w:after="0" w:line="240" w:lineRule="auto"/>
        <w:contextualSpacing/>
        <w:rPr>
          <w:rFonts w:ascii="Times New Roman" w:eastAsia="Times New Roman" w:hAnsi="Times New Roman"/>
          <w:sz w:val="24"/>
          <w:szCs w:val="24"/>
        </w:rPr>
      </w:pPr>
    </w:p>
    <w:p w14:paraId="5BB844E6" w14:textId="6853722B" w:rsidR="002119B7" w:rsidRPr="001C267B" w:rsidRDefault="002119B7" w:rsidP="00DF6922">
      <w:pPr>
        <w:tabs>
          <w:tab w:val="left" w:pos="7230"/>
        </w:tabs>
        <w:spacing w:after="0" w:line="240" w:lineRule="auto"/>
        <w:contextualSpacing/>
        <w:rPr>
          <w:rFonts w:ascii="Times New Roman" w:eastAsia="Times New Roman" w:hAnsi="Times New Roman"/>
          <w:sz w:val="24"/>
          <w:szCs w:val="24"/>
        </w:rPr>
      </w:pPr>
      <w:r w:rsidRPr="001C267B">
        <w:rPr>
          <w:rFonts w:ascii="Times New Roman" w:eastAsia="Times New Roman" w:hAnsi="Times New Roman"/>
          <w:sz w:val="24"/>
          <w:szCs w:val="24"/>
        </w:rPr>
        <w:t>Ekonomikas ministrs</w:t>
      </w:r>
      <w:r w:rsidRPr="001C267B">
        <w:rPr>
          <w:rFonts w:ascii="Times New Roman" w:eastAsia="Times New Roman" w:hAnsi="Times New Roman"/>
          <w:sz w:val="24"/>
          <w:szCs w:val="24"/>
        </w:rPr>
        <w:tab/>
      </w:r>
      <w:r w:rsidR="00D47ABF">
        <w:rPr>
          <w:rFonts w:ascii="Times New Roman" w:eastAsia="Times New Roman" w:hAnsi="Times New Roman"/>
          <w:sz w:val="24"/>
          <w:szCs w:val="24"/>
        </w:rPr>
        <w:t>J</w:t>
      </w:r>
      <w:r w:rsidRPr="001C267B">
        <w:rPr>
          <w:rFonts w:ascii="Times New Roman" w:eastAsia="Times New Roman" w:hAnsi="Times New Roman"/>
          <w:sz w:val="24"/>
          <w:szCs w:val="24"/>
        </w:rPr>
        <w:t>.</w:t>
      </w:r>
      <w:r w:rsidR="00AD47E8">
        <w:rPr>
          <w:rFonts w:ascii="Times New Roman" w:eastAsia="Times New Roman" w:hAnsi="Times New Roman"/>
          <w:sz w:val="24"/>
          <w:szCs w:val="24"/>
        </w:rPr>
        <w:t> </w:t>
      </w:r>
      <w:proofErr w:type="spellStart"/>
      <w:r w:rsidR="00D47ABF">
        <w:rPr>
          <w:rFonts w:ascii="Times New Roman" w:eastAsia="Times New Roman" w:hAnsi="Times New Roman"/>
          <w:sz w:val="24"/>
          <w:szCs w:val="24"/>
        </w:rPr>
        <w:t>Vitenbergs</w:t>
      </w:r>
      <w:proofErr w:type="spellEnd"/>
    </w:p>
    <w:p w14:paraId="1E444487" w14:textId="77777777" w:rsidR="0080306D" w:rsidRDefault="0080306D" w:rsidP="00DF6922">
      <w:pPr>
        <w:tabs>
          <w:tab w:val="right" w:pos="9071"/>
        </w:tabs>
        <w:spacing w:after="0" w:line="240" w:lineRule="auto"/>
        <w:contextualSpacing/>
        <w:jc w:val="both"/>
        <w:rPr>
          <w:rFonts w:ascii="Times New Roman" w:hAnsi="Times New Roman"/>
          <w:color w:val="000000"/>
          <w:sz w:val="24"/>
          <w:szCs w:val="24"/>
        </w:rPr>
      </w:pPr>
    </w:p>
    <w:p w14:paraId="4423A158" w14:textId="77777777" w:rsidR="0080306D" w:rsidRDefault="0080306D" w:rsidP="00DF6922">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1C267B" w:rsidRDefault="009A312E" w:rsidP="00DF6922">
      <w:pPr>
        <w:tabs>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Vīza:</w:t>
      </w:r>
    </w:p>
    <w:p w14:paraId="4FDF8EF9" w14:textId="6695C48B" w:rsidR="009A312E" w:rsidRPr="001C267B" w:rsidRDefault="009A312E" w:rsidP="00DF6922">
      <w:pPr>
        <w:tabs>
          <w:tab w:val="left" w:pos="7230"/>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Valsts sekretār</w:t>
      </w:r>
      <w:r w:rsidR="002119B7" w:rsidRPr="001C267B">
        <w:rPr>
          <w:rFonts w:ascii="Times New Roman" w:hAnsi="Times New Roman"/>
          <w:color w:val="000000"/>
          <w:sz w:val="24"/>
          <w:szCs w:val="24"/>
        </w:rPr>
        <w:t>s</w:t>
      </w:r>
      <w:r w:rsidR="002119B7" w:rsidRPr="001C267B">
        <w:rPr>
          <w:rFonts w:ascii="Times New Roman" w:hAnsi="Times New Roman"/>
          <w:color w:val="000000"/>
          <w:sz w:val="24"/>
          <w:szCs w:val="24"/>
        </w:rPr>
        <w:tab/>
      </w:r>
      <w:r w:rsidR="00D47ABF">
        <w:rPr>
          <w:rFonts w:ascii="Times New Roman" w:eastAsia="Times New Roman" w:hAnsi="Times New Roman"/>
          <w:sz w:val="24"/>
          <w:szCs w:val="24"/>
        </w:rPr>
        <w:t>E</w:t>
      </w:r>
      <w:r w:rsidR="002119B7" w:rsidRPr="001C267B">
        <w:rPr>
          <w:rFonts w:ascii="Times New Roman" w:eastAsia="Times New Roman" w:hAnsi="Times New Roman"/>
          <w:sz w:val="24"/>
          <w:szCs w:val="24"/>
        </w:rPr>
        <w:t>.</w:t>
      </w:r>
      <w:r w:rsidR="00AD47E8">
        <w:rPr>
          <w:rFonts w:ascii="Times New Roman" w:eastAsia="Times New Roman" w:hAnsi="Times New Roman"/>
          <w:sz w:val="24"/>
          <w:szCs w:val="24"/>
        </w:rPr>
        <w:t> </w:t>
      </w:r>
      <w:r w:rsidR="00D47ABF">
        <w:rPr>
          <w:rFonts w:ascii="Times New Roman" w:eastAsia="Times New Roman" w:hAnsi="Times New Roman"/>
          <w:sz w:val="24"/>
          <w:szCs w:val="24"/>
        </w:rPr>
        <w:t>Valantis</w:t>
      </w:r>
    </w:p>
    <w:p w14:paraId="2BE47FEC" w14:textId="77777777" w:rsidR="0080306D" w:rsidRDefault="0080306D" w:rsidP="00DF6922">
      <w:pPr>
        <w:widowControl w:val="0"/>
        <w:spacing w:after="0" w:line="240" w:lineRule="auto"/>
        <w:contextualSpacing/>
        <w:jc w:val="both"/>
        <w:rPr>
          <w:rFonts w:ascii="Times New Roman" w:eastAsia="Times New Roman" w:hAnsi="Times New Roman"/>
          <w:sz w:val="20"/>
          <w:szCs w:val="20"/>
        </w:rPr>
      </w:pPr>
    </w:p>
    <w:p w14:paraId="0D09EA6E" w14:textId="77777777" w:rsidR="0080306D" w:rsidRDefault="0080306D" w:rsidP="00DF6922">
      <w:pPr>
        <w:widowControl w:val="0"/>
        <w:spacing w:after="0" w:line="240" w:lineRule="auto"/>
        <w:contextualSpacing/>
        <w:jc w:val="both"/>
        <w:rPr>
          <w:rFonts w:ascii="Times New Roman" w:eastAsia="Times New Roman" w:hAnsi="Times New Roman"/>
          <w:sz w:val="20"/>
          <w:szCs w:val="20"/>
        </w:rPr>
      </w:pPr>
    </w:p>
    <w:p w14:paraId="5000099F" w14:textId="06BCD2C0" w:rsidR="009A312E" w:rsidRDefault="00D47ABF" w:rsidP="00DF6922">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Kundziņa</w:t>
      </w:r>
      <w:r w:rsidR="0083064E">
        <w:rPr>
          <w:rFonts w:ascii="Times New Roman" w:eastAsia="Times New Roman" w:hAnsi="Times New Roman"/>
          <w:sz w:val="20"/>
          <w:szCs w:val="20"/>
        </w:rPr>
        <w:t xml:space="preserve">, </w:t>
      </w:r>
      <w:r w:rsidR="003C6570">
        <w:rPr>
          <w:rFonts w:ascii="Times New Roman" w:eastAsia="Times New Roman" w:hAnsi="Times New Roman"/>
          <w:sz w:val="20"/>
          <w:szCs w:val="20"/>
        </w:rPr>
        <w:t>670131</w:t>
      </w:r>
      <w:r>
        <w:rPr>
          <w:rFonts w:ascii="Times New Roman" w:eastAsia="Times New Roman" w:hAnsi="Times New Roman"/>
          <w:sz w:val="20"/>
          <w:szCs w:val="20"/>
        </w:rPr>
        <w:t>71</w:t>
      </w:r>
    </w:p>
    <w:p w14:paraId="3CA38B2D" w14:textId="29DAA8DD" w:rsidR="0083064E" w:rsidRPr="001C267B" w:rsidRDefault="00D47ABF" w:rsidP="00DF6922">
      <w:pPr>
        <w:widowControl w:val="0"/>
        <w:spacing w:after="0" w:line="240" w:lineRule="auto"/>
        <w:contextualSpacing/>
        <w:jc w:val="both"/>
        <w:rPr>
          <w:rFonts w:ascii="Times New Roman" w:hAnsi="Times New Roman"/>
          <w:sz w:val="20"/>
          <w:szCs w:val="20"/>
        </w:rPr>
      </w:pPr>
      <w:r>
        <w:rPr>
          <w:rFonts w:ascii="Times New Roman" w:eastAsia="Times New Roman" w:hAnsi="Times New Roman"/>
          <w:sz w:val="20"/>
          <w:szCs w:val="20"/>
        </w:rPr>
        <w:t>Lina.Kundzina</w:t>
      </w:r>
      <w:r w:rsidR="0083064E">
        <w:rPr>
          <w:rFonts w:ascii="Times New Roman" w:eastAsia="Times New Roman" w:hAnsi="Times New Roman"/>
          <w:sz w:val="20"/>
          <w:szCs w:val="20"/>
        </w:rPr>
        <w:t>@em.gov.lv</w:t>
      </w:r>
    </w:p>
    <w:sectPr w:rsidR="0083064E" w:rsidRPr="001C267B" w:rsidSect="0098221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2212" w14:textId="77777777" w:rsidR="001E6B9F" w:rsidRDefault="001E6B9F">
      <w:pPr>
        <w:spacing w:after="0" w:line="240" w:lineRule="auto"/>
      </w:pPr>
      <w:r>
        <w:separator/>
      </w:r>
    </w:p>
  </w:endnote>
  <w:endnote w:type="continuationSeparator" w:id="0">
    <w:p w14:paraId="361EB61A" w14:textId="77777777" w:rsidR="001E6B9F" w:rsidRDefault="001E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D7E3" w14:textId="103DF0FF" w:rsidR="00A53057" w:rsidRPr="00AC4233" w:rsidRDefault="00AC4233" w:rsidP="00AC4233">
    <w:pPr>
      <w:pStyle w:val="Footer"/>
      <w:rPr>
        <w:rFonts w:ascii="Times New Roman" w:hAnsi="Times New Roman"/>
        <w:sz w:val="20"/>
        <w:szCs w:val="20"/>
      </w:rPr>
    </w:pPr>
    <w:r w:rsidRPr="00AC4233">
      <w:rPr>
        <w:rFonts w:ascii="Times New Roman" w:hAnsi="Times New Roman"/>
        <w:sz w:val="20"/>
        <w:szCs w:val="20"/>
      </w:rPr>
      <w:t>EMAnot_</w:t>
    </w:r>
    <w:r w:rsidR="00FF41CC">
      <w:rPr>
        <w:rFonts w:ascii="Times New Roman" w:hAnsi="Times New Roman"/>
        <w:sz w:val="20"/>
        <w:szCs w:val="20"/>
      </w:rPr>
      <w:t>15072020</w:t>
    </w:r>
    <w:r w:rsidRPr="00AC4233">
      <w:rPr>
        <w:rFonts w:ascii="Times New Roman" w:hAnsi="Times New Roman"/>
        <w:sz w:val="20"/>
        <w:szCs w:val="20"/>
      </w:rPr>
      <w:t>_Groz13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8DD5" w14:textId="3353285A" w:rsidR="00AC4233" w:rsidRPr="00AC4233" w:rsidRDefault="00AC4233">
    <w:pPr>
      <w:pStyle w:val="Footer"/>
      <w:rPr>
        <w:rFonts w:ascii="Times New Roman" w:hAnsi="Times New Roman"/>
        <w:sz w:val="20"/>
        <w:szCs w:val="20"/>
      </w:rPr>
    </w:pPr>
    <w:r w:rsidRPr="00AC4233">
      <w:rPr>
        <w:rFonts w:ascii="Times New Roman" w:hAnsi="Times New Roman"/>
        <w:sz w:val="20"/>
        <w:szCs w:val="20"/>
      </w:rPr>
      <w:t>EMAnot_</w:t>
    </w:r>
    <w:r w:rsidR="00FF41CC">
      <w:rPr>
        <w:rFonts w:ascii="Times New Roman" w:hAnsi="Times New Roman"/>
        <w:sz w:val="20"/>
        <w:szCs w:val="20"/>
      </w:rPr>
      <w:t>15072020</w:t>
    </w:r>
    <w:r w:rsidRPr="00AC4233">
      <w:rPr>
        <w:rFonts w:ascii="Times New Roman" w:hAnsi="Times New Roman"/>
        <w:sz w:val="20"/>
        <w:szCs w:val="20"/>
      </w:rPr>
      <w:t>_Groz13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A72ED" w14:textId="77777777" w:rsidR="001E6B9F" w:rsidRDefault="001E6B9F">
      <w:pPr>
        <w:spacing w:after="0" w:line="240" w:lineRule="auto"/>
      </w:pPr>
      <w:r>
        <w:separator/>
      </w:r>
    </w:p>
  </w:footnote>
  <w:footnote w:type="continuationSeparator" w:id="0">
    <w:p w14:paraId="5E79E61C" w14:textId="77777777" w:rsidR="001E6B9F" w:rsidRDefault="001E6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76A49AB"/>
    <w:multiLevelType w:val="hybridMultilevel"/>
    <w:tmpl w:val="B6B26D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5"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6"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8"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9"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4"/>
  </w:num>
  <w:num w:numId="4">
    <w:abstractNumId w:val="6"/>
  </w:num>
  <w:num w:numId="5">
    <w:abstractNumId w:val="0"/>
  </w:num>
  <w:num w:numId="6">
    <w:abstractNumId w:val="2"/>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0B9"/>
    <w:rsid w:val="00003482"/>
    <w:rsid w:val="000052BA"/>
    <w:rsid w:val="000066B5"/>
    <w:rsid w:val="00006DC5"/>
    <w:rsid w:val="00012AB3"/>
    <w:rsid w:val="00012D1F"/>
    <w:rsid w:val="0001457E"/>
    <w:rsid w:val="00024E19"/>
    <w:rsid w:val="000318AE"/>
    <w:rsid w:val="0003239E"/>
    <w:rsid w:val="00033F47"/>
    <w:rsid w:val="00037FF4"/>
    <w:rsid w:val="0004420B"/>
    <w:rsid w:val="00044274"/>
    <w:rsid w:val="0004650E"/>
    <w:rsid w:val="0004780E"/>
    <w:rsid w:val="0006006F"/>
    <w:rsid w:val="0006676F"/>
    <w:rsid w:val="00073A90"/>
    <w:rsid w:val="00075F65"/>
    <w:rsid w:val="00076569"/>
    <w:rsid w:val="000853FD"/>
    <w:rsid w:val="00086A35"/>
    <w:rsid w:val="000A088D"/>
    <w:rsid w:val="000A43B7"/>
    <w:rsid w:val="000A7DC0"/>
    <w:rsid w:val="000B4FA8"/>
    <w:rsid w:val="000C158A"/>
    <w:rsid w:val="000C521E"/>
    <w:rsid w:val="000C59D0"/>
    <w:rsid w:val="000C5ACC"/>
    <w:rsid w:val="000D34F7"/>
    <w:rsid w:val="000D5BD2"/>
    <w:rsid w:val="000D7798"/>
    <w:rsid w:val="000E5AA6"/>
    <w:rsid w:val="000F72AE"/>
    <w:rsid w:val="001019E7"/>
    <w:rsid w:val="00101DB2"/>
    <w:rsid w:val="0010496B"/>
    <w:rsid w:val="00105D56"/>
    <w:rsid w:val="00107948"/>
    <w:rsid w:val="00111ABB"/>
    <w:rsid w:val="00115BD6"/>
    <w:rsid w:val="00115D54"/>
    <w:rsid w:val="00122109"/>
    <w:rsid w:val="00122CDF"/>
    <w:rsid w:val="001243B9"/>
    <w:rsid w:val="00126451"/>
    <w:rsid w:val="001305B9"/>
    <w:rsid w:val="001312A1"/>
    <w:rsid w:val="00131C33"/>
    <w:rsid w:val="001322EA"/>
    <w:rsid w:val="00140353"/>
    <w:rsid w:val="0014091D"/>
    <w:rsid w:val="00140EB5"/>
    <w:rsid w:val="00141533"/>
    <w:rsid w:val="00141615"/>
    <w:rsid w:val="001425B6"/>
    <w:rsid w:val="00142653"/>
    <w:rsid w:val="00144EA8"/>
    <w:rsid w:val="00151F8B"/>
    <w:rsid w:val="0015517D"/>
    <w:rsid w:val="00163106"/>
    <w:rsid w:val="00163EA5"/>
    <w:rsid w:val="00164527"/>
    <w:rsid w:val="00164E69"/>
    <w:rsid w:val="00180199"/>
    <w:rsid w:val="00184CA5"/>
    <w:rsid w:val="00193EA5"/>
    <w:rsid w:val="0019514D"/>
    <w:rsid w:val="00196785"/>
    <w:rsid w:val="001A4868"/>
    <w:rsid w:val="001A67CD"/>
    <w:rsid w:val="001A6DE0"/>
    <w:rsid w:val="001C0011"/>
    <w:rsid w:val="001C267B"/>
    <w:rsid w:val="001C2F57"/>
    <w:rsid w:val="001C4BBF"/>
    <w:rsid w:val="001C6364"/>
    <w:rsid w:val="001D209B"/>
    <w:rsid w:val="001D2690"/>
    <w:rsid w:val="001D43E8"/>
    <w:rsid w:val="001D7B32"/>
    <w:rsid w:val="001E0126"/>
    <w:rsid w:val="001E41B1"/>
    <w:rsid w:val="001E6B9F"/>
    <w:rsid w:val="001F1613"/>
    <w:rsid w:val="001F1B7D"/>
    <w:rsid w:val="001F2173"/>
    <w:rsid w:val="001F44B8"/>
    <w:rsid w:val="001F7F8F"/>
    <w:rsid w:val="00201B45"/>
    <w:rsid w:val="00206EAD"/>
    <w:rsid w:val="002119B7"/>
    <w:rsid w:val="002171C9"/>
    <w:rsid w:val="00230D7C"/>
    <w:rsid w:val="002319EF"/>
    <w:rsid w:val="002330E4"/>
    <w:rsid w:val="00233A56"/>
    <w:rsid w:val="00237940"/>
    <w:rsid w:val="002443BD"/>
    <w:rsid w:val="00244FFB"/>
    <w:rsid w:val="002612FA"/>
    <w:rsid w:val="002733DE"/>
    <w:rsid w:val="00276DA9"/>
    <w:rsid w:val="0028557B"/>
    <w:rsid w:val="00285FDB"/>
    <w:rsid w:val="0029705A"/>
    <w:rsid w:val="00297A70"/>
    <w:rsid w:val="002A1C23"/>
    <w:rsid w:val="002B07E8"/>
    <w:rsid w:val="002B28B8"/>
    <w:rsid w:val="002B2B48"/>
    <w:rsid w:val="002C310B"/>
    <w:rsid w:val="002C4F05"/>
    <w:rsid w:val="002C7342"/>
    <w:rsid w:val="002D2667"/>
    <w:rsid w:val="002D40A6"/>
    <w:rsid w:val="002E1C01"/>
    <w:rsid w:val="002E1F44"/>
    <w:rsid w:val="002E47A5"/>
    <w:rsid w:val="002E5DDE"/>
    <w:rsid w:val="002F0D29"/>
    <w:rsid w:val="002F10D3"/>
    <w:rsid w:val="002F4FE2"/>
    <w:rsid w:val="0030113F"/>
    <w:rsid w:val="0031019E"/>
    <w:rsid w:val="003123AC"/>
    <w:rsid w:val="0033012F"/>
    <w:rsid w:val="0033091B"/>
    <w:rsid w:val="00331E0B"/>
    <w:rsid w:val="00332581"/>
    <w:rsid w:val="003337DA"/>
    <w:rsid w:val="00335DAE"/>
    <w:rsid w:val="00336720"/>
    <w:rsid w:val="00336B4E"/>
    <w:rsid w:val="00343886"/>
    <w:rsid w:val="003463C4"/>
    <w:rsid w:val="00346A62"/>
    <w:rsid w:val="00351C4F"/>
    <w:rsid w:val="0036111C"/>
    <w:rsid w:val="0038201E"/>
    <w:rsid w:val="003904A1"/>
    <w:rsid w:val="00390E8D"/>
    <w:rsid w:val="003947E8"/>
    <w:rsid w:val="00397AC2"/>
    <w:rsid w:val="00397E12"/>
    <w:rsid w:val="003A0953"/>
    <w:rsid w:val="003A4D62"/>
    <w:rsid w:val="003B101B"/>
    <w:rsid w:val="003B7949"/>
    <w:rsid w:val="003C1C4E"/>
    <w:rsid w:val="003C40F8"/>
    <w:rsid w:val="003C6570"/>
    <w:rsid w:val="003C66F4"/>
    <w:rsid w:val="003D205C"/>
    <w:rsid w:val="003D3BB6"/>
    <w:rsid w:val="003D3BFC"/>
    <w:rsid w:val="003D48E4"/>
    <w:rsid w:val="003D6131"/>
    <w:rsid w:val="003D7F51"/>
    <w:rsid w:val="003E1F77"/>
    <w:rsid w:val="003E2FAB"/>
    <w:rsid w:val="004006FD"/>
    <w:rsid w:val="00405E29"/>
    <w:rsid w:val="0041103E"/>
    <w:rsid w:val="004127AE"/>
    <w:rsid w:val="00416E40"/>
    <w:rsid w:val="00423EDD"/>
    <w:rsid w:val="0042491D"/>
    <w:rsid w:val="00424A1E"/>
    <w:rsid w:val="00425F83"/>
    <w:rsid w:val="00434F5C"/>
    <w:rsid w:val="0043519D"/>
    <w:rsid w:val="00443CD3"/>
    <w:rsid w:val="00446AB0"/>
    <w:rsid w:val="004506E2"/>
    <w:rsid w:val="00454921"/>
    <w:rsid w:val="004560E9"/>
    <w:rsid w:val="00457D37"/>
    <w:rsid w:val="00460FE5"/>
    <w:rsid w:val="0046396C"/>
    <w:rsid w:val="00464264"/>
    <w:rsid w:val="00466D1F"/>
    <w:rsid w:val="004763A8"/>
    <w:rsid w:val="00483B03"/>
    <w:rsid w:val="0049163F"/>
    <w:rsid w:val="00493624"/>
    <w:rsid w:val="004975B7"/>
    <w:rsid w:val="004A0E29"/>
    <w:rsid w:val="004B11BD"/>
    <w:rsid w:val="004B320A"/>
    <w:rsid w:val="004C1198"/>
    <w:rsid w:val="004C44CD"/>
    <w:rsid w:val="004C6777"/>
    <w:rsid w:val="004D1255"/>
    <w:rsid w:val="004D3440"/>
    <w:rsid w:val="004D587A"/>
    <w:rsid w:val="004D72C4"/>
    <w:rsid w:val="004E0FE2"/>
    <w:rsid w:val="004F4E38"/>
    <w:rsid w:val="004F626B"/>
    <w:rsid w:val="00502CCD"/>
    <w:rsid w:val="0050427E"/>
    <w:rsid w:val="00510C6C"/>
    <w:rsid w:val="00511272"/>
    <w:rsid w:val="00511C14"/>
    <w:rsid w:val="00515977"/>
    <w:rsid w:val="00520759"/>
    <w:rsid w:val="005208FF"/>
    <w:rsid w:val="005261F4"/>
    <w:rsid w:val="005313D3"/>
    <w:rsid w:val="00535EF6"/>
    <w:rsid w:val="00536D5A"/>
    <w:rsid w:val="00537C69"/>
    <w:rsid w:val="00540C80"/>
    <w:rsid w:val="00541371"/>
    <w:rsid w:val="005439AB"/>
    <w:rsid w:val="005458B6"/>
    <w:rsid w:val="00551783"/>
    <w:rsid w:val="00554CA3"/>
    <w:rsid w:val="00555BDE"/>
    <w:rsid w:val="00560866"/>
    <w:rsid w:val="005630E5"/>
    <w:rsid w:val="00563992"/>
    <w:rsid w:val="0056492C"/>
    <w:rsid w:val="005658C5"/>
    <w:rsid w:val="005760E5"/>
    <w:rsid w:val="00581F27"/>
    <w:rsid w:val="00583744"/>
    <w:rsid w:val="00587678"/>
    <w:rsid w:val="0059104A"/>
    <w:rsid w:val="005A0A82"/>
    <w:rsid w:val="005A1673"/>
    <w:rsid w:val="005A457F"/>
    <w:rsid w:val="005A729F"/>
    <w:rsid w:val="005A7C71"/>
    <w:rsid w:val="005B02BB"/>
    <w:rsid w:val="005B573D"/>
    <w:rsid w:val="005B5BEB"/>
    <w:rsid w:val="005B67F4"/>
    <w:rsid w:val="005C1C05"/>
    <w:rsid w:val="005C4735"/>
    <w:rsid w:val="005D03AB"/>
    <w:rsid w:val="005D0C9D"/>
    <w:rsid w:val="005D67BB"/>
    <w:rsid w:val="005E1B08"/>
    <w:rsid w:val="005E272D"/>
    <w:rsid w:val="00601F28"/>
    <w:rsid w:val="00605F9E"/>
    <w:rsid w:val="00606264"/>
    <w:rsid w:val="00610BA8"/>
    <w:rsid w:val="00622213"/>
    <w:rsid w:val="0062491B"/>
    <w:rsid w:val="0062632F"/>
    <w:rsid w:val="00627107"/>
    <w:rsid w:val="006272F2"/>
    <w:rsid w:val="00636C56"/>
    <w:rsid w:val="0064241A"/>
    <w:rsid w:val="00643D07"/>
    <w:rsid w:val="006452B4"/>
    <w:rsid w:val="006460D7"/>
    <w:rsid w:val="00647573"/>
    <w:rsid w:val="00654221"/>
    <w:rsid w:val="00666251"/>
    <w:rsid w:val="00667785"/>
    <w:rsid w:val="006723B8"/>
    <w:rsid w:val="00676665"/>
    <w:rsid w:val="00676CC6"/>
    <w:rsid w:val="006810E0"/>
    <w:rsid w:val="0068468E"/>
    <w:rsid w:val="006876EB"/>
    <w:rsid w:val="00697E85"/>
    <w:rsid w:val="006A30B4"/>
    <w:rsid w:val="006B3E89"/>
    <w:rsid w:val="006D3730"/>
    <w:rsid w:val="006D55AB"/>
    <w:rsid w:val="006D5A09"/>
    <w:rsid w:val="006D5F4A"/>
    <w:rsid w:val="006D7ED9"/>
    <w:rsid w:val="006E1CC9"/>
    <w:rsid w:val="006E441A"/>
    <w:rsid w:val="0070163B"/>
    <w:rsid w:val="007046B0"/>
    <w:rsid w:val="007106C6"/>
    <w:rsid w:val="00714698"/>
    <w:rsid w:val="0072447D"/>
    <w:rsid w:val="00724959"/>
    <w:rsid w:val="00731083"/>
    <w:rsid w:val="00734577"/>
    <w:rsid w:val="00735F4E"/>
    <w:rsid w:val="00736B0F"/>
    <w:rsid w:val="0074295E"/>
    <w:rsid w:val="00742C05"/>
    <w:rsid w:val="007448C4"/>
    <w:rsid w:val="00744E9C"/>
    <w:rsid w:val="00745E27"/>
    <w:rsid w:val="00757718"/>
    <w:rsid w:val="00757A83"/>
    <w:rsid w:val="00760352"/>
    <w:rsid w:val="00763090"/>
    <w:rsid w:val="00771FE3"/>
    <w:rsid w:val="0077382C"/>
    <w:rsid w:val="007741A5"/>
    <w:rsid w:val="00774772"/>
    <w:rsid w:val="00777603"/>
    <w:rsid w:val="007A108E"/>
    <w:rsid w:val="007B3495"/>
    <w:rsid w:val="007B4272"/>
    <w:rsid w:val="007B576C"/>
    <w:rsid w:val="007B5A4B"/>
    <w:rsid w:val="007C3465"/>
    <w:rsid w:val="007C6AF6"/>
    <w:rsid w:val="007D7954"/>
    <w:rsid w:val="007E400F"/>
    <w:rsid w:val="007E4D02"/>
    <w:rsid w:val="007E7545"/>
    <w:rsid w:val="007E7BF0"/>
    <w:rsid w:val="007F1B3B"/>
    <w:rsid w:val="007F2113"/>
    <w:rsid w:val="00800451"/>
    <w:rsid w:val="0080306D"/>
    <w:rsid w:val="00807582"/>
    <w:rsid w:val="00816FF0"/>
    <w:rsid w:val="00817E08"/>
    <w:rsid w:val="0083064E"/>
    <w:rsid w:val="00830EA0"/>
    <w:rsid w:val="00837E18"/>
    <w:rsid w:val="00841264"/>
    <w:rsid w:val="00844A2C"/>
    <w:rsid w:val="00850193"/>
    <w:rsid w:val="00861701"/>
    <w:rsid w:val="00862855"/>
    <w:rsid w:val="00863703"/>
    <w:rsid w:val="00866204"/>
    <w:rsid w:val="008734A0"/>
    <w:rsid w:val="00875120"/>
    <w:rsid w:val="00876442"/>
    <w:rsid w:val="00876556"/>
    <w:rsid w:val="00882FF5"/>
    <w:rsid w:val="00887336"/>
    <w:rsid w:val="008910D8"/>
    <w:rsid w:val="00896D8F"/>
    <w:rsid w:val="008A60DE"/>
    <w:rsid w:val="008B23A8"/>
    <w:rsid w:val="008B5ED6"/>
    <w:rsid w:val="008C4C6D"/>
    <w:rsid w:val="008C63F6"/>
    <w:rsid w:val="008D2D7A"/>
    <w:rsid w:val="008D50F8"/>
    <w:rsid w:val="008E0D93"/>
    <w:rsid w:val="008E2658"/>
    <w:rsid w:val="008E2908"/>
    <w:rsid w:val="008F1587"/>
    <w:rsid w:val="008F257A"/>
    <w:rsid w:val="008F4556"/>
    <w:rsid w:val="008F69BB"/>
    <w:rsid w:val="008F7393"/>
    <w:rsid w:val="00900322"/>
    <w:rsid w:val="0090361D"/>
    <w:rsid w:val="00904C5C"/>
    <w:rsid w:val="00905C46"/>
    <w:rsid w:val="00915626"/>
    <w:rsid w:val="00915852"/>
    <w:rsid w:val="009160BD"/>
    <w:rsid w:val="00916646"/>
    <w:rsid w:val="009219D6"/>
    <w:rsid w:val="009229BF"/>
    <w:rsid w:val="009244F6"/>
    <w:rsid w:val="00924920"/>
    <w:rsid w:val="00927E8B"/>
    <w:rsid w:val="00932B86"/>
    <w:rsid w:val="0093331A"/>
    <w:rsid w:val="009351A7"/>
    <w:rsid w:val="0093538D"/>
    <w:rsid w:val="00936A14"/>
    <w:rsid w:val="009423B4"/>
    <w:rsid w:val="009440D7"/>
    <w:rsid w:val="00953059"/>
    <w:rsid w:val="00956ABE"/>
    <w:rsid w:val="00966B6C"/>
    <w:rsid w:val="00977F6C"/>
    <w:rsid w:val="0098221F"/>
    <w:rsid w:val="00997E2A"/>
    <w:rsid w:val="009A312E"/>
    <w:rsid w:val="009A6740"/>
    <w:rsid w:val="009A74A1"/>
    <w:rsid w:val="009A7D44"/>
    <w:rsid w:val="009B37EC"/>
    <w:rsid w:val="009B68F6"/>
    <w:rsid w:val="009C25F4"/>
    <w:rsid w:val="009F13DA"/>
    <w:rsid w:val="009F3C03"/>
    <w:rsid w:val="009F5B84"/>
    <w:rsid w:val="00A01391"/>
    <w:rsid w:val="00A0351B"/>
    <w:rsid w:val="00A0576B"/>
    <w:rsid w:val="00A133DF"/>
    <w:rsid w:val="00A1429A"/>
    <w:rsid w:val="00A16A76"/>
    <w:rsid w:val="00A2056B"/>
    <w:rsid w:val="00A215D8"/>
    <w:rsid w:val="00A2193A"/>
    <w:rsid w:val="00A21DE2"/>
    <w:rsid w:val="00A2526D"/>
    <w:rsid w:val="00A35D4B"/>
    <w:rsid w:val="00A40B3F"/>
    <w:rsid w:val="00A40FDB"/>
    <w:rsid w:val="00A41C52"/>
    <w:rsid w:val="00A44DBD"/>
    <w:rsid w:val="00A46F09"/>
    <w:rsid w:val="00A476A2"/>
    <w:rsid w:val="00A6259F"/>
    <w:rsid w:val="00A67EE3"/>
    <w:rsid w:val="00A714CF"/>
    <w:rsid w:val="00A727E1"/>
    <w:rsid w:val="00A8267E"/>
    <w:rsid w:val="00A97D01"/>
    <w:rsid w:val="00AA235F"/>
    <w:rsid w:val="00AA7956"/>
    <w:rsid w:val="00AB0B37"/>
    <w:rsid w:val="00AB2C1B"/>
    <w:rsid w:val="00AB40C4"/>
    <w:rsid w:val="00AC0014"/>
    <w:rsid w:val="00AC0047"/>
    <w:rsid w:val="00AC2698"/>
    <w:rsid w:val="00AC3BF5"/>
    <w:rsid w:val="00AC4233"/>
    <w:rsid w:val="00AD0CA3"/>
    <w:rsid w:val="00AD1367"/>
    <w:rsid w:val="00AD2A50"/>
    <w:rsid w:val="00AD47E8"/>
    <w:rsid w:val="00AD47F8"/>
    <w:rsid w:val="00AD61EA"/>
    <w:rsid w:val="00AD7635"/>
    <w:rsid w:val="00AE10A7"/>
    <w:rsid w:val="00AE43E0"/>
    <w:rsid w:val="00AE75A0"/>
    <w:rsid w:val="00AF17F0"/>
    <w:rsid w:val="00AF34C1"/>
    <w:rsid w:val="00AF59F0"/>
    <w:rsid w:val="00AF7A46"/>
    <w:rsid w:val="00B0201C"/>
    <w:rsid w:val="00B04DF4"/>
    <w:rsid w:val="00B07BB3"/>
    <w:rsid w:val="00B14547"/>
    <w:rsid w:val="00B1637E"/>
    <w:rsid w:val="00B2343F"/>
    <w:rsid w:val="00B23B15"/>
    <w:rsid w:val="00B26BAE"/>
    <w:rsid w:val="00B27579"/>
    <w:rsid w:val="00B32CA1"/>
    <w:rsid w:val="00B33F0A"/>
    <w:rsid w:val="00B34BC4"/>
    <w:rsid w:val="00B4109B"/>
    <w:rsid w:val="00B4168C"/>
    <w:rsid w:val="00B43025"/>
    <w:rsid w:val="00B431F1"/>
    <w:rsid w:val="00B43FE4"/>
    <w:rsid w:val="00B57DDB"/>
    <w:rsid w:val="00B7178A"/>
    <w:rsid w:val="00B742CC"/>
    <w:rsid w:val="00B74363"/>
    <w:rsid w:val="00B749C9"/>
    <w:rsid w:val="00B75111"/>
    <w:rsid w:val="00B7752B"/>
    <w:rsid w:val="00B8037C"/>
    <w:rsid w:val="00B81DA5"/>
    <w:rsid w:val="00B8208A"/>
    <w:rsid w:val="00B83A43"/>
    <w:rsid w:val="00B85C61"/>
    <w:rsid w:val="00B85D0F"/>
    <w:rsid w:val="00B94698"/>
    <w:rsid w:val="00BA075C"/>
    <w:rsid w:val="00BB3056"/>
    <w:rsid w:val="00BC1915"/>
    <w:rsid w:val="00BC6E70"/>
    <w:rsid w:val="00BC7EE5"/>
    <w:rsid w:val="00BD0514"/>
    <w:rsid w:val="00BE4388"/>
    <w:rsid w:val="00BF05C6"/>
    <w:rsid w:val="00BF0D13"/>
    <w:rsid w:val="00BF12F0"/>
    <w:rsid w:val="00BF332A"/>
    <w:rsid w:val="00BF6F5B"/>
    <w:rsid w:val="00C0061D"/>
    <w:rsid w:val="00C0237E"/>
    <w:rsid w:val="00C02F71"/>
    <w:rsid w:val="00C03A89"/>
    <w:rsid w:val="00C074FB"/>
    <w:rsid w:val="00C1009E"/>
    <w:rsid w:val="00C113C2"/>
    <w:rsid w:val="00C235B4"/>
    <w:rsid w:val="00C239D4"/>
    <w:rsid w:val="00C250E3"/>
    <w:rsid w:val="00C36DF5"/>
    <w:rsid w:val="00C37984"/>
    <w:rsid w:val="00C41782"/>
    <w:rsid w:val="00C430D3"/>
    <w:rsid w:val="00C4560B"/>
    <w:rsid w:val="00C46A7D"/>
    <w:rsid w:val="00C507C8"/>
    <w:rsid w:val="00C54C20"/>
    <w:rsid w:val="00C578DA"/>
    <w:rsid w:val="00C6181C"/>
    <w:rsid w:val="00C63B0C"/>
    <w:rsid w:val="00C63B15"/>
    <w:rsid w:val="00C67E4B"/>
    <w:rsid w:val="00C8375A"/>
    <w:rsid w:val="00C845D1"/>
    <w:rsid w:val="00C9264F"/>
    <w:rsid w:val="00C95AD4"/>
    <w:rsid w:val="00C96EA1"/>
    <w:rsid w:val="00CA115C"/>
    <w:rsid w:val="00CA6220"/>
    <w:rsid w:val="00CA7A80"/>
    <w:rsid w:val="00CB166C"/>
    <w:rsid w:val="00CB255C"/>
    <w:rsid w:val="00CB2925"/>
    <w:rsid w:val="00CC1287"/>
    <w:rsid w:val="00CC2F2E"/>
    <w:rsid w:val="00CC5B50"/>
    <w:rsid w:val="00CC6E1B"/>
    <w:rsid w:val="00CD02CB"/>
    <w:rsid w:val="00CD1B89"/>
    <w:rsid w:val="00CD317D"/>
    <w:rsid w:val="00CD38CB"/>
    <w:rsid w:val="00CD5602"/>
    <w:rsid w:val="00CD79A3"/>
    <w:rsid w:val="00CE1E1D"/>
    <w:rsid w:val="00CE388A"/>
    <w:rsid w:val="00CE3D70"/>
    <w:rsid w:val="00CE6183"/>
    <w:rsid w:val="00CF2486"/>
    <w:rsid w:val="00CF2903"/>
    <w:rsid w:val="00D16ABD"/>
    <w:rsid w:val="00D347D6"/>
    <w:rsid w:val="00D37B14"/>
    <w:rsid w:val="00D37D96"/>
    <w:rsid w:val="00D41E23"/>
    <w:rsid w:val="00D42FFD"/>
    <w:rsid w:val="00D47ABF"/>
    <w:rsid w:val="00D50785"/>
    <w:rsid w:val="00D517FA"/>
    <w:rsid w:val="00D55598"/>
    <w:rsid w:val="00D57652"/>
    <w:rsid w:val="00D600DA"/>
    <w:rsid w:val="00D61012"/>
    <w:rsid w:val="00D644C0"/>
    <w:rsid w:val="00D67976"/>
    <w:rsid w:val="00D72013"/>
    <w:rsid w:val="00D747D8"/>
    <w:rsid w:val="00D80282"/>
    <w:rsid w:val="00D849B2"/>
    <w:rsid w:val="00D85DEC"/>
    <w:rsid w:val="00D868C2"/>
    <w:rsid w:val="00D91F58"/>
    <w:rsid w:val="00D92F62"/>
    <w:rsid w:val="00D93934"/>
    <w:rsid w:val="00DA0001"/>
    <w:rsid w:val="00DA0543"/>
    <w:rsid w:val="00DA2994"/>
    <w:rsid w:val="00DB7916"/>
    <w:rsid w:val="00DC337D"/>
    <w:rsid w:val="00DC7C4C"/>
    <w:rsid w:val="00DD11B5"/>
    <w:rsid w:val="00DD2519"/>
    <w:rsid w:val="00DD365A"/>
    <w:rsid w:val="00DD7C9C"/>
    <w:rsid w:val="00DE1584"/>
    <w:rsid w:val="00DE6A5D"/>
    <w:rsid w:val="00DF1FB1"/>
    <w:rsid w:val="00DF62F1"/>
    <w:rsid w:val="00DF6922"/>
    <w:rsid w:val="00DF6A16"/>
    <w:rsid w:val="00E04395"/>
    <w:rsid w:val="00E05676"/>
    <w:rsid w:val="00E11998"/>
    <w:rsid w:val="00E24EBD"/>
    <w:rsid w:val="00E3578E"/>
    <w:rsid w:val="00E40809"/>
    <w:rsid w:val="00E4106B"/>
    <w:rsid w:val="00E42C2F"/>
    <w:rsid w:val="00E44060"/>
    <w:rsid w:val="00E4408F"/>
    <w:rsid w:val="00E46954"/>
    <w:rsid w:val="00E4756D"/>
    <w:rsid w:val="00E562CC"/>
    <w:rsid w:val="00E624D4"/>
    <w:rsid w:val="00E66395"/>
    <w:rsid w:val="00E6704D"/>
    <w:rsid w:val="00E6769A"/>
    <w:rsid w:val="00E71FDE"/>
    <w:rsid w:val="00E75668"/>
    <w:rsid w:val="00E8334F"/>
    <w:rsid w:val="00E86AA4"/>
    <w:rsid w:val="00E8770C"/>
    <w:rsid w:val="00E87950"/>
    <w:rsid w:val="00E92DCA"/>
    <w:rsid w:val="00EA10BA"/>
    <w:rsid w:val="00EA4E0F"/>
    <w:rsid w:val="00EA732E"/>
    <w:rsid w:val="00EB0365"/>
    <w:rsid w:val="00EB67CA"/>
    <w:rsid w:val="00EB7215"/>
    <w:rsid w:val="00EC170E"/>
    <w:rsid w:val="00ED198F"/>
    <w:rsid w:val="00EE7C8B"/>
    <w:rsid w:val="00EF2A81"/>
    <w:rsid w:val="00EF7E86"/>
    <w:rsid w:val="00F0668F"/>
    <w:rsid w:val="00F11E6B"/>
    <w:rsid w:val="00F15E45"/>
    <w:rsid w:val="00F17C1B"/>
    <w:rsid w:val="00F20FF3"/>
    <w:rsid w:val="00F214BB"/>
    <w:rsid w:val="00F21A78"/>
    <w:rsid w:val="00F21F88"/>
    <w:rsid w:val="00F22F4E"/>
    <w:rsid w:val="00F23795"/>
    <w:rsid w:val="00F26676"/>
    <w:rsid w:val="00F3309E"/>
    <w:rsid w:val="00F34043"/>
    <w:rsid w:val="00F40204"/>
    <w:rsid w:val="00F409D8"/>
    <w:rsid w:val="00F44D9B"/>
    <w:rsid w:val="00F478CE"/>
    <w:rsid w:val="00F47948"/>
    <w:rsid w:val="00F528C9"/>
    <w:rsid w:val="00F54548"/>
    <w:rsid w:val="00F55331"/>
    <w:rsid w:val="00F562E7"/>
    <w:rsid w:val="00F628CC"/>
    <w:rsid w:val="00F62D5E"/>
    <w:rsid w:val="00F644F3"/>
    <w:rsid w:val="00F648C4"/>
    <w:rsid w:val="00F70D28"/>
    <w:rsid w:val="00F722AC"/>
    <w:rsid w:val="00F74192"/>
    <w:rsid w:val="00F75CEA"/>
    <w:rsid w:val="00F76002"/>
    <w:rsid w:val="00F76BE0"/>
    <w:rsid w:val="00F81884"/>
    <w:rsid w:val="00F838D5"/>
    <w:rsid w:val="00F845E2"/>
    <w:rsid w:val="00F91319"/>
    <w:rsid w:val="00F95DE1"/>
    <w:rsid w:val="00FA0D2D"/>
    <w:rsid w:val="00FA3208"/>
    <w:rsid w:val="00FA328A"/>
    <w:rsid w:val="00FA4B15"/>
    <w:rsid w:val="00FB267A"/>
    <w:rsid w:val="00FB5540"/>
    <w:rsid w:val="00FB6F01"/>
    <w:rsid w:val="00FB786F"/>
    <w:rsid w:val="00FC2795"/>
    <w:rsid w:val="00FC2CF1"/>
    <w:rsid w:val="00FC4CA8"/>
    <w:rsid w:val="00FC61E2"/>
    <w:rsid w:val="00FC7E42"/>
    <w:rsid w:val="00FD68CD"/>
    <w:rsid w:val="00FE0684"/>
    <w:rsid w:val="00FE1378"/>
    <w:rsid w:val="00FE5887"/>
    <w:rsid w:val="00FF3601"/>
    <w:rsid w:val="00FF3CD7"/>
    <w:rsid w:val="00FF41CC"/>
    <w:rsid w:val="00FF7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styleId="UnresolvedMention">
    <w:name w:val="Unresolved Mention"/>
    <w:basedOn w:val="DefaultParagraphFont"/>
    <w:uiPriority w:val="99"/>
    <w:semiHidden/>
    <w:unhideWhenUsed/>
    <w:rsid w:val="004C1198"/>
    <w:rPr>
      <w:color w:val="605E5C"/>
      <w:shd w:val="clear" w:color="auto" w:fill="E1DFDD"/>
    </w:rPr>
  </w:style>
  <w:style w:type="character" w:customStyle="1" w:styleId="ListParagraphChar">
    <w:name w:val="List Paragraph Char"/>
    <w:aliases w:val="2 Char,Strip Char,H&amp;P List Paragraph Char,List Paragraph1 Char"/>
    <w:link w:val="ListParagraph"/>
    <w:uiPriority w:val="34"/>
    <w:rsid w:val="00D72013"/>
    <w:rPr>
      <w:rFonts w:ascii="Calibri" w:eastAsia="Calibri" w:hAnsi="Calibri" w:cs="Times New Roman"/>
    </w:rPr>
  </w:style>
  <w:style w:type="table" w:styleId="TableGrid">
    <w:name w:val="Table Grid"/>
    <w:basedOn w:val="TableNormal"/>
    <w:uiPriority w:val="39"/>
    <w:rsid w:val="00B85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0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64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3064E"/>
    <w:rPr>
      <w:vertAlign w:val="superscript"/>
    </w:rPr>
  </w:style>
  <w:style w:type="paragraph" w:customStyle="1" w:styleId="naisc">
    <w:name w:val="naisc"/>
    <w:basedOn w:val="Normal"/>
    <w:rsid w:val="0083064E"/>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006010">
      <w:bodyDiv w:val="1"/>
      <w:marLeft w:val="0"/>
      <w:marRight w:val="0"/>
      <w:marTop w:val="0"/>
      <w:marBottom w:val="0"/>
      <w:divBdr>
        <w:top w:val="none" w:sz="0" w:space="0" w:color="auto"/>
        <w:left w:val="none" w:sz="0" w:space="0" w:color="auto"/>
        <w:bottom w:val="none" w:sz="0" w:space="0" w:color="auto"/>
        <w:right w:val="none" w:sz="0" w:space="0" w:color="auto"/>
      </w:divBdr>
    </w:div>
    <w:div w:id="16838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s_fondi/normativo_aktu_projekti/energetika_un_energoefektivit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CB15-967E-44C5-8BD0-B1DD3984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12224</Words>
  <Characters>6969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2018. gada 4. janvāra noteikumos Nr. 13 "Darbības programmas "Izaugsme un nodarbinātība" 4.2.1. specifiskā atbalsta mērķa "Veicināt energoefektivitātes paaugstināšanu valsts un dzīvojamās ē</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sākotnējās ietekmes novērtējuma ziņojums (anotācija)</dc:title>
  <dc:subject>MK noteikumu projekta anotācija</dc:subject>
  <dc:creator>Vita Soļonova</dc:creator>
  <cp:keywords>Anotācija</cp:keywords>
  <dc:description>67013171, Vita.Solonova@em.gov.lv</dc:description>
  <cp:lastModifiedBy>Evita Valgača</cp:lastModifiedBy>
  <cp:revision>14</cp:revision>
  <cp:lastPrinted>2019-10-23T10:14:00Z</cp:lastPrinted>
  <dcterms:created xsi:type="dcterms:W3CDTF">2020-03-23T08:26:00Z</dcterms:created>
  <dcterms:modified xsi:type="dcterms:W3CDTF">2020-07-15T14:38:00Z</dcterms:modified>
</cp:coreProperties>
</file>