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BB033" w14:textId="77777777" w:rsidR="00022A62" w:rsidRPr="00BE4A9B" w:rsidRDefault="00022A62" w:rsidP="00D97BD6">
      <w:pPr>
        <w:pStyle w:val="NoSpacing"/>
        <w:jc w:val="center"/>
        <w:rPr>
          <w:rFonts w:ascii="Times New Roman" w:hAnsi="Times New Roman" w:cs="Times New Roman"/>
          <w:lang w:eastAsia="lv-LV"/>
        </w:rPr>
      </w:pPr>
      <w:bookmarkStart w:id="0" w:name="OLE_LINK2"/>
      <w:bookmarkStart w:id="1" w:name="OLE_LINK1"/>
      <w:bookmarkStart w:id="2" w:name="OLE_LINK12"/>
      <w:bookmarkStart w:id="3" w:name="OLE_LINK8"/>
      <w:bookmarkStart w:id="4" w:name="OLE_LINK7"/>
      <w:bookmarkStart w:id="5" w:name="OLE_LINK10"/>
      <w:bookmarkStart w:id="6" w:name="OLE_LINK9"/>
      <w:r w:rsidRPr="00BE4A9B">
        <w:rPr>
          <w:rFonts w:ascii="Times New Roman" w:hAnsi="Times New Roman" w:cs="Times New Roman"/>
          <w:lang w:eastAsia="lv-LV"/>
        </w:rPr>
        <w:t>Izziņa par atzinumos sniegtajiem iebildumiem</w:t>
      </w:r>
      <w:bookmarkEnd w:id="0"/>
      <w:bookmarkEnd w:id="1"/>
    </w:p>
    <w:tbl>
      <w:tblPr>
        <w:tblW w:w="0" w:type="auto"/>
        <w:jc w:val="center"/>
        <w:tblLook w:val="00A0" w:firstRow="1" w:lastRow="0" w:firstColumn="1" w:lastColumn="0" w:noHBand="0" w:noVBand="0"/>
      </w:tblPr>
      <w:tblGrid>
        <w:gridCol w:w="13817"/>
      </w:tblGrid>
      <w:tr w:rsidR="00022A62" w:rsidRPr="00245FF2" w14:paraId="6A7A9848" w14:textId="77777777" w:rsidTr="002E4A7A">
        <w:trPr>
          <w:trHeight w:val="502"/>
          <w:jc w:val="center"/>
        </w:trPr>
        <w:tc>
          <w:tcPr>
            <w:tcW w:w="13817" w:type="dxa"/>
            <w:tcBorders>
              <w:top w:val="nil"/>
              <w:left w:val="nil"/>
              <w:bottom w:val="single" w:sz="6" w:space="0" w:color="000000"/>
              <w:right w:val="nil"/>
            </w:tcBorders>
            <w:hideMark/>
          </w:tcPr>
          <w:bookmarkEnd w:id="2"/>
          <w:bookmarkEnd w:id="3"/>
          <w:bookmarkEnd w:id="4"/>
          <w:p w14:paraId="3A2CF9DE" w14:textId="13F3A1A6" w:rsidR="00022A62" w:rsidRPr="003D3DBB" w:rsidRDefault="00B91414" w:rsidP="00BD7C5A">
            <w:pPr>
              <w:spacing w:after="0" w:line="240" w:lineRule="auto"/>
              <w:jc w:val="center"/>
              <w:rPr>
                <w:rFonts w:ascii="Times New Roman" w:eastAsia="Times New Roman" w:hAnsi="Times New Roman" w:cs="Times New Roman"/>
                <w:lang w:eastAsia="lv-LV"/>
              </w:rPr>
            </w:pPr>
            <w:r w:rsidRPr="003D3DBB">
              <w:rPr>
                <w:rFonts w:ascii="Times New Roman" w:eastAsia="Times New Roman" w:hAnsi="Times New Roman" w:cs="Times New Roman"/>
                <w:lang w:eastAsia="lv-LV"/>
              </w:rPr>
              <w:t>Ministru kabineta noteikumu projekts “</w:t>
            </w:r>
            <w:r w:rsidR="002E4A7A" w:rsidRPr="003D3DBB">
              <w:rPr>
                <w:rFonts w:ascii="Times New Roman" w:eastAsia="Times New Roman" w:hAnsi="Times New Roman" w:cs="Times New Roman"/>
                <w:lang w:eastAsia="lv-LV"/>
              </w:rPr>
              <w:t>A</w:t>
            </w:r>
            <w:r w:rsidRPr="003D3DBB">
              <w:rPr>
                <w:rFonts w:ascii="Times New Roman" w:eastAsia="Times New Roman" w:hAnsi="Times New Roman" w:cs="Times New Roman"/>
                <w:lang w:eastAsia="lv-LV"/>
              </w:rPr>
              <w:t>tbalsta programma dzīvojamo ēku energoefektivitātes paaugstināšanai</w:t>
            </w:r>
            <w:r w:rsidR="002E4A7A" w:rsidRPr="003D3DBB">
              <w:rPr>
                <w:rFonts w:ascii="Times New Roman" w:eastAsia="Times New Roman" w:hAnsi="Times New Roman" w:cs="Times New Roman"/>
                <w:lang w:eastAsia="lv-LV"/>
              </w:rPr>
              <w:t xml:space="preserve"> īstenošanas kārtība</w:t>
            </w:r>
            <w:r w:rsidRPr="003D3DBB">
              <w:rPr>
                <w:rFonts w:ascii="Times New Roman" w:eastAsia="Times New Roman" w:hAnsi="Times New Roman" w:cs="Times New Roman"/>
                <w:lang w:eastAsia="lv-LV"/>
              </w:rPr>
              <w:t>” (turpmāk – noteikumu projekts)</w:t>
            </w:r>
          </w:p>
        </w:tc>
      </w:tr>
    </w:tbl>
    <w:bookmarkEnd w:id="5"/>
    <w:bookmarkEnd w:id="6"/>
    <w:p w14:paraId="7C30EBCD" w14:textId="77777777" w:rsidR="00022A62" w:rsidRPr="003D3DBB" w:rsidRDefault="00022A62" w:rsidP="00BD7C5A">
      <w:pPr>
        <w:spacing w:after="0" w:line="240" w:lineRule="auto"/>
        <w:ind w:firstLine="1080"/>
        <w:jc w:val="center"/>
        <w:rPr>
          <w:rFonts w:ascii="Times New Roman" w:eastAsia="Times New Roman" w:hAnsi="Times New Roman" w:cs="Times New Roman"/>
          <w:lang w:eastAsia="lv-LV"/>
        </w:rPr>
      </w:pPr>
      <w:r w:rsidRPr="003D3DBB">
        <w:rPr>
          <w:rFonts w:ascii="Times New Roman" w:eastAsia="Times New Roman" w:hAnsi="Times New Roman" w:cs="Times New Roman"/>
          <w:lang w:eastAsia="lv-LV"/>
        </w:rPr>
        <w:t>(dokumenta veids un nosaukums)</w:t>
      </w:r>
    </w:p>
    <w:p w14:paraId="7BD31C04" w14:textId="77777777" w:rsidR="00022A62" w:rsidRPr="003D3DBB" w:rsidRDefault="00022A62" w:rsidP="00BD7C5A">
      <w:pPr>
        <w:spacing w:after="0" w:line="240" w:lineRule="auto"/>
        <w:jc w:val="both"/>
        <w:rPr>
          <w:rFonts w:ascii="Times New Roman" w:eastAsia="Times New Roman" w:hAnsi="Times New Roman" w:cs="Times New Roman"/>
          <w:b/>
          <w:lang w:eastAsia="lv-LV"/>
        </w:rPr>
      </w:pPr>
    </w:p>
    <w:p w14:paraId="3CB6EFFB" w14:textId="77777777" w:rsidR="00022A62" w:rsidRPr="003D3DBB" w:rsidRDefault="00022A62" w:rsidP="00BD7C5A">
      <w:pPr>
        <w:spacing w:after="0" w:line="240" w:lineRule="auto"/>
        <w:jc w:val="both"/>
        <w:rPr>
          <w:rFonts w:ascii="Times New Roman" w:eastAsia="Times New Roman" w:hAnsi="Times New Roman" w:cs="Times New Roman"/>
          <w:b/>
          <w:lang w:eastAsia="lv-LV"/>
        </w:rPr>
      </w:pPr>
      <w:r w:rsidRPr="003D3DBB">
        <w:rPr>
          <w:rFonts w:ascii="Times New Roman" w:eastAsia="Times New Roman" w:hAnsi="Times New Roman" w:cs="Times New Roman"/>
          <w:b/>
          <w:lang w:eastAsia="lv-LV"/>
        </w:rPr>
        <w:t xml:space="preserve">Informācija par </w:t>
      </w:r>
      <w:proofErr w:type="spellStart"/>
      <w:r w:rsidRPr="003D3DBB">
        <w:rPr>
          <w:rFonts w:ascii="Times New Roman" w:eastAsia="Times New Roman" w:hAnsi="Times New Roman" w:cs="Times New Roman"/>
          <w:b/>
          <w:lang w:eastAsia="lv-LV"/>
        </w:rPr>
        <w:t>starpministriju</w:t>
      </w:r>
      <w:proofErr w:type="spellEnd"/>
      <w:r w:rsidRPr="003D3DBB">
        <w:rPr>
          <w:rFonts w:ascii="Times New Roman" w:eastAsia="Times New Roman" w:hAnsi="Times New Roman" w:cs="Times New Roman"/>
          <w:b/>
          <w:lang w:eastAsia="lv-LV"/>
        </w:rPr>
        <w:t xml:space="preserve"> (starpinstitūciju) sanāksmi vai elektronisko saskaņošanu</w:t>
      </w:r>
    </w:p>
    <w:p w14:paraId="51215363" w14:textId="77777777" w:rsidR="00022A62" w:rsidRPr="003D3DBB" w:rsidRDefault="00022A62" w:rsidP="00BD7C5A">
      <w:pPr>
        <w:spacing w:after="0" w:line="240" w:lineRule="auto"/>
        <w:jc w:val="both"/>
        <w:rPr>
          <w:rFonts w:ascii="Times New Roman" w:eastAsia="Times New Roman" w:hAnsi="Times New Roman" w:cs="Times New Roman"/>
          <w:b/>
          <w:lang w:eastAsia="lv-LV"/>
        </w:rPr>
      </w:pPr>
    </w:p>
    <w:tbl>
      <w:tblPr>
        <w:tblW w:w="15331" w:type="dxa"/>
        <w:tblLook w:val="00A0" w:firstRow="1" w:lastRow="0" w:firstColumn="1" w:lastColumn="0" w:noHBand="0" w:noVBand="0"/>
      </w:tblPr>
      <w:tblGrid>
        <w:gridCol w:w="8505"/>
        <w:gridCol w:w="1087"/>
        <w:gridCol w:w="4314"/>
        <w:gridCol w:w="1425"/>
      </w:tblGrid>
      <w:tr w:rsidR="00022A62" w:rsidRPr="00245FF2" w14:paraId="54DD8710" w14:textId="77777777" w:rsidTr="0001655E">
        <w:trPr>
          <w:gridAfter w:val="1"/>
          <w:wAfter w:w="1425" w:type="dxa"/>
        </w:trPr>
        <w:tc>
          <w:tcPr>
            <w:tcW w:w="8505" w:type="dxa"/>
            <w:hideMark/>
          </w:tcPr>
          <w:p w14:paraId="0688E9B1" w14:textId="77777777" w:rsidR="00022A62" w:rsidRPr="003D3DBB" w:rsidRDefault="00022A62" w:rsidP="00BD7C5A">
            <w:pPr>
              <w:spacing w:after="0" w:line="240" w:lineRule="auto"/>
              <w:jc w:val="both"/>
              <w:rPr>
                <w:rFonts w:ascii="Times New Roman" w:eastAsia="Times New Roman" w:hAnsi="Times New Roman" w:cs="Times New Roman"/>
                <w:lang w:eastAsia="lv-LV"/>
              </w:rPr>
            </w:pPr>
            <w:r w:rsidRPr="003D3DBB">
              <w:rPr>
                <w:rFonts w:ascii="Times New Roman" w:eastAsia="Times New Roman" w:hAnsi="Times New Roman" w:cs="Times New Roman"/>
                <w:lang w:eastAsia="lv-LV"/>
              </w:rPr>
              <w:t>Datums</w:t>
            </w:r>
          </w:p>
        </w:tc>
        <w:tc>
          <w:tcPr>
            <w:tcW w:w="5401" w:type="dxa"/>
            <w:gridSpan w:val="2"/>
            <w:tcBorders>
              <w:top w:val="nil"/>
              <w:left w:val="nil"/>
              <w:bottom w:val="single" w:sz="4" w:space="0" w:color="auto"/>
              <w:right w:val="nil"/>
            </w:tcBorders>
            <w:hideMark/>
          </w:tcPr>
          <w:p w14:paraId="4D79CDEB" w14:textId="250DA269" w:rsidR="00022A62" w:rsidRPr="003D3DBB" w:rsidRDefault="00022A62" w:rsidP="005D05D7">
            <w:pPr>
              <w:spacing w:after="0" w:line="240" w:lineRule="auto"/>
              <w:ind w:firstLine="720"/>
              <w:rPr>
                <w:rFonts w:ascii="Times New Roman" w:eastAsia="Times New Roman" w:hAnsi="Times New Roman" w:cs="Times New Roman"/>
                <w:lang w:eastAsia="lv-LV"/>
              </w:rPr>
            </w:pPr>
          </w:p>
        </w:tc>
      </w:tr>
      <w:tr w:rsidR="00022A62" w:rsidRPr="00245FF2" w14:paraId="7A77F623" w14:textId="77777777" w:rsidTr="0001655E">
        <w:trPr>
          <w:gridAfter w:val="1"/>
          <w:wAfter w:w="1425" w:type="dxa"/>
        </w:trPr>
        <w:tc>
          <w:tcPr>
            <w:tcW w:w="8505" w:type="dxa"/>
          </w:tcPr>
          <w:p w14:paraId="519350B8" w14:textId="77777777" w:rsidR="00022A62" w:rsidRPr="003D3DBB" w:rsidRDefault="00022A62" w:rsidP="00BD7C5A">
            <w:pPr>
              <w:spacing w:after="0" w:line="240" w:lineRule="auto"/>
              <w:jc w:val="both"/>
              <w:rPr>
                <w:rFonts w:ascii="Times New Roman" w:eastAsia="Times New Roman" w:hAnsi="Times New Roman" w:cs="Times New Roman"/>
                <w:lang w:eastAsia="lv-LV"/>
              </w:rPr>
            </w:pPr>
          </w:p>
        </w:tc>
        <w:tc>
          <w:tcPr>
            <w:tcW w:w="5401" w:type="dxa"/>
            <w:gridSpan w:val="2"/>
            <w:tcBorders>
              <w:top w:val="single" w:sz="4" w:space="0" w:color="auto"/>
              <w:left w:val="nil"/>
              <w:bottom w:val="nil"/>
              <w:right w:val="nil"/>
            </w:tcBorders>
          </w:tcPr>
          <w:p w14:paraId="1B8C8FDE" w14:textId="77777777" w:rsidR="00022A62" w:rsidRPr="003D3DBB" w:rsidRDefault="00022A62" w:rsidP="00BD7C5A">
            <w:pPr>
              <w:spacing w:after="0" w:line="240" w:lineRule="auto"/>
              <w:ind w:firstLine="720"/>
              <w:rPr>
                <w:rFonts w:ascii="Times New Roman" w:eastAsia="Times New Roman" w:hAnsi="Times New Roman" w:cs="Times New Roman"/>
                <w:lang w:eastAsia="lv-LV"/>
              </w:rPr>
            </w:pPr>
          </w:p>
        </w:tc>
      </w:tr>
      <w:tr w:rsidR="00022A62" w:rsidRPr="00245FF2" w14:paraId="1A6AC0E8" w14:textId="77777777" w:rsidTr="0001655E">
        <w:trPr>
          <w:gridAfter w:val="1"/>
          <w:wAfter w:w="1425" w:type="dxa"/>
        </w:trPr>
        <w:tc>
          <w:tcPr>
            <w:tcW w:w="8505" w:type="dxa"/>
            <w:hideMark/>
          </w:tcPr>
          <w:p w14:paraId="672A8949" w14:textId="77777777" w:rsidR="00022A62" w:rsidRPr="003D3DBB" w:rsidRDefault="00022A62" w:rsidP="00BD7C5A">
            <w:pPr>
              <w:spacing w:after="0" w:line="240" w:lineRule="auto"/>
              <w:rPr>
                <w:rFonts w:ascii="Times New Roman" w:eastAsia="Times New Roman" w:hAnsi="Times New Roman" w:cs="Times New Roman"/>
                <w:lang w:eastAsia="lv-LV"/>
              </w:rPr>
            </w:pPr>
            <w:r w:rsidRPr="003D3DBB">
              <w:rPr>
                <w:rFonts w:ascii="Times New Roman" w:eastAsia="Times New Roman" w:hAnsi="Times New Roman" w:cs="Times New Roman"/>
                <w:lang w:eastAsia="lv-LV"/>
              </w:rPr>
              <w:t>Saskaņošanas dalībnieki</w:t>
            </w:r>
          </w:p>
        </w:tc>
        <w:tc>
          <w:tcPr>
            <w:tcW w:w="5401" w:type="dxa"/>
            <w:gridSpan w:val="2"/>
            <w:hideMark/>
          </w:tcPr>
          <w:p w14:paraId="65E19700" w14:textId="104E2F7F" w:rsidR="00022A62" w:rsidRPr="003D3DBB" w:rsidRDefault="009A1FED" w:rsidP="00BD7C5A">
            <w:pPr>
              <w:spacing w:after="0" w:line="240" w:lineRule="auto"/>
              <w:jc w:val="both"/>
              <w:rPr>
                <w:rFonts w:ascii="Times New Roman" w:hAnsi="Times New Roman" w:cs="Times New Roman"/>
              </w:rPr>
            </w:pPr>
            <w:r w:rsidRPr="003D3DBB">
              <w:rPr>
                <w:rFonts w:ascii="Times New Roman" w:eastAsia="Times New Roman" w:hAnsi="Times New Roman" w:cs="Times New Roman"/>
                <w:lang w:eastAsia="lv-LV"/>
              </w:rPr>
              <w:t>Finanšu ministrij</w:t>
            </w:r>
            <w:r w:rsidR="007502AD" w:rsidRPr="003D3DBB">
              <w:rPr>
                <w:rFonts w:ascii="Times New Roman" w:eastAsia="Times New Roman" w:hAnsi="Times New Roman" w:cs="Times New Roman"/>
                <w:lang w:eastAsia="lv-LV"/>
              </w:rPr>
              <w:t>a</w:t>
            </w:r>
            <w:r w:rsidR="00A001C8" w:rsidRPr="003D3DBB">
              <w:rPr>
                <w:rFonts w:ascii="Times New Roman" w:eastAsia="Times New Roman" w:hAnsi="Times New Roman" w:cs="Times New Roman"/>
                <w:lang w:eastAsia="lv-LV"/>
              </w:rPr>
              <w:t xml:space="preserve">, </w:t>
            </w:r>
            <w:r w:rsidRPr="003D3DBB">
              <w:rPr>
                <w:rFonts w:ascii="Times New Roman" w:eastAsia="Times New Roman" w:hAnsi="Times New Roman" w:cs="Times New Roman"/>
                <w:lang w:eastAsia="lv-LV"/>
              </w:rPr>
              <w:t>Tieslietu ministrija</w:t>
            </w:r>
          </w:p>
        </w:tc>
      </w:tr>
      <w:tr w:rsidR="00022A62" w:rsidRPr="00245FF2" w14:paraId="79BBE5A1" w14:textId="77777777" w:rsidTr="0001655E">
        <w:trPr>
          <w:trHeight w:val="80"/>
        </w:trPr>
        <w:tc>
          <w:tcPr>
            <w:tcW w:w="8505" w:type="dxa"/>
          </w:tcPr>
          <w:p w14:paraId="0C7738F6" w14:textId="77777777" w:rsidR="00022A62" w:rsidRPr="003D3DBB" w:rsidRDefault="00022A62" w:rsidP="00BD7C5A">
            <w:pPr>
              <w:spacing w:after="0" w:line="240" w:lineRule="auto"/>
              <w:rPr>
                <w:rFonts w:ascii="Times New Roman" w:eastAsia="Times New Roman" w:hAnsi="Times New Roman" w:cs="Times New Roman"/>
                <w:lang w:eastAsia="lv-LV"/>
              </w:rPr>
            </w:pPr>
          </w:p>
        </w:tc>
        <w:tc>
          <w:tcPr>
            <w:tcW w:w="1087" w:type="dxa"/>
          </w:tcPr>
          <w:p w14:paraId="54D0DD14" w14:textId="77777777" w:rsidR="00022A62" w:rsidRPr="003D3DBB" w:rsidRDefault="00022A62" w:rsidP="00BD7C5A">
            <w:pPr>
              <w:spacing w:after="0" w:line="240" w:lineRule="auto"/>
              <w:ind w:firstLine="720"/>
              <w:jc w:val="both"/>
              <w:rPr>
                <w:rFonts w:ascii="Times New Roman" w:eastAsia="Times New Roman" w:hAnsi="Times New Roman" w:cs="Times New Roman"/>
                <w:lang w:eastAsia="lv-LV"/>
              </w:rPr>
            </w:pPr>
          </w:p>
        </w:tc>
        <w:tc>
          <w:tcPr>
            <w:tcW w:w="5739" w:type="dxa"/>
            <w:gridSpan w:val="2"/>
          </w:tcPr>
          <w:p w14:paraId="6BBE2C71" w14:textId="77777777" w:rsidR="00022A62" w:rsidRPr="003D3DBB" w:rsidRDefault="00022A62" w:rsidP="00BD7C5A">
            <w:pPr>
              <w:spacing w:after="0" w:line="240" w:lineRule="auto"/>
              <w:ind w:firstLine="12"/>
              <w:jc w:val="both"/>
              <w:rPr>
                <w:rFonts w:ascii="Times New Roman" w:eastAsia="Times New Roman" w:hAnsi="Times New Roman" w:cs="Times New Roman"/>
                <w:lang w:eastAsia="lv-LV"/>
              </w:rPr>
            </w:pPr>
          </w:p>
        </w:tc>
      </w:tr>
      <w:tr w:rsidR="00022A62" w:rsidRPr="00245FF2" w14:paraId="3C2DD6FB" w14:textId="77777777" w:rsidTr="0001655E">
        <w:trPr>
          <w:trHeight w:val="501"/>
        </w:trPr>
        <w:tc>
          <w:tcPr>
            <w:tcW w:w="8505" w:type="dxa"/>
            <w:hideMark/>
          </w:tcPr>
          <w:p w14:paraId="386557FC" w14:textId="77777777" w:rsidR="00022A62" w:rsidRPr="003D3DBB" w:rsidRDefault="00022A62" w:rsidP="00BD7C5A">
            <w:pPr>
              <w:spacing w:after="0" w:line="240" w:lineRule="auto"/>
              <w:jc w:val="both"/>
              <w:rPr>
                <w:rFonts w:ascii="Times New Roman" w:eastAsia="Times New Roman" w:hAnsi="Times New Roman" w:cs="Times New Roman"/>
                <w:lang w:eastAsia="lv-LV"/>
              </w:rPr>
            </w:pPr>
            <w:r w:rsidRPr="003D3DBB">
              <w:rPr>
                <w:rFonts w:ascii="Times New Roman" w:eastAsia="Times New Roman" w:hAnsi="Times New Roman" w:cs="Times New Roman"/>
                <w:lang w:eastAsia="lv-LV"/>
              </w:rPr>
              <w:t>Saskaņošanas dalībnieki izskatīja šādu ministriju (citu institūciju) iebildumus</w:t>
            </w:r>
          </w:p>
        </w:tc>
        <w:tc>
          <w:tcPr>
            <w:tcW w:w="1087" w:type="dxa"/>
          </w:tcPr>
          <w:p w14:paraId="22ED3A30" w14:textId="77777777" w:rsidR="00022A62" w:rsidRPr="003D3DBB" w:rsidRDefault="00022A62" w:rsidP="00BD7C5A">
            <w:pPr>
              <w:spacing w:after="0" w:line="240" w:lineRule="auto"/>
              <w:ind w:firstLine="720"/>
              <w:jc w:val="both"/>
              <w:rPr>
                <w:rFonts w:ascii="Times New Roman" w:eastAsia="Times New Roman" w:hAnsi="Times New Roman" w:cs="Times New Roman"/>
                <w:lang w:eastAsia="lv-LV"/>
              </w:rPr>
            </w:pPr>
          </w:p>
        </w:tc>
        <w:tc>
          <w:tcPr>
            <w:tcW w:w="5739" w:type="dxa"/>
            <w:gridSpan w:val="2"/>
            <w:hideMark/>
          </w:tcPr>
          <w:p w14:paraId="01DDFC89" w14:textId="21CB67CD" w:rsidR="00022A62" w:rsidRPr="003D3DBB" w:rsidRDefault="00022A62" w:rsidP="00BD7C5A">
            <w:pPr>
              <w:spacing w:after="0" w:line="240" w:lineRule="auto"/>
              <w:ind w:left="-87" w:firstLine="87"/>
              <w:jc w:val="both"/>
              <w:rPr>
                <w:rFonts w:ascii="Times New Roman" w:eastAsia="Times New Roman" w:hAnsi="Times New Roman" w:cs="Times New Roman"/>
                <w:lang w:eastAsia="lv-LV"/>
              </w:rPr>
            </w:pPr>
          </w:p>
        </w:tc>
      </w:tr>
      <w:tr w:rsidR="00022A62" w:rsidRPr="00245FF2" w14:paraId="0A13F3D1" w14:textId="77777777" w:rsidTr="003B1A15">
        <w:trPr>
          <w:gridAfter w:val="1"/>
          <w:wAfter w:w="1425" w:type="dxa"/>
          <w:trHeight w:val="679"/>
        </w:trPr>
        <w:tc>
          <w:tcPr>
            <w:tcW w:w="8505" w:type="dxa"/>
            <w:hideMark/>
          </w:tcPr>
          <w:p w14:paraId="3C12084E" w14:textId="33618939" w:rsidR="00114194" w:rsidRPr="003D3DBB" w:rsidRDefault="00022A62" w:rsidP="00AA5450">
            <w:pPr>
              <w:spacing w:after="0" w:line="240" w:lineRule="auto"/>
              <w:rPr>
                <w:rFonts w:ascii="Times New Roman" w:eastAsia="Times New Roman" w:hAnsi="Times New Roman" w:cs="Times New Roman"/>
                <w:lang w:eastAsia="lv-LV"/>
              </w:rPr>
            </w:pPr>
            <w:r w:rsidRPr="003D3DBB">
              <w:rPr>
                <w:rFonts w:ascii="Times New Roman" w:eastAsia="Times New Roman" w:hAnsi="Times New Roman" w:cs="Times New Roman"/>
                <w:lang w:eastAsia="lv-LV"/>
              </w:rPr>
              <w:t>Ministrijas (citas institūcijas), kuras nav ieradušās uz sanāksmi vai kuras nav atbildējušas uz uzaicinājumu piedalīties elektroniskajā saskaņošanā</w:t>
            </w:r>
          </w:p>
        </w:tc>
        <w:tc>
          <w:tcPr>
            <w:tcW w:w="5401" w:type="dxa"/>
            <w:gridSpan w:val="2"/>
            <w:hideMark/>
          </w:tcPr>
          <w:p w14:paraId="1AD575C6" w14:textId="77777777" w:rsidR="00022A62" w:rsidRPr="003D3DBB" w:rsidRDefault="004D66B7" w:rsidP="00BD7C5A">
            <w:pPr>
              <w:spacing w:after="0" w:line="240" w:lineRule="auto"/>
              <w:ind w:firstLine="720"/>
              <w:rPr>
                <w:rFonts w:ascii="Times New Roman" w:eastAsia="Times New Roman" w:hAnsi="Times New Roman" w:cs="Times New Roman"/>
                <w:lang w:eastAsia="lv-LV"/>
              </w:rPr>
            </w:pPr>
            <w:r w:rsidRPr="003D3DBB">
              <w:rPr>
                <w:rFonts w:ascii="Times New Roman" w:eastAsia="Times New Roman" w:hAnsi="Times New Roman" w:cs="Times New Roman"/>
                <w:lang w:eastAsia="lv-LV"/>
              </w:rPr>
              <w:t>-</w:t>
            </w:r>
          </w:p>
        </w:tc>
      </w:tr>
    </w:tbl>
    <w:p w14:paraId="3A7D45F5" w14:textId="77777777" w:rsidR="00022A62" w:rsidRPr="003D3DBB" w:rsidRDefault="00A33F1F" w:rsidP="00A33F1F">
      <w:pPr>
        <w:pStyle w:val="naisf"/>
        <w:spacing w:before="0" w:after="0"/>
        <w:ind w:left="360" w:firstLine="0"/>
        <w:jc w:val="center"/>
        <w:rPr>
          <w:b/>
          <w:sz w:val="22"/>
          <w:szCs w:val="22"/>
        </w:rPr>
      </w:pPr>
      <w:r w:rsidRPr="003D3DBB">
        <w:rPr>
          <w:b/>
          <w:sz w:val="22"/>
          <w:szCs w:val="22"/>
        </w:rPr>
        <w:t xml:space="preserve">II </w:t>
      </w:r>
      <w:r w:rsidR="00022A62" w:rsidRPr="003D3DBB">
        <w:rPr>
          <w:b/>
          <w:sz w:val="22"/>
          <w:szCs w:val="22"/>
        </w:rPr>
        <w:t>Jautājumi, par kuriem saskaņošanā vienošanās ir panākta</w:t>
      </w:r>
    </w:p>
    <w:tbl>
      <w:tblPr>
        <w:tblW w:w="6620"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5"/>
        <w:gridCol w:w="2835"/>
        <w:gridCol w:w="4257"/>
        <w:gridCol w:w="1161"/>
        <w:gridCol w:w="2095"/>
        <w:gridCol w:w="3684"/>
        <w:gridCol w:w="1402"/>
        <w:gridCol w:w="3194"/>
      </w:tblGrid>
      <w:tr w:rsidR="005E6431" w:rsidRPr="00245FF2" w14:paraId="1FF9F14D" w14:textId="77777777" w:rsidTr="004A52F8">
        <w:trPr>
          <w:gridAfter w:val="2"/>
          <w:wAfter w:w="1180" w:type="pct"/>
          <w:trHeight w:val="140"/>
        </w:trPr>
        <w:tc>
          <w:tcPr>
            <w:tcW w:w="217" w:type="pct"/>
            <w:tcBorders>
              <w:top w:val="single" w:sz="6" w:space="0" w:color="000000"/>
              <w:left w:val="single" w:sz="6" w:space="0" w:color="000000"/>
              <w:bottom w:val="single" w:sz="6" w:space="0" w:color="000000"/>
              <w:right w:val="single" w:sz="6" w:space="0" w:color="000000"/>
            </w:tcBorders>
            <w:vAlign w:val="center"/>
            <w:hideMark/>
          </w:tcPr>
          <w:p w14:paraId="72F1A836" w14:textId="77777777" w:rsidR="000239F9" w:rsidRPr="003D3DBB" w:rsidRDefault="000239F9" w:rsidP="00BD7C5A">
            <w:pPr>
              <w:spacing w:after="0" w:line="240" w:lineRule="auto"/>
              <w:jc w:val="center"/>
              <w:rPr>
                <w:rFonts w:ascii="Times New Roman" w:eastAsia="Times New Roman" w:hAnsi="Times New Roman" w:cs="Times New Roman"/>
                <w:lang w:eastAsia="lv-LV"/>
              </w:rPr>
            </w:pPr>
            <w:r w:rsidRPr="003D3DBB">
              <w:rPr>
                <w:rFonts w:ascii="Times New Roman" w:eastAsia="Times New Roman" w:hAnsi="Times New Roman" w:cs="Times New Roman"/>
                <w:lang w:eastAsia="lv-LV"/>
              </w:rPr>
              <w:t>Nr. p.k.</w:t>
            </w:r>
          </w:p>
        </w:tc>
        <w:tc>
          <w:tcPr>
            <w:tcW w:w="728" w:type="pct"/>
            <w:tcBorders>
              <w:top w:val="single" w:sz="6" w:space="0" w:color="000000"/>
              <w:left w:val="single" w:sz="6" w:space="0" w:color="000000"/>
              <w:bottom w:val="single" w:sz="6" w:space="0" w:color="000000"/>
              <w:right w:val="single" w:sz="6" w:space="0" w:color="000000"/>
            </w:tcBorders>
            <w:vAlign w:val="center"/>
            <w:hideMark/>
          </w:tcPr>
          <w:p w14:paraId="3BCF0226" w14:textId="77777777" w:rsidR="000239F9" w:rsidRPr="003D3DBB" w:rsidRDefault="000239F9" w:rsidP="00BD7C5A">
            <w:pPr>
              <w:spacing w:after="0" w:line="240" w:lineRule="auto"/>
              <w:ind w:firstLine="12"/>
              <w:jc w:val="center"/>
              <w:rPr>
                <w:rFonts w:ascii="Times New Roman" w:eastAsia="Times New Roman" w:hAnsi="Times New Roman" w:cs="Times New Roman"/>
                <w:lang w:eastAsia="lv-LV"/>
              </w:rPr>
            </w:pPr>
            <w:r w:rsidRPr="003D3DBB">
              <w:rPr>
                <w:rFonts w:ascii="Times New Roman" w:eastAsia="Times New Roman" w:hAnsi="Times New Roman" w:cs="Times New Roman"/>
                <w:lang w:eastAsia="lv-LV"/>
              </w:rPr>
              <w:t>Saskaņošanai nosūtītā projekta redakcija (konkrēta punkta (panta) redakcija)</w:t>
            </w:r>
          </w:p>
        </w:tc>
        <w:tc>
          <w:tcPr>
            <w:tcW w:w="1093" w:type="pct"/>
            <w:tcBorders>
              <w:top w:val="single" w:sz="6" w:space="0" w:color="000000"/>
              <w:left w:val="single" w:sz="6" w:space="0" w:color="000000"/>
              <w:bottom w:val="single" w:sz="6" w:space="0" w:color="000000"/>
              <w:right w:val="single" w:sz="6" w:space="0" w:color="000000"/>
            </w:tcBorders>
            <w:vAlign w:val="center"/>
            <w:hideMark/>
          </w:tcPr>
          <w:p w14:paraId="0F924041" w14:textId="77777777" w:rsidR="000239F9" w:rsidRPr="003D3DBB" w:rsidRDefault="000239F9" w:rsidP="00BD7C5A">
            <w:pPr>
              <w:spacing w:after="0" w:line="240" w:lineRule="auto"/>
              <w:ind w:right="3"/>
              <w:jc w:val="center"/>
              <w:rPr>
                <w:rFonts w:ascii="Times New Roman" w:eastAsia="Times New Roman" w:hAnsi="Times New Roman" w:cs="Times New Roman"/>
                <w:lang w:eastAsia="lv-LV"/>
              </w:rPr>
            </w:pPr>
            <w:r w:rsidRPr="003D3DBB">
              <w:rPr>
                <w:rFonts w:ascii="Times New Roman" w:eastAsia="Times New Roman" w:hAnsi="Times New Roman" w:cs="Times New Roman"/>
                <w:lang w:eastAsia="lv-LV"/>
              </w:rPr>
              <w:t>Atzinumā norādītais ministrijas (citas institūcijas) iebildums, kā arī saskaņošanā papildus izteiktais iebildums par projekta konkrēto punktu (pantu)</w:t>
            </w:r>
          </w:p>
        </w:tc>
        <w:tc>
          <w:tcPr>
            <w:tcW w:w="836" w:type="pct"/>
            <w:gridSpan w:val="2"/>
            <w:tcBorders>
              <w:top w:val="single" w:sz="6" w:space="0" w:color="000000"/>
              <w:left w:val="single" w:sz="6" w:space="0" w:color="000000"/>
              <w:bottom w:val="single" w:sz="6" w:space="0" w:color="000000"/>
              <w:right w:val="single" w:sz="6" w:space="0" w:color="000000"/>
            </w:tcBorders>
            <w:vAlign w:val="center"/>
            <w:hideMark/>
          </w:tcPr>
          <w:p w14:paraId="78B7A5EC" w14:textId="77777777" w:rsidR="000239F9" w:rsidRPr="003D3DBB" w:rsidRDefault="000239F9" w:rsidP="00BD7C5A">
            <w:pPr>
              <w:spacing w:after="0" w:line="240" w:lineRule="auto"/>
              <w:ind w:firstLine="21"/>
              <w:jc w:val="center"/>
              <w:rPr>
                <w:rFonts w:ascii="Times New Roman" w:eastAsia="Times New Roman" w:hAnsi="Times New Roman" w:cs="Times New Roman"/>
                <w:lang w:eastAsia="lv-LV"/>
              </w:rPr>
            </w:pPr>
            <w:r w:rsidRPr="003D3DBB">
              <w:rPr>
                <w:rFonts w:ascii="Times New Roman" w:eastAsia="Times New Roman" w:hAnsi="Times New Roman" w:cs="Times New Roman"/>
                <w:lang w:eastAsia="lv-LV"/>
              </w:rPr>
              <w:t>Atbildīgās ministrijas norāde par to, ka iebildums ir ņemts vērā, vai informācija par saskaņošanā panākto alternatīvo risinājumu</w:t>
            </w:r>
          </w:p>
        </w:tc>
        <w:tc>
          <w:tcPr>
            <w:tcW w:w="946" w:type="pct"/>
            <w:tcBorders>
              <w:top w:val="single" w:sz="4" w:space="0" w:color="auto"/>
              <w:left w:val="single" w:sz="4" w:space="0" w:color="auto"/>
              <w:bottom w:val="single" w:sz="4" w:space="0" w:color="auto"/>
              <w:right w:val="single" w:sz="4" w:space="0" w:color="auto"/>
            </w:tcBorders>
            <w:vAlign w:val="center"/>
            <w:hideMark/>
          </w:tcPr>
          <w:p w14:paraId="3865444C" w14:textId="77777777" w:rsidR="000239F9" w:rsidRPr="003D3DBB" w:rsidRDefault="000239F9" w:rsidP="00BD7C5A">
            <w:pPr>
              <w:spacing w:after="0" w:line="240" w:lineRule="auto"/>
              <w:jc w:val="center"/>
              <w:rPr>
                <w:rFonts w:ascii="Times New Roman" w:eastAsia="Times New Roman" w:hAnsi="Times New Roman" w:cs="Times New Roman"/>
                <w:lang w:eastAsia="lv-LV"/>
              </w:rPr>
            </w:pPr>
            <w:r w:rsidRPr="003D3DBB">
              <w:rPr>
                <w:rFonts w:ascii="Times New Roman" w:eastAsia="Times New Roman" w:hAnsi="Times New Roman" w:cs="Times New Roman"/>
                <w:lang w:eastAsia="lv-LV"/>
              </w:rPr>
              <w:t>Projekta attiecīgā punkta (panta) galīgā redakcija</w:t>
            </w:r>
          </w:p>
        </w:tc>
      </w:tr>
      <w:tr w:rsidR="005E6431" w:rsidRPr="00245FF2" w14:paraId="05045CAD" w14:textId="77777777" w:rsidTr="004A52F8">
        <w:trPr>
          <w:gridAfter w:val="2"/>
          <w:wAfter w:w="1180" w:type="pct"/>
          <w:trHeight w:val="140"/>
        </w:trPr>
        <w:tc>
          <w:tcPr>
            <w:tcW w:w="217" w:type="pct"/>
            <w:tcBorders>
              <w:top w:val="single" w:sz="6" w:space="0" w:color="000000"/>
              <w:left w:val="single" w:sz="6" w:space="0" w:color="000000"/>
              <w:bottom w:val="single" w:sz="6" w:space="0" w:color="000000"/>
              <w:right w:val="single" w:sz="6" w:space="0" w:color="000000"/>
            </w:tcBorders>
            <w:hideMark/>
          </w:tcPr>
          <w:p w14:paraId="52AADAB5" w14:textId="77777777" w:rsidR="000239F9" w:rsidRPr="003D3DBB" w:rsidRDefault="000239F9" w:rsidP="00BD7C5A">
            <w:pPr>
              <w:spacing w:after="0" w:line="240" w:lineRule="auto"/>
              <w:jc w:val="center"/>
              <w:rPr>
                <w:rFonts w:ascii="Times New Roman" w:eastAsia="Times New Roman" w:hAnsi="Times New Roman" w:cs="Times New Roman"/>
                <w:lang w:eastAsia="lv-LV"/>
              </w:rPr>
            </w:pPr>
            <w:r w:rsidRPr="003D3DBB">
              <w:rPr>
                <w:rFonts w:ascii="Times New Roman" w:eastAsia="Times New Roman" w:hAnsi="Times New Roman" w:cs="Times New Roman"/>
                <w:lang w:eastAsia="lv-LV"/>
              </w:rPr>
              <w:t>1</w:t>
            </w:r>
          </w:p>
        </w:tc>
        <w:tc>
          <w:tcPr>
            <w:tcW w:w="728" w:type="pct"/>
            <w:tcBorders>
              <w:top w:val="single" w:sz="6" w:space="0" w:color="000000"/>
              <w:left w:val="single" w:sz="6" w:space="0" w:color="000000"/>
              <w:bottom w:val="single" w:sz="6" w:space="0" w:color="000000"/>
              <w:right w:val="single" w:sz="6" w:space="0" w:color="000000"/>
            </w:tcBorders>
            <w:hideMark/>
          </w:tcPr>
          <w:p w14:paraId="6E2603FE" w14:textId="091B65FE" w:rsidR="000239F9" w:rsidRPr="003D3DBB" w:rsidRDefault="000239F9" w:rsidP="009A1FED">
            <w:pPr>
              <w:spacing w:after="0" w:line="240" w:lineRule="auto"/>
              <w:jc w:val="center"/>
              <w:rPr>
                <w:rFonts w:ascii="Times New Roman" w:eastAsia="Times New Roman" w:hAnsi="Times New Roman" w:cs="Times New Roman"/>
                <w:lang w:eastAsia="lv-LV"/>
              </w:rPr>
            </w:pPr>
            <w:r w:rsidRPr="003D3DBB">
              <w:rPr>
                <w:rFonts w:ascii="Times New Roman" w:eastAsia="Times New Roman" w:hAnsi="Times New Roman" w:cs="Times New Roman"/>
                <w:lang w:eastAsia="lv-LV"/>
              </w:rPr>
              <w:t>2</w:t>
            </w:r>
          </w:p>
        </w:tc>
        <w:tc>
          <w:tcPr>
            <w:tcW w:w="1093" w:type="pct"/>
            <w:tcBorders>
              <w:top w:val="single" w:sz="6" w:space="0" w:color="000000"/>
              <w:left w:val="single" w:sz="6" w:space="0" w:color="000000"/>
              <w:bottom w:val="single" w:sz="6" w:space="0" w:color="000000"/>
              <w:right w:val="single" w:sz="6" w:space="0" w:color="000000"/>
            </w:tcBorders>
            <w:hideMark/>
          </w:tcPr>
          <w:p w14:paraId="43742A66" w14:textId="77777777" w:rsidR="000239F9" w:rsidRPr="003D3DBB" w:rsidRDefault="000239F9" w:rsidP="00BD7C5A">
            <w:pPr>
              <w:spacing w:after="0" w:line="240" w:lineRule="auto"/>
              <w:ind w:firstLine="35"/>
              <w:jc w:val="center"/>
              <w:rPr>
                <w:rFonts w:ascii="Times New Roman" w:eastAsia="Times New Roman" w:hAnsi="Times New Roman" w:cs="Times New Roman"/>
                <w:lang w:eastAsia="lv-LV"/>
              </w:rPr>
            </w:pPr>
            <w:r w:rsidRPr="003D3DBB">
              <w:rPr>
                <w:rFonts w:ascii="Times New Roman" w:eastAsia="Times New Roman" w:hAnsi="Times New Roman" w:cs="Times New Roman"/>
                <w:lang w:eastAsia="lv-LV"/>
              </w:rPr>
              <w:t>3</w:t>
            </w:r>
          </w:p>
        </w:tc>
        <w:tc>
          <w:tcPr>
            <w:tcW w:w="836" w:type="pct"/>
            <w:gridSpan w:val="2"/>
            <w:tcBorders>
              <w:top w:val="single" w:sz="6" w:space="0" w:color="000000"/>
              <w:left w:val="single" w:sz="6" w:space="0" w:color="000000"/>
              <w:bottom w:val="single" w:sz="6" w:space="0" w:color="000000"/>
              <w:right w:val="single" w:sz="6" w:space="0" w:color="000000"/>
            </w:tcBorders>
            <w:hideMark/>
          </w:tcPr>
          <w:p w14:paraId="5A8B6019" w14:textId="77777777" w:rsidR="000239F9" w:rsidRPr="003D3DBB" w:rsidRDefault="000239F9" w:rsidP="00BD7C5A">
            <w:pPr>
              <w:spacing w:after="0" w:line="240" w:lineRule="auto"/>
              <w:jc w:val="center"/>
              <w:rPr>
                <w:rFonts w:ascii="Times New Roman" w:eastAsia="Times New Roman" w:hAnsi="Times New Roman" w:cs="Times New Roman"/>
                <w:lang w:eastAsia="lv-LV"/>
              </w:rPr>
            </w:pPr>
            <w:r w:rsidRPr="003D3DBB">
              <w:rPr>
                <w:rFonts w:ascii="Times New Roman" w:eastAsia="Times New Roman" w:hAnsi="Times New Roman" w:cs="Times New Roman"/>
                <w:lang w:eastAsia="lv-LV"/>
              </w:rPr>
              <w:t>4</w:t>
            </w:r>
          </w:p>
        </w:tc>
        <w:tc>
          <w:tcPr>
            <w:tcW w:w="946" w:type="pct"/>
            <w:tcBorders>
              <w:top w:val="single" w:sz="4" w:space="0" w:color="auto"/>
              <w:left w:val="single" w:sz="4" w:space="0" w:color="auto"/>
              <w:bottom w:val="single" w:sz="4" w:space="0" w:color="auto"/>
              <w:right w:val="single" w:sz="4" w:space="0" w:color="auto"/>
            </w:tcBorders>
            <w:hideMark/>
          </w:tcPr>
          <w:p w14:paraId="2FF27F24" w14:textId="77777777" w:rsidR="000239F9" w:rsidRPr="003D3DBB" w:rsidRDefault="000239F9" w:rsidP="00BD7C5A">
            <w:pPr>
              <w:spacing w:after="0" w:line="240" w:lineRule="auto"/>
              <w:jc w:val="center"/>
              <w:rPr>
                <w:rFonts w:ascii="Times New Roman" w:eastAsia="Times New Roman" w:hAnsi="Times New Roman" w:cs="Times New Roman"/>
                <w:lang w:eastAsia="lv-LV"/>
              </w:rPr>
            </w:pPr>
            <w:r w:rsidRPr="003D3DBB">
              <w:rPr>
                <w:rFonts w:ascii="Times New Roman" w:eastAsia="Times New Roman" w:hAnsi="Times New Roman" w:cs="Times New Roman"/>
                <w:lang w:eastAsia="lv-LV"/>
              </w:rPr>
              <w:t>5</w:t>
            </w:r>
          </w:p>
        </w:tc>
      </w:tr>
      <w:tr w:rsidR="005E6431" w:rsidRPr="00245FF2" w14:paraId="1DA50D4B" w14:textId="77777777" w:rsidTr="004A52F8">
        <w:trPr>
          <w:gridAfter w:val="2"/>
          <w:wAfter w:w="1180" w:type="pct"/>
          <w:trHeight w:val="140"/>
        </w:trPr>
        <w:tc>
          <w:tcPr>
            <w:tcW w:w="217" w:type="pct"/>
            <w:tcBorders>
              <w:left w:val="single" w:sz="6" w:space="0" w:color="000000"/>
              <w:bottom w:val="single" w:sz="6" w:space="0" w:color="000000"/>
              <w:right w:val="single" w:sz="6" w:space="0" w:color="000000"/>
            </w:tcBorders>
          </w:tcPr>
          <w:p w14:paraId="20C60832" w14:textId="77777777" w:rsidR="00C96DA4" w:rsidRPr="003D3DBB" w:rsidRDefault="00C96DA4" w:rsidP="009C59EC">
            <w:pPr>
              <w:pStyle w:val="ListParagraph"/>
              <w:numPr>
                <w:ilvl w:val="0"/>
                <w:numId w:val="1"/>
              </w:numPr>
              <w:spacing w:after="0" w:line="240" w:lineRule="auto"/>
              <w:contextualSpacing w:val="0"/>
              <w:jc w:val="center"/>
              <w:rPr>
                <w:rFonts w:ascii="Times New Roman" w:eastAsia="Times New Roman" w:hAnsi="Times New Roman" w:cs="Times New Roman"/>
                <w:lang w:eastAsia="lv-LV"/>
              </w:rPr>
            </w:pPr>
          </w:p>
        </w:tc>
        <w:tc>
          <w:tcPr>
            <w:tcW w:w="728" w:type="pct"/>
            <w:tcBorders>
              <w:top w:val="single" w:sz="6" w:space="0" w:color="000000"/>
              <w:left w:val="single" w:sz="6" w:space="0" w:color="000000"/>
              <w:bottom w:val="single" w:sz="4" w:space="0" w:color="auto"/>
              <w:right w:val="single" w:sz="6" w:space="0" w:color="000000"/>
            </w:tcBorders>
          </w:tcPr>
          <w:p w14:paraId="3A6828D3" w14:textId="2FE4D32A" w:rsidR="00665D8F" w:rsidRPr="003D3DBB" w:rsidRDefault="006F07B6" w:rsidP="00907110">
            <w:pPr>
              <w:spacing w:after="0" w:line="240" w:lineRule="auto"/>
              <w:jc w:val="both"/>
              <w:rPr>
                <w:rFonts w:ascii="Times New Roman" w:eastAsia="Times New Roman" w:hAnsi="Times New Roman" w:cs="Times New Roman"/>
                <w:b/>
                <w:bCs/>
                <w:lang w:eastAsia="lv-LV"/>
              </w:rPr>
            </w:pPr>
            <w:r w:rsidRPr="003D3DBB">
              <w:rPr>
                <w:rFonts w:ascii="Times New Roman" w:eastAsia="Times New Roman" w:hAnsi="Times New Roman" w:cs="Times New Roman"/>
                <w:b/>
                <w:bCs/>
                <w:lang w:eastAsia="lv-LV"/>
              </w:rPr>
              <w:t>Noteikumu projekta nosaukums:</w:t>
            </w:r>
          </w:p>
          <w:p w14:paraId="7885B551" w14:textId="50E163BA" w:rsidR="006F07B6" w:rsidRPr="003D3DBB" w:rsidRDefault="006F07B6" w:rsidP="00907110">
            <w:pPr>
              <w:spacing w:line="240" w:lineRule="auto"/>
              <w:jc w:val="both"/>
              <w:rPr>
                <w:rFonts w:ascii="Times New Roman" w:eastAsia="Times New Roman" w:hAnsi="Times New Roman" w:cs="Times New Roman"/>
                <w:lang w:eastAsia="lv-LV"/>
              </w:rPr>
            </w:pPr>
            <w:r w:rsidRPr="003D3DBB">
              <w:rPr>
                <w:rFonts w:ascii="Times New Roman" w:eastAsia="Times New Roman" w:hAnsi="Times New Roman" w:cs="Times New Roman"/>
                <w:lang w:eastAsia="lv-LV"/>
              </w:rPr>
              <w:t>“Kārtība, kādā tiek īstenota atbalsta programma dzīvojamo ēku energoefektivitātes paaugstināšanai”</w:t>
            </w:r>
          </w:p>
          <w:p w14:paraId="77977B9E" w14:textId="77777777" w:rsidR="00665D8F" w:rsidRPr="003D3DBB" w:rsidRDefault="00665D8F" w:rsidP="00665D8F">
            <w:pPr>
              <w:rPr>
                <w:rFonts w:ascii="Times New Roman" w:eastAsia="Times New Roman" w:hAnsi="Times New Roman" w:cs="Times New Roman"/>
                <w:lang w:eastAsia="lv-LV"/>
              </w:rPr>
            </w:pPr>
          </w:p>
          <w:p w14:paraId="6A9196BD" w14:textId="77777777" w:rsidR="0066233A" w:rsidRPr="003D3DBB" w:rsidRDefault="0066233A" w:rsidP="0066233A">
            <w:pPr>
              <w:rPr>
                <w:rFonts w:ascii="Times New Roman" w:eastAsia="Times New Roman" w:hAnsi="Times New Roman" w:cs="Times New Roman"/>
                <w:lang w:eastAsia="lv-LV"/>
              </w:rPr>
            </w:pPr>
          </w:p>
          <w:p w14:paraId="68351FDB" w14:textId="71D9B34A" w:rsidR="006F07B6" w:rsidRPr="003D3DBB" w:rsidRDefault="006F07B6" w:rsidP="00062EB7">
            <w:pPr>
              <w:tabs>
                <w:tab w:val="left" w:pos="840"/>
              </w:tabs>
              <w:rPr>
                <w:rFonts w:ascii="Times New Roman" w:eastAsia="Times New Roman" w:hAnsi="Times New Roman" w:cs="Times New Roman"/>
                <w:lang w:eastAsia="lv-LV"/>
              </w:rPr>
            </w:pPr>
          </w:p>
        </w:tc>
        <w:tc>
          <w:tcPr>
            <w:tcW w:w="1093" w:type="pct"/>
            <w:tcBorders>
              <w:top w:val="single" w:sz="6" w:space="0" w:color="000000"/>
              <w:left w:val="single" w:sz="6" w:space="0" w:color="000000"/>
              <w:bottom w:val="single" w:sz="6" w:space="0" w:color="000000"/>
              <w:right w:val="single" w:sz="6" w:space="0" w:color="000000"/>
            </w:tcBorders>
          </w:tcPr>
          <w:p w14:paraId="0592173C" w14:textId="53FBEDC9" w:rsidR="00494B23" w:rsidRPr="003D3DBB" w:rsidRDefault="00494B23" w:rsidP="002E4A7A">
            <w:pPr>
              <w:spacing w:after="0" w:line="240" w:lineRule="auto"/>
              <w:jc w:val="both"/>
              <w:rPr>
                <w:rFonts w:ascii="Times New Roman" w:eastAsia="Times New Roman" w:hAnsi="Times New Roman" w:cs="Times New Roman"/>
                <w:b/>
                <w:lang w:eastAsia="lv-LV"/>
              </w:rPr>
            </w:pPr>
            <w:r w:rsidRPr="003D3DBB">
              <w:rPr>
                <w:rFonts w:ascii="Times New Roman" w:eastAsia="Times New Roman" w:hAnsi="Times New Roman" w:cs="Times New Roman"/>
                <w:b/>
                <w:lang w:eastAsia="lv-LV"/>
              </w:rPr>
              <w:t>Tieslietu ministrija</w:t>
            </w:r>
            <w:r w:rsidR="004D67CE" w:rsidRPr="003D3DBB">
              <w:rPr>
                <w:rFonts w:ascii="Times New Roman" w:eastAsia="Times New Roman" w:hAnsi="Times New Roman" w:cs="Times New Roman"/>
                <w:b/>
                <w:lang w:eastAsia="lv-LV"/>
              </w:rPr>
              <w:t>s 25.05.2020. atzinuma 1.iebildums:</w:t>
            </w:r>
          </w:p>
          <w:p w14:paraId="59140F84" w14:textId="4B37125C" w:rsidR="00C96DA4" w:rsidRPr="003D3DBB" w:rsidRDefault="004D67CE" w:rsidP="0005608C">
            <w:pPr>
              <w:spacing w:after="0" w:line="240" w:lineRule="auto"/>
              <w:jc w:val="both"/>
              <w:rPr>
                <w:rFonts w:ascii="Times New Roman" w:eastAsia="Times New Roman" w:hAnsi="Times New Roman" w:cs="Times New Roman"/>
                <w:bCs/>
                <w:lang w:eastAsia="lv-LV"/>
              </w:rPr>
            </w:pPr>
            <w:r w:rsidRPr="003D3DBB">
              <w:rPr>
                <w:rFonts w:ascii="Times New Roman" w:eastAsia="Times New Roman" w:hAnsi="Times New Roman" w:cs="Times New Roman"/>
                <w:bCs/>
                <w:lang w:eastAsia="lv-LV"/>
              </w:rPr>
              <w:t xml:space="preserve">“1. </w:t>
            </w:r>
            <w:r w:rsidR="00494B23" w:rsidRPr="003D3DBB">
              <w:rPr>
                <w:rFonts w:ascii="Times New Roman" w:eastAsia="Times New Roman" w:hAnsi="Times New Roman" w:cs="Times New Roman"/>
                <w:bCs/>
                <w:lang w:eastAsia="lv-LV"/>
              </w:rPr>
              <w:t xml:space="preserve">Lūdzam precizēt projekta nosaukumu atbilstoši Ministru kabineta 2009. gada 3. februāra noteikumu Nr. 108 "Normatīvo aktu projektu sagatavošanas noteikumi" (turpmāk – Noteikumi Nr. 108) 91. punktam, kas noteic, ka noteikumu projekta nosaukumā vārdus “kārtība”, “noteikumi” </w:t>
            </w:r>
            <w:proofErr w:type="spellStart"/>
            <w:r w:rsidR="00494B23" w:rsidRPr="003D3DBB">
              <w:rPr>
                <w:rFonts w:ascii="Times New Roman" w:eastAsia="Times New Roman" w:hAnsi="Times New Roman" w:cs="Times New Roman"/>
                <w:bCs/>
                <w:lang w:eastAsia="lv-LV"/>
              </w:rPr>
              <w:t>v.tml</w:t>
            </w:r>
            <w:proofErr w:type="spellEnd"/>
            <w:r w:rsidR="00494B23" w:rsidRPr="003D3DBB">
              <w:rPr>
                <w:rFonts w:ascii="Times New Roman" w:eastAsia="Times New Roman" w:hAnsi="Times New Roman" w:cs="Times New Roman"/>
                <w:bCs/>
                <w:lang w:eastAsia="lv-LV"/>
              </w:rPr>
              <w:t>. raksta kā nosaukuma pēdējo vārdu. Iesakām projekta nosaukumu izteikt, piemēram, šādā redakcijā: „Atbalsta programmas dzīvojamo ēku energoefektivitātes paaugstināšanai īstenošanas kārtība”.</w:t>
            </w:r>
            <w:r w:rsidRPr="003D3DBB">
              <w:rPr>
                <w:rFonts w:ascii="Times New Roman" w:eastAsia="Times New Roman" w:hAnsi="Times New Roman" w:cs="Times New Roman"/>
                <w:bCs/>
                <w:lang w:eastAsia="lv-LV"/>
              </w:rPr>
              <w:t>”</w:t>
            </w:r>
          </w:p>
        </w:tc>
        <w:tc>
          <w:tcPr>
            <w:tcW w:w="836" w:type="pct"/>
            <w:gridSpan w:val="2"/>
            <w:tcBorders>
              <w:top w:val="single" w:sz="6" w:space="0" w:color="000000"/>
              <w:left w:val="single" w:sz="6" w:space="0" w:color="000000"/>
              <w:bottom w:val="single" w:sz="6" w:space="0" w:color="000000"/>
              <w:right w:val="single" w:sz="6" w:space="0" w:color="000000"/>
            </w:tcBorders>
          </w:tcPr>
          <w:p w14:paraId="71A41790" w14:textId="4C32CF40" w:rsidR="007F5A5E" w:rsidRPr="003D3DBB" w:rsidRDefault="00494B23" w:rsidP="00494B23">
            <w:pPr>
              <w:spacing w:after="0" w:line="240" w:lineRule="auto"/>
              <w:jc w:val="center"/>
              <w:rPr>
                <w:rFonts w:ascii="Times New Roman" w:eastAsia="Times New Roman" w:hAnsi="Times New Roman" w:cs="Times New Roman"/>
                <w:b/>
                <w:lang w:eastAsia="lv-LV"/>
              </w:rPr>
            </w:pPr>
            <w:r w:rsidRPr="003D3DBB">
              <w:rPr>
                <w:rFonts w:ascii="Times New Roman" w:eastAsia="Times New Roman" w:hAnsi="Times New Roman" w:cs="Times New Roman"/>
                <w:b/>
                <w:lang w:eastAsia="lv-LV"/>
              </w:rPr>
              <w:t>Ņemts vērā</w:t>
            </w:r>
          </w:p>
        </w:tc>
        <w:tc>
          <w:tcPr>
            <w:tcW w:w="946" w:type="pct"/>
            <w:tcBorders>
              <w:left w:val="single" w:sz="4" w:space="0" w:color="auto"/>
              <w:bottom w:val="single" w:sz="4" w:space="0" w:color="auto"/>
              <w:right w:val="single" w:sz="4" w:space="0" w:color="auto"/>
            </w:tcBorders>
          </w:tcPr>
          <w:p w14:paraId="24E0839B" w14:textId="5E7F89EF" w:rsidR="00F6103E" w:rsidRPr="003D3DBB" w:rsidRDefault="007E7E0A" w:rsidP="000C3CDB">
            <w:pPr>
              <w:spacing w:after="0" w:line="240" w:lineRule="auto"/>
              <w:jc w:val="both"/>
              <w:rPr>
                <w:rFonts w:ascii="Times New Roman" w:eastAsia="Times New Roman" w:hAnsi="Times New Roman" w:cs="Times New Roman"/>
                <w:b/>
                <w:lang w:eastAsia="lv-LV"/>
              </w:rPr>
            </w:pPr>
            <w:r w:rsidRPr="003D3DBB">
              <w:rPr>
                <w:rFonts w:ascii="Times New Roman" w:eastAsia="Times New Roman" w:hAnsi="Times New Roman" w:cs="Times New Roman"/>
                <w:b/>
                <w:lang w:eastAsia="lv-LV"/>
              </w:rPr>
              <w:t>Noteikumu projekta nosaukums</w:t>
            </w:r>
            <w:r w:rsidR="002E4A7A" w:rsidRPr="003D3DBB">
              <w:rPr>
                <w:rFonts w:ascii="Times New Roman" w:eastAsia="Times New Roman" w:hAnsi="Times New Roman" w:cs="Times New Roman"/>
                <w:b/>
                <w:lang w:eastAsia="lv-LV"/>
              </w:rPr>
              <w:t xml:space="preserve"> izteikts šādā redakcijā</w:t>
            </w:r>
            <w:r w:rsidRPr="003D3DBB">
              <w:rPr>
                <w:rFonts w:ascii="Times New Roman" w:eastAsia="Times New Roman" w:hAnsi="Times New Roman" w:cs="Times New Roman"/>
                <w:b/>
                <w:lang w:eastAsia="lv-LV"/>
              </w:rPr>
              <w:t>:</w:t>
            </w:r>
          </w:p>
          <w:p w14:paraId="3F28DCA2" w14:textId="706547B3" w:rsidR="007E7E0A" w:rsidRPr="003D3DBB" w:rsidRDefault="007E7E0A" w:rsidP="000C3CDB">
            <w:pPr>
              <w:spacing w:after="0" w:line="240" w:lineRule="auto"/>
              <w:jc w:val="both"/>
              <w:rPr>
                <w:rFonts w:ascii="Times New Roman" w:eastAsia="Times New Roman" w:hAnsi="Times New Roman" w:cs="Times New Roman"/>
                <w:bCs/>
                <w:lang w:eastAsia="lv-LV"/>
              </w:rPr>
            </w:pPr>
            <w:r w:rsidRPr="003D3DBB">
              <w:rPr>
                <w:rFonts w:ascii="Times New Roman" w:eastAsia="Times New Roman" w:hAnsi="Times New Roman" w:cs="Times New Roman"/>
                <w:bCs/>
                <w:lang w:eastAsia="lv-LV"/>
              </w:rPr>
              <w:t>„</w:t>
            </w:r>
            <w:bookmarkStart w:id="7" w:name="_Hlk41922604"/>
            <w:bookmarkStart w:id="8" w:name="_Hlk41643454"/>
            <w:r w:rsidRPr="003D3DBB">
              <w:rPr>
                <w:rFonts w:ascii="Times New Roman" w:eastAsia="Times New Roman" w:hAnsi="Times New Roman" w:cs="Times New Roman"/>
                <w:bCs/>
                <w:lang w:eastAsia="lv-LV"/>
              </w:rPr>
              <w:t>Atbalsta programmas dzīvojamo ēku energoefektivitātes paaugstināšanai īstenošanas kārtība</w:t>
            </w:r>
            <w:bookmarkEnd w:id="7"/>
            <w:r w:rsidRPr="003D3DBB">
              <w:rPr>
                <w:rFonts w:ascii="Times New Roman" w:eastAsia="Times New Roman" w:hAnsi="Times New Roman" w:cs="Times New Roman"/>
                <w:bCs/>
                <w:lang w:eastAsia="lv-LV"/>
              </w:rPr>
              <w:t>”</w:t>
            </w:r>
            <w:bookmarkEnd w:id="8"/>
          </w:p>
        </w:tc>
      </w:tr>
      <w:tr w:rsidR="00494B23" w:rsidRPr="00245FF2" w14:paraId="16CFB70A" w14:textId="77777777" w:rsidTr="004A52F8">
        <w:trPr>
          <w:gridAfter w:val="2"/>
          <w:wAfter w:w="1180" w:type="pct"/>
          <w:trHeight w:val="140"/>
        </w:trPr>
        <w:tc>
          <w:tcPr>
            <w:tcW w:w="217" w:type="pct"/>
            <w:tcBorders>
              <w:left w:val="single" w:sz="6" w:space="0" w:color="000000"/>
              <w:bottom w:val="single" w:sz="6" w:space="0" w:color="000000"/>
              <w:right w:val="single" w:sz="6" w:space="0" w:color="000000"/>
            </w:tcBorders>
          </w:tcPr>
          <w:p w14:paraId="456D67A5" w14:textId="77777777" w:rsidR="00494B23" w:rsidRPr="003D3DBB" w:rsidRDefault="00494B23" w:rsidP="009C59EC">
            <w:pPr>
              <w:pStyle w:val="ListParagraph"/>
              <w:numPr>
                <w:ilvl w:val="0"/>
                <w:numId w:val="1"/>
              </w:numPr>
              <w:spacing w:after="0" w:line="240" w:lineRule="auto"/>
              <w:contextualSpacing w:val="0"/>
              <w:jc w:val="center"/>
              <w:rPr>
                <w:rFonts w:ascii="Times New Roman" w:eastAsia="Times New Roman" w:hAnsi="Times New Roman" w:cs="Times New Roman"/>
                <w:lang w:eastAsia="lv-LV"/>
              </w:rPr>
            </w:pPr>
          </w:p>
        </w:tc>
        <w:tc>
          <w:tcPr>
            <w:tcW w:w="728" w:type="pct"/>
            <w:tcBorders>
              <w:top w:val="single" w:sz="6" w:space="0" w:color="000000"/>
              <w:left w:val="single" w:sz="6" w:space="0" w:color="000000"/>
              <w:bottom w:val="single" w:sz="4" w:space="0" w:color="auto"/>
              <w:right w:val="single" w:sz="6" w:space="0" w:color="000000"/>
            </w:tcBorders>
          </w:tcPr>
          <w:p w14:paraId="0C6B0DD0" w14:textId="77777777" w:rsidR="00494B23" w:rsidRPr="003D3DBB" w:rsidRDefault="00311B4B" w:rsidP="00592501">
            <w:pPr>
              <w:spacing w:after="0"/>
              <w:jc w:val="both"/>
              <w:rPr>
                <w:rFonts w:ascii="Times New Roman" w:eastAsia="Times New Roman" w:hAnsi="Times New Roman" w:cs="Times New Roman"/>
                <w:b/>
                <w:bCs/>
                <w:lang w:eastAsia="lv-LV"/>
              </w:rPr>
            </w:pPr>
            <w:r w:rsidRPr="003D3DBB">
              <w:rPr>
                <w:rFonts w:ascii="Times New Roman" w:eastAsia="Times New Roman" w:hAnsi="Times New Roman" w:cs="Times New Roman"/>
                <w:b/>
                <w:bCs/>
                <w:lang w:eastAsia="lv-LV"/>
              </w:rPr>
              <w:t>Noteikumu projekta 1.punkts:</w:t>
            </w:r>
          </w:p>
          <w:p w14:paraId="37DB0CE0" w14:textId="64AC7FCB" w:rsidR="00111C2D" w:rsidRPr="003D3DBB" w:rsidRDefault="00111C2D" w:rsidP="00592501">
            <w:pPr>
              <w:spacing w:after="0"/>
              <w:jc w:val="both"/>
              <w:rPr>
                <w:rFonts w:ascii="Times New Roman" w:eastAsia="Times New Roman" w:hAnsi="Times New Roman" w:cs="Times New Roman"/>
                <w:lang w:eastAsia="lv-LV"/>
              </w:rPr>
            </w:pPr>
            <w:r w:rsidRPr="003D3DBB">
              <w:rPr>
                <w:rFonts w:ascii="Times New Roman" w:eastAsia="Times New Roman" w:hAnsi="Times New Roman" w:cs="Times New Roman"/>
                <w:lang w:eastAsia="lv-LV"/>
              </w:rPr>
              <w:t>“1.</w:t>
            </w:r>
            <w:r w:rsidRPr="003D3DBB">
              <w:rPr>
                <w:rFonts w:ascii="Times New Roman" w:eastAsia="Times New Roman" w:hAnsi="Times New Roman" w:cs="Times New Roman"/>
                <w:lang w:eastAsia="lv-LV"/>
              </w:rPr>
              <w:tab/>
              <w:t>Noteikumi nosaka:</w:t>
            </w:r>
          </w:p>
          <w:p w14:paraId="6989C4E4" w14:textId="4BB0E817" w:rsidR="00111C2D" w:rsidRPr="003D3DBB" w:rsidRDefault="00111C2D" w:rsidP="00907110">
            <w:pPr>
              <w:spacing w:after="0"/>
              <w:jc w:val="both"/>
              <w:rPr>
                <w:rFonts w:ascii="Times New Roman" w:eastAsia="Times New Roman" w:hAnsi="Times New Roman" w:cs="Times New Roman"/>
                <w:lang w:eastAsia="lv-LV"/>
              </w:rPr>
            </w:pPr>
            <w:r w:rsidRPr="003D3DBB">
              <w:rPr>
                <w:rFonts w:ascii="Times New Roman" w:eastAsia="Times New Roman" w:hAnsi="Times New Roman" w:cs="Times New Roman"/>
                <w:lang w:eastAsia="lv-LV"/>
              </w:rPr>
              <w:t>1.1.</w:t>
            </w:r>
            <w:r w:rsidRPr="003D3DBB">
              <w:rPr>
                <w:rFonts w:ascii="Times New Roman" w:eastAsia="Times New Roman" w:hAnsi="Times New Roman" w:cs="Times New Roman"/>
                <w:lang w:eastAsia="lv-LV"/>
              </w:rPr>
              <w:tab/>
              <w:t xml:space="preserve">kārtību, kādā  akciju sabiedrība "Attīstības finanšu institūcija </w:t>
            </w:r>
            <w:proofErr w:type="spellStart"/>
            <w:r w:rsidRPr="003D3DBB">
              <w:rPr>
                <w:rFonts w:ascii="Times New Roman" w:eastAsia="Times New Roman" w:hAnsi="Times New Roman" w:cs="Times New Roman"/>
                <w:lang w:eastAsia="lv-LV"/>
              </w:rPr>
              <w:t>Altum</w:t>
            </w:r>
            <w:proofErr w:type="spellEnd"/>
            <w:r w:rsidRPr="003D3DBB">
              <w:rPr>
                <w:rFonts w:ascii="Times New Roman" w:eastAsia="Times New Roman" w:hAnsi="Times New Roman" w:cs="Times New Roman"/>
                <w:lang w:eastAsia="lv-LV"/>
              </w:rPr>
              <w:t>" (turpmāk – sabiedrība "</w:t>
            </w:r>
            <w:proofErr w:type="spellStart"/>
            <w:r w:rsidRPr="003D3DBB">
              <w:rPr>
                <w:rFonts w:ascii="Times New Roman" w:eastAsia="Times New Roman" w:hAnsi="Times New Roman" w:cs="Times New Roman"/>
                <w:lang w:eastAsia="lv-LV"/>
              </w:rPr>
              <w:t>Altum</w:t>
            </w:r>
            <w:proofErr w:type="spellEnd"/>
            <w:r w:rsidRPr="003D3DBB">
              <w:rPr>
                <w:rFonts w:ascii="Times New Roman" w:eastAsia="Times New Roman" w:hAnsi="Times New Roman" w:cs="Times New Roman"/>
                <w:lang w:eastAsia="lv-LV"/>
              </w:rPr>
              <w:t xml:space="preserve">"), izmantojot valsts energoefektivitātes fonda līdzekļus, īsteno atbalsta programmu obligātā enerģijas </w:t>
            </w:r>
            <w:proofErr w:type="spellStart"/>
            <w:r w:rsidRPr="003D3DBB">
              <w:rPr>
                <w:rFonts w:ascii="Times New Roman" w:eastAsia="Times New Roman" w:hAnsi="Times New Roman" w:cs="Times New Roman"/>
                <w:lang w:eastAsia="lv-LV"/>
              </w:rPr>
              <w:t>galapatēriņa</w:t>
            </w:r>
            <w:proofErr w:type="spellEnd"/>
            <w:r w:rsidRPr="003D3DBB">
              <w:rPr>
                <w:rFonts w:ascii="Times New Roman" w:eastAsia="Times New Roman" w:hAnsi="Times New Roman" w:cs="Times New Roman"/>
                <w:lang w:eastAsia="lv-LV"/>
              </w:rPr>
              <w:t xml:space="preserve"> mērķa sasniegšanai </w:t>
            </w:r>
          </w:p>
          <w:p w14:paraId="65533EA9" w14:textId="77777777" w:rsidR="00111C2D" w:rsidRPr="003D3DBB" w:rsidRDefault="00111C2D" w:rsidP="00907110">
            <w:pPr>
              <w:spacing w:after="0"/>
              <w:jc w:val="both"/>
              <w:rPr>
                <w:rFonts w:ascii="Times New Roman" w:eastAsia="Times New Roman" w:hAnsi="Times New Roman" w:cs="Times New Roman"/>
                <w:lang w:eastAsia="lv-LV"/>
              </w:rPr>
            </w:pPr>
            <w:r w:rsidRPr="003D3DBB">
              <w:rPr>
                <w:rFonts w:ascii="Times New Roman" w:eastAsia="Times New Roman" w:hAnsi="Times New Roman" w:cs="Times New Roman"/>
                <w:lang w:eastAsia="lv-LV"/>
              </w:rPr>
              <w:t>1.2.</w:t>
            </w:r>
            <w:r w:rsidRPr="003D3DBB">
              <w:rPr>
                <w:rFonts w:ascii="Times New Roman" w:eastAsia="Times New Roman" w:hAnsi="Times New Roman" w:cs="Times New Roman"/>
                <w:lang w:eastAsia="lv-LV"/>
              </w:rPr>
              <w:tab/>
              <w:t xml:space="preserve"> atbalsta programmas īstenošanai plānotās darbības;</w:t>
            </w:r>
          </w:p>
          <w:p w14:paraId="112DF199" w14:textId="1CBE88BA" w:rsidR="00111C2D" w:rsidRPr="003D3DBB" w:rsidRDefault="00111C2D" w:rsidP="00111C2D">
            <w:pPr>
              <w:jc w:val="both"/>
              <w:rPr>
                <w:rFonts w:ascii="Times New Roman" w:eastAsia="Times New Roman" w:hAnsi="Times New Roman" w:cs="Times New Roman"/>
                <w:lang w:eastAsia="lv-LV"/>
              </w:rPr>
            </w:pPr>
            <w:r w:rsidRPr="003D3DBB">
              <w:rPr>
                <w:rFonts w:ascii="Times New Roman" w:eastAsia="Times New Roman" w:hAnsi="Times New Roman" w:cs="Times New Roman"/>
                <w:lang w:eastAsia="lv-LV"/>
              </w:rPr>
              <w:t>1.3.</w:t>
            </w:r>
            <w:r w:rsidRPr="003D3DBB">
              <w:rPr>
                <w:rFonts w:ascii="Times New Roman" w:eastAsia="Times New Roman" w:hAnsi="Times New Roman" w:cs="Times New Roman"/>
                <w:lang w:eastAsia="lv-LV"/>
              </w:rPr>
              <w:tab/>
              <w:t xml:space="preserve">atbalsta programmas izmaksu </w:t>
            </w:r>
            <w:proofErr w:type="spellStart"/>
            <w:r w:rsidRPr="003D3DBB">
              <w:rPr>
                <w:rFonts w:ascii="Times New Roman" w:eastAsia="Times New Roman" w:hAnsi="Times New Roman" w:cs="Times New Roman"/>
                <w:lang w:eastAsia="lv-LV"/>
              </w:rPr>
              <w:t>attiecināmības</w:t>
            </w:r>
            <w:proofErr w:type="spellEnd"/>
            <w:r w:rsidRPr="003D3DBB">
              <w:rPr>
                <w:rFonts w:ascii="Times New Roman" w:eastAsia="Times New Roman" w:hAnsi="Times New Roman" w:cs="Times New Roman"/>
                <w:lang w:eastAsia="lv-LV"/>
              </w:rPr>
              <w:t xml:space="preserve"> nosacījumus.”.</w:t>
            </w:r>
          </w:p>
        </w:tc>
        <w:tc>
          <w:tcPr>
            <w:tcW w:w="1093" w:type="pct"/>
            <w:tcBorders>
              <w:top w:val="single" w:sz="6" w:space="0" w:color="000000"/>
              <w:left w:val="single" w:sz="6" w:space="0" w:color="000000"/>
              <w:bottom w:val="single" w:sz="6" w:space="0" w:color="000000"/>
              <w:right w:val="single" w:sz="6" w:space="0" w:color="000000"/>
            </w:tcBorders>
          </w:tcPr>
          <w:p w14:paraId="57E7ACBA" w14:textId="56086DDE" w:rsidR="00CB15CB" w:rsidRPr="003D3DBB" w:rsidRDefault="00CB15CB" w:rsidP="008D5485">
            <w:pPr>
              <w:spacing w:after="0" w:line="240" w:lineRule="auto"/>
              <w:jc w:val="both"/>
              <w:rPr>
                <w:rFonts w:ascii="Times New Roman" w:eastAsia="Times New Roman" w:hAnsi="Times New Roman" w:cs="Times New Roman"/>
                <w:b/>
                <w:lang w:eastAsia="lv-LV"/>
              </w:rPr>
            </w:pPr>
            <w:r w:rsidRPr="003D3DBB">
              <w:rPr>
                <w:rFonts w:ascii="Times New Roman" w:eastAsia="Times New Roman" w:hAnsi="Times New Roman" w:cs="Times New Roman"/>
                <w:b/>
                <w:lang w:eastAsia="lv-LV"/>
              </w:rPr>
              <w:t>Tieslietu ministrija</w:t>
            </w:r>
            <w:r w:rsidR="004D67CE" w:rsidRPr="003D3DBB">
              <w:rPr>
                <w:rFonts w:ascii="Times New Roman" w:eastAsia="Times New Roman" w:hAnsi="Times New Roman" w:cs="Times New Roman"/>
                <w:b/>
                <w:lang w:eastAsia="lv-LV"/>
              </w:rPr>
              <w:t>s 25.05.2020. atzinuma 2.iebildums:</w:t>
            </w:r>
          </w:p>
          <w:p w14:paraId="78B14500" w14:textId="17827B06" w:rsidR="00CB15CB" w:rsidRPr="003D3DBB" w:rsidRDefault="004D67CE" w:rsidP="00CB15CB">
            <w:pPr>
              <w:spacing w:after="0" w:line="240" w:lineRule="auto"/>
              <w:jc w:val="both"/>
              <w:rPr>
                <w:rFonts w:ascii="Times New Roman" w:eastAsia="Times New Roman" w:hAnsi="Times New Roman" w:cs="Times New Roman"/>
                <w:bCs/>
                <w:lang w:eastAsia="lv-LV"/>
              </w:rPr>
            </w:pPr>
            <w:r w:rsidRPr="003D3DBB">
              <w:rPr>
                <w:rFonts w:ascii="Times New Roman" w:eastAsia="Times New Roman" w:hAnsi="Times New Roman" w:cs="Times New Roman"/>
                <w:bCs/>
                <w:lang w:eastAsia="lv-LV"/>
              </w:rPr>
              <w:t xml:space="preserve">“2. </w:t>
            </w:r>
            <w:r w:rsidR="00CB15CB" w:rsidRPr="003D3DBB">
              <w:rPr>
                <w:rFonts w:ascii="Times New Roman" w:eastAsia="Times New Roman" w:hAnsi="Times New Roman" w:cs="Times New Roman"/>
                <w:bCs/>
                <w:lang w:eastAsia="lv-LV"/>
              </w:rPr>
              <w:t xml:space="preserve">Projekts izstrādāts, pamatojoties uz divos likumos ietvertajiem pilnvarojumiem Ministru kabinetam izdot noteikumus, t.i., Energoefektivitātes likuma 7. panta sesto daļu un Attīstības finanšu institūciju likuma 12. panta ceturto daļu. Energoefektivitātes likuma 7. panta sestā daļa (redakcijā, kas stāsies spēkā 2020. gada 26. maijā) pilnvaro Ministru kabinetu noteikt 7. panta piektajā daļā minēto valsts atbalsta programmu īstenošanai plānoto darbību un izmaksu </w:t>
            </w:r>
            <w:proofErr w:type="spellStart"/>
            <w:r w:rsidR="00CB15CB" w:rsidRPr="003D3DBB">
              <w:rPr>
                <w:rFonts w:ascii="Times New Roman" w:eastAsia="Times New Roman" w:hAnsi="Times New Roman" w:cs="Times New Roman"/>
                <w:bCs/>
                <w:lang w:eastAsia="lv-LV"/>
              </w:rPr>
              <w:t>attiecināmības</w:t>
            </w:r>
            <w:proofErr w:type="spellEnd"/>
            <w:r w:rsidR="00CB15CB" w:rsidRPr="003D3DBB">
              <w:rPr>
                <w:rFonts w:ascii="Times New Roman" w:eastAsia="Times New Roman" w:hAnsi="Times New Roman" w:cs="Times New Roman"/>
                <w:bCs/>
                <w:lang w:eastAsia="lv-LV"/>
              </w:rPr>
              <w:t xml:space="preserve"> nosacījumus, fonda pārvaldības izmaksas, kā arī kārtību, kādā Attīstības finanšu institūcija izmanto valsts energoefektivitātes fonda līdzekļus un sniedz pārskatu par to izmantošanu. Energoefektivitātes likuma 7. panta piektā daļa noteic, ka valsts energoefektivitātes fonda līdzekļi izmantojami valsts atbalsta programmu īstenošanai šādās jomās: 1) obligātā enerģijas </w:t>
            </w:r>
            <w:proofErr w:type="spellStart"/>
            <w:r w:rsidR="00CB15CB" w:rsidRPr="003D3DBB">
              <w:rPr>
                <w:rFonts w:ascii="Times New Roman" w:eastAsia="Times New Roman" w:hAnsi="Times New Roman" w:cs="Times New Roman"/>
                <w:bCs/>
                <w:lang w:eastAsia="lv-LV"/>
              </w:rPr>
              <w:t>galapatēriņa</w:t>
            </w:r>
            <w:proofErr w:type="spellEnd"/>
            <w:r w:rsidR="00CB15CB" w:rsidRPr="003D3DBB">
              <w:rPr>
                <w:rFonts w:ascii="Times New Roman" w:eastAsia="Times New Roman" w:hAnsi="Times New Roman" w:cs="Times New Roman"/>
                <w:bCs/>
                <w:lang w:eastAsia="lv-LV"/>
              </w:rPr>
              <w:t xml:space="preserve"> mērķa sasniegšanai; un 2) sabiedrības informēšanas un izglītošanas pasākumiem energoefektivitātes jomā. Savukārt Attīstības finanšu institūciju likuma 12. panta ceturtā daļa ietver pilnvarojumu Ministru kabinetam  apstiprināt programmas un noteikt to īstenošanas kārtību, finansējumu, atbalstāmo darbību un izmaksu </w:t>
            </w:r>
            <w:proofErr w:type="spellStart"/>
            <w:r w:rsidR="00CB15CB" w:rsidRPr="003D3DBB">
              <w:rPr>
                <w:rFonts w:ascii="Times New Roman" w:eastAsia="Times New Roman" w:hAnsi="Times New Roman" w:cs="Times New Roman"/>
                <w:bCs/>
                <w:lang w:eastAsia="lv-LV"/>
              </w:rPr>
              <w:t>attiecināmības</w:t>
            </w:r>
            <w:proofErr w:type="spellEnd"/>
            <w:r w:rsidR="00CB15CB" w:rsidRPr="003D3DBB">
              <w:rPr>
                <w:rFonts w:ascii="Times New Roman" w:eastAsia="Times New Roman" w:hAnsi="Times New Roman" w:cs="Times New Roman"/>
                <w:bCs/>
                <w:lang w:eastAsia="lv-LV"/>
              </w:rPr>
              <w:t xml:space="preserve"> nosacījumus, tai skaitā finansējumu Attīstības finanšu institūcijas izdevumu segšanai. </w:t>
            </w:r>
          </w:p>
          <w:p w14:paraId="2A9A2717" w14:textId="258ACA02" w:rsidR="00494B23" w:rsidRPr="003D3DBB" w:rsidRDefault="00CB15CB" w:rsidP="00CB15CB">
            <w:pPr>
              <w:spacing w:after="0" w:line="240" w:lineRule="auto"/>
              <w:jc w:val="both"/>
              <w:rPr>
                <w:rFonts w:ascii="Times New Roman" w:eastAsia="Times New Roman" w:hAnsi="Times New Roman" w:cs="Times New Roman"/>
                <w:bCs/>
                <w:lang w:eastAsia="lv-LV"/>
              </w:rPr>
            </w:pPr>
            <w:r w:rsidRPr="003D3DBB">
              <w:rPr>
                <w:rFonts w:ascii="Times New Roman" w:eastAsia="Times New Roman" w:hAnsi="Times New Roman" w:cs="Times New Roman"/>
                <w:bCs/>
                <w:lang w:eastAsia="lv-LV"/>
              </w:rPr>
              <w:t xml:space="preserve">Ievērojot minēto, lūdzam izvērtēt un attiecīgi precizēt projekta 1. punktu, nepieciešamības gadījumā papildinot to atbilstoši minētajos likumos ietvertajam pilnvarojumam, kā arī lūdzam izvērtēt visa projekta satura atbilstību </w:t>
            </w:r>
            <w:r w:rsidRPr="003D3DBB">
              <w:rPr>
                <w:rFonts w:ascii="Times New Roman" w:eastAsia="Times New Roman" w:hAnsi="Times New Roman" w:cs="Times New Roman"/>
                <w:bCs/>
                <w:lang w:eastAsia="lv-LV"/>
              </w:rPr>
              <w:lastRenderedPageBreak/>
              <w:t xml:space="preserve">minētajam pilnvarojumam – proti, vai šobrīd ar projektā ietverto regulējumu tiek izpildīts viss Ministru kabinetam dotais uzdevums.  Piemēram, šobrīd projekts neparedz kārtību, kādā īstenojama valsts atbalsta programma sabiedrības informēšanas un izglītošanas pasākumiem energoefektivitātes jomā, kārtību, kādā akciju sabiedrība "Attīstības finanšu institūcija </w:t>
            </w:r>
            <w:proofErr w:type="spellStart"/>
            <w:r w:rsidRPr="003D3DBB">
              <w:rPr>
                <w:rFonts w:ascii="Times New Roman" w:eastAsia="Times New Roman" w:hAnsi="Times New Roman" w:cs="Times New Roman"/>
                <w:bCs/>
                <w:lang w:eastAsia="lv-LV"/>
              </w:rPr>
              <w:t>Altum</w:t>
            </w:r>
            <w:proofErr w:type="spellEnd"/>
            <w:r w:rsidRPr="003D3DBB">
              <w:rPr>
                <w:rFonts w:ascii="Times New Roman" w:eastAsia="Times New Roman" w:hAnsi="Times New Roman" w:cs="Times New Roman"/>
                <w:bCs/>
                <w:lang w:eastAsia="lv-LV"/>
              </w:rPr>
              <w:t>" sniedz pārskatu par valsts energoefektivitātes fonda līdzekļu izmantošanu. Tajā skaitā projekts arī nenoteic energoefektivitātes fonda pārvaldības izmaksas.</w:t>
            </w:r>
            <w:r w:rsidR="004D67CE" w:rsidRPr="003D3DBB">
              <w:rPr>
                <w:rFonts w:ascii="Times New Roman" w:eastAsia="Times New Roman" w:hAnsi="Times New Roman" w:cs="Times New Roman"/>
                <w:bCs/>
                <w:lang w:eastAsia="lv-LV"/>
              </w:rPr>
              <w:t>”</w:t>
            </w:r>
          </w:p>
        </w:tc>
        <w:tc>
          <w:tcPr>
            <w:tcW w:w="836" w:type="pct"/>
            <w:gridSpan w:val="2"/>
            <w:tcBorders>
              <w:top w:val="single" w:sz="6" w:space="0" w:color="000000"/>
              <w:left w:val="single" w:sz="6" w:space="0" w:color="000000"/>
              <w:bottom w:val="single" w:sz="6" w:space="0" w:color="000000"/>
              <w:right w:val="single" w:sz="6" w:space="0" w:color="000000"/>
            </w:tcBorders>
          </w:tcPr>
          <w:p w14:paraId="77B3AB4C" w14:textId="77777777" w:rsidR="00494B23" w:rsidRPr="003D3DBB" w:rsidRDefault="00311B4B" w:rsidP="00494B23">
            <w:pPr>
              <w:spacing w:after="0" w:line="240" w:lineRule="auto"/>
              <w:jc w:val="center"/>
              <w:rPr>
                <w:rFonts w:ascii="Times New Roman" w:eastAsia="Times New Roman" w:hAnsi="Times New Roman" w:cs="Times New Roman"/>
                <w:b/>
                <w:lang w:eastAsia="lv-LV"/>
              </w:rPr>
            </w:pPr>
            <w:r w:rsidRPr="003D3DBB">
              <w:rPr>
                <w:rFonts w:ascii="Times New Roman" w:eastAsia="Times New Roman" w:hAnsi="Times New Roman" w:cs="Times New Roman"/>
                <w:b/>
                <w:lang w:eastAsia="lv-LV"/>
              </w:rPr>
              <w:lastRenderedPageBreak/>
              <w:t>Ņemts vērā</w:t>
            </w:r>
          </w:p>
          <w:p w14:paraId="7D4E6B58" w14:textId="6508EFA7" w:rsidR="00311B4B" w:rsidRPr="003D3DBB" w:rsidRDefault="00311B4B" w:rsidP="00311B4B">
            <w:pPr>
              <w:spacing w:after="0" w:line="240" w:lineRule="auto"/>
              <w:jc w:val="both"/>
              <w:rPr>
                <w:rFonts w:ascii="Times New Roman" w:eastAsia="Times New Roman" w:hAnsi="Times New Roman" w:cs="Times New Roman"/>
                <w:bCs/>
                <w:lang w:eastAsia="lv-LV"/>
              </w:rPr>
            </w:pPr>
            <w:r w:rsidRPr="003D3DBB">
              <w:rPr>
                <w:rFonts w:ascii="Times New Roman" w:eastAsia="Times New Roman" w:hAnsi="Times New Roman" w:cs="Times New Roman"/>
                <w:bCs/>
                <w:lang w:eastAsia="lv-LV"/>
              </w:rPr>
              <w:t>Paskaidrojam,</w:t>
            </w:r>
            <w:r w:rsidR="00073D5A" w:rsidRPr="003D3DBB">
              <w:rPr>
                <w:rFonts w:ascii="Times New Roman" w:eastAsia="Times New Roman" w:hAnsi="Times New Roman" w:cs="Times New Roman"/>
                <w:bCs/>
                <w:lang w:eastAsia="lv-LV"/>
              </w:rPr>
              <w:t xml:space="preserve"> ka</w:t>
            </w:r>
            <w:r w:rsidRPr="003D3DBB">
              <w:rPr>
                <w:rFonts w:ascii="Times New Roman" w:eastAsia="Times New Roman" w:hAnsi="Times New Roman" w:cs="Times New Roman"/>
                <w:bCs/>
                <w:lang w:eastAsia="lv-LV"/>
              </w:rPr>
              <w:t xml:space="preserve"> </w:t>
            </w:r>
            <w:r w:rsidR="00505F1E" w:rsidRPr="003D3DBB">
              <w:rPr>
                <w:rFonts w:ascii="Times New Roman" w:eastAsia="Times New Roman" w:hAnsi="Times New Roman" w:cs="Times New Roman"/>
                <w:bCs/>
                <w:lang w:eastAsia="lv-LV"/>
              </w:rPr>
              <w:t>Noteikumu projekts ir izstrādāts</w:t>
            </w:r>
            <w:r w:rsidRPr="003D3DBB">
              <w:rPr>
                <w:rFonts w:ascii="Times New Roman" w:eastAsia="Times New Roman" w:hAnsi="Times New Roman" w:cs="Times New Roman"/>
                <w:bCs/>
                <w:lang w:eastAsia="lv-LV"/>
              </w:rPr>
              <w:t xml:space="preserve"> atbilstoši Energoefektivitātes likuma 7. panta sest</w:t>
            </w:r>
            <w:r w:rsidR="00505F1E" w:rsidRPr="003D3DBB">
              <w:rPr>
                <w:rFonts w:ascii="Times New Roman" w:eastAsia="Times New Roman" w:hAnsi="Times New Roman" w:cs="Times New Roman"/>
                <w:bCs/>
                <w:lang w:eastAsia="lv-LV"/>
              </w:rPr>
              <w:t>ajai</w:t>
            </w:r>
            <w:r w:rsidRPr="003D3DBB">
              <w:rPr>
                <w:rFonts w:ascii="Times New Roman" w:eastAsia="Times New Roman" w:hAnsi="Times New Roman" w:cs="Times New Roman"/>
                <w:bCs/>
                <w:lang w:eastAsia="lv-LV"/>
              </w:rPr>
              <w:t xml:space="preserve"> daļa</w:t>
            </w:r>
            <w:r w:rsidR="00505F1E" w:rsidRPr="003D3DBB">
              <w:rPr>
                <w:rFonts w:ascii="Times New Roman" w:eastAsia="Times New Roman" w:hAnsi="Times New Roman" w:cs="Times New Roman"/>
                <w:bCs/>
                <w:lang w:eastAsia="lv-LV"/>
              </w:rPr>
              <w:t>i</w:t>
            </w:r>
            <w:r w:rsidRPr="003D3DBB">
              <w:rPr>
                <w:rFonts w:ascii="Times New Roman" w:eastAsia="Times New Roman" w:hAnsi="Times New Roman" w:cs="Times New Roman"/>
                <w:bCs/>
                <w:lang w:eastAsia="lv-LV"/>
              </w:rPr>
              <w:t xml:space="preserve"> (redakcijā, kas stā</w:t>
            </w:r>
            <w:r w:rsidR="00720DCC" w:rsidRPr="003D3DBB">
              <w:rPr>
                <w:rFonts w:ascii="Times New Roman" w:eastAsia="Times New Roman" w:hAnsi="Times New Roman" w:cs="Times New Roman"/>
                <w:bCs/>
                <w:lang w:eastAsia="lv-LV"/>
              </w:rPr>
              <w:t>jas</w:t>
            </w:r>
            <w:r w:rsidRPr="003D3DBB">
              <w:rPr>
                <w:rFonts w:ascii="Times New Roman" w:eastAsia="Times New Roman" w:hAnsi="Times New Roman" w:cs="Times New Roman"/>
                <w:bCs/>
                <w:lang w:eastAsia="lv-LV"/>
              </w:rPr>
              <w:t xml:space="preserve"> spēkā 2020. gada 26. maijā)</w:t>
            </w:r>
            <w:r w:rsidR="00505F1E" w:rsidRPr="003D3DBB">
              <w:rPr>
                <w:rFonts w:ascii="Times New Roman" w:eastAsia="Times New Roman" w:hAnsi="Times New Roman" w:cs="Times New Roman"/>
                <w:bCs/>
                <w:lang w:eastAsia="lv-LV"/>
              </w:rPr>
              <w:t xml:space="preserve">. Vienlaikus uz minētā regulējuma pamata ir izdoti </w:t>
            </w:r>
            <w:r w:rsidR="00073D5A" w:rsidRPr="003D3DBB">
              <w:rPr>
                <w:rFonts w:ascii="Times New Roman" w:eastAsia="Times New Roman" w:hAnsi="Times New Roman" w:cs="Times New Roman"/>
                <w:bCs/>
                <w:lang w:eastAsia="lv-LV"/>
              </w:rPr>
              <w:t>Ministru kabineta 2017.gada 25.aprīļa noteikumi Nr. 221 “Noteikumi par kārtību, kādā tiek veiktas iemaksas energoefektivitātes fondos, un to apmēru, kā arī energoefektivitātes fonda līdzekļu izmantošanu”</w:t>
            </w:r>
            <w:r w:rsidR="00AD0698" w:rsidRPr="003D3DBB">
              <w:rPr>
                <w:rFonts w:ascii="Times New Roman" w:eastAsia="Times New Roman" w:hAnsi="Times New Roman" w:cs="Times New Roman"/>
                <w:bCs/>
                <w:lang w:eastAsia="lv-LV"/>
              </w:rPr>
              <w:t>.</w:t>
            </w:r>
            <w:r w:rsidR="00505F1E" w:rsidRPr="003D3DBB">
              <w:rPr>
                <w:rFonts w:ascii="Times New Roman" w:eastAsia="Times New Roman" w:hAnsi="Times New Roman" w:cs="Times New Roman"/>
                <w:bCs/>
                <w:lang w:eastAsia="lv-LV"/>
              </w:rPr>
              <w:t xml:space="preserve"> Minētajos noteikumos ir veikti </w:t>
            </w:r>
            <w:r w:rsidR="00073D5A" w:rsidRPr="003D3DBB">
              <w:rPr>
                <w:rFonts w:ascii="Times New Roman" w:eastAsia="Times New Roman" w:hAnsi="Times New Roman" w:cs="Times New Roman"/>
                <w:bCs/>
                <w:lang w:eastAsia="lv-LV"/>
              </w:rPr>
              <w:t>grozījumi,</w:t>
            </w:r>
            <w:r w:rsidR="00505F1E" w:rsidRPr="003D3DBB">
              <w:rPr>
                <w:rFonts w:ascii="Times New Roman" w:eastAsia="Times New Roman" w:hAnsi="Times New Roman" w:cs="Times New Roman"/>
                <w:bCs/>
                <w:lang w:eastAsia="lv-LV"/>
              </w:rPr>
              <w:t xml:space="preserve"> </w:t>
            </w:r>
            <w:r w:rsidR="00073D5A" w:rsidRPr="003D3DBB">
              <w:rPr>
                <w:rFonts w:ascii="Times New Roman" w:eastAsia="Times New Roman" w:hAnsi="Times New Roman" w:cs="Times New Roman"/>
                <w:bCs/>
                <w:lang w:eastAsia="lv-LV"/>
              </w:rPr>
              <w:t xml:space="preserve">kas šobrīd </w:t>
            </w:r>
            <w:r w:rsidR="00AD0698" w:rsidRPr="003D3DBB">
              <w:rPr>
                <w:rFonts w:ascii="Times New Roman" w:eastAsia="Times New Roman" w:hAnsi="Times New Roman" w:cs="Times New Roman"/>
                <w:bCs/>
                <w:lang w:eastAsia="lv-LV"/>
              </w:rPr>
              <w:t xml:space="preserve">ir </w:t>
            </w:r>
            <w:r w:rsidR="00073D5A" w:rsidRPr="003D3DBB">
              <w:rPr>
                <w:rFonts w:ascii="Times New Roman" w:eastAsia="Times New Roman" w:hAnsi="Times New Roman" w:cs="Times New Roman"/>
                <w:bCs/>
                <w:lang w:eastAsia="lv-LV"/>
              </w:rPr>
              <w:t xml:space="preserve">iesniegti </w:t>
            </w:r>
            <w:r w:rsidR="00505F1E" w:rsidRPr="003D3DBB">
              <w:rPr>
                <w:rFonts w:ascii="Times New Roman" w:eastAsia="Times New Roman" w:hAnsi="Times New Roman" w:cs="Times New Roman"/>
                <w:bCs/>
                <w:lang w:eastAsia="lv-LV"/>
              </w:rPr>
              <w:t>izskatīšanai Ministru kabinetā</w:t>
            </w:r>
            <w:r w:rsidR="00073D5A" w:rsidRPr="003D3DBB">
              <w:rPr>
                <w:rFonts w:ascii="Times New Roman" w:eastAsia="Times New Roman" w:hAnsi="Times New Roman" w:cs="Times New Roman"/>
                <w:bCs/>
                <w:lang w:eastAsia="lv-LV"/>
              </w:rPr>
              <w:t xml:space="preserve"> (Ministru kabineta noteikumu projekts  “Grozījumi Ministru kabineta 2017.gada 25.aprīļa noteikumos Nr. 221 “Noteikumi par kārtību, kādā tiek veiktas iemaksas energoefektivitātes fondos, un to apmēru, kā arī energoefektivitātes fonda līdzekļu izmantošanu” (VSS-107). Grozījumi paredz </w:t>
            </w:r>
            <w:r w:rsidR="00505F1E" w:rsidRPr="003D3DBB">
              <w:rPr>
                <w:rFonts w:ascii="Times New Roman" w:eastAsia="Times New Roman" w:hAnsi="Times New Roman" w:cs="Times New Roman"/>
                <w:bCs/>
                <w:lang w:eastAsia="lv-LV"/>
              </w:rPr>
              <w:t xml:space="preserve"> </w:t>
            </w:r>
            <w:r w:rsidR="00073D5A" w:rsidRPr="003D3DBB">
              <w:rPr>
                <w:rFonts w:ascii="Times New Roman" w:eastAsia="Times New Roman" w:hAnsi="Times New Roman" w:cs="Times New Roman"/>
                <w:bCs/>
                <w:lang w:eastAsia="lv-LV"/>
              </w:rPr>
              <w:t xml:space="preserve">kārtību, kādā </w:t>
            </w:r>
            <w:r w:rsidR="00720DCC" w:rsidRPr="003D3DBB">
              <w:rPr>
                <w:rFonts w:ascii="Times New Roman" w:eastAsia="Times New Roman" w:hAnsi="Times New Roman" w:cs="Times New Roman"/>
                <w:bCs/>
                <w:lang w:eastAsia="lv-LV"/>
              </w:rPr>
              <w:t xml:space="preserve">tiek </w:t>
            </w:r>
            <w:r w:rsidR="00073D5A" w:rsidRPr="003D3DBB">
              <w:rPr>
                <w:rFonts w:ascii="Times New Roman" w:eastAsia="Times New Roman" w:hAnsi="Times New Roman" w:cs="Times New Roman"/>
                <w:bCs/>
                <w:lang w:eastAsia="lv-LV"/>
              </w:rPr>
              <w:t>īsteno</w:t>
            </w:r>
            <w:r w:rsidR="00720DCC" w:rsidRPr="003D3DBB">
              <w:rPr>
                <w:rFonts w:ascii="Times New Roman" w:eastAsia="Times New Roman" w:hAnsi="Times New Roman" w:cs="Times New Roman"/>
                <w:bCs/>
                <w:lang w:eastAsia="lv-LV"/>
              </w:rPr>
              <w:t xml:space="preserve">ti </w:t>
            </w:r>
            <w:r w:rsidR="00073D5A" w:rsidRPr="003D3DBB">
              <w:rPr>
                <w:rFonts w:ascii="Times New Roman" w:eastAsia="Times New Roman" w:hAnsi="Times New Roman" w:cs="Times New Roman"/>
                <w:bCs/>
                <w:lang w:eastAsia="lv-LV"/>
              </w:rPr>
              <w:t xml:space="preserve">sabiedrības informēšanas un izglītošanas pasākumi energoefektivitātes jomā, kā arī </w:t>
            </w:r>
            <w:r w:rsidR="00505F1E" w:rsidRPr="003D3DBB">
              <w:rPr>
                <w:rFonts w:ascii="Times New Roman" w:eastAsia="Times New Roman" w:hAnsi="Times New Roman" w:cs="Times New Roman"/>
                <w:bCs/>
                <w:lang w:eastAsia="lv-LV"/>
              </w:rPr>
              <w:t xml:space="preserve"> </w:t>
            </w:r>
            <w:r w:rsidR="00073D5A" w:rsidRPr="003D3DBB">
              <w:rPr>
                <w:rFonts w:ascii="Times New Roman" w:eastAsia="Times New Roman" w:hAnsi="Times New Roman" w:cs="Times New Roman"/>
                <w:bCs/>
                <w:lang w:eastAsia="lv-LV"/>
              </w:rPr>
              <w:t xml:space="preserve">kārtību, kādā akciju sabiedrība "Attīstības finanšu institūcija </w:t>
            </w:r>
            <w:proofErr w:type="spellStart"/>
            <w:r w:rsidR="00073D5A" w:rsidRPr="003D3DBB">
              <w:rPr>
                <w:rFonts w:ascii="Times New Roman" w:eastAsia="Times New Roman" w:hAnsi="Times New Roman" w:cs="Times New Roman"/>
                <w:bCs/>
                <w:lang w:eastAsia="lv-LV"/>
              </w:rPr>
              <w:t>Altum</w:t>
            </w:r>
            <w:proofErr w:type="spellEnd"/>
            <w:r w:rsidR="00073D5A" w:rsidRPr="003D3DBB">
              <w:rPr>
                <w:rFonts w:ascii="Times New Roman" w:eastAsia="Times New Roman" w:hAnsi="Times New Roman" w:cs="Times New Roman"/>
                <w:bCs/>
                <w:lang w:eastAsia="lv-LV"/>
              </w:rPr>
              <w:t>" sniedz pārskatu par valsts energoefektivitātes fonda līdzekļu izmantošanu.</w:t>
            </w:r>
          </w:p>
          <w:p w14:paraId="76DA7325" w14:textId="3CDA6516" w:rsidR="00073D5A" w:rsidRPr="003D3DBB" w:rsidRDefault="00073D5A" w:rsidP="00311B4B">
            <w:pPr>
              <w:spacing w:after="0" w:line="240" w:lineRule="auto"/>
              <w:jc w:val="both"/>
              <w:rPr>
                <w:rFonts w:ascii="Times New Roman" w:eastAsia="Times New Roman" w:hAnsi="Times New Roman" w:cs="Times New Roman"/>
                <w:bCs/>
                <w:lang w:eastAsia="lv-LV"/>
              </w:rPr>
            </w:pPr>
            <w:r w:rsidRPr="003D3DBB">
              <w:rPr>
                <w:rFonts w:ascii="Times New Roman" w:eastAsia="Times New Roman" w:hAnsi="Times New Roman" w:cs="Times New Roman"/>
                <w:bCs/>
                <w:lang w:eastAsia="lv-LV"/>
              </w:rPr>
              <w:t xml:space="preserve">Ņemot vērā minēto, ar minētajiem regulējumiem tiek izpildīts viss </w:t>
            </w:r>
            <w:r w:rsidRPr="003D3DBB">
              <w:rPr>
                <w:rFonts w:ascii="Times New Roman" w:eastAsia="Times New Roman" w:hAnsi="Times New Roman" w:cs="Times New Roman"/>
                <w:bCs/>
                <w:lang w:eastAsia="lv-LV"/>
              </w:rPr>
              <w:lastRenderedPageBreak/>
              <w:t>Ministru kabinetam dotais uzdevums.</w:t>
            </w:r>
            <w:r w:rsidR="00D772FE" w:rsidRPr="003D3DBB">
              <w:rPr>
                <w:rFonts w:ascii="Times New Roman" w:eastAsia="Times New Roman" w:hAnsi="Times New Roman" w:cs="Times New Roman"/>
                <w:bCs/>
                <w:lang w:eastAsia="lv-LV"/>
              </w:rPr>
              <w:t xml:space="preserve"> Vienlaikus ir papildināti noteikumi ar 8. un 9.punktu.</w:t>
            </w:r>
          </w:p>
        </w:tc>
        <w:tc>
          <w:tcPr>
            <w:tcW w:w="946" w:type="pct"/>
            <w:tcBorders>
              <w:left w:val="single" w:sz="4" w:space="0" w:color="auto"/>
              <w:bottom w:val="single" w:sz="4" w:space="0" w:color="auto"/>
              <w:right w:val="single" w:sz="4" w:space="0" w:color="auto"/>
            </w:tcBorders>
          </w:tcPr>
          <w:p w14:paraId="5054EBD8" w14:textId="423E3305" w:rsidR="00111C2D" w:rsidRPr="003D3DBB" w:rsidRDefault="00111C2D" w:rsidP="00111C2D">
            <w:pPr>
              <w:spacing w:after="0" w:line="240" w:lineRule="auto"/>
              <w:jc w:val="both"/>
              <w:rPr>
                <w:rFonts w:ascii="Times New Roman" w:eastAsia="Times New Roman" w:hAnsi="Times New Roman" w:cs="Times New Roman"/>
                <w:b/>
                <w:lang w:eastAsia="lv-LV"/>
              </w:rPr>
            </w:pPr>
            <w:r w:rsidRPr="003D3DBB">
              <w:rPr>
                <w:rFonts w:ascii="Times New Roman" w:eastAsia="Times New Roman" w:hAnsi="Times New Roman" w:cs="Times New Roman"/>
                <w:b/>
                <w:lang w:eastAsia="lv-LV"/>
              </w:rPr>
              <w:lastRenderedPageBreak/>
              <w:t>Noteikumu projekta 1.punkts izteikts šādā redakcijā:</w:t>
            </w:r>
          </w:p>
          <w:p w14:paraId="64E89B34" w14:textId="77777777" w:rsidR="00111C2D" w:rsidRPr="003D3DBB" w:rsidRDefault="00111C2D" w:rsidP="00111C2D">
            <w:pPr>
              <w:spacing w:after="0" w:line="240" w:lineRule="auto"/>
              <w:jc w:val="both"/>
              <w:rPr>
                <w:rFonts w:ascii="Times New Roman" w:eastAsia="Times New Roman" w:hAnsi="Times New Roman" w:cs="Times New Roman"/>
                <w:bCs/>
                <w:lang w:eastAsia="lv-LV"/>
              </w:rPr>
            </w:pPr>
            <w:r w:rsidRPr="003D3DBB">
              <w:rPr>
                <w:rFonts w:ascii="Times New Roman" w:eastAsia="Times New Roman" w:hAnsi="Times New Roman" w:cs="Times New Roman"/>
                <w:bCs/>
                <w:lang w:eastAsia="lv-LV"/>
              </w:rPr>
              <w:t>“</w:t>
            </w:r>
            <w:bookmarkStart w:id="9" w:name="_Hlk41643555"/>
            <w:r w:rsidRPr="003D3DBB">
              <w:rPr>
                <w:rFonts w:ascii="Times New Roman" w:eastAsia="Times New Roman" w:hAnsi="Times New Roman" w:cs="Times New Roman"/>
                <w:bCs/>
                <w:lang w:eastAsia="lv-LV"/>
              </w:rPr>
              <w:t>1.</w:t>
            </w:r>
            <w:r w:rsidRPr="003D3DBB">
              <w:rPr>
                <w:rFonts w:ascii="Times New Roman" w:eastAsia="Times New Roman" w:hAnsi="Times New Roman" w:cs="Times New Roman"/>
                <w:bCs/>
                <w:lang w:eastAsia="lv-LV"/>
              </w:rPr>
              <w:tab/>
              <w:t>Noteikumi nosaka:</w:t>
            </w:r>
          </w:p>
          <w:p w14:paraId="4C904028" w14:textId="54FA1C6A" w:rsidR="00111C2D" w:rsidRPr="003D3DBB" w:rsidRDefault="00111C2D" w:rsidP="006A1C7C">
            <w:pPr>
              <w:pStyle w:val="ListParagraph"/>
              <w:numPr>
                <w:ilvl w:val="1"/>
                <w:numId w:val="5"/>
              </w:numPr>
              <w:spacing w:after="0" w:line="240" w:lineRule="auto"/>
              <w:ind w:left="39" w:hanging="39"/>
              <w:jc w:val="both"/>
              <w:rPr>
                <w:rFonts w:ascii="Times New Roman" w:eastAsia="Times New Roman" w:hAnsi="Times New Roman" w:cs="Times New Roman"/>
                <w:bCs/>
                <w:lang w:eastAsia="lv-LV"/>
              </w:rPr>
            </w:pPr>
            <w:r w:rsidRPr="003D3DBB">
              <w:rPr>
                <w:rFonts w:ascii="Times New Roman" w:eastAsia="Times New Roman" w:hAnsi="Times New Roman" w:cs="Times New Roman"/>
                <w:bCs/>
                <w:lang w:eastAsia="lv-LV"/>
              </w:rPr>
              <w:t xml:space="preserve">kārtību, kādā  akciju sabiedrība "Attīstības finanšu institūcija </w:t>
            </w:r>
            <w:proofErr w:type="spellStart"/>
            <w:r w:rsidRPr="003D3DBB">
              <w:rPr>
                <w:rFonts w:ascii="Times New Roman" w:eastAsia="Times New Roman" w:hAnsi="Times New Roman" w:cs="Times New Roman"/>
                <w:bCs/>
                <w:lang w:eastAsia="lv-LV"/>
              </w:rPr>
              <w:t>Altum</w:t>
            </w:r>
            <w:proofErr w:type="spellEnd"/>
            <w:r w:rsidRPr="003D3DBB">
              <w:rPr>
                <w:rFonts w:ascii="Times New Roman" w:eastAsia="Times New Roman" w:hAnsi="Times New Roman" w:cs="Times New Roman"/>
                <w:bCs/>
                <w:lang w:eastAsia="lv-LV"/>
              </w:rPr>
              <w:t>" (turpmāk – sabiedrība "</w:t>
            </w:r>
            <w:proofErr w:type="spellStart"/>
            <w:r w:rsidRPr="003D3DBB">
              <w:rPr>
                <w:rFonts w:ascii="Times New Roman" w:eastAsia="Times New Roman" w:hAnsi="Times New Roman" w:cs="Times New Roman"/>
                <w:bCs/>
                <w:lang w:eastAsia="lv-LV"/>
              </w:rPr>
              <w:t>Altum</w:t>
            </w:r>
            <w:proofErr w:type="spellEnd"/>
            <w:r w:rsidRPr="003D3DBB">
              <w:rPr>
                <w:rFonts w:ascii="Times New Roman" w:eastAsia="Times New Roman" w:hAnsi="Times New Roman" w:cs="Times New Roman"/>
                <w:bCs/>
                <w:lang w:eastAsia="lv-LV"/>
              </w:rPr>
              <w:t xml:space="preserve">") īsteno atbalsta programmu obligātā enerģijas </w:t>
            </w:r>
            <w:proofErr w:type="spellStart"/>
            <w:r w:rsidRPr="003D3DBB">
              <w:rPr>
                <w:rFonts w:ascii="Times New Roman" w:eastAsia="Times New Roman" w:hAnsi="Times New Roman" w:cs="Times New Roman"/>
                <w:bCs/>
                <w:lang w:eastAsia="lv-LV"/>
              </w:rPr>
              <w:t>galapatēriņa</w:t>
            </w:r>
            <w:proofErr w:type="spellEnd"/>
            <w:r w:rsidRPr="003D3DBB">
              <w:rPr>
                <w:rFonts w:ascii="Times New Roman" w:eastAsia="Times New Roman" w:hAnsi="Times New Roman" w:cs="Times New Roman"/>
                <w:bCs/>
                <w:lang w:eastAsia="lv-LV"/>
              </w:rPr>
              <w:t xml:space="preserve"> mērķa sasniegšanai;</w:t>
            </w:r>
          </w:p>
          <w:p w14:paraId="4A96FCA5" w14:textId="68E44690" w:rsidR="00111C2D" w:rsidRPr="003D3DBB" w:rsidRDefault="006A1C7C" w:rsidP="006A1C7C">
            <w:pPr>
              <w:pStyle w:val="ListParagraph"/>
              <w:numPr>
                <w:ilvl w:val="1"/>
                <w:numId w:val="5"/>
              </w:numPr>
              <w:spacing w:after="0" w:line="240" w:lineRule="auto"/>
              <w:ind w:left="0" w:firstLine="0"/>
              <w:jc w:val="both"/>
              <w:rPr>
                <w:rFonts w:ascii="Times New Roman" w:eastAsia="Times New Roman" w:hAnsi="Times New Roman" w:cs="Times New Roman"/>
                <w:bCs/>
                <w:lang w:eastAsia="lv-LV"/>
              </w:rPr>
            </w:pPr>
            <w:bookmarkStart w:id="10" w:name="_Hlk41922831"/>
            <w:r w:rsidRPr="003D3DBB">
              <w:rPr>
                <w:rFonts w:ascii="Times New Roman" w:eastAsia="Times New Roman" w:hAnsi="Times New Roman" w:cs="Times New Roman"/>
                <w:bCs/>
                <w:lang w:eastAsia="lv-LV"/>
              </w:rPr>
              <w:t>atbalsta programmai pieejam</w:t>
            </w:r>
            <w:r w:rsidR="000A3EDD" w:rsidRPr="003D3DBB">
              <w:rPr>
                <w:rFonts w:ascii="Times New Roman" w:eastAsia="Times New Roman" w:hAnsi="Times New Roman" w:cs="Times New Roman"/>
                <w:bCs/>
                <w:lang w:eastAsia="lv-LV"/>
              </w:rPr>
              <w:t>o</w:t>
            </w:r>
            <w:r w:rsidRPr="003D3DBB">
              <w:rPr>
                <w:rFonts w:ascii="Times New Roman" w:eastAsia="Times New Roman" w:hAnsi="Times New Roman" w:cs="Times New Roman"/>
                <w:bCs/>
                <w:lang w:eastAsia="lv-LV"/>
              </w:rPr>
              <w:t xml:space="preserve"> finansējum</w:t>
            </w:r>
            <w:r w:rsidR="000A3EDD" w:rsidRPr="003D3DBB">
              <w:rPr>
                <w:rFonts w:ascii="Times New Roman" w:eastAsia="Times New Roman" w:hAnsi="Times New Roman" w:cs="Times New Roman"/>
                <w:bCs/>
                <w:lang w:eastAsia="lv-LV"/>
              </w:rPr>
              <w:t>u, tā izmantošanu</w:t>
            </w:r>
            <w:bookmarkEnd w:id="10"/>
            <w:r w:rsidR="00CF66AE" w:rsidRPr="003D3DBB">
              <w:rPr>
                <w:rFonts w:ascii="Times New Roman" w:eastAsia="Times New Roman" w:hAnsi="Times New Roman" w:cs="Times New Roman"/>
                <w:bCs/>
                <w:lang w:eastAsia="lv-LV"/>
              </w:rPr>
              <w:t>;</w:t>
            </w:r>
            <w:r w:rsidR="00111C2D" w:rsidRPr="003D3DBB">
              <w:rPr>
                <w:rFonts w:ascii="Times New Roman" w:eastAsia="Times New Roman" w:hAnsi="Times New Roman" w:cs="Times New Roman"/>
                <w:bCs/>
                <w:lang w:eastAsia="lv-LV"/>
              </w:rPr>
              <w:t xml:space="preserve"> </w:t>
            </w:r>
          </w:p>
          <w:p w14:paraId="1D672F38" w14:textId="62A14B1B" w:rsidR="00111C2D" w:rsidRPr="003D3DBB" w:rsidRDefault="00111C2D" w:rsidP="00111C2D">
            <w:pPr>
              <w:spacing w:after="0" w:line="240" w:lineRule="auto"/>
              <w:jc w:val="both"/>
              <w:rPr>
                <w:rFonts w:ascii="Times New Roman" w:eastAsia="Times New Roman" w:hAnsi="Times New Roman" w:cs="Times New Roman"/>
                <w:bCs/>
                <w:lang w:eastAsia="lv-LV"/>
              </w:rPr>
            </w:pPr>
            <w:r w:rsidRPr="003D3DBB">
              <w:rPr>
                <w:rFonts w:ascii="Times New Roman" w:eastAsia="Times New Roman" w:hAnsi="Times New Roman" w:cs="Times New Roman"/>
                <w:bCs/>
                <w:lang w:eastAsia="lv-LV"/>
              </w:rPr>
              <w:t>1.</w:t>
            </w:r>
            <w:r w:rsidR="00CF66AE" w:rsidRPr="003D3DBB">
              <w:rPr>
                <w:rFonts w:ascii="Times New Roman" w:eastAsia="Times New Roman" w:hAnsi="Times New Roman" w:cs="Times New Roman"/>
                <w:bCs/>
                <w:lang w:eastAsia="lv-LV"/>
              </w:rPr>
              <w:t>3</w:t>
            </w:r>
            <w:r w:rsidRPr="003D3DBB">
              <w:rPr>
                <w:rFonts w:ascii="Times New Roman" w:eastAsia="Times New Roman" w:hAnsi="Times New Roman" w:cs="Times New Roman"/>
                <w:bCs/>
                <w:lang w:eastAsia="lv-LV"/>
              </w:rPr>
              <w:t>.</w:t>
            </w:r>
            <w:r w:rsidRPr="003D3DBB">
              <w:rPr>
                <w:rFonts w:ascii="Times New Roman" w:eastAsia="Times New Roman" w:hAnsi="Times New Roman" w:cs="Times New Roman"/>
                <w:bCs/>
                <w:lang w:eastAsia="lv-LV"/>
              </w:rPr>
              <w:tab/>
              <w:t xml:space="preserve"> atbalsta programmas īstenošanai plānotās darbības;</w:t>
            </w:r>
          </w:p>
          <w:p w14:paraId="1D803F4F" w14:textId="77777777" w:rsidR="00494B23" w:rsidRPr="003D3DBB" w:rsidRDefault="00111C2D" w:rsidP="00111C2D">
            <w:pPr>
              <w:spacing w:after="0" w:line="240" w:lineRule="auto"/>
              <w:jc w:val="both"/>
              <w:rPr>
                <w:rFonts w:ascii="Times New Roman" w:eastAsia="Times New Roman" w:hAnsi="Times New Roman" w:cs="Times New Roman"/>
                <w:bCs/>
                <w:lang w:eastAsia="lv-LV"/>
              </w:rPr>
            </w:pPr>
            <w:r w:rsidRPr="003D3DBB">
              <w:rPr>
                <w:rFonts w:ascii="Times New Roman" w:eastAsia="Times New Roman" w:hAnsi="Times New Roman" w:cs="Times New Roman"/>
                <w:bCs/>
                <w:lang w:eastAsia="lv-LV"/>
              </w:rPr>
              <w:t>1.</w:t>
            </w:r>
            <w:r w:rsidR="00CF66AE" w:rsidRPr="003D3DBB">
              <w:rPr>
                <w:rFonts w:ascii="Times New Roman" w:eastAsia="Times New Roman" w:hAnsi="Times New Roman" w:cs="Times New Roman"/>
                <w:bCs/>
                <w:lang w:eastAsia="lv-LV"/>
              </w:rPr>
              <w:t>4</w:t>
            </w:r>
            <w:r w:rsidRPr="003D3DBB">
              <w:rPr>
                <w:rFonts w:ascii="Times New Roman" w:eastAsia="Times New Roman" w:hAnsi="Times New Roman" w:cs="Times New Roman"/>
                <w:bCs/>
                <w:lang w:eastAsia="lv-LV"/>
              </w:rPr>
              <w:t>.</w:t>
            </w:r>
            <w:r w:rsidRPr="003D3DBB">
              <w:rPr>
                <w:rFonts w:ascii="Times New Roman" w:eastAsia="Times New Roman" w:hAnsi="Times New Roman" w:cs="Times New Roman"/>
                <w:bCs/>
                <w:lang w:eastAsia="lv-LV"/>
              </w:rPr>
              <w:tab/>
              <w:t xml:space="preserve">atbalsta programmas izmaksu </w:t>
            </w:r>
            <w:proofErr w:type="spellStart"/>
            <w:r w:rsidRPr="003D3DBB">
              <w:rPr>
                <w:rFonts w:ascii="Times New Roman" w:eastAsia="Times New Roman" w:hAnsi="Times New Roman" w:cs="Times New Roman"/>
                <w:bCs/>
                <w:lang w:eastAsia="lv-LV"/>
              </w:rPr>
              <w:t>attiecināmības</w:t>
            </w:r>
            <w:proofErr w:type="spellEnd"/>
            <w:r w:rsidRPr="003D3DBB">
              <w:rPr>
                <w:rFonts w:ascii="Times New Roman" w:eastAsia="Times New Roman" w:hAnsi="Times New Roman" w:cs="Times New Roman"/>
                <w:bCs/>
                <w:lang w:eastAsia="lv-LV"/>
              </w:rPr>
              <w:t xml:space="preserve"> nosacījumus.”.</w:t>
            </w:r>
          </w:p>
          <w:bookmarkEnd w:id="9"/>
          <w:p w14:paraId="71889F30" w14:textId="77777777" w:rsidR="00D772FE" w:rsidRPr="003D3DBB" w:rsidRDefault="00D772FE" w:rsidP="00111C2D">
            <w:pPr>
              <w:spacing w:after="0" w:line="240" w:lineRule="auto"/>
              <w:jc w:val="both"/>
              <w:rPr>
                <w:rFonts w:ascii="Times New Roman" w:eastAsia="Times New Roman" w:hAnsi="Times New Roman" w:cs="Times New Roman"/>
                <w:bCs/>
                <w:lang w:eastAsia="lv-LV"/>
              </w:rPr>
            </w:pPr>
          </w:p>
          <w:p w14:paraId="126654F8" w14:textId="77777777" w:rsidR="00D772FE" w:rsidRPr="003D3DBB" w:rsidRDefault="00D772FE" w:rsidP="00111C2D">
            <w:pPr>
              <w:spacing w:after="0" w:line="240" w:lineRule="auto"/>
              <w:jc w:val="both"/>
              <w:rPr>
                <w:rFonts w:ascii="Times New Roman" w:eastAsia="Times New Roman" w:hAnsi="Times New Roman" w:cs="Times New Roman"/>
                <w:bCs/>
                <w:lang w:eastAsia="lv-LV"/>
              </w:rPr>
            </w:pPr>
          </w:p>
          <w:p w14:paraId="5F043F72" w14:textId="22DED993" w:rsidR="00D772FE" w:rsidRPr="003D3DBB" w:rsidRDefault="00D772FE" w:rsidP="00D772FE">
            <w:pPr>
              <w:spacing w:after="0" w:line="240" w:lineRule="auto"/>
              <w:jc w:val="both"/>
              <w:rPr>
                <w:rFonts w:ascii="Times New Roman" w:eastAsia="Times New Roman" w:hAnsi="Times New Roman" w:cs="Times New Roman"/>
                <w:b/>
                <w:lang w:eastAsia="lv-LV"/>
              </w:rPr>
            </w:pPr>
            <w:r w:rsidRPr="003D3DBB">
              <w:rPr>
                <w:rFonts w:ascii="Times New Roman" w:eastAsia="Times New Roman" w:hAnsi="Times New Roman" w:cs="Times New Roman"/>
                <w:b/>
                <w:lang w:eastAsia="lv-LV"/>
              </w:rPr>
              <w:t xml:space="preserve">Noteikumu projekts </w:t>
            </w:r>
            <w:r w:rsidR="002E4A7A" w:rsidRPr="003D3DBB">
              <w:rPr>
                <w:rFonts w:ascii="Times New Roman" w:eastAsia="Times New Roman" w:hAnsi="Times New Roman" w:cs="Times New Roman"/>
                <w:b/>
                <w:lang w:eastAsia="lv-LV"/>
              </w:rPr>
              <w:t xml:space="preserve">papildināts </w:t>
            </w:r>
            <w:r w:rsidRPr="003D3DBB">
              <w:rPr>
                <w:rFonts w:ascii="Times New Roman" w:eastAsia="Times New Roman" w:hAnsi="Times New Roman" w:cs="Times New Roman"/>
                <w:b/>
                <w:lang w:eastAsia="lv-LV"/>
              </w:rPr>
              <w:t>ar</w:t>
            </w:r>
            <w:r w:rsidR="00186C50" w:rsidRPr="003D3DBB">
              <w:rPr>
                <w:rFonts w:ascii="Times New Roman" w:eastAsia="Times New Roman" w:hAnsi="Times New Roman" w:cs="Times New Roman"/>
                <w:b/>
                <w:lang w:eastAsia="lv-LV"/>
              </w:rPr>
              <w:t xml:space="preserve"> </w:t>
            </w:r>
            <w:r w:rsidRPr="003D3DBB">
              <w:rPr>
                <w:rFonts w:ascii="Times New Roman" w:eastAsia="Times New Roman" w:hAnsi="Times New Roman" w:cs="Times New Roman"/>
                <w:b/>
                <w:lang w:eastAsia="lv-LV"/>
              </w:rPr>
              <w:t xml:space="preserve"> 8.</w:t>
            </w:r>
            <w:r w:rsidR="00443D34" w:rsidRPr="003D3DBB">
              <w:rPr>
                <w:rFonts w:ascii="Times New Roman" w:eastAsia="Times New Roman" w:hAnsi="Times New Roman" w:cs="Times New Roman"/>
                <w:b/>
                <w:lang w:eastAsia="lv-LV"/>
              </w:rPr>
              <w:t xml:space="preserve"> </w:t>
            </w:r>
            <w:r w:rsidRPr="003D3DBB">
              <w:rPr>
                <w:rFonts w:ascii="Times New Roman" w:eastAsia="Times New Roman" w:hAnsi="Times New Roman" w:cs="Times New Roman"/>
                <w:b/>
                <w:lang w:eastAsia="lv-LV"/>
              </w:rPr>
              <w:t>un 9. punktu šādā redakcijā:</w:t>
            </w:r>
          </w:p>
          <w:p w14:paraId="4102D28E" w14:textId="2499CFBA" w:rsidR="00D772FE" w:rsidRPr="003D3DBB" w:rsidRDefault="00D772FE" w:rsidP="00D772FE">
            <w:pPr>
              <w:spacing w:after="0" w:line="240" w:lineRule="auto"/>
              <w:jc w:val="both"/>
              <w:rPr>
                <w:rFonts w:ascii="Times New Roman" w:eastAsia="Times New Roman" w:hAnsi="Times New Roman" w:cs="Times New Roman"/>
                <w:bCs/>
                <w:lang w:eastAsia="lv-LV"/>
              </w:rPr>
            </w:pPr>
            <w:r w:rsidRPr="003D3DBB">
              <w:rPr>
                <w:rFonts w:ascii="Times New Roman" w:eastAsia="Times New Roman" w:hAnsi="Times New Roman" w:cs="Times New Roman"/>
                <w:bCs/>
                <w:lang w:eastAsia="lv-LV"/>
              </w:rPr>
              <w:t>“</w:t>
            </w:r>
            <w:bookmarkStart w:id="11" w:name="_Hlk41922894"/>
            <w:r w:rsidRPr="003D3DBB">
              <w:rPr>
                <w:rFonts w:ascii="Times New Roman" w:eastAsia="Times New Roman" w:hAnsi="Times New Roman" w:cs="Times New Roman"/>
                <w:bCs/>
                <w:lang w:eastAsia="lv-LV"/>
              </w:rPr>
              <w:t>8.</w:t>
            </w:r>
            <w:r w:rsidRPr="003D3DBB">
              <w:rPr>
                <w:rFonts w:ascii="Times New Roman" w:eastAsia="Times New Roman" w:hAnsi="Times New Roman" w:cs="Times New Roman"/>
                <w:bCs/>
                <w:lang w:eastAsia="lv-LV"/>
              </w:rPr>
              <w:tab/>
              <w:t>Garantiju izsniegšanai un sabiedrības "</w:t>
            </w:r>
            <w:proofErr w:type="spellStart"/>
            <w:r w:rsidRPr="003D3DBB">
              <w:rPr>
                <w:rFonts w:ascii="Times New Roman" w:eastAsia="Times New Roman" w:hAnsi="Times New Roman" w:cs="Times New Roman"/>
                <w:bCs/>
                <w:lang w:eastAsia="lv-LV"/>
              </w:rPr>
              <w:t>Altum</w:t>
            </w:r>
            <w:proofErr w:type="spellEnd"/>
            <w:r w:rsidRPr="003D3DBB">
              <w:rPr>
                <w:rFonts w:ascii="Times New Roman" w:eastAsia="Times New Roman" w:hAnsi="Times New Roman" w:cs="Times New Roman"/>
                <w:bCs/>
                <w:lang w:eastAsia="lv-LV"/>
              </w:rPr>
              <w:t xml:space="preserve">" pārvaldības maksas segšanai izmanto Energoefektivitātes likuma 7. panta trešajā daļā paredzētos valsts energoefektivitātes fonda līdzekļus, kas ieskaitīti  valsts energoefektivitātes fondā </w:t>
            </w:r>
            <w:r w:rsidR="00A477E0" w:rsidRPr="003D3DBB">
              <w:rPr>
                <w:rFonts w:ascii="Times New Roman" w:eastAsia="Times New Roman" w:hAnsi="Times New Roman" w:cs="Times New Roman"/>
                <w:bCs/>
                <w:lang w:eastAsia="lv-LV"/>
              </w:rPr>
              <w:t>sabiedrības "</w:t>
            </w:r>
            <w:proofErr w:type="spellStart"/>
            <w:r w:rsidR="00A477E0" w:rsidRPr="003D3DBB">
              <w:rPr>
                <w:rFonts w:ascii="Times New Roman" w:eastAsia="Times New Roman" w:hAnsi="Times New Roman" w:cs="Times New Roman"/>
                <w:bCs/>
                <w:lang w:eastAsia="lv-LV"/>
              </w:rPr>
              <w:t>Altum</w:t>
            </w:r>
            <w:proofErr w:type="spellEnd"/>
            <w:r w:rsidR="00A477E0" w:rsidRPr="003D3DBB">
              <w:rPr>
                <w:rFonts w:ascii="Times New Roman" w:eastAsia="Times New Roman" w:hAnsi="Times New Roman" w:cs="Times New Roman"/>
                <w:bCs/>
                <w:lang w:eastAsia="lv-LV"/>
              </w:rPr>
              <w:t xml:space="preserve">"  </w:t>
            </w:r>
            <w:r w:rsidRPr="003D3DBB">
              <w:rPr>
                <w:rFonts w:ascii="Times New Roman" w:eastAsia="Times New Roman" w:hAnsi="Times New Roman" w:cs="Times New Roman"/>
                <w:bCs/>
                <w:lang w:eastAsia="lv-LV"/>
              </w:rPr>
              <w:t>rezerves kapitāla veidošanai atbilstoši starp Ekonomikas ministriju un sabiedrību "</w:t>
            </w:r>
            <w:proofErr w:type="spellStart"/>
            <w:r w:rsidRPr="003D3DBB">
              <w:rPr>
                <w:rFonts w:ascii="Times New Roman" w:eastAsia="Times New Roman" w:hAnsi="Times New Roman" w:cs="Times New Roman"/>
                <w:bCs/>
                <w:lang w:eastAsia="lv-LV"/>
              </w:rPr>
              <w:t>Altum</w:t>
            </w:r>
            <w:proofErr w:type="spellEnd"/>
            <w:r w:rsidRPr="003D3DBB">
              <w:rPr>
                <w:rFonts w:ascii="Times New Roman" w:eastAsia="Times New Roman" w:hAnsi="Times New Roman" w:cs="Times New Roman"/>
                <w:bCs/>
                <w:lang w:eastAsia="lv-LV"/>
              </w:rPr>
              <w:t>" noslēgtajam līgumam, kas ir sabiedrības "</w:t>
            </w:r>
            <w:proofErr w:type="spellStart"/>
            <w:r w:rsidRPr="003D3DBB">
              <w:rPr>
                <w:rFonts w:ascii="Times New Roman" w:eastAsia="Times New Roman" w:hAnsi="Times New Roman" w:cs="Times New Roman"/>
                <w:bCs/>
                <w:lang w:eastAsia="lv-LV"/>
              </w:rPr>
              <w:t>Altum</w:t>
            </w:r>
            <w:proofErr w:type="spellEnd"/>
            <w:r w:rsidRPr="003D3DBB">
              <w:rPr>
                <w:rFonts w:ascii="Times New Roman" w:eastAsia="Times New Roman" w:hAnsi="Times New Roman" w:cs="Times New Roman"/>
                <w:bCs/>
                <w:lang w:eastAsia="lv-LV"/>
              </w:rPr>
              <w:t>" ilgtermiņa saistības pret Ekonomikas ministriju.”.</w:t>
            </w:r>
          </w:p>
          <w:p w14:paraId="245458C5" w14:textId="77777777" w:rsidR="00D772FE" w:rsidRPr="003D3DBB" w:rsidRDefault="00D772FE" w:rsidP="00D772FE">
            <w:pPr>
              <w:spacing w:after="0" w:line="240" w:lineRule="auto"/>
              <w:jc w:val="both"/>
              <w:rPr>
                <w:rFonts w:ascii="Times New Roman" w:eastAsia="Times New Roman" w:hAnsi="Times New Roman" w:cs="Times New Roman"/>
                <w:bCs/>
                <w:lang w:eastAsia="lv-LV"/>
              </w:rPr>
            </w:pPr>
          </w:p>
          <w:p w14:paraId="358051D2" w14:textId="02D17FA6" w:rsidR="00D772FE" w:rsidRPr="003D3DBB" w:rsidRDefault="00D772FE" w:rsidP="00D772FE">
            <w:pPr>
              <w:spacing w:after="0" w:line="240" w:lineRule="auto"/>
              <w:jc w:val="both"/>
              <w:rPr>
                <w:rFonts w:ascii="Times New Roman" w:eastAsia="Times New Roman" w:hAnsi="Times New Roman" w:cs="Times New Roman"/>
                <w:bCs/>
                <w:lang w:eastAsia="lv-LV"/>
              </w:rPr>
            </w:pPr>
            <w:r w:rsidRPr="003D3DBB">
              <w:rPr>
                <w:rFonts w:ascii="Times New Roman" w:eastAsia="Times New Roman" w:hAnsi="Times New Roman" w:cs="Times New Roman"/>
                <w:bCs/>
                <w:lang w:eastAsia="lv-LV"/>
              </w:rPr>
              <w:t>9.</w:t>
            </w:r>
            <w:r w:rsidRPr="003D3DBB">
              <w:rPr>
                <w:rFonts w:ascii="Times New Roman" w:eastAsia="Times New Roman" w:hAnsi="Times New Roman" w:cs="Times New Roman"/>
                <w:bCs/>
                <w:lang w:eastAsia="lv-LV"/>
              </w:rPr>
              <w:tab/>
              <w:t>Sabiedrība "</w:t>
            </w:r>
            <w:proofErr w:type="spellStart"/>
            <w:r w:rsidRPr="003D3DBB">
              <w:rPr>
                <w:rFonts w:ascii="Times New Roman" w:eastAsia="Times New Roman" w:hAnsi="Times New Roman" w:cs="Times New Roman"/>
                <w:bCs/>
                <w:lang w:eastAsia="lv-LV"/>
              </w:rPr>
              <w:t>Altum</w:t>
            </w:r>
            <w:proofErr w:type="spellEnd"/>
            <w:r w:rsidRPr="003D3DBB">
              <w:rPr>
                <w:rFonts w:ascii="Times New Roman" w:eastAsia="Times New Roman" w:hAnsi="Times New Roman" w:cs="Times New Roman"/>
                <w:bCs/>
                <w:lang w:eastAsia="lv-LV"/>
              </w:rPr>
              <w:t>" iesniedz Ekonomikas ministrijā pārskatu par sniegtajām garantijām reizi ceturksnī.”.</w:t>
            </w:r>
            <w:bookmarkEnd w:id="11"/>
          </w:p>
        </w:tc>
      </w:tr>
      <w:tr w:rsidR="00494B23" w:rsidRPr="00245FF2" w14:paraId="2BD80669" w14:textId="77777777" w:rsidTr="004A52F8">
        <w:trPr>
          <w:gridAfter w:val="2"/>
          <w:wAfter w:w="1180" w:type="pct"/>
          <w:trHeight w:val="140"/>
        </w:trPr>
        <w:tc>
          <w:tcPr>
            <w:tcW w:w="217" w:type="pct"/>
            <w:tcBorders>
              <w:left w:val="single" w:sz="6" w:space="0" w:color="000000"/>
              <w:bottom w:val="single" w:sz="6" w:space="0" w:color="000000"/>
              <w:right w:val="single" w:sz="6" w:space="0" w:color="000000"/>
            </w:tcBorders>
          </w:tcPr>
          <w:p w14:paraId="5B844CC1" w14:textId="77777777" w:rsidR="00494B23" w:rsidRPr="00BE4A9B" w:rsidRDefault="00494B23" w:rsidP="009C59EC">
            <w:pPr>
              <w:pStyle w:val="ListParagraph"/>
              <w:numPr>
                <w:ilvl w:val="0"/>
                <w:numId w:val="1"/>
              </w:numPr>
              <w:spacing w:after="0" w:line="240" w:lineRule="auto"/>
              <w:contextualSpacing w:val="0"/>
              <w:jc w:val="center"/>
              <w:rPr>
                <w:rFonts w:ascii="Times New Roman" w:eastAsia="Times New Roman" w:hAnsi="Times New Roman" w:cs="Times New Roman"/>
                <w:lang w:eastAsia="lv-LV"/>
              </w:rPr>
            </w:pPr>
          </w:p>
        </w:tc>
        <w:tc>
          <w:tcPr>
            <w:tcW w:w="728" w:type="pct"/>
            <w:tcBorders>
              <w:top w:val="single" w:sz="6" w:space="0" w:color="000000"/>
              <w:left w:val="single" w:sz="6" w:space="0" w:color="000000"/>
              <w:bottom w:val="single" w:sz="4" w:space="0" w:color="auto"/>
              <w:right w:val="single" w:sz="6" w:space="0" w:color="000000"/>
            </w:tcBorders>
          </w:tcPr>
          <w:p w14:paraId="6EF598B1" w14:textId="77777777" w:rsidR="00494B23" w:rsidRPr="00BE4A9B" w:rsidRDefault="00111C2D" w:rsidP="0044690A">
            <w:pPr>
              <w:spacing w:after="0" w:line="240" w:lineRule="auto"/>
              <w:rPr>
                <w:rFonts w:ascii="Times New Roman" w:eastAsia="Times New Roman" w:hAnsi="Times New Roman" w:cs="Times New Roman"/>
                <w:b/>
                <w:bCs/>
                <w:lang w:eastAsia="lv-LV"/>
              </w:rPr>
            </w:pPr>
            <w:r w:rsidRPr="00BE4A9B">
              <w:rPr>
                <w:rFonts w:ascii="Times New Roman" w:eastAsia="Times New Roman" w:hAnsi="Times New Roman" w:cs="Times New Roman"/>
                <w:b/>
                <w:bCs/>
                <w:lang w:eastAsia="lv-LV"/>
              </w:rPr>
              <w:t>Noteikumu projekta 1.1.apakšpunkts:</w:t>
            </w:r>
          </w:p>
          <w:p w14:paraId="7D8174C2" w14:textId="56606E1A" w:rsidR="00DE3AC1" w:rsidRPr="00BE4A9B" w:rsidRDefault="00DE3AC1" w:rsidP="006A1C7C">
            <w:pPr>
              <w:jc w:val="both"/>
              <w:rPr>
                <w:rFonts w:ascii="Times New Roman" w:eastAsia="Times New Roman" w:hAnsi="Times New Roman" w:cs="Times New Roman"/>
                <w:lang w:eastAsia="lv-LV"/>
              </w:rPr>
            </w:pPr>
            <w:r w:rsidRPr="00BE4A9B">
              <w:rPr>
                <w:rFonts w:ascii="Times New Roman" w:eastAsia="Times New Roman" w:hAnsi="Times New Roman" w:cs="Times New Roman"/>
                <w:lang w:eastAsia="lv-LV"/>
              </w:rPr>
              <w:t>1.1.</w:t>
            </w:r>
            <w:r w:rsidRPr="00BE4A9B">
              <w:rPr>
                <w:rFonts w:ascii="Times New Roman" w:eastAsia="Times New Roman" w:hAnsi="Times New Roman" w:cs="Times New Roman"/>
                <w:lang w:eastAsia="lv-LV"/>
              </w:rPr>
              <w:tab/>
            </w:r>
            <w:r w:rsidR="006A1C7C" w:rsidRPr="00BE4A9B">
              <w:rPr>
                <w:rFonts w:ascii="Times New Roman" w:eastAsia="Times New Roman" w:hAnsi="Times New Roman" w:cs="Times New Roman"/>
                <w:lang w:eastAsia="lv-LV"/>
              </w:rPr>
              <w:t xml:space="preserve">kārtību, kādā  akciju sabiedrība "Attīstības finanšu institūcija </w:t>
            </w:r>
            <w:proofErr w:type="spellStart"/>
            <w:r w:rsidR="006A1C7C" w:rsidRPr="00BE4A9B">
              <w:rPr>
                <w:rFonts w:ascii="Times New Roman" w:eastAsia="Times New Roman" w:hAnsi="Times New Roman" w:cs="Times New Roman"/>
                <w:lang w:eastAsia="lv-LV"/>
              </w:rPr>
              <w:t>Altum</w:t>
            </w:r>
            <w:proofErr w:type="spellEnd"/>
            <w:r w:rsidR="006A1C7C" w:rsidRPr="00BE4A9B">
              <w:rPr>
                <w:rFonts w:ascii="Times New Roman" w:eastAsia="Times New Roman" w:hAnsi="Times New Roman" w:cs="Times New Roman"/>
                <w:lang w:eastAsia="lv-LV"/>
              </w:rPr>
              <w:t>" (turpmāk – sabiedrība "</w:t>
            </w:r>
            <w:proofErr w:type="spellStart"/>
            <w:r w:rsidR="006A1C7C" w:rsidRPr="00BE4A9B">
              <w:rPr>
                <w:rFonts w:ascii="Times New Roman" w:eastAsia="Times New Roman" w:hAnsi="Times New Roman" w:cs="Times New Roman"/>
                <w:lang w:eastAsia="lv-LV"/>
              </w:rPr>
              <w:t>Altum</w:t>
            </w:r>
            <w:proofErr w:type="spellEnd"/>
            <w:r w:rsidR="006A1C7C" w:rsidRPr="00BE4A9B">
              <w:rPr>
                <w:rFonts w:ascii="Times New Roman" w:eastAsia="Times New Roman" w:hAnsi="Times New Roman" w:cs="Times New Roman"/>
                <w:lang w:eastAsia="lv-LV"/>
              </w:rPr>
              <w:t xml:space="preserve">"), izmantojot valsts energoefektivitātes fonda līdzekļus, īsteno atbalsta programmu obligātā enerģijas </w:t>
            </w:r>
            <w:proofErr w:type="spellStart"/>
            <w:r w:rsidR="006A1C7C" w:rsidRPr="00BE4A9B">
              <w:rPr>
                <w:rFonts w:ascii="Times New Roman" w:eastAsia="Times New Roman" w:hAnsi="Times New Roman" w:cs="Times New Roman"/>
                <w:lang w:eastAsia="lv-LV"/>
              </w:rPr>
              <w:t>galapatēriņa</w:t>
            </w:r>
            <w:proofErr w:type="spellEnd"/>
            <w:r w:rsidR="006A1C7C" w:rsidRPr="00BE4A9B">
              <w:rPr>
                <w:rFonts w:ascii="Times New Roman" w:eastAsia="Times New Roman" w:hAnsi="Times New Roman" w:cs="Times New Roman"/>
                <w:lang w:eastAsia="lv-LV"/>
              </w:rPr>
              <w:t xml:space="preserve"> mērķa sasniegšanai;”.</w:t>
            </w:r>
          </w:p>
        </w:tc>
        <w:tc>
          <w:tcPr>
            <w:tcW w:w="1093" w:type="pct"/>
            <w:tcBorders>
              <w:top w:val="single" w:sz="6" w:space="0" w:color="000000"/>
              <w:left w:val="single" w:sz="6" w:space="0" w:color="000000"/>
              <w:bottom w:val="single" w:sz="6" w:space="0" w:color="000000"/>
              <w:right w:val="single" w:sz="6" w:space="0" w:color="000000"/>
            </w:tcBorders>
          </w:tcPr>
          <w:p w14:paraId="6DAF1C7B" w14:textId="05B8FA9C" w:rsidR="00494B23" w:rsidRPr="00BE4A9B" w:rsidRDefault="00494B23" w:rsidP="0044690A">
            <w:pPr>
              <w:spacing w:after="0" w:line="240" w:lineRule="auto"/>
              <w:jc w:val="both"/>
              <w:rPr>
                <w:rFonts w:ascii="Times New Roman" w:eastAsia="Times New Roman" w:hAnsi="Times New Roman" w:cs="Times New Roman"/>
                <w:b/>
                <w:lang w:eastAsia="lv-LV"/>
              </w:rPr>
            </w:pPr>
            <w:r w:rsidRPr="00BE4A9B">
              <w:rPr>
                <w:rFonts w:ascii="Times New Roman" w:eastAsia="Times New Roman" w:hAnsi="Times New Roman" w:cs="Times New Roman"/>
                <w:b/>
                <w:lang w:eastAsia="lv-LV"/>
              </w:rPr>
              <w:t>Finanšu ministrija</w:t>
            </w:r>
            <w:r w:rsidR="0004664A" w:rsidRPr="00BE4A9B">
              <w:rPr>
                <w:rFonts w:ascii="Times New Roman" w:eastAsia="Times New Roman" w:hAnsi="Times New Roman" w:cs="Times New Roman"/>
                <w:b/>
                <w:lang w:eastAsia="lv-LV"/>
              </w:rPr>
              <w:t>s 26.05.2020. atzinuma 4.iebildums:</w:t>
            </w:r>
          </w:p>
          <w:p w14:paraId="6A691ED9" w14:textId="5FBD39E8" w:rsidR="00494B23" w:rsidRPr="00BE4A9B" w:rsidRDefault="0004664A" w:rsidP="00494B23">
            <w:pPr>
              <w:spacing w:after="0" w:line="240" w:lineRule="auto"/>
              <w:jc w:val="both"/>
              <w:rPr>
                <w:rFonts w:ascii="Times New Roman" w:eastAsia="Times New Roman" w:hAnsi="Times New Roman" w:cs="Times New Roman"/>
                <w:b/>
                <w:lang w:eastAsia="lv-LV"/>
              </w:rPr>
            </w:pPr>
            <w:r w:rsidRPr="00BE4A9B">
              <w:rPr>
                <w:rFonts w:ascii="Times New Roman" w:eastAsia="Times New Roman" w:hAnsi="Times New Roman" w:cs="Times New Roman"/>
                <w:bCs/>
                <w:lang w:eastAsia="lv-LV"/>
              </w:rPr>
              <w:t xml:space="preserve">“4. </w:t>
            </w:r>
            <w:r w:rsidR="00494B23" w:rsidRPr="00BE4A9B">
              <w:rPr>
                <w:rFonts w:ascii="Times New Roman" w:eastAsia="Times New Roman" w:hAnsi="Times New Roman" w:cs="Times New Roman"/>
                <w:bCs/>
                <w:lang w:eastAsia="lv-LV"/>
              </w:rPr>
              <w:t>Lūdzam papildināt noteikumu projektu ar atsevišķu punktu par atbalsta programmas finansējuma avotiem, vienlaikus svītrojot šo informāciju no 1.1.apakšpunkta.</w:t>
            </w:r>
            <w:r w:rsidRPr="00BE4A9B">
              <w:rPr>
                <w:rFonts w:ascii="Times New Roman" w:eastAsia="Times New Roman" w:hAnsi="Times New Roman" w:cs="Times New Roman"/>
                <w:bCs/>
                <w:lang w:eastAsia="lv-LV"/>
              </w:rPr>
              <w:t>”</w:t>
            </w:r>
          </w:p>
        </w:tc>
        <w:tc>
          <w:tcPr>
            <w:tcW w:w="836" w:type="pct"/>
            <w:gridSpan w:val="2"/>
            <w:tcBorders>
              <w:top w:val="single" w:sz="6" w:space="0" w:color="000000"/>
              <w:left w:val="single" w:sz="6" w:space="0" w:color="000000"/>
              <w:bottom w:val="single" w:sz="6" w:space="0" w:color="000000"/>
              <w:right w:val="single" w:sz="6" w:space="0" w:color="000000"/>
            </w:tcBorders>
          </w:tcPr>
          <w:p w14:paraId="5CCDD7AB" w14:textId="2BAAC50B" w:rsidR="00494B23" w:rsidRPr="00BE4A9B" w:rsidRDefault="00494B23" w:rsidP="00494B23">
            <w:pPr>
              <w:spacing w:after="0" w:line="240" w:lineRule="auto"/>
              <w:jc w:val="center"/>
              <w:rPr>
                <w:rFonts w:ascii="Times New Roman" w:eastAsia="Times New Roman" w:hAnsi="Times New Roman" w:cs="Times New Roman"/>
                <w:b/>
                <w:lang w:eastAsia="lv-LV"/>
              </w:rPr>
            </w:pPr>
            <w:r w:rsidRPr="00BE4A9B">
              <w:rPr>
                <w:rFonts w:ascii="Times New Roman" w:eastAsia="Times New Roman" w:hAnsi="Times New Roman" w:cs="Times New Roman"/>
                <w:b/>
                <w:lang w:eastAsia="lv-LV"/>
              </w:rPr>
              <w:t>Ņemts vērā</w:t>
            </w:r>
          </w:p>
          <w:p w14:paraId="5155EF31" w14:textId="3AC98948" w:rsidR="00111C2D" w:rsidRPr="00BE4A9B" w:rsidRDefault="006A1C7C" w:rsidP="006A1C7C">
            <w:pPr>
              <w:spacing w:after="0" w:line="240" w:lineRule="auto"/>
              <w:jc w:val="both"/>
              <w:rPr>
                <w:rFonts w:ascii="Times New Roman" w:eastAsia="Times New Roman" w:hAnsi="Times New Roman" w:cs="Times New Roman"/>
                <w:bCs/>
                <w:lang w:eastAsia="lv-LV"/>
              </w:rPr>
            </w:pPr>
            <w:r w:rsidRPr="00BE4A9B">
              <w:rPr>
                <w:rFonts w:ascii="Times New Roman" w:eastAsia="Times New Roman" w:hAnsi="Times New Roman" w:cs="Times New Roman"/>
                <w:bCs/>
                <w:lang w:eastAsia="lv-LV"/>
              </w:rPr>
              <w:t xml:space="preserve">Noteikumu projekta </w:t>
            </w:r>
            <w:r w:rsidR="00CF66AE" w:rsidRPr="00BE4A9B">
              <w:rPr>
                <w:rFonts w:ascii="Times New Roman" w:eastAsia="Times New Roman" w:hAnsi="Times New Roman" w:cs="Times New Roman"/>
                <w:bCs/>
                <w:lang w:eastAsia="lv-LV"/>
              </w:rPr>
              <w:t xml:space="preserve"> 1.1.apakšpunkts</w:t>
            </w:r>
            <w:r w:rsidRPr="00BE4A9B">
              <w:rPr>
                <w:rFonts w:ascii="Times New Roman" w:eastAsia="Times New Roman" w:hAnsi="Times New Roman" w:cs="Times New Roman"/>
                <w:bCs/>
                <w:lang w:eastAsia="lv-LV"/>
              </w:rPr>
              <w:t xml:space="preserve"> izteikts jaunā redakcijā, papildinot </w:t>
            </w:r>
            <w:r w:rsidR="00CF66AE" w:rsidRPr="00BE4A9B">
              <w:rPr>
                <w:rFonts w:ascii="Times New Roman" w:eastAsia="Times New Roman" w:hAnsi="Times New Roman" w:cs="Times New Roman"/>
                <w:bCs/>
                <w:lang w:eastAsia="lv-LV"/>
              </w:rPr>
              <w:t xml:space="preserve">Noteikumu projektu </w:t>
            </w:r>
            <w:r w:rsidR="00DE3AC1" w:rsidRPr="00BE4A9B">
              <w:rPr>
                <w:rFonts w:ascii="Times New Roman" w:eastAsia="Times New Roman" w:hAnsi="Times New Roman" w:cs="Times New Roman"/>
                <w:bCs/>
                <w:lang w:eastAsia="lv-LV"/>
              </w:rPr>
              <w:t xml:space="preserve">ar </w:t>
            </w:r>
            <w:r w:rsidR="004A13C9" w:rsidRPr="00BE4A9B">
              <w:rPr>
                <w:rFonts w:ascii="Times New Roman" w:eastAsia="Times New Roman" w:hAnsi="Times New Roman" w:cs="Times New Roman"/>
                <w:bCs/>
                <w:lang w:eastAsia="lv-LV"/>
              </w:rPr>
              <w:t xml:space="preserve">8. </w:t>
            </w:r>
            <w:r w:rsidR="00DE3AC1" w:rsidRPr="00BE4A9B">
              <w:rPr>
                <w:rFonts w:ascii="Times New Roman" w:eastAsia="Times New Roman" w:hAnsi="Times New Roman" w:cs="Times New Roman"/>
                <w:bCs/>
                <w:lang w:eastAsia="lv-LV"/>
              </w:rPr>
              <w:t>punktu</w:t>
            </w:r>
            <w:r w:rsidR="008E4B2D" w:rsidRPr="00BE4A9B">
              <w:rPr>
                <w:rFonts w:ascii="Times New Roman" w:eastAsia="Times New Roman" w:hAnsi="Times New Roman" w:cs="Times New Roman"/>
                <w:bCs/>
                <w:lang w:eastAsia="lv-LV"/>
              </w:rPr>
              <w:t>.</w:t>
            </w:r>
          </w:p>
          <w:p w14:paraId="5DD16C15" w14:textId="77777777" w:rsidR="00494B23" w:rsidRPr="00BE4A9B" w:rsidRDefault="00494B23" w:rsidP="002F4F3A">
            <w:pPr>
              <w:spacing w:after="0" w:line="240" w:lineRule="auto"/>
              <w:jc w:val="center"/>
              <w:rPr>
                <w:rFonts w:ascii="Times New Roman" w:eastAsia="Times New Roman" w:hAnsi="Times New Roman" w:cs="Times New Roman"/>
                <w:b/>
                <w:lang w:eastAsia="lv-LV"/>
              </w:rPr>
            </w:pPr>
          </w:p>
        </w:tc>
        <w:tc>
          <w:tcPr>
            <w:tcW w:w="946" w:type="pct"/>
            <w:tcBorders>
              <w:left w:val="single" w:sz="4" w:space="0" w:color="auto"/>
              <w:bottom w:val="single" w:sz="4" w:space="0" w:color="auto"/>
              <w:right w:val="single" w:sz="4" w:space="0" w:color="auto"/>
            </w:tcBorders>
          </w:tcPr>
          <w:p w14:paraId="051E7631" w14:textId="60A460D4" w:rsidR="00115874" w:rsidRPr="00BE4A9B" w:rsidRDefault="00115874" w:rsidP="000C3CDB">
            <w:pPr>
              <w:spacing w:after="0" w:line="240" w:lineRule="auto"/>
              <w:jc w:val="both"/>
              <w:rPr>
                <w:rFonts w:ascii="Times New Roman" w:eastAsia="Times New Roman" w:hAnsi="Times New Roman" w:cs="Times New Roman"/>
                <w:b/>
                <w:lang w:eastAsia="lv-LV"/>
              </w:rPr>
            </w:pPr>
            <w:r w:rsidRPr="00BE4A9B">
              <w:rPr>
                <w:rFonts w:ascii="Times New Roman" w:eastAsia="Times New Roman" w:hAnsi="Times New Roman" w:cs="Times New Roman"/>
                <w:b/>
                <w:lang w:eastAsia="lv-LV"/>
              </w:rPr>
              <w:t xml:space="preserve">Noteikumu projekts </w:t>
            </w:r>
            <w:r w:rsidR="0044690A" w:rsidRPr="00BE4A9B">
              <w:rPr>
                <w:rFonts w:ascii="Times New Roman" w:eastAsia="Times New Roman" w:hAnsi="Times New Roman" w:cs="Times New Roman"/>
                <w:b/>
                <w:lang w:eastAsia="lv-LV"/>
              </w:rPr>
              <w:t xml:space="preserve">papildināts </w:t>
            </w:r>
            <w:r w:rsidRPr="00BE4A9B">
              <w:rPr>
                <w:rFonts w:ascii="Times New Roman" w:eastAsia="Times New Roman" w:hAnsi="Times New Roman" w:cs="Times New Roman"/>
                <w:b/>
                <w:lang w:eastAsia="lv-LV"/>
              </w:rPr>
              <w:t xml:space="preserve">ar </w:t>
            </w:r>
            <w:r w:rsidR="00D772FE" w:rsidRPr="00BE4A9B">
              <w:rPr>
                <w:rFonts w:ascii="Times New Roman" w:eastAsia="Times New Roman" w:hAnsi="Times New Roman" w:cs="Times New Roman"/>
                <w:b/>
                <w:lang w:eastAsia="lv-LV"/>
              </w:rPr>
              <w:t>8.</w:t>
            </w:r>
            <w:r w:rsidRPr="00BE4A9B">
              <w:rPr>
                <w:rFonts w:ascii="Times New Roman" w:eastAsia="Times New Roman" w:hAnsi="Times New Roman" w:cs="Times New Roman"/>
                <w:b/>
                <w:lang w:eastAsia="lv-LV"/>
              </w:rPr>
              <w:t>punktu šādā redakcijā:</w:t>
            </w:r>
          </w:p>
          <w:p w14:paraId="462C4821" w14:textId="2EECBA2F" w:rsidR="00494B23" w:rsidRPr="00BE4A9B" w:rsidRDefault="00115874" w:rsidP="00D772FE">
            <w:pPr>
              <w:spacing w:after="0" w:line="240" w:lineRule="auto"/>
              <w:jc w:val="both"/>
              <w:rPr>
                <w:rFonts w:ascii="Times New Roman" w:eastAsia="Times New Roman" w:hAnsi="Times New Roman" w:cs="Times New Roman"/>
                <w:bCs/>
                <w:lang w:eastAsia="lv-LV"/>
              </w:rPr>
            </w:pPr>
            <w:r w:rsidRPr="00BE4A9B">
              <w:rPr>
                <w:rFonts w:ascii="Times New Roman" w:eastAsia="Times New Roman" w:hAnsi="Times New Roman" w:cs="Times New Roman"/>
                <w:bCs/>
                <w:lang w:eastAsia="lv-LV"/>
              </w:rPr>
              <w:t>“</w:t>
            </w:r>
            <w:r w:rsidR="00D772FE" w:rsidRPr="00BE4A9B">
              <w:rPr>
                <w:rFonts w:ascii="Times New Roman" w:eastAsia="Times New Roman" w:hAnsi="Times New Roman" w:cs="Times New Roman"/>
                <w:bCs/>
                <w:lang w:eastAsia="lv-LV"/>
              </w:rPr>
              <w:t>8.</w:t>
            </w:r>
            <w:r w:rsidR="00D772FE" w:rsidRPr="00BE4A9B">
              <w:rPr>
                <w:rFonts w:ascii="Times New Roman" w:eastAsia="Times New Roman" w:hAnsi="Times New Roman" w:cs="Times New Roman"/>
                <w:bCs/>
                <w:lang w:eastAsia="lv-LV"/>
              </w:rPr>
              <w:tab/>
              <w:t>Garantiju izsniegšanai un sabiedrības "</w:t>
            </w:r>
            <w:proofErr w:type="spellStart"/>
            <w:r w:rsidR="00D772FE" w:rsidRPr="00BE4A9B">
              <w:rPr>
                <w:rFonts w:ascii="Times New Roman" w:eastAsia="Times New Roman" w:hAnsi="Times New Roman" w:cs="Times New Roman"/>
                <w:bCs/>
                <w:lang w:eastAsia="lv-LV"/>
              </w:rPr>
              <w:t>Altum</w:t>
            </w:r>
            <w:proofErr w:type="spellEnd"/>
            <w:r w:rsidR="00D772FE" w:rsidRPr="00BE4A9B">
              <w:rPr>
                <w:rFonts w:ascii="Times New Roman" w:eastAsia="Times New Roman" w:hAnsi="Times New Roman" w:cs="Times New Roman"/>
                <w:bCs/>
                <w:lang w:eastAsia="lv-LV"/>
              </w:rPr>
              <w:t xml:space="preserve">" pārvaldības maksas segšanai izmanto Energoefektivitātes likuma 7. panta trešajā daļā paredzētos valsts energoefektivitātes fonda līdzekļus, kas ieskaitīti  valsts energoefektivitātes fondā </w:t>
            </w:r>
            <w:r w:rsidR="00A477E0" w:rsidRPr="00BE4A9B">
              <w:rPr>
                <w:rFonts w:ascii="Times New Roman" w:eastAsia="Times New Roman" w:hAnsi="Times New Roman" w:cs="Times New Roman"/>
                <w:bCs/>
                <w:lang w:eastAsia="lv-LV"/>
              </w:rPr>
              <w:t>sabiedrības "</w:t>
            </w:r>
            <w:proofErr w:type="spellStart"/>
            <w:r w:rsidR="00A477E0" w:rsidRPr="00BE4A9B">
              <w:rPr>
                <w:rFonts w:ascii="Times New Roman" w:eastAsia="Times New Roman" w:hAnsi="Times New Roman" w:cs="Times New Roman"/>
                <w:bCs/>
                <w:lang w:eastAsia="lv-LV"/>
              </w:rPr>
              <w:t>Altum</w:t>
            </w:r>
            <w:proofErr w:type="spellEnd"/>
            <w:r w:rsidR="00A477E0" w:rsidRPr="00BE4A9B">
              <w:rPr>
                <w:rFonts w:ascii="Times New Roman" w:eastAsia="Times New Roman" w:hAnsi="Times New Roman" w:cs="Times New Roman"/>
                <w:bCs/>
                <w:lang w:eastAsia="lv-LV"/>
              </w:rPr>
              <w:t xml:space="preserve">" </w:t>
            </w:r>
            <w:r w:rsidR="00D772FE" w:rsidRPr="00BE4A9B">
              <w:rPr>
                <w:rFonts w:ascii="Times New Roman" w:eastAsia="Times New Roman" w:hAnsi="Times New Roman" w:cs="Times New Roman"/>
                <w:bCs/>
                <w:lang w:eastAsia="lv-LV"/>
              </w:rPr>
              <w:t xml:space="preserve"> rezerves kapitāla veidošanai atbilstoši starp Ekonomikas ministriju un sabiedrību "</w:t>
            </w:r>
            <w:proofErr w:type="spellStart"/>
            <w:r w:rsidR="00D772FE" w:rsidRPr="00BE4A9B">
              <w:rPr>
                <w:rFonts w:ascii="Times New Roman" w:eastAsia="Times New Roman" w:hAnsi="Times New Roman" w:cs="Times New Roman"/>
                <w:bCs/>
                <w:lang w:eastAsia="lv-LV"/>
              </w:rPr>
              <w:t>Altum</w:t>
            </w:r>
            <w:proofErr w:type="spellEnd"/>
            <w:r w:rsidR="00D772FE" w:rsidRPr="00BE4A9B">
              <w:rPr>
                <w:rFonts w:ascii="Times New Roman" w:eastAsia="Times New Roman" w:hAnsi="Times New Roman" w:cs="Times New Roman"/>
                <w:bCs/>
                <w:lang w:eastAsia="lv-LV"/>
              </w:rPr>
              <w:t>" noslēgtajam līgumam, kas ir sabiedrības "</w:t>
            </w:r>
            <w:proofErr w:type="spellStart"/>
            <w:r w:rsidR="00D772FE" w:rsidRPr="00BE4A9B">
              <w:rPr>
                <w:rFonts w:ascii="Times New Roman" w:eastAsia="Times New Roman" w:hAnsi="Times New Roman" w:cs="Times New Roman"/>
                <w:bCs/>
                <w:lang w:eastAsia="lv-LV"/>
              </w:rPr>
              <w:t>Altum</w:t>
            </w:r>
            <w:proofErr w:type="spellEnd"/>
            <w:r w:rsidR="00D772FE" w:rsidRPr="00BE4A9B">
              <w:rPr>
                <w:rFonts w:ascii="Times New Roman" w:eastAsia="Times New Roman" w:hAnsi="Times New Roman" w:cs="Times New Roman"/>
                <w:bCs/>
                <w:lang w:eastAsia="lv-LV"/>
              </w:rPr>
              <w:t>" ilgtermiņa saistības pret Ekonomikas ministriju.”.</w:t>
            </w:r>
          </w:p>
        </w:tc>
      </w:tr>
      <w:tr w:rsidR="0005608C" w:rsidRPr="00245FF2" w14:paraId="7B0A0D2F" w14:textId="77777777" w:rsidTr="004A52F8">
        <w:trPr>
          <w:gridAfter w:val="2"/>
          <w:wAfter w:w="1180" w:type="pct"/>
          <w:trHeight w:val="140"/>
        </w:trPr>
        <w:tc>
          <w:tcPr>
            <w:tcW w:w="217" w:type="pct"/>
            <w:tcBorders>
              <w:left w:val="single" w:sz="6" w:space="0" w:color="000000"/>
              <w:bottom w:val="single" w:sz="6" w:space="0" w:color="000000"/>
              <w:right w:val="single" w:sz="6" w:space="0" w:color="000000"/>
            </w:tcBorders>
          </w:tcPr>
          <w:p w14:paraId="3C132E76" w14:textId="77777777" w:rsidR="0005608C" w:rsidRPr="00BE4A9B" w:rsidRDefault="0005608C" w:rsidP="009C59EC">
            <w:pPr>
              <w:pStyle w:val="ListParagraph"/>
              <w:numPr>
                <w:ilvl w:val="0"/>
                <w:numId w:val="1"/>
              </w:numPr>
              <w:spacing w:after="0" w:line="240" w:lineRule="auto"/>
              <w:contextualSpacing w:val="0"/>
              <w:jc w:val="center"/>
              <w:rPr>
                <w:rFonts w:ascii="Times New Roman" w:eastAsia="Times New Roman" w:hAnsi="Times New Roman" w:cs="Times New Roman"/>
                <w:lang w:eastAsia="lv-LV"/>
              </w:rPr>
            </w:pPr>
          </w:p>
        </w:tc>
        <w:tc>
          <w:tcPr>
            <w:tcW w:w="728" w:type="pct"/>
            <w:tcBorders>
              <w:top w:val="single" w:sz="6" w:space="0" w:color="000000"/>
              <w:left w:val="single" w:sz="6" w:space="0" w:color="000000"/>
              <w:bottom w:val="single" w:sz="4" w:space="0" w:color="auto"/>
              <w:right w:val="single" w:sz="6" w:space="0" w:color="000000"/>
            </w:tcBorders>
          </w:tcPr>
          <w:p w14:paraId="5EFDCA74" w14:textId="28964211" w:rsidR="0005608C" w:rsidRPr="00BE4A9B" w:rsidRDefault="0005608C" w:rsidP="00886BFD">
            <w:pPr>
              <w:spacing w:after="0"/>
              <w:jc w:val="both"/>
              <w:rPr>
                <w:rFonts w:ascii="Times New Roman" w:eastAsia="Times New Roman" w:hAnsi="Times New Roman" w:cs="Times New Roman"/>
                <w:b/>
                <w:bCs/>
                <w:lang w:eastAsia="lv-LV"/>
              </w:rPr>
            </w:pPr>
            <w:r w:rsidRPr="00BE4A9B">
              <w:rPr>
                <w:rFonts w:ascii="Times New Roman" w:eastAsia="Times New Roman" w:hAnsi="Times New Roman" w:cs="Times New Roman"/>
                <w:b/>
                <w:bCs/>
                <w:lang w:eastAsia="lv-LV"/>
              </w:rPr>
              <w:t>Noteikumu projekta 2.punkts:</w:t>
            </w:r>
          </w:p>
          <w:p w14:paraId="5BD93802" w14:textId="77777777" w:rsidR="005A45F6" w:rsidRPr="00BE4A9B" w:rsidRDefault="005A45F6" w:rsidP="00886BFD">
            <w:pPr>
              <w:spacing w:after="0"/>
              <w:jc w:val="both"/>
              <w:rPr>
                <w:rFonts w:ascii="Times New Roman" w:eastAsia="Times New Roman" w:hAnsi="Times New Roman" w:cs="Times New Roman"/>
                <w:lang w:eastAsia="lv-LV"/>
              </w:rPr>
            </w:pPr>
            <w:r w:rsidRPr="00BE4A9B">
              <w:rPr>
                <w:rFonts w:ascii="Times New Roman" w:eastAsia="Times New Roman" w:hAnsi="Times New Roman" w:cs="Times New Roman"/>
                <w:lang w:eastAsia="lv-LV"/>
              </w:rPr>
              <w:t>2.</w:t>
            </w:r>
            <w:r w:rsidRPr="00BE4A9B">
              <w:rPr>
                <w:rFonts w:ascii="Times New Roman" w:eastAsia="Times New Roman" w:hAnsi="Times New Roman" w:cs="Times New Roman"/>
                <w:lang w:eastAsia="lv-LV"/>
              </w:rPr>
              <w:tab/>
              <w:t>Noteikumos lietotie termini:</w:t>
            </w:r>
          </w:p>
          <w:p w14:paraId="37469EDC" w14:textId="77777777" w:rsidR="005A45F6" w:rsidRPr="00BE4A9B" w:rsidRDefault="005A45F6" w:rsidP="00886BFD">
            <w:pPr>
              <w:spacing w:after="0"/>
              <w:jc w:val="both"/>
              <w:rPr>
                <w:rFonts w:ascii="Times New Roman" w:eastAsia="Times New Roman" w:hAnsi="Times New Roman" w:cs="Times New Roman"/>
                <w:lang w:eastAsia="lv-LV"/>
              </w:rPr>
            </w:pPr>
            <w:r w:rsidRPr="00BE4A9B">
              <w:rPr>
                <w:rFonts w:ascii="Times New Roman" w:eastAsia="Times New Roman" w:hAnsi="Times New Roman" w:cs="Times New Roman"/>
                <w:lang w:eastAsia="lv-LV"/>
              </w:rPr>
              <w:t>2.1.</w:t>
            </w:r>
            <w:r w:rsidRPr="00BE4A9B">
              <w:rPr>
                <w:rFonts w:ascii="Times New Roman" w:eastAsia="Times New Roman" w:hAnsi="Times New Roman" w:cs="Times New Roman"/>
                <w:lang w:eastAsia="lv-LV"/>
              </w:rPr>
              <w:tab/>
              <w:t xml:space="preserve">aizdevumu portfelis – kredītiestādes atbilstoši šo noteikumu nosacījumiem izsniegto hipotekāro </w:t>
            </w:r>
            <w:r w:rsidRPr="00BE4A9B">
              <w:rPr>
                <w:rFonts w:ascii="Times New Roman" w:eastAsia="Times New Roman" w:hAnsi="Times New Roman" w:cs="Times New Roman"/>
                <w:lang w:eastAsia="lv-LV"/>
              </w:rPr>
              <w:lastRenderedPageBreak/>
              <w:t>aizdevumu (turpmāk – aizdevums) darījumu kopums, kurā iekļauti atbilstoši šiem noteikumiem izsniegtie aizdevumi;</w:t>
            </w:r>
          </w:p>
          <w:p w14:paraId="2B493A9C" w14:textId="77777777" w:rsidR="005A45F6" w:rsidRPr="00BE4A9B" w:rsidRDefault="005A45F6" w:rsidP="00886BFD">
            <w:pPr>
              <w:spacing w:after="0"/>
              <w:jc w:val="both"/>
              <w:rPr>
                <w:rFonts w:ascii="Times New Roman" w:eastAsia="Times New Roman" w:hAnsi="Times New Roman" w:cs="Times New Roman"/>
                <w:lang w:eastAsia="lv-LV"/>
              </w:rPr>
            </w:pPr>
            <w:r w:rsidRPr="00BE4A9B">
              <w:rPr>
                <w:rFonts w:ascii="Times New Roman" w:eastAsia="Times New Roman" w:hAnsi="Times New Roman" w:cs="Times New Roman"/>
                <w:lang w:eastAsia="lv-LV"/>
              </w:rPr>
              <w:t>2.2.</w:t>
            </w:r>
            <w:r w:rsidRPr="00BE4A9B">
              <w:rPr>
                <w:rFonts w:ascii="Times New Roman" w:eastAsia="Times New Roman" w:hAnsi="Times New Roman" w:cs="Times New Roman"/>
                <w:lang w:eastAsia="lv-LV"/>
              </w:rPr>
              <w:tab/>
              <w:t>garantija – sabiedrības "</w:t>
            </w:r>
            <w:proofErr w:type="spellStart"/>
            <w:r w:rsidRPr="00BE4A9B">
              <w:rPr>
                <w:rFonts w:ascii="Times New Roman" w:eastAsia="Times New Roman" w:hAnsi="Times New Roman" w:cs="Times New Roman"/>
                <w:lang w:eastAsia="lv-LV"/>
              </w:rPr>
              <w:t>Altum</w:t>
            </w:r>
            <w:proofErr w:type="spellEnd"/>
            <w:r w:rsidRPr="00BE4A9B">
              <w:rPr>
                <w:rFonts w:ascii="Times New Roman" w:eastAsia="Times New Roman" w:hAnsi="Times New Roman" w:cs="Times New Roman"/>
                <w:lang w:eastAsia="lv-LV"/>
              </w:rPr>
              <w:t>" saistības šajos noteikumos noteiktajā apmērā un atbilstoši šajos noteikumos noteiktajam finansējumam segt kredītiestādes zaudējumus, kas radušies, ja aizņēmējs nepilda saistības par kredītiestādes sniegto aizdevumu;</w:t>
            </w:r>
          </w:p>
          <w:p w14:paraId="335A4099" w14:textId="77777777" w:rsidR="005A45F6" w:rsidRPr="00BE4A9B" w:rsidRDefault="005A45F6" w:rsidP="00886BFD">
            <w:pPr>
              <w:spacing w:after="0"/>
              <w:jc w:val="both"/>
              <w:rPr>
                <w:rFonts w:ascii="Times New Roman" w:eastAsia="Times New Roman" w:hAnsi="Times New Roman" w:cs="Times New Roman"/>
                <w:lang w:eastAsia="lv-LV"/>
              </w:rPr>
            </w:pPr>
            <w:r w:rsidRPr="00BE4A9B">
              <w:rPr>
                <w:rFonts w:ascii="Times New Roman" w:eastAsia="Times New Roman" w:hAnsi="Times New Roman" w:cs="Times New Roman"/>
                <w:lang w:eastAsia="lv-LV"/>
              </w:rPr>
              <w:t>2.3.</w:t>
            </w:r>
            <w:r w:rsidRPr="00BE4A9B">
              <w:rPr>
                <w:rFonts w:ascii="Times New Roman" w:eastAsia="Times New Roman" w:hAnsi="Times New Roman" w:cs="Times New Roman"/>
                <w:lang w:eastAsia="lv-LV"/>
              </w:rPr>
              <w:tab/>
              <w:t>garantijas likme – procentos izteikta kredītiestādes zaudējumu daļa, ko garantētam aizdevumam sedz garantija;</w:t>
            </w:r>
          </w:p>
          <w:p w14:paraId="286D03D4" w14:textId="77777777" w:rsidR="005A45F6" w:rsidRPr="00BE4A9B" w:rsidRDefault="005A45F6" w:rsidP="00886BFD">
            <w:pPr>
              <w:spacing w:after="0"/>
              <w:jc w:val="both"/>
              <w:rPr>
                <w:rFonts w:ascii="Times New Roman" w:eastAsia="Times New Roman" w:hAnsi="Times New Roman" w:cs="Times New Roman"/>
                <w:lang w:eastAsia="lv-LV"/>
              </w:rPr>
            </w:pPr>
            <w:r w:rsidRPr="00BE4A9B">
              <w:rPr>
                <w:rFonts w:ascii="Times New Roman" w:eastAsia="Times New Roman" w:hAnsi="Times New Roman" w:cs="Times New Roman"/>
                <w:lang w:eastAsia="lv-LV"/>
              </w:rPr>
              <w:t>2.4.</w:t>
            </w:r>
            <w:r w:rsidRPr="00BE4A9B">
              <w:rPr>
                <w:rFonts w:ascii="Times New Roman" w:eastAsia="Times New Roman" w:hAnsi="Times New Roman" w:cs="Times New Roman"/>
                <w:lang w:eastAsia="lv-LV"/>
              </w:rPr>
              <w:tab/>
              <w:t>garantiju portfelis – aizdevumu portfelī iekļautajiem aizdevumiem izsniegto garantiju kopums;</w:t>
            </w:r>
          </w:p>
          <w:p w14:paraId="7938921C" w14:textId="77777777" w:rsidR="005A45F6" w:rsidRPr="00BE4A9B" w:rsidRDefault="005A45F6" w:rsidP="00886BFD">
            <w:pPr>
              <w:spacing w:after="0"/>
              <w:jc w:val="both"/>
              <w:rPr>
                <w:rFonts w:ascii="Times New Roman" w:eastAsia="Times New Roman" w:hAnsi="Times New Roman" w:cs="Times New Roman"/>
                <w:lang w:eastAsia="lv-LV"/>
              </w:rPr>
            </w:pPr>
            <w:r w:rsidRPr="00BE4A9B">
              <w:rPr>
                <w:rFonts w:ascii="Times New Roman" w:eastAsia="Times New Roman" w:hAnsi="Times New Roman" w:cs="Times New Roman"/>
                <w:lang w:eastAsia="lv-LV"/>
              </w:rPr>
              <w:t>2.5.</w:t>
            </w:r>
            <w:r w:rsidRPr="00BE4A9B">
              <w:rPr>
                <w:rFonts w:ascii="Times New Roman" w:eastAsia="Times New Roman" w:hAnsi="Times New Roman" w:cs="Times New Roman"/>
                <w:lang w:eastAsia="lv-LV"/>
              </w:rPr>
              <w:tab/>
              <w:t>ierobežotā garantijas likme (</w:t>
            </w:r>
            <w:proofErr w:type="spellStart"/>
            <w:r w:rsidRPr="00BE4A9B">
              <w:rPr>
                <w:rFonts w:ascii="Times New Roman" w:eastAsia="Times New Roman" w:hAnsi="Times New Roman" w:cs="Times New Roman"/>
                <w:lang w:eastAsia="lv-LV"/>
              </w:rPr>
              <w:t>guarantee</w:t>
            </w:r>
            <w:proofErr w:type="spellEnd"/>
            <w:r w:rsidRPr="00BE4A9B">
              <w:rPr>
                <w:rFonts w:ascii="Times New Roman" w:eastAsia="Times New Roman" w:hAnsi="Times New Roman" w:cs="Times New Roman"/>
                <w:lang w:eastAsia="lv-LV"/>
              </w:rPr>
              <w:t xml:space="preserve"> </w:t>
            </w:r>
            <w:proofErr w:type="spellStart"/>
            <w:r w:rsidRPr="00BE4A9B">
              <w:rPr>
                <w:rFonts w:ascii="Times New Roman" w:eastAsia="Times New Roman" w:hAnsi="Times New Roman" w:cs="Times New Roman"/>
                <w:lang w:eastAsia="lv-LV"/>
              </w:rPr>
              <w:t>cap</w:t>
            </w:r>
            <w:proofErr w:type="spellEnd"/>
            <w:r w:rsidRPr="00BE4A9B">
              <w:rPr>
                <w:rFonts w:ascii="Times New Roman" w:eastAsia="Times New Roman" w:hAnsi="Times New Roman" w:cs="Times New Roman"/>
                <w:lang w:eastAsia="lv-LV"/>
              </w:rPr>
              <w:t xml:space="preserve"> </w:t>
            </w:r>
            <w:proofErr w:type="spellStart"/>
            <w:r w:rsidRPr="00BE4A9B">
              <w:rPr>
                <w:rFonts w:ascii="Times New Roman" w:eastAsia="Times New Roman" w:hAnsi="Times New Roman" w:cs="Times New Roman"/>
                <w:lang w:eastAsia="lv-LV"/>
              </w:rPr>
              <w:t>rate</w:t>
            </w:r>
            <w:proofErr w:type="spellEnd"/>
            <w:r w:rsidRPr="00BE4A9B">
              <w:rPr>
                <w:rFonts w:ascii="Times New Roman" w:eastAsia="Times New Roman" w:hAnsi="Times New Roman" w:cs="Times New Roman"/>
                <w:lang w:eastAsia="lv-LV"/>
              </w:rPr>
              <w:t xml:space="preserve">) – procentos izteikta garantiju portfeļa daļa, kuru sedz </w:t>
            </w:r>
            <w:proofErr w:type="spellStart"/>
            <w:r w:rsidRPr="00BE4A9B">
              <w:rPr>
                <w:rFonts w:ascii="Times New Roman" w:eastAsia="Times New Roman" w:hAnsi="Times New Roman" w:cs="Times New Roman"/>
                <w:lang w:eastAsia="lv-LV"/>
              </w:rPr>
              <w:t>portfeļgarantija</w:t>
            </w:r>
            <w:proofErr w:type="spellEnd"/>
            <w:r w:rsidRPr="00BE4A9B">
              <w:rPr>
                <w:rFonts w:ascii="Times New Roman" w:eastAsia="Times New Roman" w:hAnsi="Times New Roman" w:cs="Times New Roman"/>
                <w:lang w:eastAsia="lv-LV"/>
              </w:rPr>
              <w:t>;</w:t>
            </w:r>
          </w:p>
          <w:p w14:paraId="0A4A41EC" w14:textId="77777777" w:rsidR="005A45F6" w:rsidRPr="00BE4A9B" w:rsidRDefault="005A45F6" w:rsidP="00886BFD">
            <w:pPr>
              <w:spacing w:after="0"/>
              <w:jc w:val="both"/>
              <w:rPr>
                <w:rFonts w:ascii="Times New Roman" w:eastAsia="Times New Roman" w:hAnsi="Times New Roman" w:cs="Times New Roman"/>
                <w:lang w:eastAsia="lv-LV"/>
              </w:rPr>
            </w:pPr>
            <w:r w:rsidRPr="00BE4A9B">
              <w:rPr>
                <w:rFonts w:ascii="Times New Roman" w:eastAsia="Times New Roman" w:hAnsi="Times New Roman" w:cs="Times New Roman"/>
                <w:lang w:eastAsia="lv-LV"/>
              </w:rPr>
              <w:t>2.6.</w:t>
            </w:r>
            <w:r w:rsidRPr="00BE4A9B">
              <w:rPr>
                <w:rFonts w:ascii="Times New Roman" w:eastAsia="Times New Roman" w:hAnsi="Times New Roman" w:cs="Times New Roman"/>
                <w:lang w:eastAsia="lv-LV"/>
              </w:rPr>
              <w:tab/>
              <w:t>ierobežotā garantijas summa (</w:t>
            </w:r>
            <w:proofErr w:type="spellStart"/>
            <w:r w:rsidRPr="00BE4A9B">
              <w:rPr>
                <w:rFonts w:ascii="Times New Roman" w:eastAsia="Times New Roman" w:hAnsi="Times New Roman" w:cs="Times New Roman"/>
                <w:lang w:eastAsia="lv-LV"/>
              </w:rPr>
              <w:t>guarantee</w:t>
            </w:r>
            <w:proofErr w:type="spellEnd"/>
            <w:r w:rsidRPr="00BE4A9B">
              <w:rPr>
                <w:rFonts w:ascii="Times New Roman" w:eastAsia="Times New Roman" w:hAnsi="Times New Roman" w:cs="Times New Roman"/>
                <w:lang w:eastAsia="lv-LV"/>
              </w:rPr>
              <w:t xml:space="preserve"> </w:t>
            </w:r>
            <w:proofErr w:type="spellStart"/>
            <w:r w:rsidRPr="00BE4A9B">
              <w:rPr>
                <w:rFonts w:ascii="Times New Roman" w:eastAsia="Times New Roman" w:hAnsi="Times New Roman" w:cs="Times New Roman"/>
                <w:lang w:eastAsia="lv-LV"/>
              </w:rPr>
              <w:t>cap</w:t>
            </w:r>
            <w:proofErr w:type="spellEnd"/>
            <w:r w:rsidRPr="00BE4A9B">
              <w:rPr>
                <w:rFonts w:ascii="Times New Roman" w:eastAsia="Times New Roman" w:hAnsi="Times New Roman" w:cs="Times New Roman"/>
                <w:lang w:eastAsia="lv-LV"/>
              </w:rPr>
              <w:t xml:space="preserve"> </w:t>
            </w:r>
            <w:proofErr w:type="spellStart"/>
            <w:r w:rsidRPr="00BE4A9B">
              <w:rPr>
                <w:rFonts w:ascii="Times New Roman" w:eastAsia="Times New Roman" w:hAnsi="Times New Roman" w:cs="Times New Roman"/>
                <w:lang w:eastAsia="lv-LV"/>
              </w:rPr>
              <w:lastRenderedPageBreak/>
              <w:t>amount</w:t>
            </w:r>
            <w:proofErr w:type="spellEnd"/>
            <w:r w:rsidRPr="00BE4A9B">
              <w:rPr>
                <w:rFonts w:ascii="Times New Roman" w:eastAsia="Times New Roman" w:hAnsi="Times New Roman" w:cs="Times New Roman"/>
                <w:lang w:eastAsia="lv-LV"/>
              </w:rPr>
              <w:t xml:space="preserve">) – kredītiestādes aizdevuma portfeļa maksimālā zaudējumu summa, kuru sedz </w:t>
            </w:r>
            <w:proofErr w:type="spellStart"/>
            <w:r w:rsidRPr="00BE4A9B">
              <w:rPr>
                <w:rFonts w:ascii="Times New Roman" w:eastAsia="Times New Roman" w:hAnsi="Times New Roman" w:cs="Times New Roman"/>
                <w:lang w:eastAsia="lv-LV"/>
              </w:rPr>
              <w:t>portfeļgarantija</w:t>
            </w:r>
            <w:proofErr w:type="spellEnd"/>
            <w:r w:rsidRPr="00BE4A9B">
              <w:rPr>
                <w:rFonts w:ascii="Times New Roman" w:eastAsia="Times New Roman" w:hAnsi="Times New Roman" w:cs="Times New Roman"/>
                <w:lang w:eastAsia="lv-LV"/>
              </w:rPr>
              <w:t>. Ierobežoto garantijas summu aprēķina kā kredītiestādes aizdevumu portfeļa (maksimāli izmaksāto aizdevumu summa), garantijas likmes un ierobežotās garantijas likmes reizinājumu;</w:t>
            </w:r>
          </w:p>
          <w:p w14:paraId="46EA27B4" w14:textId="5669ABB2" w:rsidR="0005608C" w:rsidRPr="00BE4A9B" w:rsidRDefault="005A45F6" w:rsidP="00886BFD">
            <w:pPr>
              <w:spacing w:after="0"/>
              <w:jc w:val="both"/>
              <w:rPr>
                <w:rFonts w:ascii="Times New Roman" w:eastAsia="Times New Roman" w:hAnsi="Times New Roman" w:cs="Times New Roman"/>
                <w:lang w:eastAsia="lv-LV"/>
              </w:rPr>
            </w:pPr>
            <w:r w:rsidRPr="00BE4A9B">
              <w:rPr>
                <w:rFonts w:ascii="Times New Roman" w:eastAsia="Times New Roman" w:hAnsi="Times New Roman" w:cs="Times New Roman"/>
                <w:lang w:eastAsia="lv-LV"/>
              </w:rPr>
              <w:t>2.7.</w:t>
            </w:r>
            <w:r w:rsidRPr="00BE4A9B">
              <w:rPr>
                <w:rFonts w:ascii="Times New Roman" w:eastAsia="Times New Roman" w:hAnsi="Times New Roman" w:cs="Times New Roman"/>
                <w:lang w:eastAsia="lv-LV"/>
              </w:rPr>
              <w:tab/>
            </w:r>
            <w:proofErr w:type="spellStart"/>
            <w:r w:rsidRPr="00BE4A9B">
              <w:rPr>
                <w:rFonts w:ascii="Times New Roman" w:eastAsia="Times New Roman" w:hAnsi="Times New Roman" w:cs="Times New Roman"/>
                <w:lang w:eastAsia="lv-LV"/>
              </w:rPr>
              <w:t>portfeļgarantija</w:t>
            </w:r>
            <w:proofErr w:type="spellEnd"/>
            <w:r w:rsidRPr="00BE4A9B">
              <w:rPr>
                <w:rFonts w:ascii="Times New Roman" w:eastAsia="Times New Roman" w:hAnsi="Times New Roman" w:cs="Times New Roman"/>
                <w:lang w:eastAsia="lv-LV"/>
              </w:rPr>
              <w:t xml:space="preserve"> – finanšu instruments, kas nodrošina aizdevumu portfeļa zaudējumu segšanu atbilstoši garantijas likmei, nepārsniedzot ierobežotās garantijas summu, ja tāda noteikta.</w:t>
            </w:r>
          </w:p>
        </w:tc>
        <w:tc>
          <w:tcPr>
            <w:tcW w:w="1093" w:type="pct"/>
            <w:tcBorders>
              <w:top w:val="single" w:sz="6" w:space="0" w:color="000000"/>
              <w:left w:val="single" w:sz="6" w:space="0" w:color="000000"/>
              <w:bottom w:val="single" w:sz="6" w:space="0" w:color="000000"/>
              <w:right w:val="single" w:sz="6" w:space="0" w:color="000000"/>
            </w:tcBorders>
          </w:tcPr>
          <w:p w14:paraId="73A6644E" w14:textId="12D0036D" w:rsidR="0005608C" w:rsidRPr="003D275B" w:rsidRDefault="0005608C" w:rsidP="00886BFD">
            <w:pPr>
              <w:spacing w:after="0" w:line="240" w:lineRule="auto"/>
              <w:jc w:val="both"/>
              <w:rPr>
                <w:rFonts w:ascii="Times New Roman" w:eastAsia="Times New Roman" w:hAnsi="Times New Roman" w:cs="Times New Roman"/>
                <w:b/>
                <w:lang w:eastAsia="lv-LV"/>
              </w:rPr>
            </w:pPr>
            <w:r w:rsidRPr="003D275B">
              <w:rPr>
                <w:rFonts w:ascii="Times New Roman" w:eastAsia="Times New Roman" w:hAnsi="Times New Roman" w:cs="Times New Roman"/>
                <w:b/>
                <w:lang w:eastAsia="lv-LV"/>
              </w:rPr>
              <w:lastRenderedPageBreak/>
              <w:t>Finanšu ministrija</w:t>
            </w:r>
            <w:r w:rsidR="00886BFD" w:rsidRPr="003D275B">
              <w:rPr>
                <w:rFonts w:ascii="Times New Roman" w:eastAsia="Times New Roman" w:hAnsi="Times New Roman" w:cs="Times New Roman"/>
                <w:b/>
                <w:lang w:eastAsia="lv-LV"/>
              </w:rPr>
              <w:t>s 2</w:t>
            </w:r>
            <w:r w:rsidR="00F334D6">
              <w:rPr>
                <w:rFonts w:ascii="Times New Roman" w:eastAsia="Times New Roman" w:hAnsi="Times New Roman" w:cs="Times New Roman"/>
                <w:b/>
                <w:lang w:eastAsia="lv-LV"/>
              </w:rPr>
              <w:t>6</w:t>
            </w:r>
            <w:bookmarkStart w:id="12" w:name="_GoBack"/>
            <w:bookmarkEnd w:id="12"/>
            <w:r w:rsidR="00886BFD" w:rsidRPr="003D275B">
              <w:rPr>
                <w:rFonts w:ascii="Times New Roman" w:eastAsia="Times New Roman" w:hAnsi="Times New Roman" w:cs="Times New Roman"/>
                <w:b/>
                <w:lang w:eastAsia="lv-LV"/>
              </w:rPr>
              <w:t>.05.2020. atzinuma 1.iebildums:</w:t>
            </w:r>
          </w:p>
          <w:p w14:paraId="333D4123" w14:textId="1F6ABC7D" w:rsidR="0005608C" w:rsidRPr="00BE4A9B" w:rsidRDefault="00886BFD" w:rsidP="0005608C">
            <w:pPr>
              <w:spacing w:after="0" w:line="240" w:lineRule="auto"/>
              <w:jc w:val="both"/>
              <w:rPr>
                <w:rFonts w:ascii="Times New Roman" w:eastAsia="Times New Roman" w:hAnsi="Times New Roman" w:cs="Times New Roman"/>
                <w:bCs/>
                <w:lang w:eastAsia="lv-LV"/>
              </w:rPr>
            </w:pPr>
            <w:r w:rsidRPr="003D275B">
              <w:rPr>
                <w:rFonts w:ascii="Times New Roman" w:eastAsia="Times New Roman" w:hAnsi="Times New Roman" w:cs="Times New Roman"/>
                <w:bCs/>
                <w:lang w:eastAsia="lv-LV"/>
              </w:rPr>
              <w:t xml:space="preserve">“1. </w:t>
            </w:r>
            <w:r w:rsidR="0005608C" w:rsidRPr="003D275B">
              <w:rPr>
                <w:rFonts w:ascii="Times New Roman" w:eastAsia="Times New Roman" w:hAnsi="Times New Roman" w:cs="Times New Roman"/>
                <w:bCs/>
                <w:lang w:eastAsia="lv-LV"/>
              </w:rPr>
              <w:t>Ņemot vērā, ka noteikumu projekta 2.punktā iekļauti termini: garantijas likme; ierobežotā garantijas likme un ierobežotā garantijas summa, lūdzam noteikumu projektā lietot vienotu terminoloģiju, skaidri nosakot konkrēto likmju un summu apjomu, kā arī kredītiestādes risku katra darījuma</w:t>
            </w:r>
            <w:r w:rsidR="0005608C" w:rsidRPr="0049305B">
              <w:rPr>
                <w:rFonts w:ascii="Times New Roman" w:eastAsia="Times New Roman" w:hAnsi="Times New Roman" w:cs="Times New Roman"/>
                <w:bCs/>
                <w:lang w:eastAsia="lv-LV"/>
              </w:rPr>
              <w:t xml:space="preserve"> līmenī</w:t>
            </w:r>
            <w:r w:rsidR="0005608C" w:rsidRPr="00BE4A9B">
              <w:rPr>
                <w:rFonts w:ascii="Times New Roman" w:eastAsia="Times New Roman" w:hAnsi="Times New Roman" w:cs="Times New Roman"/>
                <w:bCs/>
                <w:lang w:eastAsia="lv-LV"/>
              </w:rPr>
              <w:t xml:space="preserve">. </w:t>
            </w:r>
            <w:r w:rsidR="0005608C" w:rsidRPr="00BE4A9B">
              <w:rPr>
                <w:rFonts w:ascii="Times New Roman" w:eastAsia="Times New Roman" w:hAnsi="Times New Roman" w:cs="Times New Roman"/>
                <w:bCs/>
                <w:lang w:eastAsia="lv-LV"/>
              </w:rPr>
              <w:lastRenderedPageBreak/>
              <w:t>Vienlaikus lūdzam par katru konkrēto likmes un summas apjomu skaidrojumu iekļaut anotācijā, kā arī ietekmes uz vispārējās valdības budžetu novērtējumu.</w:t>
            </w:r>
            <w:r w:rsidRPr="00BE4A9B">
              <w:rPr>
                <w:rFonts w:ascii="Times New Roman" w:eastAsia="Times New Roman" w:hAnsi="Times New Roman" w:cs="Times New Roman"/>
                <w:bCs/>
                <w:lang w:eastAsia="lv-LV"/>
              </w:rPr>
              <w:t>”</w:t>
            </w:r>
          </w:p>
          <w:p w14:paraId="130C3DC1" w14:textId="77777777" w:rsidR="0005608C" w:rsidRPr="00BE4A9B" w:rsidRDefault="0005608C" w:rsidP="0005608C">
            <w:pPr>
              <w:spacing w:after="0" w:line="240" w:lineRule="auto"/>
              <w:jc w:val="both"/>
              <w:rPr>
                <w:rFonts w:ascii="Times New Roman" w:eastAsia="Times New Roman" w:hAnsi="Times New Roman" w:cs="Times New Roman"/>
                <w:bCs/>
                <w:lang w:eastAsia="lv-LV"/>
              </w:rPr>
            </w:pPr>
          </w:p>
          <w:p w14:paraId="2001FF22" w14:textId="3E7A2619" w:rsidR="0005608C" w:rsidRPr="00BE4A9B" w:rsidRDefault="0005608C" w:rsidP="0005608C">
            <w:pPr>
              <w:spacing w:after="0" w:line="240" w:lineRule="auto"/>
              <w:jc w:val="both"/>
              <w:rPr>
                <w:rFonts w:ascii="Times New Roman" w:eastAsia="Times New Roman" w:hAnsi="Times New Roman" w:cs="Times New Roman"/>
                <w:bCs/>
                <w:lang w:eastAsia="lv-LV"/>
              </w:rPr>
            </w:pPr>
          </w:p>
        </w:tc>
        <w:tc>
          <w:tcPr>
            <w:tcW w:w="836" w:type="pct"/>
            <w:gridSpan w:val="2"/>
            <w:tcBorders>
              <w:top w:val="single" w:sz="6" w:space="0" w:color="000000"/>
              <w:left w:val="single" w:sz="6" w:space="0" w:color="000000"/>
              <w:bottom w:val="single" w:sz="6" w:space="0" w:color="000000"/>
              <w:right w:val="single" w:sz="6" w:space="0" w:color="000000"/>
            </w:tcBorders>
          </w:tcPr>
          <w:p w14:paraId="4E281F33" w14:textId="419BB002" w:rsidR="0005608C" w:rsidRPr="00BE4A9B" w:rsidRDefault="0049305B" w:rsidP="002F4F3A">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lastRenderedPageBreak/>
              <w:t>Ņ</w:t>
            </w:r>
            <w:r w:rsidR="00592501" w:rsidRPr="00BE4A9B">
              <w:rPr>
                <w:rFonts w:ascii="Times New Roman" w:eastAsia="Times New Roman" w:hAnsi="Times New Roman" w:cs="Times New Roman"/>
                <w:b/>
                <w:lang w:eastAsia="lv-LV"/>
              </w:rPr>
              <w:t>emts vērā</w:t>
            </w:r>
          </w:p>
          <w:p w14:paraId="6BE3C482" w14:textId="74302C28" w:rsidR="008E4B2D" w:rsidRPr="00BE4A9B" w:rsidRDefault="008E4B2D" w:rsidP="008E4B2D">
            <w:pPr>
              <w:spacing w:after="0" w:line="240" w:lineRule="auto"/>
              <w:jc w:val="both"/>
              <w:rPr>
                <w:rFonts w:ascii="Times New Roman" w:eastAsia="Times New Roman" w:hAnsi="Times New Roman" w:cs="Times New Roman"/>
                <w:bCs/>
                <w:lang w:eastAsia="lv-LV"/>
              </w:rPr>
            </w:pPr>
            <w:r w:rsidRPr="00BE4A9B">
              <w:rPr>
                <w:rFonts w:ascii="Times New Roman" w:eastAsia="Times New Roman" w:hAnsi="Times New Roman" w:cs="Times New Roman"/>
                <w:bCs/>
                <w:lang w:eastAsia="lv-LV"/>
              </w:rPr>
              <w:t>Skaidrojam, ka garantijas likme, ierobežotā garantijas likme un ierobežotā garantijas summa ir trīs dažādi jēdzieni, kas attiecīgi ir paskaidrots arī Noteikumu projektā.</w:t>
            </w:r>
          </w:p>
          <w:p w14:paraId="771AE946" w14:textId="77777777" w:rsidR="00A0153E" w:rsidRPr="00BE4A9B" w:rsidRDefault="00A0153E" w:rsidP="008E4B2D">
            <w:pPr>
              <w:spacing w:after="0" w:line="240" w:lineRule="auto"/>
              <w:jc w:val="both"/>
              <w:rPr>
                <w:rFonts w:ascii="Times New Roman" w:eastAsia="Times New Roman" w:hAnsi="Times New Roman" w:cs="Times New Roman"/>
                <w:bCs/>
                <w:lang w:eastAsia="lv-LV"/>
              </w:rPr>
            </w:pPr>
          </w:p>
          <w:p w14:paraId="0382C3FE" w14:textId="4B0BBE4E" w:rsidR="008E4B2D" w:rsidRPr="00BE4A9B" w:rsidRDefault="008E4B2D" w:rsidP="008E4B2D">
            <w:pPr>
              <w:spacing w:after="0" w:line="240" w:lineRule="auto"/>
              <w:jc w:val="both"/>
              <w:rPr>
                <w:rFonts w:ascii="Times New Roman" w:eastAsia="Times New Roman" w:hAnsi="Times New Roman" w:cs="Times New Roman"/>
                <w:bCs/>
                <w:lang w:eastAsia="lv-LV"/>
              </w:rPr>
            </w:pPr>
            <w:r w:rsidRPr="00BE4A9B">
              <w:rPr>
                <w:rFonts w:ascii="Times New Roman" w:eastAsia="Times New Roman" w:hAnsi="Times New Roman" w:cs="Times New Roman"/>
                <w:b/>
                <w:lang w:eastAsia="lv-LV"/>
              </w:rPr>
              <w:lastRenderedPageBreak/>
              <w:t>Garantijas likme</w:t>
            </w:r>
            <w:r w:rsidRPr="00BE4A9B">
              <w:rPr>
                <w:rFonts w:ascii="Times New Roman" w:eastAsia="Times New Roman" w:hAnsi="Times New Roman" w:cs="Times New Roman"/>
                <w:bCs/>
                <w:lang w:eastAsia="lv-LV"/>
              </w:rPr>
              <w:t xml:space="preserve"> ir ierobežojums, kas noteiks </w:t>
            </w:r>
            <w:r w:rsidR="003D3DBB" w:rsidRPr="003D3DBB">
              <w:rPr>
                <w:rFonts w:ascii="Times New Roman" w:eastAsia="Times New Roman" w:hAnsi="Times New Roman" w:cs="Times New Roman"/>
                <w:b/>
                <w:lang w:eastAsia="lv-LV"/>
              </w:rPr>
              <w:t>katra</w:t>
            </w:r>
            <w:r w:rsidRPr="003D3DBB">
              <w:rPr>
                <w:rFonts w:ascii="Times New Roman" w:eastAsia="Times New Roman" w:hAnsi="Times New Roman" w:cs="Times New Roman"/>
                <w:b/>
                <w:lang w:eastAsia="lv-LV"/>
              </w:rPr>
              <w:t xml:space="preserve"> </w:t>
            </w:r>
            <w:r w:rsidRPr="00BE4A9B">
              <w:rPr>
                <w:rFonts w:ascii="Times New Roman" w:eastAsia="Times New Roman" w:hAnsi="Times New Roman" w:cs="Times New Roman"/>
                <w:b/>
                <w:lang w:eastAsia="lv-LV"/>
              </w:rPr>
              <w:t>darījuma (aizdevuma</w:t>
            </w:r>
            <w:r w:rsidR="00DB4931" w:rsidRPr="00BE4A9B">
              <w:rPr>
                <w:rFonts w:ascii="Times New Roman" w:eastAsia="Times New Roman" w:hAnsi="Times New Roman" w:cs="Times New Roman"/>
                <w:b/>
                <w:lang w:eastAsia="lv-LV"/>
              </w:rPr>
              <w:t>)</w:t>
            </w:r>
            <w:r w:rsidRPr="00BE4A9B">
              <w:rPr>
                <w:rFonts w:ascii="Times New Roman" w:eastAsia="Times New Roman" w:hAnsi="Times New Roman" w:cs="Times New Roman"/>
                <w:bCs/>
                <w:lang w:eastAsia="lv-LV"/>
              </w:rPr>
              <w:t xml:space="preserve"> līmenī - procentos izteikta kredītiestādes zaudējumu daļa, ko garantētam aizdevumam sedz garantija.</w:t>
            </w:r>
            <w:r w:rsidR="00DB4931" w:rsidRPr="00BE4A9B">
              <w:rPr>
                <w:rFonts w:ascii="Times New Roman" w:eastAsia="Times New Roman" w:hAnsi="Times New Roman" w:cs="Times New Roman"/>
                <w:bCs/>
                <w:lang w:eastAsia="lv-LV"/>
              </w:rPr>
              <w:t xml:space="preserve"> Garantijas likmes apmērs ir noteikts Noteikumu projektā – līdz 30% no aizdevuma summas.</w:t>
            </w:r>
          </w:p>
          <w:p w14:paraId="5C77ED1C" w14:textId="77777777" w:rsidR="00DB4931" w:rsidRPr="00BE4A9B" w:rsidRDefault="00DB4931" w:rsidP="008E4B2D">
            <w:pPr>
              <w:spacing w:after="0" w:line="240" w:lineRule="auto"/>
              <w:jc w:val="both"/>
              <w:rPr>
                <w:rFonts w:ascii="Times New Roman" w:eastAsia="Times New Roman" w:hAnsi="Times New Roman" w:cs="Times New Roman"/>
                <w:bCs/>
                <w:lang w:eastAsia="lv-LV"/>
              </w:rPr>
            </w:pPr>
          </w:p>
          <w:p w14:paraId="10092E77" w14:textId="349FDEB9" w:rsidR="00DB4931" w:rsidRPr="00BE4A9B" w:rsidRDefault="00DB4931" w:rsidP="008E4B2D">
            <w:pPr>
              <w:spacing w:after="0" w:line="240" w:lineRule="auto"/>
              <w:jc w:val="both"/>
              <w:rPr>
                <w:rFonts w:ascii="Times New Roman" w:eastAsia="Times New Roman" w:hAnsi="Times New Roman" w:cs="Times New Roman"/>
                <w:bCs/>
                <w:lang w:eastAsia="lv-LV"/>
              </w:rPr>
            </w:pPr>
            <w:r w:rsidRPr="00BE4A9B">
              <w:rPr>
                <w:rFonts w:ascii="Times New Roman" w:eastAsia="Times New Roman" w:hAnsi="Times New Roman" w:cs="Times New Roman"/>
                <w:b/>
                <w:lang w:eastAsia="lv-LV"/>
              </w:rPr>
              <w:t>Ierobežotā garantijas likme</w:t>
            </w:r>
            <w:r w:rsidRPr="00BE4A9B">
              <w:rPr>
                <w:rFonts w:ascii="Times New Roman" w:eastAsia="Times New Roman" w:hAnsi="Times New Roman" w:cs="Times New Roman"/>
                <w:bCs/>
                <w:lang w:eastAsia="lv-LV"/>
              </w:rPr>
              <w:t xml:space="preserve"> ir ierobežojums, kas noteikts kredītiestādes </w:t>
            </w:r>
            <w:r w:rsidRPr="00BE4A9B">
              <w:rPr>
                <w:rFonts w:ascii="Times New Roman" w:eastAsia="Times New Roman" w:hAnsi="Times New Roman" w:cs="Times New Roman"/>
                <w:b/>
                <w:lang w:eastAsia="lv-LV"/>
              </w:rPr>
              <w:t>kredītportfeļa</w:t>
            </w:r>
            <w:r w:rsidRPr="00BE4A9B">
              <w:rPr>
                <w:rFonts w:ascii="Times New Roman" w:eastAsia="Times New Roman" w:hAnsi="Times New Roman" w:cs="Times New Roman"/>
                <w:bCs/>
                <w:lang w:eastAsia="lv-LV"/>
              </w:rPr>
              <w:t xml:space="preserve"> līmenī (kopējo izsniegto aizdevumu) līmenī – procentos izteikta garantiju portfeļa daļa, kuru sedz </w:t>
            </w:r>
            <w:proofErr w:type="spellStart"/>
            <w:r w:rsidRPr="00BE4A9B">
              <w:rPr>
                <w:rFonts w:ascii="Times New Roman" w:eastAsia="Times New Roman" w:hAnsi="Times New Roman" w:cs="Times New Roman"/>
                <w:bCs/>
                <w:lang w:eastAsia="lv-LV"/>
              </w:rPr>
              <w:t>portfeļgarantija</w:t>
            </w:r>
            <w:proofErr w:type="spellEnd"/>
            <w:r w:rsidRPr="00BE4A9B">
              <w:rPr>
                <w:rFonts w:ascii="Times New Roman" w:eastAsia="Times New Roman" w:hAnsi="Times New Roman" w:cs="Times New Roman"/>
                <w:bCs/>
                <w:lang w:eastAsia="lv-LV"/>
              </w:rPr>
              <w:t>. Noteikumu projektā ir noteikts, ka ierobežotā garantijas likme nepārsniedz 20%.</w:t>
            </w:r>
          </w:p>
          <w:p w14:paraId="71285EBD" w14:textId="34C773C5" w:rsidR="00DB4931" w:rsidRPr="00BE4A9B" w:rsidRDefault="00DB4931" w:rsidP="008E4B2D">
            <w:pPr>
              <w:spacing w:after="0" w:line="240" w:lineRule="auto"/>
              <w:jc w:val="both"/>
              <w:rPr>
                <w:rFonts w:ascii="Times New Roman" w:eastAsia="Times New Roman" w:hAnsi="Times New Roman" w:cs="Times New Roman"/>
                <w:bCs/>
                <w:lang w:eastAsia="lv-LV"/>
              </w:rPr>
            </w:pPr>
          </w:p>
          <w:p w14:paraId="62B110D3" w14:textId="399669CE" w:rsidR="00DB4931" w:rsidRPr="00BE4A9B" w:rsidRDefault="00DB4931" w:rsidP="008E4B2D">
            <w:pPr>
              <w:spacing w:after="0" w:line="240" w:lineRule="auto"/>
              <w:jc w:val="both"/>
              <w:rPr>
                <w:rFonts w:ascii="Times New Roman" w:eastAsia="Times New Roman" w:hAnsi="Times New Roman" w:cs="Times New Roman"/>
                <w:bCs/>
                <w:lang w:eastAsia="lv-LV"/>
              </w:rPr>
            </w:pPr>
            <w:r w:rsidRPr="00BE4A9B">
              <w:rPr>
                <w:rFonts w:ascii="Times New Roman" w:eastAsia="Times New Roman" w:hAnsi="Times New Roman" w:cs="Times New Roman"/>
                <w:b/>
                <w:lang w:eastAsia="lv-LV"/>
              </w:rPr>
              <w:t>Ierobežotā garantijas summa</w:t>
            </w:r>
            <w:r w:rsidR="00A0153E" w:rsidRPr="00BE4A9B">
              <w:rPr>
                <w:rFonts w:ascii="Times New Roman" w:eastAsia="Times New Roman" w:hAnsi="Times New Roman" w:cs="Times New Roman"/>
                <w:b/>
                <w:lang w:eastAsia="lv-LV"/>
              </w:rPr>
              <w:t xml:space="preserve"> </w:t>
            </w:r>
            <w:r w:rsidR="00A0153E" w:rsidRPr="00BE4A9B">
              <w:rPr>
                <w:rFonts w:ascii="Times New Roman" w:eastAsia="Times New Roman" w:hAnsi="Times New Roman" w:cs="Times New Roman"/>
                <w:bCs/>
                <w:lang w:eastAsia="lv-LV"/>
              </w:rPr>
              <w:t xml:space="preserve">ir </w:t>
            </w:r>
            <w:r w:rsidR="00BE4A9B" w:rsidRPr="00BE4A9B">
              <w:rPr>
                <w:rFonts w:ascii="Times New Roman" w:eastAsia="Times New Roman" w:hAnsi="Times New Roman" w:cs="Times New Roman"/>
                <w:bCs/>
                <w:lang w:eastAsia="lv-LV"/>
              </w:rPr>
              <w:t xml:space="preserve">komercbankas noteiktā aizdevumu </w:t>
            </w:r>
            <w:r w:rsidR="00BE4A9B" w:rsidRPr="000417C2">
              <w:rPr>
                <w:rFonts w:ascii="Times New Roman" w:eastAsia="Times New Roman" w:hAnsi="Times New Roman" w:cs="Times New Roman"/>
                <w:b/>
                <w:lang w:eastAsia="lv-LV"/>
              </w:rPr>
              <w:t>portfeļa maksimālā zaudējumu summa</w:t>
            </w:r>
            <w:r w:rsidR="00BE4A9B" w:rsidRPr="00BE4A9B">
              <w:rPr>
                <w:rFonts w:ascii="Times New Roman" w:eastAsia="Times New Roman" w:hAnsi="Times New Roman" w:cs="Times New Roman"/>
                <w:bCs/>
                <w:lang w:eastAsia="lv-LV"/>
              </w:rPr>
              <w:t xml:space="preserve">, kuru sedz </w:t>
            </w:r>
            <w:proofErr w:type="spellStart"/>
            <w:r w:rsidR="00BE4A9B" w:rsidRPr="00BE4A9B">
              <w:rPr>
                <w:rFonts w:ascii="Times New Roman" w:eastAsia="Times New Roman" w:hAnsi="Times New Roman" w:cs="Times New Roman"/>
                <w:bCs/>
                <w:lang w:eastAsia="lv-LV"/>
              </w:rPr>
              <w:t>portfeļgarantija</w:t>
            </w:r>
            <w:proofErr w:type="spellEnd"/>
            <w:r w:rsidR="00BE4A9B" w:rsidRPr="00BE4A9B">
              <w:rPr>
                <w:rFonts w:ascii="Times New Roman" w:eastAsia="Times New Roman" w:hAnsi="Times New Roman" w:cs="Times New Roman"/>
                <w:bCs/>
                <w:lang w:eastAsia="lv-LV"/>
              </w:rPr>
              <w:t xml:space="preserve"> ievērojot Noteikumu projektā noteikto ierobežotās garantijas likmi.</w:t>
            </w:r>
          </w:p>
          <w:p w14:paraId="5A65E850" w14:textId="2E0F4C9F" w:rsidR="00BE4A9B" w:rsidRPr="00BE4A9B" w:rsidRDefault="00BE4A9B" w:rsidP="008E4B2D">
            <w:pPr>
              <w:spacing w:after="0" w:line="240" w:lineRule="auto"/>
              <w:jc w:val="both"/>
              <w:rPr>
                <w:rFonts w:ascii="Times New Roman" w:eastAsia="Times New Roman" w:hAnsi="Times New Roman" w:cs="Times New Roman"/>
                <w:b/>
                <w:lang w:eastAsia="lv-LV"/>
              </w:rPr>
            </w:pPr>
            <w:r w:rsidRPr="00BE4A9B">
              <w:rPr>
                <w:rFonts w:ascii="Times New Roman" w:eastAsia="Times New Roman" w:hAnsi="Times New Roman" w:cs="Times New Roman"/>
                <w:bCs/>
                <w:lang w:eastAsia="lv-LV"/>
              </w:rPr>
              <w:t>Šo summu nosaka pati kredītiestāde atlases ietvaros.</w:t>
            </w:r>
          </w:p>
          <w:p w14:paraId="2AC9CDD0" w14:textId="77777777" w:rsidR="008E4B2D" w:rsidRPr="00BE4A9B" w:rsidRDefault="008E4B2D" w:rsidP="00BE4A9B">
            <w:pPr>
              <w:spacing w:after="0" w:line="240" w:lineRule="auto"/>
              <w:jc w:val="both"/>
              <w:rPr>
                <w:rFonts w:ascii="Times New Roman" w:eastAsia="Times New Roman" w:hAnsi="Times New Roman" w:cs="Times New Roman"/>
                <w:bCs/>
                <w:lang w:eastAsia="lv-LV"/>
              </w:rPr>
            </w:pPr>
          </w:p>
          <w:p w14:paraId="78B549EC" w14:textId="6D867671" w:rsidR="00BE4A9B" w:rsidRPr="00BE4A9B" w:rsidRDefault="00BE4A9B" w:rsidP="00BE4A9B">
            <w:pPr>
              <w:spacing w:after="0" w:line="240" w:lineRule="auto"/>
              <w:jc w:val="both"/>
              <w:rPr>
                <w:rFonts w:ascii="Times New Roman" w:hAnsi="Times New Roman" w:cs="Times New Roman"/>
              </w:rPr>
            </w:pPr>
            <w:r w:rsidRPr="00BE4A9B">
              <w:rPr>
                <w:rFonts w:ascii="Times New Roman" w:hAnsi="Times New Roman" w:cs="Times New Roman"/>
              </w:rPr>
              <w:t>Vēršam uzm</w:t>
            </w:r>
            <w:r w:rsidR="003D3DBB">
              <w:rPr>
                <w:rFonts w:ascii="Times New Roman" w:hAnsi="Times New Roman" w:cs="Times New Roman"/>
              </w:rPr>
              <w:t>a</w:t>
            </w:r>
            <w:r w:rsidRPr="00BE4A9B">
              <w:rPr>
                <w:rFonts w:ascii="Times New Roman" w:hAnsi="Times New Roman" w:cs="Times New Roman"/>
              </w:rPr>
              <w:t xml:space="preserve">nību, ka šobrīd jau ir spēkā MK noteikumi, uz kuru pamata ir </w:t>
            </w:r>
            <w:proofErr w:type="spellStart"/>
            <w:r w:rsidRPr="00BE4A9B">
              <w:rPr>
                <w:rFonts w:ascii="Times New Roman" w:hAnsi="Times New Roman" w:cs="Times New Roman"/>
              </w:rPr>
              <w:t>noteiki</w:t>
            </w:r>
            <w:proofErr w:type="spellEnd"/>
            <w:r w:rsidRPr="00BE4A9B">
              <w:rPr>
                <w:rFonts w:ascii="Times New Roman" w:hAnsi="Times New Roman" w:cs="Times New Roman"/>
              </w:rPr>
              <w:t xml:space="preserve"> nosacījumi šajā Noteikumu projektā:</w:t>
            </w:r>
          </w:p>
          <w:p w14:paraId="685E7CB7" w14:textId="367E5806" w:rsidR="00592501" w:rsidRPr="00BE4A9B" w:rsidRDefault="00A0153E" w:rsidP="00BE4A9B">
            <w:pPr>
              <w:pStyle w:val="ListParagraph"/>
              <w:numPr>
                <w:ilvl w:val="0"/>
                <w:numId w:val="6"/>
              </w:numPr>
              <w:spacing w:after="0" w:line="240" w:lineRule="auto"/>
              <w:ind w:left="26" w:firstLine="0"/>
              <w:jc w:val="both"/>
              <w:rPr>
                <w:rFonts w:ascii="Times New Roman" w:hAnsi="Times New Roman" w:cs="Times New Roman"/>
              </w:rPr>
            </w:pPr>
            <w:r w:rsidRPr="00BE4A9B">
              <w:rPr>
                <w:rFonts w:ascii="Times New Roman" w:hAnsi="Times New Roman" w:cs="Times New Roman"/>
                <w:b/>
                <w:bCs/>
              </w:rPr>
              <w:t xml:space="preserve">Noteikumi par </w:t>
            </w:r>
            <w:proofErr w:type="spellStart"/>
            <w:r w:rsidRPr="00BE4A9B">
              <w:rPr>
                <w:rFonts w:ascii="Times New Roman" w:hAnsi="Times New Roman" w:cs="Times New Roman"/>
                <w:b/>
                <w:bCs/>
              </w:rPr>
              <w:t>portfeļgarantijām</w:t>
            </w:r>
            <w:proofErr w:type="spellEnd"/>
            <w:r w:rsidRPr="00BE4A9B">
              <w:rPr>
                <w:rFonts w:ascii="Times New Roman" w:hAnsi="Times New Roman" w:cs="Times New Roman"/>
                <w:b/>
                <w:bCs/>
              </w:rPr>
              <w:t xml:space="preserve"> sīko (mikro), </w:t>
            </w:r>
            <w:r w:rsidRPr="00BE4A9B">
              <w:rPr>
                <w:rFonts w:ascii="Times New Roman" w:hAnsi="Times New Roman" w:cs="Times New Roman"/>
                <w:b/>
                <w:bCs/>
              </w:rPr>
              <w:lastRenderedPageBreak/>
              <w:t>mazo un vidējo komersantu kreditēšanas veicināšanai</w:t>
            </w:r>
            <w:r w:rsidRPr="00BE4A9B">
              <w:rPr>
                <w:rFonts w:ascii="Times New Roman" w:hAnsi="Times New Roman" w:cs="Times New Roman"/>
              </w:rPr>
              <w:t xml:space="preserve"> (</w:t>
            </w:r>
            <w:hyperlink r:id="rId8" w:history="1">
              <w:r w:rsidRPr="00BE4A9B">
                <w:rPr>
                  <w:rStyle w:val="Hyperlink"/>
                  <w:rFonts w:ascii="Times New Roman" w:hAnsi="Times New Roman" w:cs="Times New Roman"/>
                </w:rPr>
                <w:t>https://likumi.lv/ta/id/293402-noteikumi-par-portfelgarantijam-siko-mikro-mazo-un-videjo-komersantu-kreditesanas-veicinasanai</w:t>
              </w:r>
            </w:hyperlink>
            <w:r w:rsidRPr="00BE4A9B">
              <w:rPr>
                <w:rFonts w:ascii="Times New Roman" w:hAnsi="Times New Roman" w:cs="Times New Roman"/>
              </w:rPr>
              <w:t>)</w:t>
            </w:r>
            <w:r w:rsidR="00BE4A9B" w:rsidRPr="00BE4A9B">
              <w:rPr>
                <w:rFonts w:ascii="Times New Roman" w:hAnsi="Times New Roman" w:cs="Times New Roman"/>
              </w:rPr>
              <w:t>;</w:t>
            </w:r>
          </w:p>
          <w:p w14:paraId="2F9A6824" w14:textId="4997F7B6" w:rsidR="00A0153E" w:rsidRPr="00BE4A9B" w:rsidRDefault="00A0153E" w:rsidP="00BE4A9B">
            <w:pPr>
              <w:pStyle w:val="ListParagraph"/>
              <w:numPr>
                <w:ilvl w:val="0"/>
                <w:numId w:val="6"/>
              </w:numPr>
              <w:spacing w:after="0" w:line="240" w:lineRule="auto"/>
              <w:ind w:left="26" w:firstLine="0"/>
              <w:jc w:val="both"/>
              <w:rPr>
                <w:rFonts w:ascii="Times New Roman" w:hAnsi="Times New Roman" w:cs="Times New Roman"/>
              </w:rPr>
            </w:pPr>
            <w:r w:rsidRPr="00BE4A9B">
              <w:rPr>
                <w:rFonts w:ascii="Times New Roman" w:hAnsi="Times New Roman" w:cs="Times New Roman"/>
                <w:b/>
                <w:bCs/>
              </w:rPr>
              <w:t>Noteikumi par studiju un studējošo kreditēšanu studijām Latvijā no kredītiestāžu līdzekļiem, kas ir garantēti no valsts budžeta līdzekļiem</w:t>
            </w:r>
            <w:r w:rsidRPr="00BE4A9B">
              <w:rPr>
                <w:rFonts w:ascii="Times New Roman" w:hAnsi="Times New Roman" w:cs="Times New Roman"/>
              </w:rPr>
              <w:t xml:space="preserve"> (</w:t>
            </w:r>
            <w:hyperlink r:id="rId9" w:history="1">
              <w:r w:rsidRPr="00BE4A9B">
                <w:rPr>
                  <w:rStyle w:val="Hyperlink"/>
                  <w:rFonts w:ascii="Times New Roman" w:hAnsi="Times New Roman" w:cs="Times New Roman"/>
                </w:rPr>
                <w:t>https://likumi.lv/ta/id/314184-noteikumi-par-studiju-un-studejoso-kreditesanu-studijam-latvija-no-kreditiestazu-lidzekliem-kas-ir-garanteti-no-valsts</w:t>
              </w:r>
            </w:hyperlink>
            <w:r w:rsidRPr="00BE4A9B">
              <w:rPr>
                <w:rFonts w:ascii="Times New Roman" w:hAnsi="Times New Roman" w:cs="Times New Roman"/>
              </w:rPr>
              <w:t>)</w:t>
            </w:r>
          </w:p>
          <w:p w14:paraId="07A56D8F" w14:textId="05D7243B" w:rsidR="00186C50" w:rsidRPr="00BE4A9B" w:rsidRDefault="00186C50" w:rsidP="003D275B">
            <w:pPr>
              <w:spacing w:after="0" w:line="240" w:lineRule="auto"/>
              <w:rPr>
                <w:rFonts w:ascii="Times New Roman" w:eastAsia="Times New Roman" w:hAnsi="Times New Roman" w:cs="Times New Roman"/>
                <w:b/>
                <w:lang w:eastAsia="lv-LV"/>
              </w:rPr>
            </w:pPr>
          </w:p>
        </w:tc>
        <w:tc>
          <w:tcPr>
            <w:tcW w:w="946" w:type="pct"/>
            <w:tcBorders>
              <w:left w:val="single" w:sz="4" w:space="0" w:color="auto"/>
              <w:bottom w:val="single" w:sz="4" w:space="0" w:color="auto"/>
              <w:right w:val="single" w:sz="4" w:space="0" w:color="auto"/>
            </w:tcBorders>
          </w:tcPr>
          <w:p w14:paraId="7068AEE2" w14:textId="77777777" w:rsidR="0005608C" w:rsidRPr="00BE4A9B" w:rsidRDefault="0005608C" w:rsidP="000C3CDB">
            <w:pPr>
              <w:spacing w:after="0" w:line="240" w:lineRule="auto"/>
              <w:jc w:val="both"/>
              <w:rPr>
                <w:rFonts w:ascii="Times New Roman" w:eastAsia="Times New Roman" w:hAnsi="Times New Roman" w:cs="Times New Roman"/>
                <w:b/>
                <w:lang w:eastAsia="lv-LV"/>
              </w:rPr>
            </w:pPr>
          </w:p>
        </w:tc>
      </w:tr>
      <w:tr w:rsidR="00E26FC6" w:rsidRPr="00245FF2" w14:paraId="7CC6FFA8" w14:textId="77777777" w:rsidTr="004A52F8">
        <w:trPr>
          <w:gridAfter w:val="2"/>
          <w:wAfter w:w="1180" w:type="pct"/>
          <w:trHeight w:val="140"/>
        </w:trPr>
        <w:tc>
          <w:tcPr>
            <w:tcW w:w="217" w:type="pct"/>
            <w:tcBorders>
              <w:left w:val="single" w:sz="6" w:space="0" w:color="000000"/>
              <w:bottom w:val="single" w:sz="6" w:space="0" w:color="000000"/>
              <w:right w:val="single" w:sz="6" w:space="0" w:color="000000"/>
            </w:tcBorders>
          </w:tcPr>
          <w:p w14:paraId="71AD7F5F" w14:textId="77777777" w:rsidR="00E26FC6" w:rsidRPr="00BE4A9B" w:rsidRDefault="00E26FC6" w:rsidP="009C59EC">
            <w:pPr>
              <w:pStyle w:val="ListParagraph"/>
              <w:numPr>
                <w:ilvl w:val="0"/>
                <w:numId w:val="1"/>
              </w:numPr>
              <w:spacing w:after="0" w:line="240" w:lineRule="auto"/>
              <w:contextualSpacing w:val="0"/>
              <w:jc w:val="center"/>
              <w:rPr>
                <w:rFonts w:ascii="Times New Roman" w:eastAsia="Times New Roman" w:hAnsi="Times New Roman" w:cs="Times New Roman"/>
                <w:lang w:eastAsia="lv-LV"/>
              </w:rPr>
            </w:pPr>
          </w:p>
        </w:tc>
        <w:tc>
          <w:tcPr>
            <w:tcW w:w="728" w:type="pct"/>
            <w:tcBorders>
              <w:top w:val="single" w:sz="6" w:space="0" w:color="000000"/>
              <w:left w:val="single" w:sz="6" w:space="0" w:color="000000"/>
              <w:bottom w:val="single" w:sz="4" w:space="0" w:color="auto"/>
              <w:right w:val="single" w:sz="6" w:space="0" w:color="000000"/>
            </w:tcBorders>
          </w:tcPr>
          <w:p w14:paraId="07B4C143" w14:textId="77777777" w:rsidR="00E26FC6" w:rsidRPr="00BE4A9B" w:rsidRDefault="00E26FC6" w:rsidP="00BE4A9B">
            <w:pPr>
              <w:spacing w:after="0"/>
              <w:rPr>
                <w:rFonts w:ascii="Times New Roman" w:eastAsia="Times New Roman" w:hAnsi="Times New Roman" w:cs="Times New Roman"/>
                <w:b/>
                <w:bCs/>
                <w:lang w:eastAsia="lv-LV"/>
              </w:rPr>
            </w:pPr>
            <w:r w:rsidRPr="00BE4A9B">
              <w:rPr>
                <w:rFonts w:ascii="Times New Roman" w:eastAsia="Times New Roman" w:hAnsi="Times New Roman" w:cs="Times New Roman"/>
                <w:b/>
                <w:bCs/>
                <w:lang w:eastAsia="lv-LV"/>
              </w:rPr>
              <w:t>Noteikumu projekta 2.2. apakšpunkts:</w:t>
            </w:r>
          </w:p>
          <w:p w14:paraId="27FC5D65" w14:textId="3AC7859C" w:rsidR="005A45F6" w:rsidRPr="00BE4A9B" w:rsidRDefault="0009130C" w:rsidP="005A45F6">
            <w:pPr>
              <w:jc w:val="both"/>
              <w:rPr>
                <w:rFonts w:ascii="Times New Roman" w:eastAsia="Times New Roman" w:hAnsi="Times New Roman" w:cs="Times New Roman"/>
                <w:lang w:eastAsia="lv-LV"/>
              </w:rPr>
            </w:pPr>
            <w:r w:rsidRPr="00BE4A9B">
              <w:rPr>
                <w:rFonts w:ascii="Times New Roman" w:eastAsia="Times New Roman" w:hAnsi="Times New Roman" w:cs="Times New Roman"/>
                <w:lang w:eastAsia="lv-LV"/>
              </w:rPr>
              <w:t>“</w:t>
            </w:r>
            <w:r w:rsidR="005A45F6" w:rsidRPr="00BE4A9B">
              <w:rPr>
                <w:rFonts w:ascii="Times New Roman" w:eastAsia="Times New Roman" w:hAnsi="Times New Roman" w:cs="Times New Roman"/>
                <w:lang w:eastAsia="lv-LV"/>
              </w:rPr>
              <w:t>2.2.</w:t>
            </w:r>
            <w:r w:rsidR="005A45F6" w:rsidRPr="00BE4A9B">
              <w:rPr>
                <w:rFonts w:ascii="Times New Roman" w:eastAsia="Times New Roman" w:hAnsi="Times New Roman" w:cs="Times New Roman"/>
                <w:lang w:eastAsia="lv-LV"/>
              </w:rPr>
              <w:tab/>
              <w:t>garantija – sabiedrības "</w:t>
            </w:r>
            <w:proofErr w:type="spellStart"/>
            <w:r w:rsidR="005A45F6" w:rsidRPr="00BE4A9B">
              <w:rPr>
                <w:rFonts w:ascii="Times New Roman" w:eastAsia="Times New Roman" w:hAnsi="Times New Roman" w:cs="Times New Roman"/>
                <w:lang w:eastAsia="lv-LV"/>
              </w:rPr>
              <w:t>Altum</w:t>
            </w:r>
            <w:proofErr w:type="spellEnd"/>
            <w:r w:rsidR="005A45F6" w:rsidRPr="00BE4A9B">
              <w:rPr>
                <w:rFonts w:ascii="Times New Roman" w:eastAsia="Times New Roman" w:hAnsi="Times New Roman" w:cs="Times New Roman"/>
                <w:lang w:eastAsia="lv-LV"/>
              </w:rPr>
              <w:t xml:space="preserve">" saistības šajos noteikumos noteiktajā apmērā un atbilstoši šajos noteikumos noteiktajam finansējumam segt kredītiestādes zaudējumus, kas radušies, ja aizņēmējs nepilda saistības par </w:t>
            </w:r>
            <w:r w:rsidR="005A45F6" w:rsidRPr="00BE4A9B">
              <w:rPr>
                <w:rFonts w:ascii="Times New Roman" w:eastAsia="Times New Roman" w:hAnsi="Times New Roman" w:cs="Times New Roman"/>
                <w:lang w:eastAsia="lv-LV"/>
              </w:rPr>
              <w:lastRenderedPageBreak/>
              <w:t>kredītiestādes sniegto aizdevumu;</w:t>
            </w:r>
            <w:r w:rsidRPr="00BE4A9B">
              <w:rPr>
                <w:rFonts w:ascii="Times New Roman" w:eastAsia="Times New Roman" w:hAnsi="Times New Roman" w:cs="Times New Roman"/>
                <w:lang w:eastAsia="lv-LV"/>
              </w:rPr>
              <w:t>”.</w:t>
            </w:r>
          </w:p>
        </w:tc>
        <w:tc>
          <w:tcPr>
            <w:tcW w:w="1093" w:type="pct"/>
            <w:tcBorders>
              <w:top w:val="single" w:sz="6" w:space="0" w:color="000000"/>
              <w:left w:val="single" w:sz="6" w:space="0" w:color="000000"/>
              <w:bottom w:val="single" w:sz="6" w:space="0" w:color="000000"/>
              <w:right w:val="single" w:sz="6" w:space="0" w:color="000000"/>
            </w:tcBorders>
          </w:tcPr>
          <w:p w14:paraId="0DAB445E" w14:textId="516CCA18" w:rsidR="00E26FC6" w:rsidRPr="003D275B" w:rsidRDefault="00E26FC6" w:rsidP="00BE4A9B">
            <w:pPr>
              <w:spacing w:after="0" w:line="240" w:lineRule="auto"/>
              <w:jc w:val="both"/>
              <w:rPr>
                <w:rFonts w:ascii="Times New Roman" w:eastAsia="Times New Roman" w:hAnsi="Times New Roman" w:cs="Times New Roman"/>
                <w:b/>
                <w:lang w:eastAsia="lv-LV"/>
              </w:rPr>
            </w:pPr>
            <w:r w:rsidRPr="003D275B">
              <w:rPr>
                <w:rFonts w:ascii="Times New Roman" w:eastAsia="Times New Roman" w:hAnsi="Times New Roman" w:cs="Times New Roman"/>
                <w:b/>
                <w:lang w:eastAsia="lv-LV"/>
              </w:rPr>
              <w:lastRenderedPageBreak/>
              <w:t>Tieslietu ministrija</w:t>
            </w:r>
            <w:r w:rsidR="004D67CE" w:rsidRPr="003D275B">
              <w:rPr>
                <w:rFonts w:ascii="Times New Roman" w:eastAsia="Times New Roman" w:hAnsi="Times New Roman" w:cs="Times New Roman"/>
                <w:b/>
                <w:lang w:eastAsia="lv-LV"/>
              </w:rPr>
              <w:t>s 25.05.2020. atzinuma 3.iebildums:</w:t>
            </w:r>
          </w:p>
          <w:p w14:paraId="1797A52A" w14:textId="5D16293F" w:rsidR="00E26FC6" w:rsidRPr="00BE4A9B" w:rsidRDefault="004D67CE" w:rsidP="00E26FC6">
            <w:pPr>
              <w:spacing w:after="0" w:line="240" w:lineRule="auto"/>
              <w:jc w:val="both"/>
              <w:rPr>
                <w:rFonts w:ascii="Times New Roman" w:eastAsia="Times New Roman" w:hAnsi="Times New Roman" w:cs="Times New Roman"/>
                <w:bCs/>
                <w:lang w:eastAsia="lv-LV"/>
              </w:rPr>
            </w:pPr>
            <w:r w:rsidRPr="003D275B">
              <w:rPr>
                <w:rFonts w:ascii="Times New Roman" w:eastAsia="Times New Roman" w:hAnsi="Times New Roman" w:cs="Times New Roman"/>
                <w:bCs/>
                <w:lang w:eastAsia="lv-LV"/>
              </w:rPr>
              <w:t xml:space="preserve">“3. </w:t>
            </w:r>
            <w:r w:rsidR="00E26FC6" w:rsidRPr="003D275B">
              <w:rPr>
                <w:rFonts w:ascii="Times New Roman" w:eastAsia="Times New Roman" w:hAnsi="Times New Roman" w:cs="Times New Roman"/>
                <w:bCs/>
                <w:lang w:eastAsia="lv-LV"/>
              </w:rPr>
              <w:t>Projekta 2.2. apakšpunktā sniegts termina "garantija" skaidrojums. Saskaņā ar minēto skaidrojumu garantija ir sabiedrības "</w:t>
            </w:r>
            <w:proofErr w:type="spellStart"/>
            <w:r w:rsidR="00E26FC6" w:rsidRPr="003D275B">
              <w:rPr>
                <w:rFonts w:ascii="Times New Roman" w:eastAsia="Times New Roman" w:hAnsi="Times New Roman" w:cs="Times New Roman"/>
                <w:bCs/>
                <w:lang w:eastAsia="lv-LV"/>
              </w:rPr>
              <w:t>Altum</w:t>
            </w:r>
            <w:proofErr w:type="spellEnd"/>
            <w:r w:rsidR="00E26FC6" w:rsidRPr="003D275B">
              <w:rPr>
                <w:rFonts w:ascii="Times New Roman" w:eastAsia="Times New Roman" w:hAnsi="Times New Roman" w:cs="Times New Roman"/>
                <w:bCs/>
                <w:lang w:eastAsia="lv-LV"/>
              </w:rPr>
              <w:t>" saistības šajos noteikumos noteiktajā apmērā un atbilstoši šajos noteikumos noteiktajam finansējumam segt kredītiestādes zaudējumus, kas radušies, ja aizņēmējs nepilda saistības par kredītiestādes sniegto aizdevumu. Aicinām minēto termina skaidrojumu precizēt atbilstoši Attīstības finanšu institūcijas likuma 1. panta otrajai daļai, saskaņā ar kuru garantija ir finanšu instruments, kā arī projekta</w:t>
            </w:r>
            <w:r w:rsidR="00E26FC6" w:rsidRPr="00C16436">
              <w:rPr>
                <w:rFonts w:ascii="Times New Roman" w:eastAsia="Times New Roman" w:hAnsi="Times New Roman" w:cs="Times New Roman"/>
                <w:bCs/>
                <w:lang w:eastAsia="lv-LV"/>
              </w:rPr>
              <w:t xml:space="preserve"> saturam</w:t>
            </w:r>
            <w:r w:rsidR="00E26FC6" w:rsidRPr="00BE4A9B">
              <w:rPr>
                <w:rFonts w:ascii="Times New Roman" w:eastAsia="Times New Roman" w:hAnsi="Times New Roman" w:cs="Times New Roman"/>
                <w:bCs/>
                <w:lang w:eastAsia="lv-LV"/>
              </w:rPr>
              <w:t xml:space="preserve">, </w:t>
            </w:r>
            <w:r w:rsidR="00E26FC6" w:rsidRPr="00BE4A9B">
              <w:rPr>
                <w:rFonts w:ascii="Times New Roman" w:eastAsia="Times New Roman" w:hAnsi="Times New Roman" w:cs="Times New Roman"/>
                <w:bCs/>
                <w:lang w:eastAsia="lv-LV"/>
              </w:rPr>
              <w:lastRenderedPageBreak/>
              <w:t>t.i., projekta 3. punktam, saskaņā ar kuru garantiju piešķir, un projekta 6. un 7. punktam, kuri paredz aizņēmēja tiesības saņemt garantiju un ka garantija sedz vienīgi neatmaksāto aizdevuma pamatsummu, nevis kredītiestādes zaudējumus, kas radušies, ja aizņēmējs nepilda saistības par kredītiestādes sniegto aizdevumu.</w:t>
            </w:r>
            <w:r w:rsidRPr="00BE4A9B">
              <w:rPr>
                <w:rFonts w:ascii="Times New Roman" w:eastAsia="Times New Roman" w:hAnsi="Times New Roman" w:cs="Times New Roman"/>
                <w:bCs/>
                <w:lang w:eastAsia="lv-LV"/>
              </w:rPr>
              <w:t>”</w:t>
            </w:r>
          </w:p>
        </w:tc>
        <w:tc>
          <w:tcPr>
            <w:tcW w:w="836" w:type="pct"/>
            <w:gridSpan w:val="2"/>
            <w:tcBorders>
              <w:top w:val="single" w:sz="6" w:space="0" w:color="000000"/>
              <w:left w:val="single" w:sz="6" w:space="0" w:color="000000"/>
              <w:bottom w:val="single" w:sz="6" w:space="0" w:color="000000"/>
              <w:right w:val="single" w:sz="6" w:space="0" w:color="000000"/>
            </w:tcBorders>
          </w:tcPr>
          <w:p w14:paraId="4FE91769" w14:textId="25B4F61E" w:rsidR="00E26FC6" w:rsidRPr="00BE4A9B" w:rsidRDefault="0049305B" w:rsidP="002F4F3A">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lastRenderedPageBreak/>
              <w:t>Ņ</w:t>
            </w:r>
            <w:r w:rsidR="000417C2">
              <w:rPr>
                <w:rFonts w:ascii="Times New Roman" w:eastAsia="Times New Roman" w:hAnsi="Times New Roman" w:cs="Times New Roman"/>
                <w:b/>
                <w:lang w:eastAsia="lv-LV"/>
              </w:rPr>
              <w:t>emts vērā</w:t>
            </w:r>
          </w:p>
          <w:p w14:paraId="4E34A040" w14:textId="679A3A98" w:rsidR="00C16436" w:rsidRDefault="00C16436" w:rsidP="00F50DD6">
            <w:pPr>
              <w:spacing w:after="0" w:line="240" w:lineRule="auto"/>
              <w:jc w:val="both"/>
              <w:rPr>
                <w:rFonts w:ascii="Times New Roman" w:eastAsia="Times New Roman" w:hAnsi="Times New Roman" w:cs="Times New Roman"/>
                <w:bCs/>
                <w:lang w:eastAsia="lv-LV"/>
              </w:rPr>
            </w:pPr>
          </w:p>
          <w:p w14:paraId="5D432573" w14:textId="075E782A" w:rsidR="00F50DD6" w:rsidRPr="009519E5" w:rsidRDefault="00F50DD6" w:rsidP="00F50DD6">
            <w:pPr>
              <w:spacing w:after="0" w:line="240" w:lineRule="auto"/>
              <w:jc w:val="both"/>
              <w:rPr>
                <w:rFonts w:ascii="Times New Roman" w:hAnsi="Times New Roman" w:cs="Times New Roman"/>
                <w:bCs/>
              </w:rPr>
            </w:pPr>
            <w:r w:rsidRPr="009519E5">
              <w:rPr>
                <w:rFonts w:ascii="Times New Roman" w:eastAsia="Times New Roman" w:hAnsi="Times New Roman" w:cs="Times New Roman"/>
                <w:bCs/>
                <w:lang w:eastAsia="lv-LV"/>
              </w:rPr>
              <w:t>Skaidrojam, ka noteikumu projektā termini lietoti saskaņā ar jau apstiprinātiem MK noteikumiem</w:t>
            </w:r>
            <w:r w:rsidRPr="009519E5">
              <w:rPr>
                <w:rFonts w:ascii="Times New Roman" w:hAnsi="Times New Roman" w:cs="Times New Roman"/>
                <w:bCs/>
              </w:rPr>
              <w:t>:</w:t>
            </w:r>
          </w:p>
          <w:p w14:paraId="7400869D" w14:textId="77777777" w:rsidR="00F50DD6" w:rsidRPr="00BE4A9B" w:rsidRDefault="00F50DD6" w:rsidP="00F50DD6">
            <w:pPr>
              <w:pStyle w:val="ListParagraph"/>
              <w:numPr>
                <w:ilvl w:val="0"/>
                <w:numId w:val="6"/>
              </w:numPr>
              <w:spacing w:after="0" w:line="240" w:lineRule="auto"/>
              <w:ind w:left="26" w:firstLine="0"/>
              <w:jc w:val="both"/>
              <w:rPr>
                <w:rFonts w:ascii="Times New Roman" w:hAnsi="Times New Roman" w:cs="Times New Roman"/>
              </w:rPr>
            </w:pPr>
            <w:r w:rsidRPr="00BE4A9B">
              <w:rPr>
                <w:rFonts w:ascii="Times New Roman" w:hAnsi="Times New Roman" w:cs="Times New Roman"/>
                <w:b/>
                <w:bCs/>
              </w:rPr>
              <w:t xml:space="preserve">Noteikumi par </w:t>
            </w:r>
            <w:proofErr w:type="spellStart"/>
            <w:r w:rsidRPr="00BE4A9B">
              <w:rPr>
                <w:rFonts w:ascii="Times New Roman" w:hAnsi="Times New Roman" w:cs="Times New Roman"/>
                <w:b/>
                <w:bCs/>
              </w:rPr>
              <w:t>portfeļgarantijām</w:t>
            </w:r>
            <w:proofErr w:type="spellEnd"/>
            <w:r w:rsidRPr="00BE4A9B">
              <w:rPr>
                <w:rFonts w:ascii="Times New Roman" w:hAnsi="Times New Roman" w:cs="Times New Roman"/>
                <w:b/>
                <w:bCs/>
              </w:rPr>
              <w:t xml:space="preserve"> sīko (mikro), mazo un vidējo komersantu kreditēšanas veicināšanai</w:t>
            </w:r>
            <w:r w:rsidRPr="00BE4A9B">
              <w:rPr>
                <w:rFonts w:ascii="Times New Roman" w:hAnsi="Times New Roman" w:cs="Times New Roman"/>
              </w:rPr>
              <w:t xml:space="preserve"> (</w:t>
            </w:r>
            <w:hyperlink r:id="rId10" w:history="1">
              <w:r w:rsidRPr="00BE4A9B">
                <w:rPr>
                  <w:rStyle w:val="Hyperlink"/>
                  <w:rFonts w:ascii="Times New Roman" w:hAnsi="Times New Roman" w:cs="Times New Roman"/>
                </w:rPr>
                <w:t>https://likumi.lv/ta/id/293402-noteikumi-par-portfelgarantijam-siko-mikro-mazo-un-videjo-</w:t>
              </w:r>
              <w:r w:rsidRPr="00BE4A9B">
                <w:rPr>
                  <w:rStyle w:val="Hyperlink"/>
                  <w:rFonts w:ascii="Times New Roman" w:hAnsi="Times New Roman" w:cs="Times New Roman"/>
                </w:rPr>
                <w:lastRenderedPageBreak/>
                <w:t>komersantu-kreditesanas-veicinasanai</w:t>
              </w:r>
            </w:hyperlink>
            <w:r w:rsidRPr="00BE4A9B">
              <w:rPr>
                <w:rFonts w:ascii="Times New Roman" w:hAnsi="Times New Roman" w:cs="Times New Roman"/>
              </w:rPr>
              <w:t>);</w:t>
            </w:r>
          </w:p>
          <w:p w14:paraId="1AD11369" w14:textId="77777777" w:rsidR="00A477E0" w:rsidRDefault="00F50DD6" w:rsidP="00F50DD6">
            <w:pPr>
              <w:pStyle w:val="ListParagraph"/>
              <w:numPr>
                <w:ilvl w:val="0"/>
                <w:numId w:val="6"/>
              </w:numPr>
              <w:spacing w:after="0" w:line="240" w:lineRule="auto"/>
              <w:ind w:left="26" w:firstLine="0"/>
              <w:jc w:val="both"/>
              <w:rPr>
                <w:rFonts w:ascii="Times New Roman" w:hAnsi="Times New Roman" w:cs="Times New Roman"/>
              </w:rPr>
            </w:pPr>
            <w:r w:rsidRPr="00BE4A9B">
              <w:rPr>
                <w:rFonts w:ascii="Times New Roman" w:hAnsi="Times New Roman" w:cs="Times New Roman"/>
                <w:b/>
                <w:bCs/>
              </w:rPr>
              <w:t>Noteikumi par studiju un studējošo kreditēšanu studijām Latvijā no kredītiestāžu līdzekļiem, kas ir garantēti no valsts budžeta līdzekļiem</w:t>
            </w:r>
            <w:r w:rsidRPr="00BE4A9B">
              <w:rPr>
                <w:rFonts w:ascii="Times New Roman" w:hAnsi="Times New Roman" w:cs="Times New Roman"/>
              </w:rPr>
              <w:t xml:space="preserve"> (</w:t>
            </w:r>
            <w:hyperlink r:id="rId11" w:history="1">
              <w:r w:rsidRPr="00BE4A9B">
                <w:rPr>
                  <w:rStyle w:val="Hyperlink"/>
                  <w:rFonts w:ascii="Times New Roman" w:hAnsi="Times New Roman" w:cs="Times New Roman"/>
                </w:rPr>
                <w:t>https://likumi.lv/ta/id/314184-noteikumi-par-studiju-un-studejoso-kreditesanu-studijam-latvija-no-kreditiestazu-lidzekliem-kas-ir-garanteti-no-valsts</w:t>
              </w:r>
            </w:hyperlink>
            <w:r w:rsidRPr="00BE4A9B">
              <w:rPr>
                <w:rFonts w:ascii="Times New Roman" w:hAnsi="Times New Roman" w:cs="Times New Roman"/>
              </w:rPr>
              <w:t>)</w:t>
            </w:r>
          </w:p>
          <w:p w14:paraId="2FA7FBF3" w14:textId="2A52ADAC" w:rsidR="00A606E0" w:rsidRPr="00A606E0" w:rsidRDefault="00A606E0" w:rsidP="00A606E0">
            <w:pPr>
              <w:spacing w:after="0" w:line="240" w:lineRule="auto"/>
              <w:jc w:val="both"/>
              <w:rPr>
                <w:rFonts w:ascii="Times New Roman" w:hAnsi="Times New Roman" w:cs="Times New Roman"/>
              </w:rPr>
            </w:pPr>
          </w:p>
        </w:tc>
        <w:tc>
          <w:tcPr>
            <w:tcW w:w="946" w:type="pct"/>
            <w:tcBorders>
              <w:left w:val="single" w:sz="4" w:space="0" w:color="auto"/>
              <w:bottom w:val="single" w:sz="4" w:space="0" w:color="auto"/>
              <w:right w:val="single" w:sz="4" w:space="0" w:color="auto"/>
            </w:tcBorders>
          </w:tcPr>
          <w:p w14:paraId="3CDDB3F7" w14:textId="5C113340" w:rsidR="00E26FC6" w:rsidRDefault="00C16436" w:rsidP="000C3CDB">
            <w:p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lastRenderedPageBreak/>
              <w:t>Precizēti noteikumu projekta 3.punkta ievaddaļa, 6.punkts, un 8.punkta ievaddaļa, izsakot tos šādās redakcijās:</w:t>
            </w:r>
          </w:p>
          <w:p w14:paraId="50644833" w14:textId="7D9FC932" w:rsidR="00C16436" w:rsidRPr="003D275B" w:rsidRDefault="00C16436" w:rsidP="006D242F">
            <w:pPr>
              <w:spacing w:before="120" w:after="120" w:line="240" w:lineRule="auto"/>
              <w:jc w:val="both"/>
              <w:rPr>
                <w:rFonts w:ascii="Times New Roman" w:eastAsia="Times New Roman" w:hAnsi="Times New Roman" w:cs="Times New Roman"/>
                <w:lang w:eastAsia="lv-LV"/>
              </w:rPr>
            </w:pPr>
            <w:r w:rsidRPr="003D275B">
              <w:rPr>
                <w:rFonts w:ascii="Times New Roman" w:eastAsia="Times New Roman" w:hAnsi="Times New Roman" w:cs="Times New Roman"/>
                <w:b/>
                <w:lang w:eastAsia="lv-LV"/>
              </w:rPr>
              <w:t xml:space="preserve">“3. </w:t>
            </w:r>
            <w:r w:rsidRPr="003D275B">
              <w:rPr>
                <w:rFonts w:ascii="Times New Roman" w:eastAsia="Times New Roman" w:hAnsi="Times New Roman" w:cs="Times New Roman"/>
                <w:lang w:eastAsia="lv-LV"/>
              </w:rPr>
              <w:t>Atbalstu var saņemt, ja garantiju piešķir ievērojot šādus nosacījumus:</w:t>
            </w:r>
          </w:p>
          <w:p w14:paraId="2D764533" w14:textId="56F1C555" w:rsidR="00C16436" w:rsidRPr="003D275B" w:rsidRDefault="00C16436" w:rsidP="003D275B">
            <w:pPr>
              <w:spacing w:after="0" w:line="240" w:lineRule="auto"/>
              <w:jc w:val="both"/>
              <w:rPr>
                <w:rFonts w:ascii="Times New Roman" w:eastAsia="Times New Roman" w:hAnsi="Times New Roman" w:cs="Times New Roman"/>
                <w:lang w:eastAsia="lv-LV"/>
              </w:rPr>
            </w:pPr>
            <w:r w:rsidRPr="003D275B">
              <w:rPr>
                <w:rFonts w:ascii="Times New Roman" w:eastAsia="Times New Roman" w:hAnsi="Times New Roman" w:cs="Times New Roman"/>
                <w:lang w:eastAsia="lv-LV"/>
              </w:rPr>
              <w:t>Aizņēmējam atbilstoši šiem noteikumiem var piešķirt garantiju atkārtoti pie nosacījuma, ka iepriekš piešķirtās garantijas saistības ir izbeigušās.</w:t>
            </w:r>
          </w:p>
          <w:p w14:paraId="1CE125AE" w14:textId="06A6339B" w:rsidR="00C16436" w:rsidRPr="003D275B" w:rsidRDefault="00C16436" w:rsidP="003D275B">
            <w:pPr>
              <w:spacing w:before="120" w:after="120" w:line="240" w:lineRule="auto"/>
              <w:jc w:val="both"/>
              <w:rPr>
                <w:rFonts w:ascii="Times New Roman" w:eastAsia="Times New Roman" w:hAnsi="Times New Roman" w:cs="Times New Roman"/>
                <w:lang w:eastAsia="lv-LV"/>
              </w:rPr>
            </w:pPr>
            <w:r w:rsidRPr="003D275B">
              <w:rPr>
                <w:rFonts w:ascii="Times New Roman" w:eastAsia="Times New Roman" w:hAnsi="Times New Roman" w:cs="Times New Roman"/>
                <w:lang w:eastAsia="lv-LV"/>
              </w:rPr>
              <w:t>8. Garantiju piešķiršanai</w:t>
            </w:r>
            <w:r>
              <w:rPr>
                <w:rFonts w:ascii="Times New Roman" w:eastAsia="Times New Roman" w:hAnsi="Times New Roman" w:cs="Times New Roman"/>
                <w:lang w:eastAsia="lv-LV"/>
              </w:rPr>
              <w:t>”</w:t>
            </w:r>
          </w:p>
          <w:p w14:paraId="5A795BE3" w14:textId="3232B74D" w:rsidR="00C16436" w:rsidRPr="003D275B" w:rsidRDefault="00C16436" w:rsidP="00C16436">
            <w:pPr>
              <w:spacing w:after="0" w:line="240" w:lineRule="auto"/>
              <w:jc w:val="both"/>
              <w:rPr>
                <w:rFonts w:ascii="Times New Roman" w:eastAsia="Times New Roman" w:hAnsi="Times New Roman" w:cs="Times New Roman"/>
                <w:b/>
                <w:lang w:eastAsia="lv-LV"/>
              </w:rPr>
            </w:pPr>
          </w:p>
        </w:tc>
      </w:tr>
      <w:tr w:rsidR="003A514A" w:rsidRPr="00245FF2" w14:paraId="1B726DDC" w14:textId="77777777" w:rsidTr="004A52F8">
        <w:trPr>
          <w:gridAfter w:val="2"/>
          <w:wAfter w:w="1180" w:type="pct"/>
          <w:trHeight w:val="140"/>
        </w:trPr>
        <w:tc>
          <w:tcPr>
            <w:tcW w:w="217" w:type="pct"/>
            <w:tcBorders>
              <w:left w:val="single" w:sz="6" w:space="0" w:color="000000"/>
              <w:bottom w:val="single" w:sz="6" w:space="0" w:color="000000"/>
              <w:right w:val="single" w:sz="6" w:space="0" w:color="000000"/>
            </w:tcBorders>
          </w:tcPr>
          <w:p w14:paraId="1E31F64B" w14:textId="77777777" w:rsidR="003A514A" w:rsidRPr="00F81D34" w:rsidRDefault="003A514A" w:rsidP="009C59EC">
            <w:pPr>
              <w:pStyle w:val="ListParagraph"/>
              <w:numPr>
                <w:ilvl w:val="0"/>
                <w:numId w:val="1"/>
              </w:numPr>
              <w:spacing w:after="0" w:line="240" w:lineRule="auto"/>
              <w:contextualSpacing w:val="0"/>
              <w:jc w:val="center"/>
              <w:rPr>
                <w:rFonts w:ascii="Times New Roman" w:eastAsia="Times New Roman" w:hAnsi="Times New Roman" w:cs="Times New Roman"/>
                <w:lang w:eastAsia="lv-LV"/>
              </w:rPr>
            </w:pPr>
          </w:p>
        </w:tc>
        <w:tc>
          <w:tcPr>
            <w:tcW w:w="728" w:type="pct"/>
            <w:tcBorders>
              <w:top w:val="single" w:sz="6" w:space="0" w:color="000000"/>
              <w:left w:val="single" w:sz="6" w:space="0" w:color="000000"/>
              <w:bottom w:val="single" w:sz="4" w:space="0" w:color="auto"/>
              <w:right w:val="single" w:sz="6" w:space="0" w:color="000000"/>
            </w:tcBorders>
          </w:tcPr>
          <w:p w14:paraId="0192D14D" w14:textId="42195A7B" w:rsidR="003A514A" w:rsidRPr="000417C2" w:rsidRDefault="003A514A" w:rsidP="000417C2">
            <w:pPr>
              <w:spacing w:after="0" w:line="240" w:lineRule="auto"/>
              <w:rPr>
                <w:rFonts w:ascii="Times New Roman" w:eastAsia="Times New Roman" w:hAnsi="Times New Roman" w:cs="Times New Roman"/>
                <w:b/>
                <w:bCs/>
                <w:lang w:eastAsia="lv-LV"/>
              </w:rPr>
            </w:pPr>
            <w:r w:rsidRPr="000417C2">
              <w:rPr>
                <w:rFonts w:ascii="Times New Roman" w:eastAsia="Times New Roman" w:hAnsi="Times New Roman" w:cs="Times New Roman"/>
                <w:b/>
                <w:bCs/>
                <w:lang w:eastAsia="lv-LV"/>
              </w:rPr>
              <w:t>Noteikumu projekta 2.3. apakšpunkts:</w:t>
            </w:r>
          </w:p>
          <w:p w14:paraId="7DC26652" w14:textId="659AC650" w:rsidR="0009130C" w:rsidRPr="00F81D34" w:rsidRDefault="0009130C" w:rsidP="001841B3">
            <w:pPr>
              <w:jc w:val="both"/>
              <w:rPr>
                <w:rFonts w:ascii="Times New Roman" w:eastAsia="Times New Roman" w:hAnsi="Times New Roman" w:cs="Times New Roman"/>
                <w:lang w:eastAsia="lv-LV"/>
              </w:rPr>
            </w:pPr>
            <w:r w:rsidRPr="00F81D34">
              <w:rPr>
                <w:rFonts w:ascii="Times New Roman" w:eastAsia="Times New Roman" w:hAnsi="Times New Roman" w:cs="Times New Roman"/>
                <w:lang w:eastAsia="lv-LV"/>
              </w:rPr>
              <w:t>“2.3.</w:t>
            </w:r>
            <w:r w:rsidRPr="00F81D34">
              <w:rPr>
                <w:rFonts w:ascii="Times New Roman" w:eastAsia="Times New Roman" w:hAnsi="Times New Roman" w:cs="Times New Roman"/>
                <w:lang w:eastAsia="lv-LV"/>
              </w:rPr>
              <w:tab/>
              <w:t>garantijas likme – procentos izteikta kredītiestādes zaudējumu daļa, ko garantētam aizdevumam sedz garantija;”.</w:t>
            </w:r>
          </w:p>
        </w:tc>
        <w:tc>
          <w:tcPr>
            <w:tcW w:w="1093" w:type="pct"/>
            <w:tcBorders>
              <w:top w:val="single" w:sz="6" w:space="0" w:color="000000"/>
              <w:left w:val="single" w:sz="6" w:space="0" w:color="000000"/>
              <w:bottom w:val="single" w:sz="6" w:space="0" w:color="000000"/>
              <w:right w:val="single" w:sz="6" w:space="0" w:color="000000"/>
            </w:tcBorders>
          </w:tcPr>
          <w:p w14:paraId="36E14EE9" w14:textId="160D9414" w:rsidR="003A514A" w:rsidRPr="00F81D34" w:rsidRDefault="003A514A" w:rsidP="00F81D34">
            <w:pPr>
              <w:spacing w:after="0" w:line="240" w:lineRule="auto"/>
              <w:jc w:val="both"/>
              <w:rPr>
                <w:rFonts w:ascii="Times New Roman" w:eastAsia="Times New Roman" w:hAnsi="Times New Roman" w:cs="Times New Roman"/>
                <w:b/>
                <w:lang w:eastAsia="lv-LV"/>
              </w:rPr>
            </w:pPr>
            <w:r w:rsidRPr="00F81D34">
              <w:rPr>
                <w:rFonts w:ascii="Times New Roman" w:eastAsia="Times New Roman" w:hAnsi="Times New Roman" w:cs="Times New Roman"/>
                <w:b/>
                <w:lang w:eastAsia="lv-LV"/>
              </w:rPr>
              <w:t>Tieslietu ministrija</w:t>
            </w:r>
            <w:r w:rsidR="00963458" w:rsidRPr="00F81D34">
              <w:rPr>
                <w:rFonts w:ascii="Times New Roman" w:eastAsia="Times New Roman" w:hAnsi="Times New Roman" w:cs="Times New Roman"/>
                <w:b/>
                <w:lang w:eastAsia="lv-LV"/>
              </w:rPr>
              <w:t>s 25.05.2020. atzinuma 4.iebildums:</w:t>
            </w:r>
          </w:p>
          <w:p w14:paraId="25DC5825" w14:textId="349DE607" w:rsidR="003A514A" w:rsidRPr="00F81D34" w:rsidRDefault="00963458" w:rsidP="00062EB7">
            <w:pPr>
              <w:tabs>
                <w:tab w:val="left" w:pos="993"/>
              </w:tabs>
              <w:spacing w:after="0" w:line="240" w:lineRule="auto"/>
              <w:jc w:val="both"/>
              <w:rPr>
                <w:rFonts w:ascii="Times New Roman" w:eastAsia="Times New Roman" w:hAnsi="Times New Roman" w:cs="Times New Roman"/>
                <w:lang w:eastAsia="lv-LV"/>
              </w:rPr>
            </w:pPr>
            <w:r w:rsidRPr="00F81D34">
              <w:rPr>
                <w:rFonts w:ascii="Times New Roman" w:eastAsia="Times New Roman" w:hAnsi="Times New Roman" w:cs="Times New Roman"/>
                <w:lang w:eastAsia="lv-LV"/>
              </w:rPr>
              <w:t xml:space="preserve">“4. </w:t>
            </w:r>
            <w:r w:rsidR="003A514A" w:rsidRPr="00F81D34">
              <w:rPr>
                <w:rFonts w:ascii="Times New Roman" w:eastAsia="Times New Roman" w:hAnsi="Times New Roman" w:cs="Times New Roman"/>
                <w:lang w:eastAsia="lv-LV"/>
              </w:rPr>
              <w:t xml:space="preserve">Projekta 2.3. apakšpunktā sniegts termina "garantijas likme" skaidrojums. Saskaņā ar minēto skaidrojumu garantijas likme ir procentos izteikta kredītiestādes zaudējumu daļa, ko garantētam aizdevumam sedz garantija. Atbilstoši Noteikumu Nr. 108 121. punktam noteikumu projektā terminus skaidro, lai konkretizētu terminā izteiktā jēdziena izpratnes robežas, ja termins nav skaidrots vai lietots augstāka juridiskā spēka normatīvajā aktā. Vēršam uzmanību, ka minētā termina skaidrojums nekonkretizē terminā izteiktā jēdziena izpratnes robežas,  jo no projekta un anotācijas nav viennozīmīgi saprotams, kāpēc garantija likme tiek skaidrota kā procentos izteikta kredītiestādes zaudējumu daļa, ņemot vērā, ka atbilstoši projekta 7. punktā noteiktajam garantiju nepiešķir aizdevuma procentu, kavējuma procentu, līgumsodu un citu veidu maksājumu </w:t>
            </w:r>
            <w:r w:rsidR="003A514A" w:rsidRPr="00F81D34">
              <w:rPr>
                <w:rFonts w:ascii="Times New Roman" w:eastAsia="Times New Roman" w:hAnsi="Times New Roman" w:cs="Times New Roman"/>
                <w:lang w:eastAsia="lv-LV"/>
              </w:rPr>
              <w:lastRenderedPageBreak/>
              <w:t>segšanai. Līdz ar to tiesiskās skaidrības nodrošināšanai lūdzam precizēt projekta 2.3. apakšpunktu. Vienlaikus būtu izvērtējama projekta 7. punkta otrā teikuma nepieciešamība, ņemot vērā, ka minētā punkta pirmais teikums noteic, ka garantija sedz vienīgi neatmaksāto aizdevuma pamatsummu.</w:t>
            </w:r>
            <w:r w:rsidRPr="00F81D34">
              <w:rPr>
                <w:rFonts w:ascii="Times New Roman" w:eastAsia="Times New Roman" w:hAnsi="Times New Roman" w:cs="Times New Roman"/>
                <w:lang w:eastAsia="lv-LV"/>
              </w:rPr>
              <w:t>”</w:t>
            </w:r>
          </w:p>
        </w:tc>
        <w:tc>
          <w:tcPr>
            <w:tcW w:w="836" w:type="pct"/>
            <w:gridSpan w:val="2"/>
            <w:tcBorders>
              <w:top w:val="single" w:sz="6" w:space="0" w:color="000000"/>
              <w:left w:val="single" w:sz="6" w:space="0" w:color="000000"/>
              <w:bottom w:val="single" w:sz="6" w:space="0" w:color="000000"/>
              <w:right w:val="single" w:sz="6" w:space="0" w:color="000000"/>
            </w:tcBorders>
          </w:tcPr>
          <w:p w14:paraId="75B71362" w14:textId="54B63251" w:rsidR="000417C2" w:rsidRDefault="001841B3" w:rsidP="000417C2">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lastRenderedPageBreak/>
              <w:t>Ņ</w:t>
            </w:r>
            <w:r w:rsidR="000417C2">
              <w:rPr>
                <w:rFonts w:ascii="Times New Roman" w:eastAsia="Times New Roman" w:hAnsi="Times New Roman" w:cs="Times New Roman"/>
                <w:b/>
                <w:lang w:eastAsia="lv-LV"/>
              </w:rPr>
              <w:t>emts vērā</w:t>
            </w:r>
          </w:p>
          <w:p w14:paraId="7E879829" w14:textId="11676734" w:rsidR="001841B3" w:rsidRDefault="001841B3" w:rsidP="001841B3">
            <w:pPr>
              <w:spacing w:after="0" w:line="240" w:lineRule="auto"/>
              <w:jc w:val="both"/>
              <w:rPr>
                <w:rFonts w:ascii="Times New Roman" w:hAnsi="Times New Roman" w:cs="Times New Roman"/>
              </w:rPr>
            </w:pPr>
            <w:r>
              <w:rPr>
                <w:rFonts w:ascii="Times New Roman" w:hAnsi="Times New Roman" w:cs="Times New Roman"/>
              </w:rPr>
              <w:t xml:space="preserve">Skaidrojam, ka visās </w:t>
            </w:r>
            <w:proofErr w:type="spellStart"/>
            <w:r>
              <w:rPr>
                <w:rFonts w:ascii="Times New Roman" w:hAnsi="Times New Roman" w:cs="Times New Roman"/>
              </w:rPr>
              <w:t>Altum</w:t>
            </w:r>
            <w:proofErr w:type="spellEnd"/>
            <w:r>
              <w:rPr>
                <w:rFonts w:ascii="Times New Roman" w:hAnsi="Times New Roman" w:cs="Times New Roman"/>
              </w:rPr>
              <w:t xml:space="preserve"> administrētājā garantiju programmās garantijas likme tiek izteikta procentos.</w:t>
            </w:r>
          </w:p>
          <w:p w14:paraId="46EEFEDF" w14:textId="77777777" w:rsidR="001841B3" w:rsidRDefault="001841B3" w:rsidP="001841B3">
            <w:pPr>
              <w:spacing w:after="0" w:line="240" w:lineRule="auto"/>
              <w:jc w:val="both"/>
              <w:rPr>
                <w:rFonts w:ascii="Times New Roman" w:hAnsi="Times New Roman" w:cs="Times New Roman"/>
              </w:rPr>
            </w:pPr>
          </w:p>
          <w:p w14:paraId="145BC924" w14:textId="6CB5338D" w:rsidR="001841B3" w:rsidRPr="001841B3" w:rsidRDefault="001841B3" w:rsidP="001841B3">
            <w:pPr>
              <w:spacing w:after="0" w:line="240" w:lineRule="auto"/>
              <w:jc w:val="both"/>
              <w:rPr>
                <w:rFonts w:ascii="Times New Roman" w:hAnsi="Times New Roman" w:cs="Times New Roman"/>
              </w:rPr>
            </w:pPr>
            <w:r>
              <w:rPr>
                <w:rFonts w:ascii="Times New Roman" w:hAnsi="Times New Roman" w:cs="Times New Roman"/>
              </w:rPr>
              <w:t>Noteikumu projekta 7.punkts precizēts atbilstoši Tieslietu ministrijas iebildumam.</w:t>
            </w:r>
          </w:p>
          <w:p w14:paraId="112E3CC4" w14:textId="61B0ECBC" w:rsidR="003A514A" w:rsidRPr="00F81D34" w:rsidRDefault="003A514A" w:rsidP="002F4F3A">
            <w:pPr>
              <w:spacing w:after="0" w:line="240" w:lineRule="auto"/>
              <w:jc w:val="center"/>
              <w:rPr>
                <w:rFonts w:ascii="Times New Roman" w:eastAsia="Times New Roman" w:hAnsi="Times New Roman" w:cs="Times New Roman"/>
                <w:b/>
                <w:lang w:eastAsia="lv-LV"/>
              </w:rPr>
            </w:pPr>
          </w:p>
        </w:tc>
        <w:tc>
          <w:tcPr>
            <w:tcW w:w="946" w:type="pct"/>
            <w:tcBorders>
              <w:left w:val="single" w:sz="4" w:space="0" w:color="auto"/>
              <w:bottom w:val="single" w:sz="4" w:space="0" w:color="auto"/>
              <w:right w:val="single" w:sz="4" w:space="0" w:color="auto"/>
            </w:tcBorders>
          </w:tcPr>
          <w:p w14:paraId="35DDDCF5" w14:textId="77777777" w:rsidR="003A514A" w:rsidRPr="00F81D34" w:rsidRDefault="003A514A" w:rsidP="000C3CDB">
            <w:pPr>
              <w:spacing w:after="0" w:line="240" w:lineRule="auto"/>
              <w:jc w:val="both"/>
              <w:rPr>
                <w:rFonts w:ascii="Times New Roman" w:eastAsia="Times New Roman" w:hAnsi="Times New Roman" w:cs="Times New Roman"/>
                <w:b/>
                <w:lang w:eastAsia="lv-LV"/>
              </w:rPr>
            </w:pPr>
          </w:p>
        </w:tc>
      </w:tr>
      <w:tr w:rsidR="000A3EDD" w:rsidRPr="00245FF2" w14:paraId="1D244F6B" w14:textId="77777777" w:rsidTr="004A52F8">
        <w:trPr>
          <w:gridAfter w:val="2"/>
          <w:wAfter w:w="1180" w:type="pct"/>
          <w:trHeight w:val="140"/>
        </w:trPr>
        <w:tc>
          <w:tcPr>
            <w:tcW w:w="217" w:type="pct"/>
            <w:tcBorders>
              <w:left w:val="single" w:sz="6" w:space="0" w:color="000000"/>
              <w:bottom w:val="single" w:sz="6" w:space="0" w:color="000000"/>
              <w:right w:val="single" w:sz="6" w:space="0" w:color="000000"/>
            </w:tcBorders>
          </w:tcPr>
          <w:p w14:paraId="5549EE71" w14:textId="77777777" w:rsidR="000A3EDD" w:rsidRPr="00F81D34" w:rsidRDefault="000A3EDD" w:rsidP="009C59EC">
            <w:pPr>
              <w:pStyle w:val="ListParagraph"/>
              <w:numPr>
                <w:ilvl w:val="0"/>
                <w:numId w:val="1"/>
              </w:numPr>
              <w:spacing w:after="0" w:line="240" w:lineRule="auto"/>
              <w:contextualSpacing w:val="0"/>
              <w:jc w:val="center"/>
              <w:rPr>
                <w:rFonts w:ascii="Times New Roman" w:eastAsia="Times New Roman" w:hAnsi="Times New Roman" w:cs="Times New Roman"/>
                <w:lang w:eastAsia="lv-LV"/>
              </w:rPr>
            </w:pPr>
          </w:p>
        </w:tc>
        <w:tc>
          <w:tcPr>
            <w:tcW w:w="728" w:type="pct"/>
            <w:tcBorders>
              <w:top w:val="single" w:sz="6" w:space="0" w:color="000000"/>
              <w:left w:val="single" w:sz="6" w:space="0" w:color="000000"/>
              <w:bottom w:val="single" w:sz="4" w:space="0" w:color="auto"/>
              <w:right w:val="single" w:sz="6" w:space="0" w:color="000000"/>
            </w:tcBorders>
          </w:tcPr>
          <w:p w14:paraId="760B98C9" w14:textId="77777777" w:rsidR="000A3EDD" w:rsidRPr="00F81D34" w:rsidRDefault="000A3EDD" w:rsidP="0044690A">
            <w:pPr>
              <w:spacing w:after="0" w:line="240" w:lineRule="auto"/>
              <w:jc w:val="both"/>
              <w:rPr>
                <w:rFonts w:ascii="Times New Roman" w:eastAsia="Times New Roman" w:hAnsi="Times New Roman" w:cs="Times New Roman"/>
                <w:b/>
                <w:bCs/>
                <w:lang w:eastAsia="lv-LV"/>
              </w:rPr>
            </w:pPr>
            <w:r w:rsidRPr="00F81D34">
              <w:rPr>
                <w:rFonts w:ascii="Times New Roman" w:eastAsia="Times New Roman" w:hAnsi="Times New Roman" w:cs="Times New Roman"/>
                <w:b/>
                <w:bCs/>
                <w:lang w:eastAsia="lv-LV"/>
              </w:rPr>
              <w:t>Noteikumu projekta 3.1. apakšpunkts:</w:t>
            </w:r>
          </w:p>
          <w:p w14:paraId="104D48C9" w14:textId="0F798764" w:rsidR="0009130C" w:rsidRPr="00F81D34" w:rsidRDefault="0009130C" w:rsidP="0009130C">
            <w:pPr>
              <w:jc w:val="both"/>
              <w:rPr>
                <w:rFonts w:ascii="Times New Roman" w:eastAsia="Times New Roman" w:hAnsi="Times New Roman" w:cs="Times New Roman"/>
                <w:lang w:eastAsia="lv-LV"/>
              </w:rPr>
            </w:pPr>
            <w:r w:rsidRPr="00F81D34">
              <w:rPr>
                <w:rFonts w:ascii="Times New Roman" w:eastAsia="Times New Roman" w:hAnsi="Times New Roman" w:cs="Times New Roman"/>
                <w:lang w:eastAsia="lv-LV"/>
              </w:rPr>
              <w:t>“3.1.</w:t>
            </w:r>
            <w:r w:rsidRPr="00F81D34">
              <w:rPr>
                <w:rFonts w:ascii="Times New Roman" w:eastAsia="Times New Roman" w:hAnsi="Times New Roman" w:cs="Times New Roman"/>
                <w:lang w:eastAsia="lv-LV"/>
              </w:rPr>
              <w:tab/>
              <w:t xml:space="preserve"> aizdevuma saņēmējs ir fiziska persona, kurai ir nostiprinātas īpašuma tiesības Zemesgrāmatā uz dzīvojamo māju, kurā tiks īstenoti šo noteikumu 3.5. apakšpunktā noteiktie pasākumi;”.</w:t>
            </w:r>
          </w:p>
        </w:tc>
        <w:tc>
          <w:tcPr>
            <w:tcW w:w="1093" w:type="pct"/>
            <w:tcBorders>
              <w:top w:val="single" w:sz="6" w:space="0" w:color="000000"/>
              <w:left w:val="single" w:sz="6" w:space="0" w:color="000000"/>
              <w:bottom w:val="single" w:sz="6" w:space="0" w:color="000000"/>
              <w:right w:val="single" w:sz="6" w:space="0" w:color="000000"/>
            </w:tcBorders>
          </w:tcPr>
          <w:p w14:paraId="59AF6CF8" w14:textId="7C32E424" w:rsidR="000A3EDD" w:rsidRPr="00F81D34" w:rsidRDefault="000A3EDD" w:rsidP="0044690A">
            <w:pPr>
              <w:spacing w:after="0" w:line="240" w:lineRule="auto"/>
              <w:jc w:val="both"/>
              <w:rPr>
                <w:rFonts w:ascii="Times New Roman" w:eastAsia="Times New Roman" w:hAnsi="Times New Roman" w:cs="Times New Roman"/>
                <w:b/>
                <w:lang w:eastAsia="lv-LV"/>
              </w:rPr>
            </w:pPr>
            <w:r w:rsidRPr="00F81D34">
              <w:rPr>
                <w:rFonts w:ascii="Times New Roman" w:eastAsia="Times New Roman" w:hAnsi="Times New Roman" w:cs="Times New Roman"/>
                <w:b/>
                <w:lang w:eastAsia="lv-LV"/>
              </w:rPr>
              <w:t>Tieslietu ministrija</w:t>
            </w:r>
            <w:r w:rsidR="00963458" w:rsidRPr="00F81D34">
              <w:rPr>
                <w:rFonts w:ascii="Times New Roman" w:eastAsia="Times New Roman" w:hAnsi="Times New Roman" w:cs="Times New Roman"/>
                <w:b/>
                <w:lang w:eastAsia="lv-LV"/>
              </w:rPr>
              <w:t>s 25.05.2020. atzinuma 5.iebildums:</w:t>
            </w:r>
          </w:p>
          <w:p w14:paraId="7FEDF16D" w14:textId="78291371" w:rsidR="000A3EDD" w:rsidRPr="00F81D34" w:rsidRDefault="00963458" w:rsidP="000A3EDD">
            <w:pPr>
              <w:spacing w:after="0" w:line="240" w:lineRule="auto"/>
              <w:jc w:val="both"/>
              <w:rPr>
                <w:rFonts w:ascii="Times New Roman" w:eastAsia="Times New Roman" w:hAnsi="Times New Roman" w:cs="Times New Roman"/>
                <w:bCs/>
                <w:lang w:eastAsia="lv-LV"/>
              </w:rPr>
            </w:pPr>
            <w:r w:rsidRPr="00F81D34">
              <w:rPr>
                <w:rFonts w:ascii="Times New Roman" w:eastAsia="Times New Roman" w:hAnsi="Times New Roman" w:cs="Times New Roman"/>
                <w:bCs/>
                <w:lang w:eastAsia="lv-LV"/>
              </w:rPr>
              <w:t xml:space="preserve">“5. </w:t>
            </w:r>
            <w:r w:rsidR="000A3EDD" w:rsidRPr="00F81D34">
              <w:rPr>
                <w:rFonts w:ascii="Times New Roman" w:eastAsia="Times New Roman" w:hAnsi="Times New Roman" w:cs="Times New Roman"/>
                <w:bCs/>
                <w:lang w:eastAsia="lv-LV"/>
              </w:rPr>
              <w:t xml:space="preserve">Projekta 3.1. apakšpunkts paredz, ka aizdevuma saņēmējs ir fiziska persona, kurai ir nostiprinātas īpašuma tiesības zemesgrāmatā uz dzīvojamo māju, kurā tiks īstenoti šo noteikumu 3.5. apakšpunktā noteiktie pasākumi. Vēršam uzmanību, ka saskaņā ar likuma "Par nekustamā īpašuma ierakstīšanu zemesgrāmatā" 12. pantu ēkas (būves) ierakstāmas </w:t>
            </w:r>
            <w:r w:rsidR="000A3EDD" w:rsidRPr="004A52F8">
              <w:rPr>
                <w:rFonts w:ascii="Times New Roman" w:eastAsia="Times New Roman" w:hAnsi="Times New Roman" w:cs="Times New Roman"/>
                <w:bCs/>
                <w:lang w:eastAsia="lv-LV"/>
              </w:rPr>
              <w:t>zemesgrāmatā vienlaikus ar zemi, izņemot gadījumus, kad attiecīgās</w:t>
            </w:r>
            <w:r w:rsidR="000A3EDD" w:rsidRPr="00F81D34">
              <w:rPr>
                <w:rFonts w:ascii="Times New Roman" w:eastAsia="Times New Roman" w:hAnsi="Times New Roman" w:cs="Times New Roman"/>
                <w:bCs/>
                <w:lang w:eastAsia="lv-LV"/>
              </w:rPr>
              <w:t xml:space="preserve"> ēkas (būves) saskaņā ar likuma "Par atjaunotā Latvijas Republikas 1937. gada Civillikuma ievada, mantojuma tiesību un lietu tiesību daļas spēkā stāšanās laiku un kārtību" 14. pantu ir patstāvīgs nekustamais īpašums un atrodas uz svešas zemes. Līdz ar to lūdzam attiecīgi precizēt projekta 3.1. apakšpunktu un anotāciju.</w:t>
            </w:r>
            <w:r w:rsidRPr="00F81D34">
              <w:rPr>
                <w:rFonts w:ascii="Times New Roman" w:eastAsia="Times New Roman" w:hAnsi="Times New Roman" w:cs="Times New Roman"/>
                <w:bCs/>
                <w:lang w:eastAsia="lv-LV"/>
              </w:rPr>
              <w:t>”</w:t>
            </w:r>
          </w:p>
        </w:tc>
        <w:tc>
          <w:tcPr>
            <w:tcW w:w="836" w:type="pct"/>
            <w:gridSpan w:val="2"/>
            <w:tcBorders>
              <w:top w:val="single" w:sz="6" w:space="0" w:color="000000"/>
              <w:left w:val="single" w:sz="6" w:space="0" w:color="000000"/>
              <w:bottom w:val="single" w:sz="6" w:space="0" w:color="000000"/>
              <w:right w:val="single" w:sz="6" w:space="0" w:color="000000"/>
            </w:tcBorders>
          </w:tcPr>
          <w:p w14:paraId="31053273" w14:textId="77777777" w:rsidR="000A3EDD" w:rsidRPr="00F81D34" w:rsidRDefault="00047385" w:rsidP="002F4F3A">
            <w:pPr>
              <w:spacing w:after="0" w:line="240" w:lineRule="auto"/>
              <w:jc w:val="center"/>
              <w:rPr>
                <w:rFonts w:ascii="Times New Roman" w:eastAsia="Times New Roman" w:hAnsi="Times New Roman" w:cs="Times New Roman"/>
                <w:b/>
                <w:lang w:eastAsia="lv-LV"/>
              </w:rPr>
            </w:pPr>
            <w:r w:rsidRPr="004A52F8">
              <w:rPr>
                <w:rFonts w:ascii="Times New Roman" w:eastAsia="Times New Roman" w:hAnsi="Times New Roman" w:cs="Times New Roman"/>
                <w:b/>
                <w:lang w:eastAsia="lv-LV"/>
              </w:rPr>
              <w:t>Ņemts vērā</w:t>
            </w:r>
          </w:p>
          <w:p w14:paraId="6653DB74" w14:textId="781C1233" w:rsidR="00047385" w:rsidRPr="00F81D34" w:rsidRDefault="00047385" w:rsidP="002F4F3A">
            <w:pPr>
              <w:spacing w:after="0" w:line="240" w:lineRule="auto"/>
              <w:jc w:val="center"/>
              <w:rPr>
                <w:rFonts w:ascii="Times New Roman" w:eastAsia="Times New Roman" w:hAnsi="Times New Roman" w:cs="Times New Roman"/>
                <w:b/>
                <w:lang w:eastAsia="lv-LV"/>
              </w:rPr>
            </w:pPr>
          </w:p>
        </w:tc>
        <w:tc>
          <w:tcPr>
            <w:tcW w:w="946" w:type="pct"/>
            <w:tcBorders>
              <w:left w:val="single" w:sz="4" w:space="0" w:color="auto"/>
              <w:bottom w:val="single" w:sz="4" w:space="0" w:color="auto"/>
              <w:right w:val="single" w:sz="4" w:space="0" w:color="auto"/>
            </w:tcBorders>
          </w:tcPr>
          <w:p w14:paraId="5DB14394" w14:textId="7ECAF79D" w:rsidR="00D038DF" w:rsidRDefault="00D038DF" w:rsidP="000C3CDB">
            <w:pPr>
              <w:spacing w:after="0" w:line="240" w:lineRule="auto"/>
              <w:jc w:val="both"/>
              <w:rPr>
                <w:rFonts w:ascii="Times New Roman" w:eastAsia="Times New Roman" w:hAnsi="Times New Roman" w:cs="Times New Roman"/>
                <w:b/>
                <w:lang w:eastAsia="lv-LV"/>
              </w:rPr>
            </w:pPr>
            <w:r w:rsidRPr="00D038DF">
              <w:rPr>
                <w:rFonts w:ascii="Times New Roman" w:eastAsia="Times New Roman" w:hAnsi="Times New Roman" w:cs="Times New Roman"/>
                <w:b/>
                <w:lang w:eastAsia="lv-LV"/>
              </w:rPr>
              <w:t>Noteikumu projekta 3.1. apakšpunkts</w:t>
            </w:r>
            <w:r>
              <w:rPr>
                <w:rFonts w:ascii="Times New Roman" w:eastAsia="Times New Roman" w:hAnsi="Times New Roman" w:cs="Times New Roman"/>
                <w:b/>
                <w:lang w:eastAsia="lv-LV"/>
              </w:rPr>
              <w:t xml:space="preserve"> izteikts šādā redakcijā:</w:t>
            </w:r>
          </w:p>
          <w:p w14:paraId="183B3313" w14:textId="77777777" w:rsidR="00D038DF" w:rsidRDefault="00D038DF" w:rsidP="000C3CDB">
            <w:pPr>
              <w:spacing w:after="0" w:line="240" w:lineRule="auto"/>
              <w:jc w:val="both"/>
              <w:rPr>
                <w:rFonts w:ascii="Times New Roman" w:eastAsia="Times New Roman" w:hAnsi="Times New Roman" w:cs="Times New Roman"/>
                <w:b/>
                <w:lang w:eastAsia="lv-LV"/>
              </w:rPr>
            </w:pPr>
          </w:p>
          <w:p w14:paraId="3A16F0E5" w14:textId="40DD71FB" w:rsidR="000A3EDD" w:rsidRPr="004A52F8" w:rsidRDefault="00D038DF" w:rsidP="000C3CDB">
            <w:pPr>
              <w:spacing w:after="0" w:line="240" w:lineRule="auto"/>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“3.1.</w:t>
            </w:r>
            <w:r w:rsidRPr="004A52F8">
              <w:rPr>
                <w:rFonts w:ascii="Times New Roman" w:eastAsia="Times New Roman" w:hAnsi="Times New Roman" w:cs="Times New Roman"/>
                <w:bCs/>
                <w:lang w:eastAsia="lv-LV"/>
              </w:rPr>
              <w:t>aizdevuma saņēmējs ir fiziska persona, kurai ir nostiprinātas īpašuma tiesības Zemesgrāmatā uz nekustamo īpašumu, kura sastāvā ir attiecīgā dzīvojamā ēka, kurā tiks īstenoti šo noteikumu 3.5. apakšpunktā noteiktie pasākumi;</w:t>
            </w:r>
            <w:r>
              <w:rPr>
                <w:rFonts w:ascii="Times New Roman" w:eastAsia="Times New Roman" w:hAnsi="Times New Roman" w:cs="Times New Roman"/>
                <w:bCs/>
                <w:lang w:eastAsia="lv-LV"/>
              </w:rPr>
              <w:t>”.</w:t>
            </w:r>
          </w:p>
        </w:tc>
      </w:tr>
      <w:tr w:rsidR="00B94420" w:rsidRPr="00245FF2" w14:paraId="0CAEDBAC" w14:textId="77777777" w:rsidTr="004A52F8">
        <w:trPr>
          <w:gridAfter w:val="2"/>
          <w:wAfter w:w="1180" w:type="pct"/>
          <w:trHeight w:val="140"/>
        </w:trPr>
        <w:tc>
          <w:tcPr>
            <w:tcW w:w="217" w:type="pct"/>
            <w:tcBorders>
              <w:left w:val="single" w:sz="6" w:space="0" w:color="000000"/>
              <w:bottom w:val="single" w:sz="6" w:space="0" w:color="000000"/>
              <w:right w:val="single" w:sz="6" w:space="0" w:color="000000"/>
            </w:tcBorders>
          </w:tcPr>
          <w:p w14:paraId="79E83F12" w14:textId="77777777" w:rsidR="00B94420" w:rsidRPr="00F81D34" w:rsidRDefault="00B94420" w:rsidP="009C59EC">
            <w:pPr>
              <w:pStyle w:val="ListParagraph"/>
              <w:numPr>
                <w:ilvl w:val="0"/>
                <w:numId w:val="1"/>
              </w:numPr>
              <w:spacing w:after="0" w:line="240" w:lineRule="auto"/>
              <w:contextualSpacing w:val="0"/>
              <w:jc w:val="center"/>
              <w:rPr>
                <w:rFonts w:ascii="Times New Roman" w:eastAsia="Times New Roman" w:hAnsi="Times New Roman" w:cs="Times New Roman"/>
                <w:lang w:eastAsia="lv-LV"/>
              </w:rPr>
            </w:pPr>
          </w:p>
        </w:tc>
        <w:tc>
          <w:tcPr>
            <w:tcW w:w="728" w:type="pct"/>
            <w:tcBorders>
              <w:top w:val="single" w:sz="6" w:space="0" w:color="000000"/>
              <w:left w:val="single" w:sz="6" w:space="0" w:color="000000"/>
              <w:bottom w:val="single" w:sz="4" w:space="0" w:color="auto"/>
              <w:right w:val="single" w:sz="6" w:space="0" w:color="000000"/>
            </w:tcBorders>
          </w:tcPr>
          <w:p w14:paraId="5F9873FD" w14:textId="77777777" w:rsidR="00B94420" w:rsidRPr="00F81D34" w:rsidRDefault="00B94420" w:rsidP="0044690A">
            <w:pPr>
              <w:spacing w:after="0"/>
              <w:rPr>
                <w:rFonts w:ascii="Times New Roman" w:eastAsia="Times New Roman" w:hAnsi="Times New Roman" w:cs="Times New Roman"/>
                <w:b/>
                <w:bCs/>
                <w:iCs/>
                <w:lang w:eastAsia="lv-LV"/>
              </w:rPr>
            </w:pPr>
            <w:r w:rsidRPr="00F81D34">
              <w:rPr>
                <w:rFonts w:ascii="Times New Roman" w:eastAsia="Times New Roman" w:hAnsi="Times New Roman" w:cs="Times New Roman"/>
                <w:b/>
                <w:bCs/>
                <w:iCs/>
                <w:lang w:eastAsia="lv-LV"/>
              </w:rPr>
              <w:t>Noteikumu projekta  3.6.apakšpunkts:</w:t>
            </w:r>
          </w:p>
          <w:p w14:paraId="71D76EDF" w14:textId="775EFDF1" w:rsidR="003E23D1" w:rsidRPr="00F81D34" w:rsidRDefault="003E23D1" w:rsidP="003E23D1">
            <w:pPr>
              <w:jc w:val="both"/>
              <w:rPr>
                <w:rFonts w:ascii="Times New Roman" w:eastAsia="Times New Roman" w:hAnsi="Times New Roman" w:cs="Times New Roman"/>
                <w:iCs/>
                <w:lang w:eastAsia="lv-LV"/>
              </w:rPr>
            </w:pPr>
            <w:r w:rsidRPr="00F81D34">
              <w:rPr>
                <w:rFonts w:ascii="Times New Roman" w:eastAsia="Times New Roman" w:hAnsi="Times New Roman" w:cs="Times New Roman"/>
                <w:iCs/>
                <w:lang w:eastAsia="lv-LV"/>
              </w:rPr>
              <w:t>“3.6.</w:t>
            </w:r>
            <w:r w:rsidRPr="00F81D34">
              <w:rPr>
                <w:rFonts w:ascii="Times New Roman" w:eastAsia="Times New Roman" w:hAnsi="Times New Roman" w:cs="Times New Roman"/>
                <w:iCs/>
                <w:lang w:eastAsia="lv-LV"/>
              </w:rPr>
              <w:tab/>
              <w:t>sabiedrība "</w:t>
            </w:r>
            <w:proofErr w:type="spellStart"/>
            <w:r w:rsidRPr="00F81D34">
              <w:rPr>
                <w:rFonts w:ascii="Times New Roman" w:eastAsia="Times New Roman" w:hAnsi="Times New Roman" w:cs="Times New Roman"/>
                <w:iCs/>
                <w:lang w:eastAsia="lv-LV"/>
              </w:rPr>
              <w:t>Altum</w:t>
            </w:r>
            <w:proofErr w:type="spellEnd"/>
            <w:r w:rsidRPr="00F81D34">
              <w:rPr>
                <w:rFonts w:ascii="Times New Roman" w:eastAsia="Times New Roman" w:hAnsi="Times New Roman" w:cs="Times New Roman"/>
                <w:iCs/>
                <w:lang w:eastAsia="lv-LV"/>
              </w:rPr>
              <w:t xml:space="preserve">" dzīvojamai mājai ir veikusi energoefektivitātes novērtējumu saskaņā ar šo noteikumu pielikumu, kas apliecina, ka šo  noteikumu </w:t>
            </w:r>
            <w:r w:rsidRPr="00F81D34">
              <w:rPr>
                <w:rFonts w:ascii="Times New Roman" w:eastAsia="Times New Roman" w:hAnsi="Times New Roman" w:cs="Times New Roman"/>
                <w:iCs/>
                <w:lang w:eastAsia="lv-LV"/>
              </w:rPr>
              <w:lastRenderedPageBreak/>
              <w:t>3.5. apakšpunktā noteikto pasākumu īstenošanas rezultātā tiek:”.</w:t>
            </w:r>
          </w:p>
          <w:p w14:paraId="5DC890A5" w14:textId="76A6A366" w:rsidR="003E23D1" w:rsidRPr="00F81D34" w:rsidRDefault="003E23D1" w:rsidP="0005608C">
            <w:pPr>
              <w:rPr>
                <w:rFonts w:ascii="Times New Roman" w:eastAsia="Times New Roman" w:hAnsi="Times New Roman" w:cs="Times New Roman"/>
                <w:lang w:eastAsia="lv-LV"/>
              </w:rPr>
            </w:pPr>
          </w:p>
        </w:tc>
        <w:tc>
          <w:tcPr>
            <w:tcW w:w="1093" w:type="pct"/>
            <w:tcBorders>
              <w:top w:val="single" w:sz="6" w:space="0" w:color="000000"/>
              <w:left w:val="single" w:sz="6" w:space="0" w:color="000000"/>
              <w:bottom w:val="single" w:sz="6" w:space="0" w:color="000000"/>
              <w:right w:val="single" w:sz="6" w:space="0" w:color="000000"/>
            </w:tcBorders>
          </w:tcPr>
          <w:p w14:paraId="17E2A59E" w14:textId="43B264C1" w:rsidR="00B94420" w:rsidRPr="00F81D34" w:rsidRDefault="00B94420" w:rsidP="0044690A">
            <w:pPr>
              <w:spacing w:after="0" w:line="240" w:lineRule="auto"/>
              <w:jc w:val="both"/>
              <w:rPr>
                <w:rFonts w:ascii="Times New Roman" w:eastAsia="Times New Roman" w:hAnsi="Times New Roman" w:cs="Times New Roman"/>
                <w:b/>
                <w:lang w:eastAsia="lv-LV"/>
              </w:rPr>
            </w:pPr>
            <w:r w:rsidRPr="00F81D34">
              <w:rPr>
                <w:rFonts w:ascii="Times New Roman" w:eastAsia="Times New Roman" w:hAnsi="Times New Roman" w:cs="Times New Roman"/>
                <w:b/>
                <w:lang w:eastAsia="lv-LV"/>
              </w:rPr>
              <w:lastRenderedPageBreak/>
              <w:t>Tieslietu ministrija</w:t>
            </w:r>
            <w:r w:rsidR="00963458" w:rsidRPr="00F81D34">
              <w:rPr>
                <w:rFonts w:ascii="Times New Roman" w:eastAsia="Times New Roman" w:hAnsi="Times New Roman" w:cs="Times New Roman"/>
                <w:b/>
                <w:lang w:eastAsia="lv-LV"/>
              </w:rPr>
              <w:t>s 25.05.2020. atzinuma 6.iebildums:</w:t>
            </w:r>
          </w:p>
          <w:p w14:paraId="453391AC" w14:textId="4FEFFADC" w:rsidR="00B94420" w:rsidRPr="00F81D34" w:rsidRDefault="00963458" w:rsidP="00B94420">
            <w:pPr>
              <w:tabs>
                <w:tab w:val="left" w:pos="993"/>
              </w:tabs>
              <w:spacing w:after="0" w:line="240" w:lineRule="auto"/>
              <w:jc w:val="both"/>
              <w:rPr>
                <w:rFonts w:ascii="Times New Roman" w:eastAsia="Times New Roman" w:hAnsi="Times New Roman" w:cs="Times New Roman"/>
                <w:lang w:eastAsia="lv-LV"/>
              </w:rPr>
            </w:pPr>
            <w:r w:rsidRPr="00F81D34">
              <w:rPr>
                <w:rFonts w:ascii="Times New Roman" w:eastAsia="Times New Roman" w:hAnsi="Times New Roman" w:cs="Times New Roman"/>
                <w:iCs/>
                <w:lang w:eastAsia="lv-LV"/>
              </w:rPr>
              <w:t xml:space="preserve">“6. </w:t>
            </w:r>
            <w:r w:rsidR="00B94420" w:rsidRPr="00F81D34">
              <w:rPr>
                <w:rFonts w:ascii="Times New Roman" w:eastAsia="Times New Roman" w:hAnsi="Times New Roman" w:cs="Times New Roman"/>
                <w:iCs/>
                <w:lang w:eastAsia="lv-LV"/>
              </w:rPr>
              <w:t xml:space="preserve">Projekta  3.6.apakšpunkts </w:t>
            </w:r>
            <w:r w:rsidR="00B94420" w:rsidRPr="00F81D34">
              <w:rPr>
                <w:rFonts w:ascii="Times New Roman" w:eastAsia="Times New Roman" w:hAnsi="Times New Roman" w:cs="Times New Roman"/>
                <w:lang w:eastAsia="lv-LV"/>
              </w:rPr>
              <w:t>paredz atbalsta saņemšanas nosacījumu – “sabiedrība "</w:t>
            </w:r>
            <w:proofErr w:type="spellStart"/>
            <w:r w:rsidR="00B94420" w:rsidRPr="00F81D34">
              <w:rPr>
                <w:rFonts w:ascii="Times New Roman" w:eastAsia="Times New Roman" w:hAnsi="Times New Roman" w:cs="Times New Roman"/>
                <w:lang w:eastAsia="lv-LV"/>
              </w:rPr>
              <w:t>Altum</w:t>
            </w:r>
            <w:proofErr w:type="spellEnd"/>
            <w:r w:rsidR="00B94420" w:rsidRPr="00F81D34">
              <w:rPr>
                <w:rFonts w:ascii="Times New Roman" w:eastAsia="Times New Roman" w:hAnsi="Times New Roman" w:cs="Times New Roman"/>
                <w:lang w:eastAsia="lv-LV"/>
              </w:rPr>
              <w:t xml:space="preserve">" dzīvojamai mājai ir veikusi energoefektivitātes novērtējumu saskaņā ar šo noteikumu </w:t>
            </w:r>
            <w:r w:rsidR="00B94420" w:rsidRPr="00F81D34">
              <w:rPr>
                <w:rFonts w:ascii="Times New Roman" w:eastAsia="Times New Roman" w:hAnsi="Times New Roman" w:cs="Times New Roman"/>
                <w:u w:val="single"/>
                <w:lang w:eastAsia="lv-LV"/>
              </w:rPr>
              <w:t>pielikumu</w:t>
            </w:r>
            <w:r w:rsidR="00B94420" w:rsidRPr="00F81D34">
              <w:rPr>
                <w:rFonts w:ascii="Times New Roman" w:eastAsia="Times New Roman" w:hAnsi="Times New Roman" w:cs="Times New Roman"/>
                <w:lang w:eastAsia="lv-LV"/>
              </w:rPr>
              <w:t xml:space="preserve">”. Lūdzam izvērtēt projekta 3.6.capakšpunkta, kā arī pielikuma atbilstību augstāka juridiskā spēka </w:t>
            </w:r>
            <w:r w:rsidR="00B94420" w:rsidRPr="00F81D34">
              <w:rPr>
                <w:rFonts w:ascii="Times New Roman" w:eastAsia="Times New Roman" w:hAnsi="Times New Roman" w:cs="Times New Roman"/>
                <w:lang w:eastAsia="lv-LV"/>
              </w:rPr>
              <w:lastRenderedPageBreak/>
              <w:t xml:space="preserve">normatīvajiem aktiem, tai skaitā Ēku energoefektivitātes likuma 6. pantam. Vēršam uzmanību, ka saskaņā ar minētā panta pirmo daļu, ekspluatējamām ēkām aprēķināto un izmērīto energoefektivitāti novērtē </w:t>
            </w:r>
            <w:r w:rsidR="00B94420" w:rsidRPr="00F81D34">
              <w:rPr>
                <w:rFonts w:ascii="Times New Roman" w:eastAsia="Times New Roman" w:hAnsi="Times New Roman" w:cs="Times New Roman"/>
                <w:u w:val="single"/>
                <w:lang w:eastAsia="lv-LV"/>
              </w:rPr>
              <w:t>neatkarīgs eksperts</w:t>
            </w:r>
            <w:r w:rsidR="00B94420" w:rsidRPr="00F81D34">
              <w:rPr>
                <w:rFonts w:ascii="Times New Roman" w:eastAsia="Times New Roman" w:hAnsi="Times New Roman" w:cs="Times New Roman"/>
                <w:lang w:eastAsia="lv-LV"/>
              </w:rPr>
              <w:t xml:space="preserve">. Šis likuma pants arī paredz Ministru kabinetam noteikt energoefektivitātes novērtēšanas metodes. </w:t>
            </w:r>
          </w:p>
          <w:p w14:paraId="66683CD6" w14:textId="77777777" w:rsidR="00B94420" w:rsidRPr="00F81D34" w:rsidRDefault="00B94420" w:rsidP="0044690A">
            <w:pPr>
              <w:tabs>
                <w:tab w:val="left" w:pos="993"/>
              </w:tabs>
              <w:spacing w:after="0" w:line="240" w:lineRule="auto"/>
              <w:jc w:val="both"/>
              <w:rPr>
                <w:rFonts w:ascii="Times New Roman" w:eastAsia="Times New Roman" w:hAnsi="Times New Roman" w:cs="Times New Roman"/>
                <w:lang w:eastAsia="lv-LV"/>
              </w:rPr>
            </w:pPr>
            <w:r w:rsidRPr="00F81D34">
              <w:rPr>
                <w:rFonts w:ascii="Times New Roman" w:eastAsia="Times New Roman" w:hAnsi="Times New Roman" w:cs="Times New Roman"/>
                <w:lang w:eastAsia="lv-LV"/>
              </w:rPr>
              <w:t>Norādām arī, ka projekta pielikuma teksts tikai atspoguļo veiktā energoefektivitātes novērtējuma galarezultātus, bet neparedz nekādus kritērijus vai nosacījumus par to, kā veicams energoefektivitātes novērtējums. Līdz ar to projekta 3.6. apakšpunktā minētais, ka sabiedrība "</w:t>
            </w:r>
            <w:proofErr w:type="spellStart"/>
            <w:r w:rsidRPr="00F81D34">
              <w:rPr>
                <w:rFonts w:ascii="Times New Roman" w:eastAsia="Times New Roman" w:hAnsi="Times New Roman" w:cs="Times New Roman"/>
                <w:lang w:eastAsia="lv-LV"/>
              </w:rPr>
              <w:t>Altum</w:t>
            </w:r>
            <w:proofErr w:type="spellEnd"/>
            <w:r w:rsidRPr="00F81D34">
              <w:rPr>
                <w:rFonts w:ascii="Times New Roman" w:eastAsia="Times New Roman" w:hAnsi="Times New Roman" w:cs="Times New Roman"/>
                <w:lang w:eastAsia="lv-LV"/>
              </w:rPr>
              <w:t xml:space="preserve">" dzīvojamai mājai ir veikusi energoefektivitātes novērtējumu </w:t>
            </w:r>
            <w:r w:rsidRPr="00F81D34">
              <w:rPr>
                <w:rFonts w:ascii="Times New Roman" w:eastAsia="Times New Roman" w:hAnsi="Times New Roman" w:cs="Times New Roman"/>
                <w:u w:val="single"/>
                <w:lang w:eastAsia="lv-LV"/>
              </w:rPr>
              <w:t>saskaņā ar šo noteikumu pielikumu,</w:t>
            </w:r>
            <w:r w:rsidRPr="00F81D34">
              <w:rPr>
                <w:rFonts w:ascii="Times New Roman" w:eastAsia="Times New Roman" w:hAnsi="Times New Roman" w:cs="Times New Roman"/>
                <w:lang w:eastAsia="lv-LV"/>
              </w:rPr>
              <w:t xml:space="preserve"> nav korekts un neatbilst pielikumā minētajam.</w:t>
            </w:r>
          </w:p>
          <w:p w14:paraId="7261F490" w14:textId="5BA4763B" w:rsidR="00B94420" w:rsidRPr="00F81D34" w:rsidRDefault="00B94420" w:rsidP="00F81D34">
            <w:pPr>
              <w:tabs>
                <w:tab w:val="left" w:pos="993"/>
              </w:tabs>
              <w:spacing w:after="0" w:line="240" w:lineRule="auto"/>
              <w:jc w:val="both"/>
              <w:rPr>
                <w:rFonts w:ascii="Times New Roman" w:eastAsia="Times New Roman" w:hAnsi="Times New Roman" w:cs="Times New Roman"/>
                <w:b/>
                <w:lang w:eastAsia="lv-LV"/>
              </w:rPr>
            </w:pPr>
            <w:r w:rsidRPr="00F81D34">
              <w:rPr>
                <w:rFonts w:ascii="Times New Roman" w:eastAsia="Times New Roman" w:hAnsi="Times New Roman" w:cs="Times New Roman"/>
                <w:lang w:eastAsia="lv-LV"/>
              </w:rPr>
              <w:t>Ievērojot minēto, lūdzam precizēt projekta 3.6. apakšpunktu, piemēram, atsaucoties uz normatīvajiem aktiem ēku energoefektivitātes novērtējuma jomā, savukārt projekta pielikumu svītrojot.</w:t>
            </w:r>
            <w:r w:rsidR="00963458" w:rsidRPr="00F81D34">
              <w:rPr>
                <w:rFonts w:ascii="Times New Roman" w:eastAsia="Times New Roman" w:hAnsi="Times New Roman" w:cs="Times New Roman"/>
                <w:lang w:eastAsia="lv-LV"/>
              </w:rPr>
              <w:t>”</w:t>
            </w:r>
          </w:p>
        </w:tc>
        <w:tc>
          <w:tcPr>
            <w:tcW w:w="836" w:type="pct"/>
            <w:gridSpan w:val="2"/>
            <w:tcBorders>
              <w:top w:val="single" w:sz="6" w:space="0" w:color="000000"/>
              <w:left w:val="single" w:sz="6" w:space="0" w:color="000000"/>
              <w:bottom w:val="single" w:sz="6" w:space="0" w:color="000000"/>
              <w:right w:val="single" w:sz="6" w:space="0" w:color="000000"/>
            </w:tcBorders>
          </w:tcPr>
          <w:p w14:paraId="3240B09A" w14:textId="67F32AE8" w:rsidR="00B94420" w:rsidRPr="00F81D34" w:rsidRDefault="00186C50" w:rsidP="002F4F3A">
            <w:pPr>
              <w:spacing w:after="0" w:line="240" w:lineRule="auto"/>
              <w:jc w:val="center"/>
              <w:rPr>
                <w:rFonts w:ascii="Times New Roman" w:eastAsia="Times New Roman" w:hAnsi="Times New Roman" w:cs="Times New Roman"/>
                <w:b/>
                <w:lang w:eastAsia="lv-LV"/>
              </w:rPr>
            </w:pPr>
            <w:r w:rsidRPr="00F81D34">
              <w:rPr>
                <w:rFonts w:ascii="Times New Roman" w:eastAsia="Times New Roman" w:hAnsi="Times New Roman" w:cs="Times New Roman"/>
                <w:b/>
                <w:lang w:eastAsia="lv-LV"/>
              </w:rPr>
              <w:lastRenderedPageBreak/>
              <w:t>Ņemts vērā</w:t>
            </w:r>
          </w:p>
          <w:p w14:paraId="32F0245C" w14:textId="6385A0C9" w:rsidR="00186C50" w:rsidRPr="00F81D34" w:rsidRDefault="00186C50" w:rsidP="001461B7">
            <w:pPr>
              <w:spacing w:after="0" w:line="240" w:lineRule="auto"/>
              <w:jc w:val="both"/>
              <w:rPr>
                <w:rFonts w:ascii="Times New Roman" w:eastAsia="Times New Roman" w:hAnsi="Times New Roman" w:cs="Times New Roman"/>
                <w:bCs/>
                <w:lang w:eastAsia="lv-LV"/>
              </w:rPr>
            </w:pPr>
          </w:p>
        </w:tc>
        <w:tc>
          <w:tcPr>
            <w:tcW w:w="946" w:type="pct"/>
            <w:tcBorders>
              <w:left w:val="single" w:sz="4" w:space="0" w:color="auto"/>
              <w:bottom w:val="single" w:sz="4" w:space="0" w:color="auto"/>
              <w:right w:val="single" w:sz="4" w:space="0" w:color="auto"/>
            </w:tcBorders>
          </w:tcPr>
          <w:p w14:paraId="68C59A92" w14:textId="05F21E1B" w:rsidR="00B94420" w:rsidRPr="00F81D34" w:rsidRDefault="0072079C" w:rsidP="000C3CDB">
            <w:pPr>
              <w:spacing w:after="0" w:line="240" w:lineRule="auto"/>
              <w:jc w:val="both"/>
              <w:rPr>
                <w:rFonts w:ascii="Times New Roman" w:eastAsia="Times New Roman" w:hAnsi="Times New Roman" w:cs="Times New Roman"/>
                <w:b/>
                <w:lang w:eastAsia="lv-LV"/>
              </w:rPr>
            </w:pPr>
            <w:r w:rsidRPr="00F81D34">
              <w:rPr>
                <w:rFonts w:ascii="Times New Roman" w:eastAsia="Times New Roman" w:hAnsi="Times New Roman" w:cs="Times New Roman"/>
                <w:b/>
                <w:lang w:eastAsia="lv-LV"/>
              </w:rPr>
              <w:t xml:space="preserve">Noteikumu projekta  3.6.apakšpunkts </w:t>
            </w:r>
            <w:r w:rsidR="00905264">
              <w:rPr>
                <w:rFonts w:ascii="Times New Roman" w:eastAsia="Times New Roman" w:hAnsi="Times New Roman" w:cs="Times New Roman"/>
                <w:b/>
                <w:lang w:eastAsia="lv-LV"/>
              </w:rPr>
              <w:t xml:space="preserve">izteikts </w:t>
            </w:r>
            <w:r w:rsidRPr="00F81D34">
              <w:rPr>
                <w:rFonts w:ascii="Times New Roman" w:eastAsia="Times New Roman" w:hAnsi="Times New Roman" w:cs="Times New Roman"/>
                <w:b/>
                <w:lang w:eastAsia="lv-LV"/>
              </w:rPr>
              <w:t>šādā redakcijā:</w:t>
            </w:r>
          </w:p>
          <w:p w14:paraId="7A394769" w14:textId="77777777" w:rsidR="00905264" w:rsidRPr="00905264" w:rsidRDefault="002C6141" w:rsidP="00905264">
            <w:pPr>
              <w:spacing w:after="0" w:line="240" w:lineRule="auto"/>
              <w:jc w:val="both"/>
              <w:rPr>
                <w:rFonts w:ascii="Times New Roman" w:eastAsia="Times New Roman" w:hAnsi="Times New Roman" w:cs="Times New Roman"/>
                <w:bCs/>
                <w:lang w:eastAsia="lv-LV"/>
              </w:rPr>
            </w:pPr>
            <w:r w:rsidRPr="00F81D34">
              <w:rPr>
                <w:rFonts w:ascii="Times New Roman" w:eastAsia="Times New Roman" w:hAnsi="Times New Roman" w:cs="Times New Roman"/>
                <w:bCs/>
                <w:lang w:eastAsia="lv-LV"/>
              </w:rPr>
              <w:t>“</w:t>
            </w:r>
            <w:r w:rsidR="00905264" w:rsidRPr="00905264">
              <w:rPr>
                <w:rFonts w:ascii="Times New Roman" w:eastAsia="Times New Roman" w:hAnsi="Times New Roman" w:cs="Times New Roman"/>
                <w:bCs/>
                <w:lang w:eastAsia="lv-LV"/>
              </w:rPr>
              <w:t>3.6.</w:t>
            </w:r>
            <w:r w:rsidR="00905264" w:rsidRPr="00905264">
              <w:rPr>
                <w:rFonts w:ascii="Times New Roman" w:eastAsia="Times New Roman" w:hAnsi="Times New Roman" w:cs="Times New Roman"/>
                <w:bCs/>
                <w:lang w:eastAsia="lv-LV"/>
              </w:rPr>
              <w:tab/>
              <w:t>sabiedrība "</w:t>
            </w:r>
            <w:proofErr w:type="spellStart"/>
            <w:r w:rsidR="00905264" w:rsidRPr="00905264">
              <w:rPr>
                <w:rFonts w:ascii="Times New Roman" w:eastAsia="Times New Roman" w:hAnsi="Times New Roman" w:cs="Times New Roman"/>
                <w:bCs/>
                <w:lang w:eastAsia="lv-LV"/>
              </w:rPr>
              <w:t>Altum</w:t>
            </w:r>
            <w:proofErr w:type="spellEnd"/>
            <w:r w:rsidR="00905264" w:rsidRPr="00905264">
              <w:rPr>
                <w:rFonts w:ascii="Times New Roman" w:eastAsia="Times New Roman" w:hAnsi="Times New Roman" w:cs="Times New Roman"/>
                <w:bCs/>
                <w:lang w:eastAsia="lv-LV"/>
              </w:rPr>
              <w:t xml:space="preserve">" dzīvojamai ēkai ir veikusi energoefektivitātes novērtējumu saskaņā ar prasībām, kas noteiktas normatīvajos aktos par ēku energoefektivitātes nodrošināšanu, kas apliecina, ka šo  noteikumu 3.5. </w:t>
            </w:r>
            <w:r w:rsidR="00905264" w:rsidRPr="00905264">
              <w:rPr>
                <w:rFonts w:ascii="Times New Roman" w:eastAsia="Times New Roman" w:hAnsi="Times New Roman" w:cs="Times New Roman"/>
                <w:bCs/>
                <w:lang w:eastAsia="lv-LV"/>
              </w:rPr>
              <w:lastRenderedPageBreak/>
              <w:t>apakšpunktā noteikto pasākumu īstenošanas rezultātā tiek:</w:t>
            </w:r>
          </w:p>
          <w:p w14:paraId="027587F3" w14:textId="77777777" w:rsidR="00905264" w:rsidRPr="00905264" w:rsidRDefault="00905264" w:rsidP="00905264">
            <w:pPr>
              <w:spacing w:after="0" w:line="240" w:lineRule="auto"/>
              <w:jc w:val="both"/>
              <w:rPr>
                <w:rFonts w:ascii="Times New Roman" w:eastAsia="Times New Roman" w:hAnsi="Times New Roman" w:cs="Times New Roman"/>
                <w:bCs/>
                <w:lang w:eastAsia="lv-LV"/>
              </w:rPr>
            </w:pPr>
            <w:r w:rsidRPr="00905264">
              <w:rPr>
                <w:rFonts w:ascii="Times New Roman" w:eastAsia="Times New Roman" w:hAnsi="Times New Roman" w:cs="Times New Roman"/>
                <w:bCs/>
                <w:lang w:eastAsia="lv-LV"/>
              </w:rPr>
              <w:t>3.6.1.</w:t>
            </w:r>
            <w:r w:rsidRPr="00905264">
              <w:rPr>
                <w:rFonts w:ascii="Times New Roman" w:eastAsia="Times New Roman" w:hAnsi="Times New Roman" w:cs="Times New Roman"/>
                <w:bCs/>
                <w:lang w:eastAsia="lv-LV"/>
              </w:rPr>
              <w:tab/>
              <w:t>paaugstināta enerģijas patēriņa klasifikācija;</w:t>
            </w:r>
          </w:p>
          <w:p w14:paraId="41AFB490" w14:textId="22C3CA2E" w:rsidR="0072079C" w:rsidRPr="00F81D34" w:rsidRDefault="00905264" w:rsidP="00FC13FD">
            <w:pPr>
              <w:spacing w:after="0" w:line="240" w:lineRule="auto"/>
              <w:jc w:val="both"/>
              <w:rPr>
                <w:rFonts w:ascii="Times New Roman" w:eastAsia="Times New Roman" w:hAnsi="Times New Roman" w:cs="Times New Roman"/>
                <w:bCs/>
                <w:lang w:eastAsia="lv-LV"/>
              </w:rPr>
            </w:pPr>
            <w:r w:rsidRPr="00905264">
              <w:rPr>
                <w:rFonts w:ascii="Times New Roman" w:eastAsia="Times New Roman" w:hAnsi="Times New Roman" w:cs="Times New Roman"/>
                <w:bCs/>
                <w:lang w:eastAsia="lv-LV"/>
              </w:rPr>
              <w:t>3.6.2.</w:t>
            </w:r>
            <w:r w:rsidRPr="00905264">
              <w:rPr>
                <w:rFonts w:ascii="Times New Roman" w:eastAsia="Times New Roman" w:hAnsi="Times New Roman" w:cs="Times New Roman"/>
                <w:bCs/>
                <w:lang w:eastAsia="lv-LV"/>
              </w:rPr>
              <w:tab/>
              <w:t>samazināts siltumenerģijas patēriņš apkurei vismaz 20 % apmērā</w:t>
            </w:r>
            <w:r>
              <w:rPr>
                <w:rFonts w:ascii="Times New Roman" w:eastAsia="Times New Roman" w:hAnsi="Times New Roman" w:cs="Times New Roman"/>
                <w:bCs/>
                <w:lang w:eastAsia="lv-LV"/>
              </w:rPr>
              <w:t>.”</w:t>
            </w:r>
          </w:p>
        </w:tc>
      </w:tr>
      <w:tr w:rsidR="00085768" w:rsidRPr="00245FF2" w14:paraId="6F62D0A2" w14:textId="77777777" w:rsidTr="004A52F8">
        <w:trPr>
          <w:gridAfter w:val="2"/>
          <w:wAfter w:w="1180" w:type="pct"/>
          <w:trHeight w:val="140"/>
        </w:trPr>
        <w:tc>
          <w:tcPr>
            <w:tcW w:w="217" w:type="pct"/>
            <w:tcBorders>
              <w:left w:val="single" w:sz="6" w:space="0" w:color="000000"/>
              <w:bottom w:val="single" w:sz="6" w:space="0" w:color="000000"/>
              <w:right w:val="single" w:sz="6" w:space="0" w:color="000000"/>
            </w:tcBorders>
          </w:tcPr>
          <w:p w14:paraId="32580200" w14:textId="77777777" w:rsidR="00085768" w:rsidRPr="00F81D34" w:rsidRDefault="00085768" w:rsidP="009C59EC">
            <w:pPr>
              <w:pStyle w:val="ListParagraph"/>
              <w:numPr>
                <w:ilvl w:val="0"/>
                <w:numId w:val="1"/>
              </w:numPr>
              <w:spacing w:after="0" w:line="240" w:lineRule="auto"/>
              <w:contextualSpacing w:val="0"/>
              <w:jc w:val="center"/>
              <w:rPr>
                <w:rFonts w:ascii="Times New Roman" w:eastAsia="Times New Roman" w:hAnsi="Times New Roman" w:cs="Times New Roman"/>
                <w:lang w:eastAsia="lv-LV"/>
              </w:rPr>
            </w:pPr>
          </w:p>
        </w:tc>
        <w:tc>
          <w:tcPr>
            <w:tcW w:w="728" w:type="pct"/>
            <w:tcBorders>
              <w:top w:val="single" w:sz="6" w:space="0" w:color="000000"/>
              <w:left w:val="single" w:sz="6" w:space="0" w:color="000000"/>
              <w:bottom w:val="single" w:sz="4" w:space="0" w:color="auto"/>
              <w:right w:val="single" w:sz="6" w:space="0" w:color="000000"/>
            </w:tcBorders>
          </w:tcPr>
          <w:p w14:paraId="4BAC30D6" w14:textId="77777777" w:rsidR="00085768" w:rsidRPr="00F81D34" w:rsidRDefault="005622D1" w:rsidP="00F81D34">
            <w:pPr>
              <w:spacing w:after="0"/>
              <w:rPr>
                <w:rFonts w:ascii="Times New Roman" w:eastAsia="Times New Roman" w:hAnsi="Times New Roman" w:cs="Times New Roman"/>
                <w:b/>
                <w:bCs/>
                <w:iCs/>
                <w:lang w:eastAsia="lv-LV"/>
              </w:rPr>
            </w:pPr>
            <w:r w:rsidRPr="00F81D34">
              <w:rPr>
                <w:rFonts w:ascii="Times New Roman" w:eastAsia="Times New Roman" w:hAnsi="Times New Roman" w:cs="Times New Roman"/>
                <w:b/>
                <w:bCs/>
                <w:iCs/>
                <w:lang w:eastAsia="lv-LV"/>
              </w:rPr>
              <w:t>Noteikumu projekta 9. un 10. punkts:</w:t>
            </w:r>
          </w:p>
          <w:p w14:paraId="40A23111" w14:textId="2A33CBDE" w:rsidR="00B74711" w:rsidRPr="00F81D34" w:rsidRDefault="00B74711" w:rsidP="00F81D34">
            <w:pPr>
              <w:spacing w:after="0"/>
              <w:jc w:val="both"/>
              <w:rPr>
                <w:rFonts w:ascii="Times New Roman" w:eastAsia="Times New Roman" w:hAnsi="Times New Roman" w:cs="Times New Roman"/>
                <w:iCs/>
                <w:lang w:eastAsia="lv-LV"/>
              </w:rPr>
            </w:pPr>
            <w:r w:rsidRPr="00F81D34">
              <w:rPr>
                <w:rFonts w:ascii="Times New Roman" w:eastAsia="Times New Roman" w:hAnsi="Times New Roman" w:cs="Times New Roman"/>
                <w:iCs/>
                <w:lang w:eastAsia="lv-LV"/>
              </w:rPr>
              <w:t>“9.</w:t>
            </w:r>
            <w:r w:rsidRPr="00F81D34">
              <w:rPr>
                <w:rFonts w:ascii="Times New Roman" w:eastAsia="Times New Roman" w:hAnsi="Times New Roman" w:cs="Times New Roman"/>
                <w:iCs/>
                <w:lang w:eastAsia="lv-LV"/>
              </w:rPr>
              <w:tab/>
              <w:t>Sabiedrība "</w:t>
            </w:r>
            <w:proofErr w:type="spellStart"/>
            <w:r w:rsidRPr="00F81D34">
              <w:rPr>
                <w:rFonts w:ascii="Times New Roman" w:eastAsia="Times New Roman" w:hAnsi="Times New Roman" w:cs="Times New Roman"/>
                <w:iCs/>
                <w:lang w:eastAsia="lv-LV"/>
              </w:rPr>
              <w:t>Altum</w:t>
            </w:r>
            <w:proofErr w:type="spellEnd"/>
            <w:r w:rsidRPr="00F81D34">
              <w:rPr>
                <w:rFonts w:ascii="Times New Roman" w:eastAsia="Times New Roman" w:hAnsi="Times New Roman" w:cs="Times New Roman"/>
                <w:iCs/>
                <w:lang w:eastAsia="lv-LV"/>
              </w:rPr>
              <w:t>" informē kredītiestādes par iespēju pieteikties finansējumam, sniedz informāciju par pieteikšanās nosacījumiem un publicē tos sabiedrības "</w:t>
            </w:r>
            <w:proofErr w:type="spellStart"/>
            <w:r w:rsidRPr="00F81D34">
              <w:rPr>
                <w:rFonts w:ascii="Times New Roman" w:eastAsia="Times New Roman" w:hAnsi="Times New Roman" w:cs="Times New Roman"/>
                <w:iCs/>
                <w:lang w:eastAsia="lv-LV"/>
              </w:rPr>
              <w:t>Altum</w:t>
            </w:r>
            <w:proofErr w:type="spellEnd"/>
            <w:r w:rsidRPr="00F81D34">
              <w:rPr>
                <w:rFonts w:ascii="Times New Roman" w:eastAsia="Times New Roman" w:hAnsi="Times New Roman" w:cs="Times New Roman"/>
                <w:iCs/>
                <w:lang w:eastAsia="lv-LV"/>
              </w:rPr>
              <w:t xml:space="preserve">" tīmekļvietnē. Pieteikties var jebkura kredītiestāde, kas ir </w:t>
            </w:r>
            <w:r w:rsidRPr="00F81D34">
              <w:rPr>
                <w:rFonts w:ascii="Times New Roman" w:eastAsia="Times New Roman" w:hAnsi="Times New Roman" w:cs="Times New Roman"/>
                <w:iCs/>
                <w:lang w:eastAsia="lv-LV"/>
              </w:rPr>
              <w:lastRenderedPageBreak/>
              <w:t>tiesīga sniegt kreditēšanas pakalpojumus Latvijā.</w:t>
            </w:r>
          </w:p>
          <w:p w14:paraId="29412AD9" w14:textId="77777777" w:rsidR="00B74711" w:rsidRPr="00F81D34" w:rsidRDefault="00B74711" w:rsidP="00F81D34">
            <w:pPr>
              <w:spacing w:after="0"/>
              <w:jc w:val="both"/>
              <w:rPr>
                <w:rFonts w:ascii="Times New Roman" w:eastAsia="Times New Roman" w:hAnsi="Times New Roman" w:cs="Times New Roman"/>
                <w:iCs/>
                <w:lang w:eastAsia="lv-LV"/>
              </w:rPr>
            </w:pPr>
          </w:p>
          <w:p w14:paraId="75518D2B" w14:textId="0E807A8A" w:rsidR="005622D1" w:rsidRPr="00F81D34" w:rsidRDefault="00B74711" w:rsidP="00B74711">
            <w:pPr>
              <w:jc w:val="both"/>
              <w:rPr>
                <w:rFonts w:ascii="Times New Roman" w:eastAsia="Times New Roman" w:hAnsi="Times New Roman" w:cs="Times New Roman"/>
                <w:iCs/>
                <w:lang w:eastAsia="lv-LV"/>
              </w:rPr>
            </w:pPr>
            <w:r w:rsidRPr="00F81D34">
              <w:rPr>
                <w:rFonts w:ascii="Times New Roman" w:eastAsia="Times New Roman" w:hAnsi="Times New Roman" w:cs="Times New Roman"/>
                <w:iCs/>
                <w:lang w:eastAsia="lv-LV"/>
              </w:rPr>
              <w:t>10.</w:t>
            </w:r>
            <w:r w:rsidRPr="00F81D34">
              <w:rPr>
                <w:rFonts w:ascii="Times New Roman" w:eastAsia="Times New Roman" w:hAnsi="Times New Roman" w:cs="Times New Roman"/>
                <w:iCs/>
                <w:lang w:eastAsia="lv-LV"/>
              </w:rPr>
              <w:tab/>
              <w:t>Pieteikšanās nosacījumos nosaka finansējuma apmēru, kreditēšanas nosacījumus, pamatojumu finansiālā labuma nodošanai, kā arī citus nosacījumus.”</w:t>
            </w:r>
          </w:p>
        </w:tc>
        <w:tc>
          <w:tcPr>
            <w:tcW w:w="1093" w:type="pct"/>
            <w:tcBorders>
              <w:top w:val="single" w:sz="6" w:space="0" w:color="000000"/>
              <w:left w:val="single" w:sz="6" w:space="0" w:color="000000"/>
              <w:bottom w:val="single" w:sz="6" w:space="0" w:color="000000"/>
              <w:right w:val="single" w:sz="6" w:space="0" w:color="000000"/>
            </w:tcBorders>
          </w:tcPr>
          <w:p w14:paraId="23894921" w14:textId="5D79A2AE" w:rsidR="00085768" w:rsidRPr="00572FEB" w:rsidRDefault="00085768" w:rsidP="00F81D34">
            <w:pPr>
              <w:spacing w:after="0" w:line="240" w:lineRule="auto"/>
              <w:jc w:val="both"/>
              <w:rPr>
                <w:rFonts w:ascii="Times New Roman" w:eastAsia="Times New Roman" w:hAnsi="Times New Roman" w:cs="Times New Roman"/>
                <w:b/>
                <w:lang w:eastAsia="lv-LV"/>
              </w:rPr>
            </w:pPr>
            <w:r w:rsidRPr="00572FEB">
              <w:rPr>
                <w:rFonts w:ascii="Times New Roman" w:eastAsia="Times New Roman" w:hAnsi="Times New Roman" w:cs="Times New Roman"/>
                <w:b/>
                <w:lang w:eastAsia="lv-LV"/>
              </w:rPr>
              <w:lastRenderedPageBreak/>
              <w:t>Tieslietu ministrija</w:t>
            </w:r>
            <w:r w:rsidR="00963458" w:rsidRPr="00572FEB">
              <w:rPr>
                <w:rFonts w:ascii="Times New Roman" w:eastAsia="Times New Roman" w:hAnsi="Times New Roman" w:cs="Times New Roman"/>
                <w:b/>
                <w:lang w:eastAsia="lv-LV"/>
              </w:rPr>
              <w:t>s 25.05.2020. atzinuma 7.iebildums:</w:t>
            </w:r>
          </w:p>
          <w:p w14:paraId="022FF84F" w14:textId="36792CE5" w:rsidR="00085768" w:rsidRPr="00572FEB" w:rsidRDefault="00963458" w:rsidP="00085768">
            <w:pPr>
              <w:spacing w:after="0" w:line="240" w:lineRule="auto"/>
              <w:jc w:val="both"/>
              <w:rPr>
                <w:rFonts w:ascii="Times New Roman" w:eastAsia="Times New Roman" w:hAnsi="Times New Roman" w:cs="Times New Roman"/>
                <w:lang w:eastAsia="lv-LV"/>
              </w:rPr>
            </w:pPr>
            <w:r w:rsidRPr="00572FEB">
              <w:rPr>
                <w:rFonts w:ascii="Times New Roman" w:eastAsia="Times New Roman" w:hAnsi="Times New Roman" w:cs="Times New Roman"/>
                <w:lang w:eastAsia="lv-LV"/>
              </w:rPr>
              <w:t xml:space="preserve">“7. </w:t>
            </w:r>
            <w:r w:rsidR="00085768" w:rsidRPr="00572FEB">
              <w:rPr>
                <w:rFonts w:ascii="Times New Roman" w:eastAsia="Times New Roman" w:hAnsi="Times New Roman" w:cs="Times New Roman"/>
                <w:lang w:eastAsia="lv-LV"/>
              </w:rPr>
              <w:t>Saskaņā ar projekta 9. un 10. punktā noteikto sabiedrība "</w:t>
            </w:r>
            <w:proofErr w:type="spellStart"/>
            <w:r w:rsidR="00085768" w:rsidRPr="00572FEB">
              <w:rPr>
                <w:rFonts w:ascii="Times New Roman" w:eastAsia="Times New Roman" w:hAnsi="Times New Roman" w:cs="Times New Roman"/>
                <w:lang w:eastAsia="lv-LV"/>
              </w:rPr>
              <w:t>Altum</w:t>
            </w:r>
            <w:proofErr w:type="spellEnd"/>
            <w:r w:rsidR="00085768" w:rsidRPr="00572FEB">
              <w:rPr>
                <w:rFonts w:ascii="Times New Roman" w:eastAsia="Times New Roman" w:hAnsi="Times New Roman" w:cs="Times New Roman"/>
                <w:lang w:eastAsia="lv-LV"/>
              </w:rPr>
              <w:t>" informē kredītiestādes par iespēju pieteikties finansējumam, sniedz informāciju par pieteikšanās nosacījumiem un publicē tos sabiedrības "</w:t>
            </w:r>
            <w:proofErr w:type="spellStart"/>
            <w:r w:rsidR="00085768" w:rsidRPr="00572FEB">
              <w:rPr>
                <w:rFonts w:ascii="Times New Roman" w:eastAsia="Times New Roman" w:hAnsi="Times New Roman" w:cs="Times New Roman"/>
                <w:lang w:eastAsia="lv-LV"/>
              </w:rPr>
              <w:t>Altum</w:t>
            </w:r>
            <w:proofErr w:type="spellEnd"/>
            <w:r w:rsidR="00085768" w:rsidRPr="00572FEB">
              <w:rPr>
                <w:rFonts w:ascii="Times New Roman" w:eastAsia="Times New Roman" w:hAnsi="Times New Roman" w:cs="Times New Roman"/>
                <w:lang w:eastAsia="lv-LV"/>
              </w:rPr>
              <w:t xml:space="preserve">" tīmekļvietnē. Pieteikties var jebkura kredītiestāde, kas ir tiesīga sniegt kreditēšanas pakalpojumus Latvijā. Pieteikšanās nosacījumos nosaka </w:t>
            </w:r>
            <w:r w:rsidR="00085768" w:rsidRPr="00572FEB">
              <w:rPr>
                <w:rFonts w:ascii="Times New Roman" w:eastAsia="Times New Roman" w:hAnsi="Times New Roman" w:cs="Times New Roman"/>
                <w:u w:val="single"/>
                <w:lang w:eastAsia="lv-LV"/>
              </w:rPr>
              <w:t>finansējuma apmēru, kreditēšanas nosacījumus, pamatojumu finansiālā labuma nodošanai, kā arī citus nosacījumus</w:t>
            </w:r>
            <w:r w:rsidR="00085768" w:rsidRPr="00572FEB">
              <w:rPr>
                <w:rFonts w:ascii="Times New Roman" w:eastAsia="Times New Roman" w:hAnsi="Times New Roman" w:cs="Times New Roman"/>
                <w:lang w:eastAsia="lv-LV"/>
              </w:rPr>
              <w:t>.</w:t>
            </w:r>
          </w:p>
          <w:p w14:paraId="0555A207" w14:textId="77777777" w:rsidR="00085768" w:rsidRPr="00572FEB" w:rsidRDefault="00085768" w:rsidP="00F81D34">
            <w:pPr>
              <w:widowControl w:val="0"/>
              <w:tabs>
                <w:tab w:val="left" w:pos="993"/>
              </w:tabs>
              <w:spacing w:after="0" w:line="240" w:lineRule="auto"/>
              <w:contextualSpacing/>
              <w:jc w:val="both"/>
              <w:rPr>
                <w:rFonts w:ascii="Times New Roman" w:eastAsia="Calibri" w:hAnsi="Times New Roman" w:cs="Times New Roman"/>
                <w:u w:val="single"/>
              </w:rPr>
            </w:pPr>
            <w:bookmarkStart w:id="13" w:name="_Hlk41999680"/>
            <w:r w:rsidRPr="00572FEB">
              <w:rPr>
                <w:rFonts w:ascii="Times New Roman" w:eastAsia="Calibri" w:hAnsi="Times New Roman" w:cs="Times New Roman"/>
              </w:rPr>
              <w:lastRenderedPageBreak/>
              <w:t>Lūdzam projekta anotācijā detalizētāk skaidrot projekta 9. un 10. punkta saturu, tai skaitā pamatot, ka ar minētajām normām sabiedrība “</w:t>
            </w:r>
            <w:proofErr w:type="spellStart"/>
            <w:r w:rsidRPr="00572FEB">
              <w:rPr>
                <w:rFonts w:ascii="Times New Roman" w:eastAsia="Calibri" w:hAnsi="Times New Roman" w:cs="Times New Roman"/>
              </w:rPr>
              <w:t>Altum</w:t>
            </w:r>
            <w:proofErr w:type="spellEnd"/>
            <w:r w:rsidRPr="00572FEB">
              <w:rPr>
                <w:rFonts w:ascii="Times New Roman" w:eastAsia="Calibri" w:hAnsi="Times New Roman" w:cs="Times New Roman"/>
              </w:rPr>
              <w:t xml:space="preserve">” netiek pārpilnvarota izdot tiesisko regulējumu, kas saskaņā ar likumdevēja doto pilnvarojumu ir Ministru kabineta kompetence. Tai skaitā vēršam uzmanību, ka saskaņā ar Attīstības finanšu institūciju likuma 12. panta ceturto daļu  </w:t>
            </w:r>
            <w:r w:rsidRPr="00572FEB">
              <w:rPr>
                <w:rFonts w:ascii="Times New Roman" w:eastAsia="Calibri" w:hAnsi="Times New Roman" w:cs="Times New Roman"/>
                <w:u w:val="single"/>
              </w:rPr>
              <w:t>Ministru kabinets</w:t>
            </w:r>
            <w:r w:rsidRPr="00572FEB">
              <w:rPr>
                <w:rFonts w:ascii="Times New Roman" w:eastAsia="Calibri" w:hAnsi="Times New Roman" w:cs="Times New Roman"/>
              </w:rPr>
              <w:t xml:space="preserve">  nosaka atbalsta programmu īstenošanas kārtību, </w:t>
            </w:r>
            <w:r w:rsidRPr="00572FEB">
              <w:rPr>
                <w:rFonts w:ascii="Times New Roman" w:eastAsia="Calibri" w:hAnsi="Times New Roman" w:cs="Times New Roman"/>
                <w:u w:val="single"/>
              </w:rPr>
              <w:t xml:space="preserve">finansējumu, atbalstāmo darbību un izmaksu </w:t>
            </w:r>
            <w:proofErr w:type="spellStart"/>
            <w:r w:rsidRPr="00572FEB">
              <w:rPr>
                <w:rFonts w:ascii="Times New Roman" w:eastAsia="Calibri" w:hAnsi="Times New Roman" w:cs="Times New Roman"/>
                <w:u w:val="single"/>
              </w:rPr>
              <w:t>attiecināmības</w:t>
            </w:r>
            <w:proofErr w:type="spellEnd"/>
            <w:r w:rsidRPr="00572FEB">
              <w:rPr>
                <w:rFonts w:ascii="Times New Roman" w:eastAsia="Calibri" w:hAnsi="Times New Roman" w:cs="Times New Roman"/>
                <w:u w:val="single"/>
              </w:rPr>
              <w:t xml:space="preserve"> nosacījumus, tai skaitā finansējumu Attīstības finanšu institūcijas izdevumu segšanai.</w:t>
            </w:r>
          </w:p>
          <w:p w14:paraId="54A1B34A" w14:textId="1855115C" w:rsidR="00085768" w:rsidRPr="00592961" w:rsidRDefault="00085768" w:rsidP="00F81D34">
            <w:pPr>
              <w:widowControl w:val="0"/>
              <w:tabs>
                <w:tab w:val="left" w:pos="993"/>
              </w:tabs>
              <w:spacing w:after="0" w:line="240" w:lineRule="auto"/>
              <w:contextualSpacing/>
              <w:jc w:val="both"/>
              <w:rPr>
                <w:rFonts w:ascii="Times New Roman" w:eastAsia="Calibri" w:hAnsi="Times New Roman" w:cs="Times New Roman"/>
                <w:highlight w:val="green"/>
                <w:u w:val="single"/>
              </w:rPr>
            </w:pPr>
            <w:r w:rsidRPr="00572FEB">
              <w:rPr>
                <w:rFonts w:ascii="Times New Roman" w:eastAsia="Calibri" w:hAnsi="Times New Roman" w:cs="Times New Roman"/>
              </w:rPr>
              <w:t xml:space="preserve">Nepieciešamības gadījumā lūdzam precizēt projekta III nodaļu, paredzot </w:t>
            </w:r>
            <w:proofErr w:type="spellStart"/>
            <w:r w:rsidRPr="00572FEB">
              <w:rPr>
                <w:rFonts w:ascii="Times New Roman" w:eastAsia="Calibri" w:hAnsi="Times New Roman" w:cs="Times New Roman"/>
              </w:rPr>
              <w:t>Portfeļgarantijas</w:t>
            </w:r>
            <w:proofErr w:type="spellEnd"/>
            <w:r w:rsidRPr="00572FEB">
              <w:rPr>
                <w:rFonts w:ascii="Times New Roman" w:eastAsia="Calibri" w:hAnsi="Times New Roman" w:cs="Times New Roman"/>
              </w:rPr>
              <w:t xml:space="preserve"> programmas īstenošanas un finansēšanas pamatnosacījumus </w:t>
            </w:r>
            <w:r w:rsidRPr="00572FEB">
              <w:rPr>
                <w:rFonts w:ascii="Times New Roman" w:eastAsia="Calibri" w:hAnsi="Times New Roman" w:cs="Times New Roman"/>
                <w:u w:val="single"/>
              </w:rPr>
              <w:t>projekta tekstā.</w:t>
            </w:r>
            <w:r w:rsidR="00963458" w:rsidRPr="00572FEB">
              <w:rPr>
                <w:rFonts w:ascii="Times New Roman" w:eastAsia="Calibri" w:hAnsi="Times New Roman" w:cs="Times New Roman"/>
                <w:u w:val="single"/>
              </w:rPr>
              <w:t>”</w:t>
            </w:r>
            <w:bookmarkEnd w:id="13"/>
          </w:p>
        </w:tc>
        <w:tc>
          <w:tcPr>
            <w:tcW w:w="836" w:type="pct"/>
            <w:gridSpan w:val="2"/>
            <w:tcBorders>
              <w:top w:val="single" w:sz="6" w:space="0" w:color="000000"/>
              <w:left w:val="single" w:sz="6" w:space="0" w:color="000000"/>
              <w:bottom w:val="single" w:sz="6" w:space="0" w:color="000000"/>
              <w:right w:val="single" w:sz="6" w:space="0" w:color="000000"/>
            </w:tcBorders>
          </w:tcPr>
          <w:p w14:paraId="1C835F16" w14:textId="0571D2D4" w:rsidR="00085768" w:rsidRDefault="00B43BB8" w:rsidP="002F4F3A">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lastRenderedPageBreak/>
              <w:t>P</w:t>
            </w:r>
            <w:r w:rsidR="00C16436">
              <w:rPr>
                <w:rFonts w:ascii="Times New Roman" w:eastAsia="Times New Roman" w:hAnsi="Times New Roman" w:cs="Times New Roman"/>
                <w:b/>
                <w:lang w:eastAsia="lv-LV"/>
              </w:rPr>
              <w:t>anākta vienošanās.</w:t>
            </w:r>
          </w:p>
          <w:p w14:paraId="6B68A1D6" w14:textId="6288F282" w:rsidR="00A606E0" w:rsidRPr="00A606E0" w:rsidRDefault="00A606E0" w:rsidP="009519E5">
            <w:pPr>
              <w:spacing w:after="0" w:line="240" w:lineRule="auto"/>
              <w:jc w:val="both"/>
              <w:rPr>
                <w:rFonts w:ascii="Times New Roman" w:eastAsia="Times New Roman" w:hAnsi="Times New Roman" w:cs="Times New Roman"/>
                <w:bCs/>
                <w:lang w:eastAsia="lv-LV"/>
              </w:rPr>
            </w:pPr>
            <w:r w:rsidRPr="00A606E0">
              <w:rPr>
                <w:rFonts w:ascii="Times New Roman" w:eastAsia="Times New Roman" w:hAnsi="Times New Roman" w:cs="Times New Roman"/>
                <w:bCs/>
                <w:lang w:eastAsia="lv-LV"/>
              </w:rPr>
              <w:t xml:space="preserve">Skaidrojam, ka 2017.gadā skaņojot Ministru kabineta noteikumu projektu „Noteikumi par </w:t>
            </w:r>
            <w:proofErr w:type="spellStart"/>
            <w:r w:rsidRPr="00A606E0">
              <w:rPr>
                <w:rFonts w:ascii="Times New Roman" w:eastAsia="Times New Roman" w:hAnsi="Times New Roman" w:cs="Times New Roman"/>
                <w:bCs/>
                <w:lang w:eastAsia="lv-LV"/>
              </w:rPr>
              <w:t>portfeļgarantijām</w:t>
            </w:r>
            <w:proofErr w:type="spellEnd"/>
            <w:r w:rsidRPr="00A606E0">
              <w:rPr>
                <w:rFonts w:ascii="Times New Roman" w:eastAsia="Times New Roman" w:hAnsi="Times New Roman" w:cs="Times New Roman"/>
                <w:bCs/>
                <w:lang w:eastAsia="lv-LV"/>
              </w:rPr>
              <w:t xml:space="preserve"> sīko, mazo un vidējo komersantu kreditēšanas veicināšanai” (VSS-382), Ekonomikas ministrija Tieslietu ministrijai ir sniegusi šādu skaidrojumu:</w:t>
            </w:r>
          </w:p>
          <w:p w14:paraId="2A548B06" w14:textId="77777777" w:rsidR="00A606E0" w:rsidRPr="00A606E0" w:rsidRDefault="00A606E0" w:rsidP="00A606E0">
            <w:pPr>
              <w:spacing w:after="0" w:line="240" w:lineRule="auto"/>
              <w:jc w:val="both"/>
              <w:rPr>
                <w:rFonts w:ascii="Times New Roman" w:eastAsia="Times New Roman" w:hAnsi="Times New Roman" w:cs="Times New Roman"/>
                <w:bCs/>
                <w:lang w:eastAsia="lv-LV"/>
              </w:rPr>
            </w:pPr>
            <w:r w:rsidRPr="00A606E0">
              <w:rPr>
                <w:rFonts w:ascii="Times New Roman" w:eastAsia="Times New Roman" w:hAnsi="Times New Roman" w:cs="Times New Roman"/>
                <w:bCs/>
                <w:lang w:eastAsia="lv-LV"/>
              </w:rPr>
              <w:t xml:space="preserve">“Eiropas Savienības struktūrfondu un Kohēzijas fonda 2014.—2020.gada plānošanas perioda vadības likuma 3.panta (3) daļa </w:t>
            </w:r>
            <w:r w:rsidRPr="00A606E0">
              <w:rPr>
                <w:rFonts w:ascii="Times New Roman" w:eastAsia="Times New Roman" w:hAnsi="Times New Roman" w:cs="Times New Roman"/>
                <w:bCs/>
                <w:lang w:eastAsia="lv-LV"/>
              </w:rPr>
              <w:lastRenderedPageBreak/>
              <w:t xml:space="preserve">nosaka, ka likuma IV nodaļa (Projektu iesniegumu atlase un lēmuma pieņemšana par projekta iesniegumu) neattiecas uz finanšu instrumentiem un fondu fondiem, t.sk. uz individuālo garantiju un </w:t>
            </w:r>
            <w:proofErr w:type="spellStart"/>
            <w:r w:rsidRPr="00A606E0">
              <w:rPr>
                <w:rFonts w:ascii="Times New Roman" w:eastAsia="Times New Roman" w:hAnsi="Times New Roman" w:cs="Times New Roman"/>
                <w:bCs/>
                <w:lang w:eastAsia="lv-LV"/>
              </w:rPr>
              <w:t>portfeļgarantiju</w:t>
            </w:r>
            <w:proofErr w:type="spellEnd"/>
            <w:r w:rsidRPr="00A606E0">
              <w:rPr>
                <w:rFonts w:ascii="Times New Roman" w:eastAsia="Times New Roman" w:hAnsi="Times New Roman" w:cs="Times New Roman"/>
                <w:bCs/>
                <w:lang w:eastAsia="lv-LV"/>
              </w:rPr>
              <w:t xml:space="preserve"> valsts atbalsta programmu.</w:t>
            </w:r>
          </w:p>
          <w:p w14:paraId="08663F52" w14:textId="77777777" w:rsidR="00A606E0" w:rsidRPr="00A606E0" w:rsidRDefault="00A606E0" w:rsidP="00A606E0">
            <w:pPr>
              <w:spacing w:after="0" w:line="240" w:lineRule="auto"/>
              <w:jc w:val="both"/>
              <w:rPr>
                <w:rFonts w:ascii="Times New Roman" w:eastAsia="Times New Roman" w:hAnsi="Times New Roman" w:cs="Times New Roman"/>
                <w:bCs/>
                <w:lang w:eastAsia="lv-LV"/>
              </w:rPr>
            </w:pPr>
            <w:r w:rsidRPr="00A606E0">
              <w:rPr>
                <w:rFonts w:ascii="Times New Roman" w:eastAsia="Times New Roman" w:hAnsi="Times New Roman" w:cs="Times New Roman"/>
                <w:bCs/>
                <w:lang w:eastAsia="lv-LV"/>
              </w:rPr>
              <w:t xml:space="preserve">Garantiju atbalstu individuālo garantiju un </w:t>
            </w:r>
            <w:proofErr w:type="spellStart"/>
            <w:r w:rsidRPr="00A606E0">
              <w:rPr>
                <w:rFonts w:ascii="Times New Roman" w:eastAsia="Times New Roman" w:hAnsi="Times New Roman" w:cs="Times New Roman"/>
                <w:bCs/>
                <w:lang w:eastAsia="lv-LV"/>
              </w:rPr>
              <w:t>portfeļgarantiju</w:t>
            </w:r>
            <w:proofErr w:type="spellEnd"/>
            <w:r w:rsidRPr="00A606E0">
              <w:rPr>
                <w:rFonts w:ascii="Times New Roman" w:eastAsia="Times New Roman" w:hAnsi="Times New Roman" w:cs="Times New Roman"/>
                <w:bCs/>
                <w:lang w:eastAsia="lv-LV"/>
              </w:rPr>
              <w:t xml:space="preserve"> finanšu instrumentā piešķir </w:t>
            </w:r>
            <w:proofErr w:type="spellStart"/>
            <w:r w:rsidRPr="00A606E0">
              <w:rPr>
                <w:rFonts w:ascii="Times New Roman" w:eastAsia="Times New Roman" w:hAnsi="Times New Roman" w:cs="Times New Roman"/>
                <w:bCs/>
                <w:lang w:eastAsia="lv-LV"/>
              </w:rPr>
              <w:t>Altum</w:t>
            </w:r>
            <w:proofErr w:type="spellEnd"/>
            <w:r w:rsidRPr="00A606E0">
              <w:rPr>
                <w:rFonts w:ascii="Times New Roman" w:eastAsia="Times New Roman" w:hAnsi="Times New Roman" w:cs="Times New Roman"/>
                <w:bCs/>
                <w:lang w:eastAsia="lv-LV"/>
              </w:rPr>
              <w:t xml:space="preserve">, nevis bankas. </w:t>
            </w:r>
          </w:p>
          <w:p w14:paraId="6FAF62C8" w14:textId="57A2246F" w:rsidR="00A606E0" w:rsidRPr="00A606E0" w:rsidRDefault="00A606E0" w:rsidP="009519E5">
            <w:pPr>
              <w:spacing w:after="0" w:line="240" w:lineRule="auto"/>
              <w:jc w:val="both"/>
              <w:rPr>
                <w:rFonts w:ascii="Times New Roman" w:eastAsia="Times New Roman" w:hAnsi="Times New Roman" w:cs="Times New Roman"/>
                <w:bCs/>
                <w:lang w:eastAsia="lv-LV"/>
              </w:rPr>
            </w:pPr>
            <w:r w:rsidRPr="00A606E0">
              <w:rPr>
                <w:rFonts w:ascii="Times New Roman" w:eastAsia="Times New Roman" w:hAnsi="Times New Roman" w:cs="Times New Roman"/>
                <w:bCs/>
                <w:lang w:eastAsia="lv-LV"/>
              </w:rPr>
              <w:t>Garantiju valsts atbalsta programmas ieviešana jau līdz šim notiek atbilstoši 2010.gada 26.oktobra Ministru kabineta noteikumiem Nr.997 “Noteikumi par garantijām komersantu un atbilstošu lauksaimniecības pakalpojumu kooperatīvo sabiedrību konkurētspējas uzlabošanai” (MK noteikumi nr.997). MK noteikumu nr.997 5.punkts nosaka: “5. Garantiju izsniegšanas kārtību, kompensāciju izmaksu un zaudējumu samazināšanas pasākumus nosaka saskaņā ar civiltiesiskajiem līgumiem, kas noslēgti starp sabiedrību "</w:t>
            </w:r>
            <w:proofErr w:type="spellStart"/>
            <w:r w:rsidRPr="00A606E0">
              <w:rPr>
                <w:rFonts w:ascii="Times New Roman" w:eastAsia="Times New Roman" w:hAnsi="Times New Roman" w:cs="Times New Roman"/>
                <w:bCs/>
                <w:lang w:eastAsia="lv-LV"/>
              </w:rPr>
              <w:t>Altum</w:t>
            </w:r>
            <w:proofErr w:type="spellEnd"/>
            <w:r w:rsidRPr="00A606E0">
              <w:rPr>
                <w:rFonts w:ascii="Times New Roman" w:eastAsia="Times New Roman" w:hAnsi="Times New Roman" w:cs="Times New Roman"/>
                <w:bCs/>
                <w:lang w:eastAsia="lv-LV"/>
              </w:rPr>
              <w:t xml:space="preserve">" un kredītiestādi vai tās meitas sabiedrību, kura reģistrēta Latvijā un ir tiesīga sniegt finanšu pakalpojumus Latvijā (..).”. Attiecīgi arī </w:t>
            </w:r>
            <w:proofErr w:type="spellStart"/>
            <w:r w:rsidRPr="00A606E0">
              <w:rPr>
                <w:rFonts w:ascii="Times New Roman" w:eastAsia="Times New Roman" w:hAnsi="Times New Roman" w:cs="Times New Roman"/>
                <w:bCs/>
                <w:lang w:eastAsia="lv-LV"/>
              </w:rPr>
              <w:t>portfeļgarantiju</w:t>
            </w:r>
            <w:proofErr w:type="spellEnd"/>
            <w:r w:rsidRPr="00A606E0">
              <w:rPr>
                <w:rFonts w:ascii="Times New Roman" w:eastAsia="Times New Roman" w:hAnsi="Times New Roman" w:cs="Times New Roman"/>
                <w:bCs/>
                <w:lang w:eastAsia="lv-LV"/>
              </w:rPr>
              <w:t xml:space="preserve"> finanšu instrumentā valsts atbalsta </w:t>
            </w:r>
            <w:r w:rsidRPr="00A606E0">
              <w:rPr>
                <w:rFonts w:ascii="Times New Roman" w:eastAsia="Times New Roman" w:hAnsi="Times New Roman" w:cs="Times New Roman"/>
                <w:bCs/>
                <w:lang w:eastAsia="lv-LV"/>
              </w:rPr>
              <w:lastRenderedPageBreak/>
              <w:t>programmas ieviešanas nosacījumi notiks līdzīgi.</w:t>
            </w:r>
          </w:p>
          <w:p w14:paraId="3632B47D" w14:textId="280754E3" w:rsidR="00A606E0" w:rsidRDefault="00A606E0" w:rsidP="00A606E0">
            <w:pPr>
              <w:spacing w:after="0" w:line="240" w:lineRule="auto"/>
              <w:jc w:val="both"/>
              <w:rPr>
                <w:rFonts w:ascii="Times New Roman" w:eastAsia="Times New Roman" w:hAnsi="Times New Roman" w:cs="Times New Roman"/>
                <w:bCs/>
                <w:lang w:eastAsia="lv-LV"/>
              </w:rPr>
            </w:pPr>
            <w:proofErr w:type="spellStart"/>
            <w:r w:rsidRPr="00A606E0">
              <w:rPr>
                <w:rFonts w:ascii="Times New Roman" w:hAnsi="Times New Roman" w:cs="Times New Roman"/>
                <w:bCs/>
              </w:rPr>
              <w:t>Altum</w:t>
            </w:r>
            <w:proofErr w:type="spellEnd"/>
            <w:r w:rsidRPr="00A606E0">
              <w:rPr>
                <w:rFonts w:ascii="Times New Roman" w:hAnsi="Times New Roman" w:cs="Times New Roman"/>
                <w:bCs/>
              </w:rPr>
              <w:t xml:space="preserve"> informēs Latvijas Komercbanku asociāciju, un sniegs atbildes uz jautājumiem par atlases nolikumu, lai visām kredītiestādēm būtu skaidras, saprotamas un objektīvi izpildāmas atlases nolikuma prasības – reputācija, finanšu rādītāji, vēsturiskā sadarbība, likmes aprēķināšanas metodika. Individuālo garantiju programmā līgumu ar </w:t>
            </w:r>
            <w:proofErr w:type="spellStart"/>
            <w:r w:rsidRPr="00A606E0">
              <w:rPr>
                <w:rFonts w:ascii="Times New Roman" w:hAnsi="Times New Roman" w:cs="Times New Roman"/>
                <w:bCs/>
              </w:rPr>
              <w:t>Altum</w:t>
            </w:r>
            <w:proofErr w:type="spellEnd"/>
            <w:r w:rsidRPr="00A606E0">
              <w:rPr>
                <w:rFonts w:ascii="Times New Roman" w:hAnsi="Times New Roman" w:cs="Times New Roman"/>
                <w:bCs/>
              </w:rPr>
              <w:t xml:space="preserve"> kredītiestādes var slēgt brīvi izvēlētā laikā (). </w:t>
            </w:r>
            <w:proofErr w:type="spellStart"/>
            <w:r w:rsidRPr="00A606E0">
              <w:rPr>
                <w:rFonts w:ascii="Times New Roman" w:hAnsi="Times New Roman" w:cs="Times New Roman"/>
                <w:bCs/>
              </w:rPr>
              <w:t>Portfeļgarantiju</w:t>
            </w:r>
            <w:proofErr w:type="spellEnd"/>
            <w:r w:rsidRPr="00A606E0">
              <w:rPr>
                <w:rFonts w:ascii="Times New Roman" w:hAnsi="Times New Roman" w:cs="Times New Roman"/>
                <w:bCs/>
              </w:rPr>
              <w:t xml:space="preserve"> instrumenta atlases vienīgā atšķirība – visām ieinteresētajām kredītiestādēm jāpiesakās vienlaicīgi. Arī noteikumu projektā paredzētais finansējums noteikts, veicot ieinteresēto kredītiestāžu aptauju, t.sk. par nepieciešamo finansējumu. Latvijā ir ierobežots skaits kredītiestāžu un kreditēšanas apjomi, tādēļ visas ieinteresētās kredītiestādes varēs pieteikties finansējumam un noslēgt līgumus, ja tās būs atbilstošas nosacījumiem. Kredītiestādes no programmas nesaņem nekādu valsts atbalstu, kas noteikts arī regulā 964/2014, jo valsts atbalstu saņem komersanti ar </w:t>
            </w:r>
            <w:proofErr w:type="spellStart"/>
            <w:r w:rsidRPr="00A606E0">
              <w:rPr>
                <w:rFonts w:ascii="Times New Roman" w:hAnsi="Times New Roman" w:cs="Times New Roman"/>
                <w:bCs/>
              </w:rPr>
              <w:t>Altum</w:t>
            </w:r>
            <w:proofErr w:type="spellEnd"/>
            <w:r w:rsidRPr="00A606E0">
              <w:rPr>
                <w:rFonts w:ascii="Times New Roman" w:hAnsi="Times New Roman" w:cs="Times New Roman"/>
                <w:bCs/>
              </w:rPr>
              <w:t xml:space="preserve"> garantiju.</w:t>
            </w:r>
            <w:r w:rsidRPr="00A606E0">
              <w:rPr>
                <w:rFonts w:ascii="Times New Roman" w:eastAsia="Times New Roman" w:hAnsi="Times New Roman" w:cs="Times New Roman"/>
                <w:bCs/>
                <w:lang w:eastAsia="lv-LV"/>
              </w:rPr>
              <w:t>”</w:t>
            </w:r>
          </w:p>
          <w:p w14:paraId="6C9229BE" w14:textId="7027F153" w:rsidR="00A606E0" w:rsidRDefault="00A606E0" w:rsidP="00A606E0">
            <w:pPr>
              <w:spacing w:after="0" w:line="240" w:lineRule="auto"/>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 xml:space="preserve">Tieslietu ministrija šo skaidrojumu ir akceptējusi un kopš 2017.gadā </w:t>
            </w:r>
            <w:r>
              <w:rPr>
                <w:rFonts w:ascii="Times New Roman" w:eastAsia="Times New Roman" w:hAnsi="Times New Roman" w:cs="Times New Roman"/>
                <w:bCs/>
                <w:lang w:eastAsia="lv-LV"/>
              </w:rPr>
              <w:lastRenderedPageBreak/>
              <w:t xml:space="preserve">saskaņā ar šādu pieeju tiek īstenotas programmas </w:t>
            </w:r>
            <w:proofErr w:type="spellStart"/>
            <w:r>
              <w:rPr>
                <w:rFonts w:ascii="Times New Roman" w:eastAsia="Times New Roman" w:hAnsi="Times New Roman" w:cs="Times New Roman"/>
                <w:bCs/>
                <w:lang w:eastAsia="lv-LV"/>
              </w:rPr>
              <w:t>portfeļgarantiju</w:t>
            </w:r>
            <w:proofErr w:type="spellEnd"/>
            <w:r>
              <w:rPr>
                <w:rFonts w:ascii="Times New Roman" w:eastAsia="Times New Roman" w:hAnsi="Times New Roman" w:cs="Times New Roman"/>
                <w:bCs/>
                <w:lang w:eastAsia="lv-LV"/>
              </w:rPr>
              <w:t xml:space="preserve"> veidā.</w:t>
            </w:r>
          </w:p>
          <w:p w14:paraId="5A6803B6" w14:textId="68C5E7C9" w:rsidR="008C5157" w:rsidRPr="00A606E0" w:rsidRDefault="00A606E0" w:rsidP="00A606E0">
            <w:pPr>
              <w:spacing w:after="0" w:line="240" w:lineRule="auto"/>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Ekonomikas ministrija neatbalst</w:t>
            </w:r>
            <w:r w:rsidR="009519E5">
              <w:rPr>
                <w:rFonts w:ascii="Times New Roman" w:eastAsia="Times New Roman" w:hAnsi="Times New Roman" w:cs="Times New Roman"/>
                <w:bCs/>
                <w:lang w:eastAsia="lv-LV"/>
              </w:rPr>
              <w:t>a</w:t>
            </w:r>
            <w:r>
              <w:rPr>
                <w:rFonts w:ascii="Times New Roman" w:eastAsia="Times New Roman" w:hAnsi="Times New Roman" w:cs="Times New Roman"/>
                <w:bCs/>
                <w:lang w:eastAsia="lv-LV"/>
              </w:rPr>
              <w:t xml:space="preserve"> līdzšinējās prakses maiņu.</w:t>
            </w:r>
          </w:p>
        </w:tc>
        <w:tc>
          <w:tcPr>
            <w:tcW w:w="946" w:type="pct"/>
            <w:tcBorders>
              <w:left w:val="single" w:sz="4" w:space="0" w:color="auto"/>
              <w:bottom w:val="single" w:sz="4" w:space="0" w:color="auto"/>
              <w:right w:val="single" w:sz="4" w:space="0" w:color="auto"/>
            </w:tcBorders>
          </w:tcPr>
          <w:p w14:paraId="6363312F" w14:textId="7DA740E5" w:rsidR="008C5157" w:rsidRPr="00F81D34" w:rsidRDefault="008C5157" w:rsidP="00245FF2">
            <w:pPr>
              <w:spacing w:after="0" w:line="240" w:lineRule="auto"/>
              <w:jc w:val="both"/>
              <w:rPr>
                <w:rFonts w:ascii="Times New Roman" w:eastAsia="Times New Roman" w:hAnsi="Times New Roman" w:cs="Times New Roman"/>
                <w:b/>
                <w:lang w:eastAsia="lv-LV"/>
              </w:rPr>
            </w:pPr>
          </w:p>
        </w:tc>
      </w:tr>
      <w:tr w:rsidR="000417C2" w:rsidRPr="00245FF2" w14:paraId="11824C17" w14:textId="77777777" w:rsidTr="004A52F8">
        <w:trPr>
          <w:gridAfter w:val="2"/>
          <w:wAfter w:w="1180" w:type="pct"/>
          <w:trHeight w:val="140"/>
        </w:trPr>
        <w:tc>
          <w:tcPr>
            <w:tcW w:w="217" w:type="pct"/>
            <w:tcBorders>
              <w:left w:val="single" w:sz="6" w:space="0" w:color="000000"/>
              <w:bottom w:val="single" w:sz="6" w:space="0" w:color="000000"/>
              <w:right w:val="single" w:sz="6" w:space="0" w:color="000000"/>
            </w:tcBorders>
          </w:tcPr>
          <w:p w14:paraId="66F987B3" w14:textId="77777777" w:rsidR="000417C2" w:rsidRPr="000417C2" w:rsidRDefault="000417C2" w:rsidP="009C59EC">
            <w:pPr>
              <w:pStyle w:val="ListParagraph"/>
              <w:numPr>
                <w:ilvl w:val="0"/>
                <w:numId w:val="1"/>
              </w:numPr>
              <w:spacing w:after="0" w:line="240" w:lineRule="auto"/>
              <w:contextualSpacing w:val="0"/>
              <w:jc w:val="center"/>
              <w:rPr>
                <w:rFonts w:ascii="Times New Roman" w:eastAsia="Times New Roman" w:hAnsi="Times New Roman" w:cs="Times New Roman"/>
                <w:lang w:eastAsia="lv-LV"/>
              </w:rPr>
            </w:pPr>
          </w:p>
        </w:tc>
        <w:tc>
          <w:tcPr>
            <w:tcW w:w="728" w:type="pct"/>
            <w:vMerge w:val="restart"/>
            <w:tcBorders>
              <w:top w:val="single" w:sz="6" w:space="0" w:color="000000"/>
              <w:left w:val="single" w:sz="6" w:space="0" w:color="000000"/>
              <w:right w:val="single" w:sz="6" w:space="0" w:color="000000"/>
            </w:tcBorders>
          </w:tcPr>
          <w:p w14:paraId="5A36CA1F" w14:textId="77777777" w:rsidR="000417C2" w:rsidRPr="000417C2" w:rsidRDefault="000417C2" w:rsidP="0005608C">
            <w:pPr>
              <w:rPr>
                <w:rFonts w:ascii="Times New Roman" w:eastAsia="Times New Roman" w:hAnsi="Times New Roman" w:cs="Times New Roman"/>
                <w:iCs/>
                <w:lang w:eastAsia="lv-LV"/>
              </w:rPr>
            </w:pPr>
            <w:r w:rsidRPr="000417C2">
              <w:rPr>
                <w:rFonts w:ascii="Times New Roman" w:eastAsia="Times New Roman" w:hAnsi="Times New Roman" w:cs="Times New Roman"/>
                <w:iCs/>
                <w:lang w:eastAsia="lv-LV"/>
              </w:rPr>
              <w:t>Noteikumu projekta anotācija</w:t>
            </w:r>
          </w:p>
          <w:p w14:paraId="0DD7C821" w14:textId="5812C6D7" w:rsidR="000417C2" w:rsidRPr="000417C2" w:rsidRDefault="000417C2" w:rsidP="00907110">
            <w:pPr>
              <w:rPr>
                <w:rFonts w:ascii="Times New Roman" w:eastAsia="Times New Roman" w:hAnsi="Times New Roman" w:cs="Times New Roman"/>
                <w:iCs/>
                <w:lang w:eastAsia="lv-LV"/>
              </w:rPr>
            </w:pPr>
          </w:p>
        </w:tc>
        <w:tc>
          <w:tcPr>
            <w:tcW w:w="1093" w:type="pct"/>
            <w:tcBorders>
              <w:top w:val="single" w:sz="6" w:space="0" w:color="000000"/>
              <w:left w:val="single" w:sz="6" w:space="0" w:color="000000"/>
              <w:bottom w:val="single" w:sz="6" w:space="0" w:color="000000"/>
              <w:right w:val="single" w:sz="6" w:space="0" w:color="000000"/>
            </w:tcBorders>
          </w:tcPr>
          <w:p w14:paraId="07C10CCB" w14:textId="561FFCA9" w:rsidR="000417C2" w:rsidRPr="00D5057B" w:rsidRDefault="000417C2" w:rsidP="000417C2">
            <w:pPr>
              <w:spacing w:after="0" w:line="240" w:lineRule="auto"/>
              <w:jc w:val="both"/>
              <w:rPr>
                <w:rFonts w:ascii="Times New Roman" w:eastAsia="Times New Roman" w:hAnsi="Times New Roman" w:cs="Times New Roman"/>
                <w:b/>
                <w:bCs/>
                <w:iCs/>
                <w:lang w:eastAsia="lv-LV"/>
              </w:rPr>
            </w:pPr>
            <w:r w:rsidRPr="00D5057B">
              <w:rPr>
                <w:rFonts w:ascii="Times New Roman" w:eastAsia="Times New Roman" w:hAnsi="Times New Roman" w:cs="Times New Roman"/>
                <w:b/>
                <w:bCs/>
                <w:iCs/>
                <w:lang w:eastAsia="lv-LV"/>
              </w:rPr>
              <w:t>Tieslietu ministrija</w:t>
            </w:r>
            <w:r w:rsidRPr="00D5057B">
              <w:rPr>
                <w:rFonts w:ascii="Times New Roman" w:eastAsia="Times New Roman" w:hAnsi="Times New Roman" w:cs="Times New Roman"/>
                <w:b/>
                <w:lang w:eastAsia="lv-LV"/>
              </w:rPr>
              <w:t>s 25.05.2020. atzinuma 8.iebildums:</w:t>
            </w:r>
          </w:p>
          <w:p w14:paraId="2A255542" w14:textId="6E724FA1" w:rsidR="000417C2" w:rsidRPr="000417C2" w:rsidRDefault="000417C2" w:rsidP="00085768">
            <w:pPr>
              <w:spacing w:after="0" w:line="240" w:lineRule="auto"/>
              <w:jc w:val="both"/>
              <w:rPr>
                <w:rFonts w:ascii="Times New Roman" w:eastAsia="Times New Roman" w:hAnsi="Times New Roman" w:cs="Times New Roman"/>
                <w:iCs/>
                <w:lang w:eastAsia="lv-LV"/>
              </w:rPr>
            </w:pPr>
            <w:r w:rsidRPr="00D5057B">
              <w:rPr>
                <w:rFonts w:ascii="Times New Roman" w:eastAsia="Times New Roman" w:hAnsi="Times New Roman" w:cs="Times New Roman"/>
                <w:iCs/>
                <w:lang w:eastAsia="lv-LV"/>
              </w:rPr>
              <w:t>“8. Saskaņā ar anotācijas I sadaļas 2. punkta 5. lapaspusē norādīto p</w:t>
            </w:r>
            <w:r w:rsidRPr="00D5057B">
              <w:rPr>
                <w:rFonts w:ascii="Times New Roman" w:eastAsia="Times New Roman" w:hAnsi="Times New Roman" w:cs="Times New Roman"/>
                <w:lang w:eastAsia="lv-LV"/>
              </w:rPr>
              <w:t xml:space="preserve">rojektā paredzēts, ka kompensāciju izmaksas kārtību nosaka saskaņā ar civiltiesiskajiem līgumiem, kas noslēgti starp </w:t>
            </w:r>
            <w:proofErr w:type="spellStart"/>
            <w:r w:rsidRPr="00D5057B">
              <w:rPr>
                <w:rFonts w:ascii="Times New Roman" w:eastAsia="Times New Roman" w:hAnsi="Times New Roman" w:cs="Times New Roman"/>
                <w:lang w:eastAsia="lv-LV"/>
              </w:rPr>
              <w:t>Altum</w:t>
            </w:r>
            <w:proofErr w:type="spellEnd"/>
            <w:r w:rsidRPr="00D5057B">
              <w:rPr>
                <w:rFonts w:ascii="Times New Roman" w:eastAsia="Times New Roman" w:hAnsi="Times New Roman" w:cs="Times New Roman"/>
                <w:lang w:eastAsia="lv-LV"/>
              </w:rPr>
              <w:t xml:space="preserve"> un kredītiestādi un ka </w:t>
            </w:r>
            <w:proofErr w:type="spellStart"/>
            <w:r w:rsidRPr="00D5057B">
              <w:rPr>
                <w:rFonts w:ascii="Times New Roman" w:eastAsia="Times New Roman" w:hAnsi="Times New Roman" w:cs="Times New Roman"/>
                <w:lang w:eastAsia="lv-LV"/>
              </w:rPr>
              <w:t>Altum</w:t>
            </w:r>
            <w:proofErr w:type="spellEnd"/>
            <w:r w:rsidRPr="00D5057B">
              <w:rPr>
                <w:rFonts w:ascii="Times New Roman" w:eastAsia="Times New Roman" w:hAnsi="Times New Roman" w:cs="Times New Roman"/>
                <w:lang w:eastAsia="lv-LV"/>
              </w:rPr>
              <w:t xml:space="preserve"> garantijas kompensāciju izmaksās kredītiestādei brīdī, kad kredītiestāde konstatē gadījumu - 90 dienas kavēti maksājumi.  Vēršam izmanību, ka projektā nav ietverts šāds regulējums, līdz ar to lūdzam attiecīgi precizēt projektu vai anotāciju.</w:t>
            </w:r>
            <w:bookmarkStart w:id="14" w:name="p21"/>
            <w:bookmarkStart w:id="15" w:name="p-634107"/>
            <w:bookmarkEnd w:id="14"/>
            <w:bookmarkEnd w:id="15"/>
            <w:r w:rsidRPr="00D5057B">
              <w:rPr>
                <w:rFonts w:ascii="Times New Roman" w:eastAsia="Times New Roman" w:hAnsi="Times New Roman" w:cs="Times New Roman"/>
                <w:lang w:eastAsia="lv-LV"/>
              </w:rPr>
              <w:t>”</w:t>
            </w:r>
          </w:p>
        </w:tc>
        <w:tc>
          <w:tcPr>
            <w:tcW w:w="836" w:type="pct"/>
            <w:gridSpan w:val="2"/>
            <w:tcBorders>
              <w:top w:val="single" w:sz="6" w:space="0" w:color="000000"/>
              <w:left w:val="single" w:sz="6" w:space="0" w:color="000000"/>
              <w:bottom w:val="single" w:sz="6" w:space="0" w:color="000000"/>
              <w:right w:val="single" w:sz="6" w:space="0" w:color="000000"/>
            </w:tcBorders>
          </w:tcPr>
          <w:p w14:paraId="12F5786A" w14:textId="153DD5E1" w:rsidR="000417C2" w:rsidRPr="000417C2" w:rsidRDefault="00D5057B" w:rsidP="002F4F3A">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Ņ</w:t>
            </w:r>
            <w:r w:rsidR="007C360F">
              <w:rPr>
                <w:rFonts w:ascii="Times New Roman" w:eastAsia="Times New Roman" w:hAnsi="Times New Roman" w:cs="Times New Roman"/>
                <w:b/>
                <w:lang w:eastAsia="lv-LV"/>
              </w:rPr>
              <w:t>emts vērā</w:t>
            </w:r>
          </w:p>
          <w:p w14:paraId="75449273" w14:textId="0042E3BF" w:rsidR="000417C2" w:rsidRPr="000417C2" w:rsidRDefault="000417C2" w:rsidP="007C360F">
            <w:pPr>
              <w:spacing w:after="0" w:line="240" w:lineRule="auto"/>
              <w:jc w:val="both"/>
              <w:rPr>
                <w:rFonts w:ascii="Times New Roman" w:eastAsia="Times New Roman" w:hAnsi="Times New Roman" w:cs="Times New Roman"/>
                <w:b/>
                <w:lang w:eastAsia="lv-LV"/>
              </w:rPr>
            </w:pPr>
          </w:p>
        </w:tc>
        <w:tc>
          <w:tcPr>
            <w:tcW w:w="946" w:type="pct"/>
            <w:tcBorders>
              <w:left w:val="single" w:sz="4" w:space="0" w:color="auto"/>
              <w:bottom w:val="single" w:sz="4" w:space="0" w:color="auto"/>
              <w:right w:val="single" w:sz="4" w:space="0" w:color="auto"/>
            </w:tcBorders>
          </w:tcPr>
          <w:p w14:paraId="62B33EEF" w14:textId="1B844B37" w:rsidR="000417C2" w:rsidRPr="000417C2" w:rsidRDefault="00D5057B" w:rsidP="000C3CDB">
            <w:p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Precizēta Anotācijas I sadaļas 2.punkta 5.lpp </w:t>
            </w:r>
            <w:proofErr w:type="spellStart"/>
            <w:r>
              <w:rPr>
                <w:rFonts w:ascii="Times New Roman" w:eastAsia="Times New Roman" w:hAnsi="Times New Roman" w:cs="Times New Roman"/>
                <w:b/>
                <w:lang w:eastAsia="lv-LV"/>
              </w:rPr>
              <w:t>apakšsadaļā</w:t>
            </w:r>
            <w:proofErr w:type="spellEnd"/>
            <w:r>
              <w:rPr>
                <w:rFonts w:ascii="Times New Roman" w:eastAsia="Times New Roman" w:hAnsi="Times New Roman" w:cs="Times New Roman"/>
                <w:b/>
                <w:lang w:eastAsia="lv-LV"/>
              </w:rPr>
              <w:t xml:space="preserve"> “Kompensāciju izmaksas kārtība”, dzēšot vārdus “Projektā ir paredzēts, ka”.</w:t>
            </w:r>
          </w:p>
        </w:tc>
      </w:tr>
      <w:tr w:rsidR="000417C2" w:rsidRPr="00245FF2" w14:paraId="088D2F8B" w14:textId="77777777" w:rsidTr="004A52F8">
        <w:trPr>
          <w:gridAfter w:val="2"/>
          <w:wAfter w:w="1180" w:type="pct"/>
          <w:trHeight w:val="140"/>
        </w:trPr>
        <w:tc>
          <w:tcPr>
            <w:tcW w:w="217" w:type="pct"/>
            <w:tcBorders>
              <w:left w:val="single" w:sz="6" w:space="0" w:color="000000"/>
              <w:bottom w:val="single" w:sz="6" w:space="0" w:color="000000"/>
              <w:right w:val="single" w:sz="6" w:space="0" w:color="000000"/>
            </w:tcBorders>
          </w:tcPr>
          <w:p w14:paraId="2EB04395" w14:textId="77777777" w:rsidR="000417C2" w:rsidRPr="000417C2" w:rsidRDefault="000417C2" w:rsidP="009C59EC">
            <w:pPr>
              <w:pStyle w:val="ListParagraph"/>
              <w:numPr>
                <w:ilvl w:val="0"/>
                <w:numId w:val="1"/>
              </w:numPr>
              <w:spacing w:after="0" w:line="240" w:lineRule="auto"/>
              <w:contextualSpacing w:val="0"/>
              <w:jc w:val="center"/>
              <w:rPr>
                <w:rFonts w:ascii="Times New Roman" w:eastAsia="Times New Roman" w:hAnsi="Times New Roman" w:cs="Times New Roman"/>
                <w:lang w:eastAsia="lv-LV"/>
              </w:rPr>
            </w:pPr>
          </w:p>
        </w:tc>
        <w:tc>
          <w:tcPr>
            <w:tcW w:w="728" w:type="pct"/>
            <w:vMerge/>
            <w:tcBorders>
              <w:left w:val="single" w:sz="6" w:space="0" w:color="000000"/>
              <w:right w:val="single" w:sz="6" w:space="0" w:color="000000"/>
            </w:tcBorders>
          </w:tcPr>
          <w:p w14:paraId="3B1D81D2" w14:textId="62D32B73" w:rsidR="000417C2" w:rsidRPr="000417C2" w:rsidRDefault="000417C2" w:rsidP="00907110">
            <w:pPr>
              <w:rPr>
                <w:rFonts w:ascii="Times New Roman" w:eastAsia="Times New Roman" w:hAnsi="Times New Roman" w:cs="Times New Roman"/>
                <w:b/>
                <w:lang w:eastAsia="lv-LV"/>
              </w:rPr>
            </w:pPr>
          </w:p>
        </w:tc>
        <w:tc>
          <w:tcPr>
            <w:tcW w:w="1093" w:type="pct"/>
            <w:tcBorders>
              <w:top w:val="single" w:sz="6" w:space="0" w:color="000000"/>
              <w:left w:val="single" w:sz="6" w:space="0" w:color="000000"/>
              <w:bottom w:val="single" w:sz="6" w:space="0" w:color="000000"/>
              <w:right w:val="single" w:sz="6" w:space="0" w:color="000000"/>
            </w:tcBorders>
          </w:tcPr>
          <w:p w14:paraId="3CB2C45E" w14:textId="322F4111" w:rsidR="000417C2" w:rsidRPr="00B137AA" w:rsidRDefault="000417C2" w:rsidP="000417C2">
            <w:pPr>
              <w:spacing w:after="0" w:line="240" w:lineRule="auto"/>
              <w:jc w:val="both"/>
              <w:rPr>
                <w:rFonts w:ascii="Times New Roman" w:eastAsia="Times New Roman" w:hAnsi="Times New Roman" w:cs="Times New Roman"/>
                <w:b/>
                <w:lang w:eastAsia="lv-LV"/>
              </w:rPr>
            </w:pPr>
            <w:r w:rsidRPr="00B137AA">
              <w:rPr>
                <w:rFonts w:ascii="Times New Roman" w:eastAsia="Times New Roman" w:hAnsi="Times New Roman" w:cs="Times New Roman"/>
                <w:b/>
                <w:lang w:eastAsia="lv-LV"/>
              </w:rPr>
              <w:t>Finanšu ministrijas 26.05.2020. atzinuma 2.iebildums:</w:t>
            </w:r>
          </w:p>
          <w:p w14:paraId="760A3532" w14:textId="4796D176" w:rsidR="000417C2" w:rsidRPr="00C16436" w:rsidRDefault="000417C2" w:rsidP="00AC075A">
            <w:pPr>
              <w:spacing w:after="0" w:line="240" w:lineRule="auto"/>
              <w:jc w:val="both"/>
              <w:rPr>
                <w:rFonts w:ascii="Times New Roman" w:eastAsia="Times New Roman" w:hAnsi="Times New Roman" w:cs="Times New Roman"/>
                <w:bCs/>
                <w:lang w:eastAsia="lv-LV"/>
              </w:rPr>
            </w:pPr>
            <w:r w:rsidRPr="00B137AA">
              <w:rPr>
                <w:rFonts w:ascii="Times New Roman" w:eastAsia="Times New Roman" w:hAnsi="Times New Roman" w:cs="Times New Roman"/>
                <w:bCs/>
                <w:lang w:eastAsia="lv-LV"/>
              </w:rPr>
              <w:t>“2. Noteikumu projekts paredz, ka pieteikties programmas īstenošanai būs iespēja jebkurai kredītiestādei, kas ir tiesīga sniegt kreditēšanas pakalpojumus Latvijā. Lūdzam anotācijā sniegt skaidrojumu, kā tiks nodrošināts, ka netiek piešķirtas selektīvas priekšrocības kredītiestādēm attiecībā pret citiem tirgus dalībniekiem, kas var sniegt patēriņa kredītus privātpersonām mājas energoefektivitātes nodrošināšanai, taču nekvalificējas kā kredītiestādes</w:t>
            </w:r>
            <w:r w:rsidRPr="00C16436">
              <w:rPr>
                <w:rFonts w:ascii="Times New Roman" w:eastAsia="Times New Roman" w:hAnsi="Times New Roman" w:cs="Times New Roman"/>
                <w:bCs/>
                <w:lang w:eastAsia="lv-LV"/>
              </w:rPr>
              <w:t>.”</w:t>
            </w:r>
          </w:p>
        </w:tc>
        <w:tc>
          <w:tcPr>
            <w:tcW w:w="836" w:type="pct"/>
            <w:gridSpan w:val="2"/>
            <w:tcBorders>
              <w:top w:val="single" w:sz="6" w:space="0" w:color="000000"/>
              <w:left w:val="single" w:sz="6" w:space="0" w:color="000000"/>
              <w:bottom w:val="single" w:sz="6" w:space="0" w:color="000000"/>
              <w:right w:val="single" w:sz="6" w:space="0" w:color="000000"/>
            </w:tcBorders>
          </w:tcPr>
          <w:p w14:paraId="37F5C2B6" w14:textId="33438CC2" w:rsidR="000417C2" w:rsidRDefault="00C16436" w:rsidP="00A001C8">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Ņ</w:t>
            </w:r>
            <w:r w:rsidR="007C360F">
              <w:rPr>
                <w:rFonts w:ascii="Times New Roman" w:eastAsia="Times New Roman" w:hAnsi="Times New Roman" w:cs="Times New Roman"/>
                <w:b/>
                <w:lang w:eastAsia="lv-LV"/>
              </w:rPr>
              <w:t>emts vērā</w:t>
            </w:r>
          </w:p>
          <w:p w14:paraId="23E0F35B" w14:textId="02632A84" w:rsidR="007C360F" w:rsidRDefault="007C360F" w:rsidP="007C360F">
            <w:pPr>
              <w:spacing w:after="0" w:line="240" w:lineRule="auto"/>
              <w:jc w:val="both"/>
              <w:rPr>
                <w:rFonts w:ascii="Times New Roman" w:eastAsia="Times New Roman" w:hAnsi="Times New Roman" w:cs="Times New Roman"/>
                <w:bCs/>
                <w:lang w:eastAsia="lv-LV"/>
              </w:rPr>
            </w:pPr>
            <w:r w:rsidRPr="007C360F">
              <w:rPr>
                <w:rFonts w:ascii="Times New Roman" w:eastAsia="Times New Roman" w:hAnsi="Times New Roman" w:cs="Times New Roman"/>
                <w:bCs/>
                <w:lang w:eastAsia="lv-LV"/>
              </w:rPr>
              <w:t xml:space="preserve">Skaidrojam, ka arī citās </w:t>
            </w:r>
            <w:proofErr w:type="spellStart"/>
            <w:r w:rsidRPr="007C360F">
              <w:rPr>
                <w:rFonts w:ascii="Times New Roman" w:eastAsia="Times New Roman" w:hAnsi="Times New Roman" w:cs="Times New Roman"/>
                <w:bCs/>
                <w:lang w:eastAsia="lv-LV"/>
              </w:rPr>
              <w:t>Altum</w:t>
            </w:r>
            <w:proofErr w:type="spellEnd"/>
            <w:r w:rsidRPr="007C360F">
              <w:rPr>
                <w:rFonts w:ascii="Times New Roman" w:eastAsia="Times New Roman" w:hAnsi="Times New Roman" w:cs="Times New Roman"/>
                <w:bCs/>
                <w:lang w:eastAsia="lv-LV"/>
              </w:rPr>
              <w:t xml:space="preserve"> </w:t>
            </w:r>
            <w:proofErr w:type="spellStart"/>
            <w:r w:rsidRPr="007C360F">
              <w:rPr>
                <w:rFonts w:ascii="Times New Roman" w:eastAsia="Times New Roman" w:hAnsi="Times New Roman" w:cs="Times New Roman"/>
                <w:bCs/>
                <w:lang w:eastAsia="lv-LV"/>
              </w:rPr>
              <w:t>adminstrētajās</w:t>
            </w:r>
            <w:proofErr w:type="spellEnd"/>
            <w:r w:rsidRPr="007C360F">
              <w:rPr>
                <w:rFonts w:ascii="Times New Roman" w:eastAsia="Times New Roman" w:hAnsi="Times New Roman" w:cs="Times New Roman"/>
                <w:bCs/>
                <w:lang w:eastAsia="lv-LV"/>
              </w:rPr>
              <w:t xml:space="preserve"> garantiju programm</w:t>
            </w:r>
            <w:r w:rsidR="00245FF2">
              <w:rPr>
                <w:rFonts w:ascii="Times New Roman" w:eastAsia="Times New Roman" w:hAnsi="Times New Roman" w:cs="Times New Roman"/>
                <w:bCs/>
                <w:lang w:eastAsia="lv-LV"/>
              </w:rPr>
              <w:t>ās</w:t>
            </w:r>
            <w:r w:rsidRPr="007C360F">
              <w:rPr>
                <w:rFonts w:ascii="Times New Roman" w:eastAsia="Times New Roman" w:hAnsi="Times New Roman" w:cs="Times New Roman"/>
                <w:bCs/>
                <w:lang w:eastAsia="lv-LV"/>
              </w:rPr>
              <w:t xml:space="preserve"> pi</w:t>
            </w:r>
            <w:r w:rsidR="00245FF2">
              <w:rPr>
                <w:rFonts w:ascii="Times New Roman" w:eastAsia="Times New Roman" w:hAnsi="Times New Roman" w:cs="Times New Roman"/>
                <w:bCs/>
                <w:lang w:eastAsia="lv-LV"/>
              </w:rPr>
              <w:t>edalās</w:t>
            </w:r>
            <w:r>
              <w:rPr>
                <w:rFonts w:ascii="Times New Roman" w:eastAsia="Times New Roman" w:hAnsi="Times New Roman" w:cs="Times New Roman"/>
                <w:bCs/>
                <w:lang w:eastAsia="lv-LV"/>
              </w:rPr>
              <w:t xml:space="preserve"> </w:t>
            </w:r>
            <w:r w:rsidRPr="007C360F">
              <w:rPr>
                <w:rFonts w:ascii="Times New Roman" w:eastAsia="Times New Roman" w:hAnsi="Times New Roman" w:cs="Times New Roman"/>
                <w:bCs/>
                <w:lang w:eastAsia="lv-LV"/>
              </w:rPr>
              <w:t>tikai kredītiestādes</w:t>
            </w:r>
            <w:r>
              <w:rPr>
                <w:rFonts w:ascii="Times New Roman" w:eastAsia="Times New Roman" w:hAnsi="Times New Roman" w:cs="Times New Roman"/>
                <w:bCs/>
                <w:lang w:eastAsia="lv-LV"/>
              </w:rPr>
              <w:t xml:space="preserve"> – finanšu institūcijas, kuru darbība ir uzraudzīta un </w:t>
            </w:r>
            <w:r w:rsidR="00245FF2">
              <w:rPr>
                <w:rFonts w:ascii="Times New Roman" w:eastAsia="Times New Roman" w:hAnsi="Times New Roman" w:cs="Times New Roman"/>
                <w:bCs/>
                <w:lang w:eastAsia="lv-LV"/>
              </w:rPr>
              <w:t xml:space="preserve">spēj nodrošināt kvalitatīvu programmas ieviešanu. Ņemot vērā augstāk minēto Ekonomikas ministrijas ieskatā anotācijā nav jāskaidro </w:t>
            </w:r>
            <w:proofErr w:type="spellStart"/>
            <w:r w:rsidR="00245FF2">
              <w:rPr>
                <w:rFonts w:ascii="Times New Roman" w:eastAsia="Times New Roman" w:hAnsi="Times New Roman" w:cs="Times New Roman"/>
                <w:bCs/>
                <w:lang w:eastAsia="lv-LV"/>
              </w:rPr>
              <w:t>izvērtējums</w:t>
            </w:r>
            <w:proofErr w:type="spellEnd"/>
            <w:r w:rsidR="00245FF2">
              <w:rPr>
                <w:rFonts w:ascii="Times New Roman" w:eastAsia="Times New Roman" w:hAnsi="Times New Roman" w:cs="Times New Roman"/>
                <w:bCs/>
                <w:lang w:eastAsia="lv-LV"/>
              </w:rPr>
              <w:t xml:space="preserve">, kas ir attiecināms uz </w:t>
            </w:r>
            <w:proofErr w:type="spellStart"/>
            <w:r w:rsidR="00245FF2">
              <w:rPr>
                <w:rFonts w:ascii="Times New Roman" w:eastAsia="Times New Roman" w:hAnsi="Times New Roman" w:cs="Times New Roman"/>
                <w:bCs/>
                <w:lang w:eastAsia="lv-LV"/>
              </w:rPr>
              <w:t>Altum</w:t>
            </w:r>
            <w:proofErr w:type="spellEnd"/>
            <w:r w:rsidR="00245FF2">
              <w:rPr>
                <w:rFonts w:ascii="Times New Roman" w:eastAsia="Times New Roman" w:hAnsi="Times New Roman" w:cs="Times New Roman"/>
                <w:bCs/>
                <w:lang w:eastAsia="lv-LV"/>
              </w:rPr>
              <w:t xml:space="preserve"> darbības principiem garantiju sniegšanā kopumā.</w:t>
            </w:r>
          </w:p>
          <w:p w14:paraId="00A7AC30" w14:textId="2D3809FD" w:rsidR="007C360F" w:rsidRPr="007C360F" w:rsidRDefault="007C360F" w:rsidP="007C360F">
            <w:pPr>
              <w:spacing w:after="0" w:line="240" w:lineRule="auto"/>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 xml:space="preserve">Papildus skaidrojam, ka aizdevumi energoefektivitātes </w:t>
            </w:r>
            <w:proofErr w:type="spellStart"/>
            <w:r>
              <w:rPr>
                <w:rFonts w:ascii="Times New Roman" w:eastAsia="Times New Roman" w:hAnsi="Times New Roman" w:cs="Times New Roman"/>
                <w:bCs/>
                <w:lang w:eastAsia="lv-LV"/>
              </w:rPr>
              <w:t>paaugstināšnai</w:t>
            </w:r>
            <w:proofErr w:type="spellEnd"/>
            <w:r>
              <w:rPr>
                <w:rFonts w:ascii="Times New Roman" w:eastAsia="Times New Roman" w:hAnsi="Times New Roman" w:cs="Times New Roman"/>
                <w:bCs/>
                <w:lang w:eastAsia="lv-LV"/>
              </w:rPr>
              <w:t xml:space="preserve"> nav kvalificējami kā patēriņa kredīti. Šie aizdevumi ir pielīdzināmi hipotekārajiem </w:t>
            </w:r>
            <w:r>
              <w:rPr>
                <w:rFonts w:ascii="Times New Roman" w:eastAsia="Times New Roman" w:hAnsi="Times New Roman" w:cs="Times New Roman"/>
                <w:bCs/>
                <w:lang w:eastAsia="lv-LV"/>
              </w:rPr>
              <w:lastRenderedPageBreak/>
              <w:t>kredītiem</w:t>
            </w:r>
            <w:r w:rsidR="00245FF2">
              <w:rPr>
                <w:rFonts w:ascii="Times New Roman" w:eastAsia="Times New Roman" w:hAnsi="Times New Roman" w:cs="Times New Roman"/>
                <w:bCs/>
                <w:lang w:eastAsia="lv-LV"/>
              </w:rPr>
              <w:t>, kuriem nepieciešamas zemākas aizdevumu likmes, lai motivētu dzīvojamo ēku īpašniekus īstenot energoefektivitātes pasākumus.</w:t>
            </w:r>
          </w:p>
        </w:tc>
        <w:tc>
          <w:tcPr>
            <w:tcW w:w="946" w:type="pct"/>
            <w:tcBorders>
              <w:top w:val="single" w:sz="4" w:space="0" w:color="auto"/>
              <w:left w:val="single" w:sz="4" w:space="0" w:color="auto"/>
              <w:bottom w:val="single" w:sz="4" w:space="0" w:color="auto"/>
              <w:right w:val="single" w:sz="4" w:space="0" w:color="auto"/>
            </w:tcBorders>
          </w:tcPr>
          <w:p w14:paraId="67D5E831" w14:textId="77777777" w:rsidR="000417C2" w:rsidRDefault="00C16436" w:rsidP="00AC075A">
            <w:p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lastRenderedPageBreak/>
              <w:t>Noteikumu projekts papildināts ar 13.punktu šādā redakcijā:</w:t>
            </w:r>
          </w:p>
          <w:p w14:paraId="3B856C01" w14:textId="17EDC1A3" w:rsidR="00C16436" w:rsidRPr="00B137AA" w:rsidRDefault="00C16436" w:rsidP="00C16436">
            <w:pPr>
              <w:spacing w:after="0" w:line="240" w:lineRule="auto"/>
              <w:jc w:val="both"/>
              <w:rPr>
                <w:rFonts w:ascii="Times New Roman" w:eastAsia="Times New Roman" w:hAnsi="Times New Roman" w:cs="Times New Roman"/>
                <w:lang w:eastAsia="lv-LV"/>
              </w:rPr>
            </w:pPr>
            <w:r>
              <w:rPr>
                <w:rFonts w:ascii="Times New Roman" w:hAnsi="Times New Roman" w:cs="Times New Roman"/>
                <w:color w:val="414142"/>
                <w:shd w:val="clear" w:color="auto" w:fill="FFFFFF"/>
              </w:rPr>
              <w:t xml:space="preserve">“13. </w:t>
            </w:r>
            <w:r w:rsidRPr="00B137AA">
              <w:rPr>
                <w:rFonts w:ascii="Times New Roman" w:hAnsi="Times New Roman" w:cs="Times New Roman"/>
                <w:color w:val="414142"/>
                <w:shd w:val="clear" w:color="auto" w:fill="FFFFFF"/>
              </w:rPr>
              <w:t>Līgumā ar kredītiestādi sabiedrība "</w:t>
            </w:r>
            <w:proofErr w:type="spellStart"/>
            <w:r w:rsidRPr="00B137AA">
              <w:rPr>
                <w:rFonts w:ascii="Times New Roman" w:hAnsi="Times New Roman" w:cs="Times New Roman"/>
                <w:color w:val="414142"/>
                <w:shd w:val="clear" w:color="auto" w:fill="FFFFFF"/>
              </w:rPr>
              <w:t>Altum</w:t>
            </w:r>
            <w:proofErr w:type="spellEnd"/>
            <w:r w:rsidRPr="00B137AA">
              <w:rPr>
                <w:rFonts w:ascii="Times New Roman" w:hAnsi="Times New Roman" w:cs="Times New Roman"/>
                <w:color w:val="414142"/>
                <w:shd w:val="clear" w:color="auto" w:fill="FFFFFF"/>
              </w:rPr>
              <w:t>" paredz, ka aizdevumu portfeli kredītiestāde veido atbilstoši līdzšinējai kredītpolitikai, visas finansiālās priekšrocības nododot kredītu ņēmējiem, un nodrošina iespēju sabiedrībai "</w:t>
            </w:r>
            <w:proofErr w:type="spellStart"/>
            <w:r w:rsidRPr="00B137AA">
              <w:rPr>
                <w:rFonts w:ascii="Times New Roman" w:hAnsi="Times New Roman" w:cs="Times New Roman"/>
                <w:color w:val="414142"/>
                <w:shd w:val="clear" w:color="auto" w:fill="FFFFFF"/>
              </w:rPr>
              <w:t>Altum</w:t>
            </w:r>
            <w:proofErr w:type="spellEnd"/>
            <w:r w:rsidRPr="00B137AA">
              <w:rPr>
                <w:rFonts w:ascii="Times New Roman" w:hAnsi="Times New Roman" w:cs="Times New Roman"/>
                <w:color w:val="414142"/>
                <w:shd w:val="clear" w:color="auto" w:fill="FFFFFF"/>
              </w:rPr>
              <w:t>" veikt pārbaudes, kā arī sniedz sabiedrībai "</w:t>
            </w:r>
            <w:proofErr w:type="spellStart"/>
            <w:r w:rsidRPr="00B137AA">
              <w:rPr>
                <w:rFonts w:ascii="Times New Roman" w:hAnsi="Times New Roman" w:cs="Times New Roman"/>
                <w:color w:val="414142"/>
                <w:shd w:val="clear" w:color="auto" w:fill="FFFFFF"/>
              </w:rPr>
              <w:t>Altum</w:t>
            </w:r>
            <w:proofErr w:type="spellEnd"/>
            <w:r w:rsidRPr="00B137AA">
              <w:rPr>
                <w:rFonts w:ascii="Times New Roman" w:hAnsi="Times New Roman" w:cs="Times New Roman"/>
                <w:color w:val="414142"/>
                <w:shd w:val="clear" w:color="auto" w:fill="FFFFFF"/>
              </w:rPr>
              <w:t>" pārskatus par programmas īstenošanu. Minētie nosacījumi paliek spēkā visā finanšu pakalpojuma sniegšanas periodā.”</w:t>
            </w:r>
          </w:p>
        </w:tc>
      </w:tr>
      <w:tr w:rsidR="000417C2" w:rsidRPr="00245FF2" w14:paraId="189CF6FE" w14:textId="77777777" w:rsidTr="004A52F8">
        <w:trPr>
          <w:gridAfter w:val="2"/>
          <w:wAfter w:w="1180" w:type="pct"/>
          <w:trHeight w:val="140"/>
        </w:trPr>
        <w:tc>
          <w:tcPr>
            <w:tcW w:w="217" w:type="pct"/>
            <w:tcBorders>
              <w:left w:val="single" w:sz="6" w:space="0" w:color="000000"/>
              <w:bottom w:val="single" w:sz="6" w:space="0" w:color="000000"/>
              <w:right w:val="single" w:sz="6" w:space="0" w:color="000000"/>
            </w:tcBorders>
          </w:tcPr>
          <w:p w14:paraId="4BE2F2E7" w14:textId="77777777" w:rsidR="000417C2" w:rsidRPr="000417C2" w:rsidRDefault="000417C2" w:rsidP="009C59EC">
            <w:pPr>
              <w:pStyle w:val="ListParagraph"/>
              <w:numPr>
                <w:ilvl w:val="0"/>
                <w:numId w:val="1"/>
              </w:numPr>
              <w:spacing w:after="0" w:line="240" w:lineRule="auto"/>
              <w:contextualSpacing w:val="0"/>
              <w:jc w:val="center"/>
              <w:rPr>
                <w:rFonts w:ascii="Times New Roman" w:eastAsia="Times New Roman" w:hAnsi="Times New Roman" w:cs="Times New Roman"/>
                <w:lang w:eastAsia="lv-LV"/>
              </w:rPr>
            </w:pPr>
          </w:p>
        </w:tc>
        <w:tc>
          <w:tcPr>
            <w:tcW w:w="728" w:type="pct"/>
            <w:vMerge/>
            <w:tcBorders>
              <w:left w:val="single" w:sz="6" w:space="0" w:color="000000"/>
              <w:right w:val="single" w:sz="6" w:space="0" w:color="000000"/>
            </w:tcBorders>
          </w:tcPr>
          <w:p w14:paraId="5C8D5CA9" w14:textId="271FB2EE" w:rsidR="000417C2" w:rsidRPr="000417C2" w:rsidRDefault="000417C2" w:rsidP="00907110">
            <w:pPr>
              <w:rPr>
                <w:rFonts w:ascii="Times New Roman" w:eastAsia="Times New Roman" w:hAnsi="Times New Roman" w:cs="Times New Roman"/>
                <w:bCs/>
                <w:lang w:eastAsia="lv-LV"/>
              </w:rPr>
            </w:pPr>
          </w:p>
        </w:tc>
        <w:tc>
          <w:tcPr>
            <w:tcW w:w="1093" w:type="pct"/>
            <w:tcBorders>
              <w:top w:val="single" w:sz="6" w:space="0" w:color="000000"/>
              <w:left w:val="single" w:sz="6" w:space="0" w:color="000000"/>
              <w:bottom w:val="single" w:sz="6" w:space="0" w:color="000000"/>
              <w:right w:val="single" w:sz="6" w:space="0" w:color="000000"/>
            </w:tcBorders>
          </w:tcPr>
          <w:p w14:paraId="3EAA5F3D" w14:textId="3165EE33" w:rsidR="000417C2" w:rsidRPr="000417C2" w:rsidRDefault="000417C2" w:rsidP="000417C2">
            <w:pPr>
              <w:spacing w:after="0" w:line="240" w:lineRule="auto"/>
              <w:jc w:val="both"/>
              <w:rPr>
                <w:rFonts w:ascii="Times New Roman" w:hAnsi="Times New Roman" w:cs="Times New Roman"/>
                <w:b/>
                <w:bCs/>
              </w:rPr>
            </w:pPr>
            <w:r w:rsidRPr="000417C2">
              <w:rPr>
                <w:rFonts w:ascii="Times New Roman" w:hAnsi="Times New Roman" w:cs="Times New Roman"/>
                <w:b/>
                <w:bCs/>
              </w:rPr>
              <w:t>Finanšu ministrija</w:t>
            </w:r>
            <w:r w:rsidRPr="000417C2">
              <w:rPr>
                <w:rFonts w:ascii="Times New Roman" w:eastAsia="Times New Roman" w:hAnsi="Times New Roman" w:cs="Times New Roman"/>
                <w:b/>
                <w:lang w:eastAsia="lv-LV"/>
              </w:rPr>
              <w:t>s 26.05.2020. atzinuma 3.iebildums:</w:t>
            </w:r>
          </w:p>
          <w:p w14:paraId="3628A9F2" w14:textId="14C47175" w:rsidR="000417C2" w:rsidRPr="000417C2" w:rsidRDefault="000417C2" w:rsidP="008232D1">
            <w:pPr>
              <w:spacing w:after="0" w:line="240" w:lineRule="auto"/>
              <w:jc w:val="both"/>
              <w:rPr>
                <w:rFonts w:ascii="Times New Roman" w:hAnsi="Times New Roman" w:cs="Times New Roman"/>
              </w:rPr>
            </w:pPr>
            <w:r w:rsidRPr="000417C2">
              <w:rPr>
                <w:rFonts w:ascii="Times New Roman" w:hAnsi="Times New Roman" w:cs="Times New Roman"/>
              </w:rPr>
              <w:t>“3. Lūdzam papildināt anotāciju ar informāciju, ka programma nebūs uzskatāma par valsts atbalstu kredītu ņēmējiem, jo sabiedrība “</w:t>
            </w:r>
            <w:proofErr w:type="spellStart"/>
            <w:r w:rsidRPr="000417C2">
              <w:rPr>
                <w:rFonts w:ascii="Times New Roman" w:hAnsi="Times New Roman" w:cs="Times New Roman"/>
              </w:rPr>
              <w:t>Altum</w:t>
            </w:r>
            <w:proofErr w:type="spellEnd"/>
            <w:r w:rsidRPr="000417C2">
              <w:rPr>
                <w:rFonts w:ascii="Times New Roman" w:hAnsi="Times New Roman" w:cs="Times New Roman"/>
              </w:rPr>
              <w:t>” piešķir garantiju tikai tādiem kredītu ņēmējiem - fiziskām personām, kuru dzīvojamā mājā, kurā tiks veikti energoefektivitātes pasākumu, netiek veikta saimnieciskā darbība.”</w:t>
            </w:r>
          </w:p>
        </w:tc>
        <w:tc>
          <w:tcPr>
            <w:tcW w:w="836" w:type="pct"/>
            <w:gridSpan w:val="2"/>
            <w:tcBorders>
              <w:top w:val="single" w:sz="6" w:space="0" w:color="000000"/>
              <w:left w:val="single" w:sz="6" w:space="0" w:color="000000"/>
              <w:bottom w:val="single" w:sz="6" w:space="0" w:color="000000"/>
              <w:right w:val="single" w:sz="6" w:space="0" w:color="000000"/>
            </w:tcBorders>
          </w:tcPr>
          <w:p w14:paraId="510C67A1" w14:textId="60CA256B" w:rsidR="000417C2" w:rsidRPr="00245FF2" w:rsidRDefault="00245FF2" w:rsidP="002F4F3A">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Ņ</w:t>
            </w:r>
            <w:r w:rsidR="000417C2" w:rsidRPr="00245FF2">
              <w:rPr>
                <w:rFonts w:ascii="Times New Roman" w:eastAsia="Times New Roman" w:hAnsi="Times New Roman" w:cs="Times New Roman"/>
                <w:b/>
                <w:bCs/>
                <w:lang w:eastAsia="lv-LV"/>
              </w:rPr>
              <w:t>emts vērā</w:t>
            </w:r>
          </w:p>
        </w:tc>
        <w:tc>
          <w:tcPr>
            <w:tcW w:w="946" w:type="pct"/>
            <w:tcBorders>
              <w:top w:val="single" w:sz="4" w:space="0" w:color="auto"/>
              <w:left w:val="single" w:sz="4" w:space="0" w:color="auto"/>
              <w:bottom w:val="single" w:sz="4" w:space="0" w:color="auto"/>
              <w:right w:val="single" w:sz="4" w:space="0" w:color="auto"/>
            </w:tcBorders>
          </w:tcPr>
          <w:p w14:paraId="635DC90F" w14:textId="61E92E72" w:rsidR="000417C2" w:rsidRPr="000417C2" w:rsidRDefault="000417C2" w:rsidP="009C68AE">
            <w:pPr>
              <w:spacing w:after="0" w:line="240" w:lineRule="auto"/>
              <w:jc w:val="both"/>
              <w:rPr>
                <w:rFonts w:ascii="Times New Roman" w:eastAsia="Times New Roman" w:hAnsi="Times New Roman" w:cs="Times New Roman"/>
                <w:lang w:eastAsia="lv-LV"/>
              </w:rPr>
            </w:pPr>
            <w:r w:rsidRPr="000417C2">
              <w:rPr>
                <w:rFonts w:ascii="Times New Roman" w:eastAsia="Times New Roman" w:hAnsi="Times New Roman" w:cs="Times New Roman"/>
                <w:lang w:eastAsia="lv-LV"/>
              </w:rPr>
              <w:t>Papildināta anotācija</w:t>
            </w:r>
          </w:p>
          <w:p w14:paraId="63F06699" w14:textId="189422C8" w:rsidR="000417C2" w:rsidRPr="000417C2" w:rsidRDefault="000417C2" w:rsidP="00382230">
            <w:pPr>
              <w:spacing w:after="0" w:line="240" w:lineRule="auto"/>
              <w:jc w:val="both"/>
              <w:rPr>
                <w:rFonts w:ascii="Times New Roman" w:eastAsia="Times New Roman" w:hAnsi="Times New Roman" w:cs="Times New Roman"/>
                <w:lang w:eastAsia="lv-LV"/>
              </w:rPr>
            </w:pPr>
          </w:p>
        </w:tc>
      </w:tr>
      <w:tr w:rsidR="000417C2" w:rsidRPr="00245FF2" w14:paraId="40B1A771" w14:textId="77777777" w:rsidTr="004A52F8">
        <w:trPr>
          <w:gridAfter w:val="2"/>
          <w:wAfter w:w="1180" w:type="pct"/>
          <w:trHeight w:val="140"/>
        </w:trPr>
        <w:tc>
          <w:tcPr>
            <w:tcW w:w="217" w:type="pct"/>
            <w:tcBorders>
              <w:left w:val="single" w:sz="6" w:space="0" w:color="000000"/>
              <w:bottom w:val="single" w:sz="6" w:space="0" w:color="000000"/>
              <w:right w:val="single" w:sz="6" w:space="0" w:color="000000"/>
            </w:tcBorders>
          </w:tcPr>
          <w:p w14:paraId="111013D9" w14:textId="77777777" w:rsidR="000417C2" w:rsidRPr="000417C2" w:rsidRDefault="000417C2" w:rsidP="009C59EC">
            <w:pPr>
              <w:pStyle w:val="ListParagraph"/>
              <w:numPr>
                <w:ilvl w:val="0"/>
                <w:numId w:val="1"/>
              </w:numPr>
              <w:spacing w:after="0" w:line="240" w:lineRule="auto"/>
              <w:contextualSpacing w:val="0"/>
              <w:jc w:val="center"/>
              <w:rPr>
                <w:rFonts w:ascii="Times New Roman" w:eastAsia="Times New Roman" w:hAnsi="Times New Roman" w:cs="Times New Roman"/>
                <w:lang w:eastAsia="lv-LV"/>
              </w:rPr>
            </w:pPr>
          </w:p>
        </w:tc>
        <w:tc>
          <w:tcPr>
            <w:tcW w:w="728" w:type="pct"/>
            <w:vMerge/>
            <w:tcBorders>
              <w:left w:val="single" w:sz="6" w:space="0" w:color="000000"/>
              <w:right w:val="single" w:sz="6" w:space="0" w:color="000000"/>
            </w:tcBorders>
          </w:tcPr>
          <w:p w14:paraId="30D62408" w14:textId="3AACD3F3" w:rsidR="000417C2" w:rsidRPr="000417C2" w:rsidRDefault="000417C2" w:rsidP="00907110">
            <w:pPr>
              <w:rPr>
                <w:rFonts w:ascii="Times New Roman" w:eastAsia="Times New Roman" w:hAnsi="Times New Roman" w:cs="Times New Roman"/>
                <w:b/>
                <w:lang w:eastAsia="lv-LV"/>
              </w:rPr>
            </w:pPr>
          </w:p>
        </w:tc>
        <w:tc>
          <w:tcPr>
            <w:tcW w:w="1093" w:type="pct"/>
            <w:tcBorders>
              <w:top w:val="single" w:sz="6" w:space="0" w:color="000000"/>
              <w:left w:val="single" w:sz="6" w:space="0" w:color="000000"/>
              <w:bottom w:val="single" w:sz="6" w:space="0" w:color="000000"/>
              <w:right w:val="single" w:sz="6" w:space="0" w:color="000000"/>
            </w:tcBorders>
          </w:tcPr>
          <w:p w14:paraId="7C4E1C2E" w14:textId="173E50C1" w:rsidR="000417C2" w:rsidRPr="006D242F" w:rsidRDefault="000417C2" w:rsidP="000417C2">
            <w:pPr>
              <w:spacing w:after="0" w:line="240" w:lineRule="auto"/>
              <w:jc w:val="both"/>
              <w:rPr>
                <w:rFonts w:ascii="Times New Roman" w:hAnsi="Times New Roman" w:cs="Times New Roman"/>
                <w:b/>
                <w:bCs/>
              </w:rPr>
            </w:pPr>
            <w:r w:rsidRPr="006D242F">
              <w:rPr>
                <w:rFonts w:ascii="Times New Roman" w:hAnsi="Times New Roman" w:cs="Times New Roman"/>
                <w:b/>
                <w:bCs/>
              </w:rPr>
              <w:t>Finanšu ministrija</w:t>
            </w:r>
            <w:r w:rsidRPr="006D242F">
              <w:rPr>
                <w:rFonts w:ascii="Times New Roman" w:eastAsia="Times New Roman" w:hAnsi="Times New Roman" w:cs="Times New Roman"/>
                <w:b/>
                <w:lang w:eastAsia="lv-LV"/>
              </w:rPr>
              <w:t>s 26.05.2020. atzinuma 5.iebildums:</w:t>
            </w:r>
          </w:p>
          <w:p w14:paraId="2231033A" w14:textId="6433450D" w:rsidR="000417C2" w:rsidRPr="006D242F" w:rsidRDefault="000417C2" w:rsidP="008232D1">
            <w:pPr>
              <w:spacing w:after="0" w:line="240" w:lineRule="auto"/>
              <w:jc w:val="both"/>
              <w:rPr>
                <w:rFonts w:ascii="Times New Roman" w:eastAsia="Times New Roman" w:hAnsi="Times New Roman" w:cs="Times New Roman"/>
              </w:rPr>
            </w:pPr>
            <w:r w:rsidRPr="006D242F">
              <w:rPr>
                <w:rFonts w:ascii="Times New Roman" w:eastAsia="Times New Roman" w:hAnsi="Times New Roman" w:cs="Times New Roman"/>
              </w:rPr>
              <w:t xml:space="preserve">“5. Anotācijas I sadaļas 2.punkta apakšpunktā “Programmas finansējums” norādīts, ka “[..] </w:t>
            </w:r>
            <w:bookmarkStart w:id="16" w:name="_Hlk41558398"/>
            <w:r w:rsidRPr="006D242F">
              <w:rPr>
                <w:rFonts w:ascii="Times New Roman" w:eastAsia="Times New Roman" w:hAnsi="Times New Roman" w:cs="Times New Roman"/>
              </w:rPr>
              <w:t xml:space="preserve">kredītu garantiju un aizdevumu finanšu instrumentu nodrošināšanai pieejamais finansējums 2 milj. </w:t>
            </w:r>
            <w:proofErr w:type="spellStart"/>
            <w:r w:rsidRPr="006D242F">
              <w:rPr>
                <w:rFonts w:ascii="Times New Roman" w:eastAsia="Times New Roman" w:hAnsi="Times New Roman" w:cs="Times New Roman"/>
                <w:i/>
              </w:rPr>
              <w:t>euro</w:t>
            </w:r>
            <w:proofErr w:type="spellEnd"/>
            <w:r w:rsidRPr="006D242F">
              <w:rPr>
                <w:rFonts w:ascii="Times New Roman" w:eastAsia="Times New Roman" w:hAnsi="Times New Roman" w:cs="Times New Roman"/>
              </w:rPr>
              <w:t xml:space="preserve"> apmērā no </w:t>
            </w:r>
            <w:proofErr w:type="spellStart"/>
            <w:r w:rsidRPr="006D242F">
              <w:rPr>
                <w:rFonts w:ascii="Times New Roman" w:eastAsia="Times New Roman" w:hAnsi="Times New Roman" w:cs="Times New Roman"/>
              </w:rPr>
              <w:t>Altum</w:t>
            </w:r>
            <w:proofErr w:type="spellEnd"/>
            <w:r w:rsidRPr="006D242F">
              <w:rPr>
                <w:rFonts w:ascii="Times New Roman" w:eastAsia="Times New Roman" w:hAnsi="Times New Roman" w:cs="Times New Roman"/>
              </w:rPr>
              <w:t xml:space="preserve"> rezerves kapitāla, kas izveidots no 2019.gada peļņas.” Lūdzam izvērtēt minēto priekšlikumu par izmaiņām akciju sabiedrības “Attīstības finanšu institūcija </w:t>
            </w:r>
            <w:proofErr w:type="spellStart"/>
            <w:r w:rsidRPr="006D242F">
              <w:rPr>
                <w:rFonts w:ascii="Times New Roman" w:eastAsia="Times New Roman" w:hAnsi="Times New Roman" w:cs="Times New Roman"/>
              </w:rPr>
              <w:t>Altum</w:t>
            </w:r>
            <w:proofErr w:type="spellEnd"/>
            <w:r w:rsidRPr="006D242F">
              <w:rPr>
                <w:rFonts w:ascii="Times New Roman" w:eastAsia="Times New Roman" w:hAnsi="Times New Roman" w:cs="Times New Roman"/>
              </w:rPr>
              <w:t xml:space="preserve">” (turpmāk – </w:t>
            </w:r>
            <w:proofErr w:type="spellStart"/>
            <w:r w:rsidRPr="006D242F">
              <w:rPr>
                <w:rFonts w:ascii="Times New Roman" w:eastAsia="Times New Roman" w:hAnsi="Times New Roman" w:cs="Times New Roman"/>
              </w:rPr>
              <w:t>Altum</w:t>
            </w:r>
            <w:proofErr w:type="spellEnd"/>
            <w:r w:rsidRPr="006D242F">
              <w:rPr>
                <w:rFonts w:ascii="Times New Roman" w:eastAsia="Times New Roman" w:hAnsi="Times New Roman" w:cs="Times New Roman"/>
              </w:rPr>
              <w:t xml:space="preserve">) rezerves kapitālā atbilstoši Attīstības finanšu institūcijas likumā noteiktajam. Papildus lūdzam izvērtēt, vai minētā summa nav attiecināma uz citu </w:t>
            </w:r>
            <w:proofErr w:type="spellStart"/>
            <w:r w:rsidRPr="006D242F">
              <w:rPr>
                <w:rFonts w:ascii="Times New Roman" w:eastAsia="Times New Roman" w:hAnsi="Times New Roman" w:cs="Times New Roman"/>
              </w:rPr>
              <w:t>Altum</w:t>
            </w:r>
            <w:proofErr w:type="spellEnd"/>
            <w:r w:rsidRPr="006D242F">
              <w:rPr>
                <w:rFonts w:ascii="Times New Roman" w:eastAsia="Times New Roman" w:hAnsi="Times New Roman" w:cs="Times New Roman"/>
              </w:rPr>
              <w:t xml:space="preserve"> īstenoto programmu.</w:t>
            </w:r>
            <w:bookmarkEnd w:id="16"/>
            <w:r w:rsidRPr="006D242F">
              <w:rPr>
                <w:rFonts w:ascii="Times New Roman" w:eastAsia="Times New Roman" w:hAnsi="Times New Roman" w:cs="Times New Roman"/>
              </w:rPr>
              <w:t>”</w:t>
            </w:r>
          </w:p>
        </w:tc>
        <w:tc>
          <w:tcPr>
            <w:tcW w:w="836" w:type="pct"/>
            <w:gridSpan w:val="2"/>
            <w:tcBorders>
              <w:top w:val="single" w:sz="6" w:space="0" w:color="000000"/>
              <w:left w:val="single" w:sz="6" w:space="0" w:color="000000"/>
              <w:bottom w:val="single" w:sz="6" w:space="0" w:color="000000"/>
              <w:right w:val="single" w:sz="6" w:space="0" w:color="000000"/>
            </w:tcBorders>
          </w:tcPr>
          <w:p w14:paraId="6A4015D2" w14:textId="77777777" w:rsidR="000417C2" w:rsidRPr="000417C2" w:rsidRDefault="000417C2" w:rsidP="00382230">
            <w:pPr>
              <w:spacing w:after="0" w:line="240" w:lineRule="auto"/>
              <w:jc w:val="center"/>
              <w:rPr>
                <w:rFonts w:ascii="Times New Roman" w:eastAsia="Times New Roman" w:hAnsi="Times New Roman" w:cs="Times New Roman"/>
                <w:b/>
                <w:lang w:eastAsia="lv-LV"/>
              </w:rPr>
            </w:pPr>
            <w:r w:rsidRPr="000417C2">
              <w:rPr>
                <w:rFonts w:ascii="Times New Roman" w:eastAsia="Times New Roman" w:hAnsi="Times New Roman" w:cs="Times New Roman"/>
                <w:b/>
                <w:lang w:eastAsia="lv-LV"/>
              </w:rPr>
              <w:t>Ņemts vērā</w:t>
            </w:r>
          </w:p>
          <w:p w14:paraId="4D558403" w14:textId="55E3831C" w:rsidR="000417C2" w:rsidRPr="000417C2" w:rsidRDefault="000417C2" w:rsidP="00186C50">
            <w:pPr>
              <w:spacing w:after="0" w:line="240" w:lineRule="auto"/>
              <w:jc w:val="both"/>
              <w:rPr>
                <w:rFonts w:ascii="Times New Roman" w:eastAsia="Times New Roman" w:hAnsi="Times New Roman" w:cs="Times New Roman"/>
                <w:bCs/>
                <w:lang w:eastAsia="lv-LV"/>
              </w:rPr>
            </w:pPr>
            <w:r w:rsidRPr="000417C2">
              <w:rPr>
                <w:rFonts w:ascii="Times New Roman" w:eastAsia="Times New Roman" w:hAnsi="Times New Roman" w:cs="Times New Roman"/>
                <w:bCs/>
                <w:lang w:eastAsia="lv-LV"/>
              </w:rPr>
              <w:t xml:space="preserve">Izvērtēts atbilstoši Attīstības finanšu institūcijas likumā noteiktajam. </w:t>
            </w:r>
            <w:proofErr w:type="spellStart"/>
            <w:r w:rsidRPr="000417C2">
              <w:rPr>
                <w:rFonts w:ascii="Times New Roman" w:eastAsia="Times New Roman" w:hAnsi="Times New Roman" w:cs="Times New Roman"/>
                <w:bCs/>
                <w:lang w:eastAsia="lv-LV"/>
              </w:rPr>
              <w:t>Altum</w:t>
            </w:r>
            <w:proofErr w:type="spellEnd"/>
            <w:r w:rsidRPr="000417C2">
              <w:rPr>
                <w:rFonts w:ascii="Times New Roman" w:eastAsia="Times New Roman" w:hAnsi="Times New Roman" w:cs="Times New Roman"/>
                <w:bCs/>
                <w:lang w:eastAsia="lv-LV"/>
              </w:rPr>
              <w:t xml:space="preserve"> peļņa izmantojama atbilstoši Attīstības finanšu institūcijas likumā 15.panta otrajai daļai</w:t>
            </w:r>
            <w:r w:rsidR="00253F72">
              <w:rPr>
                <w:rFonts w:ascii="Times New Roman" w:eastAsia="Times New Roman" w:hAnsi="Times New Roman" w:cs="Times New Roman"/>
                <w:bCs/>
                <w:lang w:eastAsia="lv-LV"/>
              </w:rPr>
              <w:t>.</w:t>
            </w:r>
          </w:p>
        </w:tc>
        <w:tc>
          <w:tcPr>
            <w:tcW w:w="946" w:type="pct"/>
            <w:tcBorders>
              <w:top w:val="single" w:sz="4" w:space="0" w:color="auto"/>
              <w:left w:val="single" w:sz="4" w:space="0" w:color="auto"/>
              <w:right w:val="single" w:sz="4" w:space="0" w:color="auto"/>
            </w:tcBorders>
          </w:tcPr>
          <w:p w14:paraId="64B64CEA" w14:textId="2326E16A" w:rsidR="000417C2" w:rsidRPr="000417C2" w:rsidRDefault="000417C2" w:rsidP="000C3CDB">
            <w:pPr>
              <w:spacing w:after="0" w:line="240" w:lineRule="auto"/>
              <w:jc w:val="both"/>
              <w:rPr>
                <w:rFonts w:ascii="Times New Roman" w:eastAsia="Times New Roman" w:hAnsi="Times New Roman" w:cs="Times New Roman"/>
                <w:bCs/>
                <w:lang w:eastAsia="lv-LV"/>
              </w:rPr>
            </w:pPr>
            <w:r w:rsidRPr="000417C2">
              <w:rPr>
                <w:rFonts w:ascii="Times New Roman" w:eastAsia="Times New Roman" w:hAnsi="Times New Roman" w:cs="Times New Roman"/>
                <w:bCs/>
                <w:lang w:eastAsia="lv-LV"/>
              </w:rPr>
              <w:t>Papildināta anotācija</w:t>
            </w:r>
          </w:p>
        </w:tc>
      </w:tr>
      <w:tr w:rsidR="000417C2" w:rsidRPr="00245FF2" w14:paraId="4F505B76" w14:textId="77777777" w:rsidTr="004A52F8">
        <w:trPr>
          <w:gridAfter w:val="2"/>
          <w:wAfter w:w="1180" w:type="pct"/>
          <w:trHeight w:val="140"/>
        </w:trPr>
        <w:tc>
          <w:tcPr>
            <w:tcW w:w="217" w:type="pct"/>
            <w:tcBorders>
              <w:left w:val="single" w:sz="6" w:space="0" w:color="000000"/>
              <w:bottom w:val="single" w:sz="6" w:space="0" w:color="000000"/>
              <w:right w:val="single" w:sz="6" w:space="0" w:color="000000"/>
            </w:tcBorders>
          </w:tcPr>
          <w:p w14:paraId="6596AD89" w14:textId="77777777" w:rsidR="000417C2" w:rsidRPr="000417C2" w:rsidRDefault="000417C2" w:rsidP="009C59EC">
            <w:pPr>
              <w:pStyle w:val="ListParagraph"/>
              <w:numPr>
                <w:ilvl w:val="0"/>
                <w:numId w:val="1"/>
              </w:numPr>
              <w:spacing w:after="0" w:line="240" w:lineRule="auto"/>
              <w:contextualSpacing w:val="0"/>
              <w:jc w:val="center"/>
              <w:rPr>
                <w:rFonts w:ascii="Times New Roman" w:eastAsia="Times New Roman" w:hAnsi="Times New Roman" w:cs="Times New Roman"/>
                <w:lang w:eastAsia="lv-LV"/>
              </w:rPr>
            </w:pPr>
          </w:p>
        </w:tc>
        <w:tc>
          <w:tcPr>
            <w:tcW w:w="728" w:type="pct"/>
            <w:vMerge/>
            <w:tcBorders>
              <w:left w:val="single" w:sz="6" w:space="0" w:color="000000"/>
              <w:right w:val="single" w:sz="6" w:space="0" w:color="000000"/>
            </w:tcBorders>
          </w:tcPr>
          <w:p w14:paraId="608C5AFA" w14:textId="3578CE6C" w:rsidR="000417C2" w:rsidRPr="000417C2" w:rsidRDefault="000417C2" w:rsidP="00907110">
            <w:pPr>
              <w:rPr>
                <w:rFonts w:ascii="Times New Roman" w:eastAsia="Times New Roman" w:hAnsi="Times New Roman" w:cs="Times New Roman"/>
                <w:b/>
                <w:lang w:eastAsia="lv-LV"/>
              </w:rPr>
            </w:pPr>
          </w:p>
        </w:tc>
        <w:tc>
          <w:tcPr>
            <w:tcW w:w="1093" w:type="pct"/>
            <w:tcBorders>
              <w:top w:val="single" w:sz="6" w:space="0" w:color="000000"/>
              <w:left w:val="single" w:sz="6" w:space="0" w:color="000000"/>
              <w:bottom w:val="single" w:sz="6" w:space="0" w:color="000000"/>
              <w:right w:val="single" w:sz="6" w:space="0" w:color="000000"/>
            </w:tcBorders>
          </w:tcPr>
          <w:p w14:paraId="3A2A4505" w14:textId="112E7661" w:rsidR="000417C2" w:rsidRPr="00B137AA" w:rsidRDefault="000417C2" w:rsidP="000417C2">
            <w:pPr>
              <w:spacing w:after="0" w:line="240" w:lineRule="auto"/>
              <w:jc w:val="both"/>
              <w:rPr>
                <w:rFonts w:ascii="Times New Roman" w:hAnsi="Times New Roman" w:cs="Times New Roman"/>
                <w:b/>
                <w:bCs/>
              </w:rPr>
            </w:pPr>
            <w:r w:rsidRPr="00B137AA">
              <w:rPr>
                <w:rFonts w:ascii="Times New Roman" w:hAnsi="Times New Roman" w:cs="Times New Roman"/>
                <w:b/>
                <w:bCs/>
              </w:rPr>
              <w:t>Finanšu ministrija</w:t>
            </w:r>
            <w:r w:rsidRPr="00B137AA">
              <w:rPr>
                <w:rFonts w:ascii="Times New Roman" w:eastAsia="Times New Roman" w:hAnsi="Times New Roman" w:cs="Times New Roman"/>
                <w:b/>
                <w:lang w:eastAsia="lv-LV"/>
              </w:rPr>
              <w:t>s 26.05.2020. atzinuma 6.iebildums:</w:t>
            </w:r>
          </w:p>
          <w:p w14:paraId="038B0C7B" w14:textId="56058373" w:rsidR="000417C2" w:rsidRPr="006D242F" w:rsidRDefault="000417C2" w:rsidP="00482CB7">
            <w:pPr>
              <w:spacing w:after="0" w:line="240" w:lineRule="auto"/>
              <w:jc w:val="both"/>
              <w:rPr>
                <w:rFonts w:ascii="Times New Roman" w:eastAsia="Times New Roman" w:hAnsi="Times New Roman" w:cs="Times New Roman"/>
                <w:bCs/>
                <w:lang w:eastAsia="lv-LV"/>
              </w:rPr>
            </w:pPr>
            <w:r w:rsidRPr="00B137AA">
              <w:rPr>
                <w:rFonts w:ascii="Times New Roman" w:eastAsia="Times New Roman" w:hAnsi="Times New Roman" w:cs="Times New Roman"/>
                <w:bCs/>
                <w:lang w:eastAsia="lv-LV"/>
              </w:rPr>
              <w:t xml:space="preserve">“6. Lūdzam pievienot anotācijas pielikumu, kurā izvērtēta scenārijos balstīta turpmāka programmas ietekme, riski un sagaidāmie zaudējumi, finansiālais rezultāts un </w:t>
            </w:r>
            <w:r w:rsidRPr="00B137AA">
              <w:rPr>
                <w:rFonts w:ascii="Times New Roman" w:eastAsia="Times New Roman" w:hAnsi="Times New Roman" w:cs="Times New Roman"/>
                <w:bCs/>
                <w:lang w:eastAsia="lv-LV"/>
              </w:rPr>
              <w:lastRenderedPageBreak/>
              <w:t>programmas īstenošanas izmaksu noteikšanas principi, piemēram, atbilstība segtajam riskam, kredītriskam, izsniegšanas un ilgtermiņa darbības izdevumi, kā arī iekļauta informācija par zaudējumu segšanu no piesaistītiem finanšu resursiem, lai ievērotu Attīstības finanšu institūcijas likuma 12.panta trešajā un ceturtajā daļā noteikto.”</w:t>
            </w:r>
          </w:p>
        </w:tc>
        <w:tc>
          <w:tcPr>
            <w:tcW w:w="836" w:type="pct"/>
            <w:gridSpan w:val="2"/>
            <w:tcBorders>
              <w:top w:val="single" w:sz="6" w:space="0" w:color="000000"/>
              <w:left w:val="single" w:sz="6" w:space="0" w:color="000000"/>
              <w:bottom w:val="single" w:sz="6" w:space="0" w:color="000000"/>
              <w:right w:val="single" w:sz="6" w:space="0" w:color="000000"/>
            </w:tcBorders>
          </w:tcPr>
          <w:p w14:paraId="5B303A20" w14:textId="43424E4C" w:rsidR="000417C2" w:rsidRPr="000417C2" w:rsidRDefault="0049305B" w:rsidP="0049305B">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lastRenderedPageBreak/>
              <w:t>Ņ</w:t>
            </w:r>
            <w:r w:rsidR="000417C2" w:rsidRPr="000417C2">
              <w:rPr>
                <w:rFonts w:ascii="Times New Roman" w:eastAsia="Times New Roman" w:hAnsi="Times New Roman" w:cs="Times New Roman"/>
                <w:b/>
                <w:lang w:eastAsia="lv-LV"/>
              </w:rPr>
              <w:t>emts vērā</w:t>
            </w:r>
          </w:p>
          <w:p w14:paraId="7E0565CD" w14:textId="0574432C" w:rsidR="000417C2" w:rsidRPr="000417C2" w:rsidRDefault="000417C2" w:rsidP="00D436D4">
            <w:pPr>
              <w:spacing w:after="0" w:line="240" w:lineRule="auto"/>
              <w:jc w:val="both"/>
              <w:rPr>
                <w:rFonts w:ascii="Times New Roman" w:eastAsia="Times New Roman" w:hAnsi="Times New Roman" w:cs="Times New Roman"/>
                <w:bCs/>
                <w:lang w:eastAsia="lv-LV"/>
              </w:rPr>
            </w:pPr>
            <w:r w:rsidRPr="000417C2">
              <w:rPr>
                <w:rFonts w:ascii="Times New Roman" w:eastAsia="Times New Roman" w:hAnsi="Times New Roman" w:cs="Times New Roman"/>
                <w:bCs/>
                <w:lang w:eastAsia="lv-LV"/>
              </w:rPr>
              <w:t xml:space="preserve">Anotācijas pielikums, kurā izvērtēta scenārijos balstīta turpmāka programmas ietekme, riski un sagaidāmie zaudējumi, finansiālais rezultāts un </w:t>
            </w:r>
            <w:r w:rsidRPr="000417C2">
              <w:rPr>
                <w:rFonts w:ascii="Times New Roman" w:eastAsia="Times New Roman" w:hAnsi="Times New Roman" w:cs="Times New Roman"/>
                <w:bCs/>
                <w:lang w:eastAsia="lv-LV"/>
              </w:rPr>
              <w:lastRenderedPageBreak/>
              <w:t>programmas īstenošanas izmaksu noteikšanas principi, izstrādājams brīdī, kad ir konceptuāli saskaņoti ar visām iesaistītajām pusēm visi atbalsta programmas īstenošanas pamatnosacījumi.</w:t>
            </w:r>
          </w:p>
          <w:p w14:paraId="21C7E5A0" w14:textId="77777777" w:rsidR="000417C2" w:rsidRPr="000417C2" w:rsidRDefault="000417C2" w:rsidP="00D436D4">
            <w:pPr>
              <w:spacing w:after="0" w:line="240" w:lineRule="auto"/>
              <w:jc w:val="both"/>
              <w:rPr>
                <w:rFonts w:ascii="Times New Roman" w:eastAsia="Times New Roman" w:hAnsi="Times New Roman" w:cs="Times New Roman"/>
                <w:bCs/>
                <w:lang w:eastAsia="lv-LV"/>
              </w:rPr>
            </w:pPr>
            <w:r w:rsidRPr="000417C2">
              <w:rPr>
                <w:rFonts w:ascii="Times New Roman" w:eastAsia="Times New Roman" w:hAnsi="Times New Roman" w:cs="Times New Roman"/>
                <w:bCs/>
                <w:lang w:eastAsia="lv-LV"/>
              </w:rPr>
              <w:t>Atzīmējam, ka vienlaikus Noteikumu projekts tiks skaņots arī ar Finanšu nozares asociāciju.</w:t>
            </w:r>
          </w:p>
          <w:p w14:paraId="5B938EFA" w14:textId="77777777" w:rsidR="003D275B" w:rsidRPr="000169BE" w:rsidRDefault="000417C2" w:rsidP="00B137AA">
            <w:pPr>
              <w:pStyle w:val="NormalWeb"/>
              <w:shd w:val="clear" w:color="auto" w:fill="FFFFFF"/>
              <w:jc w:val="both"/>
              <w:rPr>
                <w:rFonts w:ascii="Times New Roman" w:hAnsi="Times New Roman" w:cs="Times New Roman"/>
                <w:color w:val="201F1E"/>
                <w:sz w:val="28"/>
                <w:szCs w:val="28"/>
              </w:rPr>
            </w:pPr>
            <w:r w:rsidRPr="000417C2">
              <w:rPr>
                <w:rFonts w:ascii="Times New Roman" w:eastAsia="Times New Roman" w:hAnsi="Times New Roman" w:cs="Times New Roman"/>
                <w:bCs/>
              </w:rPr>
              <w:t>Līdz ar to ierosinām,  ka noteikumu projektam tiks pievienots</w:t>
            </w:r>
            <w:r w:rsidRPr="00B137AA">
              <w:rPr>
                <w:rFonts w:ascii="Times New Roman" w:eastAsia="Times New Roman" w:hAnsi="Times New Roman" w:cs="Times New Roman"/>
                <w:bCs/>
                <w:sz w:val="20"/>
                <w:szCs w:val="20"/>
              </w:rPr>
              <w:t xml:space="preserve"> MK </w:t>
            </w:r>
            <w:proofErr w:type="spellStart"/>
            <w:r w:rsidRPr="00B137AA">
              <w:rPr>
                <w:rFonts w:ascii="Times New Roman" w:eastAsia="Times New Roman" w:hAnsi="Times New Roman" w:cs="Times New Roman"/>
                <w:bCs/>
                <w:sz w:val="20"/>
                <w:szCs w:val="20"/>
              </w:rPr>
              <w:t>prottokollēmums</w:t>
            </w:r>
            <w:proofErr w:type="spellEnd"/>
            <w:r w:rsidRPr="00B137AA">
              <w:rPr>
                <w:rFonts w:ascii="Times New Roman" w:eastAsia="Times New Roman" w:hAnsi="Times New Roman" w:cs="Times New Roman"/>
                <w:bCs/>
                <w:sz w:val="20"/>
                <w:szCs w:val="20"/>
              </w:rPr>
              <w:t xml:space="preserve"> ar uzdevumu</w:t>
            </w:r>
            <w:r w:rsidRPr="00B137AA">
              <w:rPr>
                <w:rFonts w:ascii="Times New Roman" w:eastAsia="Times New Roman" w:hAnsi="Times New Roman" w:cs="Times New Roman"/>
                <w:bCs/>
                <w:sz w:val="20"/>
                <w:szCs w:val="20"/>
              </w:rPr>
              <w:tab/>
              <w:t>Ekonomikas ministrijai</w:t>
            </w:r>
            <w:r w:rsidR="003D275B" w:rsidRPr="00B137AA">
              <w:rPr>
                <w:rFonts w:ascii="Times New Roman" w:eastAsia="Times New Roman" w:hAnsi="Times New Roman" w:cs="Times New Roman"/>
                <w:bCs/>
                <w:sz w:val="20"/>
                <w:szCs w:val="20"/>
              </w:rPr>
              <w:t xml:space="preserve"> sadarbībā ar sabiedrību “</w:t>
            </w:r>
            <w:proofErr w:type="spellStart"/>
            <w:r w:rsidR="003D275B" w:rsidRPr="00B137AA">
              <w:rPr>
                <w:rFonts w:ascii="Times New Roman" w:eastAsia="Times New Roman" w:hAnsi="Times New Roman" w:cs="Times New Roman"/>
                <w:bCs/>
                <w:sz w:val="20"/>
                <w:szCs w:val="20"/>
              </w:rPr>
              <w:t>Altum</w:t>
            </w:r>
            <w:proofErr w:type="spellEnd"/>
            <w:r w:rsidR="003D275B" w:rsidRPr="00B137AA">
              <w:rPr>
                <w:rFonts w:ascii="Times New Roman" w:eastAsia="Times New Roman" w:hAnsi="Times New Roman" w:cs="Times New Roman"/>
                <w:bCs/>
                <w:sz w:val="20"/>
                <w:szCs w:val="20"/>
              </w:rPr>
              <w:t>”</w:t>
            </w:r>
            <w:r w:rsidRPr="00B137AA">
              <w:rPr>
                <w:rFonts w:ascii="Times New Roman" w:eastAsia="Times New Roman" w:hAnsi="Times New Roman" w:cs="Times New Roman"/>
                <w:bCs/>
                <w:sz w:val="20"/>
                <w:szCs w:val="20"/>
              </w:rPr>
              <w:t xml:space="preserve"> </w:t>
            </w:r>
            <w:r w:rsidR="003D275B" w:rsidRPr="00B137AA">
              <w:rPr>
                <w:rFonts w:ascii="Times New Roman" w:hAnsi="Times New Roman" w:cs="Times New Roman"/>
                <w:color w:val="000000"/>
                <w:sz w:val="20"/>
                <w:szCs w:val="20"/>
              </w:rPr>
              <w:t xml:space="preserve">sagatavot un divu nedēļu laikā pēc šo noteikumu projekta apstiprināšanas, sagatavot un iesniegt izskatīšanai Ministru kabinetā ar Finanšu ministriju saskaņotu </w:t>
            </w:r>
            <w:proofErr w:type="spellStart"/>
            <w:r w:rsidR="003D275B" w:rsidRPr="00B137AA">
              <w:rPr>
                <w:rFonts w:ascii="Times New Roman" w:hAnsi="Times New Roman" w:cs="Times New Roman"/>
                <w:color w:val="000000"/>
                <w:sz w:val="20"/>
                <w:szCs w:val="20"/>
              </w:rPr>
              <w:t>izvērtējumu</w:t>
            </w:r>
            <w:proofErr w:type="spellEnd"/>
            <w:r w:rsidR="003D275B" w:rsidRPr="00B137AA">
              <w:rPr>
                <w:rFonts w:ascii="Times New Roman" w:hAnsi="Times New Roman" w:cs="Times New Roman"/>
                <w:color w:val="000000"/>
                <w:sz w:val="20"/>
                <w:szCs w:val="20"/>
              </w:rPr>
              <w:t>, kurā ietverti Atbalsta programmas dzīvojamo</w:t>
            </w:r>
            <w:r w:rsidR="003D275B" w:rsidRPr="00B137AA">
              <w:rPr>
                <w:rFonts w:ascii="Times New Roman" w:hAnsi="Times New Roman" w:cs="Times New Roman"/>
                <w:b/>
                <w:bCs/>
                <w:color w:val="201F1E"/>
                <w:sz w:val="20"/>
                <w:szCs w:val="20"/>
              </w:rPr>
              <w:t> </w:t>
            </w:r>
            <w:r w:rsidR="003D275B" w:rsidRPr="00B137AA">
              <w:rPr>
                <w:rFonts w:ascii="Times New Roman" w:hAnsi="Times New Roman" w:cs="Times New Roman"/>
                <w:color w:val="000000"/>
                <w:sz w:val="20"/>
                <w:szCs w:val="20"/>
              </w:rPr>
              <w:t>ēku energoefektivitātes paaugstināšanai riski un sagaidāmie zaudējumi, finansiālie rezultāti un programmas īstenošanas izmaksas, lai ievērotu Attīstības finanšu institūcijas likuma 12.panta trešajā un ceturtajā daļā noteiktās prasības.</w:t>
            </w:r>
          </w:p>
          <w:p w14:paraId="086A6E21" w14:textId="4FF8AA9E" w:rsidR="000417C2" w:rsidRPr="000417C2" w:rsidRDefault="000417C2" w:rsidP="00D436D4">
            <w:pPr>
              <w:spacing w:after="0" w:line="240" w:lineRule="auto"/>
              <w:jc w:val="both"/>
              <w:rPr>
                <w:rFonts w:ascii="Times New Roman" w:eastAsia="Times New Roman" w:hAnsi="Times New Roman" w:cs="Times New Roman"/>
                <w:b/>
                <w:lang w:eastAsia="lv-LV"/>
              </w:rPr>
            </w:pPr>
          </w:p>
        </w:tc>
        <w:tc>
          <w:tcPr>
            <w:tcW w:w="946" w:type="pct"/>
            <w:tcBorders>
              <w:top w:val="single" w:sz="4" w:space="0" w:color="auto"/>
              <w:left w:val="single" w:sz="4" w:space="0" w:color="auto"/>
              <w:bottom w:val="single" w:sz="4" w:space="0" w:color="auto"/>
              <w:right w:val="single" w:sz="4" w:space="0" w:color="auto"/>
            </w:tcBorders>
          </w:tcPr>
          <w:p w14:paraId="760F983D" w14:textId="4274CF5B" w:rsidR="000417C2" w:rsidRPr="000417C2" w:rsidRDefault="000417C2" w:rsidP="004D6617">
            <w:pPr>
              <w:spacing w:after="0" w:line="240" w:lineRule="auto"/>
              <w:jc w:val="both"/>
              <w:rPr>
                <w:rFonts w:ascii="Times New Roman" w:eastAsia="Times New Roman" w:hAnsi="Times New Roman" w:cs="Times New Roman"/>
                <w:bCs/>
                <w:lang w:eastAsia="lv-LV"/>
              </w:rPr>
            </w:pPr>
          </w:p>
        </w:tc>
      </w:tr>
      <w:tr w:rsidR="000417C2" w:rsidRPr="00245FF2" w14:paraId="7019C6A2" w14:textId="77777777" w:rsidTr="004A52F8">
        <w:trPr>
          <w:gridAfter w:val="2"/>
          <w:wAfter w:w="1180" w:type="pct"/>
          <w:trHeight w:val="140"/>
        </w:trPr>
        <w:tc>
          <w:tcPr>
            <w:tcW w:w="217" w:type="pct"/>
            <w:tcBorders>
              <w:left w:val="single" w:sz="6" w:space="0" w:color="000000"/>
              <w:bottom w:val="single" w:sz="6" w:space="0" w:color="000000"/>
              <w:right w:val="single" w:sz="6" w:space="0" w:color="000000"/>
            </w:tcBorders>
          </w:tcPr>
          <w:p w14:paraId="0FA9047B" w14:textId="77777777" w:rsidR="000417C2" w:rsidRPr="000417C2" w:rsidRDefault="000417C2" w:rsidP="009C59EC">
            <w:pPr>
              <w:pStyle w:val="ListParagraph"/>
              <w:numPr>
                <w:ilvl w:val="0"/>
                <w:numId w:val="1"/>
              </w:numPr>
              <w:spacing w:after="0" w:line="240" w:lineRule="auto"/>
              <w:contextualSpacing w:val="0"/>
              <w:jc w:val="center"/>
              <w:rPr>
                <w:rFonts w:ascii="Times New Roman" w:eastAsia="Times New Roman" w:hAnsi="Times New Roman" w:cs="Times New Roman"/>
                <w:lang w:eastAsia="lv-LV"/>
              </w:rPr>
            </w:pPr>
          </w:p>
        </w:tc>
        <w:tc>
          <w:tcPr>
            <w:tcW w:w="728" w:type="pct"/>
            <w:vMerge/>
            <w:tcBorders>
              <w:left w:val="single" w:sz="6" w:space="0" w:color="000000"/>
              <w:bottom w:val="single" w:sz="6" w:space="0" w:color="000000"/>
              <w:right w:val="single" w:sz="6" w:space="0" w:color="000000"/>
            </w:tcBorders>
          </w:tcPr>
          <w:p w14:paraId="621D9509" w14:textId="5ECF0FE3" w:rsidR="000417C2" w:rsidRPr="000417C2" w:rsidRDefault="000417C2" w:rsidP="004A52F8">
            <w:pPr>
              <w:rPr>
                <w:rFonts w:ascii="Times New Roman" w:eastAsia="Times New Roman" w:hAnsi="Times New Roman" w:cs="Times New Roman"/>
                <w:bCs/>
                <w:lang w:eastAsia="lv-LV"/>
              </w:rPr>
            </w:pPr>
          </w:p>
        </w:tc>
        <w:tc>
          <w:tcPr>
            <w:tcW w:w="1093" w:type="pct"/>
            <w:tcBorders>
              <w:top w:val="single" w:sz="6" w:space="0" w:color="000000"/>
              <w:left w:val="single" w:sz="6" w:space="0" w:color="000000"/>
              <w:bottom w:val="single" w:sz="6" w:space="0" w:color="000000"/>
              <w:right w:val="single" w:sz="6" w:space="0" w:color="000000"/>
            </w:tcBorders>
          </w:tcPr>
          <w:p w14:paraId="18BDAEA4" w14:textId="3CB7DF2B" w:rsidR="000417C2" w:rsidRPr="000417C2" w:rsidRDefault="000417C2" w:rsidP="000417C2">
            <w:pPr>
              <w:spacing w:after="0" w:line="240" w:lineRule="auto"/>
              <w:jc w:val="both"/>
              <w:rPr>
                <w:rFonts w:ascii="Times New Roman" w:hAnsi="Times New Roman" w:cs="Times New Roman"/>
                <w:b/>
                <w:bCs/>
              </w:rPr>
            </w:pPr>
            <w:r w:rsidRPr="000417C2">
              <w:rPr>
                <w:rFonts w:ascii="Times New Roman" w:hAnsi="Times New Roman" w:cs="Times New Roman"/>
                <w:b/>
                <w:bCs/>
              </w:rPr>
              <w:t>Finanšu ministrija</w:t>
            </w:r>
            <w:r w:rsidRPr="000417C2">
              <w:rPr>
                <w:rFonts w:ascii="Times New Roman" w:eastAsia="Times New Roman" w:hAnsi="Times New Roman" w:cs="Times New Roman"/>
                <w:b/>
                <w:lang w:eastAsia="lv-LV"/>
              </w:rPr>
              <w:t>s 26.05.2020. atzinuma 7.iebildums:</w:t>
            </w:r>
          </w:p>
          <w:p w14:paraId="23EB5682" w14:textId="6ABADF95" w:rsidR="000417C2" w:rsidRPr="000417C2" w:rsidRDefault="000417C2" w:rsidP="000417C2">
            <w:pPr>
              <w:tabs>
                <w:tab w:val="left" w:pos="3285"/>
              </w:tabs>
              <w:spacing w:after="0" w:line="240" w:lineRule="auto"/>
              <w:jc w:val="both"/>
              <w:rPr>
                <w:rFonts w:ascii="Times New Roman" w:hAnsi="Times New Roman" w:cs="Times New Roman"/>
              </w:rPr>
            </w:pPr>
            <w:r w:rsidRPr="000417C2">
              <w:rPr>
                <w:rFonts w:ascii="Times New Roman" w:hAnsi="Times New Roman" w:cs="Times New Roman"/>
              </w:rPr>
              <w:t xml:space="preserve">“7. </w:t>
            </w:r>
            <w:proofErr w:type="spellStart"/>
            <w:r w:rsidRPr="000417C2">
              <w:rPr>
                <w:rFonts w:ascii="Times New Roman" w:hAnsi="Times New Roman" w:cs="Times New Roman"/>
              </w:rPr>
              <w:t>Altum</w:t>
            </w:r>
            <w:proofErr w:type="spellEnd"/>
            <w:r w:rsidRPr="000417C2">
              <w:rPr>
                <w:rFonts w:ascii="Times New Roman" w:hAnsi="Times New Roman" w:cs="Times New Roman"/>
              </w:rPr>
              <w:t xml:space="preserve"> darbojas atbilstoši Eiropas Komisijas 2015.gada 9.jūnija lēmumam Nr.SA.36904 (2014/N) “LHZB attīstības (programmu) daļa un Latvijas vienotās attīstības finanšu institūcijas izveide” (turpmāk - Lēmums  SA.36904). Līdz ar to nepieciešams izvērtēt, vai plānotā programma </w:t>
            </w:r>
            <w:r w:rsidRPr="000417C2">
              <w:rPr>
                <w:rFonts w:ascii="Times New Roman" w:hAnsi="Times New Roman" w:cs="Times New Roman"/>
              </w:rPr>
              <w:lastRenderedPageBreak/>
              <w:t xml:space="preserve">ir aptverta ar Lēmuma SA.36904 38.punktā minētajiem </w:t>
            </w:r>
            <w:proofErr w:type="spellStart"/>
            <w:r w:rsidRPr="000417C2">
              <w:rPr>
                <w:rFonts w:ascii="Times New Roman" w:hAnsi="Times New Roman" w:cs="Times New Roman"/>
              </w:rPr>
              <w:t>Altum</w:t>
            </w:r>
            <w:proofErr w:type="spellEnd"/>
            <w:r w:rsidRPr="000417C2">
              <w:rPr>
                <w:rFonts w:ascii="Times New Roman" w:hAnsi="Times New Roman" w:cs="Times New Roman"/>
              </w:rPr>
              <w:t xml:space="preserve"> uzdevumiem. Ja no lēmuma SA.36904 neizriet, ka programmu ar šādu mērķi </w:t>
            </w:r>
            <w:proofErr w:type="spellStart"/>
            <w:r w:rsidRPr="000417C2">
              <w:rPr>
                <w:rFonts w:ascii="Times New Roman" w:hAnsi="Times New Roman" w:cs="Times New Roman"/>
              </w:rPr>
              <w:t>Altum</w:t>
            </w:r>
            <w:proofErr w:type="spellEnd"/>
            <w:r w:rsidRPr="000417C2">
              <w:rPr>
                <w:rFonts w:ascii="Times New Roman" w:hAnsi="Times New Roman" w:cs="Times New Roman"/>
              </w:rPr>
              <w:t xml:space="preserve"> uzdevumu ietvaros var īstenot, vai arī ir šaubas par to, tad pirms plānotās programmas uzsākšanas ir nepieciešams konsultēties ar Eiropas Komisijas Konkurences ģenerāldirektorātu (t.sk., iesniedzot tirgus nepilnību analīzi par šo pasākumu un pasākuma aprakstu) un nepieciešamības gadījumā virzīt paziņojumu par Lēmuma SA.36904 grozījumiem. Vēršam uzmanību, ka, ja būs nepieciešams veikt grozījumus Lēmumā SA.36904, atbalsta programmu varēs uzsākt tikai pēc Eiropas Komisijas lēmuma saņemšanas.”</w:t>
            </w:r>
          </w:p>
        </w:tc>
        <w:tc>
          <w:tcPr>
            <w:tcW w:w="836" w:type="pct"/>
            <w:gridSpan w:val="2"/>
            <w:tcBorders>
              <w:top w:val="single" w:sz="6" w:space="0" w:color="000000"/>
              <w:left w:val="single" w:sz="6" w:space="0" w:color="000000"/>
              <w:bottom w:val="single" w:sz="6" w:space="0" w:color="000000"/>
              <w:right w:val="single" w:sz="6" w:space="0" w:color="000000"/>
            </w:tcBorders>
          </w:tcPr>
          <w:p w14:paraId="46301644" w14:textId="3C4A4D36" w:rsidR="000417C2" w:rsidRPr="000417C2" w:rsidRDefault="000417C2" w:rsidP="00CD701D">
            <w:pPr>
              <w:spacing w:after="0" w:line="240" w:lineRule="auto"/>
              <w:jc w:val="center"/>
              <w:rPr>
                <w:rFonts w:ascii="Times New Roman" w:eastAsia="Times New Roman" w:hAnsi="Times New Roman" w:cs="Times New Roman"/>
                <w:b/>
                <w:lang w:eastAsia="lv-LV"/>
              </w:rPr>
            </w:pPr>
            <w:r w:rsidRPr="000417C2">
              <w:rPr>
                <w:rFonts w:ascii="Times New Roman" w:eastAsia="Times New Roman" w:hAnsi="Times New Roman" w:cs="Times New Roman"/>
                <w:b/>
                <w:lang w:eastAsia="lv-LV"/>
              </w:rPr>
              <w:lastRenderedPageBreak/>
              <w:t>Ņemt</w:t>
            </w:r>
            <w:r w:rsidR="00A82B6E">
              <w:rPr>
                <w:rFonts w:ascii="Times New Roman" w:eastAsia="Times New Roman" w:hAnsi="Times New Roman" w:cs="Times New Roman"/>
                <w:b/>
                <w:lang w:eastAsia="lv-LV"/>
              </w:rPr>
              <w:t>s</w:t>
            </w:r>
            <w:r w:rsidRPr="000417C2">
              <w:rPr>
                <w:rFonts w:ascii="Times New Roman" w:eastAsia="Times New Roman" w:hAnsi="Times New Roman" w:cs="Times New Roman"/>
                <w:b/>
                <w:lang w:eastAsia="lv-LV"/>
              </w:rPr>
              <w:t xml:space="preserve"> vērā</w:t>
            </w:r>
          </w:p>
          <w:p w14:paraId="2E8D6483" w14:textId="7BD1ACEB" w:rsidR="000417C2" w:rsidRPr="000417C2" w:rsidRDefault="000417C2" w:rsidP="00597B70">
            <w:pPr>
              <w:jc w:val="both"/>
              <w:rPr>
                <w:rFonts w:ascii="Times New Roman" w:eastAsia="Times New Roman" w:hAnsi="Times New Roman" w:cs="Times New Roman"/>
                <w:bCs/>
                <w:lang w:eastAsia="lv-LV"/>
              </w:rPr>
            </w:pPr>
            <w:r w:rsidRPr="000417C2">
              <w:rPr>
                <w:rFonts w:ascii="Times New Roman" w:eastAsia="Times New Roman" w:hAnsi="Times New Roman" w:cs="Times New Roman"/>
                <w:bCs/>
                <w:lang w:eastAsia="lv-LV"/>
              </w:rPr>
              <w:t xml:space="preserve">Izvērtēts. Atbalsta programma tiks īstenota atbilstoši Eiropas Komisijas 2015.gada 9.jūnija lēmumam Nr.SA.36904 (2014/N) “LHZB attīstības (programmu) daļa un Latvijas vienotās attīstības finanšu institūcijas izveide” </w:t>
            </w:r>
            <w:r w:rsidRPr="000417C2">
              <w:rPr>
                <w:rFonts w:ascii="Times New Roman" w:eastAsia="Times New Roman" w:hAnsi="Times New Roman" w:cs="Times New Roman"/>
                <w:bCs/>
                <w:lang w:eastAsia="lv-LV"/>
              </w:rPr>
              <w:lastRenderedPageBreak/>
              <w:t xml:space="preserve">38.punkta c) </w:t>
            </w:r>
            <w:proofErr w:type="spellStart"/>
            <w:r w:rsidRPr="000417C2">
              <w:rPr>
                <w:rFonts w:ascii="Times New Roman" w:eastAsia="Times New Roman" w:hAnsi="Times New Roman" w:cs="Times New Roman"/>
                <w:bCs/>
                <w:lang w:eastAsia="lv-LV"/>
              </w:rPr>
              <w:t>apkašpuntam</w:t>
            </w:r>
            <w:proofErr w:type="spellEnd"/>
            <w:r w:rsidRPr="000417C2">
              <w:rPr>
                <w:rFonts w:ascii="Times New Roman" w:eastAsia="Times New Roman" w:hAnsi="Times New Roman" w:cs="Times New Roman"/>
                <w:bCs/>
                <w:lang w:eastAsia="lv-LV"/>
              </w:rPr>
              <w:t xml:space="preserve"> un Attīstības finanšu institūcijas likuma 2.panta 2.punkta c) apakšpunktam.</w:t>
            </w:r>
          </w:p>
          <w:p w14:paraId="166283B5" w14:textId="0155BA9A" w:rsidR="000417C2" w:rsidRPr="000417C2" w:rsidRDefault="000417C2" w:rsidP="0005608C">
            <w:pPr>
              <w:spacing w:after="0" w:line="240" w:lineRule="auto"/>
              <w:jc w:val="both"/>
              <w:rPr>
                <w:rFonts w:ascii="Times New Roman" w:eastAsia="Times New Roman" w:hAnsi="Times New Roman" w:cs="Times New Roman"/>
                <w:bCs/>
                <w:lang w:eastAsia="lv-LV"/>
              </w:rPr>
            </w:pPr>
          </w:p>
        </w:tc>
        <w:tc>
          <w:tcPr>
            <w:tcW w:w="946" w:type="pct"/>
            <w:tcBorders>
              <w:top w:val="single" w:sz="4" w:space="0" w:color="auto"/>
              <w:left w:val="single" w:sz="4" w:space="0" w:color="auto"/>
              <w:bottom w:val="single" w:sz="4" w:space="0" w:color="auto"/>
              <w:right w:val="single" w:sz="4" w:space="0" w:color="auto"/>
            </w:tcBorders>
          </w:tcPr>
          <w:p w14:paraId="5C637F5C" w14:textId="022A45B4" w:rsidR="000417C2" w:rsidRPr="000417C2" w:rsidRDefault="000417C2" w:rsidP="0005608C">
            <w:pPr>
              <w:spacing w:after="0" w:line="240" w:lineRule="auto"/>
              <w:jc w:val="center"/>
              <w:rPr>
                <w:rFonts w:ascii="Times New Roman" w:eastAsia="Times New Roman" w:hAnsi="Times New Roman" w:cs="Times New Roman"/>
                <w:bCs/>
                <w:lang w:eastAsia="lv-LV"/>
              </w:rPr>
            </w:pPr>
            <w:r w:rsidRPr="000417C2">
              <w:rPr>
                <w:rFonts w:ascii="Times New Roman" w:eastAsia="Times New Roman" w:hAnsi="Times New Roman" w:cs="Times New Roman"/>
                <w:bCs/>
                <w:lang w:eastAsia="lv-LV"/>
              </w:rPr>
              <w:lastRenderedPageBreak/>
              <w:t>Papildināta anotācija</w:t>
            </w:r>
          </w:p>
        </w:tc>
      </w:tr>
      <w:tr w:rsidR="005E6431" w:rsidRPr="00245FF2" w14:paraId="34E081F2" w14:textId="77777777" w:rsidTr="004A52F8">
        <w:trPr>
          <w:trHeight w:val="140"/>
        </w:trPr>
        <w:tc>
          <w:tcPr>
            <w:tcW w:w="2336" w:type="pct"/>
            <w:gridSpan w:val="4"/>
            <w:tcBorders>
              <w:top w:val="nil"/>
              <w:left w:val="nil"/>
              <w:bottom w:val="nil"/>
              <w:right w:val="nil"/>
            </w:tcBorders>
          </w:tcPr>
          <w:p w14:paraId="1B80CF3A" w14:textId="31D20DEA" w:rsidR="009D4A9C" w:rsidRPr="000417C2" w:rsidRDefault="009D4A9C" w:rsidP="009D4A9C">
            <w:pPr>
              <w:spacing w:after="0" w:line="240" w:lineRule="auto"/>
              <w:jc w:val="center"/>
              <w:rPr>
                <w:rFonts w:ascii="Times New Roman" w:eastAsia="Times New Roman" w:hAnsi="Times New Roman" w:cs="Times New Roman"/>
                <w:lang w:eastAsia="lv-LV"/>
              </w:rPr>
            </w:pPr>
          </w:p>
        </w:tc>
        <w:tc>
          <w:tcPr>
            <w:tcW w:w="538" w:type="pct"/>
            <w:tcBorders>
              <w:top w:val="nil"/>
              <w:left w:val="nil"/>
              <w:bottom w:val="nil"/>
              <w:right w:val="nil"/>
            </w:tcBorders>
          </w:tcPr>
          <w:p w14:paraId="379A97C6" w14:textId="1390AF6E" w:rsidR="006E3AF2" w:rsidRPr="000417C2" w:rsidRDefault="006E3AF2" w:rsidP="009D4A9C">
            <w:pPr>
              <w:spacing w:after="0" w:line="240" w:lineRule="auto"/>
              <w:ind w:firstLine="720"/>
              <w:rPr>
                <w:rFonts w:ascii="Times New Roman" w:eastAsia="Times New Roman" w:hAnsi="Times New Roman" w:cs="Times New Roman"/>
                <w:lang w:eastAsia="lv-LV"/>
              </w:rPr>
            </w:pPr>
          </w:p>
        </w:tc>
        <w:tc>
          <w:tcPr>
            <w:tcW w:w="1306" w:type="pct"/>
            <w:gridSpan w:val="2"/>
          </w:tcPr>
          <w:p w14:paraId="40BD4725" w14:textId="25543CD0" w:rsidR="0005608C" w:rsidRPr="000417C2" w:rsidRDefault="0005608C" w:rsidP="009D4A9C">
            <w:pPr>
              <w:spacing w:after="0" w:line="240" w:lineRule="auto"/>
              <w:rPr>
                <w:rFonts w:ascii="Times New Roman" w:eastAsia="Calibri" w:hAnsi="Times New Roman" w:cs="Times New Roman"/>
                <w:lang w:eastAsia="lv-LV"/>
              </w:rPr>
            </w:pPr>
          </w:p>
        </w:tc>
        <w:tc>
          <w:tcPr>
            <w:tcW w:w="820" w:type="pct"/>
          </w:tcPr>
          <w:p w14:paraId="385F2378" w14:textId="77777777" w:rsidR="009D4A9C" w:rsidRPr="000417C2" w:rsidRDefault="009D4A9C" w:rsidP="009D4A9C">
            <w:pPr>
              <w:spacing w:after="0" w:line="240" w:lineRule="auto"/>
              <w:jc w:val="center"/>
              <w:rPr>
                <w:rFonts w:ascii="Times New Roman" w:eastAsia="Times New Roman" w:hAnsi="Times New Roman" w:cs="Times New Roman"/>
                <w:b/>
                <w:highlight w:val="yellow"/>
                <w:lang w:eastAsia="lv-LV"/>
              </w:rPr>
            </w:pPr>
          </w:p>
        </w:tc>
      </w:tr>
      <w:tr w:rsidR="00B137AA" w:rsidRPr="00245FF2" w14:paraId="7207D561" w14:textId="77777777" w:rsidTr="00B137AA">
        <w:trPr>
          <w:gridAfter w:val="4"/>
          <w:wAfter w:w="2664" w:type="pct"/>
          <w:trHeight w:val="140"/>
        </w:trPr>
        <w:tc>
          <w:tcPr>
            <w:tcW w:w="2336" w:type="pct"/>
            <w:gridSpan w:val="4"/>
            <w:tcBorders>
              <w:top w:val="nil"/>
              <w:left w:val="nil"/>
              <w:bottom w:val="nil"/>
              <w:right w:val="nil"/>
            </w:tcBorders>
          </w:tcPr>
          <w:p w14:paraId="23E5E21B" w14:textId="77777777" w:rsidR="00B137AA" w:rsidRPr="000417C2" w:rsidRDefault="00B137AA" w:rsidP="009D4A9C">
            <w:pPr>
              <w:spacing w:after="0" w:line="240" w:lineRule="auto"/>
              <w:ind w:firstLine="720"/>
              <w:jc w:val="center"/>
              <w:rPr>
                <w:rFonts w:ascii="Times New Roman" w:eastAsia="Times New Roman" w:hAnsi="Times New Roman" w:cs="Times New Roman"/>
                <w:lang w:eastAsia="lv-LV"/>
              </w:rPr>
            </w:pPr>
          </w:p>
        </w:tc>
      </w:tr>
    </w:tbl>
    <w:p w14:paraId="3191D6A9" w14:textId="77777777" w:rsidR="000239F9" w:rsidRPr="000417C2" w:rsidRDefault="000239F9" w:rsidP="00B137AA">
      <w:pPr>
        <w:spacing w:after="0" w:line="240" w:lineRule="auto"/>
        <w:jc w:val="both"/>
        <w:rPr>
          <w:rFonts w:ascii="Times New Roman" w:eastAsia="Times New Roman" w:hAnsi="Times New Roman" w:cs="Times New Roman"/>
          <w:lang w:eastAsia="lv-LV"/>
        </w:rPr>
      </w:pPr>
      <w:r w:rsidRPr="000417C2">
        <w:rPr>
          <w:rFonts w:ascii="Times New Roman" w:eastAsia="Times New Roman" w:hAnsi="Times New Roman" w:cs="Times New Roman"/>
          <w:lang w:eastAsia="lv-LV"/>
        </w:rPr>
        <w:t>Piezīme. * Dokumenta rekvizītu „paraksts” neaizpilda, ja elektroniskais dokuments ir sagatavots atbilstoši normatīvajiem aktiem par elektronisko dokumentu noformēšanu.</w:t>
      </w:r>
    </w:p>
    <w:p w14:paraId="3DE98962" w14:textId="43484B5E" w:rsidR="004A52F8" w:rsidRDefault="004A52F8" w:rsidP="00B137AA">
      <w:pPr>
        <w:tabs>
          <w:tab w:val="left" w:pos="1170"/>
        </w:tabs>
        <w:spacing w:after="0" w:line="240" w:lineRule="auto"/>
        <w:rPr>
          <w:rFonts w:ascii="Times New Roman" w:hAnsi="Times New Roman" w:cs="Times New Roman"/>
          <w:sz w:val="18"/>
          <w:szCs w:val="18"/>
        </w:rPr>
      </w:pPr>
    </w:p>
    <w:p w14:paraId="39C2557C" w14:textId="77777777" w:rsidR="00B137AA" w:rsidRPr="001C4923" w:rsidRDefault="00B137AA" w:rsidP="00B137AA">
      <w:pPr>
        <w:pStyle w:val="naisf"/>
        <w:spacing w:before="0" w:after="0"/>
        <w:ind w:firstLine="0"/>
        <w:rPr>
          <w:sz w:val="22"/>
          <w:szCs w:val="22"/>
        </w:rPr>
      </w:pPr>
    </w:p>
    <w:tbl>
      <w:tblPr>
        <w:tblpPr w:leftFromText="180" w:rightFromText="180" w:vertAnchor="text" w:horzAnchor="margin" w:tblpY="33"/>
        <w:tblOverlap w:val="never"/>
        <w:tblW w:w="0" w:type="auto"/>
        <w:tblLook w:val="00A0" w:firstRow="1" w:lastRow="0" w:firstColumn="1" w:lastColumn="0" w:noHBand="0" w:noVBand="0"/>
      </w:tblPr>
      <w:tblGrid>
        <w:gridCol w:w="8268"/>
      </w:tblGrid>
      <w:tr w:rsidR="00B137AA" w:rsidRPr="00B137AA" w14:paraId="5F0F7471" w14:textId="77777777" w:rsidTr="00336816">
        <w:tc>
          <w:tcPr>
            <w:tcW w:w="8268" w:type="dxa"/>
            <w:tcBorders>
              <w:bottom w:val="single" w:sz="4" w:space="0" w:color="000000"/>
            </w:tcBorders>
          </w:tcPr>
          <w:p w14:paraId="6F565BDF" w14:textId="772FD44C" w:rsidR="00B137AA" w:rsidRPr="00B137AA" w:rsidRDefault="00B137AA" w:rsidP="00B137AA">
            <w:pPr>
              <w:spacing w:after="0" w:line="240" w:lineRule="auto"/>
              <w:jc w:val="center"/>
              <w:rPr>
                <w:rFonts w:ascii="Times New Roman" w:hAnsi="Times New Roman" w:cs="Times New Roman"/>
              </w:rPr>
            </w:pPr>
            <w:r w:rsidRPr="00B137AA">
              <w:rPr>
                <w:rFonts w:ascii="Times New Roman" w:hAnsi="Times New Roman" w:cs="Times New Roman"/>
              </w:rPr>
              <w:t>Evita Valgača</w:t>
            </w:r>
          </w:p>
        </w:tc>
      </w:tr>
      <w:tr w:rsidR="00B137AA" w:rsidRPr="00B137AA" w14:paraId="76E34AFD" w14:textId="77777777" w:rsidTr="00336816">
        <w:tc>
          <w:tcPr>
            <w:tcW w:w="8268" w:type="dxa"/>
            <w:tcBorders>
              <w:top w:val="single" w:sz="4" w:space="0" w:color="000000"/>
            </w:tcBorders>
          </w:tcPr>
          <w:p w14:paraId="6EF30BC2" w14:textId="77777777" w:rsidR="00B137AA" w:rsidRPr="00B137AA" w:rsidRDefault="00B137AA" w:rsidP="00B137AA">
            <w:pPr>
              <w:spacing w:after="0" w:line="240" w:lineRule="auto"/>
              <w:jc w:val="center"/>
              <w:rPr>
                <w:rFonts w:ascii="Times New Roman" w:hAnsi="Times New Roman" w:cs="Times New Roman"/>
              </w:rPr>
            </w:pPr>
            <w:r w:rsidRPr="00B137AA">
              <w:rPr>
                <w:rFonts w:ascii="Times New Roman" w:hAnsi="Times New Roman" w:cs="Times New Roman"/>
              </w:rPr>
              <w:t>(par projektu atbildīgās amatpersonas vārds un uzvārds)</w:t>
            </w:r>
          </w:p>
          <w:p w14:paraId="7D170337" w14:textId="77777777" w:rsidR="00B137AA" w:rsidRPr="00B137AA" w:rsidRDefault="00B137AA" w:rsidP="00B137AA">
            <w:pPr>
              <w:spacing w:after="0" w:line="240" w:lineRule="auto"/>
              <w:jc w:val="center"/>
              <w:rPr>
                <w:rFonts w:ascii="Times New Roman" w:hAnsi="Times New Roman" w:cs="Times New Roman"/>
              </w:rPr>
            </w:pPr>
          </w:p>
        </w:tc>
      </w:tr>
      <w:tr w:rsidR="00B137AA" w:rsidRPr="00B137AA" w14:paraId="67E1C097" w14:textId="77777777" w:rsidTr="00336816">
        <w:tc>
          <w:tcPr>
            <w:tcW w:w="8268" w:type="dxa"/>
            <w:tcBorders>
              <w:bottom w:val="single" w:sz="4" w:space="0" w:color="000000"/>
            </w:tcBorders>
          </w:tcPr>
          <w:p w14:paraId="08C0CF6A" w14:textId="692133E6" w:rsidR="00B137AA" w:rsidRPr="00B137AA" w:rsidRDefault="00B137AA" w:rsidP="00B137AA">
            <w:pPr>
              <w:spacing w:after="0" w:line="240" w:lineRule="auto"/>
              <w:jc w:val="center"/>
              <w:rPr>
                <w:rFonts w:ascii="Times New Roman" w:hAnsi="Times New Roman" w:cs="Times New Roman"/>
              </w:rPr>
            </w:pPr>
            <w:r w:rsidRPr="00B137AA">
              <w:rPr>
                <w:rFonts w:ascii="Times New Roman" w:hAnsi="Times New Roman" w:cs="Times New Roman"/>
              </w:rPr>
              <w:t>Enerģētikas finanšu instrumentu nodaļas vadītāja</w:t>
            </w:r>
          </w:p>
        </w:tc>
      </w:tr>
      <w:tr w:rsidR="00B137AA" w:rsidRPr="00B137AA" w14:paraId="48EBF1D0" w14:textId="77777777" w:rsidTr="00336816">
        <w:tc>
          <w:tcPr>
            <w:tcW w:w="8268" w:type="dxa"/>
            <w:tcBorders>
              <w:top w:val="single" w:sz="4" w:space="0" w:color="000000"/>
            </w:tcBorders>
          </w:tcPr>
          <w:p w14:paraId="5AA64BB4" w14:textId="77777777" w:rsidR="00B137AA" w:rsidRPr="00B137AA" w:rsidRDefault="00B137AA" w:rsidP="00B137AA">
            <w:pPr>
              <w:spacing w:after="0" w:line="240" w:lineRule="auto"/>
              <w:jc w:val="center"/>
              <w:rPr>
                <w:rFonts w:ascii="Times New Roman" w:hAnsi="Times New Roman" w:cs="Times New Roman"/>
              </w:rPr>
            </w:pPr>
            <w:r w:rsidRPr="00B137AA">
              <w:rPr>
                <w:rFonts w:ascii="Times New Roman" w:hAnsi="Times New Roman" w:cs="Times New Roman"/>
              </w:rPr>
              <w:t>(amats)</w:t>
            </w:r>
          </w:p>
          <w:p w14:paraId="38B312FB" w14:textId="77777777" w:rsidR="00B137AA" w:rsidRPr="00B137AA" w:rsidRDefault="00B137AA" w:rsidP="00B137AA">
            <w:pPr>
              <w:spacing w:after="0" w:line="240" w:lineRule="auto"/>
              <w:jc w:val="center"/>
              <w:rPr>
                <w:rFonts w:ascii="Times New Roman" w:hAnsi="Times New Roman" w:cs="Times New Roman"/>
              </w:rPr>
            </w:pPr>
          </w:p>
        </w:tc>
      </w:tr>
      <w:tr w:rsidR="00B137AA" w:rsidRPr="00B137AA" w14:paraId="4386D0C8" w14:textId="77777777" w:rsidTr="00336816">
        <w:tc>
          <w:tcPr>
            <w:tcW w:w="8268" w:type="dxa"/>
            <w:tcBorders>
              <w:bottom w:val="single" w:sz="4" w:space="0" w:color="000000"/>
            </w:tcBorders>
          </w:tcPr>
          <w:p w14:paraId="1EA88F1B" w14:textId="4856B52B" w:rsidR="00B137AA" w:rsidRPr="00B137AA" w:rsidRDefault="00B137AA" w:rsidP="00B137AA">
            <w:pPr>
              <w:spacing w:after="0" w:line="240" w:lineRule="auto"/>
              <w:jc w:val="center"/>
              <w:rPr>
                <w:rFonts w:ascii="Times New Roman" w:hAnsi="Times New Roman" w:cs="Times New Roman"/>
              </w:rPr>
            </w:pPr>
            <w:r w:rsidRPr="00B137AA">
              <w:rPr>
                <w:rFonts w:ascii="Times New Roman" w:hAnsi="Times New Roman" w:cs="Times New Roman"/>
              </w:rPr>
              <w:t>67013298</w:t>
            </w:r>
          </w:p>
        </w:tc>
      </w:tr>
      <w:tr w:rsidR="00B137AA" w:rsidRPr="00B137AA" w14:paraId="7F96418C" w14:textId="77777777" w:rsidTr="00336816">
        <w:tc>
          <w:tcPr>
            <w:tcW w:w="8268" w:type="dxa"/>
            <w:tcBorders>
              <w:top w:val="single" w:sz="4" w:space="0" w:color="000000"/>
            </w:tcBorders>
          </w:tcPr>
          <w:p w14:paraId="2604578F" w14:textId="77777777" w:rsidR="00B137AA" w:rsidRPr="00B137AA" w:rsidRDefault="00B137AA" w:rsidP="00B137AA">
            <w:pPr>
              <w:spacing w:after="0" w:line="240" w:lineRule="auto"/>
              <w:jc w:val="center"/>
              <w:rPr>
                <w:rFonts w:ascii="Times New Roman" w:hAnsi="Times New Roman" w:cs="Times New Roman"/>
              </w:rPr>
            </w:pPr>
            <w:r w:rsidRPr="00B137AA">
              <w:rPr>
                <w:rFonts w:ascii="Times New Roman" w:hAnsi="Times New Roman" w:cs="Times New Roman"/>
              </w:rPr>
              <w:t>(tālruņa un faksa numurs)</w:t>
            </w:r>
          </w:p>
          <w:p w14:paraId="0F9FC6B2" w14:textId="77777777" w:rsidR="00B137AA" w:rsidRPr="00B137AA" w:rsidRDefault="00B137AA" w:rsidP="00B137AA">
            <w:pPr>
              <w:spacing w:after="0" w:line="240" w:lineRule="auto"/>
              <w:jc w:val="center"/>
              <w:rPr>
                <w:rFonts w:ascii="Times New Roman" w:hAnsi="Times New Roman" w:cs="Times New Roman"/>
              </w:rPr>
            </w:pPr>
          </w:p>
        </w:tc>
      </w:tr>
      <w:tr w:rsidR="00B137AA" w:rsidRPr="00B137AA" w14:paraId="1D2EFDA9" w14:textId="77777777" w:rsidTr="00336816">
        <w:tc>
          <w:tcPr>
            <w:tcW w:w="8268" w:type="dxa"/>
            <w:tcBorders>
              <w:bottom w:val="single" w:sz="4" w:space="0" w:color="000000"/>
            </w:tcBorders>
          </w:tcPr>
          <w:p w14:paraId="425DA27A" w14:textId="735D0F34" w:rsidR="00B137AA" w:rsidRPr="00B137AA" w:rsidRDefault="00B137AA" w:rsidP="00B137AA">
            <w:pPr>
              <w:spacing w:after="0" w:line="240" w:lineRule="auto"/>
              <w:jc w:val="center"/>
              <w:rPr>
                <w:rFonts w:ascii="Times New Roman" w:hAnsi="Times New Roman" w:cs="Times New Roman"/>
              </w:rPr>
            </w:pPr>
            <w:r w:rsidRPr="00B137AA">
              <w:rPr>
                <w:rFonts w:ascii="Times New Roman" w:hAnsi="Times New Roman" w:cs="Times New Roman"/>
              </w:rPr>
              <w:t>Evita.Valgaca@em.gov.lv</w:t>
            </w:r>
          </w:p>
        </w:tc>
      </w:tr>
      <w:tr w:rsidR="00B137AA" w:rsidRPr="00B137AA" w14:paraId="7CFA13E0" w14:textId="77777777" w:rsidTr="00336816">
        <w:tc>
          <w:tcPr>
            <w:tcW w:w="8268" w:type="dxa"/>
            <w:tcBorders>
              <w:top w:val="single" w:sz="4" w:space="0" w:color="000000"/>
            </w:tcBorders>
          </w:tcPr>
          <w:p w14:paraId="2EC5FFFB" w14:textId="77777777" w:rsidR="00B137AA" w:rsidRPr="00B137AA" w:rsidRDefault="00B137AA" w:rsidP="00B137AA">
            <w:pPr>
              <w:spacing w:after="0" w:line="240" w:lineRule="auto"/>
              <w:jc w:val="center"/>
              <w:rPr>
                <w:rFonts w:ascii="Times New Roman" w:hAnsi="Times New Roman" w:cs="Times New Roman"/>
              </w:rPr>
            </w:pPr>
            <w:r w:rsidRPr="00B137AA">
              <w:rPr>
                <w:rFonts w:ascii="Times New Roman" w:hAnsi="Times New Roman" w:cs="Times New Roman"/>
              </w:rPr>
              <w:t>(e-pasta adrese)</w:t>
            </w:r>
          </w:p>
        </w:tc>
      </w:tr>
    </w:tbl>
    <w:p w14:paraId="20D97475" w14:textId="77777777" w:rsidR="00B137AA" w:rsidRPr="00B137AA" w:rsidRDefault="00B137AA" w:rsidP="00B137AA">
      <w:pPr>
        <w:pStyle w:val="naisf"/>
        <w:tabs>
          <w:tab w:val="left" w:pos="6840"/>
        </w:tabs>
        <w:spacing w:before="0" w:after="0"/>
        <w:ind w:firstLine="0"/>
        <w:rPr>
          <w:sz w:val="22"/>
          <w:szCs w:val="22"/>
        </w:rPr>
      </w:pPr>
    </w:p>
    <w:p w14:paraId="51557E8D" w14:textId="77777777" w:rsidR="00B137AA" w:rsidRPr="0088699C" w:rsidRDefault="00B137AA" w:rsidP="00B137AA">
      <w:pPr>
        <w:spacing w:after="0" w:line="240" w:lineRule="auto"/>
      </w:pPr>
    </w:p>
    <w:p w14:paraId="57E4BD17" w14:textId="77777777" w:rsidR="00B137AA" w:rsidRPr="0088699C" w:rsidRDefault="00B137AA" w:rsidP="00B137AA">
      <w:pPr>
        <w:spacing w:after="0" w:line="240" w:lineRule="auto"/>
      </w:pPr>
    </w:p>
    <w:p w14:paraId="7D36FB56" w14:textId="77777777" w:rsidR="00B137AA" w:rsidRPr="0088699C" w:rsidRDefault="00B137AA" w:rsidP="00B137AA">
      <w:pPr>
        <w:spacing w:after="0" w:line="240" w:lineRule="auto"/>
      </w:pPr>
    </w:p>
    <w:p w14:paraId="4155063B" w14:textId="77777777" w:rsidR="00B137AA" w:rsidRDefault="00B137AA" w:rsidP="00B137AA">
      <w:pPr>
        <w:pStyle w:val="naisf"/>
        <w:tabs>
          <w:tab w:val="left" w:pos="6840"/>
        </w:tabs>
        <w:spacing w:before="0" w:after="0"/>
        <w:ind w:firstLine="0"/>
        <w:rPr>
          <w:sz w:val="22"/>
          <w:szCs w:val="22"/>
        </w:rPr>
      </w:pPr>
    </w:p>
    <w:p w14:paraId="75DCE62A" w14:textId="77777777" w:rsidR="00B137AA" w:rsidRDefault="00B137AA" w:rsidP="00B137AA">
      <w:pPr>
        <w:pStyle w:val="naisf"/>
        <w:tabs>
          <w:tab w:val="left" w:pos="6840"/>
        </w:tabs>
        <w:spacing w:before="0" w:after="0"/>
        <w:ind w:firstLine="0"/>
        <w:rPr>
          <w:sz w:val="20"/>
          <w:szCs w:val="20"/>
        </w:rPr>
      </w:pPr>
      <w:r>
        <w:rPr>
          <w:sz w:val="22"/>
          <w:szCs w:val="22"/>
        </w:rPr>
        <w:br w:type="textWrapping" w:clear="all"/>
      </w:r>
    </w:p>
    <w:p w14:paraId="47803C06" w14:textId="1D8B9B15" w:rsidR="004A52F8" w:rsidRDefault="004A52F8" w:rsidP="00B137AA">
      <w:pPr>
        <w:tabs>
          <w:tab w:val="left" w:pos="1170"/>
        </w:tabs>
        <w:spacing w:after="0" w:line="240" w:lineRule="auto"/>
        <w:rPr>
          <w:rFonts w:ascii="Times New Roman" w:hAnsi="Times New Roman" w:cs="Times New Roman"/>
          <w:sz w:val="18"/>
          <w:szCs w:val="18"/>
        </w:rPr>
      </w:pPr>
    </w:p>
    <w:p w14:paraId="7B10C9D3" w14:textId="77777777" w:rsidR="004A52F8" w:rsidRDefault="004A52F8" w:rsidP="00B137AA">
      <w:pPr>
        <w:tabs>
          <w:tab w:val="left" w:pos="1170"/>
        </w:tabs>
        <w:spacing w:after="0" w:line="240" w:lineRule="auto"/>
        <w:rPr>
          <w:rFonts w:ascii="Times New Roman" w:hAnsi="Times New Roman" w:cs="Times New Roman"/>
          <w:sz w:val="18"/>
          <w:szCs w:val="18"/>
        </w:rPr>
      </w:pPr>
    </w:p>
    <w:p w14:paraId="4950AE2C" w14:textId="6FA048EC" w:rsidR="004A52F8" w:rsidRPr="004A52F8" w:rsidRDefault="006D242F" w:rsidP="00B137AA">
      <w:pPr>
        <w:tabs>
          <w:tab w:val="left" w:pos="1560"/>
        </w:tabs>
        <w:spacing w:after="0" w:line="240" w:lineRule="auto"/>
        <w:rPr>
          <w:rFonts w:ascii="Times New Roman" w:hAnsi="Times New Roman" w:cs="Times New Roman"/>
        </w:rPr>
      </w:pPr>
      <w:r>
        <w:rPr>
          <w:rFonts w:ascii="Times New Roman" w:hAnsi="Times New Roman" w:cs="Times New Roman"/>
          <w:sz w:val="18"/>
          <w:szCs w:val="18"/>
        </w:rPr>
        <w:t>Valgača</w:t>
      </w:r>
      <w:r w:rsidRPr="004A52F8">
        <w:rPr>
          <w:rFonts w:ascii="Times New Roman" w:hAnsi="Times New Roman" w:cs="Times New Roman"/>
          <w:sz w:val="18"/>
          <w:szCs w:val="18"/>
        </w:rPr>
        <w:t xml:space="preserve"> </w:t>
      </w:r>
      <w:r w:rsidR="00BF31DD" w:rsidRPr="00B43BB8">
        <w:rPr>
          <w:rFonts w:ascii="Times New Roman" w:hAnsi="Times New Roman" w:cs="Times New Roman"/>
          <w:sz w:val="18"/>
          <w:szCs w:val="18"/>
        </w:rPr>
        <w:t>67013</w:t>
      </w:r>
      <w:r w:rsidRPr="00B43BB8">
        <w:rPr>
          <w:rFonts w:ascii="Times New Roman" w:hAnsi="Times New Roman" w:cs="Times New Roman"/>
          <w:sz w:val="18"/>
          <w:szCs w:val="18"/>
        </w:rPr>
        <w:t>298</w:t>
      </w:r>
    </w:p>
    <w:sectPr w:rsidR="004A52F8" w:rsidRPr="004A52F8" w:rsidSect="00744077">
      <w:headerReference w:type="default" r:id="rId12"/>
      <w:footerReference w:type="default" r:id="rId13"/>
      <w:pgSz w:w="16838" w:h="11906" w:orient="landscape"/>
      <w:pgMar w:top="1442" w:right="821" w:bottom="284"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7AA15" w14:textId="77777777" w:rsidR="00B822FE" w:rsidRDefault="00B822FE" w:rsidP="003A0F64">
      <w:pPr>
        <w:spacing w:after="0" w:line="240" w:lineRule="auto"/>
      </w:pPr>
      <w:r>
        <w:separator/>
      </w:r>
    </w:p>
  </w:endnote>
  <w:endnote w:type="continuationSeparator" w:id="0">
    <w:p w14:paraId="7AF17D97" w14:textId="77777777" w:rsidR="00B822FE" w:rsidRDefault="00B822FE" w:rsidP="003A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670BF" w14:textId="28528E7D" w:rsidR="00886BFD" w:rsidRPr="00F66122" w:rsidRDefault="00886BFD" w:rsidP="0095381B">
    <w:pPr>
      <w:pStyle w:val="Footer"/>
      <w:tabs>
        <w:tab w:val="clear" w:pos="4153"/>
        <w:tab w:val="clear" w:pos="8306"/>
        <w:tab w:val="left" w:pos="1860"/>
        <w:tab w:val="left" w:pos="4230"/>
      </w:tabs>
      <w:rPr>
        <w:sz w:val="20"/>
      </w:rPr>
    </w:pPr>
    <w:r w:rsidRPr="00F66122">
      <w:rPr>
        <w:sz w:val="20"/>
      </w:rPr>
      <w:fldChar w:fldCharType="begin"/>
    </w:r>
    <w:r w:rsidRPr="00F66122">
      <w:rPr>
        <w:sz w:val="20"/>
      </w:rPr>
      <w:instrText xml:space="preserve"> FILENAME   \* MERGEFORMAT </w:instrText>
    </w:r>
    <w:r w:rsidRPr="00F66122">
      <w:rPr>
        <w:sz w:val="20"/>
      </w:rPr>
      <w:fldChar w:fldCharType="separate"/>
    </w:r>
    <w:r>
      <w:rPr>
        <w:noProof/>
        <w:sz w:val="20"/>
      </w:rPr>
      <w:t>EMIzz_</w:t>
    </w:r>
    <w:r w:rsidR="006D242F">
      <w:rPr>
        <w:noProof/>
        <w:sz w:val="20"/>
        <w:lang w:val="lv-LV"/>
      </w:rPr>
      <w:t>0</w:t>
    </w:r>
    <w:r w:rsidR="00B137AA">
      <w:rPr>
        <w:noProof/>
        <w:sz w:val="20"/>
        <w:lang w:val="lv-LV"/>
      </w:rPr>
      <w:t>9</w:t>
    </w:r>
    <w:r w:rsidR="004A52F8">
      <w:rPr>
        <w:noProof/>
        <w:sz w:val="20"/>
        <w:lang w:val="lv-LV"/>
      </w:rPr>
      <w:t>07</w:t>
    </w:r>
    <w:r w:rsidRPr="002634F2">
      <w:rPr>
        <w:noProof/>
        <w:sz w:val="20"/>
        <w:lang w:val="lv-LV"/>
      </w:rPr>
      <w:t>2020</w:t>
    </w:r>
    <w:r>
      <w:rPr>
        <w:noProof/>
        <w:sz w:val="20"/>
      </w:rPr>
      <w:t>_</w:t>
    </w:r>
    <w:r>
      <w:rPr>
        <w:noProof/>
        <w:sz w:val="20"/>
        <w:lang w:val="lv-LV"/>
      </w:rPr>
      <w:t>Garantija</w:t>
    </w:r>
    <w:r>
      <w:rPr>
        <w:noProof/>
        <w:sz w:val="20"/>
      </w:rPr>
      <w:t>.docx</w:t>
    </w:r>
    <w:r w:rsidRPr="00F66122">
      <w:rPr>
        <w:sz w:val="20"/>
      </w:rPr>
      <w:fldChar w:fldCharType="end"/>
    </w:r>
    <w:r>
      <w:rPr>
        <w:sz w:val="20"/>
      </w:rPr>
      <w:tab/>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17077" w14:textId="77777777" w:rsidR="00B822FE" w:rsidRDefault="00B822FE" w:rsidP="003A0F64">
      <w:pPr>
        <w:spacing w:after="0" w:line="240" w:lineRule="auto"/>
      </w:pPr>
      <w:r>
        <w:separator/>
      </w:r>
    </w:p>
  </w:footnote>
  <w:footnote w:type="continuationSeparator" w:id="0">
    <w:p w14:paraId="5D0B8271" w14:textId="77777777" w:rsidR="00B822FE" w:rsidRDefault="00B822FE" w:rsidP="003A0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F3C82" w14:textId="66A62B8C" w:rsidR="00886BFD" w:rsidRDefault="00886BFD">
    <w:pPr>
      <w:pStyle w:val="Header"/>
      <w:jc w:val="center"/>
    </w:pPr>
    <w:r>
      <w:fldChar w:fldCharType="begin"/>
    </w:r>
    <w:r>
      <w:instrText xml:space="preserve"> PAGE   \* MERGEFORMAT </w:instrText>
    </w:r>
    <w:r>
      <w:fldChar w:fldCharType="separate"/>
    </w:r>
    <w:r>
      <w:rPr>
        <w:noProof/>
      </w:rPr>
      <w:t>24</w:t>
    </w:r>
    <w:r>
      <w:rPr>
        <w:noProof/>
      </w:rPr>
      <w:fldChar w:fldCharType="end"/>
    </w:r>
  </w:p>
  <w:p w14:paraId="30013286" w14:textId="77777777" w:rsidR="00886BFD" w:rsidRDefault="00886B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07EEA"/>
    <w:multiLevelType w:val="multilevel"/>
    <w:tmpl w:val="3CFE533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34A066B"/>
    <w:multiLevelType w:val="multilevel"/>
    <w:tmpl w:val="D88E46BC"/>
    <w:lvl w:ilvl="0">
      <w:start w:val="1"/>
      <w:numFmt w:val="decimal"/>
      <w:lvlText w:val="%1."/>
      <w:lvlJc w:val="left"/>
      <w:pPr>
        <w:ind w:left="1211"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0331B1"/>
    <w:multiLevelType w:val="hybridMultilevel"/>
    <w:tmpl w:val="0F92CF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E306E34"/>
    <w:multiLevelType w:val="hybridMultilevel"/>
    <w:tmpl w:val="14C4FC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0761114"/>
    <w:multiLevelType w:val="hybridMultilevel"/>
    <w:tmpl w:val="3FE003A2"/>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5570CE1"/>
    <w:multiLevelType w:val="hybridMultilevel"/>
    <w:tmpl w:val="A33E1A74"/>
    <w:lvl w:ilvl="0" w:tplc="6AF22B8A">
      <w:start w:val="1"/>
      <w:numFmt w:val="decimal"/>
      <w:lvlText w:val="%1."/>
      <w:lvlJc w:val="left"/>
      <w:pPr>
        <w:ind w:left="1695" w:hanging="975"/>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7936645B"/>
    <w:multiLevelType w:val="hybridMultilevel"/>
    <w:tmpl w:val="A13E5C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C3262B6"/>
    <w:multiLevelType w:val="hybridMultilevel"/>
    <w:tmpl w:val="9DE007C0"/>
    <w:lvl w:ilvl="0" w:tplc="626AF94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5"/>
  </w:num>
  <w:num w:numId="5">
    <w:abstractNumId w:val="0"/>
  </w:num>
  <w:num w:numId="6">
    <w:abstractNumId w:val="2"/>
  </w:num>
  <w:num w:numId="7">
    <w:abstractNumId w:val="1"/>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hideSpellingErrors/>
  <w:hideGrammaticalErrors/>
  <w:proofState w:spelling="clean" w:grammar="clean"/>
  <w:defaultTabStop w:val="72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9F9"/>
    <w:rsid w:val="000037B2"/>
    <w:rsid w:val="000076BF"/>
    <w:rsid w:val="00013FAE"/>
    <w:rsid w:val="000141A1"/>
    <w:rsid w:val="0001655E"/>
    <w:rsid w:val="00016DB6"/>
    <w:rsid w:val="0001736A"/>
    <w:rsid w:val="00020398"/>
    <w:rsid w:val="00020499"/>
    <w:rsid w:val="00020ECF"/>
    <w:rsid w:val="00022A62"/>
    <w:rsid w:val="000238E4"/>
    <w:rsid w:val="000239F9"/>
    <w:rsid w:val="00025B7C"/>
    <w:rsid w:val="000265A7"/>
    <w:rsid w:val="0002684F"/>
    <w:rsid w:val="00031546"/>
    <w:rsid w:val="00033B9E"/>
    <w:rsid w:val="00035669"/>
    <w:rsid w:val="00040836"/>
    <w:rsid w:val="000413EB"/>
    <w:rsid w:val="000417B1"/>
    <w:rsid w:val="000417C2"/>
    <w:rsid w:val="00043735"/>
    <w:rsid w:val="000440AD"/>
    <w:rsid w:val="00044557"/>
    <w:rsid w:val="00045B37"/>
    <w:rsid w:val="00045C75"/>
    <w:rsid w:val="0004664A"/>
    <w:rsid w:val="00047385"/>
    <w:rsid w:val="00047E7B"/>
    <w:rsid w:val="0005115E"/>
    <w:rsid w:val="000544C0"/>
    <w:rsid w:val="00054B74"/>
    <w:rsid w:val="0005608C"/>
    <w:rsid w:val="000565A6"/>
    <w:rsid w:val="0005797F"/>
    <w:rsid w:val="00062272"/>
    <w:rsid w:val="00062EB7"/>
    <w:rsid w:val="00063B77"/>
    <w:rsid w:val="000657C1"/>
    <w:rsid w:val="000661D9"/>
    <w:rsid w:val="00067911"/>
    <w:rsid w:val="0007183A"/>
    <w:rsid w:val="0007212A"/>
    <w:rsid w:val="00072558"/>
    <w:rsid w:val="0007292A"/>
    <w:rsid w:val="00073D5A"/>
    <w:rsid w:val="00073EA9"/>
    <w:rsid w:val="00075666"/>
    <w:rsid w:val="000757A0"/>
    <w:rsid w:val="00081ABA"/>
    <w:rsid w:val="000821FA"/>
    <w:rsid w:val="00082A4B"/>
    <w:rsid w:val="00082C90"/>
    <w:rsid w:val="000850C8"/>
    <w:rsid w:val="00085768"/>
    <w:rsid w:val="000869D8"/>
    <w:rsid w:val="00086A01"/>
    <w:rsid w:val="000902C7"/>
    <w:rsid w:val="0009130C"/>
    <w:rsid w:val="00091A67"/>
    <w:rsid w:val="00092D7E"/>
    <w:rsid w:val="00094919"/>
    <w:rsid w:val="00097F38"/>
    <w:rsid w:val="000A00C2"/>
    <w:rsid w:val="000A3B3C"/>
    <w:rsid w:val="000A3EDD"/>
    <w:rsid w:val="000A514A"/>
    <w:rsid w:val="000A58A5"/>
    <w:rsid w:val="000B1513"/>
    <w:rsid w:val="000B2084"/>
    <w:rsid w:val="000B3145"/>
    <w:rsid w:val="000B4ECB"/>
    <w:rsid w:val="000B6293"/>
    <w:rsid w:val="000B7F63"/>
    <w:rsid w:val="000C04D5"/>
    <w:rsid w:val="000C0829"/>
    <w:rsid w:val="000C0E26"/>
    <w:rsid w:val="000C15FE"/>
    <w:rsid w:val="000C2B97"/>
    <w:rsid w:val="000C3CDB"/>
    <w:rsid w:val="000C5F37"/>
    <w:rsid w:val="000D1B4A"/>
    <w:rsid w:val="000D6EBF"/>
    <w:rsid w:val="000E3593"/>
    <w:rsid w:val="000E3ACC"/>
    <w:rsid w:val="000E3ED8"/>
    <w:rsid w:val="000E710D"/>
    <w:rsid w:val="000E792C"/>
    <w:rsid w:val="000F161C"/>
    <w:rsid w:val="000F35F9"/>
    <w:rsid w:val="000F3FD7"/>
    <w:rsid w:val="000F5E06"/>
    <w:rsid w:val="000F6088"/>
    <w:rsid w:val="000F7939"/>
    <w:rsid w:val="00102989"/>
    <w:rsid w:val="00106DE8"/>
    <w:rsid w:val="00107644"/>
    <w:rsid w:val="00107F48"/>
    <w:rsid w:val="00110561"/>
    <w:rsid w:val="00111C2D"/>
    <w:rsid w:val="001122AD"/>
    <w:rsid w:val="0011331D"/>
    <w:rsid w:val="00114194"/>
    <w:rsid w:val="00115874"/>
    <w:rsid w:val="00116F6A"/>
    <w:rsid w:val="001217A7"/>
    <w:rsid w:val="00124809"/>
    <w:rsid w:val="0012591F"/>
    <w:rsid w:val="001318E8"/>
    <w:rsid w:val="001333AA"/>
    <w:rsid w:val="00137304"/>
    <w:rsid w:val="001407C1"/>
    <w:rsid w:val="001420BE"/>
    <w:rsid w:val="00144377"/>
    <w:rsid w:val="00145700"/>
    <w:rsid w:val="0014586B"/>
    <w:rsid w:val="001461B7"/>
    <w:rsid w:val="001536A4"/>
    <w:rsid w:val="00157742"/>
    <w:rsid w:val="00157818"/>
    <w:rsid w:val="0016242F"/>
    <w:rsid w:val="00162757"/>
    <w:rsid w:val="00163694"/>
    <w:rsid w:val="00164E9E"/>
    <w:rsid w:val="00170174"/>
    <w:rsid w:val="0017079F"/>
    <w:rsid w:val="0017126A"/>
    <w:rsid w:val="00174428"/>
    <w:rsid w:val="00174A3B"/>
    <w:rsid w:val="00176AE3"/>
    <w:rsid w:val="00176D2C"/>
    <w:rsid w:val="00180FA4"/>
    <w:rsid w:val="00184135"/>
    <w:rsid w:val="001841B3"/>
    <w:rsid w:val="00186C50"/>
    <w:rsid w:val="00187CF8"/>
    <w:rsid w:val="00191955"/>
    <w:rsid w:val="00194149"/>
    <w:rsid w:val="0019699F"/>
    <w:rsid w:val="00196E78"/>
    <w:rsid w:val="001973D2"/>
    <w:rsid w:val="00197C5D"/>
    <w:rsid w:val="001A03A4"/>
    <w:rsid w:val="001A1323"/>
    <w:rsid w:val="001A151A"/>
    <w:rsid w:val="001A296D"/>
    <w:rsid w:val="001A4587"/>
    <w:rsid w:val="001A47B0"/>
    <w:rsid w:val="001A715F"/>
    <w:rsid w:val="001B0B15"/>
    <w:rsid w:val="001B1E02"/>
    <w:rsid w:val="001B3AE4"/>
    <w:rsid w:val="001B6007"/>
    <w:rsid w:val="001B640E"/>
    <w:rsid w:val="001B77D1"/>
    <w:rsid w:val="001C24FA"/>
    <w:rsid w:val="001C5DC4"/>
    <w:rsid w:val="001C5EEF"/>
    <w:rsid w:val="001C68F1"/>
    <w:rsid w:val="001D2424"/>
    <w:rsid w:val="001D255D"/>
    <w:rsid w:val="001D5F97"/>
    <w:rsid w:val="001D61C4"/>
    <w:rsid w:val="001D7744"/>
    <w:rsid w:val="001D7E85"/>
    <w:rsid w:val="001E0B73"/>
    <w:rsid w:val="001E2C77"/>
    <w:rsid w:val="001E5547"/>
    <w:rsid w:val="001E7B3F"/>
    <w:rsid w:val="001F0E91"/>
    <w:rsid w:val="001F112A"/>
    <w:rsid w:val="001F1887"/>
    <w:rsid w:val="001F505E"/>
    <w:rsid w:val="001F51BE"/>
    <w:rsid w:val="0020004D"/>
    <w:rsid w:val="00200813"/>
    <w:rsid w:val="00201CDC"/>
    <w:rsid w:val="00203B25"/>
    <w:rsid w:val="002042F9"/>
    <w:rsid w:val="00204E04"/>
    <w:rsid w:val="00204E3F"/>
    <w:rsid w:val="00204EB8"/>
    <w:rsid w:val="00205324"/>
    <w:rsid w:val="002105A3"/>
    <w:rsid w:val="00210E0C"/>
    <w:rsid w:val="00212BAE"/>
    <w:rsid w:val="00216B40"/>
    <w:rsid w:val="002217A5"/>
    <w:rsid w:val="00221B68"/>
    <w:rsid w:val="00223389"/>
    <w:rsid w:val="00225E19"/>
    <w:rsid w:val="00231143"/>
    <w:rsid w:val="0023141B"/>
    <w:rsid w:val="00236E42"/>
    <w:rsid w:val="0024396C"/>
    <w:rsid w:val="0024488C"/>
    <w:rsid w:val="002454E4"/>
    <w:rsid w:val="00245E6E"/>
    <w:rsid w:val="00245FF2"/>
    <w:rsid w:val="00247248"/>
    <w:rsid w:val="0024763B"/>
    <w:rsid w:val="002513AF"/>
    <w:rsid w:val="002536EE"/>
    <w:rsid w:val="00253A1A"/>
    <w:rsid w:val="00253F72"/>
    <w:rsid w:val="002544AA"/>
    <w:rsid w:val="00254F0E"/>
    <w:rsid w:val="00256A45"/>
    <w:rsid w:val="002603CB"/>
    <w:rsid w:val="00262000"/>
    <w:rsid w:val="002621FD"/>
    <w:rsid w:val="00263352"/>
    <w:rsid w:val="002634F2"/>
    <w:rsid w:val="0026519A"/>
    <w:rsid w:val="0026758B"/>
    <w:rsid w:val="00267655"/>
    <w:rsid w:val="002705C7"/>
    <w:rsid w:val="002720F3"/>
    <w:rsid w:val="00272267"/>
    <w:rsid w:val="00274913"/>
    <w:rsid w:val="00276883"/>
    <w:rsid w:val="00281A31"/>
    <w:rsid w:val="00283C4D"/>
    <w:rsid w:val="00285C51"/>
    <w:rsid w:val="00285FE2"/>
    <w:rsid w:val="00286D88"/>
    <w:rsid w:val="00287651"/>
    <w:rsid w:val="00291241"/>
    <w:rsid w:val="00291A7C"/>
    <w:rsid w:val="002A0DE6"/>
    <w:rsid w:val="002A4955"/>
    <w:rsid w:val="002A704E"/>
    <w:rsid w:val="002A7878"/>
    <w:rsid w:val="002B28E0"/>
    <w:rsid w:val="002B3DB2"/>
    <w:rsid w:val="002B5646"/>
    <w:rsid w:val="002C27F5"/>
    <w:rsid w:val="002C51F4"/>
    <w:rsid w:val="002C6141"/>
    <w:rsid w:val="002C7BB3"/>
    <w:rsid w:val="002D0EA2"/>
    <w:rsid w:val="002D1A6E"/>
    <w:rsid w:val="002D23C7"/>
    <w:rsid w:val="002D3D01"/>
    <w:rsid w:val="002D52B8"/>
    <w:rsid w:val="002D5A4D"/>
    <w:rsid w:val="002E0113"/>
    <w:rsid w:val="002E023D"/>
    <w:rsid w:val="002E0A02"/>
    <w:rsid w:val="002E1D87"/>
    <w:rsid w:val="002E324F"/>
    <w:rsid w:val="002E36E6"/>
    <w:rsid w:val="002E4A7A"/>
    <w:rsid w:val="002E4D35"/>
    <w:rsid w:val="002E59B7"/>
    <w:rsid w:val="002F025E"/>
    <w:rsid w:val="002F2399"/>
    <w:rsid w:val="002F31A8"/>
    <w:rsid w:val="002F3470"/>
    <w:rsid w:val="002F4727"/>
    <w:rsid w:val="002F4F3A"/>
    <w:rsid w:val="002F560D"/>
    <w:rsid w:val="002F57E7"/>
    <w:rsid w:val="002F5D9C"/>
    <w:rsid w:val="00301231"/>
    <w:rsid w:val="0030306B"/>
    <w:rsid w:val="0030344D"/>
    <w:rsid w:val="00306A91"/>
    <w:rsid w:val="003108FC"/>
    <w:rsid w:val="00311B4B"/>
    <w:rsid w:val="0031277A"/>
    <w:rsid w:val="00314EA3"/>
    <w:rsid w:val="003158C9"/>
    <w:rsid w:val="00315C3F"/>
    <w:rsid w:val="00317389"/>
    <w:rsid w:val="003176EF"/>
    <w:rsid w:val="003177FC"/>
    <w:rsid w:val="00317BB4"/>
    <w:rsid w:val="0032032B"/>
    <w:rsid w:val="003226E9"/>
    <w:rsid w:val="003235F8"/>
    <w:rsid w:val="00323A33"/>
    <w:rsid w:val="00324C4A"/>
    <w:rsid w:val="003264A2"/>
    <w:rsid w:val="0033143A"/>
    <w:rsid w:val="0033336C"/>
    <w:rsid w:val="00337DAC"/>
    <w:rsid w:val="00340A2B"/>
    <w:rsid w:val="00345ED9"/>
    <w:rsid w:val="00347533"/>
    <w:rsid w:val="00347F90"/>
    <w:rsid w:val="00352A82"/>
    <w:rsid w:val="00354EB2"/>
    <w:rsid w:val="00355939"/>
    <w:rsid w:val="00355949"/>
    <w:rsid w:val="00356C65"/>
    <w:rsid w:val="0036433B"/>
    <w:rsid w:val="00370670"/>
    <w:rsid w:val="00370E5E"/>
    <w:rsid w:val="00373EC5"/>
    <w:rsid w:val="00376221"/>
    <w:rsid w:val="003811A2"/>
    <w:rsid w:val="00382230"/>
    <w:rsid w:val="00385B1B"/>
    <w:rsid w:val="00385E8B"/>
    <w:rsid w:val="00386771"/>
    <w:rsid w:val="003874C9"/>
    <w:rsid w:val="00387623"/>
    <w:rsid w:val="003878BF"/>
    <w:rsid w:val="00387BB3"/>
    <w:rsid w:val="003913DB"/>
    <w:rsid w:val="00393511"/>
    <w:rsid w:val="003946DB"/>
    <w:rsid w:val="0039637F"/>
    <w:rsid w:val="003A08FE"/>
    <w:rsid w:val="003A0F64"/>
    <w:rsid w:val="003A21A8"/>
    <w:rsid w:val="003A2FBC"/>
    <w:rsid w:val="003A384D"/>
    <w:rsid w:val="003A5057"/>
    <w:rsid w:val="003A514A"/>
    <w:rsid w:val="003A6CBD"/>
    <w:rsid w:val="003A6DE6"/>
    <w:rsid w:val="003B191F"/>
    <w:rsid w:val="003B1A15"/>
    <w:rsid w:val="003B2BF5"/>
    <w:rsid w:val="003B45DF"/>
    <w:rsid w:val="003B7BF8"/>
    <w:rsid w:val="003C02D4"/>
    <w:rsid w:val="003C19C8"/>
    <w:rsid w:val="003C2199"/>
    <w:rsid w:val="003C2993"/>
    <w:rsid w:val="003C408A"/>
    <w:rsid w:val="003C45B7"/>
    <w:rsid w:val="003C6BA5"/>
    <w:rsid w:val="003C7996"/>
    <w:rsid w:val="003D1CA2"/>
    <w:rsid w:val="003D275B"/>
    <w:rsid w:val="003D3DBB"/>
    <w:rsid w:val="003D4281"/>
    <w:rsid w:val="003D4AB0"/>
    <w:rsid w:val="003D739B"/>
    <w:rsid w:val="003D7474"/>
    <w:rsid w:val="003D784E"/>
    <w:rsid w:val="003D7955"/>
    <w:rsid w:val="003E106A"/>
    <w:rsid w:val="003E15CB"/>
    <w:rsid w:val="003E21E4"/>
    <w:rsid w:val="003E23D1"/>
    <w:rsid w:val="003E24FF"/>
    <w:rsid w:val="003E2CE8"/>
    <w:rsid w:val="003E4047"/>
    <w:rsid w:val="003E621E"/>
    <w:rsid w:val="003E7F3A"/>
    <w:rsid w:val="003F069F"/>
    <w:rsid w:val="003F100E"/>
    <w:rsid w:val="003F2754"/>
    <w:rsid w:val="003F56E3"/>
    <w:rsid w:val="003F7D8F"/>
    <w:rsid w:val="004029AA"/>
    <w:rsid w:val="004059FD"/>
    <w:rsid w:val="00405C03"/>
    <w:rsid w:val="004101F0"/>
    <w:rsid w:val="00414ADA"/>
    <w:rsid w:val="00415117"/>
    <w:rsid w:val="004153CD"/>
    <w:rsid w:val="004168AA"/>
    <w:rsid w:val="00417060"/>
    <w:rsid w:val="00417D3D"/>
    <w:rsid w:val="0042154C"/>
    <w:rsid w:val="004221C2"/>
    <w:rsid w:val="004247FE"/>
    <w:rsid w:val="0043216A"/>
    <w:rsid w:val="00432FFA"/>
    <w:rsid w:val="00434C96"/>
    <w:rsid w:val="00434E63"/>
    <w:rsid w:val="00437BCE"/>
    <w:rsid w:val="00443583"/>
    <w:rsid w:val="00443D34"/>
    <w:rsid w:val="0044690A"/>
    <w:rsid w:val="004474A0"/>
    <w:rsid w:val="00450931"/>
    <w:rsid w:val="00451E91"/>
    <w:rsid w:val="00451EBA"/>
    <w:rsid w:val="00455240"/>
    <w:rsid w:val="004564E1"/>
    <w:rsid w:val="00457345"/>
    <w:rsid w:val="004576BE"/>
    <w:rsid w:val="00460511"/>
    <w:rsid w:val="00465678"/>
    <w:rsid w:val="004715F3"/>
    <w:rsid w:val="00471E10"/>
    <w:rsid w:val="004727D8"/>
    <w:rsid w:val="00476DD6"/>
    <w:rsid w:val="00482CB7"/>
    <w:rsid w:val="00492807"/>
    <w:rsid w:val="0049305B"/>
    <w:rsid w:val="004940C0"/>
    <w:rsid w:val="0049449B"/>
    <w:rsid w:val="00494B23"/>
    <w:rsid w:val="00496A6D"/>
    <w:rsid w:val="00497CAE"/>
    <w:rsid w:val="004A13C9"/>
    <w:rsid w:val="004A490E"/>
    <w:rsid w:val="004A4CE9"/>
    <w:rsid w:val="004A52F8"/>
    <w:rsid w:val="004B24A4"/>
    <w:rsid w:val="004B2571"/>
    <w:rsid w:val="004B2FA5"/>
    <w:rsid w:val="004B57D2"/>
    <w:rsid w:val="004C07EB"/>
    <w:rsid w:val="004C0DEF"/>
    <w:rsid w:val="004C2784"/>
    <w:rsid w:val="004C28AB"/>
    <w:rsid w:val="004C3223"/>
    <w:rsid w:val="004D1A5B"/>
    <w:rsid w:val="004D6617"/>
    <w:rsid w:val="004D66B7"/>
    <w:rsid w:val="004D67CE"/>
    <w:rsid w:val="004D7CC5"/>
    <w:rsid w:val="004E1D8B"/>
    <w:rsid w:val="004E22DD"/>
    <w:rsid w:val="004E282D"/>
    <w:rsid w:val="004E35B1"/>
    <w:rsid w:val="004E36BD"/>
    <w:rsid w:val="004E43A0"/>
    <w:rsid w:val="004E568D"/>
    <w:rsid w:val="004E67CE"/>
    <w:rsid w:val="004E687F"/>
    <w:rsid w:val="004F00AC"/>
    <w:rsid w:val="004F099C"/>
    <w:rsid w:val="004F300C"/>
    <w:rsid w:val="004F517E"/>
    <w:rsid w:val="004F64B1"/>
    <w:rsid w:val="004F6704"/>
    <w:rsid w:val="004F7986"/>
    <w:rsid w:val="00500C79"/>
    <w:rsid w:val="00503731"/>
    <w:rsid w:val="00505F1E"/>
    <w:rsid w:val="005068CD"/>
    <w:rsid w:val="0050695F"/>
    <w:rsid w:val="00506B61"/>
    <w:rsid w:val="005074E0"/>
    <w:rsid w:val="0050777D"/>
    <w:rsid w:val="00510D04"/>
    <w:rsid w:val="00515BD8"/>
    <w:rsid w:val="005216EF"/>
    <w:rsid w:val="005225B4"/>
    <w:rsid w:val="005229CE"/>
    <w:rsid w:val="00525501"/>
    <w:rsid w:val="005267E6"/>
    <w:rsid w:val="00526D17"/>
    <w:rsid w:val="0053044B"/>
    <w:rsid w:val="00531071"/>
    <w:rsid w:val="0053194A"/>
    <w:rsid w:val="00534933"/>
    <w:rsid w:val="00534F52"/>
    <w:rsid w:val="0053792C"/>
    <w:rsid w:val="005401F0"/>
    <w:rsid w:val="00540FDB"/>
    <w:rsid w:val="00541A25"/>
    <w:rsid w:val="00541AC0"/>
    <w:rsid w:val="005422A1"/>
    <w:rsid w:val="005464D4"/>
    <w:rsid w:val="00550B2A"/>
    <w:rsid w:val="00550BDF"/>
    <w:rsid w:val="00553923"/>
    <w:rsid w:val="005622D1"/>
    <w:rsid w:val="00563C44"/>
    <w:rsid w:val="005647A9"/>
    <w:rsid w:val="0056560F"/>
    <w:rsid w:val="0056742D"/>
    <w:rsid w:val="00567CC1"/>
    <w:rsid w:val="00567CC8"/>
    <w:rsid w:val="00570619"/>
    <w:rsid w:val="00570711"/>
    <w:rsid w:val="00571F8E"/>
    <w:rsid w:val="00572FEB"/>
    <w:rsid w:val="00573DFC"/>
    <w:rsid w:val="0057655B"/>
    <w:rsid w:val="00584EFF"/>
    <w:rsid w:val="0058592F"/>
    <w:rsid w:val="005865AD"/>
    <w:rsid w:val="00586871"/>
    <w:rsid w:val="00592501"/>
    <w:rsid w:val="00592961"/>
    <w:rsid w:val="00593240"/>
    <w:rsid w:val="005956E9"/>
    <w:rsid w:val="00595761"/>
    <w:rsid w:val="00596AB5"/>
    <w:rsid w:val="005972B7"/>
    <w:rsid w:val="00597B70"/>
    <w:rsid w:val="005A03DB"/>
    <w:rsid w:val="005A2ABD"/>
    <w:rsid w:val="005A2FCC"/>
    <w:rsid w:val="005A45F6"/>
    <w:rsid w:val="005A47D2"/>
    <w:rsid w:val="005A741E"/>
    <w:rsid w:val="005A7830"/>
    <w:rsid w:val="005B132B"/>
    <w:rsid w:val="005B19BA"/>
    <w:rsid w:val="005B30B9"/>
    <w:rsid w:val="005B4887"/>
    <w:rsid w:val="005B5364"/>
    <w:rsid w:val="005B79B1"/>
    <w:rsid w:val="005C534F"/>
    <w:rsid w:val="005D05D7"/>
    <w:rsid w:val="005D098A"/>
    <w:rsid w:val="005D0DC2"/>
    <w:rsid w:val="005D1639"/>
    <w:rsid w:val="005D182D"/>
    <w:rsid w:val="005D1BDB"/>
    <w:rsid w:val="005D2119"/>
    <w:rsid w:val="005D3299"/>
    <w:rsid w:val="005D4E75"/>
    <w:rsid w:val="005D5481"/>
    <w:rsid w:val="005D5AEB"/>
    <w:rsid w:val="005D7C23"/>
    <w:rsid w:val="005E0888"/>
    <w:rsid w:val="005E0B18"/>
    <w:rsid w:val="005E1555"/>
    <w:rsid w:val="005E2C35"/>
    <w:rsid w:val="005E359E"/>
    <w:rsid w:val="005E610D"/>
    <w:rsid w:val="005E6431"/>
    <w:rsid w:val="005F1D6E"/>
    <w:rsid w:val="005F1DB5"/>
    <w:rsid w:val="005F36A2"/>
    <w:rsid w:val="005F5EAD"/>
    <w:rsid w:val="005F71F9"/>
    <w:rsid w:val="006028DB"/>
    <w:rsid w:val="00602F65"/>
    <w:rsid w:val="00603296"/>
    <w:rsid w:val="006038F2"/>
    <w:rsid w:val="00606F7E"/>
    <w:rsid w:val="00610233"/>
    <w:rsid w:val="006108ED"/>
    <w:rsid w:val="0061225A"/>
    <w:rsid w:val="00612345"/>
    <w:rsid w:val="0061302E"/>
    <w:rsid w:val="0061382C"/>
    <w:rsid w:val="0061456E"/>
    <w:rsid w:val="00615AEF"/>
    <w:rsid w:val="00615CA2"/>
    <w:rsid w:val="00615D5C"/>
    <w:rsid w:val="00616F85"/>
    <w:rsid w:val="006200E6"/>
    <w:rsid w:val="006232B2"/>
    <w:rsid w:val="00624F89"/>
    <w:rsid w:val="006310D7"/>
    <w:rsid w:val="00634457"/>
    <w:rsid w:val="006403D1"/>
    <w:rsid w:val="00642218"/>
    <w:rsid w:val="006439C7"/>
    <w:rsid w:val="00646454"/>
    <w:rsid w:val="006466DE"/>
    <w:rsid w:val="0064708D"/>
    <w:rsid w:val="00647447"/>
    <w:rsid w:val="0064799E"/>
    <w:rsid w:val="00651FAE"/>
    <w:rsid w:val="006542F6"/>
    <w:rsid w:val="006548D4"/>
    <w:rsid w:val="00655219"/>
    <w:rsid w:val="006569F5"/>
    <w:rsid w:val="0065725C"/>
    <w:rsid w:val="00657580"/>
    <w:rsid w:val="006619B7"/>
    <w:rsid w:val="0066233A"/>
    <w:rsid w:val="00662A78"/>
    <w:rsid w:val="006639C7"/>
    <w:rsid w:val="00665D8F"/>
    <w:rsid w:val="00670AC3"/>
    <w:rsid w:val="006728D6"/>
    <w:rsid w:val="00675267"/>
    <w:rsid w:val="00681AB9"/>
    <w:rsid w:val="0068277E"/>
    <w:rsid w:val="00687971"/>
    <w:rsid w:val="00691566"/>
    <w:rsid w:val="00691E45"/>
    <w:rsid w:val="00691EE7"/>
    <w:rsid w:val="00693806"/>
    <w:rsid w:val="0069528D"/>
    <w:rsid w:val="0069635D"/>
    <w:rsid w:val="006964A5"/>
    <w:rsid w:val="006A0227"/>
    <w:rsid w:val="006A1C7C"/>
    <w:rsid w:val="006A2B1B"/>
    <w:rsid w:val="006A71B7"/>
    <w:rsid w:val="006B122C"/>
    <w:rsid w:val="006B63CB"/>
    <w:rsid w:val="006B77C7"/>
    <w:rsid w:val="006C496F"/>
    <w:rsid w:val="006C5061"/>
    <w:rsid w:val="006C60C3"/>
    <w:rsid w:val="006D242F"/>
    <w:rsid w:val="006D5A7A"/>
    <w:rsid w:val="006D5ACD"/>
    <w:rsid w:val="006E02A8"/>
    <w:rsid w:val="006E0EFC"/>
    <w:rsid w:val="006E1950"/>
    <w:rsid w:val="006E32B3"/>
    <w:rsid w:val="006E3792"/>
    <w:rsid w:val="006E3AF2"/>
    <w:rsid w:val="006F0082"/>
    <w:rsid w:val="006F04DD"/>
    <w:rsid w:val="006F07B6"/>
    <w:rsid w:val="006F1245"/>
    <w:rsid w:val="006F1254"/>
    <w:rsid w:val="006F2506"/>
    <w:rsid w:val="006F3C83"/>
    <w:rsid w:val="00700ACE"/>
    <w:rsid w:val="00701E1C"/>
    <w:rsid w:val="00703922"/>
    <w:rsid w:val="00703F14"/>
    <w:rsid w:val="00707370"/>
    <w:rsid w:val="00710C8E"/>
    <w:rsid w:val="00711F92"/>
    <w:rsid w:val="007143B2"/>
    <w:rsid w:val="00715570"/>
    <w:rsid w:val="00716507"/>
    <w:rsid w:val="007167CF"/>
    <w:rsid w:val="00716B50"/>
    <w:rsid w:val="007171DE"/>
    <w:rsid w:val="0072079C"/>
    <w:rsid w:val="00720DCC"/>
    <w:rsid w:val="00726C06"/>
    <w:rsid w:val="0072722A"/>
    <w:rsid w:val="00727B4C"/>
    <w:rsid w:val="0073066B"/>
    <w:rsid w:val="00734A64"/>
    <w:rsid w:val="00735BBC"/>
    <w:rsid w:val="007375A5"/>
    <w:rsid w:val="00741522"/>
    <w:rsid w:val="00741EFF"/>
    <w:rsid w:val="007424B4"/>
    <w:rsid w:val="00743900"/>
    <w:rsid w:val="00744077"/>
    <w:rsid w:val="0074452D"/>
    <w:rsid w:val="00745839"/>
    <w:rsid w:val="00746BE9"/>
    <w:rsid w:val="00747CFA"/>
    <w:rsid w:val="00747CFB"/>
    <w:rsid w:val="007502AD"/>
    <w:rsid w:val="0075074D"/>
    <w:rsid w:val="0075121F"/>
    <w:rsid w:val="007521A4"/>
    <w:rsid w:val="00752579"/>
    <w:rsid w:val="00752B14"/>
    <w:rsid w:val="00752BE7"/>
    <w:rsid w:val="00754031"/>
    <w:rsid w:val="007547AF"/>
    <w:rsid w:val="00755667"/>
    <w:rsid w:val="0075577E"/>
    <w:rsid w:val="00763C45"/>
    <w:rsid w:val="0076573A"/>
    <w:rsid w:val="0076624F"/>
    <w:rsid w:val="00771E25"/>
    <w:rsid w:val="0077611A"/>
    <w:rsid w:val="007778E8"/>
    <w:rsid w:val="00777925"/>
    <w:rsid w:val="0078055F"/>
    <w:rsid w:val="007831E5"/>
    <w:rsid w:val="0078371C"/>
    <w:rsid w:val="00784523"/>
    <w:rsid w:val="00790052"/>
    <w:rsid w:val="00791F30"/>
    <w:rsid w:val="00793E28"/>
    <w:rsid w:val="00795F14"/>
    <w:rsid w:val="00797ABE"/>
    <w:rsid w:val="007A3EBB"/>
    <w:rsid w:val="007A4D39"/>
    <w:rsid w:val="007A6AAD"/>
    <w:rsid w:val="007B1A04"/>
    <w:rsid w:val="007B241A"/>
    <w:rsid w:val="007B2E8C"/>
    <w:rsid w:val="007B4933"/>
    <w:rsid w:val="007B6390"/>
    <w:rsid w:val="007B7646"/>
    <w:rsid w:val="007C1C4B"/>
    <w:rsid w:val="007C2688"/>
    <w:rsid w:val="007C360F"/>
    <w:rsid w:val="007C41A6"/>
    <w:rsid w:val="007C58BE"/>
    <w:rsid w:val="007C6C3F"/>
    <w:rsid w:val="007D0AAC"/>
    <w:rsid w:val="007D36BE"/>
    <w:rsid w:val="007D48CF"/>
    <w:rsid w:val="007E3426"/>
    <w:rsid w:val="007E4545"/>
    <w:rsid w:val="007E47DD"/>
    <w:rsid w:val="007E777A"/>
    <w:rsid w:val="007E7E0A"/>
    <w:rsid w:val="007F1048"/>
    <w:rsid w:val="007F24B7"/>
    <w:rsid w:val="007F3072"/>
    <w:rsid w:val="007F3C2E"/>
    <w:rsid w:val="007F4219"/>
    <w:rsid w:val="007F4AE6"/>
    <w:rsid w:val="007F5A5E"/>
    <w:rsid w:val="007F5E64"/>
    <w:rsid w:val="007F67BC"/>
    <w:rsid w:val="0080378D"/>
    <w:rsid w:val="0080482F"/>
    <w:rsid w:val="00806DAF"/>
    <w:rsid w:val="0081136C"/>
    <w:rsid w:val="00812682"/>
    <w:rsid w:val="00815199"/>
    <w:rsid w:val="00816FD7"/>
    <w:rsid w:val="008204DC"/>
    <w:rsid w:val="00821BC2"/>
    <w:rsid w:val="00821D2F"/>
    <w:rsid w:val="00821EAA"/>
    <w:rsid w:val="008232D1"/>
    <w:rsid w:val="00823CA9"/>
    <w:rsid w:val="0082549E"/>
    <w:rsid w:val="00825871"/>
    <w:rsid w:val="00825E7F"/>
    <w:rsid w:val="00826BAE"/>
    <w:rsid w:val="00826C55"/>
    <w:rsid w:val="00827DB7"/>
    <w:rsid w:val="008306BB"/>
    <w:rsid w:val="00830A8D"/>
    <w:rsid w:val="0083143F"/>
    <w:rsid w:val="00833007"/>
    <w:rsid w:val="00833240"/>
    <w:rsid w:val="00836FE9"/>
    <w:rsid w:val="00841895"/>
    <w:rsid w:val="00842A8A"/>
    <w:rsid w:val="008443AF"/>
    <w:rsid w:val="0084667B"/>
    <w:rsid w:val="00847C9F"/>
    <w:rsid w:val="00852BF3"/>
    <w:rsid w:val="008562AC"/>
    <w:rsid w:val="0086169C"/>
    <w:rsid w:val="0086169E"/>
    <w:rsid w:val="00863493"/>
    <w:rsid w:val="008638F3"/>
    <w:rsid w:val="00864CA3"/>
    <w:rsid w:val="00867E01"/>
    <w:rsid w:val="008770CC"/>
    <w:rsid w:val="008775F9"/>
    <w:rsid w:val="00882C3A"/>
    <w:rsid w:val="008832CF"/>
    <w:rsid w:val="00886BFD"/>
    <w:rsid w:val="00887929"/>
    <w:rsid w:val="0089245B"/>
    <w:rsid w:val="00892732"/>
    <w:rsid w:val="00893075"/>
    <w:rsid w:val="008A0B0B"/>
    <w:rsid w:val="008A1DDF"/>
    <w:rsid w:val="008A3232"/>
    <w:rsid w:val="008A61F5"/>
    <w:rsid w:val="008B31E7"/>
    <w:rsid w:val="008B6B8E"/>
    <w:rsid w:val="008C0DA9"/>
    <w:rsid w:val="008C2E86"/>
    <w:rsid w:val="008C5157"/>
    <w:rsid w:val="008D0A3C"/>
    <w:rsid w:val="008D23B2"/>
    <w:rsid w:val="008D5268"/>
    <w:rsid w:val="008D5485"/>
    <w:rsid w:val="008D6EC4"/>
    <w:rsid w:val="008D6EE4"/>
    <w:rsid w:val="008E174E"/>
    <w:rsid w:val="008E1842"/>
    <w:rsid w:val="008E36C2"/>
    <w:rsid w:val="008E3B12"/>
    <w:rsid w:val="008E4B2D"/>
    <w:rsid w:val="008E4CE6"/>
    <w:rsid w:val="008E5D73"/>
    <w:rsid w:val="008F15A9"/>
    <w:rsid w:val="008F26F6"/>
    <w:rsid w:val="008F3C74"/>
    <w:rsid w:val="008F3E34"/>
    <w:rsid w:val="008F43B1"/>
    <w:rsid w:val="008F462F"/>
    <w:rsid w:val="008F5017"/>
    <w:rsid w:val="008F6361"/>
    <w:rsid w:val="009001F9"/>
    <w:rsid w:val="0090111A"/>
    <w:rsid w:val="0090190C"/>
    <w:rsid w:val="00901CB6"/>
    <w:rsid w:val="00905264"/>
    <w:rsid w:val="00906E96"/>
    <w:rsid w:val="00907110"/>
    <w:rsid w:val="009101EE"/>
    <w:rsid w:val="00910B16"/>
    <w:rsid w:val="00911FD9"/>
    <w:rsid w:val="00920754"/>
    <w:rsid w:val="0092554C"/>
    <w:rsid w:val="009259E9"/>
    <w:rsid w:val="00926CA1"/>
    <w:rsid w:val="00927044"/>
    <w:rsid w:val="00930288"/>
    <w:rsid w:val="009315EB"/>
    <w:rsid w:val="00931BA4"/>
    <w:rsid w:val="00931FCF"/>
    <w:rsid w:val="00932015"/>
    <w:rsid w:val="00933FC4"/>
    <w:rsid w:val="009362A7"/>
    <w:rsid w:val="0093631C"/>
    <w:rsid w:val="00937D1D"/>
    <w:rsid w:val="009419F0"/>
    <w:rsid w:val="00943D6E"/>
    <w:rsid w:val="00943DFF"/>
    <w:rsid w:val="009442F4"/>
    <w:rsid w:val="009456A2"/>
    <w:rsid w:val="009464F4"/>
    <w:rsid w:val="009515D3"/>
    <w:rsid w:val="0095176B"/>
    <w:rsid w:val="0095199B"/>
    <w:rsid w:val="009519E5"/>
    <w:rsid w:val="00952245"/>
    <w:rsid w:val="0095381B"/>
    <w:rsid w:val="009538A3"/>
    <w:rsid w:val="00953B2E"/>
    <w:rsid w:val="00953F9E"/>
    <w:rsid w:val="009578F5"/>
    <w:rsid w:val="009626FE"/>
    <w:rsid w:val="009629EC"/>
    <w:rsid w:val="00963458"/>
    <w:rsid w:val="0096469B"/>
    <w:rsid w:val="009651F0"/>
    <w:rsid w:val="00965EE9"/>
    <w:rsid w:val="00967E42"/>
    <w:rsid w:val="00967F2C"/>
    <w:rsid w:val="00972CC0"/>
    <w:rsid w:val="00972D4A"/>
    <w:rsid w:val="00973484"/>
    <w:rsid w:val="009737A0"/>
    <w:rsid w:val="00974B3F"/>
    <w:rsid w:val="009753B8"/>
    <w:rsid w:val="00975728"/>
    <w:rsid w:val="00975FC5"/>
    <w:rsid w:val="009765A7"/>
    <w:rsid w:val="00980A80"/>
    <w:rsid w:val="009812DE"/>
    <w:rsid w:val="00981890"/>
    <w:rsid w:val="00981EB4"/>
    <w:rsid w:val="009824F1"/>
    <w:rsid w:val="00984DBD"/>
    <w:rsid w:val="00984DE3"/>
    <w:rsid w:val="009850DA"/>
    <w:rsid w:val="00985B07"/>
    <w:rsid w:val="009877B5"/>
    <w:rsid w:val="009925C1"/>
    <w:rsid w:val="009927B8"/>
    <w:rsid w:val="00992FB6"/>
    <w:rsid w:val="00993EA7"/>
    <w:rsid w:val="0099549D"/>
    <w:rsid w:val="0099651A"/>
    <w:rsid w:val="009A1FED"/>
    <w:rsid w:val="009A2CF2"/>
    <w:rsid w:val="009A37C4"/>
    <w:rsid w:val="009A41A8"/>
    <w:rsid w:val="009A60F6"/>
    <w:rsid w:val="009A734F"/>
    <w:rsid w:val="009B3CC5"/>
    <w:rsid w:val="009B66F0"/>
    <w:rsid w:val="009C2762"/>
    <w:rsid w:val="009C59EC"/>
    <w:rsid w:val="009C6599"/>
    <w:rsid w:val="009C68AE"/>
    <w:rsid w:val="009D1ADC"/>
    <w:rsid w:val="009D48E4"/>
    <w:rsid w:val="009D4A9C"/>
    <w:rsid w:val="009D7132"/>
    <w:rsid w:val="009D7EFA"/>
    <w:rsid w:val="009E50A9"/>
    <w:rsid w:val="009F00FE"/>
    <w:rsid w:val="009F14D3"/>
    <w:rsid w:val="009F643F"/>
    <w:rsid w:val="009F6DAD"/>
    <w:rsid w:val="00A001C8"/>
    <w:rsid w:val="00A00FC9"/>
    <w:rsid w:val="00A01269"/>
    <w:rsid w:val="00A0153E"/>
    <w:rsid w:val="00A01C2E"/>
    <w:rsid w:val="00A03B45"/>
    <w:rsid w:val="00A05CC6"/>
    <w:rsid w:val="00A11E4D"/>
    <w:rsid w:val="00A132CE"/>
    <w:rsid w:val="00A1349B"/>
    <w:rsid w:val="00A14A80"/>
    <w:rsid w:val="00A15D7C"/>
    <w:rsid w:val="00A169F9"/>
    <w:rsid w:val="00A20982"/>
    <w:rsid w:val="00A20CD7"/>
    <w:rsid w:val="00A212B8"/>
    <w:rsid w:val="00A22B94"/>
    <w:rsid w:val="00A248B1"/>
    <w:rsid w:val="00A24E8F"/>
    <w:rsid w:val="00A255C6"/>
    <w:rsid w:val="00A26722"/>
    <w:rsid w:val="00A268AC"/>
    <w:rsid w:val="00A26C67"/>
    <w:rsid w:val="00A30A4E"/>
    <w:rsid w:val="00A3112F"/>
    <w:rsid w:val="00A33F1F"/>
    <w:rsid w:val="00A34CB3"/>
    <w:rsid w:val="00A35DFD"/>
    <w:rsid w:val="00A37D12"/>
    <w:rsid w:val="00A37F2F"/>
    <w:rsid w:val="00A40F52"/>
    <w:rsid w:val="00A41766"/>
    <w:rsid w:val="00A44FA0"/>
    <w:rsid w:val="00A477E0"/>
    <w:rsid w:val="00A51FE9"/>
    <w:rsid w:val="00A53EC3"/>
    <w:rsid w:val="00A548B0"/>
    <w:rsid w:val="00A5689F"/>
    <w:rsid w:val="00A6031C"/>
    <w:rsid w:val="00A606E0"/>
    <w:rsid w:val="00A6072C"/>
    <w:rsid w:val="00A620AD"/>
    <w:rsid w:val="00A628E3"/>
    <w:rsid w:val="00A62B2C"/>
    <w:rsid w:val="00A63AFB"/>
    <w:rsid w:val="00A64F97"/>
    <w:rsid w:val="00A66073"/>
    <w:rsid w:val="00A673F5"/>
    <w:rsid w:val="00A6740F"/>
    <w:rsid w:val="00A7324E"/>
    <w:rsid w:val="00A7330E"/>
    <w:rsid w:val="00A73FCB"/>
    <w:rsid w:val="00A74BD0"/>
    <w:rsid w:val="00A758A1"/>
    <w:rsid w:val="00A82B6E"/>
    <w:rsid w:val="00A82C04"/>
    <w:rsid w:val="00A8708E"/>
    <w:rsid w:val="00A87C83"/>
    <w:rsid w:val="00A911D5"/>
    <w:rsid w:val="00A94082"/>
    <w:rsid w:val="00A94729"/>
    <w:rsid w:val="00AA1AB0"/>
    <w:rsid w:val="00AA2523"/>
    <w:rsid w:val="00AA2A55"/>
    <w:rsid w:val="00AA5450"/>
    <w:rsid w:val="00AA5C5D"/>
    <w:rsid w:val="00AB39A3"/>
    <w:rsid w:val="00AB60D6"/>
    <w:rsid w:val="00AB7F98"/>
    <w:rsid w:val="00AC05AE"/>
    <w:rsid w:val="00AC075A"/>
    <w:rsid w:val="00AC0DAB"/>
    <w:rsid w:val="00AC13EA"/>
    <w:rsid w:val="00AC2AB4"/>
    <w:rsid w:val="00AC4283"/>
    <w:rsid w:val="00AC497E"/>
    <w:rsid w:val="00AC6D1F"/>
    <w:rsid w:val="00AD0698"/>
    <w:rsid w:val="00AD275F"/>
    <w:rsid w:val="00AD3D1D"/>
    <w:rsid w:val="00AD5546"/>
    <w:rsid w:val="00AD7AE0"/>
    <w:rsid w:val="00AE38FE"/>
    <w:rsid w:val="00AE42D8"/>
    <w:rsid w:val="00AE4914"/>
    <w:rsid w:val="00AE7BF2"/>
    <w:rsid w:val="00AE7C7E"/>
    <w:rsid w:val="00AF023F"/>
    <w:rsid w:val="00AF0D63"/>
    <w:rsid w:val="00AF20BA"/>
    <w:rsid w:val="00AF28B6"/>
    <w:rsid w:val="00AF4697"/>
    <w:rsid w:val="00AF4A1D"/>
    <w:rsid w:val="00AF53D6"/>
    <w:rsid w:val="00AF6275"/>
    <w:rsid w:val="00AF6621"/>
    <w:rsid w:val="00AF6759"/>
    <w:rsid w:val="00AF6A52"/>
    <w:rsid w:val="00AF6FAD"/>
    <w:rsid w:val="00AF7CD5"/>
    <w:rsid w:val="00B016AC"/>
    <w:rsid w:val="00B01C19"/>
    <w:rsid w:val="00B03BA3"/>
    <w:rsid w:val="00B0421A"/>
    <w:rsid w:val="00B04BAC"/>
    <w:rsid w:val="00B05123"/>
    <w:rsid w:val="00B11116"/>
    <w:rsid w:val="00B137AA"/>
    <w:rsid w:val="00B15A64"/>
    <w:rsid w:val="00B17415"/>
    <w:rsid w:val="00B17A79"/>
    <w:rsid w:val="00B17E72"/>
    <w:rsid w:val="00B31EEF"/>
    <w:rsid w:val="00B33585"/>
    <w:rsid w:val="00B34D4E"/>
    <w:rsid w:val="00B34E40"/>
    <w:rsid w:val="00B41002"/>
    <w:rsid w:val="00B41AB6"/>
    <w:rsid w:val="00B4388C"/>
    <w:rsid w:val="00B43BB8"/>
    <w:rsid w:val="00B45CC8"/>
    <w:rsid w:val="00B45EF1"/>
    <w:rsid w:val="00B46892"/>
    <w:rsid w:val="00B50729"/>
    <w:rsid w:val="00B51EFB"/>
    <w:rsid w:val="00B53A96"/>
    <w:rsid w:val="00B57E4A"/>
    <w:rsid w:val="00B65759"/>
    <w:rsid w:val="00B70CFB"/>
    <w:rsid w:val="00B7269B"/>
    <w:rsid w:val="00B72DD2"/>
    <w:rsid w:val="00B73881"/>
    <w:rsid w:val="00B74711"/>
    <w:rsid w:val="00B7602E"/>
    <w:rsid w:val="00B80743"/>
    <w:rsid w:val="00B8076C"/>
    <w:rsid w:val="00B822FE"/>
    <w:rsid w:val="00B82761"/>
    <w:rsid w:val="00B82B01"/>
    <w:rsid w:val="00B84183"/>
    <w:rsid w:val="00B8463F"/>
    <w:rsid w:val="00B856F2"/>
    <w:rsid w:val="00B86ABF"/>
    <w:rsid w:val="00B86F24"/>
    <w:rsid w:val="00B91414"/>
    <w:rsid w:val="00B9223E"/>
    <w:rsid w:val="00B94420"/>
    <w:rsid w:val="00BA0508"/>
    <w:rsid w:val="00BA213A"/>
    <w:rsid w:val="00BA5D8A"/>
    <w:rsid w:val="00BA5F8E"/>
    <w:rsid w:val="00BA65C8"/>
    <w:rsid w:val="00BB0F95"/>
    <w:rsid w:val="00BB2048"/>
    <w:rsid w:val="00BB4298"/>
    <w:rsid w:val="00BB697D"/>
    <w:rsid w:val="00BC24E1"/>
    <w:rsid w:val="00BC28EE"/>
    <w:rsid w:val="00BC5CAC"/>
    <w:rsid w:val="00BD2100"/>
    <w:rsid w:val="00BD3623"/>
    <w:rsid w:val="00BD4C1A"/>
    <w:rsid w:val="00BD6CB9"/>
    <w:rsid w:val="00BD7C5A"/>
    <w:rsid w:val="00BE1781"/>
    <w:rsid w:val="00BE3B61"/>
    <w:rsid w:val="00BE4081"/>
    <w:rsid w:val="00BE4A9B"/>
    <w:rsid w:val="00BF31DD"/>
    <w:rsid w:val="00BF5287"/>
    <w:rsid w:val="00BF5543"/>
    <w:rsid w:val="00C018EE"/>
    <w:rsid w:val="00C10EA6"/>
    <w:rsid w:val="00C13072"/>
    <w:rsid w:val="00C14DD1"/>
    <w:rsid w:val="00C16436"/>
    <w:rsid w:val="00C20C52"/>
    <w:rsid w:val="00C21216"/>
    <w:rsid w:val="00C23288"/>
    <w:rsid w:val="00C23647"/>
    <w:rsid w:val="00C24EAB"/>
    <w:rsid w:val="00C26FC7"/>
    <w:rsid w:val="00C31FD8"/>
    <w:rsid w:val="00C327EB"/>
    <w:rsid w:val="00C32E65"/>
    <w:rsid w:val="00C34D85"/>
    <w:rsid w:val="00C36099"/>
    <w:rsid w:val="00C37BB2"/>
    <w:rsid w:val="00C46A13"/>
    <w:rsid w:val="00C46C10"/>
    <w:rsid w:val="00C46E46"/>
    <w:rsid w:val="00C50132"/>
    <w:rsid w:val="00C51070"/>
    <w:rsid w:val="00C55A24"/>
    <w:rsid w:val="00C563A8"/>
    <w:rsid w:val="00C61B47"/>
    <w:rsid w:val="00C62762"/>
    <w:rsid w:val="00C6569B"/>
    <w:rsid w:val="00C65B2C"/>
    <w:rsid w:val="00C67354"/>
    <w:rsid w:val="00C702CC"/>
    <w:rsid w:val="00C710C3"/>
    <w:rsid w:val="00C75F4D"/>
    <w:rsid w:val="00C761E6"/>
    <w:rsid w:val="00C76C59"/>
    <w:rsid w:val="00C76EE8"/>
    <w:rsid w:val="00C80799"/>
    <w:rsid w:val="00C8092C"/>
    <w:rsid w:val="00C816F0"/>
    <w:rsid w:val="00C82EDD"/>
    <w:rsid w:val="00C82FA8"/>
    <w:rsid w:val="00C843B5"/>
    <w:rsid w:val="00C8645E"/>
    <w:rsid w:val="00C91C19"/>
    <w:rsid w:val="00C93547"/>
    <w:rsid w:val="00C9606A"/>
    <w:rsid w:val="00C96DA4"/>
    <w:rsid w:val="00CA276B"/>
    <w:rsid w:val="00CA2E88"/>
    <w:rsid w:val="00CA4B23"/>
    <w:rsid w:val="00CA5357"/>
    <w:rsid w:val="00CA58A7"/>
    <w:rsid w:val="00CA653F"/>
    <w:rsid w:val="00CB15CB"/>
    <w:rsid w:val="00CB2DFA"/>
    <w:rsid w:val="00CB4E2F"/>
    <w:rsid w:val="00CB5B38"/>
    <w:rsid w:val="00CB60F9"/>
    <w:rsid w:val="00CB75BA"/>
    <w:rsid w:val="00CC36CA"/>
    <w:rsid w:val="00CC7DDC"/>
    <w:rsid w:val="00CD0455"/>
    <w:rsid w:val="00CD0BA6"/>
    <w:rsid w:val="00CD1FED"/>
    <w:rsid w:val="00CD3C84"/>
    <w:rsid w:val="00CD58AF"/>
    <w:rsid w:val="00CD701D"/>
    <w:rsid w:val="00CD70A6"/>
    <w:rsid w:val="00CE07DC"/>
    <w:rsid w:val="00CE795C"/>
    <w:rsid w:val="00CF1E32"/>
    <w:rsid w:val="00CF406C"/>
    <w:rsid w:val="00CF47EB"/>
    <w:rsid w:val="00CF5C80"/>
    <w:rsid w:val="00CF66AE"/>
    <w:rsid w:val="00D005D8"/>
    <w:rsid w:val="00D00C95"/>
    <w:rsid w:val="00D038DF"/>
    <w:rsid w:val="00D05BF0"/>
    <w:rsid w:val="00D10BE8"/>
    <w:rsid w:val="00D12097"/>
    <w:rsid w:val="00D15EA8"/>
    <w:rsid w:val="00D17C15"/>
    <w:rsid w:val="00D21A8C"/>
    <w:rsid w:val="00D27532"/>
    <w:rsid w:val="00D352DC"/>
    <w:rsid w:val="00D35DD7"/>
    <w:rsid w:val="00D42003"/>
    <w:rsid w:val="00D436D4"/>
    <w:rsid w:val="00D44C80"/>
    <w:rsid w:val="00D47875"/>
    <w:rsid w:val="00D5057B"/>
    <w:rsid w:val="00D512A1"/>
    <w:rsid w:val="00D51CDD"/>
    <w:rsid w:val="00D52905"/>
    <w:rsid w:val="00D53595"/>
    <w:rsid w:val="00D537DE"/>
    <w:rsid w:val="00D54E7F"/>
    <w:rsid w:val="00D556AA"/>
    <w:rsid w:val="00D55CBC"/>
    <w:rsid w:val="00D57C1F"/>
    <w:rsid w:val="00D62640"/>
    <w:rsid w:val="00D62C0E"/>
    <w:rsid w:val="00D630F7"/>
    <w:rsid w:val="00D64632"/>
    <w:rsid w:val="00D653F5"/>
    <w:rsid w:val="00D66872"/>
    <w:rsid w:val="00D70AAD"/>
    <w:rsid w:val="00D71DA1"/>
    <w:rsid w:val="00D7378F"/>
    <w:rsid w:val="00D7692B"/>
    <w:rsid w:val="00D772FE"/>
    <w:rsid w:val="00D82AFC"/>
    <w:rsid w:val="00D84DC1"/>
    <w:rsid w:val="00D84DFF"/>
    <w:rsid w:val="00D84ECD"/>
    <w:rsid w:val="00D861D9"/>
    <w:rsid w:val="00D86EE7"/>
    <w:rsid w:val="00D87E93"/>
    <w:rsid w:val="00D900E7"/>
    <w:rsid w:val="00D914B1"/>
    <w:rsid w:val="00D94186"/>
    <w:rsid w:val="00D95F61"/>
    <w:rsid w:val="00D96D52"/>
    <w:rsid w:val="00D973FA"/>
    <w:rsid w:val="00D97BD6"/>
    <w:rsid w:val="00DA1CAB"/>
    <w:rsid w:val="00DA1D9C"/>
    <w:rsid w:val="00DA55A2"/>
    <w:rsid w:val="00DA56A4"/>
    <w:rsid w:val="00DA6FFC"/>
    <w:rsid w:val="00DB2D99"/>
    <w:rsid w:val="00DB4931"/>
    <w:rsid w:val="00DB7B3F"/>
    <w:rsid w:val="00DC06E2"/>
    <w:rsid w:val="00DC441B"/>
    <w:rsid w:val="00DC466C"/>
    <w:rsid w:val="00DC623F"/>
    <w:rsid w:val="00DC66F9"/>
    <w:rsid w:val="00DD24AF"/>
    <w:rsid w:val="00DD4E44"/>
    <w:rsid w:val="00DE101A"/>
    <w:rsid w:val="00DE22CC"/>
    <w:rsid w:val="00DE3AC1"/>
    <w:rsid w:val="00DF0E6A"/>
    <w:rsid w:val="00DF2C5E"/>
    <w:rsid w:val="00DF6F10"/>
    <w:rsid w:val="00E0025D"/>
    <w:rsid w:val="00E0041D"/>
    <w:rsid w:val="00E00CC3"/>
    <w:rsid w:val="00E01452"/>
    <w:rsid w:val="00E015DF"/>
    <w:rsid w:val="00E0251A"/>
    <w:rsid w:val="00E03251"/>
    <w:rsid w:val="00E03E18"/>
    <w:rsid w:val="00E06F93"/>
    <w:rsid w:val="00E109FF"/>
    <w:rsid w:val="00E12380"/>
    <w:rsid w:val="00E12573"/>
    <w:rsid w:val="00E13C2C"/>
    <w:rsid w:val="00E13DF8"/>
    <w:rsid w:val="00E21233"/>
    <w:rsid w:val="00E22185"/>
    <w:rsid w:val="00E26FC6"/>
    <w:rsid w:val="00E275C7"/>
    <w:rsid w:val="00E326F8"/>
    <w:rsid w:val="00E35560"/>
    <w:rsid w:val="00E42BAC"/>
    <w:rsid w:val="00E43D28"/>
    <w:rsid w:val="00E45667"/>
    <w:rsid w:val="00E46407"/>
    <w:rsid w:val="00E4730E"/>
    <w:rsid w:val="00E4784A"/>
    <w:rsid w:val="00E5196D"/>
    <w:rsid w:val="00E5684B"/>
    <w:rsid w:val="00E575F1"/>
    <w:rsid w:val="00E606D3"/>
    <w:rsid w:val="00E60810"/>
    <w:rsid w:val="00E61125"/>
    <w:rsid w:val="00E62732"/>
    <w:rsid w:val="00E632C9"/>
    <w:rsid w:val="00E63DD0"/>
    <w:rsid w:val="00E65C2B"/>
    <w:rsid w:val="00E665E9"/>
    <w:rsid w:val="00E668D1"/>
    <w:rsid w:val="00E6700A"/>
    <w:rsid w:val="00E72523"/>
    <w:rsid w:val="00E72EEC"/>
    <w:rsid w:val="00E73385"/>
    <w:rsid w:val="00E748F7"/>
    <w:rsid w:val="00E80286"/>
    <w:rsid w:val="00E8445C"/>
    <w:rsid w:val="00E84888"/>
    <w:rsid w:val="00E9388A"/>
    <w:rsid w:val="00E94C68"/>
    <w:rsid w:val="00E96ACA"/>
    <w:rsid w:val="00EA1AC4"/>
    <w:rsid w:val="00EA3128"/>
    <w:rsid w:val="00EA4350"/>
    <w:rsid w:val="00EA4FC7"/>
    <w:rsid w:val="00EA61F6"/>
    <w:rsid w:val="00EB3BD8"/>
    <w:rsid w:val="00EB43C5"/>
    <w:rsid w:val="00EC01AE"/>
    <w:rsid w:val="00EC18F1"/>
    <w:rsid w:val="00EC29AB"/>
    <w:rsid w:val="00EC325B"/>
    <w:rsid w:val="00ED02C9"/>
    <w:rsid w:val="00ED4F15"/>
    <w:rsid w:val="00ED7211"/>
    <w:rsid w:val="00ED772E"/>
    <w:rsid w:val="00EE565A"/>
    <w:rsid w:val="00EE7EF3"/>
    <w:rsid w:val="00EF0973"/>
    <w:rsid w:val="00EF0E7D"/>
    <w:rsid w:val="00EF32CF"/>
    <w:rsid w:val="00EF42AF"/>
    <w:rsid w:val="00F00234"/>
    <w:rsid w:val="00F02372"/>
    <w:rsid w:val="00F07647"/>
    <w:rsid w:val="00F07D0B"/>
    <w:rsid w:val="00F140D3"/>
    <w:rsid w:val="00F144F9"/>
    <w:rsid w:val="00F1497F"/>
    <w:rsid w:val="00F15A88"/>
    <w:rsid w:val="00F15FA8"/>
    <w:rsid w:val="00F1604B"/>
    <w:rsid w:val="00F204CE"/>
    <w:rsid w:val="00F20781"/>
    <w:rsid w:val="00F209FC"/>
    <w:rsid w:val="00F22E92"/>
    <w:rsid w:val="00F2346C"/>
    <w:rsid w:val="00F26113"/>
    <w:rsid w:val="00F30589"/>
    <w:rsid w:val="00F306AA"/>
    <w:rsid w:val="00F307C4"/>
    <w:rsid w:val="00F3168D"/>
    <w:rsid w:val="00F334D6"/>
    <w:rsid w:val="00F4097C"/>
    <w:rsid w:val="00F41F57"/>
    <w:rsid w:val="00F43A6F"/>
    <w:rsid w:val="00F44223"/>
    <w:rsid w:val="00F449B3"/>
    <w:rsid w:val="00F50DD6"/>
    <w:rsid w:val="00F510C1"/>
    <w:rsid w:val="00F5155A"/>
    <w:rsid w:val="00F5240E"/>
    <w:rsid w:val="00F5697A"/>
    <w:rsid w:val="00F6103E"/>
    <w:rsid w:val="00F62C9F"/>
    <w:rsid w:val="00F64103"/>
    <w:rsid w:val="00F65033"/>
    <w:rsid w:val="00F66122"/>
    <w:rsid w:val="00F7286F"/>
    <w:rsid w:val="00F72974"/>
    <w:rsid w:val="00F739CB"/>
    <w:rsid w:val="00F76333"/>
    <w:rsid w:val="00F76C88"/>
    <w:rsid w:val="00F7722C"/>
    <w:rsid w:val="00F77CB8"/>
    <w:rsid w:val="00F817CB"/>
    <w:rsid w:val="00F81D34"/>
    <w:rsid w:val="00F82AFA"/>
    <w:rsid w:val="00F83C76"/>
    <w:rsid w:val="00F855A5"/>
    <w:rsid w:val="00F864E0"/>
    <w:rsid w:val="00F865CA"/>
    <w:rsid w:val="00F91109"/>
    <w:rsid w:val="00F921CF"/>
    <w:rsid w:val="00F95F8A"/>
    <w:rsid w:val="00F977A9"/>
    <w:rsid w:val="00FA1453"/>
    <w:rsid w:val="00FA1C90"/>
    <w:rsid w:val="00FA22A8"/>
    <w:rsid w:val="00FA2AD8"/>
    <w:rsid w:val="00FA6ED5"/>
    <w:rsid w:val="00FB3952"/>
    <w:rsid w:val="00FC13FD"/>
    <w:rsid w:val="00FC7DB0"/>
    <w:rsid w:val="00FC7FE3"/>
    <w:rsid w:val="00FD1519"/>
    <w:rsid w:val="00FD15E2"/>
    <w:rsid w:val="00FD2634"/>
    <w:rsid w:val="00FD7F83"/>
    <w:rsid w:val="00FE0147"/>
    <w:rsid w:val="00FE1C67"/>
    <w:rsid w:val="00FE2F49"/>
    <w:rsid w:val="00FE30C7"/>
    <w:rsid w:val="00FE3F58"/>
    <w:rsid w:val="00FF00BE"/>
    <w:rsid w:val="00FF3A63"/>
    <w:rsid w:val="00FF5039"/>
    <w:rsid w:val="00FF74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00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0239F9"/>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0239F9"/>
    <w:rPr>
      <w:rFonts w:ascii="Times New Roman" w:eastAsia="Times New Roman" w:hAnsi="Times New Roman" w:cs="Times New Roman"/>
      <w:sz w:val="24"/>
      <w:szCs w:val="24"/>
      <w:lang w:val="x-none" w:eastAsia="x-none"/>
    </w:rPr>
  </w:style>
  <w:style w:type="paragraph" w:styleId="ListParagraph">
    <w:name w:val="List Paragraph"/>
    <w:aliases w:val="2,H&amp;P List Paragraph,Strip"/>
    <w:basedOn w:val="Normal"/>
    <w:link w:val="ListParagraphChar"/>
    <w:uiPriority w:val="34"/>
    <w:qFormat/>
    <w:rsid w:val="00DC441B"/>
    <w:pPr>
      <w:ind w:left="720"/>
      <w:contextualSpacing/>
    </w:pPr>
  </w:style>
  <w:style w:type="character" w:styleId="Hyperlink">
    <w:name w:val="Hyperlink"/>
    <w:basedOn w:val="DefaultParagraphFont"/>
    <w:uiPriority w:val="99"/>
    <w:unhideWhenUsed/>
    <w:rsid w:val="00E46407"/>
    <w:rPr>
      <w:color w:val="0000FF" w:themeColor="hyperlink"/>
      <w:u w:val="single"/>
    </w:rPr>
  </w:style>
  <w:style w:type="paragraph" w:styleId="BalloonText">
    <w:name w:val="Balloon Text"/>
    <w:basedOn w:val="Normal"/>
    <w:link w:val="BalloonTextChar"/>
    <w:uiPriority w:val="99"/>
    <w:semiHidden/>
    <w:unhideWhenUsed/>
    <w:rsid w:val="00CE7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95C"/>
    <w:rPr>
      <w:rFonts w:ascii="Tahoma" w:hAnsi="Tahoma" w:cs="Tahoma"/>
      <w:sz w:val="16"/>
      <w:szCs w:val="16"/>
    </w:rPr>
  </w:style>
  <w:style w:type="character" w:styleId="CommentReference">
    <w:name w:val="annotation reference"/>
    <w:basedOn w:val="DefaultParagraphFont"/>
    <w:uiPriority w:val="99"/>
    <w:semiHidden/>
    <w:unhideWhenUsed/>
    <w:rsid w:val="00204E04"/>
    <w:rPr>
      <w:sz w:val="16"/>
      <w:szCs w:val="16"/>
    </w:rPr>
  </w:style>
  <w:style w:type="paragraph" w:styleId="CommentText">
    <w:name w:val="annotation text"/>
    <w:basedOn w:val="Normal"/>
    <w:link w:val="CommentTextChar"/>
    <w:uiPriority w:val="99"/>
    <w:unhideWhenUsed/>
    <w:rsid w:val="00204E04"/>
    <w:pPr>
      <w:spacing w:line="240" w:lineRule="auto"/>
    </w:pPr>
    <w:rPr>
      <w:sz w:val="20"/>
      <w:szCs w:val="20"/>
    </w:rPr>
  </w:style>
  <w:style w:type="character" w:customStyle="1" w:styleId="CommentTextChar">
    <w:name w:val="Comment Text Char"/>
    <w:basedOn w:val="DefaultParagraphFont"/>
    <w:link w:val="CommentText"/>
    <w:uiPriority w:val="99"/>
    <w:rsid w:val="00204E04"/>
    <w:rPr>
      <w:sz w:val="20"/>
      <w:szCs w:val="20"/>
    </w:rPr>
  </w:style>
  <w:style w:type="paragraph" w:styleId="CommentSubject">
    <w:name w:val="annotation subject"/>
    <w:basedOn w:val="CommentText"/>
    <w:next w:val="CommentText"/>
    <w:link w:val="CommentSubjectChar"/>
    <w:uiPriority w:val="99"/>
    <w:semiHidden/>
    <w:unhideWhenUsed/>
    <w:rsid w:val="00204E04"/>
    <w:rPr>
      <w:b/>
      <w:bCs/>
    </w:rPr>
  </w:style>
  <w:style w:type="character" w:customStyle="1" w:styleId="CommentSubjectChar">
    <w:name w:val="Comment Subject Char"/>
    <w:basedOn w:val="CommentTextChar"/>
    <w:link w:val="CommentSubject"/>
    <w:uiPriority w:val="99"/>
    <w:semiHidden/>
    <w:rsid w:val="00204E04"/>
    <w:rPr>
      <w:b/>
      <w:bCs/>
      <w:sz w:val="20"/>
      <w:szCs w:val="20"/>
    </w:rPr>
  </w:style>
  <w:style w:type="paragraph" w:styleId="FootnoteText">
    <w:name w:val="footnote text"/>
    <w:basedOn w:val="Normal"/>
    <w:link w:val="FootnoteTextChar"/>
    <w:rsid w:val="0020004D"/>
    <w:pPr>
      <w:spacing w:after="0" w:line="240" w:lineRule="auto"/>
      <w:jc w:val="both"/>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rsid w:val="0020004D"/>
    <w:rPr>
      <w:rFonts w:ascii="Times New Roman" w:eastAsiaTheme="minorEastAsia" w:hAnsi="Times New Roman" w:cs="Times New Roman"/>
      <w:sz w:val="20"/>
      <w:szCs w:val="20"/>
    </w:rPr>
  </w:style>
  <w:style w:type="character" w:styleId="FootnoteReference">
    <w:name w:val="footnote reference"/>
    <w:basedOn w:val="DefaultParagraphFont"/>
    <w:semiHidden/>
    <w:unhideWhenUsed/>
    <w:rsid w:val="0020004D"/>
    <w:rPr>
      <w:vertAlign w:val="superscript"/>
    </w:rPr>
  </w:style>
  <w:style w:type="character" w:customStyle="1" w:styleId="ListParagraphChar">
    <w:name w:val="List Paragraph Char"/>
    <w:aliases w:val="2 Char,H&amp;P List Paragraph Char,Strip Char"/>
    <w:link w:val="ListParagraph"/>
    <w:uiPriority w:val="34"/>
    <w:qFormat/>
    <w:locked/>
    <w:rsid w:val="0020004D"/>
  </w:style>
  <w:style w:type="paragraph" w:styleId="Revision">
    <w:name w:val="Revision"/>
    <w:hidden/>
    <w:uiPriority w:val="99"/>
    <w:semiHidden/>
    <w:rsid w:val="003176EF"/>
    <w:pPr>
      <w:spacing w:after="0" w:line="240" w:lineRule="auto"/>
    </w:pPr>
  </w:style>
  <w:style w:type="character" w:styleId="Emphasis">
    <w:name w:val="Emphasis"/>
    <w:basedOn w:val="DefaultParagraphFont"/>
    <w:uiPriority w:val="20"/>
    <w:qFormat/>
    <w:rsid w:val="00082C90"/>
    <w:rPr>
      <w:b/>
      <w:bCs/>
      <w:i w:val="0"/>
      <w:iCs w:val="0"/>
    </w:rPr>
  </w:style>
  <w:style w:type="character" w:customStyle="1" w:styleId="st1">
    <w:name w:val="st1"/>
    <w:basedOn w:val="DefaultParagraphFont"/>
    <w:rsid w:val="00082C90"/>
  </w:style>
  <w:style w:type="character" w:styleId="FollowedHyperlink">
    <w:name w:val="FollowedHyperlink"/>
    <w:basedOn w:val="DefaultParagraphFont"/>
    <w:uiPriority w:val="99"/>
    <w:semiHidden/>
    <w:unhideWhenUsed/>
    <w:rsid w:val="00F65033"/>
    <w:rPr>
      <w:color w:val="800080" w:themeColor="followedHyperlink"/>
      <w:u w:val="single"/>
    </w:rPr>
  </w:style>
  <w:style w:type="paragraph" w:customStyle="1" w:styleId="c3">
    <w:name w:val="c3"/>
    <w:basedOn w:val="Normal"/>
    <w:rsid w:val="00022A62"/>
    <w:pPr>
      <w:spacing w:before="100" w:beforeAutospacing="1" w:after="100" w:afterAutospacing="1" w:line="240" w:lineRule="auto"/>
      <w:jc w:val="both"/>
    </w:pPr>
    <w:rPr>
      <w:rFonts w:ascii="Times New Roman" w:hAnsi="Times New Roman" w:cs="Times New Roman"/>
      <w:sz w:val="24"/>
      <w:szCs w:val="24"/>
      <w:lang w:eastAsia="lv-LV"/>
    </w:rPr>
  </w:style>
  <w:style w:type="character" w:customStyle="1" w:styleId="c4">
    <w:name w:val="c4"/>
    <w:basedOn w:val="DefaultParagraphFont"/>
    <w:rsid w:val="00022A62"/>
    <w:rPr>
      <w:rFonts w:ascii="Symbol" w:hAnsi="Symbol" w:hint="default"/>
      <w:sz w:val="28"/>
      <w:szCs w:val="28"/>
    </w:rPr>
  </w:style>
  <w:style w:type="paragraph" w:customStyle="1" w:styleId="naisf">
    <w:name w:val="naisf"/>
    <w:basedOn w:val="Normal"/>
    <w:rsid w:val="00022A6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Default">
    <w:name w:val="Default"/>
    <w:rsid w:val="0027688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75403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06F7E"/>
  </w:style>
  <w:style w:type="paragraph" w:customStyle="1" w:styleId="tv2132">
    <w:name w:val="tv2132"/>
    <w:basedOn w:val="Normal"/>
    <w:rsid w:val="005B30B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0417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A33F1F"/>
    <w:pPr>
      <w:spacing w:before="75" w:after="75" w:line="240" w:lineRule="auto"/>
      <w:jc w:val="center"/>
    </w:pPr>
    <w:rPr>
      <w:rFonts w:ascii="Times New Roman" w:eastAsia="Times New Roman" w:hAnsi="Times New Roman" w:cs="Times New Roman"/>
      <w:sz w:val="24"/>
      <w:szCs w:val="24"/>
      <w:lang w:eastAsia="lv-LV"/>
    </w:rPr>
  </w:style>
  <w:style w:type="paragraph" w:customStyle="1" w:styleId="Normal1">
    <w:name w:val="Normal1"/>
    <w:basedOn w:val="Normal"/>
    <w:rsid w:val="000268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144377"/>
    <w:rPr>
      <w:color w:val="808080"/>
      <w:shd w:val="clear" w:color="auto" w:fill="E6E6E6"/>
    </w:rPr>
  </w:style>
  <w:style w:type="paragraph" w:styleId="NoSpacing">
    <w:name w:val="No Spacing"/>
    <w:uiPriority w:val="1"/>
    <w:qFormat/>
    <w:rsid w:val="006E3AF2"/>
    <w:pPr>
      <w:spacing w:after="0" w:line="240" w:lineRule="auto"/>
    </w:pPr>
  </w:style>
  <w:style w:type="character" w:styleId="UnresolvedMention">
    <w:name w:val="Unresolved Mention"/>
    <w:basedOn w:val="DefaultParagraphFont"/>
    <w:uiPriority w:val="99"/>
    <w:semiHidden/>
    <w:unhideWhenUsed/>
    <w:rsid w:val="00A0153E"/>
    <w:rPr>
      <w:color w:val="605E5C"/>
      <w:shd w:val="clear" w:color="auto" w:fill="E1DFDD"/>
    </w:rPr>
  </w:style>
  <w:style w:type="paragraph" w:styleId="NormalWeb">
    <w:name w:val="Normal (Web)"/>
    <w:basedOn w:val="Normal"/>
    <w:uiPriority w:val="99"/>
    <w:semiHidden/>
    <w:unhideWhenUsed/>
    <w:rsid w:val="003D275B"/>
    <w:pPr>
      <w:spacing w:after="0" w:line="240" w:lineRule="auto"/>
    </w:pPr>
    <w:rPr>
      <w:rFonts w:ascii="Calibri" w:eastAsia="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43482">
      <w:bodyDiv w:val="1"/>
      <w:marLeft w:val="0"/>
      <w:marRight w:val="0"/>
      <w:marTop w:val="0"/>
      <w:marBottom w:val="0"/>
      <w:divBdr>
        <w:top w:val="none" w:sz="0" w:space="0" w:color="auto"/>
        <w:left w:val="none" w:sz="0" w:space="0" w:color="auto"/>
        <w:bottom w:val="none" w:sz="0" w:space="0" w:color="auto"/>
        <w:right w:val="none" w:sz="0" w:space="0" w:color="auto"/>
      </w:divBdr>
    </w:div>
    <w:div w:id="124011265">
      <w:bodyDiv w:val="1"/>
      <w:marLeft w:val="0"/>
      <w:marRight w:val="0"/>
      <w:marTop w:val="0"/>
      <w:marBottom w:val="0"/>
      <w:divBdr>
        <w:top w:val="none" w:sz="0" w:space="0" w:color="auto"/>
        <w:left w:val="none" w:sz="0" w:space="0" w:color="auto"/>
        <w:bottom w:val="none" w:sz="0" w:space="0" w:color="auto"/>
        <w:right w:val="none" w:sz="0" w:space="0" w:color="auto"/>
      </w:divBdr>
      <w:divsChild>
        <w:div w:id="191919462">
          <w:marLeft w:val="1440"/>
          <w:marRight w:val="0"/>
          <w:marTop w:val="115"/>
          <w:marBottom w:val="0"/>
          <w:divBdr>
            <w:top w:val="none" w:sz="0" w:space="0" w:color="auto"/>
            <w:left w:val="none" w:sz="0" w:space="0" w:color="auto"/>
            <w:bottom w:val="none" w:sz="0" w:space="0" w:color="auto"/>
            <w:right w:val="none" w:sz="0" w:space="0" w:color="auto"/>
          </w:divBdr>
        </w:div>
        <w:div w:id="556278350">
          <w:marLeft w:val="1440"/>
          <w:marRight w:val="0"/>
          <w:marTop w:val="115"/>
          <w:marBottom w:val="0"/>
          <w:divBdr>
            <w:top w:val="none" w:sz="0" w:space="0" w:color="auto"/>
            <w:left w:val="none" w:sz="0" w:space="0" w:color="auto"/>
            <w:bottom w:val="none" w:sz="0" w:space="0" w:color="auto"/>
            <w:right w:val="none" w:sz="0" w:space="0" w:color="auto"/>
          </w:divBdr>
        </w:div>
        <w:div w:id="638268564">
          <w:marLeft w:val="1440"/>
          <w:marRight w:val="0"/>
          <w:marTop w:val="115"/>
          <w:marBottom w:val="0"/>
          <w:divBdr>
            <w:top w:val="none" w:sz="0" w:space="0" w:color="auto"/>
            <w:left w:val="none" w:sz="0" w:space="0" w:color="auto"/>
            <w:bottom w:val="none" w:sz="0" w:space="0" w:color="auto"/>
            <w:right w:val="none" w:sz="0" w:space="0" w:color="auto"/>
          </w:divBdr>
        </w:div>
        <w:div w:id="1772629175">
          <w:marLeft w:val="1440"/>
          <w:marRight w:val="0"/>
          <w:marTop w:val="115"/>
          <w:marBottom w:val="0"/>
          <w:divBdr>
            <w:top w:val="none" w:sz="0" w:space="0" w:color="auto"/>
            <w:left w:val="none" w:sz="0" w:space="0" w:color="auto"/>
            <w:bottom w:val="none" w:sz="0" w:space="0" w:color="auto"/>
            <w:right w:val="none" w:sz="0" w:space="0" w:color="auto"/>
          </w:divBdr>
        </w:div>
      </w:divsChild>
    </w:div>
    <w:div w:id="138497731">
      <w:bodyDiv w:val="1"/>
      <w:marLeft w:val="0"/>
      <w:marRight w:val="0"/>
      <w:marTop w:val="0"/>
      <w:marBottom w:val="0"/>
      <w:divBdr>
        <w:top w:val="none" w:sz="0" w:space="0" w:color="auto"/>
        <w:left w:val="none" w:sz="0" w:space="0" w:color="auto"/>
        <w:bottom w:val="none" w:sz="0" w:space="0" w:color="auto"/>
        <w:right w:val="none" w:sz="0" w:space="0" w:color="auto"/>
      </w:divBdr>
    </w:div>
    <w:div w:id="157499217">
      <w:bodyDiv w:val="1"/>
      <w:marLeft w:val="0"/>
      <w:marRight w:val="0"/>
      <w:marTop w:val="0"/>
      <w:marBottom w:val="0"/>
      <w:divBdr>
        <w:top w:val="none" w:sz="0" w:space="0" w:color="auto"/>
        <w:left w:val="none" w:sz="0" w:space="0" w:color="auto"/>
        <w:bottom w:val="none" w:sz="0" w:space="0" w:color="auto"/>
        <w:right w:val="none" w:sz="0" w:space="0" w:color="auto"/>
      </w:divBdr>
    </w:div>
    <w:div w:id="179470172">
      <w:bodyDiv w:val="1"/>
      <w:marLeft w:val="0"/>
      <w:marRight w:val="0"/>
      <w:marTop w:val="0"/>
      <w:marBottom w:val="0"/>
      <w:divBdr>
        <w:top w:val="none" w:sz="0" w:space="0" w:color="auto"/>
        <w:left w:val="none" w:sz="0" w:space="0" w:color="auto"/>
        <w:bottom w:val="none" w:sz="0" w:space="0" w:color="auto"/>
        <w:right w:val="none" w:sz="0" w:space="0" w:color="auto"/>
      </w:divBdr>
      <w:divsChild>
        <w:div w:id="261376744">
          <w:marLeft w:val="0"/>
          <w:marRight w:val="0"/>
          <w:marTop w:val="0"/>
          <w:marBottom w:val="0"/>
          <w:divBdr>
            <w:top w:val="none" w:sz="0" w:space="0" w:color="auto"/>
            <w:left w:val="none" w:sz="0" w:space="0" w:color="auto"/>
            <w:bottom w:val="none" w:sz="0" w:space="0" w:color="auto"/>
            <w:right w:val="none" w:sz="0" w:space="0" w:color="auto"/>
          </w:divBdr>
        </w:div>
        <w:div w:id="439838530">
          <w:marLeft w:val="0"/>
          <w:marRight w:val="0"/>
          <w:marTop w:val="0"/>
          <w:marBottom w:val="0"/>
          <w:divBdr>
            <w:top w:val="none" w:sz="0" w:space="0" w:color="auto"/>
            <w:left w:val="none" w:sz="0" w:space="0" w:color="auto"/>
            <w:bottom w:val="none" w:sz="0" w:space="0" w:color="auto"/>
            <w:right w:val="none" w:sz="0" w:space="0" w:color="auto"/>
          </w:divBdr>
        </w:div>
        <w:div w:id="445537594">
          <w:marLeft w:val="0"/>
          <w:marRight w:val="0"/>
          <w:marTop w:val="0"/>
          <w:marBottom w:val="0"/>
          <w:divBdr>
            <w:top w:val="none" w:sz="0" w:space="0" w:color="auto"/>
            <w:left w:val="none" w:sz="0" w:space="0" w:color="auto"/>
            <w:bottom w:val="none" w:sz="0" w:space="0" w:color="auto"/>
            <w:right w:val="none" w:sz="0" w:space="0" w:color="auto"/>
          </w:divBdr>
        </w:div>
        <w:div w:id="451632360">
          <w:marLeft w:val="0"/>
          <w:marRight w:val="0"/>
          <w:marTop w:val="0"/>
          <w:marBottom w:val="0"/>
          <w:divBdr>
            <w:top w:val="none" w:sz="0" w:space="0" w:color="auto"/>
            <w:left w:val="none" w:sz="0" w:space="0" w:color="auto"/>
            <w:bottom w:val="none" w:sz="0" w:space="0" w:color="auto"/>
            <w:right w:val="none" w:sz="0" w:space="0" w:color="auto"/>
          </w:divBdr>
        </w:div>
        <w:div w:id="640035535">
          <w:marLeft w:val="0"/>
          <w:marRight w:val="0"/>
          <w:marTop w:val="0"/>
          <w:marBottom w:val="0"/>
          <w:divBdr>
            <w:top w:val="none" w:sz="0" w:space="0" w:color="auto"/>
            <w:left w:val="none" w:sz="0" w:space="0" w:color="auto"/>
            <w:bottom w:val="none" w:sz="0" w:space="0" w:color="auto"/>
            <w:right w:val="none" w:sz="0" w:space="0" w:color="auto"/>
          </w:divBdr>
        </w:div>
        <w:div w:id="916135896">
          <w:marLeft w:val="0"/>
          <w:marRight w:val="0"/>
          <w:marTop w:val="0"/>
          <w:marBottom w:val="0"/>
          <w:divBdr>
            <w:top w:val="none" w:sz="0" w:space="0" w:color="auto"/>
            <w:left w:val="none" w:sz="0" w:space="0" w:color="auto"/>
            <w:bottom w:val="none" w:sz="0" w:space="0" w:color="auto"/>
            <w:right w:val="none" w:sz="0" w:space="0" w:color="auto"/>
          </w:divBdr>
        </w:div>
        <w:div w:id="963147968">
          <w:marLeft w:val="0"/>
          <w:marRight w:val="0"/>
          <w:marTop w:val="0"/>
          <w:marBottom w:val="0"/>
          <w:divBdr>
            <w:top w:val="none" w:sz="0" w:space="0" w:color="auto"/>
            <w:left w:val="none" w:sz="0" w:space="0" w:color="auto"/>
            <w:bottom w:val="none" w:sz="0" w:space="0" w:color="auto"/>
            <w:right w:val="none" w:sz="0" w:space="0" w:color="auto"/>
          </w:divBdr>
        </w:div>
        <w:div w:id="1013647352">
          <w:marLeft w:val="0"/>
          <w:marRight w:val="0"/>
          <w:marTop w:val="0"/>
          <w:marBottom w:val="0"/>
          <w:divBdr>
            <w:top w:val="none" w:sz="0" w:space="0" w:color="auto"/>
            <w:left w:val="none" w:sz="0" w:space="0" w:color="auto"/>
            <w:bottom w:val="none" w:sz="0" w:space="0" w:color="auto"/>
            <w:right w:val="none" w:sz="0" w:space="0" w:color="auto"/>
          </w:divBdr>
        </w:div>
        <w:div w:id="1297684363">
          <w:marLeft w:val="0"/>
          <w:marRight w:val="0"/>
          <w:marTop w:val="0"/>
          <w:marBottom w:val="0"/>
          <w:divBdr>
            <w:top w:val="none" w:sz="0" w:space="0" w:color="auto"/>
            <w:left w:val="none" w:sz="0" w:space="0" w:color="auto"/>
            <w:bottom w:val="none" w:sz="0" w:space="0" w:color="auto"/>
            <w:right w:val="none" w:sz="0" w:space="0" w:color="auto"/>
          </w:divBdr>
        </w:div>
        <w:div w:id="1324549613">
          <w:marLeft w:val="0"/>
          <w:marRight w:val="0"/>
          <w:marTop w:val="0"/>
          <w:marBottom w:val="0"/>
          <w:divBdr>
            <w:top w:val="none" w:sz="0" w:space="0" w:color="auto"/>
            <w:left w:val="none" w:sz="0" w:space="0" w:color="auto"/>
            <w:bottom w:val="none" w:sz="0" w:space="0" w:color="auto"/>
            <w:right w:val="none" w:sz="0" w:space="0" w:color="auto"/>
          </w:divBdr>
        </w:div>
        <w:div w:id="1359701553">
          <w:marLeft w:val="0"/>
          <w:marRight w:val="0"/>
          <w:marTop w:val="0"/>
          <w:marBottom w:val="0"/>
          <w:divBdr>
            <w:top w:val="none" w:sz="0" w:space="0" w:color="auto"/>
            <w:left w:val="none" w:sz="0" w:space="0" w:color="auto"/>
            <w:bottom w:val="none" w:sz="0" w:space="0" w:color="auto"/>
            <w:right w:val="none" w:sz="0" w:space="0" w:color="auto"/>
          </w:divBdr>
        </w:div>
        <w:div w:id="1400205804">
          <w:marLeft w:val="0"/>
          <w:marRight w:val="0"/>
          <w:marTop w:val="0"/>
          <w:marBottom w:val="0"/>
          <w:divBdr>
            <w:top w:val="none" w:sz="0" w:space="0" w:color="auto"/>
            <w:left w:val="none" w:sz="0" w:space="0" w:color="auto"/>
            <w:bottom w:val="none" w:sz="0" w:space="0" w:color="auto"/>
            <w:right w:val="none" w:sz="0" w:space="0" w:color="auto"/>
          </w:divBdr>
        </w:div>
        <w:div w:id="1506362199">
          <w:marLeft w:val="0"/>
          <w:marRight w:val="0"/>
          <w:marTop w:val="0"/>
          <w:marBottom w:val="0"/>
          <w:divBdr>
            <w:top w:val="none" w:sz="0" w:space="0" w:color="auto"/>
            <w:left w:val="none" w:sz="0" w:space="0" w:color="auto"/>
            <w:bottom w:val="none" w:sz="0" w:space="0" w:color="auto"/>
            <w:right w:val="none" w:sz="0" w:space="0" w:color="auto"/>
          </w:divBdr>
        </w:div>
        <w:div w:id="1591507459">
          <w:marLeft w:val="0"/>
          <w:marRight w:val="0"/>
          <w:marTop w:val="0"/>
          <w:marBottom w:val="0"/>
          <w:divBdr>
            <w:top w:val="none" w:sz="0" w:space="0" w:color="auto"/>
            <w:left w:val="none" w:sz="0" w:space="0" w:color="auto"/>
            <w:bottom w:val="none" w:sz="0" w:space="0" w:color="auto"/>
            <w:right w:val="none" w:sz="0" w:space="0" w:color="auto"/>
          </w:divBdr>
        </w:div>
        <w:div w:id="1663924949">
          <w:marLeft w:val="0"/>
          <w:marRight w:val="0"/>
          <w:marTop w:val="0"/>
          <w:marBottom w:val="0"/>
          <w:divBdr>
            <w:top w:val="none" w:sz="0" w:space="0" w:color="auto"/>
            <w:left w:val="none" w:sz="0" w:space="0" w:color="auto"/>
            <w:bottom w:val="none" w:sz="0" w:space="0" w:color="auto"/>
            <w:right w:val="none" w:sz="0" w:space="0" w:color="auto"/>
          </w:divBdr>
        </w:div>
        <w:div w:id="1867868931">
          <w:marLeft w:val="0"/>
          <w:marRight w:val="0"/>
          <w:marTop w:val="0"/>
          <w:marBottom w:val="0"/>
          <w:divBdr>
            <w:top w:val="none" w:sz="0" w:space="0" w:color="auto"/>
            <w:left w:val="none" w:sz="0" w:space="0" w:color="auto"/>
            <w:bottom w:val="none" w:sz="0" w:space="0" w:color="auto"/>
            <w:right w:val="none" w:sz="0" w:space="0" w:color="auto"/>
          </w:divBdr>
        </w:div>
        <w:div w:id="1887522865">
          <w:marLeft w:val="0"/>
          <w:marRight w:val="0"/>
          <w:marTop w:val="0"/>
          <w:marBottom w:val="0"/>
          <w:divBdr>
            <w:top w:val="none" w:sz="0" w:space="0" w:color="auto"/>
            <w:left w:val="none" w:sz="0" w:space="0" w:color="auto"/>
            <w:bottom w:val="none" w:sz="0" w:space="0" w:color="auto"/>
            <w:right w:val="none" w:sz="0" w:space="0" w:color="auto"/>
          </w:divBdr>
        </w:div>
        <w:div w:id="1974016151">
          <w:marLeft w:val="0"/>
          <w:marRight w:val="0"/>
          <w:marTop w:val="0"/>
          <w:marBottom w:val="0"/>
          <w:divBdr>
            <w:top w:val="none" w:sz="0" w:space="0" w:color="auto"/>
            <w:left w:val="none" w:sz="0" w:space="0" w:color="auto"/>
            <w:bottom w:val="none" w:sz="0" w:space="0" w:color="auto"/>
            <w:right w:val="none" w:sz="0" w:space="0" w:color="auto"/>
          </w:divBdr>
        </w:div>
        <w:div w:id="1977711640">
          <w:marLeft w:val="0"/>
          <w:marRight w:val="0"/>
          <w:marTop w:val="0"/>
          <w:marBottom w:val="0"/>
          <w:divBdr>
            <w:top w:val="none" w:sz="0" w:space="0" w:color="auto"/>
            <w:left w:val="none" w:sz="0" w:space="0" w:color="auto"/>
            <w:bottom w:val="none" w:sz="0" w:space="0" w:color="auto"/>
            <w:right w:val="none" w:sz="0" w:space="0" w:color="auto"/>
          </w:divBdr>
        </w:div>
        <w:div w:id="2008286230">
          <w:marLeft w:val="0"/>
          <w:marRight w:val="0"/>
          <w:marTop w:val="0"/>
          <w:marBottom w:val="0"/>
          <w:divBdr>
            <w:top w:val="none" w:sz="0" w:space="0" w:color="auto"/>
            <w:left w:val="none" w:sz="0" w:space="0" w:color="auto"/>
            <w:bottom w:val="none" w:sz="0" w:space="0" w:color="auto"/>
            <w:right w:val="none" w:sz="0" w:space="0" w:color="auto"/>
          </w:divBdr>
        </w:div>
        <w:div w:id="2027247439">
          <w:marLeft w:val="0"/>
          <w:marRight w:val="0"/>
          <w:marTop w:val="0"/>
          <w:marBottom w:val="0"/>
          <w:divBdr>
            <w:top w:val="none" w:sz="0" w:space="0" w:color="auto"/>
            <w:left w:val="none" w:sz="0" w:space="0" w:color="auto"/>
            <w:bottom w:val="none" w:sz="0" w:space="0" w:color="auto"/>
            <w:right w:val="none" w:sz="0" w:space="0" w:color="auto"/>
          </w:divBdr>
        </w:div>
        <w:div w:id="2045790616">
          <w:marLeft w:val="0"/>
          <w:marRight w:val="0"/>
          <w:marTop w:val="0"/>
          <w:marBottom w:val="0"/>
          <w:divBdr>
            <w:top w:val="none" w:sz="0" w:space="0" w:color="auto"/>
            <w:left w:val="none" w:sz="0" w:space="0" w:color="auto"/>
            <w:bottom w:val="none" w:sz="0" w:space="0" w:color="auto"/>
            <w:right w:val="none" w:sz="0" w:space="0" w:color="auto"/>
          </w:divBdr>
        </w:div>
      </w:divsChild>
    </w:div>
    <w:div w:id="190728687">
      <w:bodyDiv w:val="1"/>
      <w:marLeft w:val="0"/>
      <w:marRight w:val="0"/>
      <w:marTop w:val="0"/>
      <w:marBottom w:val="0"/>
      <w:divBdr>
        <w:top w:val="none" w:sz="0" w:space="0" w:color="auto"/>
        <w:left w:val="none" w:sz="0" w:space="0" w:color="auto"/>
        <w:bottom w:val="none" w:sz="0" w:space="0" w:color="auto"/>
        <w:right w:val="none" w:sz="0" w:space="0" w:color="auto"/>
      </w:divBdr>
    </w:div>
    <w:div w:id="196964507">
      <w:bodyDiv w:val="1"/>
      <w:marLeft w:val="0"/>
      <w:marRight w:val="0"/>
      <w:marTop w:val="0"/>
      <w:marBottom w:val="0"/>
      <w:divBdr>
        <w:top w:val="none" w:sz="0" w:space="0" w:color="auto"/>
        <w:left w:val="none" w:sz="0" w:space="0" w:color="auto"/>
        <w:bottom w:val="none" w:sz="0" w:space="0" w:color="auto"/>
        <w:right w:val="none" w:sz="0" w:space="0" w:color="auto"/>
      </w:divBdr>
    </w:div>
    <w:div w:id="202376340">
      <w:bodyDiv w:val="1"/>
      <w:marLeft w:val="0"/>
      <w:marRight w:val="0"/>
      <w:marTop w:val="0"/>
      <w:marBottom w:val="0"/>
      <w:divBdr>
        <w:top w:val="none" w:sz="0" w:space="0" w:color="auto"/>
        <w:left w:val="none" w:sz="0" w:space="0" w:color="auto"/>
        <w:bottom w:val="none" w:sz="0" w:space="0" w:color="auto"/>
        <w:right w:val="none" w:sz="0" w:space="0" w:color="auto"/>
      </w:divBdr>
    </w:div>
    <w:div w:id="235944133">
      <w:bodyDiv w:val="1"/>
      <w:marLeft w:val="0"/>
      <w:marRight w:val="0"/>
      <w:marTop w:val="0"/>
      <w:marBottom w:val="0"/>
      <w:divBdr>
        <w:top w:val="none" w:sz="0" w:space="0" w:color="auto"/>
        <w:left w:val="none" w:sz="0" w:space="0" w:color="auto"/>
        <w:bottom w:val="none" w:sz="0" w:space="0" w:color="auto"/>
        <w:right w:val="none" w:sz="0" w:space="0" w:color="auto"/>
      </w:divBdr>
    </w:div>
    <w:div w:id="359360820">
      <w:bodyDiv w:val="1"/>
      <w:marLeft w:val="0"/>
      <w:marRight w:val="0"/>
      <w:marTop w:val="0"/>
      <w:marBottom w:val="0"/>
      <w:divBdr>
        <w:top w:val="none" w:sz="0" w:space="0" w:color="auto"/>
        <w:left w:val="none" w:sz="0" w:space="0" w:color="auto"/>
        <w:bottom w:val="none" w:sz="0" w:space="0" w:color="auto"/>
        <w:right w:val="none" w:sz="0" w:space="0" w:color="auto"/>
      </w:divBdr>
    </w:div>
    <w:div w:id="373774310">
      <w:bodyDiv w:val="1"/>
      <w:marLeft w:val="0"/>
      <w:marRight w:val="0"/>
      <w:marTop w:val="0"/>
      <w:marBottom w:val="0"/>
      <w:divBdr>
        <w:top w:val="none" w:sz="0" w:space="0" w:color="auto"/>
        <w:left w:val="none" w:sz="0" w:space="0" w:color="auto"/>
        <w:bottom w:val="none" w:sz="0" w:space="0" w:color="auto"/>
        <w:right w:val="none" w:sz="0" w:space="0" w:color="auto"/>
      </w:divBdr>
    </w:div>
    <w:div w:id="407700047">
      <w:bodyDiv w:val="1"/>
      <w:marLeft w:val="0"/>
      <w:marRight w:val="0"/>
      <w:marTop w:val="0"/>
      <w:marBottom w:val="0"/>
      <w:divBdr>
        <w:top w:val="none" w:sz="0" w:space="0" w:color="auto"/>
        <w:left w:val="none" w:sz="0" w:space="0" w:color="auto"/>
        <w:bottom w:val="none" w:sz="0" w:space="0" w:color="auto"/>
        <w:right w:val="none" w:sz="0" w:space="0" w:color="auto"/>
      </w:divBdr>
    </w:div>
    <w:div w:id="485172408">
      <w:bodyDiv w:val="1"/>
      <w:marLeft w:val="0"/>
      <w:marRight w:val="0"/>
      <w:marTop w:val="0"/>
      <w:marBottom w:val="0"/>
      <w:divBdr>
        <w:top w:val="none" w:sz="0" w:space="0" w:color="auto"/>
        <w:left w:val="none" w:sz="0" w:space="0" w:color="auto"/>
        <w:bottom w:val="none" w:sz="0" w:space="0" w:color="auto"/>
        <w:right w:val="none" w:sz="0" w:space="0" w:color="auto"/>
      </w:divBdr>
    </w:div>
    <w:div w:id="497572517">
      <w:bodyDiv w:val="1"/>
      <w:marLeft w:val="0"/>
      <w:marRight w:val="0"/>
      <w:marTop w:val="0"/>
      <w:marBottom w:val="0"/>
      <w:divBdr>
        <w:top w:val="none" w:sz="0" w:space="0" w:color="auto"/>
        <w:left w:val="none" w:sz="0" w:space="0" w:color="auto"/>
        <w:bottom w:val="none" w:sz="0" w:space="0" w:color="auto"/>
        <w:right w:val="none" w:sz="0" w:space="0" w:color="auto"/>
      </w:divBdr>
    </w:div>
    <w:div w:id="592711869">
      <w:bodyDiv w:val="1"/>
      <w:marLeft w:val="0"/>
      <w:marRight w:val="0"/>
      <w:marTop w:val="0"/>
      <w:marBottom w:val="0"/>
      <w:divBdr>
        <w:top w:val="none" w:sz="0" w:space="0" w:color="auto"/>
        <w:left w:val="none" w:sz="0" w:space="0" w:color="auto"/>
        <w:bottom w:val="none" w:sz="0" w:space="0" w:color="auto"/>
        <w:right w:val="none" w:sz="0" w:space="0" w:color="auto"/>
      </w:divBdr>
    </w:div>
    <w:div w:id="615647262">
      <w:bodyDiv w:val="1"/>
      <w:marLeft w:val="0"/>
      <w:marRight w:val="0"/>
      <w:marTop w:val="0"/>
      <w:marBottom w:val="0"/>
      <w:divBdr>
        <w:top w:val="none" w:sz="0" w:space="0" w:color="auto"/>
        <w:left w:val="none" w:sz="0" w:space="0" w:color="auto"/>
        <w:bottom w:val="none" w:sz="0" w:space="0" w:color="auto"/>
        <w:right w:val="none" w:sz="0" w:space="0" w:color="auto"/>
      </w:divBdr>
    </w:div>
    <w:div w:id="620036404">
      <w:bodyDiv w:val="1"/>
      <w:marLeft w:val="0"/>
      <w:marRight w:val="0"/>
      <w:marTop w:val="0"/>
      <w:marBottom w:val="0"/>
      <w:divBdr>
        <w:top w:val="none" w:sz="0" w:space="0" w:color="auto"/>
        <w:left w:val="none" w:sz="0" w:space="0" w:color="auto"/>
        <w:bottom w:val="none" w:sz="0" w:space="0" w:color="auto"/>
        <w:right w:val="none" w:sz="0" w:space="0" w:color="auto"/>
      </w:divBdr>
    </w:div>
    <w:div w:id="622619012">
      <w:bodyDiv w:val="1"/>
      <w:marLeft w:val="0"/>
      <w:marRight w:val="0"/>
      <w:marTop w:val="0"/>
      <w:marBottom w:val="0"/>
      <w:divBdr>
        <w:top w:val="none" w:sz="0" w:space="0" w:color="auto"/>
        <w:left w:val="none" w:sz="0" w:space="0" w:color="auto"/>
        <w:bottom w:val="none" w:sz="0" w:space="0" w:color="auto"/>
        <w:right w:val="none" w:sz="0" w:space="0" w:color="auto"/>
      </w:divBdr>
    </w:div>
    <w:div w:id="682323710">
      <w:bodyDiv w:val="1"/>
      <w:marLeft w:val="0"/>
      <w:marRight w:val="0"/>
      <w:marTop w:val="0"/>
      <w:marBottom w:val="0"/>
      <w:divBdr>
        <w:top w:val="none" w:sz="0" w:space="0" w:color="auto"/>
        <w:left w:val="none" w:sz="0" w:space="0" w:color="auto"/>
        <w:bottom w:val="none" w:sz="0" w:space="0" w:color="auto"/>
        <w:right w:val="none" w:sz="0" w:space="0" w:color="auto"/>
      </w:divBdr>
    </w:div>
    <w:div w:id="781539227">
      <w:bodyDiv w:val="1"/>
      <w:marLeft w:val="0"/>
      <w:marRight w:val="0"/>
      <w:marTop w:val="0"/>
      <w:marBottom w:val="0"/>
      <w:divBdr>
        <w:top w:val="none" w:sz="0" w:space="0" w:color="auto"/>
        <w:left w:val="none" w:sz="0" w:space="0" w:color="auto"/>
        <w:bottom w:val="none" w:sz="0" w:space="0" w:color="auto"/>
        <w:right w:val="none" w:sz="0" w:space="0" w:color="auto"/>
      </w:divBdr>
    </w:div>
    <w:div w:id="918447589">
      <w:bodyDiv w:val="1"/>
      <w:marLeft w:val="0"/>
      <w:marRight w:val="0"/>
      <w:marTop w:val="0"/>
      <w:marBottom w:val="0"/>
      <w:divBdr>
        <w:top w:val="none" w:sz="0" w:space="0" w:color="auto"/>
        <w:left w:val="none" w:sz="0" w:space="0" w:color="auto"/>
        <w:bottom w:val="none" w:sz="0" w:space="0" w:color="auto"/>
        <w:right w:val="none" w:sz="0" w:space="0" w:color="auto"/>
      </w:divBdr>
    </w:div>
    <w:div w:id="933827074">
      <w:bodyDiv w:val="1"/>
      <w:marLeft w:val="0"/>
      <w:marRight w:val="0"/>
      <w:marTop w:val="0"/>
      <w:marBottom w:val="0"/>
      <w:divBdr>
        <w:top w:val="none" w:sz="0" w:space="0" w:color="auto"/>
        <w:left w:val="none" w:sz="0" w:space="0" w:color="auto"/>
        <w:bottom w:val="none" w:sz="0" w:space="0" w:color="auto"/>
        <w:right w:val="none" w:sz="0" w:space="0" w:color="auto"/>
      </w:divBdr>
    </w:div>
    <w:div w:id="948855274">
      <w:bodyDiv w:val="1"/>
      <w:marLeft w:val="0"/>
      <w:marRight w:val="0"/>
      <w:marTop w:val="0"/>
      <w:marBottom w:val="0"/>
      <w:divBdr>
        <w:top w:val="none" w:sz="0" w:space="0" w:color="auto"/>
        <w:left w:val="none" w:sz="0" w:space="0" w:color="auto"/>
        <w:bottom w:val="none" w:sz="0" w:space="0" w:color="auto"/>
        <w:right w:val="none" w:sz="0" w:space="0" w:color="auto"/>
      </w:divBdr>
    </w:div>
    <w:div w:id="950670628">
      <w:bodyDiv w:val="1"/>
      <w:marLeft w:val="0"/>
      <w:marRight w:val="0"/>
      <w:marTop w:val="0"/>
      <w:marBottom w:val="0"/>
      <w:divBdr>
        <w:top w:val="none" w:sz="0" w:space="0" w:color="auto"/>
        <w:left w:val="none" w:sz="0" w:space="0" w:color="auto"/>
        <w:bottom w:val="none" w:sz="0" w:space="0" w:color="auto"/>
        <w:right w:val="none" w:sz="0" w:space="0" w:color="auto"/>
      </w:divBdr>
    </w:div>
    <w:div w:id="976227320">
      <w:bodyDiv w:val="1"/>
      <w:marLeft w:val="0"/>
      <w:marRight w:val="0"/>
      <w:marTop w:val="0"/>
      <w:marBottom w:val="0"/>
      <w:divBdr>
        <w:top w:val="none" w:sz="0" w:space="0" w:color="auto"/>
        <w:left w:val="none" w:sz="0" w:space="0" w:color="auto"/>
        <w:bottom w:val="none" w:sz="0" w:space="0" w:color="auto"/>
        <w:right w:val="none" w:sz="0" w:space="0" w:color="auto"/>
      </w:divBdr>
    </w:div>
    <w:div w:id="985549441">
      <w:bodyDiv w:val="1"/>
      <w:marLeft w:val="0"/>
      <w:marRight w:val="0"/>
      <w:marTop w:val="0"/>
      <w:marBottom w:val="0"/>
      <w:divBdr>
        <w:top w:val="none" w:sz="0" w:space="0" w:color="auto"/>
        <w:left w:val="none" w:sz="0" w:space="0" w:color="auto"/>
        <w:bottom w:val="none" w:sz="0" w:space="0" w:color="auto"/>
        <w:right w:val="none" w:sz="0" w:space="0" w:color="auto"/>
      </w:divBdr>
    </w:div>
    <w:div w:id="1051463030">
      <w:bodyDiv w:val="1"/>
      <w:marLeft w:val="0"/>
      <w:marRight w:val="0"/>
      <w:marTop w:val="0"/>
      <w:marBottom w:val="0"/>
      <w:divBdr>
        <w:top w:val="none" w:sz="0" w:space="0" w:color="auto"/>
        <w:left w:val="none" w:sz="0" w:space="0" w:color="auto"/>
        <w:bottom w:val="none" w:sz="0" w:space="0" w:color="auto"/>
        <w:right w:val="none" w:sz="0" w:space="0" w:color="auto"/>
      </w:divBdr>
    </w:div>
    <w:div w:id="1062870273">
      <w:bodyDiv w:val="1"/>
      <w:marLeft w:val="0"/>
      <w:marRight w:val="0"/>
      <w:marTop w:val="0"/>
      <w:marBottom w:val="0"/>
      <w:divBdr>
        <w:top w:val="none" w:sz="0" w:space="0" w:color="auto"/>
        <w:left w:val="none" w:sz="0" w:space="0" w:color="auto"/>
        <w:bottom w:val="none" w:sz="0" w:space="0" w:color="auto"/>
        <w:right w:val="none" w:sz="0" w:space="0" w:color="auto"/>
      </w:divBdr>
    </w:div>
    <w:div w:id="1158810909">
      <w:bodyDiv w:val="1"/>
      <w:marLeft w:val="0"/>
      <w:marRight w:val="0"/>
      <w:marTop w:val="0"/>
      <w:marBottom w:val="0"/>
      <w:divBdr>
        <w:top w:val="none" w:sz="0" w:space="0" w:color="auto"/>
        <w:left w:val="none" w:sz="0" w:space="0" w:color="auto"/>
        <w:bottom w:val="none" w:sz="0" w:space="0" w:color="auto"/>
        <w:right w:val="none" w:sz="0" w:space="0" w:color="auto"/>
      </w:divBdr>
    </w:div>
    <w:div w:id="1186409399">
      <w:bodyDiv w:val="1"/>
      <w:marLeft w:val="0"/>
      <w:marRight w:val="0"/>
      <w:marTop w:val="0"/>
      <w:marBottom w:val="0"/>
      <w:divBdr>
        <w:top w:val="none" w:sz="0" w:space="0" w:color="auto"/>
        <w:left w:val="none" w:sz="0" w:space="0" w:color="auto"/>
        <w:bottom w:val="none" w:sz="0" w:space="0" w:color="auto"/>
        <w:right w:val="none" w:sz="0" w:space="0" w:color="auto"/>
      </w:divBdr>
    </w:div>
    <w:div w:id="1232933238">
      <w:bodyDiv w:val="1"/>
      <w:marLeft w:val="0"/>
      <w:marRight w:val="0"/>
      <w:marTop w:val="0"/>
      <w:marBottom w:val="0"/>
      <w:divBdr>
        <w:top w:val="none" w:sz="0" w:space="0" w:color="auto"/>
        <w:left w:val="none" w:sz="0" w:space="0" w:color="auto"/>
        <w:bottom w:val="none" w:sz="0" w:space="0" w:color="auto"/>
        <w:right w:val="none" w:sz="0" w:space="0" w:color="auto"/>
      </w:divBdr>
    </w:div>
    <w:div w:id="1241988720">
      <w:bodyDiv w:val="1"/>
      <w:marLeft w:val="0"/>
      <w:marRight w:val="0"/>
      <w:marTop w:val="0"/>
      <w:marBottom w:val="0"/>
      <w:divBdr>
        <w:top w:val="none" w:sz="0" w:space="0" w:color="auto"/>
        <w:left w:val="none" w:sz="0" w:space="0" w:color="auto"/>
        <w:bottom w:val="none" w:sz="0" w:space="0" w:color="auto"/>
        <w:right w:val="none" w:sz="0" w:space="0" w:color="auto"/>
      </w:divBdr>
    </w:div>
    <w:div w:id="1253860350">
      <w:bodyDiv w:val="1"/>
      <w:marLeft w:val="0"/>
      <w:marRight w:val="0"/>
      <w:marTop w:val="0"/>
      <w:marBottom w:val="0"/>
      <w:divBdr>
        <w:top w:val="none" w:sz="0" w:space="0" w:color="auto"/>
        <w:left w:val="none" w:sz="0" w:space="0" w:color="auto"/>
        <w:bottom w:val="none" w:sz="0" w:space="0" w:color="auto"/>
        <w:right w:val="none" w:sz="0" w:space="0" w:color="auto"/>
      </w:divBdr>
      <w:divsChild>
        <w:div w:id="1773283279">
          <w:marLeft w:val="0"/>
          <w:marRight w:val="0"/>
          <w:marTop w:val="0"/>
          <w:marBottom w:val="0"/>
          <w:divBdr>
            <w:top w:val="none" w:sz="0" w:space="0" w:color="auto"/>
            <w:left w:val="none" w:sz="0" w:space="0" w:color="auto"/>
            <w:bottom w:val="none" w:sz="0" w:space="0" w:color="auto"/>
            <w:right w:val="none" w:sz="0" w:space="0" w:color="auto"/>
          </w:divBdr>
          <w:divsChild>
            <w:div w:id="998772716">
              <w:marLeft w:val="0"/>
              <w:marRight w:val="0"/>
              <w:marTop w:val="0"/>
              <w:marBottom w:val="0"/>
              <w:divBdr>
                <w:top w:val="none" w:sz="0" w:space="0" w:color="auto"/>
                <w:left w:val="none" w:sz="0" w:space="0" w:color="auto"/>
                <w:bottom w:val="none" w:sz="0" w:space="0" w:color="auto"/>
                <w:right w:val="none" w:sz="0" w:space="0" w:color="auto"/>
              </w:divBdr>
              <w:divsChild>
                <w:div w:id="1772507120">
                  <w:marLeft w:val="0"/>
                  <w:marRight w:val="0"/>
                  <w:marTop w:val="0"/>
                  <w:marBottom w:val="0"/>
                  <w:divBdr>
                    <w:top w:val="none" w:sz="0" w:space="0" w:color="auto"/>
                    <w:left w:val="none" w:sz="0" w:space="0" w:color="auto"/>
                    <w:bottom w:val="none" w:sz="0" w:space="0" w:color="auto"/>
                    <w:right w:val="none" w:sz="0" w:space="0" w:color="auto"/>
                  </w:divBdr>
                  <w:divsChild>
                    <w:div w:id="511116668">
                      <w:marLeft w:val="0"/>
                      <w:marRight w:val="0"/>
                      <w:marTop w:val="0"/>
                      <w:marBottom w:val="0"/>
                      <w:divBdr>
                        <w:top w:val="none" w:sz="0" w:space="0" w:color="auto"/>
                        <w:left w:val="none" w:sz="0" w:space="0" w:color="auto"/>
                        <w:bottom w:val="none" w:sz="0" w:space="0" w:color="auto"/>
                        <w:right w:val="none" w:sz="0" w:space="0" w:color="auto"/>
                      </w:divBdr>
                      <w:divsChild>
                        <w:div w:id="124932149">
                          <w:marLeft w:val="0"/>
                          <w:marRight w:val="0"/>
                          <w:marTop w:val="0"/>
                          <w:marBottom w:val="0"/>
                          <w:divBdr>
                            <w:top w:val="none" w:sz="0" w:space="0" w:color="auto"/>
                            <w:left w:val="none" w:sz="0" w:space="0" w:color="auto"/>
                            <w:bottom w:val="none" w:sz="0" w:space="0" w:color="auto"/>
                            <w:right w:val="none" w:sz="0" w:space="0" w:color="auto"/>
                          </w:divBdr>
                          <w:divsChild>
                            <w:div w:id="224069886">
                              <w:marLeft w:val="0"/>
                              <w:marRight w:val="0"/>
                              <w:marTop w:val="0"/>
                              <w:marBottom w:val="0"/>
                              <w:divBdr>
                                <w:top w:val="none" w:sz="0" w:space="0" w:color="auto"/>
                                <w:left w:val="none" w:sz="0" w:space="0" w:color="auto"/>
                                <w:bottom w:val="none" w:sz="0" w:space="0" w:color="auto"/>
                                <w:right w:val="none" w:sz="0" w:space="0" w:color="auto"/>
                              </w:divBdr>
                              <w:divsChild>
                                <w:div w:id="2137484940">
                                  <w:marLeft w:val="0"/>
                                  <w:marRight w:val="0"/>
                                  <w:marTop w:val="0"/>
                                  <w:marBottom w:val="0"/>
                                  <w:divBdr>
                                    <w:top w:val="none" w:sz="0" w:space="0" w:color="auto"/>
                                    <w:left w:val="none" w:sz="0" w:space="0" w:color="auto"/>
                                    <w:bottom w:val="none" w:sz="0" w:space="0" w:color="auto"/>
                                    <w:right w:val="none" w:sz="0" w:space="0" w:color="auto"/>
                                  </w:divBdr>
                                  <w:divsChild>
                                    <w:div w:id="1068459906">
                                      <w:marLeft w:val="0"/>
                                      <w:marRight w:val="0"/>
                                      <w:marTop w:val="0"/>
                                      <w:marBottom w:val="0"/>
                                      <w:divBdr>
                                        <w:top w:val="none" w:sz="0" w:space="0" w:color="auto"/>
                                        <w:left w:val="none" w:sz="0" w:space="0" w:color="auto"/>
                                        <w:bottom w:val="none" w:sz="0" w:space="0" w:color="auto"/>
                                        <w:right w:val="none" w:sz="0" w:space="0" w:color="auto"/>
                                      </w:divBdr>
                                      <w:divsChild>
                                        <w:div w:id="1161236533">
                                          <w:marLeft w:val="0"/>
                                          <w:marRight w:val="0"/>
                                          <w:marTop w:val="0"/>
                                          <w:marBottom w:val="0"/>
                                          <w:divBdr>
                                            <w:top w:val="none" w:sz="0" w:space="0" w:color="auto"/>
                                            <w:left w:val="none" w:sz="0" w:space="0" w:color="auto"/>
                                            <w:bottom w:val="none" w:sz="0" w:space="0" w:color="auto"/>
                                            <w:right w:val="none" w:sz="0" w:space="0" w:color="auto"/>
                                          </w:divBdr>
                                          <w:divsChild>
                                            <w:div w:id="302541573">
                                              <w:marLeft w:val="0"/>
                                              <w:marRight w:val="0"/>
                                              <w:marTop w:val="0"/>
                                              <w:marBottom w:val="0"/>
                                              <w:divBdr>
                                                <w:top w:val="none" w:sz="0" w:space="0" w:color="auto"/>
                                                <w:left w:val="none" w:sz="0" w:space="0" w:color="auto"/>
                                                <w:bottom w:val="none" w:sz="0" w:space="0" w:color="auto"/>
                                                <w:right w:val="none" w:sz="0" w:space="0" w:color="auto"/>
                                              </w:divBdr>
                                              <w:divsChild>
                                                <w:div w:id="12342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6156153">
      <w:bodyDiv w:val="1"/>
      <w:marLeft w:val="0"/>
      <w:marRight w:val="0"/>
      <w:marTop w:val="0"/>
      <w:marBottom w:val="0"/>
      <w:divBdr>
        <w:top w:val="none" w:sz="0" w:space="0" w:color="auto"/>
        <w:left w:val="none" w:sz="0" w:space="0" w:color="auto"/>
        <w:bottom w:val="none" w:sz="0" w:space="0" w:color="auto"/>
        <w:right w:val="none" w:sz="0" w:space="0" w:color="auto"/>
      </w:divBdr>
    </w:div>
    <w:div w:id="1334798139">
      <w:bodyDiv w:val="1"/>
      <w:marLeft w:val="0"/>
      <w:marRight w:val="0"/>
      <w:marTop w:val="0"/>
      <w:marBottom w:val="0"/>
      <w:divBdr>
        <w:top w:val="none" w:sz="0" w:space="0" w:color="auto"/>
        <w:left w:val="none" w:sz="0" w:space="0" w:color="auto"/>
        <w:bottom w:val="none" w:sz="0" w:space="0" w:color="auto"/>
        <w:right w:val="none" w:sz="0" w:space="0" w:color="auto"/>
      </w:divBdr>
    </w:div>
    <w:div w:id="1480539797">
      <w:bodyDiv w:val="1"/>
      <w:marLeft w:val="0"/>
      <w:marRight w:val="0"/>
      <w:marTop w:val="0"/>
      <w:marBottom w:val="0"/>
      <w:divBdr>
        <w:top w:val="none" w:sz="0" w:space="0" w:color="auto"/>
        <w:left w:val="none" w:sz="0" w:space="0" w:color="auto"/>
        <w:bottom w:val="none" w:sz="0" w:space="0" w:color="auto"/>
        <w:right w:val="none" w:sz="0" w:space="0" w:color="auto"/>
      </w:divBdr>
    </w:div>
    <w:div w:id="1484814514">
      <w:bodyDiv w:val="1"/>
      <w:marLeft w:val="0"/>
      <w:marRight w:val="0"/>
      <w:marTop w:val="0"/>
      <w:marBottom w:val="0"/>
      <w:divBdr>
        <w:top w:val="none" w:sz="0" w:space="0" w:color="auto"/>
        <w:left w:val="none" w:sz="0" w:space="0" w:color="auto"/>
        <w:bottom w:val="none" w:sz="0" w:space="0" w:color="auto"/>
        <w:right w:val="none" w:sz="0" w:space="0" w:color="auto"/>
      </w:divBdr>
    </w:div>
    <w:div w:id="1521746375">
      <w:bodyDiv w:val="1"/>
      <w:marLeft w:val="0"/>
      <w:marRight w:val="0"/>
      <w:marTop w:val="0"/>
      <w:marBottom w:val="0"/>
      <w:divBdr>
        <w:top w:val="none" w:sz="0" w:space="0" w:color="auto"/>
        <w:left w:val="none" w:sz="0" w:space="0" w:color="auto"/>
        <w:bottom w:val="none" w:sz="0" w:space="0" w:color="auto"/>
        <w:right w:val="none" w:sz="0" w:space="0" w:color="auto"/>
      </w:divBdr>
    </w:div>
    <w:div w:id="1567957553">
      <w:bodyDiv w:val="1"/>
      <w:marLeft w:val="0"/>
      <w:marRight w:val="0"/>
      <w:marTop w:val="0"/>
      <w:marBottom w:val="0"/>
      <w:divBdr>
        <w:top w:val="none" w:sz="0" w:space="0" w:color="auto"/>
        <w:left w:val="none" w:sz="0" w:space="0" w:color="auto"/>
        <w:bottom w:val="none" w:sz="0" w:space="0" w:color="auto"/>
        <w:right w:val="none" w:sz="0" w:space="0" w:color="auto"/>
      </w:divBdr>
    </w:div>
    <w:div w:id="1631665155">
      <w:bodyDiv w:val="1"/>
      <w:marLeft w:val="0"/>
      <w:marRight w:val="0"/>
      <w:marTop w:val="0"/>
      <w:marBottom w:val="0"/>
      <w:divBdr>
        <w:top w:val="none" w:sz="0" w:space="0" w:color="auto"/>
        <w:left w:val="none" w:sz="0" w:space="0" w:color="auto"/>
        <w:bottom w:val="none" w:sz="0" w:space="0" w:color="auto"/>
        <w:right w:val="none" w:sz="0" w:space="0" w:color="auto"/>
      </w:divBdr>
    </w:div>
    <w:div w:id="1638072490">
      <w:bodyDiv w:val="1"/>
      <w:marLeft w:val="0"/>
      <w:marRight w:val="0"/>
      <w:marTop w:val="0"/>
      <w:marBottom w:val="0"/>
      <w:divBdr>
        <w:top w:val="none" w:sz="0" w:space="0" w:color="auto"/>
        <w:left w:val="none" w:sz="0" w:space="0" w:color="auto"/>
        <w:bottom w:val="none" w:sz="0" w:space="0" w:color="auto"/>
        <w:right w:val="none" w:sz="0" w:space="0" w:color="auto"/>
      </w:divBdr>
      <w:divsChild>
        <w:div w:id="764233365">
          <w:marLeft w:val="0"/>
          <w:marRight w:val="0"/>
          <w:marTop w:val="0"/>
          <w:marBottom w:val="567"/>
          <w:divBdr>
            <w:top w:val="none" w:sz="0" w:space="0" w:color="auto"/>
            <w:left w:val="none" w:sz="0" w:space="0" w:color="auto"/>
            <w:bottom w:val="none" w:sz="0" w:space="0" w:color="auto"/>
            <w:right w:val="none" w:sz="0" w:space="0" w:color="auto"/>
          </w:divBdr>
        </w:div>
        <w:div w:id="929317373">
          <w:marLeft w:val="0"/>
          <w:marRight w:val="0"/>
          <w:marTop w:val="480"/>
          <w:marBottom w:val="240"/>
          <w:divBdr>
            <w:top w:val="none" w:sz="0" w:space="0" w:color="auto"/>
            <w:left w:val="none" w:sz="0" w:space="0" w:color="auto"/>
            <w:bottom w:val="none" w:sz="0" w:space="0" w:color="auto"/>
            <w:right w:val="none" w:sz="0" w:space="0" w:color="auto"/>
          </w:divBdr>
        </w:div>
      </w:divsChild>
    </w:div>
    <w:div w:id="1658722364">
      <w:bodyDiv w:val="1"/>
      <w:marLeft w:val="0"/>
      <w:marRight w:val="0"/>
      <w:marTop w:val="0"/>
      <w:marBottom w:val="0"/>
      <w:divBdr>
        <w:top w:val="none" w:sz="0" w:space="0" w:color="auto"/>
        <w:left w:val="none" w:sz="0" w:space="0" w:color="auto"/>
        <w:bottom w:val="none" w:sz="0" w:space="0" w:color="auto"/>
        <w:right w:val="none" w:sz="0" w:space="0" w:color="auto"/>
      </w:divBdr>
    </w:div>
    <w:div w:id="1666861990">
      <w:bodyDiv w:val="1"/>
      <w:marLeft w:val="0"/>
      <w:marRight w:val="0"/>
      <w:marTop w:val="0"/>
      <w:marBottom w:val="0"/>
      <w:divBdr>
        <w:top w:val="none" w:sz="0" w:space="0" w:color="auto"/>
        <w:left w:val="none" w:sz="0" w:space="0" w:color="auto"/>
        <w:bottom w:val="none" w:sz="0" w:space="0" w:color="auto"/>
        <w:right w:val="none" w:sz="0" w:space="0" w:color="auto"/>
      </w:divBdr>
    </w:div>
    <w:div w:id="1862236377">
      <w:bodyDiv w:val="1"/>
      <w:marLeft w:val="0"/>
      <w:marRight w:val="0"/>
      <w:marTop w:val="0"/>
      <w:marBottom w:val="0"/>
      <w:divBdr>
        <w:top w:val="none" w:sz="0" w:space="0" w:color="auto"/>
        <w:left w:val="none" w:sz="0" w:space="0" w:color="auto"/>
        <w:bottom w:val="none" w:sz="0" w:space="0" w:color="auto"/>
        <w:right w:val="none" w:sz="0" w:space="0" w:color="auto"/>
      </w:divBdr>
    </w:div>
    <w:div w:id="1873028741">
      <w:bodyDiv w:val="1"/>
      <w:marLeft w:val="0"/>
      <w:marRight w:val="0"/>
      <w:marTop w:val="0"/>
      <w:marBottom w:val="0"/>
      <w:divBdr>
        <w:top w:val="none" w:sz="0" w:space="0" w:color="auto"/>
        <w:left w:val="none" w:sz="0" w:space="0" w:color="auto"/>
        <w:bottom w:val="none" w:sz="0" w:space="0" w:color="auto"/>
        <w:right w:val="none" w:sz="0" w:space="0" w:color="auto"/>
      </w:divBdr>
    </w:div>
    <w:div w:id="1948653552">
      <w:bodyDiv w:val="1"/>
      <w:marLeft w:val="0"/>
      <w:marRight w:val="0"/>
      <w:marTop w:val="0"/>
      <w:marBottom w:val="0"/>
      <w:divBdr>
        <w:top w:val="none" w:sz="0" w:space="0" w:color="auto"/>
        <w:left w:val="none" w:sz="0" w:space="0" w:color="auto"/>
        <w:bottom w:val="none" w:sz="0" w:space="0" w:color="auto"/>
        <w:right w:val="none" w:sz="0" w:space="0" w:color="auto"/>
      </w:divBdr>
    </w:div>
    <w:div w:id="1981304511">
      <w:bodyDiv w:val="1"/>
      <w:marLeft w:val="0"/>
      <w:marRight w:val="0"/>
      <w:marTop w:val="0"/>
      <w:marBottom w:val="0"/>
      <w:divBdr>
        <w:top w:val="none" w:sz="0" w:space="0" w:color="auto"/>
        <w:left w:val="none" w:sz="0" w:space="0" w:color="auto"/>
        <w:bottom w:val="none" w:sz="0" w:space="0" w:color="auto"/>
        <w:right w:val="none" w:sz="0" w:space="0" w:color="auto"/>
      </w:divBdr>
    </w:div>
    <w:div w:id="2041319575">
      <w:bodyDiv w:val="1"/>
      <w:marLeft w:val="0"/>
      <w:marRight w:val="0"/>
      <w:marTop w:val="0"/>
      <w:marBottom w:val="0"/>
      <w:divBdr>
        <w:top w:val="none" w:sz="0" w:space="0" w:color="auto"/>
        <w:left w:val="none" w:sz="0" w:space="0" w:color="auto"/>
        <w:bottom w:val="none" w:sz="0" w:space="0" w:color="auto"/>
        <w:right w:val="none" w:sz="0" w:space="0" w:color="auto"/>
      </w:divBdr>
    </w:div>
    <w:div w:id="210129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3402-noteikumi-par-portfelgarantijam-siko-mikro-mazo-un-videjo-komersantu-kreditesanas-veicinasan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14184-noteikumi-par-studiju-un-studejoso-kreditesanu-studijam-latvija-no-kreditiestazu-lidzekliem-kas-ir-garanteti-no-vals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ta/id/293402-noteikumi-par-portfelgarantijam-siko-mikro-mazo-un-videjo-komersantu-kreditesanas-veicinasanai" TargetMode="External"/><Relationship Id="rId4" Type="http://schemas.openxmlformats.org/officeDocument/2006/relationships/settings" Target="settings.xml"/><Relationship Id="rId9" Type="http://schemas.openxmlformats.org/officeDocument/2006/relationships/hyperlink" Target="https://likumi.lv/ta/id/314184-noteikumi-par-studiju-un-studejoso-kreditesanu-studijam-latvija-no-kreditiestazu-lidzekliem-kas-ir-garanteti-no-vals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6AC2B-0934-47FB-B589-C84C53F67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19340</Words>
  <Characters>11024</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„Grozījumi Ministru kabineta 2010.gada 26.oktobra noteikumos Nr.997 “Noteikumi par garantijām komersantu un atbilstošu lauksaimniecības pakalpojumu kooperatīvo sabiedrī</vt:lpstr>
    </vt:vector>
  </TitlesOfParts>
  <LinksUpToDate>false</LinksUpToDate>
  <CharactersWithSpaces>30304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2010.gada 26.oktobra noteikumos Nr.997 “Noteikumi par garantijām komersantu un atbilstošu lauksaimniecības pakalpojumu kooperatīvo sabiedrī</dc:title>
  <dc:subject/>
  <dc:creator/>
  <cp:keywords/>
  <dc:description/>
  <cp:lastModifiedBy/>
  <cp:revision>1</cp:revision>
  <dcterms:created xsi:type="dcterms:W3CDTF">2020-07-10T05:08:00Z</dcterms:created>
  <dcterms:modified xsi:type="dcterms:W3CDTF">2020-07-10T11:18:00Z</dcterms:modified>
  <cp:contentStatus/>
</cp:coreProperties>
</file>