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DFACD7" w14:textId="663020E8" w:rsidR="007100F3" w:rsidRDefault="007100F3" w:rsidP="007100F3">
      <w:pPr>
        <w:tabs>
          <w:tab w:val="left" w:pos="6521"/>
        </w:tabs>
        <w:spacing w:after="0" w:line="240" w:lineRule="auto"/>
        <w:ind w:right="-199"/>
        <w:contextualSpacing/>
        <w:outlineLvl w:val="1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14:paraId="5F6B4D8E" w14:textId="151CC38E" w:rsidR="00CC4875" w:rsidRDefault="00CC4875" w:rsidP="007100F3">
      <w:pPr>
        <w:tabs>
          <w:tab w:val="left" w:pos="6521"/>
        </w:tabs>
        <w:spacing w:after="0" w:line="240" w:lineRule="auto"/>
        <w:ind w:right="-199"/>
        <w:contextualSpacing/>
        <w:outlineLvl w:val="1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14:paraId="7B2E4683" w14:textId="77777777" w:rsidR="007100F3" w:rsidRPr="007100F3" w:rsidRDefault="007100F3" w:rsidP="007100F3">
      <w:pPr>
        <w:tabs>
          <w:tab w:val="left" w:pos="6521"/>
        </w:tabs>
        <w:spacing w:after="0" w:line="240" w:lineRule="auto"/>
        <w:ind w:right="-199"/>
        <w:contextualSpacing/>
        <w:outlineLvl w:val="1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14:paraId="563E7B26" w14:textId="5FA47104" w:rsidR="007100F3" w:rsidRPr="007100F3" w:rsidRDefault="007100F3" w:rsidP="007100F3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00F3">
        <w:rPr>
          <w:rFonts w:ascii="Times New Roman" w:eastAsia="Times New Roman" w:hAnsi="Times New Roman" w:cs="Times New Roman"/>
          <w:sz w:val="28"/>
          <w:szCs w:val="28"/>
        </w:rPr>
        <w:t>2020. gada</w:t>
      </w:r>
      <w:r w:rsidR="008135CB">
        <w:rPr>
          <w:rFonts w:ascii="Times New Roman" w:eastAsia="Times New Roman" w:hAnsi="Times New Roman" w:cs="Times New Roman"/>
          <w:sz w:val="28"/>
          <w:szCs w:val="28"/>
        </w:rPr>
        <w:t> 28. jūlijā</w:t>
      </w:r>
      <w:r w:rsidRPr="007100F3">
        <w:rPr>
          <w:rFonts w:ascii="Times New Roman" w:eastAsia="Times New Roman" w:hAnsi="Times New Roman" w:cs="Times New Roman"/>
          <w:sz w:val="28"/>
          <w:szCs w:val="28"/>
        </w:rPr>
        <w:tab/>
        <w:t>Noteikumi Nr.</w:t>
      </w:r>
      <w:r w:rsidR="008135CB">
        <w:rPr>
          <w:rFonts w:ascii="Times New Roman" w:eastAsia="Times New Roman" w:hAnsi="Times New Roman" w:cs="Times New Roman"/>
          <w:sz w:val="28"/>
          <w:szCs w:val="28"/>
        </w:rPr>
        <w:t> 473</w:t>
      </w:r>
    </w:p>
    <w:p w14:paraId="360750F9" w14:textId="4839CA40" w:rsidR="007100F3" w:rsidRPr="007100F3" w:rsidRDefault="007100F3" w:rsidP="007100F3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00F3">
        <w:rPr>
          <w:rFonts w:ascii="Times New Roman" w:eastAsia="Times New Roman" w:hAnsi="Times New Roman" w:cs="Times New Roman"/>
          <w:sz w:val="28"/>
          <w:szCs w:val="28"/>
        </w:rPr>
        <w:t>Rīgā</w:t>
      </w:r>
      <w:r w:rsidRPr="007100F3">
        <w:rPr>
          <w:rFonts w:ascii="Times New Roman" w:eastAsia="Times New Roman" w:hAnsi="Times New Roman" w:cs="Times New Roman"/>
          <w:sz w:val="28"/>
          <w:szCs w:val="28"/>
        </w:rPr>
        <w:tab/>
        <w:t>(prot. Nr.</w:t>
      </w:r>
      <w:r w:rsidR="008135CB">
        <w:rPr>
          <w:rFonts w:ascii="Times New Roman" w:eastAsia="Times New Roman" w:hAnsi="Times New Roman" w:cs="Times New Roman"/>
          <w:sz w:val="28"/>
          <w:szCs w:val="28"/>
        </w:rPr>
        <w:t> 46 23</w:t>
      </w:r>
      <w:r w:rsidRPr="007100F3">
        <w:rPr>
          <w:rFonts w:ascii="Times New Roman" w:eastAsia="Times New Roman" w:hAnsi="Times New Roman" w:cs="Times New Roman"/>
          <w:sz w:val="28"/>
          <w:szCs w:val="28"/>
        </w:rPr>
        <w:t>. §)</w:t>
      </w:r>
    </w:p>
    <w:p w14:paraId="32A1F090" w14:textId="77777777" w:rsidR="00B91EF4" w:rsidRPr="007100F3" w:rsidRDefault="00B91EF4" w:rsidP="007100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0555C41" w14:textId="7E2BBA0D" w:rsidR="00F81D39" w:rsidRPr="007100F3" w:rsidRDefault="00BE1F08" w:rsidP="007100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Noteikumi par a</w:t>
      </w:r>
      <w:r w:rsidR="003F7B25" w:rsidRPr="007100F3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tbalsta</w:t>
      </w:r>
      <w:r w:rsidR="00F32820" w:rsidRPr="007100F3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programm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u</w:t>
      </w:r>
      <w:r w:rsidR="00B70029" w:rsidRPr="007100F3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</w:t>
      </w:r>
      <w:r w:rsidR="005F2870" w:rsidRPr="007100F3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dzīvojamo </w:t>
      </w:r>
      <w:r w:rsidR="009F74EF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māju</w:t>
      </w:r>
      <w:r w:rsidR="005F2870" w:rsidRPr="007100F3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energoefektivitātes paaugstināšanai</w:t>
      </w:r>
      <w:r w:rsidR="00E01F09" w:rsidRPr="007100F3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</w:t>
      </w:r>
    </w:p>
    <w:bookmarkEnd w:id="0"/>
    <w:p w14:paraId="2884CA9F" w14:textId="77777777" w:rsidR="00E01F09" w:rsidRPr="007100F3" w:rsidRDefault="00E01F09" w:rsidP="007100F3">
      <w:pPr>
        <w:shd w:val="clear" w:color="auto" w:fill="FFFFFF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i/>
          <w:iCs/>
          <w:color w:val="414142"/>
          <w:sz w:val="28"/>
          <w:szCs w:val="28"/>
          <w:lang w:eastAsia="lv-LV"/>
        </w:rPr>
      </w:pPr>
    </w:p>
    <w:p w14:paraId="54D43281" w14:textId="77777777" w:rsidR="00BE1F08" w:rsidRPr="00D0292E" w:rsidRDefault="00F81D39" w:rsidP="007100F3">
      <w:pPr>
        <w:shd w:val="clear" w:color="auto" w:fill="FFFFFF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D0292E">
        <w:rPr>
          <w:rFonts w:ascii="Times New Roman" w:eastAsia="Times New Roman" w:hAnsi="Times New Roman" w:cs="Times New Roman"/>
          <w:sz w:val="28"/>
          <w:szCs w:val="28"/>
          <w:lang w:eastAsia="lv-LV"/>
        </w:rPr>
        <w:t>Izdoti saskaņā ar</w:t>
      </w:r>
      <w:r w:rsidR="008E607C" w:rsidRPr="00D0292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</w:p>
    <w:p w14:paraId="07665D4B" w14:textId="77777777" w:rsidR="00BE1F08" w:rsidRPr="00D0292E" w:rsidRDefault="008135CB" w:rsidP="007100F3">
      <w:pPr>
        <w:shd w:val="clear" w:color="auto" w:fill="FFFFFF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hyperlink r:id="rId8" w:tgtFrame="_blank" w:history="1">
        <w:r w:rsidR="008E607C" w:rsidRPr="00D0292E">
          <w:rPr>
            <w:rFonts w:ascii="Times New Roman" w:eastAsia="Times New Roman" w:hAnsi="Times New Roman" w:cs="Times New Roman"/>
            <w:sz w:val="28"/>
            <w:szCs w:val="28"/>
            <w:lang w:eastAsia="lv-LV"/>
          </w:rPr>
          <w:t>Attīstības finanšu institūcijas likuma</w:t>
        </w:r>
      </w:hyperlink>
    </w:p>
    <w:p w14:paraId="7D322E06" w14:textId="77777777" w:rsidR="00BE1F08" w:rsidRPr="00D0292E" w:rsidRDefault="008135CB" w:rsidP="007100F3">
      <w:pPr>
        <w:shd w:val="clear" w:color="auto" w:fill="FFFFFF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hyperlink r:id="rId9" w:anchor="p12" w:tgtFrame="_blank" w:history="1">
        <w:r w:rsidR="008E607C" w:rsidRPr="00D0292E">
          <w:rPr>
            <w:rFonts w:ascii="Times New Roman" w:eastAsia="Times New Roman" w:hAnsi="Times New Roman" w:cs="Times New Roman"/>
            <w:sz w:val="28"/>
            <w:szCs w:val="28"/>
            <w:lang w:eastAsia="lv-LV"/>
          </w:rPr>
          <w:t>12.</w:t>
        </w:r>
      </w:hyperlink>
      <w:r w:rsidR="008E607C" w:rsidRPr="00D0292E">
        <w:rPr>
          <w:rFonts w:ascii="Times New Roman" w:eastAsia="Times New Roman" w:hAnsi="Times New Roman" w:cs="Times New Roman"/>
          <w:sz w:val="28"/>
          <w:szCs w:val="28"/>
          <w:lang w:eastAsia="lv-LV"/>
        </w:rPr>
        <w:t> panta ceturto daļu un</w:t>
      </w:r>
    </w:p>
    <w:p w14:paraId="7A162F0F" w14:textId="43B12055" w:rsidR="00BE1F08" w:rsidRPr="00D0292E" w:rsidRDefault="00F17065" w:rsidP="007100F3">
      <w:pPr>
        <w:shd w:val="clear" w:color="auto" w:fill="FFFFFF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D0292E">
        <w:rPr>
          <w:rFonts w:ascii="Times New Roman" w:eastAsia="Times New Roman" w:hAnsi="Times New Roman" w:cs="Times New Roman"/>
          <w:sz w:val="28"/>
          <w:szCs w:val="28"/>
          <w:lang w:eastAsia="lv-LV"/>
        </w:rPr>
        <w:t>Energoefektivitātes likuma</w:t>
      </w:r>
    </w:p>
    <w:p w14:paraId="15C1179C" w14:textId="429C1D20" w:rsidR="00F81D39" w:rsidRPr="00D0292E" w:rsidRDefault="00F17065" w:rsidP="007100F3">
      <w:pPr>
        <w:shd w:val="clear" w:color="auto" w:fill="FFFFFF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D0292E">
        <w:rPr>
          <w:rFonts w:ascii="Times New Roman" w:eastAsia="Times New Roman" w:hAnsi="Times New Roman" w:cs="Times New Roman"/>
          <w:sz w:val="28"/>
          <w:szCs w:val="28"/>
          <w:lang w:eastAsia="lv-LV"/>
        </w:rPr>
        <w:t>7.</w:t>
      </w:r>
      <w:r w:rsidR="00677742" w:rsidRPr="00D0292E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D0292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panta </w:t>
      </w:r>
      <w:r w:rsidR="008E607C" w:rsidRPr="00D0292E">
        <w:rPr>
          <w:rFonts w:ascii="Times New Roman" w:eastAsia="Times New Roman" w:hAnsi="Times New Roman" w:cs="Times New Roman"/>
          <w:sz w:val="28"/>
          <w:szCs w:val="28"/>
          <w:lang w:eastAsia="lv-LV"/>
        </w:rPr>
        <w:t>sesto</w:t>
      </w:r>
      <w:r w:rsidRPr="00D0292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daļ</w:t>
      </w:r>
      <w:r w:rsidR="008E607C" w:rsidRPr="00D0292E">
        <w:rPr>
          <w:rFonts w:ascii="Times New Roman" w:eastAsia="Times New Roman" w:hAnsi="Times New Roman" w:cs="Times New Roman"/>
          <w:sz w:val="28"/>
          <w:szCs w:val="28"/>
          <w:lang w:eastAsia="lv-LV"/>
        </w:rPr>
        <w:t>u</w:t>
      </w:r>
    </w:p>
    <w:p w14:paraId="60720245" w14:textId="77777777" w:rsidR="00B91EF4" w:rsidRPr="007100F3" w:rsidRDefault="00B91EF4" w:rsidP="007100F3">
      <w:pPr>
        <w:pStyle w:val="ListParagraph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8D89DC9" w14:textId="1EACA63C" w:rsidR="00C346F2" w:rsidRPr="007100F3" w:rsidRDefault="00097DD1" w:rsidP="007100F3">
      <w:pPr>
        <w:pStyle w:val="ListParagraph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7100F3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I</w:t>
      </w:r>
      <w:r w:rsidR="00DD531C" w:rsidRPr="007100F3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.</w:t>
      </w:r>
      <w:r w:rsidR="00C346F2" w:rsidRPr="007100F3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Vispārīgie jautājumi</w:t>
      </w:r>
    </w:p>
    <w:p w14:paraId="100F5BD6" w14:textId="77777777" w:rsidR="00B15733" w:rsidRPr="007100F3" w:rsidRDefault="00B15733" w:rsidP="007100F3">
      <w:pPr>
        <w:pStyle w:val="ListParagraph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B563C5C" w14:textId="77777777" w:rsidR="00677742" w:rsidRPr="007100F3" w:rsidRDefault="00C346F2" w:rsidP="00BE1F08">
      <w:pPr>
        <w:pStyle w:val="ListParagraph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1" w:name="_Ref17798825"/>
      <w:r w:rsidRPr="007100F3">
        <w:rPr>
          <w:rFonts w:ascii="Times New Roman" w:eastAsia="Times New Roman" w:hAnsi="Times New Roman" w:cs="Times New Roman"/>
          <w:sz w:val="28"/>
          <w:szCs w:val="28"/>
          <w:lang w:eastAsia="lv-LV"/>
        </w:rPr>
        <w:t>Noteikumi nosaka</w:t>
      </w:r>
      <w:r w:rsidR="00677742" w:rsidRPr="007100F3">
        <w:rPr>
          <w:rFonts w:ascii="Times New Roman" w:eastAsia="Times New Roman" w:hAnsi="Times New Roman" w:cs="Times New Roman"/>
          <w:sz w:val="28"/>
          <w:szCs w:val="28"/>
          <w:lang w:eastAsia="lv-LV"/>
        </w:rPr>
        <w:t>:</w:t>
      </w:r>
    </w:p>
    <w:p w14:paraId="05EF2FCF" w14:textId="091C9185" w:rsidR="00074D20" w:rsidRPr="007100F3" w:rsidRDefault="00C346F2" w:rsidP="00BE1F08">
      <w:pPr>
        <w:pStyle w:val="ListParagraph"/>
        <w:numPr>
          <w:ilvl w:val="1"/>
          <w:numId w:val="1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7100F3">
        <w:rPr>
          <w:rFonts w:ascii="Times New Roman" w:eastAsia="Times New Roman" w:hAnsi="Times New Roman" w:cs="Times New Roman"/>
          <w:sz w:val="28"/>
          <w:szCs w:val="28"/>
          <w:lang w:eastAsia="lv-LV"/>
        </w:rPr>
        <w:t>kārtību, kādā</w:t>
      </w:r>
      <w:r w:rsidR="00B70029" w:rsidRPr="007100F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606CD4" w:rsidRPr="007100F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akciju sabiedrība "Attīstības finanšu institūcija Altum" (turpmāk – </w:t>
      </w:r>
      <w:bookmarkStart w:id="2" w:name="_Hlk40885460"/>
      <w:r w:rsidR="00606CD4" w:rsidRPr="007100F3">
        <w:rPr>
          <w:rFonts w:ascii="Times New Roman" w:eastAsia="Times New Roman" w:hAnsi="Times New Roman" w:cs="Times New Roman"/>
          <w:sz w:val="28"/>
          <w:szCs w:val="28"/>
          <w:lang w:eastAsia="lv-LV"/>
        </w:rPr>
        <w:t>sabiedrība "Altum"</w:t>
      </w:r>
      <w:bookmarkEnd w:id="2"/>
      <w:r w:rsidR="00606CD4" w:rsidRPr="007100F3">
        <w:rPr>
          <w:rFonts w:ascii="Times New Roman" w:eastAsia="Times New Roman" w:hAnsi="Times New Roman" w:cs="Times New Roman"/>
          <w:sz w:val="28"/>
          <w:szCs w:val="28"/>
          <w:lang w:eastAsia="lv-LV"/>
        </w:rPr>
        <w:t>)</w:t>
      </w:r>
      <w:r w:rsidR="00F10190" w:rsidRPr="007100F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īsteno</w:t>
      </w:r>
      <w:r w:rsidR="00582F58" w:rsidRPr="007100F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3F7B25" w:rsidRPr="007100F3">
        <w:rPr>
          <w:rFonts w:ascii="Times New Roman" w:eastAsia="Times New Roman" w:hAnsi="Times New Roman" w:cs="Times New Roman"/>
          <w:sz w:val="28"/>
          <w:szCs w:val="28"/>
          <w:lang w:eastAsia="lv-LV"/>
        </w:rPr>
        <w:t>atbalsta</w:t>
      </w:r>
      <w:r w:rsidR="00F32820" w:rsidRPr="007100F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F10190" w:rsidRPr="007100F3">
        <w:rPr>
          <w:rFonts w:ascii="Times New Roman" w:eastAsia="Times New Roman" w:hAnsi="Times New Roman" w:cs="Times New Roman"/>
          <w:sz w:val="28"/>
          <w:szCs w:val="28"/>
          <w:lang w:eastAsia="lv-LV"/>
        </w:rPr>
        <w:t>programm</w:t>
      </w:r>
      <w:r w:rsidR="00606CD4" w:rsidRPr="007100F3">
        <w:rPr>
          <w:rFonts w:ascii="Times New Roman" w:eastAsia="Times New Roman" w:hAnsi="Times New Roman" w:cs="Times New Roman"/>
          <w:sz w:val="28"/>
          <w:szCs w:val="28"/>
          <w:lang w:eastAsia="lv-LV"/>
        </w:rPr>
        <w:t>u</w:t>
      </w:r>
      <w:r w:rsidR="005D587C" w:rsidRPr="007100F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2B1F57" w:rsidRPr="007100F3">
        <w:rPr>
          <w:rFonts w:ascii="Times New Roman" w:eastAsia="Times New Roman" w:hAnsi="Times New Roman" w:cs="Times New Roman"/>
          <w:sz w:val="28"/>
          <w:szCs w:val="28"/>
          <w:lang w:eastAsia="lv-LV"/>
        </w:rPr>
        <w:t>obligātā enerģijas galapatēriņa mērķa sasniegšanai</w:t>
      </w:r>
      <w:r w:rsidR="00074D20" w:rsidRPr="007100F3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7487F5E3" w14:textId="26CA46BA" w:rsidR="00F32820" w:rsidRPr="007100F3" w:rsidRDefault="00074D20" w:rsidP="00BE1F08">
      <w:pPr>
        <w:pStyle w:val="ListParagraph"/>
        <w:numPr>
          <w:ilvl w:val="1"/>
          <w:numId w:val="1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7100F3">
        <w:rPr>
          <w:rFonts w:ascii="Times New Roman" w:eastAsia="Times New Roman" w:hAnsi="Times New Roman" w:cs="Times New Roman"/>
          <w:sz w:val="28"/>
          <w:szCs w:val="28"/>
          <w:lang w:eastAsia="lv-LV"/>
        </w:rPr>
        <w:t>atbalsta programmai pieejamo finansējumu</w:t>
      </w:r>
      <w:r w:rsidR="00BE1F0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un</w:t>
      </w:r>
      <w:r w:rsidRPr="007100F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tā izmantošanu;</w:t>
      </w:r>
    </w:p>
    <w:p w14:paraId="092A05E9" w14:textId="3E01756A" w:rsidR="00C346F2" w:rsidRPr="007100F3" w:rsidRDefault="00995367" w:rsidP="00BE1F08">
      <w:pPr>
        <w:pStyle w:val="ListParagraph"/>
        <w:numPr>
          <w:ilvl w:val="1"/>
          <w:numId w:val="1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7100F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atbalsta </w:t>
      </w:r>
      <w:r w:rsidR="002B1F57" w:rsidRPr="007100F3">
        <w:rPr>
          <w:rFonts w:ascii="Times New Roman" w:eastAsia="Times New Roman" w:hAnsi="Times New Roman" w:cs="Times New Roman"/>
          <w:sz w:val="28"/>
          <w:szCs w:val="28"/>
          <w:lang w:eastAsia="lv-LV"/>
        </w:rPr>
        <w:t>programmas īstenošanai plānotās darbības</w:t>
      </w:r>
      <w:bookmarkEnd w:id="1"/>
      <w:r w:rsidR="00677742" w:rsidRPr="007100F3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582C385E" w14:textId="493C3C8F" w:rsidR="005D46EF" w:rsidRDefault="00995367" w:rsidP="00BE1F08">
      <w:pPr>
        <w:pStyle w:val="ListParagraph"/>
        <w:numPr>
          <w:ilvl w:val="1"/>
          <w:numId w:val="1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7100F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atbalsta </w:t>
      </w:r>
      <w:r w:rsidR="002B1F57" w:rsidRPr="007100F3">
        <w:rPr>
          <w:rFonts w:ascii="Times New Roman" w:eastAsia="Times New Roman" w:hAnsi="Times New Roman" w:cs="Times New Roman"/>
          <w:sz w:val="28"/>
          <w:szCs w:val="28"/>
          <w:lang w:eastAsia="lv-LV"/>
        </w:rPr>
        <w:t>programmas izmaksu attiecināmības nosacījumus</w:t>
      </w:r>
      <w:r w:rsidR="00606CD4" w:rsidRPr="007100F3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26EC0388" w14:textId="77777777" w:rsidR="007100F3" w:rsidRPr="007100F3" w:rsidRDefault="007100F3" w:rsidP="007100F3">
      <w:pPr>
        <w:pStyle w:val="ListParagraph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D2DC4B3" w14:textId="643CB8A3" w:rsidR="00C346F2" w:rsidRPr="007100F3" w:rsidRDefault="00C346F2" w:rsidP="00BE1F08">
      <w:pPr>
        <w:pStyle w:val="ListParagraph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7100F3">
        <w:rPr>
          <w:rFonts w:ascii="Times New Roman" w:eastAsia="Times New Roman" w:hAnsi="Times New Roman" w:cs="Times New Roman"/>
          <w:sz w:val="28"/>
          <w:szCs w:val="28"/>
          <w:lang w:eastAsia="lv-LV"/>
        </w:rPr>
        <w:t>Noteikumos lietotie termini:</w:t>
      </w:r>
    </w:p>
    <w:p w14:paraId="5FE00FD8" w14:textId="440468B4" w:rsidR="00C346F2" w:rsidRPr="007100F3" w:rsidRDefault="00C346F2" w:rsidP="00BE1F08">
      <w:pPr>
        <w:pStyle w:val="ListParagraph"/>
        <w:numPr>
          <w:ilvl w:val="1"/>
          <w:numId w:val="1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7100F3">
        <w:rPr>
          <w:rFonts w:ascii="Times New Roman" w:eastAsia="Times New Roman" w:hAnsi="Times New Roman" w:cs="Times New Roman"/>
          <w:sz w:val="28"/>
          <w:szCs w:val="28"/>
          <w:lang w:eastAsia="lv-LV"/>
        </w:rPr>
        <w:t>aizdevumu portfelis –</w:t>
      </w:r>
      <w:r w:rsidR="00CD76A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CD76A3" w:rsidRPr="007100F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kredītiestādes </w:t>
      </w:r>
      <w:r w:rsidRPr="007100F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izsniegto </w:t>
      </w:r>
      <w:r w:rsidR="00560E5C" w:rsidRPr="007100F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hipotekāro aizdevumu </w:t>
      </w:r>
      <w:r w:rsidR="00CD76A3" w:rsidRPr="007100F3">
        <w:rPr>
          <w:rFonts w:ascii="Times New Roman" w:eastAsia="Times New Roman" w:hAnsi="Times New Roman" w:cs="Times New Roman"/>
          <w:sz w:val="28"/>
          <w:szCs w:val="28"/>
          <w:lang w:eastAsia="lv-LV"/>
        </w:rPr>
        <w:t>(turpmāk – aizdevums)</w:t>
      </w:r>
      <w:r w:rsidRPr="007100F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CD76A3" w:rsidRPr="007100F3">
        <w:rPr>
          <w:rFonts w:ascii="Times New Roman" w:eastAsia="Times New Roman" w:hAnsi="Times New Roman" w:cs="Times New Roman"/>
          <w:sz w:val="28"/>
          <w:szCs w:val="28"/>
          <w:lang w:eastAsia="lv-LV"/>
        </w:rPr>
        <w:t>darījumu kopums,</w:t>
      </w:r>
      <w:r w:rsidR="00CD76A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7100F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kurā iekļauti atbilstoši šiem noteikumiem izsniegtie </w:t>
      </w:r>
      <w:r w:rsidR="00560E5C" w:rsidRPr="007100F3">
        <w:rPr>
          <w:rFonts w:ascii="Times New Roman" w:eastAsia="Times New Roman" w:hAnsi="Times New Roman" w:cs="Times New Roman"/>
          <w:sz w:val="28"/>
          <w:szCs w:val="28"/>
          <w:lang w:eastAsia="lv-LV"/>
        </w:rPr>
        <w:t>aizdevumi</w:t>
      </w:r>
      <w:r w:rsidRPr="007100F3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31CCC562" w14:textId="7C89357E" w:rsidR="00C346F2" w:rsidRPr="007100F3" w:rsidRDefault="00C346F2" w:rsidP="00BE1F08">
      <w:pPr>
        <w:pStyle w:val="ListParagraph"/>
        <w:numPr>
          <w:ilvl w:val="1"/>
          <w:numId w:val="1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7100F3">
        <w:rPr>
          <w:rFonts w:ascii="Times New Roman" w:eastAsia="Times New Roman" w:hAnsi="Times New Roman" w:cs="Times New Roman"/>
          <w:sz w:val="28"/>
          <w:szCs w:val="28"/>
          <w:lang w:eastAsia="lv-LV"/>
        </w:rPr>
        <w:t>garantija – sabiedrības "</w:t>
      </w:r>
      <w:proofErr w:type="spellStart"/>
      <w:r w:rsidRPr="007100F3">
        <w:rPr>
          <w:rFonts w:ascii="Times New Roman" w:eastAsia="Times New Roman" w:hAnsi="Times New Roman" w:cs="Times New Roman"/>
          <w:sz w:val="28"/>
          <w:szCs w:val="28"/>
          <w:lang w:eastAsia="lv-LV"/>
        </w:rPr>
        <w:t>Altum</w:t>
      </w:r>
      <w:proofErr w:type="spellEnd"/>
      <w:r w:rsidRPr="007100F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" saistības šajos noteikumos noteiktajā apmērā un atbilstoši šajos noteikumos noteiktajam finansējumam segt kredītiestādes zaudējumus, kas radušies, ja </w:t>
      </w:r>
      <w:r w:rsidR="00560E5C" w:rsidRPr="007100F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aizņēmējs </w:t>
      </w:r>
      <w:r w:rsidRPr="007100F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nepilda saistības par kredītiestādes sniegto </w:t>
      </w:r>
      <w:r w:rsidR="00560E5C" w:rsidRPr="007100F3">
        <w:rPr>
          <w:rFonts w:ascii="Times New Roman" w:eastAsia="Times New Roman" w:hAnsi="Times New Roman" w:cs="Times New Roman"/>
          <w:sz w:val="28"/>
          <w:szCs w:val="28"/>
          <w:lang w:eastAsia="lv-LV"/>
        </w:rPr>
        <w:t>aizdevumu</w:t>
      </w:r>
      <w:r w:rsidRPr="007100F3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17BD1A5E" w14:textId="4F626103" w:rsidR="00C346F2" w:rsidRPr="007100F3" w:rsidRDefault="00C346F2" w:rsidP="00BE1F08">
      <w:pPr>
        <w:pStyle w:val="ListParagraph"/>
        <w:numPr>
          <w:ilvl w:val="1"/>
          <w:numId w:val="1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7100F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garantijas likme – procentos izteikta kredītiestādes zaudējumu daļa, ko garantētam </w:t>
      </w:r>
      <w:r w:rsidR="00560E5C" w:rsidRPr="007100F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aizdevumam </w:t>
      </w:r>
      <w:r w:rsidRPr="007100F3">
        <w:rPr>
          <w:rFonts w:ascii="Times New Roman" w:eastAsia="Times New Roman" w:hAnsi="Times New Roman" w:cs="Times New Roman"/>
          <w:sz w:val="28"/>
          <w:szCs w:val="28"/>
          <w:lang w:eastAsia="lv-LV"/>
        </w:rPr>
        <w:t>sedz garantija;</w:t>
      </w:r>
    </w:p>
    <w:p w14:paraId="4CA952DA" w14:textId="100B9C9D" w:rsidR="00C346F2" w:rsidRPr="007100F3" w:rsidRDefault="00C346F2" w:rsidP="00BE1F08">
      <w:pPr>
        <w:pStyle w:val="ListParagraph"/>
        <w:numPr>
          <w:ilvl w:val="1"/>
          <w:numId w:val="1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7100F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garantiju portfelis – aizdevumu portfelī iekļautajiem </w:t>
      </w:r>
      <w:r w:rsidR="00560E5C" w:rsidRPr="007100F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aizdevumiem </w:t>
      </w:r>
      <w:r w:rsidRPr="007100F3">
        <w:rPr>
          <w:rFonts w:ascii="Times New Roman" w:eastAsia="Times New Roman" w:hAnsi="Times New Roman" w:cs="Times New Roman"/>
          <w:sz w:val="28"/>
          <w:szCs w:val="28"/>
          <w:lang w:eastAsia="lv-LV"/>
        </w:rPr>
        <w:t>izsniegto garantiju kopums;</w:t>
      </w:r>
    </w:p>
    <w:p w14:paraId="16DC52B5" w14:textId="01EE3EA8" w:rsidR="00C346F2" w:rsidRPr="007100F3" w:rsidRDefault="00C346F2" w:rsidP="00BE1F08">
      <w:pPr>
        <w:pStyle w:val="ListParagraph"/>
        <w:numPr>
          <w:ilvl w:val="1"/>
          <w:numId w:val="1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7100F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ierobežotā garantijas likme </w:t>
      </w:r>
      <w:r w:rsidRPr="007100F3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>(</w:t>
      </w:r>
      <w:proofErr w:type="spellStart"/>
      <w:r w:rsidRPr="007100F3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>guarantee</w:t>
      </w:r>
      <w:proofErr w:type="spellEnd"/>
      <w:r w:rsidRPr="007100F3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 xml:space="preserve"> </w:t>
      </w:r>
      <w:proofErr w:type="spellStart"/>
      <w:r w:rsidRPr="007100F3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>cap</w:t>
      </w:r>
      <w:proofErr w:type="spellEnd"/>
      <w:r w:rsidRPr="007100F3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 xml:space="preserve"> </w:t>
      </w:r>
      <w:proofErr w:type="spellStart"/>
      <w:r w:rsidRPr="007100F3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>rate</w:t>
      </w:r>
      <w:proofErr w:type="spellEnd"/>
      <w:r w:rsidRPr="007100F3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>)</w:t>
      </w:r>
      <w:r w:rsidRPr="007100F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– procentos izteikta garantiju portfeļa daļa, kuru sedz </w:t>
      </w:r>
      <w:proofErr w:type="spellStart"/>
      <w:r w:rsidRPr="007100F3">
        <w:rPr>
          <w:rFonts w:ascii="Times New Roman" w:eastAsia="Times New Roman" w:hAnsi="Times New Roman" w:cs="Times New Roman"/>
          <w:sz w:val="28"/>
          <w:szCs w:val="28"/>
          <w:lang w:eastAsia="lv-LV"/>
        </w:rPr>
        <w:t>portfeļgarantija</w:t>
      </w:r>
      <w:proofErr w:type="spellEnd"/>
      <w:r w:rsidRPr="007100F3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1D5DB79B" w14:textId="209609B2" w:rsidR="00C346F2" w:rsidRPr="007100F3" w:rsidRDefault="00C346F2" w:rsidP="00BE1F08">
      <w:pPr>
        <w:pStyle w:val="ListParagraph"/>
        <w:numPr>
          <w:ilvl w:val="1"/>
          <w:numId w:val="1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7100F3">
        <w:rPr>
          <w:rFonts w:ascii="Times New Roman" w:eastAsia="Times New Roman" w:hAnsi="Times New Roman" w:cs="Times New Roman"/>
          <w:sz w:val="28"/>
          <w:szCs w:val="28"/>
          <w:lang w:eastAsia="lv-LV"/>
        </w:rPr>
        <w:lastRenderedPageBreak/>
        <w:t xml:space="preserve">ierobežotā garantijas summa </w:t>
      </w:r>
      <w:r w:rsidRPr="007100F3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>(</w:t>
      </w:r>
      <w:proofErr w:type="spellStart"/>
      <w:r w:rsidRPr="007100F3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>guarantee</w:t>
      </w:r>
      <w:proofErr w:type="spellEnd"/>
      <w:r w:rsidRPr="007100F3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 xml:space="preserve"> </w:t>
      </w:r>
      <w:proofErr w:type="spellStart"/>
      <w:r w:rsidRPr="007100F3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>cap</w:t>
      </w:r>
      <w:proofErr w:type="spellEnd"/>
      <w:r w:rsidRPr="007100F3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 xml:space="preserve"> </w:t>
      </w:r>
      <w:proofErr w:type="spellStart"/>
      <w:r w:rsidRPr="007100F3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>amount</w:t>
      </w:r>
      <w:proofErr w:type="spellEnd"/>
      <w:r w:rsidRPr="007100F3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>)</w:t>
      </w:r>
      <w:r w:rsidRPr="007100F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– kredītiestādes aizdevum</w:t>
      </w:r>
      <w:r w:rsidR="00CD76A3">
        <w:rPr>
          <w:rFonts w:ascii="Times New Roman" w:eastAsia="Times New Roman" w:hAnsi="Times New Roman" w:cs="Times New Roman"/>
          <w:sz w:val="28"/>
          <w:szCs w:val="28"/>
          <w:lang w:eastAsia="lv-LV"/>
        </w:rPr>
        <w:t>u</w:t>
      </w:r>
      <w:r w:rsidRPr="007100F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portfeļa maksimālā zaudējumu summa, kuru sedz </w:t>
      </w:r>
      <w:proofErr w:type="spellStart"/>
      <w:r w:rsidRPr="007100F3">
        <w:rPr>
          <w:rFonts w:ascii="Times New Roman" w:eastAsia="Times New Roman" w:hAnsi="Times New Roman" w:cs="Times New Roman"/>
          <w:sz w:val="28"/>
          <w:szCs w:val="28"/>
          <w:lang w:eastAsia="lv-LV"/>
        </w:rPr>
        <w:t>portfeļgarantija</w:t>
      </w:r>
      <w:proofErr w:type="spellEnd"/>
      <w:r w:rsidRPr="007100F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Ierobežoto garantijas summu aprēķina kā kredītiestādes aizdevumu portfeļa (maksimāli izmaksāto </w:t>
      </w:r>
      <w:r w:rsidR="00560E5C" w:rsidRPr="007100F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aizdevumu </w:t>
      </w:r>
      <w:r w:rsidRPr="007100F3">
        <w:rPr>
          <w:rFonts w:ascii="Times New Roman" w:eastAsia="Times New Roman" w:hAnsi="Times New Roman" w:cs="Times New Roman"/>
          <w:sz w:val="28"/>
          <w:szCs w:val="28"/>
          <w:lang w:eastAsia="lv-LV"/>
        </w:rPr>
        <w:t>summa), garantijas likmes un ierobežotās garantijas likmes reizinājumu;</w:t>
      </w:r>
    </w:p>
    <w:p w14:paraId="3E9DFA8A" w14:textId="051D38E6" w:rsidR="00F773C6" w:rsidRPr="007100F3" w:rsidRDefault="00C346F2" w:rsidP="00BE1F08">
      <w:pPr>
        <w:pStyle w:val="ListParagraph"/>
        <w:numPr>
          <w:ilvl w:val="1"/>
          <w:numId w:val="1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proofErr w:type="spellStart"/>
      <w:r w:rsidRPr="007100F3">
        <w:rPr>
          <w:rFonts w:ascii="Times New Roman" w:eastAsia="Times New Roman" w:hAnsi="Times New Roman" w:cs="Times New Roman"/>
          <w:sz w:val="28"/>
          <w:szCs w:val="28"/>
          <w:lang w:eastAsia="lv-LV"/>
        </w:rPr>
        <w:t>portfeļgarantija</w:t>
      </w:r>
      <w:proofErr w:type="spellEnd"/>
      <w:r w:rsidRPr="007100F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– finanšu instruments, kas nodrošina aizdevumu portfeļa zaudējumu segšanu atbilstoši garantijas likmei, nepārsniedzot ierobežotās garantijas summu</w:t>
      </w:r>
      <w:r w:rsidR="00560E5C" w:rsidRPr="007100F3">
        <w:rPr>
          <w:rFonts w:ascii="Times New Roman" w:eastAsia="Times New Roman" w:hAnsi="Times New Roman" w:cs="Times New Roman"/>
          <w:sz w:val="28"/>
          <w:szCs w:val="28"/>
          <w:lang w:eastAsia="lv-LV"/>
        </w:rPr>
        <w:t>, ja tāda noteikta</w:t>
      </w:r>
      <w:r w:rsidRPr="007100F3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5FFC879B" w14:textId="77777777" w:rsidR="00B91EF4" w:rsidRPr="007100F3" w:rsidRDefault="00B91EF4" w:rsidP="007100F3">
      <w:pPr>
        <w:pStyle w:val="ListParagraph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9E96940" w14:textId="7A747013" w:rsidR="00C346F2" w:rsidRPr="007100F3" w:rsidRDefault="00C346F2" w:rsidP="00D0292E">
      <w:pPr>
        <w:pStyle w:val="ListParagraph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7100F3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II</w:t>
      </w:r>
      <w:r w:rsidR="00DD531C" w:rsidRPr="007100F3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.</w:t>
      </w:r>
      <w:r w:rsidRPr="007100F3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Garantijas nosacījumi</w:t>
      </w:r>
    </w:p>
    <w:p w14:paraId="7583E925" w14:textId="77777777" w:rsidR="00B15733" w:rsidRPr="007100F3" w:rsidRDefault="00B15733" w:rsidP="007100F3">
      <w:pPr>
        <w:pStyle w:val="ListParagraph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A777711" w14:textId="1EE4CD06" w:rsidR="00C346F2" w:rsidRPr="007100F3" w:rsidRDefault="00B0614C" w:rsidP="00BE1F08">
      <w:pPr>
        <w:pStyle w:val="ListParagraph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7100F3">
        <w:rPr>
          <w:rFonts w:ascii="Times New Roman" w:eastAsia="Times New Roman" w:hAnsi="Times New Roman" w:cs="Times New Roman"/>
          <w:sz w:val="28"/>
          <w:szCs w:val="28"/>
          <w:lang w:eastAsia="lv-LV"/>
        </w:rPr>
        <w:t>Atbalstu var saņemt, ja garantiju piešķir</w:t>
      </w:r>
      <w:r w:rsidR="004E698B" w:rsidRPr="007100F3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Pr="007100F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C346F2" w:rsidRPr="007100F3">
        <w:rPr>
          <w:rFonts w:ascii="Times New Roman" w:eastAsia="Times New Roman" w:hAnsi="Times New Roman" w:cs="Times New Roman"/>
          <w:sz w:val="28"/>
          <w:szCs w:val="28"/>
          <w:lang w:eastAsia="lv-LV"/>
        </w:rPr>
        <w:t>ievēro</w:t>
      </w:r>
      <w:r w:rsidR="00B52B53" w:rsidRPr="007100F3">
        <w:rPr>
          <w:rFonts w:ascii="Times New Roman" w:eastAsia="Times New Roman" w:hAnsi="Times New Roman" w:cs="Times New Roman"/>
          <w:sz w:val="28"/>
          <w:szCs w:val="28"/>
          <w:lang w:eastAsia="lv-LV"/>
        </w:rPr>
        <w:t>jot</w:t>
      </w:r>
      <w:r w:rsidR="00C346F2" w:rsidRPr="007100F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šā</w:t>
      </w:r>
      <w:r w:rsidR="00B52B53" w:rsidRPr="007100F3">
        <w:rPr>
          <w:rFonts w:ascii="Times New Roman" w:eastAsia="Times New Roman" w:hAnsi="Times New Roman" w:cs="Times New Roman"/>
          <w:sz w:val="28"/>
          <w:szCs w:val="28"/>
          <w:lang w:eastAsia="lv-LV"/>
        </w:rPr>
        <w:t>dus</w:t>
      </w:r>
      <w:r w:rsidR="00C346F2" w:rsidRPr="007100F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nosacījum</w:t>
      </w:r>
      <w:r w:rsidR="00EC5719" w:rsidRPr="007100F3">
        <w:rPr>
          <w:rFonts w:ascii="Times New Roman" w:eastAsia="Times New Roman" w:hAnsi="Times New Roman" w:cs="Times New Roman"/>
          <w:sz w:val="28"/>
          <w:szCs w:val="28"/>
          <w:lang w:eastAsia="lv-LV"/>
        </w:rPr>
        <w:t>us</w:t>
      </w:r>
      <w:r w:rsidR="00C346F2" w:rsidRPr="007100F3">
        <w:rPr>
          <w:rFonts w:ascii="Times New Roman" w:eastAsia="Times New Roman" w:hAnsi="Times New Roman" w:cs="Times New Roman"/>
          <w:sz w:val="28"/>
          <w:szCs w:val="28"/>
          <w:lang w:eastAsia="lv-LV"/>
        </w:rPr>
        <w:t>:</w:t>
      </w:r>
    </w:p>
    <w:p w14:paraId="0CED22C3" w14:textId="2BB12E39" w:rsidR="00EC5719" w:rsidRPr="007100F3" w:rsidRDefault="00221DF0" w:rsidP="00BE1F08">
      <w:pPr>
        <w:pStyle w:val="ListParagraph"/>
        <w:numPr>
          <w:ilvl w:val="1"/>
          <w:numId w:val="1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3" w:name="_Ref17798868"/>
      <w:r w:rsidRPr="007100F3">
        <w:rPr>
          <w:rFonts w:ascii="Times New Roman" w:eastAsia="Times New Roman" w:hAnsi="Times New Roman" w:cs="Times New Roman"/>
          <w:sz w:val="28"/>
          <w:szCs w:val="28"/>
          <w:lang w:eastAsia="lv-LV"/>
        </w:rPr>
        <w:t>aizdevuma saņēmējs ir fiziska persona,</w:t>
      </w:r>
      <w:r w:rsidR="0006526D" w:rsidRPr="007100F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294F76">
        <w:rPr>
          <w:rFonts w:ascii="Times New Roman" w:eastAsia="Times New Roman" w:hAnsi="Times New Roman" w:cs="Times New Roman"/>
          <w:sz w:val="28"/>
          <w:szCs w:val="28"/>
          <w:lang w:eastAsia="lv-LV"/>
        </w:rPr>
        <w:t>kam</w:t>
      </w:r>
      <w:r w:rsidR="004A6281" w:rsidRPr="007100F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294F76" w:rsidRPr="007100F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zemesgrāmatā </w:t>
      </w:r>
      <w:r w:rsidR="004A6281" w:rsidRPr="007100F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nostiprinātas īpašuma tiesības </w:t>
      </w:r>
      <w:r w:rsidR="00567F2E" w:rsidRPr="007100F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uz </w:t>
      </w:r>
      <w:r w:rsidR="00250B20" w:rsidRPr="007100F3">
        <w:rPr>
          <w:rFonts w:ascii="Times New Roman" w:eastAsia="Times New Roman" w:hAnsi="Times New Roman" w:cs="Times New Roman"/>
          <w:sz w:val="28"/>
          <w:szCs w:val="28"/>
          <w:lang w:eastAsia="lv-LV"/>
        </w:rPr>
        <w:t>nekustamo īpašumu</w:t>
      </w:r>
      <w:r w:rsidR="000A45E5" w:rsidRPr="007100F3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="00250B20" w:rsidRPr="007100F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kur</w:t>
      </w:r>
      <w:r w:rsidR="000A45E5" w:rsidRPr="007100F3">
        <w:rPr>
          <w:rFonts w:ascii="Times New Roman" w:eastAsia="Times New Roman" w:hAnsi="Times New Roman" w:cs="Times New Roman"/>
          <w:sz w:val="28"/>
          <w:szCs w:val="28"/>
          <w:lang w:eastAsia="lv-LV"/>
        </w:rPr>
        <w:t>a</w:t>
      </w:r>
      <w:r w:rsidR="00250B20" w:rsidRPr="007100F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sastāvā ir attiecīgā </w:t>
      </w:r>
      <w:r w:rsidR="00567F2E" w:rsidRPr="007100F3">
        <w:rPr>
          <w:rFonts w:ascii="Times New Roman" w:eastAsia="Times New Roman" w:hAnsi="Times New Roman" w:cs="Times New Roman"/>
          <w:sz w:val="28"/>
          <w:szCs w:val="28"/>
          <w:lang w:eastAsia="lv-LV"/>
        </w:rPr>
        <w:t>dzīvojam</w:t>
      </w:r>
      <w:r w:rsidR="00250B20" w:rsidRPr="007100F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ā </w:t>
      </w:r>
      <w:r w:rsidR="009F74EF">
        <w:rPr>
          <w:rFonts w:ascii="Times New Roman" w:eastAsia="Times New Roman" w:hAnsi="Times New Roman" w:cs="Times New Roman"/>
          <w:sz w:val="28"/>
          <w:szCs w:val="28"/>
          <w:lang w:eastAsia="lv-LV"/>
        </w:rPr>
        <w:t>māja</w:t>
      </w:r>
      <w:r w:rsidR="00A1441E" w:rsidRPr="007100F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kurā tiks īstenoti šo noteikumu 3.5. apakšpunktā </w:t>
      </w:r>
      <w:r w:rsidR="00294F76">
        <w:rPr>
          <w:rFonts w:ascii="Times New Roman" w:eastAsia="Times New Roman" w:hAnsi="Times New Roman" w:cs="Times New Roman"/>
          <w:sz w:val="28"/>
          <w:szCs w:val="28"/>
          <w:lang w:eastAsia="lv-LV"/>
        </w:rPr>
        <w:t>minētie</w:t>
      </w:r>
      <w:r w:rsidR="00A1441E" w:rsidRPr="007100F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pasākumi</w:t>
      </w:r>
      <w:r w:rsidR="00C55599" w:rsidRPr="007100F3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  <w:bookmarkStart w:id="4" w:name="_Ref17798883"/>
      <w:bookmarkEnd w:id="3"/>
    </w:p>
    <w:p w14:paraId="3CEFF3AE" w14:textId="52607228" w:rsidR="00C55599" w:rsidRPr="007100F3" w:rsidRDefault="00C55599" w:rsidP="00BE1F08">
      <w:pPr>
        <w:pStyle w:val="ListParagraph"/>
        <w:numPr>
          <w:ilvl w:val="1"/>
          <w:numId w:val="1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7100F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dzīvojamā </w:t>
      </w:r>
      <w:r w:rsidR="009F74EF">
        <w:rPr>
          <w:rFonts w:ascii="Times New Roman" w:eastAsia="Times New Roman" w:hAnsi="Times New Roman" w:cs="Times New Roman"/>
          <w:sz w:val="28"/>
          <w:szCs w:val="28"/>
          <w:lang w:eastAsia="lv-LV"/>
        </w:rPr>
        <w:t>mājā</w:t>
      </w:r>
      <w:r w:rsidRPr="007100F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netiek veikta saimnieciskā darbība;</w:t>
      </w:r>
    </w:p>
    <w:p w14:paraId="679B2DBD" w14:textId="429352C9" w:rsidR="007C72F5" w:rsidRPr="007100F3" w:rsidRDefault="007C72F5" w:rsidP="00BE1F08">
      <w:pPr>
        <w:pStyle w:val="ListParagraph"/>
        <w:numPr>
          <w:ilvl w:val="1"/>
          <w:numId w:val="1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7100F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dzīvojamā </w:t>
      </w:r>
      <w:r w:rsidR="009F74EF">
        <w:rPr>
          <w:rFonts w:ascii="Times New Roman" w:eastAsia="Times New Roman" w:hAnsi="Times New Roman" w:cs="Times New Roman"/>
          <w:sz w:val="28"/>
          <w:szCs w:val="28"/>
          <w:lang w:eastAsia="lv-LV"/>
        </w:rPr>
        <w:t>māj</w:t>
      </w:r>
      <w:r w:rsidR="00DE35B9">
        <w:rPr>
          <w:rFonts w:ascii="Times New Roman" w:eastAsia="Times New Roman" w:hAnsi="Times New Roman" w:cs="Times New Roman"/>
          <w:sz w:val="28"/>
          <w:szCs w:val="28"/>
          <w:lang w:eastAsia="lv-LV"/>
        </w:rPr>
        <w:t>a</w:t>
      </w:r>
      <w:r w:rsidRPr="007100F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5D158F">
        <w:rPr>
          <w:rFonts w:ascii="Times New Roman" w:eastAsia="Times New Roman" w:hAnsi="Times New Roman" w:cs="Times New Roman"/>
          <w:sz w:val="28"/>
          <w:szCs w:val="28"/>
          <w:lang w:eastAsia="lv-LV"/>
        </w:rPr>
        <w:t>saskaņā ar būvju klasifikāciju</w:t>
      </w:r>
      <w:r w:rsidR="00294F76" w:rsidRPr="007100F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7100F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atbilst </w:t>
      </w:r>
      <w:r w:rsidR="005D158F">
        <w:rPr>
          <w:rFonts w:ascii="Times New Roman" w:eastAsia="Times New Roman" w:hAnsi="Times New Roman" w:cs="Times New Roman"/>
          <w:sz w:val="28"/>
          <w:szCs w:val="28"/>
          <w:lang w:eastAsia="lv-LV"/>
        </w:rPr>
        <w:t>kādai</w:t>
      </w:r>
      <w:r w:rsidRPr="007100F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no šādām </w:t>
      </w:r>
      <w:r w:rsidR="005D158F">
        <w:rPr>
          <w:rFonts w:ascii="Times New Roman" w:eastAsia="Times New Roman" w:hAnsi="Times New Roman" w:cs="Times New Roman"/>
          <w:sz w:val="28"/>
          <w:szCs w:val="28"/>
          <w:lang w:eastAsia="lv-LV"/>
        </w:rPr>
        <w:t>klasēm</w:t>
      </w:r>
      <w:r w:rsidRPr="007100F3">
        <w:rPr>
          <w:rFonts w:ascii="Times New Roman" w:eastAsia="Times New Roman" w:hAnsi="Times New Roman" w:cs="Times New Roman"/>
          <w:sz w:val="28"/>
          <w:szCs w:val="28"/>
          <w:lang w:eastAsia="lv-LV"/>
        </w:rPr>
        <w:t>:</w:t>
      </w:r>
    </w:p>
    <w:p w14:paraId="4D4B005A" w14:textId="3654A8CA" w:rsidR="00EC5719" w:rsidRPr="007100F3" w:rsidRDefault="007C72F5" w:rsidP="007100F3">
      <w:pPr>
        <w:pStyle w:val="ListParagraph"/>
        <w:numPr>
          <w:ilvl w:val="2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7100F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individuālā dzīvojamā </w:t>
      </w:r>
      <w:r w:rsidR="009F74EF">
        <w:rPr>
          <w:rFonts w:ascii="Times New Roman" w:eastAsia="Times New Roman" w:hAnsi="Times New Roman" w:cs="Times New Roman"/>
          <w:sz w:val="28"/>
          <w:szCs w:val="28"/>
          <w:lang w:eastAsia="lv-LV"/>
        </w:rPr>
        <w:t>māja</w:t>
      </w:r>
      <w:r w:rsidRPr="007100F3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1F90688C" w14:textId="3BAC54A0" w:rsidR="00EC5719" w:rsidRPr="007100F3" w:rsidRDefault="007C72F5" w:rsidP="007100F3">
      <w:pPr>
        <w:pStyle w:val="ListParagraph"/>
        <w:numPr>
          <w:ilvl w:val="2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7100F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dvīņu vai rindu </w:t>
      </w:r>
      <w:r w:rsidR="009F74EF">
        <w:rPr>
          <w:rFonts w:ascii="Times New Roman" w:eastAsia="Times New Roman" w:hAnsi="Times New Roman" w:cs="Times New Roman"/>
          <w:sz w:val="28"/>
          <w:szCs w:val="28"/>
          <w:lang w:eastAsia="lv-LV"/>
        </w:rPr>
        <w:t>māja</w:t>
      </w:r>
      <w:r w:rsidRPr="007100F3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76A4209E" w14:textId="334E06CE" w:rsidR="007C72F5" w:rsidRPr="007100F3" w:rsidRDefault="007C72F5" w:rsidP="007100F3">
      <w:pPr>
        <w:pStyle w:val="ListParagraph"/>
        <w:numPr>
          <w:ilvl w:val="2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7100F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atsevišķu divu dzīvokļu </w:t>
      </w:r>
      <w:r w:rsidR="009F74EF">
        <w:rPr>
          <w:rFonts w:ascii="Times New Roman" w:eastAsia="Times New Roman" w:hAnsi="Times New Roman" w:cs="Times New Roman"/>
          <w:sz w:val="28"/>
          <w:szCs w:val="28"/>
          <w:lang w:eastAsia="lv-LV"/>
        </w:rPr>
        <w:t>māja</w:t>
      </w:r>
      <w:r w:rsidRPr="007100F3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  <w:r w:rsidR="009F74E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</w:p>
    <w:p w14:paraId="4FD5C2FA" w14:textId="3EB2BD35" w:rsidR="00EC5719" w:rsidRPr="007100F3" w:rsidRDefault="00A1441E" w:rsidP="00BE1F08">
      <w:pPr>
        <w:pStyle w:val="ListParagraph"/>
        <w:numPr>
          <w:ilvl w:val="1"/>
          <w:numId w:val="1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7100F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dzīvojamā </w:t>
      </w:r>
      <w:r w:rsidR="009F74EF">
        <w:rPr>
          <w:rFonts w:ascii="Times New Roman" w:eastAsia="Times New Roman" w:hAnsi="Times New Roman" w:cs="Times New Roman"/>
          <w:sz w:val="28"/>
          <w:szCs w:val="28"/>
          <w:lang w:eastAsia="lv-LV"/>
        </w:rPr>
        <w:t>māja</w:t>
      </w:r>
      <w:r w:rsidR="009F74EF" w:rsidRPr="007100F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7C72F5" w:rsidRPr="007100F3">
        <w:rPr>
          <w:rFonts w:ascii="Times New Roman" w:eastAsia="Times New Roman" w:hAnsi="Times New Roman" w:cs="Times New Roman"/>
          <w:sz w:val="28"/>
          <w:szCs w:val="28"/>
          <w:lang w:eastAsia="lv-LV"/>
        </w:rPr>
        <w:t>ir nodota ekspluatācijā;</w:t>
      </w:r>
    </w:p>
    <w:p w14:paraId="00453540" w14:textId="361795EE" w:rsidR="003163ED" w:rsidRPr="007100F3" w:rsidRDefault="003163ED" w:rsidP="00BE1F08">
      <w:pPr>
        <w:pStyle w:val="ListParagraph"/>
        <w:numPr>
          <w:ilvl w:val="1"/>
          <w:numId w:val="1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5" w:name="_Ref36141859"/>
      <w:bookmarkEnd w:id="4"/>
      <w:r w:rsidRPr="007100F3">
        <w:rPr>
          <w:rFonts w:ascii="Times New Roman" w:eastAsia="Times New Roman" w:hAnsi="Times New Roman" w:cs="Times New Roman"/>
          <w:sz w:val="28"/>
          <w:szCs w:val="28"/>
          <w:lang w:eastAsia="lv-LV"/>
        </w:rPr>
        <w:t>aizdevum</w:t>
      </w:r>
      <w:r w:rsidR="00F16C7E" w:rsidRPr="007100F3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Pr="007100F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F16C7E" w:rsidRPr="007100F3">
        <w:rPr>
          <w:rFonts w:ascii="Times New Roman" w:eastAsia="Times New Roman" w:hAnsi="Times New Roman" w:cs="Times New Roman"/>
          <w:sz w:val="28"/>
          <w:szCs w:val="28"/>
          <w:lang w:eastAsia="lv-LV"/>
        </w:rPr>
        <w:t>ir piešķirts dzīvojamās</w:t>
      </w:r>
      <w:r w:rsidRPr="007100F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9F74EF">
        <w:rPr>
          <w:rFonts w:ascii="Times New Roman" w:eastAsia="Times New Roman" w:hAnsi="Times New Roman" w:cs="Times New Roman"/>
          <w:sz w:val="28"/>
          <w:szCs w:val="28"/>
          <w:lang w:eastAsia="lv-LV"/>
        </w:rPr>
        <w:t>mājas</w:t>
      </w:r>
      <w:r w:rsidR="009F74EF" w:rsidRPr="007100F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69794D" w:rsidRPr="007100F3">
        <w:rPr>
          <w:rFonts w:ascii="Times New Roman" w:eastAsia="Times New Roman" w:hAnsi="Times New Roman" w:cs="Times New Roman"/>
          <w:sz w:val="28"/>
          <w:szCs w:val="28"/>
          <w:lang w:eastAsia="lv-LV"/>
        </w:rPr>
        <w:t>atjaunošanai</w:t>
      </w:r>
      <w:r w:rsidRPr="007100F3">
        <w:rPr>
          <w:rFonts w:ascii="Times New Roman" w:eastAsia="Times New Roman" w:hAnsi="Times New Roman" w:cs="Times New Roman"/>
          <w:sz w:val="28"/>
          <w:szCs w:val="28"/>
          <w:lang w:eastAsia="lv-LV"/>
        </w:rPr>
        <w:t>, ietverot šādus pasākumus:</w:t>
      </w:r>
      <w:bookmarkEnd w:id="5"/>
    </w:p>
    <w:p w14:paraId="5CEB8450" w14:textId="3AA63B99" w:rsidR="00F16C7E" w:rsidRPr="007100F3" w:rsidRDefault="00583DD8" w:rsidP="007100F3">
      <w:pPr>
        <w:pStyle w:val="ListParagraph"/>
        <w:numPr>
          <w:ilvl w:val="2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7100F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būvdarbu veikšana </w:t>
      </w:r>
      <w:r w:rsidR="00A1441E" w:rsidRPr="007100F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dzīvojamās </w:t>
      </w:r>
      <w:r w:rsidR="009F74EF">
        <w:rPr>
          <w:rFonts w:ascii="Times New Roman" w:eastAsia="Times New Roman" w:hAnsi="Times New Roman" w:cs="Times New Roman"/>
          <w:sz w:val="28"/>
          <w:szCs w:val="28"/>
          <w:lang w:eastAsia="lv-LV"/>
        </w:rPr>
        <w:t>mājas</w:t>
      </w:r>
      <w:r w:rsidR="009F74EF" w:rsidRPr="007100F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7100F3">
        <w:rPr>
          <w:rFonts w:ascii="Times New Roman" w:eastAsia="Times New Roman" w:hAnsi="Times New Roman" w:cs="Times New Roman"/>
          <w:sz w:val="28"/>
          <w:szCs w:val="28"/>
          <w:lang w:eastAsia="lv-LV"/>
        </w:rPr>
        <w:t>norobežojošajās konstrukcijās</w:t>
      </w:r>
      <w:r w:rsidR="003163ED" w:rsidRPr="007100F3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59C00DBA" w14:textId="10A94ADC" w:rsidR="00F16C7E" w:rsidRPr="007100F3" w:rsidRDefault="00583DD8" w:rsidP="007100F3">
      <w:pPr>
        <w:pStyle w:val="ListParagraph"/>
        <w:numPr>
          <w:ilvl w:val="2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proofErr w:type="spellStart"/>
      <w:r w:rsidRPr="007100F3">
        <w:rPr>
          <w:rFonts w:ascii="Times New Roman" w:eastAsia="Times New Roman" w:hAnsi="Times New Roman" w:cs="Times New Roman"/>
          <w:sz w:val="28"/>
          <w:szCs w:val="28"/>
          <w:lang w:eastAsia="lv-LV"/>
        </w:rPr>
        <w:t>inženiersistēmu</w:t>
      </w:r>
      <w:proofErr w:type="spellEnd"/>
      <w:r w:rsidRPr="007100F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atjaunošana, pārbūve vai izveide</w:t>
      </w:r>
      <w:r w:rsidR="003163ED" w:rsidRPr="007100F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; </w:t>
      </w:r>
    </w:p>
    <w:p w14:paraId="5C466FA1" w14:textId="77777777" w:rsidR="00F16C7E" w:rsidRPr="007100F3" w:rsidRDefault="003163ED" w:rsidP="007100F3">
      <w:pPr>
        <w:pStyle w:val="ListParagraph"/>
        <w:numPr>
          <w:ilvl w:val="2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7100F3">
        <w:rPr>
          <w:rFonts w:ascii="Times New Roman" w:eastAsia="Times New Roman" w:hAnsi="Times New Roman" w:cs="Times New Roman"/>
          <w:sz w:val="28"/>
          <w:szCs w:val="28"/>
          <w:lang w:eastAsia="lv-LV"/>
        </w:rPr>
        <w:t>jauna boilera iegāde un uzstādīšana;</w:t>
      </w:r>
    </w:p>
    <w:p w14:paraId="18B5B21F" w14:textId="55C49B7C" w:rsidR="003163ED" w:rsidRPr="007100F3" w:rsidRDefault="003163ED" w:rsidP="007100F3">
      <w:pPr>
        <w:pStyle w:val="ListParagraph"/>
        <w:numPr>
          <w:ilvl w:val="2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proofErr w:type="spellStart"/>
      <w:r w:rsidRPr="007100F3">
        <w:rPr>
          <w:rFonts w:ascii="Times New Roman" w:eastAsia="Times New Roman" w:hAnsi="Times New Roman" w:cs="Times New Roman"/>
          <w:sz w:val="28"/>
          <w:szCs w:val="28"/>
          <w:lang w:eastAsia="lv-LV"/>
        </w:rPr>
        <w:t>mikroģenerācijas</w:t>
      </w:r>
      <w:proofErr w:type="spellEnd"/>
      <w:r w:rsidRPr="007100F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siltumenerģijas vai elektroenerģijas ražošanas tehnoloģisko iekārtu iegāde un uzstādīšana, lai nodrošinātu siltumenerģijas vai elektroenerģijas ražošanu no atjaunojamiem energoresursiem un siltuma vai elektroenerģijas piegādi tikai mājsaimniecības vajadzībām</w:t>
      </w:r>
      <w:r w:rsidR="005D158F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711A8E2C" w14:textId="6E402D1F" w:rsidR="00E96533" w:rsidRPr="007100F3" w:rsidRDefault="00E96533" w:rsidP="00BE1F08">
      <w:pPr>
        <w:pStyle w:val="ListParagraph"/>
        <w:numPr>
          <w:ilvl w:val="1"/>
          <w:numId w:val="1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7100F3">
        <w:rPr>
          <w:rFonts w:ascii="Times New Roman" w:eastAsia="Times New Roman" w:hAnsi="Times New Roman" w:cs="Times New Roman"/>
          <w:sz w:val="28"/>
          <w:szCs w:val="28"/>
          <w:lang w:eastAsia="lv-LV"/>
        </w:rPr>
        <w:t>sabiedrība "</w:t>
      </w:r>
      <w:proofErr w:type="spellStart"/>
      <w:r w:rsidRPr="007100F3">
        <w:rPr>
          <w:rFonts w:ascii="Times New Roman" w:eastAsia="Times New Roman" w:hAnsi="Times New Roman" w:cs="Times New Roman"/>
          <w:sz w:val="28"/>
          <w:szCs w:val="28"/>
          <w:lang w:eastAsia="lv-LV"/>
        </w:rPr>
        <w:t>Altum</w:t>
      </w:r>
      <w:proofErr w:type="spellEnd"/>
      <w:r w:rsidRPr="007100F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" </w:t>
      </w:r>
      <w:r w:rsidR="00D11151" w:rsidRPr="007100F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dzīvojamai </w:t>
      </w:r>
      <w:r w:rsidR="009F74EF">
        <w:rPr>
          <w:rFonts w:ascii="Times New Roman" w:eastAsia="Times New Roman" w:hAnsi="Times New Roman" w:cs="Times New Roman"/>
          <w:sz w:val="28"/>
          <w:szCs w:val="28"/>
          <w:lang w:eastAsia="lv-LV"/>
        </w:rPr>
        <w:t>mājai</w:t>
      </w:r>
      <w:r w:rsidR="009F74EF" w:rsidRPr="007100F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7100F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ir veikusi energoefektivitātes novērtējumu </w:t>
      </w:r>
      <w:r w:rsidR="00755FDE" w:rsidRPr="007100F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saskaņā </w:t>
      </w:r>
      <w:r w:rsidR="00A9441A" w:rsidRPr="007100F3">
        <w:rPr>
          <w:rFonts w:ascii="Times New Roman" w:eastAsia="Times New Roman" w:hAnsi="Times New Roman" w:cs="Times New Roman"/>
          <w:sz w:val="28"/>
          <w:szCs w:val="28"/>
          <w:lang w:eastAsia="lv-LV"/>
        </w:rPr>
        <w:t>ar normatīvaj</w:t>
      </w:r>
      <w:r w:rsidR="005D158F">
        <w:rPr>
          <w:rFonts w:ascii="Times New Roman" w:eastAsia="Times New Roman" w:hAnsi="Times New Roman" w:cs="Times New Roman"/>
          <w:sz w:val="28"/>
          <w:szCs w:val="28"/>
          <w:lang w:eastAsia="lv-LV"/>
        </w:rPr>
        <w:t>iem</w:t>
      </w:r>
      <w:r w:rsidR="00A9441A" w:rsidRPr="007100F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akt</w:t>
      </w:r>
      <w:r w:rsidR="005D158F">
        <w:rPr>
          <w:rFonts w:ascii="Times New Roman" w:eastAsia="Times New Roman" w:hAnsi="Times New Roman" w:cs="Times New Roman"/>
          <w:sz w:val="28"/>
          <w:szCs w:val="28"/>
          <w:lang w:eastAsia="lv-LV"/>
        </w:rPr>
        <w:t>iem</w:t>
      </w:r>
      <w:r w:rsidR="00A9441A" w:rsidRPr="007100F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par ēku energoefektivitātes nodrošināšanu</w:t>
      </w:r>
      <w:r w:rsidR="0001796E" w:rsidRPr="007100F3">
        <w:rPr>
          <w:rFonts w:ascii="Times New Roman" w:eastAsia="Times New Roman" w:hAnsi="Times New Roman" w:cs="Times New Roman"/>
          <w:sz w:val="28"/>
          <w:szCs w:val="28"/>
          <w:lang w:eastAsia="lv-LV"/>
        </w:rPr>
        <w:t>, kas</w:t>
      </w:r>
      <w:r w:rsidR="007217CF" w:rsidRPr="007100F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apliecina</w:t>
      </w:r>
      <w:r w:rsidRPr="007100F3">
        <w:rPr>
          <w:rFonts w:ascii="Times New Roman" w:eastAsia="Times New Roman" w:hAnsi="Times New Roman" w:cs="Times New Roman"/>
          <w:sz w:val="28"/>
          <w:szCs w:val="28"/>
          <w:lang w:eastAsia="lv-LV"/>
        </w:rPr>
        <w:t>, ka</w:t>
      </w:r>
      <w:r w:rsidR="00D11151" w:rsidRPr="007100F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šo noteikumu </w:t>
      </w:r>
      <w:r w:rsidR="00D11151" w:rsidRPr="007100F3">
        <w:rPr>
          <w:rFonts w:ascii="Times New Roman" w:eastAsia="Times New Roman" w:hAnsi="Times New Roman" w:cs="Times New Roman"/>
          <w:sz w:val="28"/>
          <w:szCs w:val="28"/>
          <w:lang w:eastAsia="lv-LV"/>
        </w:rPr>
        <w:fldChar w:fldCharType="begin"/>
      </w:r>
      <w:r w:rsidR="00D11151" w:rsidRPr="007100F3">
        <w:rPr>
          <w:rFonts w:ascii="Times New Roman" w:eastAsia="Times New Roman" w:hAnsi="Times New Roman" w:cs="Times New Roman"/>
          <w:sz w:val="28"/>
          <w:szCs w:val="28"/>
          <w:lang w:eastAsia="lv-LV"/>
        </w:rPr>
        <w:instrText xml:space="preserve"> REF _Ref36141859 \r \h </w:instrText>
      </w:r>
      <w:r w:rsidR="007100F3" w:rsidRPr="007100F3">
        <w:rPr>
          <w:rFonts w:ascii="Times New Roman" w:eastAsia="Times New Roman" w:hAnsi="Times New Roman" w:cs="Times New Roman"/>
          <w:sz w:val="28"/>
          <w:szCs w:val="28"/>
          <w:lang w:eastAsia="lv-LV"/>
        </w:rPr>
        <w:instrText xml:space="preserve"> \* MERGEFORMAT </w:instrText>
      </w:r>
      <w:r w:rsidR="00D11151" w:rsidRPr="007100F3">
        <w:rPr>
          <w:rFonts w:ascii="Times New Roman" w:eastAsia="Times New Roman" w:hAnsi="Times New Roman" w:cs="Times New Roman"/>
          <w:sz w:val="28"/>
          <w:szCs w:val="28"/>
          <w:lang w:eastAsia="lv-LV"/>
        </w:rPr>
      </w:r>
      <w:r w:rsidR="00D11151" w:rsidRPr="007100F3">
        <w:rPr>
          <w:rFonts w:ascii="Times New Roman" w:eastAsia="Times New Roman" w:hAnsi="Times New Roman" w:cs="Times New Roman"/>
          <w:sz w:val="28"/>
          <w:szCs w:val="28"/>
          <w:lang w:eastAsia="lv-LV"/>
        </w:rPr>
        <w:fldChar w:fldCharType="separate"/>
      </w:r>
      <w:r w:rsidR="00DE35B9">
        <w:rPr>
          <w:rFonts w:ascii="Times New Roman" w:eastAsia="Times New Roman" w:hAnsi="Times New Roman" w:cs="Times New Roman"/>
          <w:sz w:val="28"/>
          <w:szCs w:val="28"/>
          <w:lang w:eastAsia="lv-LV"/>
        </w:rPr>
        <w:t>3.5</w:t>
      </w:r>
      <w:r w:rsidR="00D11151" w:rsidRPr="007100F3">
        <w:rPr>
          <w:rFonts w:ascii="Times New Roman" w:eastAsia="Times New Roman" w:hAnsi="Times New Roman" w:cs="Times New Roman"/>
          <w:sz w:val="28"/>
          <w:szCs w:val="28"/>
          <w:lang w:eastAsia="lv-LV"/>
        </w:rPr>
        <w:fldChar w:fldCharType="end"/>
      </w:r>
      <w:r w:rsidR="00D11151" w:rsidRPr="007100F3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DA3835" w:rsidRPr="007100F3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D11151" w:rsidRPr="007100F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apakšpunktā </w:t>
      </w:r>
      <w:r w:rsidR="005D158F">
        <w:rPr>
          <w:rFonts w:ascii="Times New Roman" w:eastAsia="Times New Roman" w:hAnsi="Times New Roman" w:cs="Times New Roman"/>
          <w:sz w:val="28"/>
          <w:szCs w:val="28"/>
          <w:lang w:eastAsia="lv-LV"/>
        </w:rPr>
        <w:t>minēto</w:t>
      </w:r>
      <w:r w:rsidR="00D11151" w:rsidRPr="007100F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pasākumu īstenošanas rezultātā</w:t>
      </w:r>
      <w:r w:rsidR="00331385" w:rsidRPr="007100F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tiek</w:t>
      </w:r>
      <w:r w:rsidRPr="007100F3">
        <w:rPr>
          <w:rFonts w:ascii="Times New Roman" w:eastAsia="Times New Roman" w:hAnsi="Times New Roman" w:cs="Times New Roman"/>
          <w:sz w:val="28"/>
          <w:szCs w:val="28"/>
          <w:lang w:eastAsia="lv-LV"/>
        </w:rPr>
        <w:t>:</w:t>
      </w:r>
    </w:p>
    <w:p w14:paraId="0CB247E2" w14:textId="6398192A" w:rsidR="003163ED" w:rsidRPr="007100F3" w:rsidRDefault="00B71824" w:rsidP="007100F3">
      <w:pPr>
        <w:pStyle w:val="ListParagraph"/>
        <w:numPr>
          <w:ilvl w:val="2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7100F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paaugstināta </w:t>
      </w:r>
      <w:r w:rsidR="003E5957" w:rsidRPr="007100F3">
        <w:rPr>
          <w:rFonts w:ascii="Times New Roman" w:eastAsia="Times New Roman" w:hAnsi="Times New Roman" w:cs="Times New Roman"/>
          <w:sz w:val="28"/>
          <w:szCs w:val="28"/>
          <w:lang w:eastAsia="lv-LV"/>
        </w:rPr>
        <w:t>enerģijas patēriņa klasifikācija</w:t>
      </w:r>
      <w:r w:rsidR="00D11151" w:rsidRPr="007100F3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6EB0A36B" w14:textId="0E8D925B" w:rsidR="00D11151" w:rsidRPr="007100F3" w:rsidRDefault="00331385" w:rsidP="007100F3">
      <w:pPr>
        <w:pStyle w:val="ListParagraph"/>
        <w:numPr>
          <w:ilvl w:val="2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7100F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samazināts </w:t>
      </w:r>
      <w:r w:rsidR="00B71824" w:rsidRPr="007100F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siltumenerģijas patēriņš apkurei vismaz </w:t>
      </w:r>
      <w:r w:rsidR="005D158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par </w:t>
      </w:r>
      <w:r w:rsidR="00B71824" w:rsidRPr="007100F3">
        <w:rPr>
          <w:rFonts w:ascii="Times New Roman" w:eastAsia="Times New Roman" w:hAnsi="Times New Roman" w:cs="Times New Roman"/>
          <w:sz w:val="28"/>
          <w:szCs w:val="28"/>
          <w:lang w:eastAsia="lv-LV"/>
        </w:rPr>
        <w:t>20 %</w:t>
      </w:r>
      <w:r w:rsidR="003C1F52" w:rsidRPr="007100F3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1DA8C311" w14:textId="74F2C2FA" w:rsidR="00934504" w:rsidRDefault="003C1F52" w:rsidP="00BE1F08">
      <w:pPr>
        <w:pStyle w:val="ListParagraph"/>
        <w:numPr>
          <w:ilvl w:val="1"/>
          <w:numId w:val="1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7100F3">
        <w:rPr>
          <w:rFonts w:ascii="Times New Roman" w:eastAsia="Times New Roman" w:hAnsi="Times New Roman" w:cs="Times New Roman"/>
          <w:sz w:val="28"/>
          <w:szCs w:val="28"/>
          <w:lang w:eastAsia="lv-LV"/>
        </w:rPr>
        <w:t>š</w:t>
      </w:r>
      <w:r w:rsidR="008B56B3" w:rsidRPr="007100F3">
        <w:rPr>
          <w:rFonts w:ascii="Times New Roman" w:eastAsia="Times New Roman" w:hAnsi="Times New Roman" w:cs="Times New Roman"/>
          <w:sz w:val="28"/>
          <w:szCs w:val="28"/>
          <w:lang w:eastAsia="lv-LV"/>
        </w:rPr>
        <w:t>o noteikumu 3.5.1.</w:t>
      </w:r>
      <w:r w:rsidR="00D0292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8B56B3" w:rsidRPr="007100F3">
        <w:rPr>
          <w:rFonts w:ascii="Times New Roman" w:eastAsia="Times New Roman" w:hAnsi="Times New Roman" w:cs="Times New Roman"/>
          <w:sz w:val="28"/>
          <w:szCs w:val="28"/>
          <w:lang w:eastAsia="lv-LV"/>
        </w:rPr>
        <w:t>apakšpunktā noteiktos pasākumus veic reģistrēts būvkomersants.</w:t>
      </w:r>
    </w:p>
    <w:p w14:paraId="6BD27633" w14:textId="77777777" w:rsidR="007100F3" w:rsidRPr="007100F3" w:rsidRDefault="007100F3" w:rsidP="007100F3">
      <w:pPr>
        <w:pStyle w:val="ListParagraph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2A70927" w14:textId="12F02D9E" w:rsidR="00934504" w:rsidRDefault="005C6A1D" w:rsidP="00BE1F08">
      <w:pPr>
        <w:pStyle w:val="ListParagraph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7100F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Garantijas </w:t>
      </w:r>
      <w:r w:rsidR="00D94FDC" w:rsidRPr="007100F3">
        <w:rPr>
          <w:rFonts w:ascii="Times New Roman" w:eastAsia="Times New Roman" w:hAnsi="Times New Roman" w:cs="Times New Roman"/>
          <w:sz w:val="28"/>
          <w:szCs w:val="28"/>
          <w:lang w:eastAsia="lv-LV"/>
        </w:rPr>
        <w:t>l</w:t>
      </w:r>
      <w:r w:rsidR="0028197A" w:rsidRPr="007100F3">
        <w:rPr>
          <w:rFonts w:ascii="Times New Roman" w:eastAsia="Times New Roman" w:hAnsi="Times New Roman" w:cs="Times New Roman"/>
          <w:sz w:val="28"/>
          <w:szCs w:val="28"/>
          <w:lang w:eastAsia="lv-LV"/>
        </w:rPr>
        <w:t>i</w:t>
      </w:r>
      <w:r w:rsidR="00D94FDC" w:rsidRPr="007100F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kme </w:t>
      </w:r>
      <w:r w:rsidRPr="007100F3">
        <w:rPr>
          <w:rFonts w:ascii="Times New Roman" w:eastAsia="Times New Roman" w:hAnsi="Times New Roman" w:cs="Times New Roman"/>
          <w:sz w:val="28"/>
          <w:szCs w:val="28"/>
          <w:lang w:eastAsia="lv-LV"/>
        </w:rPr>
        <w:t>ir līdz 30 %</w:t>
      </w:r>
      <w:r w:rsidR="0069794D" w:rsidRPr="007100F3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Pr="007100F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2F6C52" w:rsidRPr="007100F3">
        <w:rPr>
          <w:rFonts w:ascii="Times New Roman" w:eastAsia="Times New Roman" w:hAnsi="Times New Roman" w:cs="Times New Roman"/>
          <w:sz w:val="28"/>
          <w:szCs w:val="28"/>
          <w:lang w:eastAsia="lv-LV"/>
        </w:rPr>
        <w:t>nepārsniedz</w:t>
      </w:r>
      <w:r w:rsidR="0069794D" w:rsidRPr="007100F3">
        <w:rPr>
          <w:rFonts w:ascii="Times New Roman" w:eastAsia="Times New Roman" w:hAnsi="Times New Roman" w:cs="Times New Roman"/>
          <w:sz w:val="28"/>
          <w:szCs w:val="28"/>
          <w:lang w:eastAsia="lv-LV"/>
        </w:rPr>
        <w:t>ot</w:t>
      </w:r>
      <w:r w:rsidR="002F6C52" w:rsidRPr="007100F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3163ED" w:rsidRPr="007100F3">
        <w:rPr>
          <w:rFonts w:ascii="Times New Roman" w:eastAsia="Times New Roman" w:hAnsi="Times New Roman" w:cs="Times New Roman"/>
          <w:sz w:val="28"/>
          <w:szCs w:val="28"/>
          <w:lang w:eastAsia="lv-LV"/>
        </w:rPr>
        <w:t>4</w:t>
      </w:r>
      <w:r w:rsidR="002F6C52" w:rsidRPr="007100F3">
        <w:rPr>
          <w:rFonts w:ascii="Times New Roman" w:eastAsia="Times New Roman" w:hAnsi="Times New Roman" w:cs="Times New Roman"/>
          <w:sz w:val="28"/>
          <w:szCs w:val="28"/>
          <w:lang w:eastAsia="lv-LV"/>
        </w:rPr>
        <w:t>0</w:t>
      </w:r>
      <w:r w:rsidRPr="007100F3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2F6C52" w:rsidRPr="007100F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000 </w:t>
      </w:r>
      <w:proofErr w:type="spellStart"/>
      <w:r w:rsidR="002F6C52" w:rsidRPr="007100F3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>euro</w:t>
      </w:r>
      <w:proofErr w:type="spellEnd"/>
      <w:r w:rsidR="003163ED" w:rsidRPr="007100F3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2312C830" w14:textId="77777777" w:rsidR="007100F3" w:rsidRPr="007100F3" w:rsidRDefault="007100F3" w:rsidP="007100F3">
      <w:pPr>
        <w:pStyle w:val="ListParagraph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EAF6BB1" w14:textId="77777777" w:rsidR="00CC4875" w:rsidRDefault="00CC4875">
      <w:pPr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br w:type="page"/>
      </w:r>
    </w:p>
    <w:p w14:paraId="379DE9C3" w14:textId="328B224B" w:rsidR="007A31E5" w:rsidRDefault="007A31E5" w:rsidP="00BE1F08">
      <w:pPr>
        <w:pStyle w:val="ListParagraph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7100F3">
        <w:rPr>
          <w:rFonts w:ascii="Times New Roman" w:eastAsia="Times New Roman" w:hAnsi="Times New Roman" w:cs="Times New Roman"/>
          <w:sz w:val="28"/>
          <w:szCs w:val="28"/>
          <w:lang w:eastAsia="lv-LV"/>
        </w:rPr>
        <w:lastRenderedPageBreak/>
        <w:t>Garantijas termiņš nepārsniedz 10 gadus.</w:t>
      </w:r>
    </w:p>
    <w:p w14:paraId="5051B3B4" w14:textId="77777777" w:rsidR="007100F3" w:rsidRPr="007100F3" w:rsidRDefault="007100F3" w:rsidP="007100F3">
      <w:pPr>
        <w:pStyle w:val="ListParagraph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C8416DB" w14:textId="6E7E1B7F" w:rsidR="00934504" w:rsidRDefault="00C346F2" w:rsidP="00BE1F08">
      <w:pPr>
        <w:pStyle w:val="ListParagraph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7100F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Aizņēmējam atbilstoši šiem noteikumiem </w:t>
      </w:r>
      <w:r w:rsidR="005D158F" w:rsidRPr="007100F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garantiju </w:t>
      </w:r>
      <w:r w:rsidR="00DA3835" w:rsidRPr="007100F3">
        <w:rPr>
          <w:rFonts w:ascii="Times New Roman" w:eastAsia="Times New Roman" w:hAnsi="Times New Roman" w:cs="Times New Roman"/>
          <w:sz w:val="28"/>
          <w:szCs w:val="28"/>
          <w:lang w:eastAsia="lv-LV"/>
        </w:rPr>
        <w:t>var</w:t>
      </w:r>
      <w:r w:rsidRPr="007100F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B0614C" w:rsidRPr="007100F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piešķirt </w:t>
      </w:r>
      <w:r w:rsidR="007A31E5" w:rsidRPr="007100F3">
        <w:rPr>
          <w:rFonts w:ascii="Times New Roman" w:eastAsia="Times New Roman" w:hAnsi="Times New Roman" w:cs="Times New Roman"/>
          <w:sz w:val="28"/>
          <w:szCs w:val="28"/>
          <w:lang w:eastAsia="lv-LV"/>
        </w:rPr>
        <w:t>atkārtoti</w:t>
      </w:r>
      <w:r w:rsidR="005D158F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="007A31E5" w:rsidRPr="007100F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5D158F">
        <w:rPr>
          <w:rFonts w:ascii="Times New Roman" w:eastAsia="Times New Roman" w:hAnsi="Times New Roman" w:cs="Times New Roman"/>
          <w:sz w:val="28"/>
          <w:szCs w:val="28"/>
          <w:lang w:eastAsia="lv-LV"/>
        </w:rPr>
        <w:t>ja</w:t>
      </w:r>
      <w:r w:rsidR="002F6C52" w:rsidRPr="007100F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iepriekš piešķirtās garantijas saistības ir izbeigušās</w:t>
      </w:r>
      <w:r w:rsidRPr="007100F3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51E9C928" w14:textId="77777777" w:rsidR="00BE1F08" w:rsidRPr="00BE1F08" w:rsidRDefault="00BE1F08" w:rsidP="00BE1F08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0E9053E" w14:textId="07DA0476" w:rsidR="00074D20" w:rsidRDefault="00C346F2" w:rsidP="00BE1F08">
      <w:pPr>
        <w:pStyle w:val="ListParagraph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7100F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Garantija sedz neatmaksāto aizdevuma pamatsummu. </w:t>
      </w:r>
    </w:p>
    <w:p w14:paraId="2396DF17" w14:textId="77777777" w:rsidR="007100F3" w:rsidRPr="007100F3" w:rsidRDefault="007100F3" w:rsidP="007100F3">
      <w:pPr>
        <w:pStyle w:val="ListParagraph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70F0080" w14:textId="2B476FE6" w:rsidR="00C847FC" w:rsidRPr="007100F3" w:rsidRDefault="00074D20" w:rsidP="00BE1F08">
      <w:pPr>
        <w:pStyle w:val="ListParagraph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7100F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Garantiju </w:t>
      </w:r>
      <w:r w:rsidR="00DA3835" w:rsidRPr="007100F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piešķiršanai </w:t>
      </w:r>
      <w:r w:rsidRPr="007100F3">
        <w:rPr>
          <w:rFonts w:ascii="Times New Roman" w:eastAsia="Times New Roman" w:hAnsi="Times New Roman" w:cs="Times New Roman"/>
          <w:sz w:val="28"/>
          <w:szCs w:val="28"/>
          <w:lang w:eastAsia="lv-LV"/>
        </w:rPr>
        <w:t>un sabiedrības "</w:t>
      </w:r>
      <w:proofErr w:type="spellStart"/>
      <w:r w:rsidRPr="007100F3">
        <w:rPr>
          <w:rFonts w:ascii="Times New Roman" w:eastAsia="Times New Roman" w:hAnsi="Times New Roman" w:cs="Times New Roman"/>
          <w:sz w:val="28"/>
          <w:szCs w:val="28"/>
          <w:lang w:eastAsia="lv-LV"/>
        </w:rPr>
        <w:t>Altum</w:t>
      </w:r>
      <w:proofErr w:type="spellEnd"/>
      <w:r w:rsidRPr="007100F3">
        <w:rPr>
          <w:rFonts w:ascii="Times New Roman" w:eastAsia="Times New Roman" w:hAnsi="Times New Roman" w:cs="Times New Roman"/>
          <w:sz w:val="28"/>
          <w:szCs w:val="28"/>
          <w:lang w:eastAsia="lv-LV"/>
        </w:rPr>
        <w:t>" pārvaldības maksas segšanai izmanto</w:t>
      </w:r>
      <w:r w:rsidR="00C847FC" w:rsidRPr="007100F3">
        <w:rPr>
          <w:rFonts w:ascii="Times New Roman" w:eastAsia="Times New Roman" w:hAnsi="Times New Roman" w:cs="Times New Roman"/>
          <w:sz w:val="28"/>
          <w:szCs w:val="28"/>
          <w:lang w:eastAsia="lv-LV"/>
        </w:rPr>
        <w:t>:</w:t>
      </w:r>
    </w:p>
    <w:p w14:paraId="56461E70" w14:textId="440C6310" w:rsidR="00F1052B" w:rsidRPr="007100F3" w:rsidRDefault="00074D20" w:rsidP="005D158F">
      <w:pPr>
        <w:pStyle w:val="ListParagraph"/>
        <w:numPr>
          <w:ilvl w:val="1"/>
          <w:numId w:val="1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7100F3">
        <w:rPr>
          <w:rFonts w:ascii="Times New Roman" w:eastAsia="Times New Roman" w:hAnsi="Times New Roman" w:cs="Times New Roman"/>
          <w:sz w:val="28"/>
          <w:szCs w:val="28"/>
          <w:lang w:eastAsia="lv-LV"/>
        </w:rPr>
        <w:t>valsts energoefektivitātes fonda līdzekļus</w:t>
      </w:r>
      <w:r w:rsidR="00D0292E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50D1F63F" w14:textId="5C9010A7" w:rsidR="00074D20" w:rsidRDefault="00BE1F08" w:rsidP="005D158F">
      <w:pPr>
        <w:pStyle w:val="ListParagraph"/>
        <w:numPr>
          <w:ilvl w:val="1"/>
          <w:numId w:val="1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="00C847FC" w:rsidRPr="007100F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abiedrības </w:t>
      </w:r>
      <w:r w:rsidR="005D158F" w:rsidRPr="007100F3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proofErr w:type="spellStart"/>
      <w:r w:rsidR="00C847FC" w:rsidRPr="007100F3">
        <w:rPr>
          <w:rFonts w:ascii="Times New Roman" w:eastAsia="Times New Roman" w:hAnsi="Times New Roman" w:cs="Times New Roman"/>
          <w:sz w:val="28"/>
          <w:szCs w:val="28"/>
          <w:lang w:eastAsia="lv-LV"/>
        </w:rPr>
        <w:t>Altum</w:t>
      </w:r>
      <w:proofErr w:type="spellEnd"/>
      <w:r w:rsidR="005D158F" w:rsidRPr="007100F3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C847FC" w:rsidRPr="007100F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nenoslogoto rezerves kapitālu</w:t>
      </w:r>
      <w:r w:rsidR="00074D20" w:rsidRPr="007100F3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4F402098" w14:textId="77777777" w:rsidR="007100F3" w:rsidRPr="007100F3" w:rsidRDefault="007100F3" w:rsidP="007100F3">
      <w:pPr>
        <w:pStyle w:val="ListParagraph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DCF259F" w14:textId="68595967" w:rsidR="00074D20" w:rsidRPr="007100F3" w:rsidRDefault="00074D20" w:rsidP="005D158F">
      <w:pPr>
        <w:pStyle w:val="ListParagraph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7100F3">
        <w:rPr>
          <w:rFonts w:ascii="Times New Roman" w:eastAsia="Times New Roman" w:hAnsi="Times New Roman" w:cs="Times New Roman"/>
          <w:sz w:val="28"/>
          <w:szCs w:val="28"/>
          <w:lang w:eastAsia="lv-LV"/>
        </w:rPr>
        <w:t>Sabiedrība "</w:t>
      </w:r>
      <w:proofErr w:type="spellStart"/>
      <w:r w:rsidRPr="007100F3">
        <w:rPr>
          <w:rFonts w:ascii="Times New Roman" w:eastAsia="Times New Roman" w:hAnsi="Times New Roman" w:cs="Times New Roman"/>
          <w:sz w:val="28"/>
          <w:szCs w:val="28"/>
          <w:lang w:eastAsia="lv-LV"/>
        </w:rPr>
        <w:t>Altum</w:t>
      </w:r>
      <w:proofErr w:type="spellEnd"/>
      <w:r w:rsidRPr="007100F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" </w:t>
      </w:r>
      <w:r w:rsidR="00CC4875" w:rsidRPr="007100F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reizi ceturksnī </w:t>
      </w:r>
      <w:r w:rsidRPr="007100F3">
        <w:rPr>
          <w:rFonts w:ascii="Times New Roman" w:eastAsia="Times New Roman" w:hAnsi="Times New Roman" w:cs="Times New Roman"/>
          <w:sz w:val="28"/>
          <w:szCs w:val="28"/>
          <w:lang w:eastAsia="lv-LV"/>
        </w:rPr>
        <w:t>iesniedz Ekonomikas ministrijā pārskatu par sniegtajām garantijām.</w:t>
      </w:r>
    </w:p>
    <w:p w14:paraId="31B4C066" w14:textId="77777777" w:rsidR="00B15733" w:rsidRPr="007100F3" w:rsidRDefault="00B15733" w:rsidP="007100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lv-LV"/>
        </w:rPr>
      </w:pPr>
    </w:p>
    <w:p w14:paraId="0198E3B3" w14:textId="77D8397D" w:rsidR="00EF022A" w:rsidRPr="007100F3" w:rsidRDefault="00382670" w:rsidP="007100F3">
      <w:pPr>
        <w:pStyle w:val="ListParagraph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7100F3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III</w:t>
      </w:r>
      <w:r w:rsidR="00EF022A" w:rsidRPr="007100F3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. </w:t>
      </w:r>
      <w:proofErr w:type="spellStart"/>
      <w:r w:rsidR="00EF022A" w:rsidRPr="007100F3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Portfeļgarantijas</w:t>
      </w:r>
      <w:proofErr w:type="spellEnd"/>
      <w:r w:rsidR="00EF022A" w:rsidRPr="007100F3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programmas ieviešana un kredītiestāžu </w:t>
      </w:r>
      <w:r w:rsidR="00622B50" w:rsidRPr="007100F3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pieteikšanās</w:t>
      </w:r>
      <w:r w:rsidR="00EF022A" w:rsidRPr="007100F3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</w:t>
      </w:r>
      <w:proofErr w:type="spellStart"/>
      <w:r w:rsidR="00EF022A" w:rsidRPr="007100F3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portfeļgarantiju</w:t>
      </w:r>
      <w:proofErr w:type="spellEnd"/>
      <w:r w:rsidR="00EF022A" w:rsidRPr="007100F3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ieviešanai</w:t>
      </w:r>
    </w:p>
    <w:p w14:paraId="6666F8CB" w14:textId="77777777" w:rsidR="00B15733" w:rsidRPr="007100F3" w:rsidRDefault="00B15733" w:rsidP="007100F3">
      <w:pPr>
        <w:pStyle w:val="ListParagraph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DF8A382" w14:textId="215C278B" w:rsidR="000C1A77" w:rsidRPr="007100F3" w:rsidRDefault="00EF022A" w:rsidP="00A57CB3">
      <w:pPr>
        <w:pStyle w:val="ListParagraph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proofErr w:type="spellStart"/>
      <w:r w:rsidRPr="007100F3">
        <w:rPr>
          <w:rFonts w:ascii="Times New Roman" w:eastAsia="Times New Roman" w:hAnsi="Times New Roman" w:cs="Times New Roman"/>
          <w:sz w:val="28"/>
          <w:szCs w:val="28"/>
          <w:lang w:eastAsia="lv-LV"/>
        </w:rPr>
        <w:t>Portfeļgarantija</w:t>
      </w:r>
      <w:proofErr w:type="spellEnd"/>
      <w:r w:rsidRPr="007100F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nodrošina zaudējumu segumu </w:t>
      </w:r>
      <w:r w:rsidR="000C1A77" w:rsidRPr="007100F3">
        <w:rPr>
          <w:rFonts w:ascii="Times New Roman" w:eastAsia="Times New Roman" w:hAnsi="Times New Roman" w:cs="Times New Roman"/>
          <w:sz w:val="28"/>
          <w:szCs w:val="28"/>
          <w:lang w:eastAsia="lv-LV"/>
        </w:rPr>
        <w:t>atbilstoši šiem noteikumiem jaunizveidotajam aizdevumu portfelim, kuru atbilstoši šo noteikumu nosacījumiem ir izveidojusi kredītiestāde, nepārsniedzot ierobežoto garantijas summu</w:t>
      </w:r>
      <w:r w:rsidR="00D0292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0C1A77" w:rsidRPr="007100F3">
        <w:rPr>
          <w:rFonts w:ascii="Times New Roman" w:eastAsia="Times New Roman" w:hAnsi="Times New Roman" w:cs="Times New Roman"/>
          <w:sz w:val="28"/>
          <w:szCs w:val="28"/>
          <w:lang w:eastAsia="lv-LV"/>
        </w:rPr>
        <w:t>un ievērojot, ka:</w:t>
      </w:r>
    </w:p>
    <w:p w14:paraId="07D13838" w14:textId="1D6F2C1D" w:rsidR="00EF022A" w:rsidRPr="007100F3" w:rsidRDefault="00EF022A" w:rsidP="007100F3">
      <w:pPr>
        <w:pStyle w:val="ListParagraph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7100F3">
        <w:rPr>
          <w:rFonts w:ascii="Times New Roman" w:eastAsia="Times New Roman" w:hAnsi="Times New Roman" w:cs="Times New Roman"/>
          <w:sz w:val="28"/>
          <w:szCs w:val="28"/>
          <w:lang w:eastAsia="lv-LV"/>
        </w:rPr>
        <w:t>ierobežotā garantija</w:t>
      </w:r>
      <w:r w:rsidR="009F0D3B" w:rsidRPr="007100F3">
        <w:rPr>
          <w:rFonts w:ascii="Times New Roman" w:eastAsia="Times New Roman" w:hAnsi="Times New Roman" w:cs="Times New Roman"/>
          <w:sz w:val="28"/>
          <w:szCs w:val="28"/>
          <w:lang w:eastAsia="lv-LV"/>
        </w:rPr>
        <w:t>s likme</w:t>
      </w:r>
      <w:r w:rsidRPr="007100F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nepārsniedz 20</w:t>
      </w:r>
      <w:r w:rsidR="000C1A77" w:rsidRPr="007100F3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7100F3">
        <w:rPr>
          <w:rFonts w:ascii="Times New Roman" w:eastAsia="Times New Roman" w:hAnsi="Times New Roman" w:cs="Times New Roman"/>
          <w:sz w:val="28"/>
          <w:szCs w:val="28"/>
          <w:lang w:eastAsia="lv-LV"/>
        </w:rPr>
        <w:t>%;</w:t>
      </w:r>
    </w:p>
    <w:p w14:paraId="0066796A" w14:textId="46784626" w:rsidR="00EF022A" w:rsidRPr="007100F3" w:rsidRDefault="00EF022A" w:rsidP="007100F3">
      <w:pPr>
        <w:pStyle w:val="ListParagraph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7100F3">
        <w:rPr>
          <w:rFonts w:ascii="Times New Roman" w:eastAsia="Times New Roman" w:hAnsi="Times New Roman" w:cs="Times New Roman"/>
          <w:sz w:val="28"/>
          <w:szCs w:val="28"/>
          <w:lang w:eastAsia="lv-LV"/>
        </w:rPr>
        <w:t>ierobežoto garantijas likmi nosaka līgumā ar kredītiestādi atbilstoši kredītiestādes aizdevumu portfeļa risku novērtējumam;</w:t>
      </w:r>
    </w:p>
    <w:p w14:paraId="1C78471B" w14:textId="4D633374" w:rsidR="00CD3BAE" w:rsidRDefault="00EF022A" w:rsidP="007100F3">
      <w:pPr>
        <w:pStyle w:val="ListParagraph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proofErr w:type="spellStart"/>
      <w:r w:rsidRPr="007100F3">
        <w:rPr>
          <w:rFonts w:ascii="Times New Roman" w:eastAsia="Times New Roman" w:hAnsi="Times New Roman" w:cs="Times New Roman"/>
          <w:sz w:val="28"/>
          <w:szCs w:val="28"/>
          <w:lang w:eastAsia="lv-LV"/>
        </w:rPr>
        <w:t>portfeļgarantija</w:t>
      </w:r>
      <w:proofErr w:type="spellEnd"/>
      <w:r w:rsidRPr="007100F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sedz finanšu pakalpojumu kredītriska zaudējumus.</w:t>
      </w:r>
    </w:p>
    <w:p w14:paraId="71B9C513" w14:textId="77777777" w:rsidR="007100F3" w:rsidRPr="007100F3" w:rsidRDefault="007100F3" w:rsidP="007100F3">
      <w:pPr>
        <w:pStyle w:val="ListParagraph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EA1F81F" w14:textId="7ECA653B" w:rsidR="00CD3BAE" w:rsidRDefault="00CD3BAE" w:rsidP="00A57CB3">
      <w:pPr>
        <w:pStyle w:val="ListParagraph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6" w:name="_Hlk38361548"/>
      <w:r w:rsidRPr="007100F3">
        <w:rPr>
          <w:rFonts w:ascii="Times New Roman" w:eastAsia="Times New Roman" w:hAnsi="Times New Roman" w:cs="Times New Roman"/>
          <w:sz w:val="28"/>
          <w:szCs w:val="28"/>
          <w:lang w:eastAsia="lv-LV"/>
        </w:rPr>
        <w:t>Sabiedrība "Altum" informē kredītiestādes par iespēju pieteikties finansējumam, sniedz informāciju par pieteikšanās nosacījumiem un publicē tos sabiedrības "Altum" tīmekļvietnē.</w:t>
      </w:r>
      <w:bookmarkEnd w:id="6"/>
      <w:r w:rsidRPr="007100F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Pieteikties var jebkura kredītiestāde, kas ir tiesīga sniegt kreditēšanas pakalpojumus Latvijā.</w:t>
      </w:r>
    </w:p>
    <w:p w14:paraId="359A880A" w14:textId="77777777" w:rsidR="007100F3" w:rsidRPr="007100F3" w:rsidRDefault="007100F3" w:rsidP="007100F3">
      <w:pPr>
        <w:pStyle w:val="ListParagraph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6B877A1" w14:textId="1AA92654" w:rsidR="00CD3BAE" w:rsidRDefault="00CD3BAE" w:rsidP="00A57CB3">
      <w:pPr>
        <w:pStyle w:val="ListParagraph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7" w:name="p21"/>
      <w:bookmarkStart w:id="8" w:name="p-634107"/>
      <w:bookmarkEnd w:id="7"/>
      <w:bookmarkEnd w:id="8"/>
      <w:r w:rsidRPr="007100F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Pieteikšanās nosacījumos nosaka finansējuma apmēru, pamatojumu finansiālā labuma nodošanai, </w:t>
      </w:r>
      <w:r w:rsidR="00CC4875" w:rsidRPr="007100F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kā arī kreditēšanas </w:t>
      </w:r>
      <w:r w:rsidR="00CC4875">
        <w:rPr>
          <w:rFonts w:ascii="Times New Roman" w:eastAsia="Times New Roman" w:hAnsi="Times New Roman" w:cs="Times New Roman"/>
          <w:sz w:val="28"/>
          <w:szCs w:val="28"/>
          <w:lang w:eastAsia="lv-LV"/>
        </w:rPr>
        <w:t>un</w:t>
      </w:r>
      <w:r w:rsidR="00CC4875" w:rsidRPr="007100F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7100F3">
        <w:rPr>
          <w:rFonts w:ascii="Times New Roman" w:eastAsia="Times New Roman" w:hAnsi="Times New Roman" w:cs="Times New Roman"/>
          <w:sz w:val="28"/>
          <w:szCs w:val="28"/>
          <w:lang w:eastAsia="lv-LV"/>
        </w:rPr>
        <w:t>citus nosacījumus.</w:t>
      </w:r>
    </w:p>
    <w:p w14:paraId="7EFCE805" w14:textId="77777777" w:rsidR="007100F3" w:rsidRPr="007100F3" w:rsidRDefault="007100F3" w:rsidP="007100F3">
      <w:pPr>
        <w:pStyle w:val="ListParagraph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A04AA3B" w14:textId="77777777" w:rsidR="00CC4875" w:rsidRDefault="007C69C1" w:rsidP="00A57CB3">
      <w:pPr>
        <w:pStyle w:val="ListParagraph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00F3">
        <w:rPr>
          <w:rFonts w:ascii="Times New Roman" w:hAnsi="Times New Roman" w:cs="Times New Roman"/>
          <w:sz w:val="28"/>
          <w:szCs w:val="28"/>
          <w:shd w:val="clear" w:color="auto" w:fill="FFFFFF"/>
        </w:rPr>
        <w:t>Līgumā ar kredītiestādi sabiedrība "</w:t>
      </w:r>
      <w:proofErr w:type="spellStart"/>
      <w:r w:rsidRPr="007100F3">
        <w:rPr>
          <w:rFonts w:ascii="Times New Roman" w:hAnsi="Times New Roman" w:cs="Times New Roman"/>
          <w:sz w:val="28"/>
          <w:szCs w:val="28"/>
          <w:shd w:val="clear" w:color="auto" w:fill="FFFFFF"/>
        </w:rPr>
        <w:t>Altum</w:t>
      </w:r>
      <w:proofErr w:type="spellEnd"/>
      <w:r w:rsidRPr="007100F3">
        <w:rPr>
          <w:rFonts w:ascii="Times New Roman" w:hAnsi="Times New Roman" w:cs="Times New Roman"/>
          <w:sz w:val="28"/>
          <w:szCs w:val="28"/>
          <w:shd w:val="clear" w:color="auto" w:fill="FFFFFF"/>
        </w:rPr>
        <w:t>" paredz, ka aizdevumu portfeli kredītiestāde veido atbilstoši līdzšinējai kredītpolitikai, visas finansiālās priekšrocības nododot kredītu ņēmējiem, un nodrošina iespēju sabiedrībai "</w:t>
      </w:r>
      <w:proofErr w:type="spellStart"/>
      <w:r w:rsidRPr="007100F3">
        <w:rPr>
          <w:rFonts w:ascii="Times New Roman" w:hAnsi="Times New Roman" w:cs="Times New Roman"/>
          <w:sz w:val="28"/>
          <w:szCs w:val="28"/>
          <w:shd w:val="clear" w:color="auto" w:fill="FFFFFF"/>
        </w:rPr>
        <w:t>Altum</w:t>
      </w:r>
      <w:proofErr w:type="spellEnd"/>
      <w:r w:rsidRPr="007100F3">
        <w:rPr>
          <w:rFonts w:ascii="Times New Roman" w:hAnsi="Times New Roman" w:cs="Times New Roman"/>
          <w:sz w:val="28"/>
          <w:szCs w:val="28"/>
          <w:shd w:val="clear" w:color="auto" w:fill="FFFFFF"/>
        </w:rPr>
        <w:t>" veikt pārbaudes, kā arī sniedz sabiedrībai "</w:t>
      </w:r>
      <w:proofErr w:type="spellStart"/>
      <w:r w:rsidRPr="007100F3">
        <w:rPr>
          <w:rFonts w:ascii="Times New Roman" w:hAnsi="Times New Roman" w:cs="Times New Roman"/>
          <w:sz w:val="28"/>
          <w:szCs w:val="28"/>
          <w:shd w:val="clear" w:color="auto" w:fill="FFFFFF"/>
        </w:rPr>
        <w:t>Altum</w:t>
      </w:r>
      <w:proofErr w:type="spellEnd"/>
      <w:r w:rsidRPr="007100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" pārskatus par </w:t>
      </w:r>
      <w:r w:rsidR="00CC4875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</w:p>
    <w:p w14:paraId="595F9BAD" w14:textId="77777777" w:rsidR="00CC4875" w:rsidRDefault="00CC487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 w:type="page"/>
      </w:r>
    </w:p>
    <w:p w14:paraId="0ABD5526" w14:textId="40034AF6" w:rsidR="00CD3BAE" w:rsidRPr="00CC4875" w:rsidRDefault="007C69C1" w:rsidP="00CC4875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CC487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programmas īstenošanu. Minētie nosacījumi paliek spēkā visā finanšu pakalpojuma sniegšanas periodā.</w:t>
      </w:r>
    </w:p>
    <w:p w14:paraId="0E332DEE" w14:textId="77777777" w:rsidR="007100F3" w:rsidRPr="007100F3" w:rsidRDefault="007100F3" w:rsidP="007100F3">
      <w:pPr>
        <w:tabs>
          <w:tab w:val="left" w:pos="652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C75C1BA" w14:textId="77777777" w:rsidR="007100F3" w:rsidRPr="007100F3" w:rsidRDefault="007100F3" w:rsidP="007100F3">
      <w:pPr>
        <w:tabs>
          <w:tab w:val="left" w:pos="652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C95D43D" w14:textId="77777777" w:rsidR="007100F3" w:rsidRPr="007100F3" w:rsidRDefault="007100F3" w:rsidP="007100F3">
      <w:pPr>
        <w:tabs>
          <w:tab w:val="left" w:pos="652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96BC6D6" w14:textId="77777777" w:rsidR="00A56B73" w:rsidRDefault="007100F3" w:rsidP="007100F3">
      <w:pPr>
        <w:tabs>
          <w:tab w:val="left" w:pos="652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100F3">
        <w:rPr>
          <w:rFonts w:ascii="Times New Roman" w:hAnsi="Times New Roman" w:cs="Times New Roman"/>
          <w:sz w:val="28"/>
          <w:szCs w:val="28"/>
        </w:rPr>
        <w:t>Ministru prezident</w:t>
      </w:r>
      <w:r w:rsidR="00CC4875">
        <w:rPr>
          <w:rFonts w:ascii="Times New Roman" w:hAnsi="Times New Roman" w:cs="Times New Roman"/>
          <w:sz w:val="28"/>
          <w:szCs w:val="28"/>
        </w:rPr>
        <w:t>a vietā –</w:t>
      </w:r>
    </w:p>
    <w:p w14:paraId="42AF7E47" w14:textId="7DA4CBEE" w:rsidR="00A56B73" w:rsidRDefault="00A56B73" w:rsidP="007100F3">
      <w:pPr>
        <w:tabs>
          <w:tab w:val="left" w:pos="652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100F3">
        <w:rPr>
          <w:rFonts w:ascii="Times New Roman" w:hAnsi="Times New Roman" w:cs="Times New Roman"/>
          <w:sz w:val="28"/>
          <w:szCs w:val="28"/>
        </w:rPr>
        <w:t>Ministru prezident</w:t>
      </w:r>
      <w:r>
        <w:rPr>
          <w:rFonts w:ascii="Times New Roman" w:hAnsi="Times New Roman" w:cs="Times New Roman"/>
          <w:sz w:val="28"/>
          <w:szCs w:val="28"/>
        </w:rPr>
        <w:t>a biedrs,</w:t>
      </w:r>
    </w:p>
    <w:p w14:paraId="0AFBEF92" w14:textId="66AFB44D" w:rsidR="007100F3" w:rsidRPr="007100F3" w:rsidRDefault="00A56B73" w:rsidP="007100F3">
      <w:pPr>
        <w:tabs>
          <w:tab w:val="left" w:pos="652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aizsardzības ministrs</w:t>
      </w:r>
      <w:r w:rsidR="007100F3" w:rsidRPr="007100F3">
        <w:rPr>
          <w:rFonts w:ascii="Times New Roman" w:hAnsi="Times New Roman" w:cs="Times New Roman"/>
          <w:sz w:val="28"/>
          <w:szCs w:val="28"/>
        </w:rPr>
        <w:tab/>
        <w:t>A. </w:t>
      </w:r>
      <w:r w:rsidR="00CC4875">
        <w:rPr>
          <w:rFonts w:ascii="Times New Roman" w:hAnsi="Times New Roman" w:cs="Times New Roman"/>
          <w:sz w:val="28"/>
          <w:szCs w:val="28"/>
        </w:rPr>
        <w:t>Pabriks</w:t>
      </w:r>
    </w:p>
    <w:p w14:paraId="7E226B7C" w14:textId="77777777" w:rsidR="007100F3" w:rsidRPr="007100F3" w:rsidRDefault="007100F3" w:rsidP="007100F3">
      <w:pPr>
        <w:pStyle w:val="naisf"/>
        <w:tabs>
          <w:tab w:val="left" w:pos="6237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09825DC6" w14:textId="77777777" w:rsidR="007100F3" w:rsidRPr="007100F3" w:rsidRDefault="007100F3" w:rsidP="007100F3">
      <w:pPr>
        <w:pStyle w:val="naisf"/>
        <w:tabs>
          <w:tab w:val="left" w:pos="6237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695433CB" w14:textId="77777777" w:rsidR="007100F3" w:rsidRPr="007100F3" w:rsidRDefault="007100F3" w:rsidP="007100F3">
      <w:pPr>
        <w:pStyle w:val="naisf"/>
        <w:tabs>
          <w:tab w:val="left" w:pos="6237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5E53DBCB" w14:textId="77777777" w:rsidR="007100F3" w:rsidRPr="007100F3" w:rsidRDefault="007100F3" w:rsidP="007100F3">
      <w:pPr>
        <w:pStyle w:val="naisf"/>
        <w:tabs>
          <w:tab w:val="left" w:pos="6521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7100F3">
        <w:rPr>
          <w:sz w:val="28"/>
          <w:szCs w:val="28"/>
        </w:rPr>
        <w:t>Ekonomikas ministrs</w:t>
      </w:r>
      <w:r w:rsidRPr="007100F3">
        <w:rPr>
          <w:sz w:val="28"/>
          <w:szCs w:val="28"/>
        </w:rPr>
        <w:tab/>
        <w:t>J. </w:t>
      </w:r>
      <w:proofErr w:type="spellStart"/>
      <w:r w:rsidRPr="007100F3">
        <w:rPr>
          <w:sz w:val="28"/>
          <w:szCs w:val="28"/>
        </w:rPr>
        <w:t>Vitenbergs</w:t>
      </w:r>
      <w:proofErr w:type="spellEnd"/>
    </w:p>
    <w:sectPr w:rsidR="007100F3" w:rsidRPr="007100F3" w:rsidSect="007100F3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0E5C2A" w14:textId="77777777" w:rsidR="00FA3BEE" w:rsidRDefault="00FA3BEE" w:rsidP="006D0FDB">
      <w:pPr>
        <w:spacing w:after="0" w:line="240" w:lineRule="auto"/>
      </w:pPr>
      <w:r>
        <w:separator/>
      </w:r>
    </w:p>
  </w:endnote>
  <w:endnote w:type="continuationSeparator" w:id="0">
    <w:p w14:paraId="1B992D17" w14:textId="77777777" w:rsidR="00FA3BEE" w:rsidRDefault="00FA3BEE" w:rsidP="006D0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4354A4" w14:textId="4472A354" w:rsidR="007100F3" w:rsidRPr="007100F3" w:rsidRDefault="007100F3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N1327_0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60288F" w14:textId="77777777" w:rsidR="007100F3" w:rsidRPr="007100F3" w:rsidRDefault="007100F3" w:rsidP="007100F3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N1327_0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688E93" w14:textId="77777777" w:rsidR="00FA3BEE" w:rsidRDefault="00FA3BEE" w:rsidP="006D0FDB">
      <w:pPr>
        <w:spacing w:after="0" w:line="240" w:lineRule="auto"/>
      </w:pPr>
      <w:r>
        <w:separator/>
      </w:r>
    </w:p>
  </w:footnote>
  <w:footnote w:type="continuationSeparator" w:id="0">
    <w:p w14:paraId="67E19985" w14:textId="77777777" w:rsidR="00FA3BEE" w:rsidRDefault="00FA3BEE" w:rsidP="006D0F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727995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68E89245" w14:textId="688D34FF" w:rsidR="007100F3" w:rsidRPr="007100F3" w:rsidRDefault="007100F3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100F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100F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100F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7100F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100F3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A856E1" w14:textId="477037A8" w:rsidR="007100F3" w:rsidRDefault="007100F3">
    <w:pPr>
      <w:pStyle w:val="Header"/>
      <w:rPr>
        <w:rFonts w:ascii="Times New Roman" w:hAnsi="Times New Roman" w:cs="Times New Roman"/>
        <w:sz w:val="24"/>
        <w:szCs w:val="24"/>
      </w:rPr>
    </w:pPr>
  </w:p>
  <w:p w14:paraId="38C59719" w14:textId="77777777" w:rsidR="007100F3" w:rsidRDefault="007100F3">
    <w:pPr>
      <w:pStyle w:val="Header"/>
    </w:pPr>
    <w:r>
      <w:rPr>
        <w:noProof/>
      </w:rPr>
      <w:drawing>
        <wp:inline distT="0" distB="0" distL="0" distR="0" wp14:anchorId="0F427679" wp14:editId="03C7B203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92470"/>
    <w:multiLevelType w:val="multilevel"/>
    <w:tmpl w:val="DA56C92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66B41DA"/>
    <w:multiLevelType w:val="hybridMultilevel"/>
    <w:tmpl w:val="0C4CFFD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0F">
      <w:start w:val="1"/>
      <w:numFmt w:val="decimal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0C3381"/>
    <w:multiLevelType w:val="hybridMultilevel"/>
    <w:tmpl w:val="1FD8183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DA06EC"/>
    <w:multiLevelType w:val="hybridMultilevel"/>
    <w:tmpl w:val="97342700"/>
    <w:lvl w:ilvl="0" w:tplc="0426000F">
      <w:start w:val="1"/>
      <w:numFmt w:val="decimal"/>
      <w:lvlText w:val="%1."/>
      <w:lvlJc w:val="left"/>
      <w:pPr>
        <w:ind w:left="1800" w:hanging="360"/>
      </w:p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34A066B"/>
    <w:multiLevelType w:val="multilevel"/>
    <w:tmpl w:val="D88E46BC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4AB7CEE"/>
    <w:multiLevelType w:val="multilevel"/>
    <w:tmpl w:val="2BA600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46A7F89"/>
    <w:multiLevelType w:val="hybridMultilevel"/>
    <w:tmpl w:val="F1AE4034"/>
    <w:lvl w:ilvl="0" w:tplc="208AC39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DE13FF"/>
    <w:multiLevelType w:val="hybridMultilevel"/>
    <w:tmpl w:val="BE5A05A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845ABE"/>
    <w:multiLevelType w:val="multilevel"/>
    <w:tmpl w:val="DA56C92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3D30211"/>
    <w:multiLevelType w:val="multilevel"/>
    <w:tmpl w:val="DA56C92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77432D5"/>
    <w:multiLevelType w:val="multilevel"/>
    <w:tmpl w:val="63BC935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6A337523"/>
    <w:multiLevelType w:val="hybridMultilevel"/>
    <w:tmpl w:val="3BFEDFA2"/>
    <w:lvl w:ilvl="0" w:tplc="0426000F">
      <w:start w:val="1"/>
      <w:numFmt w:val="decimal"/>
      <w:lvlText w:val="%1."/>
      <w:lvlJc w:val="left"/>
      <w:pPr>
        <w:ind w:left="1800" w:hanging="360"/>
      </w:p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72F85AFD"/>
    <w:multiLevelType w:val="hybridMultilevel"/>
    <w:tmpl w:val="072A300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D51481"/>
    <w:multiLevelType w:val="hybridMultilevel"/>
    <w:tmpl w:val="3C5CFFC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341887"/>
    <w:multiLevelType w:val="multilevel"/>
    <w:tmpl w:val="E7C2BE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13"/>
  </w:num>
  <w:num w:numId="5">
    <w:abstractNumId w:val="14"/>
  </w:num>
  <w:num w:numId="6">
    <w:abstractNumId w:val="6"/>
  </w:num>
  <w:num w:numId="7">
    <w:abstractNumId w:val="2"/>
  </w:num>
  <w:num w:numId="8">
    <w:abstractNumId w:val="12"/>
  </w:num>
  <w:num w:numId="9">
    <w:abstractNumId w:val="5"/>
  </w:num>
  <w:num w:numId="10">
    <w:abstractNumId w:val="7"/>
  </w:num>
  <w:num w:numId="11">
    <w:abstractNumId w:val="1"/>
  </w:num>
  <w:num w:numId="12">
    <w:abstractNumId w:val="11"/>
  </w:num>
  <w:num w:numId="13">
    <w:abstractNumId w:val="3"/>
  </w:num>
  <w:num w:numId="14">
    <w:abstractNumId w:val="9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85C"/>
    <w:rsid w:val="0000285C"/>
    <w:rsid w:val="0001796E"/>
    <w:rsid w:val="00044A2D"/>
    <w:rsid w:val="0006303A"/>
    <w:rsid w:val="0006526D"/>
    <w:rsid w:val="00074D20"/>
    <w:rsid w:val="000756A7"/>
    <w:rsid w:val="00083CEE"/>
    <w:rsid w:val="00084F36"/>
    <w:rsid w:val="00097DD1"/>
    <w:rsid w:val="000A45E5"/>
    <w:rsid w:val="000B7047"/>
    <w:rsid w:val="000C0E28"/>
    <w:rsid w:val="000C1A77"/>
    <w:rsid w:val="000C2312"/>
    <w:rsid w:val="000D4B0A"/>
    <w:rsid w:val="00111D44"/>
    <w:rsid w:val="001544A3"/>
    <w:rsid w:val="0018053C"/>
    <w:rsid w:val="00184FD0"/>
    <w:rsid w:val="00185A11"/>
    <w:rsid w:val="00197EAF"/>
    <w:rsid w:val="001D750B"/>
    <w:rsid w:val="001E062E"/>
    <w:rsid w:val="002101C4"/>
    <w:rsid w:val="00221DF0"/>
    <w:rsid w:val="002225C8"/>
    <w:rsid w:val="00223F8A"/>
    <w:rsid w:val="00224D12"/>
    <w:rsid w:val="00235CFB"/>
    <w:rsid w:val="00250502"/>
    <w:rsid w:val="00250B20"/>
    <w:rsid w:val="00257A9F"/>
    <w:rsid w:val="0026020A"/>
    <w:rsid w:val="00260309"/>
    <w:rsid w:val="00275495"/>
    <w:rsid w:val="00276AF3"/>
    <w:rsid w:val="00277986"/>
    <w:rsid w:val="0028197A"/>
    <w:rsid w:val="00294F76"/>
    <w:rsid w:val="002969DC"/>
    <w:rsid w:val="002B1F57"/>
    <w:rsid w:val="002C0237"/>
    <w:rsid w:val="002E0AE3"/>
    <w:rsid w:val="002F6C52"/>
    <w:rsid w:val="0030451B"/>
    <w:rsid w:val="003163ED"/>
    <w:rsid w:val="003218E6"/>
    <w:rsid w:val="003252A2"/>
    <w:rsid w:val="00331385"/>
    <w:rsid w:val="00355FE6"/>
    <w:rsid w:val="00367166"/>
    <w:rsid w:val="00382670"/>
    <w:rsid w:val="00383B01"/>
    <w:rsid w:val="003A2669"/>
    <w:rsid w:val="003C1F52"/>
    <w:rsid w:val="003E5957"/>
    <w:rsid w:val="003E5BFE"/>
    <w:rsid w:val="003E67E8"/>
    <w:rsid w:val="003F7B25"/>
    <w:rsid w:val="00402873"/>
    <w:rsid w:val="00441DCC"/>
    <w:rsid w:val="0046275E"/>
    <w:rsid w:val="00487A38"/>
    <w:rsid w:val="004A121F"/>
    <w:rsid w:val="004A5DF6"/>
    <w:rsid w:val="004A6281"/>
    <w:rsid w:val="004B04B3"/>
    <w:rsid w:val="004E485F"/>
    <w:rsid w:val="004E698B"/>
    <w:rsid w:val="004F6D30"/>
    <w:rsid w:val="0050633D"/>
    <w:rsid w:val="005076F5"/>
    <w:rsid w:val="00510D90"/>
    <w:rsid w:val="00523393"/>
    <w:rsid w:val="00524631"/>
    <w:rsid w:val="005429A4"/>
    <w:rsid w:val="005456C7"/>
    <w:rsid w:val="005552F0"/>
    <w:rsid w:val="00560E5C"/>
    <w:rsid w:val="00567F2E"/>
    <w:rsid w:val="00582F58"/>
    <w:rsid w:val="00583DD8"/>
    <w:rsid w:val="00595808"/>
    <w:rsid w:val="00597477"/>
    <w:rsid w:val="005C6A1D"/>
    <w:rsid w:val="005C7854"/>
    <w:rsid w:val="005D158F"/>
    <w:rsid w:val="005D46EF"/>
    <w:rsid w:val="005D587C"/>
    <w:rsid w:val="005E756D"/>
    <w:rsid w:val="005F2870"/>
    <w:rsid w:val="005F6FCC"/>
    <w:rsid w:val="00602B4E"/>
    <w:rsid w:val="00606CD4"/>
    <w:rsid w:val="0060754C"/>
    <w:rsid w:val="00622B50"/>
    <w:rsid w:val="006363AD"/>
    <w:rsid w:val="00646976"/>
    <w:rsid w:val="00670705"/>
    <w:rsid w:val="00671B30"/>
    <w:rsid w:val="00677742"/>
    <w:rsid w:val="00677A6A"/>
    <w:rsid w:val="00686595"/>
    <w:rsid w:val="00697901"/>
    <w:rsid w:val="0069794D"/>
    <w:rsid w:val="006D0FDB"/>
    <w:rsid w:val="006F775D"/>
    <w:rsid w:val="00710046"/>
    <w:rsid w:val="007100F3"/>
    <w:rsid w:val="007217CF"/>
    <w:rsid w:val="00723989"/>
    <w:rsid w:val="0073122A"/>
    <w:rsid w:val="00737E14"/>
    <w:rsid w:val="00752E2C"/>
    <w:rsid w:val="00755FDE"/>
    <w:rsid w:val="00776524"/>
    <w:rsid w:val="00791B26"/>
    <w:rsid w:val="007A31E5"/>
    <w:rsid w:val="007B286F"/>
    <w:rsid w:val="007C69C1"/>
    <w:rsid w:val="007C72F5"/>
    <w:rsid w:val="007C7CAE"/>
    <w:rsid w:val="007F0542"/>
    <w:rsid w:val="007F1E73"/>
    <w:rsid w:val="0081200C"/>
    <w:rsid w:val="008135CB"/>
    <w:rsid w:val="00817B61"/>
    <w:rsid w:val="00821FEE"/>
    <w:rsid w:val="00841FE6"/>
    <w:rsid w:val="00855637"/>
    <w:rsid w:val="00871729"/>
    <w:rsid w:val="00890A5C"/>
    <w:rsid w:val="008A1F60"/>
    <w:rsid w:val="008B121E"/>
    <w:rsid w:val="008B50C8"/>
    <w:rsid w:val="008B56B3"/>
    <w:rsid w:val="008E607C"/>
    <w:rsid w:val="008E6297"/>
    <w:rsid w:val="008F07DA"/>
    <w:rsid w:val="00934504"/>
    <w:rsid w:val="00943755"/>
    <w:rsid w:val="00943C34"/>
    <w:rsid w:val="00960D70"/>
    <w:rsid w:val="009661F8"/>
    <w:rsid w:val="00970BF6"/>
    <w:rsid w:val="0098528D"/>
    <w:rsid w:val="00993415"/>
    <w:rsid w:val="00995367"/>
    <w:rsid w:val="009A5DF0"/>
    <w:rsid w:val="009A646E"/>
    <w:rsid w:val="009D18BD"/>
    <w:rsid w:val="009E383E"/>
    <w:rsid w:val="009F0D3B"/>
    <w:rsid w:val="009F74EF"/>
    <w:rsid w:val="00A1388D"/>
    <w:rsid w:val="00A1441E"/>
    <w:rsid w:val="00A54A0D"/>
    <w:rsid w:val="00A561AE"/>
    <w:rsid w:val="00A56B73"/>
    <w:rsid w:val="00A57CB3"/>
    <w:rsid w:val="00A82C24"/>
    <w:rsid w:val="00A927A8"/>
    <w:rsid w:val="00A9441A"/>
    <w:rsid w:val="00AC02B0"/>
    <w:rsid w:val="00B03DD4"/>
    <w:rsid w:val="00B0614C"/>
    <w:rsid w:val="00B15733"/>
    <w:rsid w:val="00B42BF6"/>
    <w:rsid w:val="00B457B7"/>
    <w:rsid w:val="00B52B53"/>
    <w:rsid w:val="00B65164"/>
    <w:rsid w:val="00B70029"/>
    <w:rsid w:val="00B70D3E"/>
    <w:rsid w:val="00B71824"/>
    <w:rsid w:val="00B91EF4"/>
    <w:rsid w:val="00B952D7"/>
    <w:rsid w:val="00BC2B5C"/>
    <w:rsid w:val="00BE1F08"/>
    <w:rsid w:val="00BE2B4A"/>
    <w:rsid w:val="00C26650"/>
    <w:rsid w:val="00C346F2"/>
    <w:rsid w:val="00C44193"/>
    <w:rsid w:val="00C55599"/>
    <w:rsid w:val="00C71182"/>
    <w:rsid w:val="00C735CE"/>
    <w:rsid w:val="00C847FC"/>
    <w:rsid w:val="00CC1981"/>
    <w:rsid w:val="00CC4875"/>
    <w:rsid w:val="00CD1DE1"/>
    <w:rsid w:val="00CD3BAE"/>
    <w:rsid w:val="00CD76A3"/>
    <w:rsid w:val="00D0292E"/>
    <w:rsid w:val="00D11151"/>
    <w:rsid w:val="00D470A8"/>
    <w:rsid w:val="00D470DC"/>
    <w:rsid w:val="00D56C02"/>
    <w:rsid w:val="00D62D94"/>
    <w:rsid w:val="00D82018"/>
    <w:rsid w:val="00D9311C"/>
    <w:rsid w:val="00D94FDC"/>
    <w:rsid w:val="00DA3835"/>
    <w:rsid w:val="00DD531C"/>
    <w:rsid w:val="00DE35B9"/>
    <w:rsid w:val="00DE381D"/>
    <w:rsid w:val="00DE6374"/>
    <w:rsid w:val="00DF5734"/>
    <w:rsid w:val="00DF5AFE"/>
    <w:rsid w:val="00E01F09"/>
    <w:rsid w:val="00E24BD3"/>
    <w:rsid w:val="00E27410"/>
    <w:rsid w:val="00E465B2"/>
    <w:rsid w:val="00E509F0"/>
    <w:rsid w:val="00E6731F"/>
    <w:rsid w:val="00E82669"/>
    <w:rsid w:val="00E84EC6"/>
    <w:rsid w:val="00E96533"/>
    <w:rsid w:val="00EA23CE"/>
    <w:rsid w:val="00EC5719"/>
    <w:rsid w:val="00EF022A"/>
    <w:rsid w:val="00F10190"/>
    <w:rsid w:val="00F1052B"/>
    <w:rsid w:val="00F16328"/>
    <w:rsid w:val="00F16C7E"/>
    <w:rsid w:val="00F17065"/>
    <w:rsid w:val="00F26840"/>
    <w:rsid w:val="00F3192D"/>
    <w:rsid w:val="00F32820"/>
    <w:rsid w:val="00F51E92"/>
    <w:rsid w:val="00F60F0D"/>
    <w:rsid w:val="00F629AB"/>
    <w:rsid w:val="00F73B33"/>
    <w:rsid w:val="00F773C6"/>
    <w:rsid w:val="00F81D39"/>
    <w:rsid w:val="00FA1372"/>
    <w:rsid w:val="00FA3BEE"/>
    <w:rsid w:val="00FA4B07"/>
    <w:rsid w:val="00FE0F42"/>
    <w:rsid w:val="00FF0256"/>
    <w:rsid w:val="00FF1F9A"/>
    <w:rsid w:val="00FF3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7DF5F018"/>
  <w15:chartTrackingRefBased/>
  <w15:docId w15:val="{007DD163-0BDF-4010-9800-233381FDD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81D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2,Strip"/>
    <w:basedOn w:val="Normal"/>
    <w:link w:val="ListParagraphChar"/>
    <w:uiPriority w:val="34"/>
    <w:qFormat/>
    <w:rsid w:val="00F81D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1D39"/>
    <w:rPr>
      <w:color w:val="0000FF"/>
      <w:u w:val="single"/>
    </w:rPr>
  </w:style>
  <w:style w:type="paragraph" w:customStyle="1" w:styleId="tv213">
    <w:name w:val="tv213"/>
    <w:basedOn w:val="Normal"/>
    <w:rsid w:val="00210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6D0FD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0FDB"/>
  </w:style>
  <w:style w:type="paragraph" w:styleId="Footer">
    <w:name w:val="footer"/>
    <w:basedOn w:val="Normal"/>
    <w:link w:val="FooterChar"/>
    <w:uiPriority w:val="99"/>
    <w:unhideWhenUsed/>
    <w:rsid w:val="006D0FD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0FDB"/>
  </w:style>
  <w:style w:type="paragraph" w:customStyle="1" w:styleId="tv2161">
    <w:name w:val="tv2161"/>
    <w:basedOn w:val="Normal"/>
    <w:rsid w:val="00184FD0"/>
    <w:pPr>
      <w:spacing w:before="240" w:after="0" w:line="360" w:lineRule="auto"/>
      <w:ind w:firstLine="300"/>
      <w:jc w:val="right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3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393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2 Char,Strip Char"/>
    <w:link w:val="ListParagraph"/>
    <w:uiPriority w:val="34"/>
    <w:locked/>
    <w:rsid w:val="00CD3BAE"/>
  </w:style>
  <w:style w:type="paragraph" w:styleId="Revision">
    <w:name w:val="Revision"/>
    <w:hidden/>
    <w:uiPriority w:val="99"/>
    <w:semiHidden/>
    <w:rsid w:val="007217C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7B28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28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28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28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286F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rsid w:val="003E5BFE"/>
    <w:pPr>
      <w:widowControl w:val="0"/>
      <w:spacing w:before="60" w:after="6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rsid w:val="003E5BFE"/>
    <w:rPr>
      <w:rFonts w:ascii="Times New Roman" w:eastAsia="Times New Roman" w:hAnsi="Times New Roman" w:cs="Times New Roman"/>
      <w:sz w:val="20"/>
      <w:szCs w:val="20"/>
      <w:lang w:val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3E5BFE"/>
    <w:rPr>
      <w:color w:val="605E5C"/>
      <w:shd w:val="clear" w:color="auto" w:fill="E1DFDD"/>
    </w:rPr>
  </w:style>
  <w:style w:type="paragraph" w:customStyle="1" w:styleId="naisf">
    <w:name w:val="naisf"/>
    <w:basedOn w:val="Normal"/>
    <w:rsid w:val="00710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6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6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3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4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2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7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00807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2909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5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270323-attistibas-finansu-institucijas-likum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ikumi.lv/ta/id/270323-attistibas-finansu-institucijas-likums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FD3CF7-7DB6-4B9F-BD07-15A7A6B2B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4</Pages>
  <Words>3701</Words>
  <Characters>2111</Characters>
  <Application>Microsoft Office Word</Application>
  <DocSecurity>0</DocSecurity>
  <Lines>17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Gatis Sniedziņš</dc:creator>
  <cp:keywords/>
  <dc:description/>
  <cp:lastModifiedBy>Jekaterina Borovika</cp:lastModifiedBy>
  <cp:revision>12</cp:revision>
  <cp:lastPrinted>2020-07-28T08:00:00Z</cp:lastPrinted>
  <dcterms:created xsi:type="dcterms:W3CDTF">2020-07-10T05:07:00Z</dcterms:created>
  <dcterms:modified xsi:type="dcterms:W3CDTF">2020-07-30T12:12:00Z</dcterms:modified>
</cp:coreProperties>
</file>